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 w:lineRule="atLeast"/>
        <w:rPr>
          <w:rFonts w:hint="eastAsia" w:ascii="宋体" w:hAnsi="宋体" w:eastAsia="宋体" w:cs="宋体"/>
          <w:b/>
          <w:bCs/>
          <w:color w:val="auto"/>
          <w:sz w:val="28"/>
          <w:szCs w:val="28"/>
        </w:rPr>
      </w:pPr>
    </w:p>
    <w:p>
      <w:pPr>
        <w:pStyle w:val="13"/>
        <w:rPr>
          <w:rFonts w:hint="eastAsia" w:ascii="宋体" w:hAnsi="宋体" w:eastAsia="宋体" w:cs="宋体"/>
        </w:rPr>
      </w:pPr>
    </w:p>
    <w:p>
      <w:pPr>
        <w:spacing w:line="100" w:lineRule="atLeast"/>
        <w:rPr>
          <w:rFonts w:hint="eastAsia" w:ascii="宋体" w:hAnsi="宋体" w:eastAsia="宋体" w:cs="宋体"/>
          <w:b/>
          <w:bCs/>
          <w:color w:val="auto"/>
          <w:sz w:val="28"/>
          <w:szCs w:val="28"/>
        </w:rPr>
      </w:pPr>
    </w:p>
    <w:p>
      <w:pPr>
        <w:spacing w:line="100" w:lineRule="atLeas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项目编号：</w:t>
      </w:r>
      <w:r>
        <w:rPr>
          <w:rFonts w:hint="eastAsia" w:ascii="宋体" w:hAnsi="宋体" w:eastAsia="宋体" w:cs="宋体"/>
          <w:b/>
          <w:bCs/>
          <w:color w:val="auto"/>
          <w:sz w:val="28"/>
          <w:szCs w:val="36"/>
          <w:highlight w:val="none"/>
          <w:lang w:val="en-US" w:eastAsia="zh-CN"/>
        </w:rPr>
        <w:t>ZFCG-泾阳县-2023-00009</w:t>
      </w:r>
    </w:p>
    <w:p>
      <w:pPr>
        <w:spacing w:line="100" w:lineRule="atLeast"/>
        <w:rPr>
          <w:rFonts w:hint="eastAsia" w:ascii="宋体" w:hAnsi="宋体" w:eastAsia="宋体" w:cs="宋体"/>
          <w:b/>
          <w:color w:val="auto"/>
          <w:sz w:val="28"/>
          <w:szCs w:val="28"/>
          <w:lang w:val="en-US" w:eastAsia="zh-CN"/>
        </w:rPr>
      </w:pPr>
    </w:p>
    <w:p>
      <w:pPr>
        <w:pStyle w:val="2"/>
        <w:jc w:val="both"/>
        <w:rPr>
          <w:rFonts w:hint="eastAsia" w:ascii="宋体" w:hAnsi="宋体" w:eastAsia="宋体" w:cs="宋体"/>
          <w:color w:val="auto"/>
        </w:rPr>
      </w:pPr>
    </w:p>
    <w:p>
      <w:pPr>
        <w:rPr>
          <w:rFonts w:hint="eastAsia" w:ascii="宋体" w:hAnsi="宋体" w:eastAsia="宋体" w:cs="宋体"/>
          <w:color w:val="auto"/>
        </w:rPr>
      </w:pPr>
    </w:p>
    <w:p>
      <w:pPr>
        <w:pStyle w:val="13"/>
        <w:rPr>
          <w:rFonts w:hint="eastAsia" w:ascii="宋体" w:hAnsi="宋体" w:eastAsia="宋体" w:cs="宋体"/>
        </w:rPr>
      </w:pPr>
    </w:p>
    <w:p>
      <w:pPr>
        <w:spacing w:line="100" w:lineRule="atLeast"/>
        <w:jc w:val="center"/>
        <w:rPr>
          <w:rFonts w:hint="eastAsia" w:ascii="宋体" w:hAnsi="宋体" w:eastAsia="宋体" w:cs="宋体"/>
          <w:b/>
          <w:bCs/>
          <w:color w:val="auto"/>
          <w:sz w:val="52"/>
          <w:szCs w:val="52"/>
          <w:lang w:val="en-US" w:eastAsia="zh-CN"/>
        </w:rPr>
      </w:pPr>
      <w:r>
        <w:rPr>
          <w:rFonts w:hint="eastAsia" w:ascii="宋体" w:hAnsi="宋体" w:eastAsia="宋体" w:cs="宋体"/>
          <w:b/>
          <w:bCs/>
          <w:color w:val="auto"/>
          <w:sz w:val="52"/>
          <w:szCs w:val="52"/>
          <w:lang w:eastAsia="zh-CN"/>
        </w:rPr>
        <w:t>泾阳县县委、政府两院光纤使用费项目</w:t>
      </w:r>
    </w:p>
    <w:p>
      <w:pPr>
        <w:spacing w:line="100" w:lineRule="atLeast"/>
        <w:jc w:val="both"/>
        <w:rPr>
          <w:rFonts w:hint="eastAsia" w:ascii="宋体" w:hAnsi="宋体" w:eastAsia="宋体" w:cs="宋体"/>
          <w:b/>
          <w:bCs/>
          <w:color w:val="auto"/>
          <w:sz w:val="22"/>
          <w:szCs w:val="22"/>
          <w:lang w:eastAsia="zh-CN"/>
        </w:rPr>
      </w:pPr>
    </w:p>
    <w:p>
      <w:pPr>
        <w:pStyle w:val="16"/>
        <w:rPr>
          <w:rFonts w:hint="eastAsia" w:ascii="宋体" w:hAnsi="宋体" w:eastAsia="宋体" w:cs="宋体"/>
          <w:b/>
          <w:bCs/>
          <w:color w:val="auto"/>
          <w:sz w:val="22"/>
          <w:szCs w:val="22"/>
          <w:lang w:eastAsia="zh-CN"/>
        </w:rPr>
      </w:pPr>
    </w:p>
    <w:p>
      <w:pPr>
        <w:rPr>
          <w:rFonts w:hint="eastAsia" w:ascii="宋体" w:hAnsi="宋体" w:eastAsia="宋体" w:cs="宋体"/>
          <w:color w:val="auto"/>
          <w:lang w:eastAsia="zh-CN"/>
        </w:rPr>
      </w:pPr>
    </w:p>
    <w:p>
      <w:pPr>
        <w:pStyle w:val="2"/>
        <w:jc w:val="both"/>
        <w:rPr>
          <w:rFonts w:hint="eastAsia" w:ascii="宋体" w:hAnsi="宋体" w:eastAsia="宋体" w:cs="宋体"/>
          <w:color w:val="auto"/>
        </w:rPr>
      </w:pPr>
    </w:p>
    <w:p>
      <w:pPr>
        <w:rPr>
          <w:rFonts w:hint="eastAsia" w:ascii="宋体" w:hAnsi="宋体" w:eastAsia="宋体" w:cs="宋体"/>
          <w:color w:val="auto"/>
        </w:rPr>
      </w:pPr>
    </w:p>
    <w:p>
      <w:pPr>
        <w:pStyle w:val="13"/>
        <w:rPr>
          <w:rFonts w:hint="eastAsia" w:ascii="宋体" w:hAnsi="宋体" w:eastAsia="宋体" w:cs="宋体"/>
        </w:rPr>
      </w:pPr>
    </w:p>
    <w:p>
      <w:pPr>
        <w:rPr>
          <w:rFonts w:hint="eastAsia" w:ascii="宋体" w:hAnsi="宋体" w:eastAsia="宋体" w:cs="宋体"/>
          <w:color w:val="auto"/>
        </w:rPr>
      </w:pPr>
    </w:p>
    <w:p>
      <w:pPr>
        <w:pStyle w:val="13"/>
        <w:rPr>
          <w:rFonts w:hint="eastAsia" w:ascii="宋体" w:hAnsi="宋体" w:eastAsia="宋体" w:cs="宋体"/>
        </w:rPr>
      </w:pPr>
    </w:p>
    <w:p>
      <w:pPr>
        <w:spacing w:line="100" w:lineRule="atLeast"/>
        <w:jc w:val="center"/>
        <w:rPr>
          <w:rFonts w:hint="eastAsia" w:ascii="宋体" w:hAnsi="宋体" w:eastAsia="宋体" w:cs="宋体"/>
          <w:b/>
          <w:bCs/>
          <w:color w:val="auto"/>
          <w:sz w:val="72"/>
          <w:szCs w:val="72"/>
          <w:lang w:eastAsia="zh-CN"/>
        </w:rPr>
      </w:pPr>
      <w:r>
        <w:rPr>
          <w:rFonts w:hint="eastAsia" w:ascii="宋体" w:hAnsi="宋体" w:eastAsia="宋体" w:cs="宋体"/>
          <w:b/>
          <w:bCs/>
          <w:color w:val="auto"/>
          <w:sz w:val="72"/>
          <w:szCs w:val="72"/>
          <w:lang w:eastAsia="zh-CN"/>
        </w:rPr>
        <w:t>单一来源文件</w:t>
      </w:r>
    </w:p>
    <w:p>
      <w:pPr>
        <w:tabs>
          <w:tab w:val="left" w:pos="5670"/>
        </w:tabs>
        <w:autoSpaceDE w:val="0"/>
        <w:autoSpaceDN w:val="0"/>
        <w:adjustRightInd w:val="0"/>
        <w:snapToGrid w:val="0"/>
        <w:spacing w:line="360" w:lineRule="auto"/>
        <w:jc w:val="center"/>
        <w:rPr>
          <w:rFonts w:hint="eastAsia" w:ascii="宋体" w:hAnsi="宋体" w:eastAsia="宋体" w:cs="宋体"/>
          <w:color w:val="auto"/>
          <w:sz w:val="28"/>
          <w:szCs w:val="28"/>
        </w:rPr>
      </w:pPr>
    </w:p>
    <w:p>
      <w:pPr>
        <w:pStyle w:val="13"/>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13"/>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13"/>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13"/>
        <w:rPr>
          <w:rFonts w:hint="eastAsia" w:ascii="宋体" w:hAnsi="宋体" w:eastAsia="宋体" w:cs="宋体"/>
        </w:rPr>
      </w:pPr>
    </w:p>
    <w:p>
      <w:pPr>
        <w:rPr>
          <w:rFonts w:hint="eastAsia" w:ascii="宋体" w:hAnsi="宋体" w:eastAsia="宋体" w:cs="宋体"/>
          <w:b/>
          <w:color w:val="auto"/>
          <w:sz w:val="36"/>
          <w:szCs w:val="36"/>
        </w:rPr>
      </w:pPr>
      <w:r>
        <w:rPr>
          <w:rFonts w:hint="eastAsia" w:ascii="宋体" w:hAnsi="宋体" w:eastAsia="宋体" w:cs="宋体"/>
          <w:b/>
          <w:bCs/>
          <w:color w:val="auto"/>
          <w:sz w:val="28"/>
          <w:szCs w:val="28"/>
        </w:rPr>
        <w:t xml:space="preserve">       </w:t>
      </w:r>
    </w:p>
    <w:p>
      <w:pPr>
        <w:keepNext w:val="0"/>
        <w:keepLines w:val="0"/>
        <w:pageBreakBefore w:val="0"/>
        <w:widowControl w:val="0"/>
        <w:kinsoku/>
        <w:wordWrap/>
        <w:overflowPunct/>
        <w:topLinePunct w:val="0"/>
        <w:bidi w:val="0"/>
        <w:spacing w:line="360" w:lineRule="auto"/>
        <w:ind w:firstLine="1446" w:firstLineChars="400"/>
        <w:textAlignment w:val="auto"/>
        <w:rPr>
          <w:rFonts w:hint="eastAsia" w:ascii="宋体" w:hAnsi="宋体" w:eastAsia="宋体" w:cs="宋体"/>
          <w:color w:val="auto"/>
          <w:sz w:val="36"/>
          <w:szCs w:val="36"/>
        </w:rPr>
      </w:pPr>
      <w:r>
        <w:rPr>
          <w:rFonts w:hint="eastAsia" w:ascii="宋体" w:hAnsi="宋体" w:eastAsia="宋体" w:cs="宋体"/>
          <w:b/>
          <w:color w:val="auto"/>
          <w:sz w:val="36"/>
          <w:szCs w:val="36"/>
        </w:rPr>
        <w:t>采购人：</w:t>
      </w:r>
      <w:r>
        <w:rPr>
          <w:rFonts w:hint="eastAsia" w:ascii="宋体" w:hAnsi="宋体" w:eastAsia="宋体" w:cs="宋体"/>
          <w:b/>
          <w:color w:val="auto"/>
          <w:sz w:val="36"/>
          <w:szCs w:val="36"/>
          <w:lang w:eastAsia="zh-CN"/>
        </w:rPr>
        <w:t>泾阳县人民政府办公室</w:t>
      </w:r>
    </w:p>
    <w:p>
      <w:pPr>
        <w:keepNext w:val="0"/>
        <w:keepLines w:val="0"/>
        <w:pageBreakBefore w:val="0"/>
        <w:widowControl w:val="0"/>
        <w:kinsoku/>
        <w:wordWrap/>
        <w:overflowPunct/>
        <w:topLinePunct w:val="0"/>
        <w:bidi w:val="0"/>
        <w:spacing w:line="360" w:lineRule="auto"/>
        <w:ind w:firstLine="1446" w:firstLineChars="400"/>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rPr>
        <w:t>采购代理机构：</w:t>
      </w:r>
      <w:r>
        <w:rPr>
          <w:rFonts w:hint="eastAsia" w:ascii="宋体" w:hAnsi="宋体" w:eastAsia="宋体" w:cs="宋体"/>
          <w:b/>
          <w:bCs/>
          <w:color w:val="auto"/>
          <w:sz w:val="36"/>
          <w:szCs w:val="36"/>
          <w:highlight w:val="none"/>
          <w:lang w:val="en-US" w:eastAsia="zh-CN"/>
        </w:rPr>
        <w:t>泾阳县政府采购中心</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2891" w:firstLineChars="800"/>
        <w:jc w:val="both"/>
        <w:textAlignment w:val="auto"/>
        <w:rPr>
          <w:rFonts w:hint="eastAsia" w:ascii="宋体" w:hAnsi="宋体" w:eastAsia="宋体" w:cs="宋体"/>
          <w:b/>
          <w:bCs/>
          <w:color w:val="auto"/>
          <w:sz w:val="36"/>
          <w:szCs w:val="36"/>
          <w:lang w:val="zh-CN"/>
        </w:rPr>
      </w:pPr>
      <w:r>
        <w:rPr>
          <w:rFonts w:hint="eastAsia" w:ascii="宋体" w:hAnsi="宋体" w:eastAsia="宋体" w:cs="宋体"/>
          <w:b/>
          <w:color w:val="auto"/>
          <w:sz w:val="36"/>
          <w:szCs w:val="36"/>
        </w:rPr>
        <w:t>二〇二</w:t>
      </w:r>
      <w:r>
        <w:rPr>
          <w:rFonts w:hint="eastAsia" w:ascii="宋体" w:hAnsi="宋体" w:cs="宋体"/>
          <w:b/>
          <w:color w:val="auto"/>
          <w:sz w:val="36"/>
          <w:szCs w:val="36"/>
          <w:lang w:val="en-US" w:eastAsia="zh-CN"/>
        </w:rPr>
        <w:t>三</w:t>
      </w:r>
      <w:r>
        <w:rPr>
          <w:rFonts w:hint="eastAsia" w:ascii="宋体" w:hAnsi="宋体" w:eastAsia="宋体" w:cs="宋体"/>
          <w:b/>
          <w:color w:val="auto"/>
          <w:sz w:val="36"/>
          <w:szCs w:val="36"/>
        </w:rPr>
        <w:t>年</w:t>
      </w:r>
      <w:r>
        <w:rPr>
          <w:rFonts w:hint="eastAsia" w:ascii="宋体" w:hAnsi="宋体" w:eastAsia="宋体" w:cs="宋体"/>
          <w:b/>
          <w:color w:val="auto"/>
          <w:sz w:val="36"/>
          <w:szCs w:val="36"/>
          <w:lang w:val="en-US" w:eastAsia="zh-CN"/>
        </w:rPr>
        <w:t>十一</w:t>
      </w:r>
      <w:r>
        <w:rPr>
          <w:rFonts w:hint="eastAsia" w:ascii="宋体" w:hAnsi="宋体" w:eastAsia="宋体" w:cs="宋体"/>
          <w:b/>
          <w:color w:val="auto"/>
          <w:sz w:val="36"/>
          <w:szCs w:val="36"/>
        </w:rPr>
        <w:t>月</w:t>
      </w:r>
    </w:p>
    <w:p>
      <w:pPr>
        <w:autoSpaceDE w:val="0"/>
        <w:autoSpaceDN w:val="0"/>
        <w:adjustRightInd w:val="0"/>
        <w:snapToGrid w:val="0"/>
        <w:spacing w:line="360" w:lineRule="auto"/>
        <w:jc w:val="center"/>
        <w:rPr>
          <w:rFonts w:hint="eastAsia" w:ascii="宋体" w:hAnsi="宋体" w:eastAsia="宋体" w:cs="宋体"/>
          <w:b/>
          <w:bCs/>
          <w:color w:val="auto"/>
          <w:sz w:val="28"/>
          <w:szCs w:val="28"/>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Borders>
            <w:top w:val="none" w:sz="0" w:space="0"/>
            <w:left w:val="none" w:sz="0" w:space="0"/>
            <w:bottom w:val="none" w:sz="0" w:space="0"/>
            <w:right w:val="none" w:sz="0" w:space="0"/>
          </w:pgBorders>
          <w:pgNumType w:start="0"/>
          <w:cols w:space="425" w:num="1"/>
          <w:titlePg/>
          <w:docGrid w:linePitch="312" w:charSpace="0"/>
        </w:sectPr>
      </w:pPr>
    </w:p>
    <w:p>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目  录</w:t>
      </w:r>
    </w:p>
    <w:p>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pPr>
        <w:pStyle w:val="26"/>
        <w:tabs>
          <w:tab w:val="right" w:leader="dot" w:pos="9070"/>
          <w:tab w:val="clear" w:pos="9060"/>
        </w:tabs>
        <w:rPr>
          <w:rFonts w:hint="eastAsia" w:ascii="宋体" w:hAnsi="宋体" w:eastAsia="宋体" w:cs="宋体"/>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TOC \o "1-1" \h \z \u </w:instrText>
      </w:r>
      <w:r>
        <w:rPr>
          <w:rFonts w:hint="eastAsia" w:ascii="宋体" w:hAnsi="宋体" w:eastAsia="宋体" w:cs="宋体"/>
          <w:b/>
          <w:bCs/>
          <w:color w:val="auto"/>
          <w:sz w:val="24"/>
          <w:szCs w:val="24"/>
        </w:rPr>
        <w:fldChar w:fldCharType="separate"/>
      </w: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_Toc26529 </w:instrText>
      </w:r>
      <w:r>
        <w:rPr>
          <w:rFonts w:hint="eastAsia" w:ascii="宋体" w:hAnsi="宋体" w:eastAsia="宋体" w:cs="宋体"/>
          <w:bCs/>
          <w:color w:val="auto"/>
          <w:sz w:val="24"/>
          <w:szCs w:val="24"/>
        </w:rPr>
        <w:fldChar w:fldCharType="separate"/>
      </w:r>
      <w:r>
        <w:rPr>
          <w:rFonts w:hint="eastAsia" w:ascii="宋体" w:hAnsi="宋体" w:eastAsia="宋体" w:cs="宋体"/>
          <w:bCs/>
          <w:color w:val="auto"/>
          <w:sz w:val="24"/>
          <w:szCs w:val="24"/>
          <w:lang w:val="zh-CN"/>
        </w:rPr>
        <w:t xml:space="preserve">第一章 </w:t>
      </w:r>
      <w:r>
        <w:rPr>
          <w:rFonts w:hint="eastAsia" w:ascii="宋体" w:hAnsi="宋体" w:cs="宋体"/>
          <w:bCs/>
          <w:color w:val="auto"/>
          <w:sz w:val="24"/>
          <w:szCs w:val="24"/>
          <w:lang w:val="en-US" w:eastAsia="zh-CN"/>
        </w:rPr>
        <w:t xml:space="preserve"> </w:t>
      </w:r>
      <w:r>
        <w:rPr>
          <w:rFonts w:hint="eastAsia" w:ascii="宋体" w:hAnsi="宋体" w:eastAsia="宋体" w:cs="宋体"/>
          <w:bCs/>
          <w:color w:val="auto"/>
          <w:sz w:val="24"/>
          <w:szCs w:val="24"/>
          <w:lang w:val="zh-CN"/>
        </w:rPr>
        <w:t>单一来源邀请函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_Toc26529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6"/>
        <w:tabs>
          <w:tab w:val="right" w:leader="dot" w:pos="9070"/>
          <w:tab w:val="clear" w:pos="9060"/>
        </w:tabs>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_Toc16804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rPr>
        <w:t>第二章</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供应商须知前附表</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5</w:t>
      </w:r>
      <w:r>
        <w:rPr>
          <w:rFonts w:hint="eastAsia" w:ascii="宋体" w:hAnsi="宋体" w:eastAsia="宋体" w:cs="宋体"/>
          <w:bCs/>
          <w:color w:val="auto"/>
          <w:sz w:val="24"/>
          <w:szCs w:val="24"/>
        </w:rPr>
        <w:fldChar w:fldCharType="end"/>
      </w:r>
    </w:p>
    <w:p>
      <w:pPr>
        <w:pStyle w:val="26"/>
        <w:tabs>
          <w:tab w:val="right" w:leader="dot" w:pos="9070"/>
          <w:tab w:val="clear" w:pos="9060"/>
        </w:tabs>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_Toc3444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lang w:val="en-US" w:eastAsia="zh-CN"/>
        </w:rPr>
        <w:t xml:space="preserve">第三章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zh-CN"/>
        </w:rPr>
        <w:t>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_Toc3444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6"/>
        <w:tabs>
          <w:tab w:val="right" w:leader="dot" w:pos="9070"/>
          <w:tab w:val="clear" w:pos="9060"/>
        </w:tabs>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_Toc21220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lang w:val="en-US" w:eastAsia="zh-CN"/>
        </w:rPr>
        <w:t xml:space="preserve">第四章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评审办法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_Toc21220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26</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6"/>
        <w:tabs>
          <w:tab w:val="right" w:leader="dot" w:pos="9070"/>
          <w:tab w:val="clear" w:pos="9060"/>
        </w:tabs>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_Toc9383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lang w:val="zh-CN"/>
        </w:rPr>
        <w:t>第</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val="zh-CN"/>
        </w:rPr>
        <w:t>章</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内容及要求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_Toc9383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35</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6"/>
        <w:tabs>
          <w:tab w:val="right" w:leader="dot" w:pos="9070"/>
          <w:tab w:val="clear" w:pos="9060"/>
        </w:tabs>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_Toc13080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lang w:val="zh-CN"/>
        </w:rPr>
        <w:t>第</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val="zh-CN"/>
        </w:rPr>
        <w:t>章  商务要求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_Toc13080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37</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6"/>
        <w:tabs>
          <w:tab w:val="right" w:leader="dot" w:pos="9070"/>
          <w:tab w:val="clear" w:pos="9060"/>
        </w:tabs>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_Toc28721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lang w:val="zh-CN"/>
        </w:rPr>
        <w:t>第</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lang w:val="zh-CN"/>
        </w:rPr>
        <w:t>章  合同协议书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_Toc28721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39</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pStyle w:val="26"/>
        <w:tabs>
          <w:tab w:val="right" w:leader="dot" w:pos="9070"/>
          <w:tab w:val="clear" w:pos="9060"/>
        </w:tabs>
        <w:rPr>
          <w:rFonts w:hint="eastAsia" w:ascii="宋体" w:hAnsi="宋体" w:eastAsia="宋体" w:cs="宋体"/>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\l _Toc12872 </w:instrText>
      </w:r>
      <w:r>
        <w:rPr>
          <w:rFonts w:hint="eastAsia" w:ascii="宋体" w:hAnsi="宋体" w:eastAsia="宋体" w:cs="宋体"/>
          <w:bCs/>
          <w:color w:val="auto"/>
          <w:sz w:val="24"/>
          <w:szCs w:val="24"/>
        </w:rPr>
        <w:fldChar w:fldCharType="separate"/>
      </w:r>
      <w:r>
        <w:rPr>
          <w:rFonts w:hint="eastAsia" w:ascii="宋体" w:hAnsi="宋体" w:eastAsia="宋体" w:cs="宋体"/>
          <w:bCs/>
          <w:color w:val="auto"/>
          <w:sz w:val="24"/>
          <w:szCs w:val="24"/>
          <w:lang w:val="zh-CN"/>
        </w:rPr>
        <w:t>第</w:t>
      </w:r>
      <w:r>
        <w:rPr>
          <w:rFonts w:hint="eastAsia" w:ascii="宋体" w:hAnsi="宋体" w:eastAsia="宋体" w:cs="宋体"/>
          <w:bCs/>
          <w:color w:val="auto"/>
          <w:sz w:val="24"/>
          <w:szCs w:val="24"/>
          <w:lang w:val="en-US" w:eastAsia="zh-CN"/>
        </w:rPr>
        <w:t>八</w:t>
      </w:r>
      <w:r>
        <w:rPr>
          <w:rFonts w:hint="eastAsia" w:ascii="宋体" w:hAnsi="宋体" w:eastAsia="宋体" w:cs="宋体"/>
          <w:bCs/>
          <w:color w:val="auto"/>
          <w:sz w:val="24"/>
          <w:szCs w:val="24"/>
          <w:lang w:val="zh-CN"/>
        </w:rPr>
        <w:t>章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_Toc12872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rPr>
        <w:fldChar w:fldCharType="end"/>
      </w:r>
    </w:p>
    <w:p>
      <w:pPr>
        <w:autoSpaceDE w:val="0"/>
        <w:autoSpaceDN w:val="0"/>
        <w:adjustRightInd w:val="0"/>
        <w:snapToGrid w:val="0"/>
        <w:spacing w:line="360" w:lineRule="auto"/>
        <w:rPr>
          <w:rFonts w:hint="eastAsia" w:ascii="宋体" w:hAnsi="宋体" w:eastAsia="宋体" w:cs="宋体"/>
          <w:b/>
          <w:bCs/>
          <w:color w:val="auto"/>
          <w:sz w:val="28"/>
          <w:szCs w:val="28"/>
        </w:rPr>
      </w:pPr>
      <w:r>
        <w:rPr>
          <w:rFonts w:hint="eastAsia" w:ascii="宋体" w:hAnsi="宋体" w:eastAsia="宋体" w:cs="宋体"/>
          <w:bCs/>
          <w:color w:val="auto"/>
          <w:sz w:val="24"/>
          <w:szCs w:val="24"/>
        </w:rPr>
        <w:fldChar w:fldCharType="end"/>
      </w:r>
    </w:p>
    <w:p>
      <w:pPr>
        <w:autoSpaceDE w:val="0"/>
        <w:autoSpaceDN w:val="0"/>
        <w:adjustRightInd w:val="0"/>
        <w:snapToGrid w:val="0"/>
        <w:spacing w:line="360" w:lineRule="auto"/>
        <w:rPr>
          <w:rFonts w:hint="eastAsia" w:ascii="宋体" w:hAnsi="宋体" w:eastAsia="宋体" w:cs="宋体"/>
          <w:bCs/>
          <w:color w:val="auto"/>
          <w:sz w:val="28"/>
          <w:szCs w:val="28"/>
        </w:rPr>
      </w:pPr>
    </w:p>
    <w:p>
      <w:pPr>
        <w:autoSpaceDE w:val="0"/>
        <w:autoSpaceDN w:val="0"/>
        <w:adjustRightInd w:val="0"/>
        <w:spacing w:line="360" w:lineRule="auto"/>
        <w:rPr>
          <w:rFonts w:hint="eastAsia" w:ascii="宋体" w:hAnsi="宋体" w:eastAsia="宋体" w:cs="宋体"/>
          <w:b/>
          <w:bCs/>
          <w:color w:val="auto"/>
          <w:sz w:val="28"/>
          <w:szCs w:val="28"/>
          <w:lang w:eastAsia="zh-CN"/>
        </w:rPr>
      </w:pPr>
    </w:p>
    <w:p>
      <w:pPr>
        <w:autoSpaceDE w:val="0"/>
        <w:autoSpaceDN w:val="0"/>
        <w:adjustRightInd w:val="0"/>
        <w:jc w:val="left"/>
        <w:rPr>
          <w:rFonts w:hint="eastAsia" w:ascii="宋体" w:hAnsi="宋体" w:eastAsia="宋体" w:cs="宋体"/>
          <w:b/>
          <w:bCs/>
          <w:color w:val="auto"/>
          <w:sz w:val="28"/>
          <w:szCs w:val="28"/>
          <w:lang w:val="zh-CN"/>
        </w:rPr>
      </w:pPr>
    </w:p>
    <w:p>
      <w:pPr>
        <w:autoSpaceDE w:val="0"/>
        <w:autoSpaceDN w:val="0"/>
        <w:adjustRightInd w:val="0"/>
        <w:jc w:val="left"/>
        <w:rPr>
          <w:rFonts w:hint="eastAsia" w:ascii="宋体" w:hAnsi="宋体" w:eastAsia="宋体" w:cs="宋体"/>
          <w:b/>
          <w:bCs/>
          <w:color w:val="auto"/>
          <w:sz w:val="28"/>
          <w:szCs w:val="28"/>
          <w:lang w:val="zh-CN"/>
        </w:rPr>
      </w:pPr>
    </w:p>
    <w:p>
      <w:pPr>
        <w:autoSpaceDE w:val="0"/>
        <w:autoSpaceDN w:val="0"/>
        <w:adjustRightInd w:val="0"/>
        <w:jc w:val="left"/>
        <w:rPr>
          <w:rFonts w:hint="eastAsia" w:ascii="宋体" w:hAnsi="宋体" w:eastAsia="宋体" w:cs="宋体"/>
          <w:b/>
          <w:bCs/>
          <w:color w:val="auto"/>
          <w:sz w:val="28"/>
          <w:szCs w:val="28"/>
          <w:lang w:val="zh-CN"/>
        </w:rPr>
      </w:pPr>
    </w:p>
    <w:p>
      <w:pPr>
        <w:autoSpaceDE w:val="0"/>
        <w:autoSpaceDN w:val="0"/>
        <w:adjustRightInd w:val="0"/>
        <w:jc w:val="left"/>
        <w:rPr>
          <w:rFonts w:hint="eastAsia" w:ascii="宋体" w:hAnsi="宋体" w:eastAsia="宋体" w:cs="宋体"/>
          <w:b/>
          <w:bCs/>
          <w:color w:val="auto"/>
          <w:sz w:val="28"/>
          <w:szCs w:val="28"/>
          <w:lang w:val="zh-CN"/>
        </w:rPr>
      </w:pPr>
    </w:p>
    <w:p>
      <w:pPr>
        <w:autoSpaceDE w:val="0"/>
        <w:autoSpaceDN w:val="0"/>
        <w:adjustRightInd w:val="0"/>
        <w:jc w:val="left"/>
        <w:rPr>
          <w:rFonts w:hint="eastAsia" w:ascii="宋体" w:hAnsi="宋体" w:eastAsia="宋体" w:cs="宋体"/>
          <w:b/>
          <w:bCs/>
          <w:color w:val="auto"/>
          <w:sz w:val="28"/>
          <w:szCs w:val="28"/>
          <w:lang w:val="zh-CN"/>
        </w:rPr>
      </w:pPr>
    </w:p>
    <w:p>
      <w:pPr>
        <w:autoSpaceDE w:val="0"/>
        <w:autoSpaceDN w:val="0"/>
        <w:adjustRightInd w:val="0"/>
        <w:jc w:val="left"/>
        <w:rPr>
          <w:rFonts w:hint="eastAsia" w:ascii="宋体" w:hAnsi="宋体" w:eastAsia="宋体" w:cs="宋体"/>
          <w:b/>
          <w:bCs/>
          <w:color w:val="auto"/>
          <w:sz w:val="28"/>
          <w:szCs w:val="28"/>
          <w:lang w:val="zh-CN"/>
        </w:rPr>
      </w:pPr>
    </w:p>
    <w:p>
      <w:pPr>
        <w:autoSpaceDE w:val="0"/>
        <w:autoSpaceDN w:val="0"/>
        <w:adjustRightInd w:val="0"/>
        <w:snapToGrid w:val="0"/>
        <w:spacing w:line="360" w:lineRule="auto"/>
        <w:rPr>
          <w:rFonts w:hint="eastAsia" w:ascii="宋体" w:hAnsi="宋体" w:eastAsia="宋体" w:cs="宋体"/>
          <w:b/>
          <w:bCs/>
          <w:color w:val="auto"/>
          <w:sz w:val="28"/>
          <w:szCs w:val="28"/>
          <w:lang w:val="zh-CN"/>
        </w:rPr>
        <w:sectPr>
          <w:headerReference r:id="rId9" w:type="first"/>
          <w:footerReference r:id="rId10" w:type="first"/>
          <w:pgSz w:w="11906" w:h="16838"/>
          <w:pgMar w:top="1418" w:right="1418" w:bottom="1418" w:left="1418" w:header="851" w:footer="992" w:gutter="0"/>
          <w:pgBorders>
            <w:top w:val="none" w:sz="0" w:space="0"/>
            <w:left w:val="none" w:sz="0" w:space="0"/>
            <w:bottom w:val="none" w:sz="0" w:space="0"/>
            <w:right w:val="none" w:sz="0" w:space="0"/>
          </w:pgBorders>
          <w:pgNumType w:start="1"/>
          <w:cols w:space="425" w:num="1"/>
          <w:titlePg/>
          <w:docGrid w:linePitch="312" w:charSpace="0"/>
        </w:sectPr>
      </w:pPr>
    </w:p>
    <w:p>
      <w:pPr>
        <w:pStyle w:val="3"/>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32"/>
          <w:szCs w:val="21"/>
          <w:lang w:val="zh-CN"/>
        </w:rPr>
      </w:pPr>
      <w:bookmarkStart w:id="0" w:name="_Toc26529"/>
      <w:r>
        <w:rPr>
          <w:rFonts w:hint="eastAsia" w:ascii="宋体" w:hAnsi="宋体" w:eastAsia="宋体" w:cs="宋体"/>
          <w:b/>
          <w:bCs/>
          <w:color w:val="auto"/>
          <w:sz w:val="32"/>
          <w:szCs w:val="32"/>
          <w:lang w:val="zh-CN"/>
        </w:rPr>
        <w:t xml:space="preserve">第一章  </w:t>
      </w:r>
      <w:bookmarkEnd w:id="0"/>
      <w:r>
        <w:rPr>
          <w:rFonts w:hint="eastAsia" w:ascii="宋体" w:hAnsi="宋体" w:eastAsia="宋体" w:cs="宋体"/>
          <w:b/>
          <w:bCs/>
          <w:color w:val="auto"/>
          <w:sz w:val="32"/>
          <w:szCs w:val="32"/>
          <w:lang w:val="zh-CN"/>
        </w:rPr>
        <w:t>单一来源邀请函</w:t>
      </w:r>
    </w:p>
    <w:p>
      <w:pPr>
        <w:adjustRightInd w:val="0"/>
        <w:snapToGrid w:val="0"/>
        <w:spacing w:line="520" w:lineRule="exact"/>
        <w:rPr>
          <w:rFonts w:hint="eastAsia" w:ascii="宋体" w:hAnsi="宋体" w:eastAsia="宋体" w:cs="宋体"/>
          <w:sz w:val="24"/>
          <w:szCs w:val="24"/>
          <w:highlight w:val="none"/>
          <w:u w:val="single"/>
        </w:rPr>
      </w:pPr>
      <w:r>
        <w:rPr>
          <w:rFonts w:hint="eastAsia" w:ascii="宋体" w:hAnsi="宋体" w:eastAsia="宋体" w:cs="宋体"/>
          <w:b/>
          <w:bCs/>
          <w:sz w:val="24"/>
          <w:szCs w:val="24"/>
          <w:highlight w:val="none"/>
          <w:u w:val="single"/>
        </w:rPr>
        <w:t>中国电信股份有限公司咸阳分公司：</w:t>
      </w:r>
    </w:p>
    <w:p>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泾阳县县委、政府两院光纤使用费项目潜在的供应商可在泾阳县中心街402号财政局院内泾阳县政府采购中心</w:t>
      </w:r>
      <w:r>
        <w:rPr>
          <w:rFonts w:hint="eastAsia" w:ascii="宋体" w:hAnsi="宋体" w:eastAsia="宋体" w:cs="宋体"/>
          <w:color w:val="auto"/>
          <w:kern w:val="0"/>
          <w:sz w:val="24"/>
          <w:szCs w:val="24"/>
          <w:highlight w:val="none"/>
        </w:rPr>
        <w:t>获取采购文件</w:t>
      </w:r>
      <w:r>
        <w:rPr>
          <w:rFonts w:hint="eastAsia" w:ascii="宋体" w:hAnsi="宋体" w:eastAsia="宋体" w:cs="宋体"/>
          <w:sz w:val="24"/>
          <w:szCs w:val="24"/>
          <w:highlight w:val="none"/>
        </w:rPr>
        <w:t>，并于</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 xml:space="preserve"> 15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0:00前递交响应文件。</w:t>
      </w:r>
    </w:p>
    <w:p>
      <w:pPr>
        <w:adjustRightInd w:val="0"/>
        <w:snapToGrid w:val="0"/>
        <w:spacing w:line="52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一、项目基本情况：</w:t>
      </w:r>
    </w:p>
    <w:p>
      <w:pPr>
        <w:adjustRightInd w:val="0"/>
        <w:snapToGrid w:val="0"/>
        <w:spacing w:line="5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1、项目编号：ZFCG-泾阳县-2023-00009</w:t>
      </w:r>
    </w:p>
    <w:p>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2、项目名称：泾阳县县委、政府两院光纤使用费项目</w:t>
      </w:r>
    </w:p>
    <w:p>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3、预算金额：</w:t>
      </w:r>
      <w:r>
        <w:rPr>
          <w:rFonts w:hint="eastAsia" w:ascii="宋体" w:hAnsi="宋体" w:eastAsia="宋体" w:cs="宋体"/>
          <w:sz w:val="24"/>
          <w:szCs w:val="24"/>
          <w:highlight w:val="none"/>
          <w:lang w:eastAsia="zh-CN"/>
        </w:rPr>
        <w:t>人民币400000.00元；</w:t>
      </w:r>
    </w:p>
    <w:p>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4、最高限价：</w:t>
      </w:r>
      <w:r>
        <w:rPr>
          <w:rFonts w:hint="eastAsia" w:ascii="宋体" w:hAnsi="宋体" w:eastAsia="宋体" w:cs="宋体"/>
          <w:sz w:val="24"/>
          <w:szCs w:val="24"/>
          <w:highlight w:val="none"/>
          <w:lang w:eastAsia="zh-CN"/>
        </w:rPr>
        <w:t>人民币400000.00元</w:t>
      </w:r>
    </w:p>
    <w:p>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5、采购需求：泾阳县县委、政府两院光纤使用费项目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项</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采购预算：人民币400000.00元，采购内容：泾阳县县委、政府两院光纤使用费项目</w:t>
      </w:r>
      <w:r>
        <w:rPr>
          <w:rFonts w:hint="eastAsia" w:ascii="宋体" w:hAnsi="宋体" w:eastAsia="宋体" w:cs="宋体"/>
          <w:sz w:val="24"/>
          <w:szCs w:val="24"/>
          <w:highlight w:val="none"/>
          <w:lang w:val="en-US" w:eastAsia="zh-CN"/>
        </w:rPr>
        <w:t>一批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详细要求详见</w:t>
      </w:r>
      <w:r>
        <w:rPr>
          <w:rFonts w:hint="eastAsia" w:ascii="宋体" w:hAnsi="宋体" w:eastAsia="宋体" w:cs="宋体"/>
          <w:sz w:val="24"/>
          <w:szCs w:val="24"/>
          <w:highlight w:val="none"/>
          <w:lang w:val="en-US" w:eastAsia="zh-CN"/>
        </w:rPr>
        <w:t>单一来源谈判文件</w:t>
      </w:r>
      <w:r>
        <w:rPr>
          <w:rFonts w:hint="eastAsia" w:ascii="宋体" w:hAnsi="宋体" w:eastAsia="宋体" w:cs="宋体"/>
          <w:sz w:val="24"/>
          <w:szCs w:val="24"/>
          <w:highlight w:val="none"/>
        </w:rPr>
        <w:t>。简要技术要求、用途：</w:t>
      </w:r>
      <w:r>
        <w:rPr>
          <w:rFonts w:hint="eastAsia" w:ascii="宋体" w:hAnsi="宋体" w:eastAsia="宋体" w:cs="宋体"/>
          <w:sz w:val="24"/>
          <w:szCs w:val="24"/>
          <w:highlight w:val="none"/>
          <w:lang w:eastAsia="zh-CN"/>
        </w:rPr>
        <w:t>自用；</w:t>
      </w:r>
    </w:p>
    <w:p>
      <w:pPr>
        <w:adjustRightInd w:val="0"/>
        <w:snapToGrid w:val="0"/>
        <w:spacing w:line="5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6、合同履行期限：自合同签订之日起一年</w:t>
      </w:r>
      <w:r>
        <w:rPr>
          <w:rFonts w:hint="eastAsia" w:ascii="宋体" w:hAnsi="宋体" w:eastAsia="宋体" w:cs="宋体"/>
          <w:sz w:val="24"/>
          <w:szCs w:val="24"/>
          <w:highlight w:val="none"/>
          <w:lang w:val="en-US" w:eastAsia="zh-CN"/>
        </w:rPr>
        <w:t>。</w:t>
      </w:r>
    </w:p>
    <w:p>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7、本项目是否接受联合体投标：否</w:t>
      </w:r>
    </w:p>
    <w:p>
      <w:pPr>
        <w:adjustRightInd w:val="0"/>
        <w:snapToGrid w:val="0"/>
        <w:spacing w:line="52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二、响应供应商的资格要求</w:t>
      </w:r>
    </w:p>
    <w:p>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w:t>
      </w:r>
      <w:r>
        <w:rPr>
          <w:rFonts w:hint="eastAsia" w:ascii="宋体" w:hAnsi="宋体" w:eastAsia="宋体" w:cs="宋体"/>
          <w:color w:val="auto"/>
          <w:kern w:val="0"/>
          <w:sz w:val="24"/>
          <w:szCs w:val="24"/>
          <w:highlight w:val="none"/>
          <w:lang w:eastAsia="zh-CN"/>
        </w:rPr>
        <w:t>本项目为非</w:t>
      </w:r>
      <w:r>
        <w:rPr>
          <w:rFonts w:hint="eastAsia" w:ascii="宋体" w:hAnsi="宋体" w:eastAsia="宋体" w:cs="宋体"/>
          <w:color w:val="auto"/>
          <w:kern w:val="0"/>
          <w:sz w:val="24"/>
          <w:szCs w:val="24"/>
          <w:highlight w:val="none"/>
          <w:lang w:val="en-US" w:eastAsia="zh-CN"/>
        </w:rPr>
        <w:t>专门</w:t>
      </w:r>
      <w:r>
        <w:rPr>
          <w:rFonts w:hint="eastAsia" w:ascii="宋体" w:hAnsi="宋体" w:eastAsia="宋体" w:cs="宋体"/>
          <w:color w:val="auto"/>
          <w:kern w:val="0"/>
          <w:sz w:val="24"/>
          <w:szCs w:val="24"/>
          <w:highlight w:val="none"/>
          <w:lang w:eastAsia="zh-CN"/>
        </w:rPr>
        <w:t>面向中小企业采购项目。</w:t>
      </w:r>
    </w:p>
    <w:p>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3、本项目的特定资格要求如下：</w:t>
      </w:r>
    </w:p>
    <w:p>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（1）具有独立承担民事责任能力的法人、其他组织或自然人，并出具合法有效的营业执照或事业单位法人证书等国家规定的相关证明，自然人参与的提供其身份证明；</w:t>
      </w:r>
    </w:p>
    <w:p>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（2）供应商应授权合法的人员参加</w:t>
      </w:r>
      <w:r>
        <w:rPr>
          <w:rFonts w:hint="eastAsia" w:ascii="宋体" w:hAnsi="宋体" w:eastAsia="宋体" w:cs="宋体"/>
          <w:sz w:val="24"/>
          <w:szCs w:val="24"/>
          <w:highlight w:val="none"/>
          <w:lang w:val="en-US" w:eastAsia="zh-CN"/>
        </w:rPr>
        <w:t>谈判</w:t>
      </w:r>
      <w:r>
        <w:rPr>
          <w:rFonts w:hint="eastAsia" w:ascii="宋体" w:hAnsi="宋体" w:eastAsia="宋体" w:cs="宋体"/>
          <w:sz w:val="24"/>
          <w:szCs w:val="24"/>
          <w:highlight w:val="none"/>
        </w:rPr>
        <w:t>全过程，其中法定代表人直接参加谈判的，须出具法定代表人身份证明及法人身份证原件及复印件，法定代表人授权代表参加谈判的，须出具法定代表人授权书及授权代表身份证原件及复印件；</w:t>
      </w:r>
    </w:p>
    <w:p>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（3）供应商不得为列入信用中国(www.creditchina.gov.cn)记录失信被执行人或重大税收违法案件当事人名单或中国政府采购网(www.ccgp.gov.cn)的政府采购严重违法失信行为记录名单；</w:t>
      </w:r>
    </w:p>
    <w:p>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（4）与招标人存在利害关系可能影响招标公正性的单位，不得参加投标、单位负责人为同一人或存在控股、管理关系的不同单位，不得参加同一标段投标，否则，相关投标均无效；</w:t>
      </w:r>
    </w:p>
    <w:p>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（5）本项目不允许联合体</w:t>
      </w:r>
      <w:r>
        <w:rPr>
          <w:rFonts w:hint="eastAsia" w:ascii="宋体" w:hAnsi="宋体" w:eastAsia="宋体" w:cs="宋体"/>
          <w:sz w:val="24"/>
          <w:szCs w:val="24"/>
          <w:highlight w:val="none"/>
          <w:lang w:val="en-US" w:eastAsia="zh-CN"/>
        </w:rPr>
        <w:t>谈判</w:t>
      </w:r>
      <w:r>
        <w:rPr>
          <w:rFonts w:hint="eastAsia" w:ascii="宋体" w:hAnsi="宋体" w:eastAsia="宋体" w:cs="宋体"/>
          <w:sz w:val="24"/>
          <w:szCs w:val="24"/>
          <w:highlight w:val="none"/>
        </w:rPr>
        <w:t>。</w:t>
      </w:r>
    </w:p>
    <w:p>
      <w:pPr>
        <w:adjustRightInd w:val="0"/>
        <w:snapToGrid w:val="0"/>
        <w:spacing w:line="52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三、采购文件的获取方式</w:t>
      </w:r>
    </w:p>
    <w:p>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时间：2023年11月</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日至2023年11月1</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日，每天上午09:00:00至12:00:00，下午14:30:00至17:00:00（北京时间）</w:t>
      </w:r>
    </w:p>
    <w:p>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地点：泾阳县中心街402号财政局院内泾阳县政府采购中心</w:t>
      </w:r>
    </w:p>
    <w:p>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方式：现场获取</w:t>
      </w:r>
    </w:p>
    <w:p>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售价：0元</w:t>
      </w:r>
    </w:p>
    <w:p>
      <w:pPr>
        <w:adjustRightInd w:val="0"/>
        <w:snapToGrid w:val="0"/>
        <w:spacing w:line="52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四、响应文件递交</w:t>
      </w:r>
    </w:p>
    <w:p>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截止时间：2023年1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日 15时00分00秒（北京时间）</w:t>
      </w:r>
    </w:p>
    <w:p>
      <w:pPr>
        <w:adjustRightInd w:val="0"/>
        <w:snapToGrid w:val="0"/>
        <w:spacing w:line="5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地点：泾阳县中心街402号财政局院内泾阳县政府采购中心</w:t>
      </w:r>
    </w:p>
    <w:p>
      <w:pPr>
        <w:adjustRightInd w:val="0"/>
        <w:snapToGrid w:val="0"/>
        <w:spacing w:line="52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五、开启</w:t>
      </w:r>
    </w:p>
    <w:p>
      <w:pPr>
        <w:adjustRightInd w:val="0"/>
        <w:snapToGrid w:val="0"/>
        <w:spacing w:line="52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时间：</w:t>
      </w:r>
      <w:r>
        <w:rPr>
          <w:rFonts w:hint="eastAsia" w:ascii="宋体" w:hAnsi="宋体" w:eastAsia="宋体" w:cs="宋体"/>
          <w:sz w:val="24"/>
          <w:szCs w:val="24"/>
          <w:highlight w:val="none"/>
        </w:rPr>
        <w:t>2023年1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日 15时00分00秒</w:t>
      </w:r>
      <w:r>
        <w:rPr>
          <w:rFonts w:hint="eastAsia" w:ascii="宋体" w:hAnsi="宋体" w:eastAsia="宋体" w:cs="宋体"/>
          <w:b w:val="0"/>
          <w:bCs w:val="0"/>
          <w:sz w:val="24"/>
          <w:szCs w:val="24"/>
          <w:highlight w:val="none"/>
        </w:rPr>
        <w:t>（北京时间）</w:t>
      </w:r>
    </w:p>
    <w:p>
      <w:pPr>
        <w:adjustRightInd w:val="0"/>
        <w:snapToGrid w:val="0"/>
        <w:spacing w:line="52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地点：泾阳县中心街402号财政局院内泾阳县政府采购中心 </w:t>
      </w:r>
    </w:p>
    <w:p>
      <w:pPr>
        <w:adjustRightInd w:val="0"/>
        <w:snapToGrid w:val="0"/>
        <w:spacing w:line="52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六、公告期限</w:t>
      </w:r>
    </w:p>
    <w:p>
      <w:pPr>
        <w:adjustRightInd w:val="0"/>
        <w:snapToGrid w:val="0"/>
        <w:spacing w:line="520" w:lineRule="exact"/>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自本公告发布之日起3个工作日。</w:t>
      </w:r>
    </w:p>
    <w:p>
      <w:pPr>
        <w:adjustRightInd w:val="0"/>
        <w:snapToGrid w:val="0"/>
        <w:spacing w:line="52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rPr>
        <w:t>、其他补充事宜</w:t>
      </w:r>
    </w:p>
    <w:p>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1、领取</w:t>
      </w:r>
      <w:r>
        <w:rPr>
          <w:rFonts w:hint="eastAsia" w:ascii="宋体" w:hAnsi="宋体" w:eastAsia="宋体" w:cs="宋体"/>
          <w:sz w:val="24"/>
          <w:szCs w:val="24"/>
          <w:highlight w:val="none"/>
          <w:lang w:eastAsia="zh-CN"/>
        </w:rPr>
        <w:t>单一来源谈判</w:t>
      </w:r>
      <w:r>
        <w:rPr>
          <w:rFonts w:hint="eastAsia" w:ascii="宋体" w:hAnsi="宋体" w:eastAsia="宋体" w:cs="宋体"/>
          <w:sz w:val="24"/>
          <w:szCs w:val="24"/>
          <w:highlight w:val="none"/>
        </w:rPr>
        <w:t>文件时须携带单位介绍信及经办人身份证复印件加盖公章至泾阳县中心街402号财政局院内泾阳县政府采购中心；现</w:t>
      </w:r>
      <w:r>
        <w:rPr>
          <w:rFonts w:hint="eastAsia" w:ascii="宋体" w:hAnsi="宋体" w:eastAsia="宋体" w:cs="宋体"/>
          <w:sz w:val="24"/>
          <w:szCs w:val="24"/>
          <w:highlight w:val="none"/>
          <w:lang w:eastAsia="zh-CN"/>
        </w:rPr>
        <w:t>场领取采购文件，不提供邮寄；电子文件通过U盘拷贝或QQ 邮箱发送。</w:t>
      </w:r>
    </w:p>
    <w:p>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、本项目需要落实的政府采购政策：</w:t>
      </w:r>
    </w:p>
    <w:p>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（1）《政府采购促进中小企业发展管理办法》（财库〔2020〕46号）；</w:t>
      </w:r>
    </w:p>
    <w:p>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（2）《财政部司法部关于政府采购支持监狱企业发展有关问题的通知》（财库〔2014〕68号）；</w:t>
      </w:r>
    </w:p>
    <w:p>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（3）《国务院办公厅关于建立政府强制采购节能产品制度的通知》（国办发〔2007〕51号）；</w:t>
      </w:r>
    </w:p>
    <w:p>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（4）《环境标志产品政府采购实施的意见》（财库〔2006〕90号）；</w:t>
      </w:r>
    </w:p>
    <w:p>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（5）《关于促进残疾人就业政府采购政策的通知》财库〔2017〕141号；</w:t>
      </w:r>
    </w:p>
    <w:p>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（6）《财政部国家发展改革委关于印发〈节能产品政府采购实施意见〉的通知》（财库〔2004〕185号）；</w:t>
      </w:r>
    </w:p>
    <w:p>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（7）《财政部发展改革委生态环境部市场监管总局关于调整优化节能产品、环境标志产品政府采购执行机制的通知》（财库〔2019〕9号）；</w:t>
      </w:r>
    </w:p>
    <w:p>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（8）《关于印发环境标志产品政府采购品目清单的通知》（财库〔2019〕18号）；</w:t>
      </w:r>
    </w:p>
    <w:p>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（9）《关于印发节能产品政府采购品目清单的通知》（财库〔2019〕19号）；</w:t>
      </w:r>
    </w:p>
    <w:p>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（10）《关于运用政府采购政策支持乡村产业振兴的通知》（财库〔2021〕19号）；</w:t>
      </w:r>
    </w:p>
    <w:p>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（11）《陕西省中小企业政府采购信用融资办法》（陕财办采〔2018〕23号）；</w:t>
      </w:r>
    </w:p>
    <w:p>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（12）《陕西省财政厅关于加快推进我省中小企业政府采购信用融资工作的通知》（陕财办采〔2020〕15号）；</w:t>
      </w:r>
    </w:p>
    <w:p>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（13）《财政部关于在政府采购活动中查询及使用信用记录有关问题的通知》（财库〔2016〕125号）；</w:t>
      </w:r>
    </w:p>
    <w:p>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（14）《财政部关于进一步加大政府采购支持中小企业力度的通知》（财库〔2022〕19号）；</w:t>
      </w:r>
    </w:p>
    <w:p>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（15）其他落实的政府采购政策。若享受以上政策优惠的企业，需提供相应声明函或品目清单范围内产品的有效认证证书。</w:t>
      </w:r>
    </w:p>
    <w:p>
      <w:pPr>
        <w:adjustRightInd w:val="0"/>
        <w:snapToGrid w:val="0"/>
        <w:spacing w:line="52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八</w:t>
      </w:r>
      <w:r>
        <w:rPr>
          <w:rFonts w:hint="eastAsia" w:ascii="宋体" w:hAnsi="宋体" w:eastAsia="宋体" w:cs="宋体"/>
          <w:b/>
          <w:bCs/>
          <w:sz w:val="24"/>
          <w:szCs w:val="24"/>
          <w:highlight w:val="none"/>
        </w:rPr>
        <w:t>、对本次采购提出询问，请按以下方式联系</w:t>
      </w:r>
    </w:p>
    <w:p>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名称：泾阳县人民政府办公室</w:t>
      </w:r>
      <w:r>
        <w:rPr>
          <w:rFonts w:hint="eastAsia" w:ascii="宋体" w:hAnsi="宋体" w:eastAsia="宋体" w:cs="宋体"/>
          <w:sz w:val="24"/>
          <w:szCs w:val="24"/>
          <w:highlight w:val="none"/>
          <w:lang w:val="en-US" w:eastAsia="zh-CN"/>
        </w:rPr>
        <w:t xml:space="preserve"> </w:t>
      </w:r>
    </w:p>
    <w:p>
      <w:pPr>
        <w:adjustRightInd w:val="0"/>
        <w:snapToGrid w:val="0"/>
        <w:spacing w:line="5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地址：泾阳县中心街190号</w:t>
      </w:r>
      <w:r>
        <w:rPr>
          <w:rFonts w:hint="eastAsia" w:ascii="宋体" w:hAnsi="宋体" w:eastAsia="宋体" w:cs="宋体"/>
          <w:sz w:val="24"/>
          <w:szCs w:val="24"/>
          <w:highlight w:val="none"/>
          <w:lang w:val="en-US" w:eastAsia="zh-CN"/>
        </w:rPr>
        <w:t xml:space="preserve">                    </w:t>
      </w:r>
    </w:p>
    <w:p>
      <w:pPr>
        <w:adjustRightInd w:val="0"/>
        <w:snapToGrid w:val="0"/>
        <w:spacing w:line="5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联系方式：029-36210188</w:t>
      </w:r>
    </w:p>
    <w:p>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、采购代理机构信息</w:t>
      </w:r>
    </w:p>
    <w:p>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名称：泾阳县政府采购中心 </w:t>
      </w:r>
    </w:p>
    <w:p>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地址：咸阳市泾阳县中心街402号</w:t>
      </w:r>
    </w:p>
    <w:p>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联系方式：029-36223975</w:t>
      </w:r>
    </w:p>
    <w:p>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、项目联系方式</w:t>
      </w:r>
    </w:p>
    <w:p>
      <w:pPr>
        <w:adjustRightInd w:val="0"/>
        <w:snapToGrid w:val="0"/>
        <w:spacing w:line="5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val="en-US" w:eastAsia="zh-CN"/>
        </w:rPr>
        <w:t>赵工</w:t>
      </w:r>
    </w:p>
    <w:p>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联系方式：029-36223975</w:t>
      </w: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rPr>
      </w:pPr>
    </w:p>
    <w:p>
      <w:pPr>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3"/>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en-US" w:eastAsia="zh-CN"/>
        </w:rPr>
        <w:t>第二章 供应商须知前附表</w:t>
      </w:r>
    </w:p>
    <w:p>
      <w:pPr>
        <w:numPr>
          <w:ilvl w:val="0"/>
          <w:numId w:val="0"/>
        </w:numPr>
        <w:rPr>
          <w:rFonts w:hint="eastAsia" w:ascii="宋体" w:hAnsi="宋体" w:eastAsia="宋体" w:cs="宋体"/>
          <w:color w:val="auto"/>
          <w:lang w:eastAsia="zh-CN"/>
        </w:rPr>
      </w:pPr>
    </w:p>
    <w:tbl>
      <w:tblPr>
        <w:tblStyle w:val="36"/>
        <w:tblW w:w="98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845"/>
        <w:gridCol w:w="72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801" w:type="dxa"/>
            <w:vAlign w:val="center"/>
          </w:tcPr>
          <w:p>
            <w:pPr>
              <w:pStyle w:val="120"/>
              <w:keepNext w:val="0"/>
              <w:keepLines w:val="0"/>
              <w:pageBreakBefore w:val="0"/>
              <w:kinsoku/>
              <w:wordWrap/>
              <w:overflowPunct/>
              <w:topLinePunct w:val="0"/>
              <w:bidi w:val="0"/>
              <w:snapToGrid/>
              <w:spacing w:line="440" w:lineRule="exact"/>
              <w:ind w:left="9"/>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845" w:type="dxa"/>
            <w:vAlign w:val="center"/>
          </w:tcPr>
          <w:p>
            <w:pPr>
              <w:pStyle w:val="120"/>
              <w:keepNext w:val="0"/>
              <w:keepLines w:val="0"/>
              <w:pageBreakBefore w:val="0"/>
              <w:kinsoku/>
              <w:wordWrap/>
              <w:overflowPunct/>
              <w:topLinePunct w:val="0"/>
              <w:bidi w:val="0"/>
              <w:snapToGrid/>
              <w:spacing w:line="440" w:lineRule="exact"/>
              <w:ind w:left="-114"/>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条款名称</w:t>
            </w:r>
          </w:p>
        </w:tc>
        <w:tc>
          <w:tcPr>
            <w:tcW w:w="7227"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845"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w:t>
            </w:r>
          </w:p>
        </w:tc>
        <w:tc>
          <w:tcPr>
            <w:tcW w:w="722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rPr>
              <w:t>：泾阳县人民政府办公室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  址：泾阳县中心街190号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联系人：刘欢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话：029-36210188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845" w:type="dxa"/>
            <w:vAlign w:val="center"/>
          </w:tcPr>
          <w:p>
            <w:pPr>
              <w:pStyle w:val="120"/>
              <w:keepNext w:val="0"/>
              <w:keepLines w:val="0"/>
              <w:pageBreakBefore w:val="0"/>
              <w:kinsoku/>
              <w:wordWrap/>
              <w:overflowPunct/>
              <w:topLinePunct w:val="0"/>
              <w:bidi w:val="0"/>
              <w:snapToGrid/>
              <w:spacing w:line="44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w:t>
            </w:r>
          </w:p>
        </w:tc>
        <w:tc>
          <w:tcPr>
            <w:tcW w:w="722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名  称：泾阳县政府采购中心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地  址：咸阳市泾阳县中心街402号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联系人：</w:t>
            </w:r>
            <w:r>
              <w:rPr>
                <w:rFonts w:hint="eastAsia" w:ascii="宋体" w:hAnsi="宋体" w:cs="宋体"/>
                <w:color w:val="auto"/>
                <w:sz w:val="24"/>
                <w:szCs w:val="24"/>
                <w:lang w:val="en-US" w:eastAsia="zh-CN"/>
              </w:rPr>
              <w:t>赵</w:t>
            </w:r>
            <w:r>
              <w:rPr>
                <w:rFonts w:hint="eastAsia" w:ascii="宋体" w:hAnsi="宋体" w:eastAsia="宋体" w:cs="宋体"/>
                <w:color w:val="auto"/>
                <w:sz w:val="24"/>
                <w:szCs w:val="24"/>
                <w:lang w:val="en-US"/>
              </w:rPr>
              <w:t>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电  话：029-36223975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w:t>
            </w:r>
          </w:p>
        </w:tc>
        <w:tc>
          <w:tcPr>
            <w:tcW w:w="1845" w:type="dxa"/>
            <w:vAlign w:val="center"/>
          </w:tcPr>
          <w:p>
            <w:pPr>
              <w:pStyle w:val="120"/>
              <w:keepNext w:val="0"/>
              <w:keepLines w:val="0"/>
              <w:pageBreakBefore w:val="0"/>
              <w:kinsoku/>
              <w:wordWrap/>
              <w:overflowPunct/>
              <w:topLinePunct w:val="0"/>
              <w:bidi w:val="0"/>
              <w:snapToGrid/>
              <w:spacing w:line="440" w:lineRule="exact"/>
              <w:ind w:left="38"/>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项目名称</w:t>
            </w:r>
          </w:p>
        </w:tc>
        <w:tc>
          <w:tcPr>
            <w:tcW w:w="7227" w:type="dxa"/>
            <w:vAlign w:val="center"/>
          </w:tcPr>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泾阳县县委、政府两院光纤使用费项目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p>
        </w:tc>
        <w:tc>
          <w:tcPr>
            <w:tcW w:w="1845" w:type="dxa"/>
            <w:vAlign w:val="center"/>
          </w:tcPr>
          <w:p>
            <w:pPr>
              <w:pStyle w:val="120"/>
              <w:keepNext w:val="0"/>
              <w:keepLines w:val="0"/>
              <w:pageBreakBefore w:val="0"/>
              <w:kinsoku/>
              <w:wordWrap/>
              <w:overflowPunct/>
              <w:topLinePunct w:val="0"/>
              <w:bidi w:val="0"/>
              <w:snapToGrid/>
              <w:spacing w:line="44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tc>
        <w:tc>
          <w:tcPr>
            <w:tcW w:w="7227" w:type="dxa"/>
            <w:vAlign w:val="center"/>
          </w:tcPr>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ZFCG-泾阳县-2023-00009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p>
        </w:tc>
        <w:tc>
          <w:tcPr>
            <w:tcW w:w="1845" w:type="dxa"/>
            <w:vAlign w:val="center"/>
          </w:tcPr>
          <w:p>
            <w:pPr>
              <w:pStyle w:val="120"/>
              <w:keepNext w:val="0"/>
              <w:keepLines w:val="0"/>
              <w:pageBreakBefore w:val="0"/>
              <w:kinsoku/>
              <w:wordWrap/>
              <w:overflowPunct/>
              <w:topLinePunct w:val="0"/>
              <w:bidi w:val="0"/>
              <w:snapToGrid/>
              <w:spacing w:line="440" w:lineRule="exact"/>
              <w:ind w:left="38"/>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采购内容</w:t>
            </w:r>
          </w:p>
        </w:tc>
        <w:tc>
          <w:tcPr>
            <w:tcW w:w="7227" w:type="dxa"/>
            <w:vAlign w:val="center"/>
          </w:tcPr>
          <w:p>
            <w:pPr>
              <w:pStyle w:val="120"/>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县委、政府两院光纤,</w:t>
            </w:r>
            <w:r>
              <w:rPr>
                <w:rFonts w:hint="eastAsia" w:ascii="宋体" w:hAnsi="宋体" w:eastAsia="宋体" w:cs="宋体"/>
                <w:color w:val="auto"/>
                <w:sz w:val="24"/>
                <w:szCs w:val="24"/>
              </w:rPr>
              <w:t>内容详见</w:t>
            </w:r>
            <w:r>
              <w:rPr>
                <w:rFonts w:hint="eastAsia" w:ascii="宋体" w:hAnsi="宋体" w:eastAsia="宋体" w:cs="宋体"/>
                <w:color w:val="auto"/>
                <w:sz w:val="24"/>
                <w:szCs w:val="24"/>
                <w:lang w:val="en-US" w:eastAsia="zh-CN"/>
              </w:rPr>
              <w:t>单一来源文件</w:t>
            </w:r>
            <w:r>
              <w:rPr>
                <w:rFonts w:hint="eastAsia" w:ascii="宋体" w:hAnsi="宋体" w:eastAsia="宋体" w:cs="宋体"/>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845" w:type="dxa"/>
            <w:vAlign w:val="center"/>
          </w:tcPr>
          <w:p>
            <w:pPr>
              <w:pStyle w:val="120"/>
              <w:keepNext w:val="0"/>
              <w:keepLines w:val="0"/>
              <w:pageBreakBefore w:val="0"/>
              <w:kinsoku/>
              <w:wordWrap/>
              <w:overflowPunct/>
              <w:topLinePunct w:val="0"/>
              <w:bidi w:val="0"/>
              <w:snapToGrid/>
              <w:spacing w:line="440" w:lineRule="exact"/>
              <w:ind w:left="96"/>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采购预算</w:t>
            </w:r>
          </w:p>
        </w:tc>
        <w:tc>
          <w:tcPr>
            <w:tcW w:w="7227" w:type="dxa"/>
            <w:vAlign w:val="center"/>
          </w:tcPr>
          <w:p>
            <w:pPr>
              <w:pStyle w:val="120"/>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400000.00元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845" w:type="dxa"/>
            <w:vAlign w:val="center"/>
          </w:tcPr>
          <w:p>
            <w:pPr>
              <w:pStyle w:val="120"/>
              <w:keepNext w:val="0"/>
              <w:keepLines w:val="0"/>
              <w:pageBreakBefore w:val="0"/>
              <w:kinsoku/>
              <w:wordWrap/>
              <w:overflowPunct/>
              <w:topLinePunct w:val="0"/>
              <w:bidi w:val="0"/>
              <w:snapToGrid/>
              <w:spacing w:line="440" w:lineRule="exact"/>
              <w:ind w:left="96"/>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w:t>
            </w:r>
          </w:p>
        </w:tc>
        <w:tc>
          <w:tcPr>
            <w:tcW w:w="7227" w:type="dxa"/>
            <w:vAlign w:val="center"/>
          </w:tcPr>
          <w:p>
            <w:pPr>
              <w:pStyle w:val="120"/>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400000.00元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845" w:type="dxa"/>
            <w:vAlign w:val="center"/>
          </w:tcPr>
          <w:p>
            <w:pPr>
              <w:pStyle w:val="120"/>
              <w:keepNext w:val="0"/>
              <w:keepLines w:val="0"/>
              <w:pageBreakBefore w:val="0"/>
              <w:kinsoku/>
              <w:wordWrap/>
              <w:overflowPunct/>
              <w:topLinePunct w:val="0"/>
              <w:bidi w:val="0"/>
              <w:snapToGrid/>
              <w:spacing w:line="440" w:lineRule="exact"/>
              <w:ind w:firstLine="240" w:firstLineChars="1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 务 期</w:t>
            </w:r>
          </w:p>
        </w:tc>
        <w:tc>
          <w:tcPr>
            <w:tcW w:w="7227" w:type="dxa"/>
            <w:vAlign w:val="center"/>
          </w:tcPr>
          <w:p>
            <w:pPr>
              <w:pStyle w:val="120"/>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自合同签订之日起一年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845" w:type="dxa"/>
            <w:vAlign w:val="center"/>
          </w:tcPr>
          <w:p>
            <w:pPr>
              <w:pStyle w:val="120"/>
              <w:keepNext w:val="0"/>
              <w:keepLines w:val="0"/>
              <w:pageBreakBefore w:val="0"/>
              <w:kinsoku/>
              <w:wordWrap/>
              <w:overflowPunct/>
              <w:topLinePunct w:val="0"/>
              <w:bidi w:val="0"/>
              <w:snapToGrid/>
              <w:spacing w:line="440" w:lineRule="exact"/>
              <w:ind w:left="96"/>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质量要求、验收标准</w:t>
            </w:r>
          </w:p>
        </w:tc>
        <w:tc>
          <w:tcPr>
            <w:tcW w:w="7227" w:type="dxa"/>
            <w:vAlign w:val="center"/>
          </w:tcPr>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质量要求：达到国家现行技术标准。</w:t>
            </w:r>
          </w:p>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验收标准：国家标准、行业标准、企业标准。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845" w:type="dxa"/>
            <w:vAlign w:val="center"/>
          </w:tcPr>
          <w:p>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eastAsia="zh-CN"/>
              </w:rPr>
              <w:t>单一来源文件</w:t>
            </w:r>
            <w:r>
              <w:rPr>
                <w:rFonts w:hint="eastAsia" w:ascii="宋体" w:hAnsi="宋体" w:eastAsia="宋体" w:cs="宋体"/>
                <w:color w:val="auto"/>
                <w:sz w:val="24"/>
                <w:szCs w:val="24"/>
                <w:highlight w:val="none"/>
              </w:rPr>
              <w:t>发售</w:t>
            </w:r>
          </w:p>
        </w:tc>
        <w:tc>
          <w:tcPr>
            <w:tcW w:w="7227" w:type="dxa"/>
            <w:vAlign w:val="center"/>
          </w:tcPr>
          <w:p>
            <w:pPr>
              <w:pStyle w:val="127"/>
              <w:keepNext w:val="0"/>
              <w:keepLines w:val="0"/>
              <w:pageBreakBefore w:val="0"/>
              <w:kinsoku/>
              <w:wordWrap/>
              <w:overflowPunct/>
              <w:topLinePunct w:val="0"/>
              <w:autoSpaceDE/>
              <w:autoSpaceDN/>
              <w:bidi w:val="0"/>
              <w:adjustRightInd/>
              <w:snapToGrid/>
              <w:spacing w:line="44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w w:val="100"/>
                <w:sz w:val="24"/>
                <w:szCs w:val="24"/>
                <w:highlight w:val="none"/>
              </w:rPr>
              <w:t>发售时间：2023年11月1</w:t>
            </w:r>
            <w:r>
              <w:rPr>
                <w:rFonts w:hint="eastAsia" w:ascii="宋体" w:hAnsi="宋体" w:cs="宋体"/>
                <w:color w:val="auto"/>
                <w:spacing w:val="-6"/>
                <w:w w:val="100"/>
                <w:sz w:val="24"/>
                <w:szCs w:val="24"/>
                <w:highlight w:val="none"/>
                <w:lang w:val="en-US" w:eastAsia="zh-CN"/>
              </w:rPr>
              <w:t>4</w:t>
            </w:r>
            <w:r>
              <w:rPr>
                <w:rFonts w:hint="eastAsia" w:ascii="宋体" w:hAnsi="宋体" w:eastAsia="宋体" w:cs="宋体"/>
                <w:color w:val="auto"/>
                <w:spacing w:val="-6"/>
                <w:w w:val="100"/>
                <w:sz w:val="24"/>
                <w:szCs w:val="24"/>
                <w:highlight w:val="none"/>
              </w:rPr>
              <w:t>日至2023年11月1</w:t>
            </w:r>
            <w:r>
              <w:rPr>
                <w:rFonts w:hint="eastAsia" w:ascii="宋体" w:hAnsi="宋体" w:cs="宋体"/>
                <w:color w:val="auto"/>
                <w:spacing w:val="-6"/>
                <w:w w:val="100"/>
                <w:sz w:val="24"/>
                <w:szCs w:val="24"/>
                <w:highlight w:val="none"/>
                <w:lang w:val="en-US" w:eastAsia="zh-CN"/>
              </w:rPr>
              <w:t>7</w:t>
            </w:r>
            <w:r>
              <w:rPr>
                <w:rFonts w:hint="eastAsia" w:ascii="宋体" w:hAnsi="宋体" w:eastAsia="宋体" w:cs="宋体"/>
                <w:color w:val="auto"/>
                <w:spacing w:val="-6"/>
                <w:w w:val="100"/>
                <w:sz w:val="24"/>
                <w:szCs w:val="24"/>
                <w:highlight w:val="none"/>
              </w:rPr>
              <w:t>日（上午9：00-1</w:t>
            </w:r>
            <w:r>
              <w:rPr>
                <w:rFonts w:hint="eastAsia" w:ascii="宋体" w:hAnsi="宋体" w:eastAsia="宋体" w:cs="宋体"/>
                <w:color w:val="auto"/>
                <w:spacing w:val="-6"/>
                <w:w w:val="100"/>
                <w:sz w:val="24"/>
                <w:szCs w:val="24"/>
                <w:highlight w:val="none"/>
                <w:lang w:val="en-US" w:eastAsia="zh-CN"/>
              </w:rPr>
              <w:t>2</w:t>
            </w:r>
            <w:r>
              <w:rPr>
                <w:rFonts w:hint="eastAsia" w:ascii="宋体" w:hAnsi="宋体" w:eastAsia="宋体" w:cs="宋体"/>
                <w:color w:val="auto"/>
                <w:spacing w:val="-6"/>
                <w:w w:val="100"/>
                <w:sz w:val="24"/>
                <w:szCs w:val="24"/>
                <w:highlight w:val="none"/>
              </w:rPr>
              <w:t>:</w:t>
            </w:r>
            <w:r>
              <w:rPr>
                <w:rFonts w:hint="eastAsia" w:ascii="宋体" w:hAnsi="宋体" w:eastAsia="宋体" w:cs="宋体"/>
                <w:color w:val="auto"/>
                <w:spacing w:val="-6"/>
                <w:w w:val="100"/>
                <w:sz w:val="24"/>
                <w:szCs w:val="24"/>
                <w:highlight w:val="none"/>
                <w:lang w:val="en-US" w:eastAsia="zh-CN"/>
              </w:rPr>
              <w:t>0</w:t>
            </w:r>
            <w:r>
              <w:rPr>
                <w:rFonts w:hint="eastAsia" w:ascii="宋体" w:hAnsi="宋体" w:eastAsia="宋体" w:cs="宋体"/>
                <w:color w:val="auto"/>
                <w:spacing w:val="-6"/>
                <w:w w:val="100"/>
                <w:sz w:val="24"/>
                <w:szCs w:val="24"/>
                <w:highlight w:val="none"/>
              </w:rPr>
              <w:t>0，下午14</w:t>
            </w:r>
            <w:r>
              <w:rPr>
                <w:rFonts w:hint="eastAsia" w:ascii="宋体" w:hAnsi="宋体" w:cs="宋体"/>
                <w:color w:val="auto"/>
                <w:spacing w:val="-6"/>
                <w:w w:val="100"/>
                <w:sz w:val="24"/>
                <w:szCs w:val="24"/>
                <w:highlight w:val="none"/>
                <w:lang w:eastAsia="zh-CN"/>
              </w:rPr>
              <w:t>：</w:t>
            </w:r>
            <w:bookmarkStart w:id="87" w:name="_GoBack"/>
            <w:bookmarkEnd w:id="87"/>
            <w:r>
              <w:rPr>
                <w:rFonts w:hint="eastAsia" w:ascii="宋体" w:hAnsi="宋体" w:cs="宋体"/>
                <w:color w:val="auto"/>
                <w:spacing w:val="-6"/>
                <w:w w:val="100"/>
                <w:sz w:val="24"/>
                <w:szCs w:val="24"/>
                <w:highlight w:val="none"/>
                <w:lang w:val="en-US" w:eastAsia="zh-CN"/>
              </w:rPr>
              <w:t>3</w:t>
            </w:r>
            <w:r>
              <w:rPr>
                <w:rFonts w:hint="eastAsia" w:ascii="宋体" w:hAnsi="宋体" w:eastAsia="宋体" w:cs="宋体"/>
                <w:color w:val="auto"/>
                <w:spacing w:val="-6"/>
                <w:w w:val="100"/>
                <w:sz w:val="24"/>
                <w:szCs w:val="24"/>
                <w:highlight w:val="none"/>
              </w:rPr>
              <w:t>0-17:00）。</w:t>
            </w:r>
          </w:p>
          <w:p>
            <w:pPr>
              <w:keepNext w:val="0"/>
              <w:keepLines w:val="0"/>
              <w:pageBreakBefore w:val="0"/>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发售地点：泾阳县中心街402号财政局院内泾阳县政府采购中心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1845" w:type="dxa"/>
            <w:vAlign w:val="center"/>
          </w:tcPr>
          <w:p>
            <w:pPr>
              <w:pStyle w:val="120"/>
              <w:keepNext w:val="0"/>
              <w:keepLines w:val="0"/>
              <w:pageBreakBefore w:val="0"/>
              <w:kinsoku/>
              <w:wordWrap/>
              <w:overflowPunct/>
              <w:topLinePunct w:val="0"/>
              <w:bidi w:val="0"/>
              <w:snapToGrid/>
              <w:spacing w:line="440" w:lineRule="exact"/>
              <w:ind w:left="235" w:lef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联合体</w:t>
            </w:r>
            <w:r>
              <w:rPr>
                <w:rFonts w:hint="eastAsia" w:ascii="宋体" w:hAnsi="宋体" w:eastAsia="宋体" w:cs="宋体"/>
                <w:color w:val="auto"/>
                <w:sz w:val="24"/>
                <w:szCs w:val="24"/>
                <w:lang w:val="en-US" w:eastAsia="zh-CN"/>
              </w:rPr>
              <w:t>谈判</w:t>
            </w:r>
          </w:p>
        </w:tc>
        <w:tc>
          <w:tcPr>
            <w:tcW w:w="7227" w:type="dxa"/>
            <w:vAlign w:val="center"/>
          </w:tcPr>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845"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考察现场、标前答疑会</w:t>
            </w:r>
          </w:p>
        </w:tc>
        <w:tc>
          <w:tcPr>
            <w:tcW w:w="7227" w:type="dxa"/>
            <w:vAlign w:val="center"/>
          </w:tcPr>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rPr>
            </w:pPr>
            <w:r>
              <w:rPr>
                <w:rFonts w:hint="eastAsia" w:ascii="宋体" w:hAnsi="宋体" w:eastAsia="宋体" w:cs="宋体"/>
                <w:color w:val="auto"/>
                <w:sz w:val="24"/>
                <w:szCs w:val="24"/>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1845" w:type="dxa"/>
            <w:vAlign w:val="center"/>
          </w:tcPr>
          <w:p>
            <w:pPr>
              <w:pStyle w:val="120"/>
              <w:keepNext w:val="0"/>
              <w:keepLines w:val="0"/>
              <w:pageBreakBefore w:val="0"/>
              <w:kinsoku/>
              <w:wordWrap/>
              <w:overflowPunct/>
              <w:topLinePunct w:val="0"/>
              <w:bidi w:val="0"/>
              <w:snapToGrid/>
              <w:spacing w:line="440" w:lineRule="exact"/>
              <w:ind w:left="52"/>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构成</w:t>
            </w:r>
            <w:r>
              <w:rPr>
                <w:rFonts w:hint="eastAsia" w:ascii="宋体" w:hAnsi="宋体" w:eastAsia="宋体" w:cs="宋体"/>
                <w:color w:val="auto"/>
                <w:sz w:val="24"/>
                <w:szCs w:val="24"/>
                <w:lang w:val="en-US" w:eastAsia="zh-CN"/>
              </w:rPr>
              <w:t>单一来源</w:t>
            </w:r>
            <w:r>
              <w:rPr>
                <w:rFonts w:hint="eastAsia" w:ascii="宋体" w:hAnsi="宋体" w:eastAsia="宋体" w:cs="宋体"/>
                <w:color w:val="auto"/>
                <w:sz w:val="24"/>
                <w:szCs w:val="24"/>
                <w:lang w:val="zh-CN"/>
              </w:rPr>
              <w:t>文件的其他文件</w:t>
            </w:r>
          </w:p>
        </w:tc>
        <w:tc>
          <w:tcPr>
            <w:tcW w:w="7227" w:type="dxa"/>
            <w:vAlign w:val="center"/>
          </w:tcPr>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单一来源</w:t>
            </w:r>
            <w:r>
              <w:rPr>
                <w:rFonts w:hint="eastAsia" w:ascii="宋体" w:hAnsi="宋体" w:eastAsia="宋体" w:cs="宋体"/>
                <w:color w:val="auto"/>
                <w:sz w:val="24"/>
                <w:szCs w:val="24"/>
                <w:lang w:val="zh-CN"/>
              </w:rPr>
              <w:t>文件</w:t>
            </w:r>
            <w:r>
              <w:rPr>
                <w:rFonts w:hint="eastAsia" w:ascii="宋体" w:hAnsi="宋体" w:eastAsia="宋体" w:cs="宋体"/>
                <w:color w:val="auto"/>
                <w:sz w:val="24"/>
                <w:szCs w:val="24"/>
              </w:rPr>
              <w:t>的澄清、修改书及有关补充通知为</w:t>
            </w:r>
            <w:r>
              <w:rPr>
                <w:rFonts w:hint="eastAsia" w:ascii="宋体" w:hAnsi="宋体" w:cs="宋体"/>
                <w:color w:val="auto"/>
                <w:sz w:val="24"/>
                <w:szCs w:val="24"/>
                <w:lang w:val="en-US" w:eastAsia="zh-CN"/>
              </w:rPr>
              <w:t>单一来源</w:t>
            </w:r>
            <w:r>
              <w:rPr>
                <w:rFonts w:hint="eastAsia" w:ascii="宋体" w:hAnsi="宋体" w:eastAsia="宋体" w:cs="宋体"/>
                <w:color w:val="auto"/>
                <w:sz w:val="24"/>
                <w:szCs w:val="24"/>
              </w:rPr>
              <w:t>采购文件的有效组成部分。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1845" w:type="dxa"/>
            <w:vAlign w:val="center"/>
          </w:tcPr>
          <w:p>
            <w:pPr>
              <w:pStyle w:val="127"/>
              <w:keepNext w:val="0"/>
              <w:keepLines w:val="0"/>
              <w:pageBreakBefore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sz w:val="24"/>
                <w:szCs w:val="24"/>
                <w:highlight w:val="none"/>
              </w:rPr>
              <w:t>单一来源响应文件递交截止时间和地点</w:t>
            </w:r>
          </w:p>
        </w:tc>
        <w:tc>
          <w:tcPr>
            <w:tcW w:w="7227" w:type="dxa"/>
            <w:vAlign w:val="center"/>
          </w:tcPr>
          <w:p>
            <w:pPr>
              <w:keepNext w:val="0"/>
              <w:keepLines w:val="0"/>
              <w:pageBreakBefore w:val="0"/>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单一来源文件</w:t>
            </w:r>
            <w:r>
              <w:rPr>
                <w:rFonts w:hint="eastAsia" w:ascii="宋体" w:hAnsi="宋体" w:eastAsia="宋体" w:cs="宋体"/>
                <w:color w:val="auto"/>
                <w:sz w:val="24"/>
                <w:szCs w:val="24"/>
                <w:highlight w:val="none"/>
              </w:rPr>
              <w:t>截止时间：2023年11月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 15时00分00秒（北京时间）</w:t>
            </w:r>
          </w:p>
          <w:p>
            <w:pPr>
              <w:keepNext w:val="0"/>
              <w:keepLines w:val="0"/>
              <w:pageBreakBefore w:val="0"/>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时间：2023年11月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 15时00分00秒（北京时间）</w:t>
            </w:r>
          </w:p>
          <w:p>
            <w:pPr>
              <w:keepNext w:val="0"/>
              <w:keepLines w:val="0"/>
              <w:pageBreakBefore w:val="0"/>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地点：泾阳县中心街402号财政局院内泾阳县政府采购中心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1845" w:type="dxa"/>
            <w:vAlign w:val="center"/>
          </w:tcPr>
          <w:p>
            <w:pPr>
              <w:pStyle w:val="120"/>
              <w:keepNext w:val="0"/>
              <w:keepLines w:val="0"/>
              <w:pageBreakBefore w:val="0"/>
              <w:kinsoku/>
              <w:wordWrap/>
              <w:overflowPunct/>
              <w:topLinePunct w:val="0"/>
              <w:bidi w:val="0"/>
              <w:snapToGrid/>
              <w:spacing w:line="440" w:lineRule="exact"/>
              <w:ind w:left="33"/>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lang w:val="zh-CN"/>
              </w:rPr>
              <w:t>有效期</w:t>
            </w:r>
          </w:p>
        </w:tc>
        <w:tc>
          <w:tcPr>
            <w:tcW w:w="7227" w:type="dxa"/>
            <w:vAlign w:val="center"/>
          </w:tcPr>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从</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截止日起90日历天。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16</w:t>
            </w:r>
          </w:p>
        </w:tc>
        <w:tc>
          <w:tcPr>
            <w:tcW w:w="1845"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签字盖章</w:t>
            </w:r>
          </w:p>
        </w:tc>
        <w:tc>
          <w:tcPr>
            <w:tcW w:w="7227" w:type="dxa"/>
            <w:vAlign w:val="center"/>
          </w:tcPr>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供应商必须按照</w:t>
            </w:r>
            <w:r>
              <w:rPr>
                <w:rFonts w:hint="eastAsia" w:ascii="宋体" w:hAnsi="宋体" w:eastAsia="宋体" w:cs="宋体"/>
                <w:color w:val="auto"/>
                <w:sz w:val="24"/>
                <w:szCs w:val="24"/>
                <w:lang w:val="en-US" w:eastAsia="zh-CN"/>
              </w:rPr>
              <w:t>单一来源</w:t>
            </w:r>
            <w:r>
              <w:rPr>
                <w:rFonts w:hint="eastAsia" w:ascii="宋体" w:hAnsi="宋体" w:eastAsia="宋体" w:cs="宋体"/>
                <w:color w:val="auto"/>
                <w:sz w:val="24"/>
                <w:szCs w:val="24"/>
                <w:lang w:val="zh-CN"/>
              </w:rPr>
              <w:t>文件</w:t>
            </w:r>
            <w:r>
              <w:rPr>
                <w:rFonts w:hint="eastAsia" w:ascii="宋体" w:hAnsi="宋体" w:eastAsia="宋体" w:cs="宋体"/>
                <w:color w:val="auto"/>
                <w:sz w:val="24"/>
                <w:szCs w:val="24"/>
              </w:rPr>
              <w:t>的规定和要求签字、盖章。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1845"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单一来源响应文件的装订、数量</w:t>
            </w:r>
          </w:p>
        </w:tc>
        <w:tc>
          <w:tcPr>
            <w:tcW w:w="7227" w:type="dxa"/>
            <w:vAlign w:val="center"/>
          </w:tcPr>
          <w:p>
            <w:pPr>
              <w:keepNext w:val="0"/>
              <w:keepLines w:val="0"/>
              <w:pageBreakBefore w:val="0"/>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单一来源响应文件一律采用书籍（胶装）方式装订。单一来源响应文件</w:t>
            </w:r>
            <w:r>
              <w:rPr>
                <w:rFonts w:hint="eastAsia" w:ascii="宋体" w:hAnsi="宋体" w:eastAsia="宋体" w:cs="宋体"/>
                <w:b/>
                <w:bCs/>
                <w:color w:val="auto"/>
                <w:sz w:val="24"/>
                <w:szCs w:val="24"/>
                <w:highlight w:val="none"/>
              </w:rPr>
              <w:t>正本壹份、副本</w:t>
            </w:r>
            <w:r>
              <w:rPr>
                <w:rFonts w:hint="eastAsia" w:ascii="宋体" w:hAnsi="宋体" w:eastAsia="宋体" w:cs="宋体"/>
                <w:b/>
                <w:bCs/>
                <w:color w:val="auto"/>
                <w:sz w:val="24"/>
                <w:szCs w:val="24"/>
                <w:highlight w:val="none"/>
                <w:lang w:eastAsia="zh-CN"/>
              </w:rPr>
              <w:t>贰</w:t>
            </w:r>
            <w:r>
              <w:rPr>
                <w:rFonts w:hint="eastAsia" w:ascii="宋体" w:hAnsi="宋体" w:eastAsia="宋体" w:cs="宋体"/>
                <w:b/>
                <w:bCs/>
                <w:color w:val="auto"/>
                <w:sz w:val="24"/>
                <w:szCs w:val="24"/>
                <w:highlight w:val="none"/>
              </w:rPr>
              <w:t>份，电子版（U盘）</w:t>
            </w:r>
            <w:r>
              <w:rPr>
                <w:rFonts w:hint="eastAsia" w:ascii="宋体" w:hAnsi="宋体" w:eastAsia="宋体" w:cs="宋体"/>
                <w:b/>
                <w:bCs/>
                <w:color w:val="auto"/>
                <w:sz w:val="24"/>
                <w:szCs w:val="24"/>
                <w:highlight w:val="none"/>
                <w:lang w:eastAsia="zh-CN"/>
              </w:rPr>
              <w:t>贰</w:t>
            </w:r>
            <w:r>
              <w:rPr>
                <w:rFonts w:hint="eastAsia" w:ascii="宋体" w:hAnsi="宋体" w:eastAsia="宋体" w:cs="宋体"/>
                <w:b/>
                <w:bCs/>
                <w:color w:val="auto"/>
                <w:sz w:val="24"/>
                <w:szCs w:val="24"/>
                <w:highlight w:val="none"/>
              </w:rPr>
              <w:t>份。</w:t>
            </w:r>
            <w:r>
              <w:rPr>
                <w:rFonts w:hint="eastAsia" w:ascii="宋体" w:hAnsi="宋体" w:eastAsia="宋体" w:cs="宋体"/>
                <w:color w:val="auto"/>
                <w:sz w:val="24"/>
                <w:szCs w:val="24"/>
                <w:highlight w:val="none"/>
              </w:rPr>
              <w:t>供应商应将响应文件的正本、所有副本和电子版文件，用单独的封袋分</w:t>
            </w:r>
            <w:r>
              <w:rPr>
                <w:rFonts w:hint="eastAsia" w:ascii="宋体" w:hAnsi="宋体" w:eastAsia="宋体" w:cs="宋体"/>
                <w:color w:val="auto"/>
                <w:sz w:val="24"/>
                <w:szCs w:val="24"/>
                <w:highlight w:val="none"/>
                <w:lang w:val="en-US" w:eastAsia="zh-CN"/>
              </w:rPr>
              <w:t>别</w:t>
            </w:r>
            <w:r>
              <w:rPr>
                <w:rFonts w:hint="eastAsia" w:ascii="宋体" w:hAnsi="宋体" w:eastAsia="宋体" w:cs="宋体"/>
                <w:color w:val="auto"/>
                <w:sz w:val="24"/>
                <w:szCs w:val="24"/>
                <w:highlight w:val="none"/>
              </w:rPr>
              <w:t>密封（封袋不得有破损），在封袋上标明“正本”、“副本”或“电子版”字样，封袋封口处应加贴封条</w:t>
            </w:r>
            <w:r>
              <w:rPr>
                <w:rFonts w:hint="eastAsia" w:ascii="宋体" w:hAnsi="宋体" w:eastAsia="宋体" w:cs="宋体"/>
                <w:color w:val="auto"/>
                <w:sz w:val="24"/>
                <w:szCs w:val="24"/>
                <w:highlight w:val="none"/>
                <w:lang w:val="en-US" w:eastAsia="zh-CN"/>
              </w:rPr>
              <w:t>密封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rPr>
              <w:t>在封线处加盖公章（骑缝章）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highlight w:val="none"/>
              </w:rPr>
              <w:t>对未按</w:t>
            </w:r>
            <w:r>
              <w:rPr>
                <w:rFonts w:hint="eastAsia" w:ascii="宋体" w:hAnsi="宋体" w:eastAsia="宋体" w:cs="宋体"/>
                <w:b/>
                <w:color w:val="auto"/>
                <w:sz w:val="24"/>
                <w:szCs w:val="24"/>
                <w:highlight w:val="none"/>
                <w:lang w:eastAsia="zh-CN"/>
              </w:rPr>
              <w:t>单一来源文件</w:t>
            </w:r>
            <w:r>
              <w:rPr>
                <w:rFonts w:hint="eastAsia" w:ascii="宋体" w:hAnsi="宋体" w:eastAsia="宋体" w:cs="宋体"/>
                <w:b/>
                <w:color w:val="auto"/>
                <w:sz w:val="24"/>
                <w:szCs w:val="24"/>
                <w:highlight w:val="none"/>
              </w:rPr>
              <w:t>要求方式装订和递交的单一来源响应文件，将作为无效文件处理。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1845" w:type="dxa"/>
            <w:vAlign w:val="center"/>
          </w:tcPr>
          <w:p>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rPr>
              <w:t>封套上写明</w:t>
            </w:r>
          </w:p>
        </w:tc>
        <w:tc>
          <w:tcPr>
            <w:tcW w:w="7227" w:type="dxa"/>
            <w:vAlign w:val="center"/>
          </w:tcPr>
          <w:p>
            <w:pPr>
              <w:pStyle w:val="127"/>
              <w:keepNext w:val="0"/>
              <w:keepLines w:val="0"/>
              <w:pageBreakBefore w:val="0"/>
              <w:kinsoku/>
              <w:wordWrap/>
              <w:overflowPunct/>
              <w:topLinePunct w:val="0"/>
              <w:autoSpaceDE/>
              <w:autoSpaceDN/>
              <w:bidi w:val="0"/>
              <w:adjustRightInd/>
              <w:snapToGrid/>
              <w:spacing w:line="44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pStyle w:val="127"/>
              <w:keepNext w:val="0"/>
              <w:keepLines w:val="0"/>
              <w:pageBreakBefore w:val="0"/>
              <w:kinsoku/>
              <w:wordWrap/>
              <w:overflowPunct/>
              <w:topLinePunct w:val="0"/>
              <w:autoSpaceDE/>
              <w:autoSpaceDN/>
              <w:bidi w:val="0"/>
              <w:adjustRightInd/>
              <w:snapToGrid/>
              <w:spacing w:line="44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pStyle w:val="127"/>
              <w:keepNext w:val="0"/>
              <w:keepLines w:val="0"/>
              <w:pageBreakBefore w:val="0"/>
              <w:kinsoku/>
              <w:wordWrap/>
              <w:overflowPunct/>
              <w:topLinePunct w:val="0"/>
              <w:autoSpaceDE/>
              <w:autoSpaceDN/>
              <w:bidi w:val="0"/>
              <w:adjustRightInd/>
              <w:snapToGrid/>
              <w:spacing w:line="44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pPr>
              <w:pStyle w:val="127"/>
              <w:keepNext w:val="0"/>
              <w:keepLines w:val="0"/>
              <w:pageBreakBefore w:val="0"/>
              <w:kinsoku/>
              <w:wordWrap/>
              <w:overflowPunct/>
              <w:topLinePunct w:val="0"/>
              <w:autoSpaceDE/>
              <w:autoSpaceDN/>
              <w:bidi w:val="0"/>
              <w:adjustRightInd/>
              <w:snapToGrid/>
              <w:spacing w:line="440" w:lineRule="exact"/>
              <w:ind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单一来源响应文件在202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分前“不得开启”字样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1845" w:type="dxa"/>
            <w:vAlign w:val="center"/>
          </w:tcPr>
          <w:p>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供应商资格要求</w:t>
            </w:r>
          </w:p>
        </w:tc>
        <w:tc>
          <w:tcPr>
            <w:tcW w:w="7227" w:type="dxa"/>
            <w:vAlign w:val="center"/>
          </w:tcPr>
          <w:p>
            <w:pPr>
              <w:numPr>
                <w:ilvl w:val="0"/>
                <w:numId w:val="1"/>
              </w:numPr>
              <w:spacing w:line="44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满足《中华人民共和国政府采购法》第二十二条规定</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（1）具有独立承担民事责任能力的法人、其他组织或自然人，并出具合法有效的营业执照或事业单位法人证书等国家规定的相关证明，自然人参与的提供其身份证明；</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财务状况报告：提供具有财务审计资质单位出具的</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zh-CN"/>
              </w:rPr>
              <w:t>年度财务报告（</w:t>
            </w:r>
            <w:r>
              <w:rPr>
                <w:rFonts w:hint="eastAsia" w:ascii="宋体" w:hAnsi="宋体" w:eastAsia="宋体" w:cs="宋体"/>
                <w:color w:val="auto"/>
                <w:sz w:val="24"/>
                <w:szCs w:val="24"/>
                <w:highlight w:val="none"/>
                <w:lang w:val="zh-CN"/>
              </w:rPr>
              <w:t>包括审计报告、资产负债表、利润表、现金流量表</w:t>
            </w:r>
            <w:r>
              <w:rPr>
                <w:rFonts w:hint="eastAsia" w:ascii="宋体" w:hAnsi="宋体" w:eastAsia="宋体" w:cs="宋体"/>
                <w:color w:val="auto"/>
                <w:sz w:val="24"/>
                <w:szCs w:val="24"/>
                <w:highlight w:val="none"/>
                <w:lang w:val="en-US" w:eastAsia="zh-CN"/>
              </w:rPr>
              <w:t>及会计报表</w:t>
            </w:r>
            <w:r>
              <w:rPr>
                <w:rFonts w:hint="eastAsia" w:ascii="宋体" w:hAnsi="宋体" w:eastAsia="宋体" w:cs="宋体"/>
                <w:color w:val="auto"/>
                <w:sz w:val="24"/>
                <w:szCs w:val="24"/>
                <w:highlight w:val="none"/>
                <w:lang w:val="zh-CN"/>
              </w:rPr>
              <w:t>附注，</w:t>
            </w:r>
            <w:r>
              <w:rPr>
                <w:rFonts w:hint="eastAsia" w:ascii="宋体" w:hAnsi="宋体" w:eastAsia="宋体" w:cs="宋体"/>
                <w:color w:val="auto"/>
                <w:sz w:val="24"/>
                <w:szCs w:val="24"/>
                <w:lang w:val="zh-CN"/>
              </w:rPr>
              <w:t>成立时间至开标时间不足一年的可提供成立后任意时段的资产负债表）或开标前六个月内其基本账户银行出具的资信证明（附开户许可证）或政府采购信用担保机构出具的投标担保函；</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税收缴纳证明：提供开标前六个月内</w:t>
            </w:r>
            <w:r>
              <w:rPr>
                <w:rFonts w:hint="eastAsia" w:ascii="宋体" w:hAnsi="宋体" w:eastAsia="宋体" w:cs="宋体"/>
                <w:color w:val="auto"/>
                <w:sz w:val="24"/>
                <w:szCs w:val="24"/>
              </w:rPr>
              <w:t>任意</w:t>
            </w:r>
            <w:r>
              <w:rPr>
                <w:rFonts w:hint="eastAsia" w:ascii="宋体" w:hAnsi="宋体" w:eastAsia="宋体" w:cs="宋体"/>
                <w:color w:val="auto"/>
                <w:sz w:val="24"/>
                <w:szCs w:val="24"/>
                <w:lang w:val="zh-CN"/>
              </w:rPr>
              <w:t>一个月已缴纳完税凭证或税务机关开具的完税证明（任意税种）；依法免税的应提供相关文件证明；</w:t>
            </w:r>
            <w:r>
              <w:rPr>
                <w:rFonts w:hint="eastAsia" w:ascii="宋体" w:hAnsi="宋体" w:eastAsia="宋体" w:cs="宋体"/>
                <w:color w:val="auto"/>
                <w:sz w:val="24"/>
                <w:szCs w:val="24"/>
              </w:rPr>
              <w:t xml:space="preserve"> </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社会保障资金缴纳证明：提供开标前六个月内</w:t>
            </w:r>
            <w:r>
              <w:rPr>
                <w:rFonts w:hint="eastAsia" w:ascii="宋体" w:hAnsi="宋体" w:eastAsia="宋体" w:cs="宋体"/>
                <w:color w:val="auto"/>
                <w:sz w:val="24"/>
                <w:szCs w:val="24"/>
              </w:rPr>
              <w:t>任意</w:t>
            </w:r>
            <w:r>
              <w:rPr>
                <w:rFonts w:hint="eastAsia" w:ascii="宋体" w:hAnsi="宋体" w:eastAsia="宋体" w:cs="宋体"/>
                <w:color w:val="auto"/>
                <w:sz w:val="24"/>
                <w:szCs w:val="24"/>
                <w:lang w:val="zh-CN"/>
              </w:rPr>
              <w:t>一个月已缴纳的社会保障资金缴存单据或社保机构开具的社会保险参保缴费情况证明（依法不需要缴纳社会保障资金的投标人应提供相关证明）；</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（5）具备履行合同所必需的设备和专业技术能力的证明材料(由供应商根据项目需求提供说明材料或者承诺)；（格式自拟）</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（6）提供参加政府采购活动前三年内在经营活动中没有重大违法记录的书面声明；（格式自拟）</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both"/>
              <w:textAlignment w:val="baseline"/>
              <w:rPr>
                <w:rFonts w:hint="eastAsia" w:ascii="宋体" w:hAnsi="宋体" w:eastAsia="宋体" w:cs="宋体"/>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i w:val="0"/>
                <w:iCs w:val="0"/>
                <w:caps w:val="0"/>
                <w:color w:val="auto"/>
                <w:spacing w:val="0"/>
                <w:sz w:val="24"/>
                <w:szCs w:val="24"/>
                <w:shd w:val="clear" w:fill="FFFFFF"/>
                <w:vertAlign w:val="baseline"/>
              </w:rPr>
              <w:t>落实政府采购政策需满足的资格要求：</w:t>
            </w:r>
            <w:r>
              <w:rPr>
                <w:rFonts w:hint="eastAsia" w:ascii="宋体" w:hAnsi="宋体" w:eastAsia="宋体" w:cs="宋体"/>
                <w:b w:val="0"/>
                <w:bCs w:val="0"/>
                <w:i w:val="0"/>
                <w:iCs w:val="0"/>
                <w:caps w:val="0"/>
                <w:color w:val="auto"/>
                <w:spacing w:val="0"/>
                <w:sz w:val="24"/>
                <w:szCs w:val="24"/>
                <w:shd w:val="clear" w:fill="FFFFFF"/>
                <w:vertAlign w:val="baseline"/>
              </w:rPr>
              <w:t>本项目为非</w:t>
            </w:r>
            <w:r>
              <w:rPr>
                <w:rFonts w:hint="eastAsia" w:ascii="宋体" w:hAnsi="宋体" w:eastAsia="宋体" w:cs="宋体"/>
                <w:b w:val="0"/>
                <w:bCs w:val="0"/>
                <w:i w:val="0"/>
                <w:iCs w:val="0"/>
                <w:caps w:val="0"/>
                <w:color w:val="auto"/>
                <w:spacing w:val="0"/>
                <w:sz w:val="24"/>
                <w:szCs w:val="24"/>
                <w:shd w:val="clear" w:fill="FFFFFF"/>
                <w:vertAlign w:val="baseline"/>
                <w:lang w:val="en-US" w:eastAsia="zh-CN"/>
              </w:rPr>
              <w:t>专门</w:t>
            </w:r>
            <w:r>
              <w:rPr>
                <w:rFonts w:hint="eastAsia" w:ascii="宋体" w:hAnsi="宋体" w:eastAsia="宋体" w:cs="宋体"/>
                <w:b w:val="0"/>
                <w:bCs w:val="0"/>
                <w:i w:val="0"/>
                <w:iCs w:val="0"/>
                <w:caps w:val="0"/>
                <w:color w:val="auto"/>
                <w:spacing w:val="0"/>
                <w:sz w:val="24"/>
                <w:szCs w:val="24"/>
                <w:shd w:val="clear" w:fill="FFFFFF"/>
                <w:vertAlign w:val="baseline"/>
              </w:rPr>
              <w:t>面向中小企业采购项目。</w:t>
            </w:r>
          </w:p>
          <w:p>
            <w:pPr>
              <w:spacing w:line="44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本项目的特定资格要求：</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应商应授权合法的人员参加谈判全过程，其中法定代表人直接参加谈判的，须出具法定代表人身份证明及法人身份证原件及复印件，法定代表人授权代表参加谈判的，须出具法定代表人授权书及授权代表身份证原件及复印件；</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）供应商不得为列入信用中国(www.creditchina.gov.cn)记录失信被执行人或重大税收违法案件当事人名单或中国政府采购网(www.ccgp.gov.cn)的政府采购严重违法失信行为记录名单；</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）与招标人存在利害关系可能影响招标公正性的单位，不得参加投标、单位负责人为同一人或存在控股、管理关系的不同单位，不得参加同一标段投标，否则，相关投标均无效；</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）本项目不允许联合体</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bidi="ar"/>
              </w:rPr>
              <w:t>注：</w:t>
            </w:r>
            <w:r>
              <w:rPr>
                <w:rFonts w:hint="eastAsia" w:ascii="宋体" w:hAnsi="宋体" w:eastAsia="宋体" w:cs="宋体"/>
                <w:b/>
                <w:bCs/>
                <w:color w:val="auto"/>
                <w:sz w:val="24"/>
                <w:szCs w:val="24"/>
                <w:highlight w:val="none"/>
              </w:rPr>
              <w:t>以上为必备资质，缺一项或某项达不到要求，按无效文件处理。资格审查时以单一来源响应文件中所附证明材料为准，原件备查。</w:t>
            </w:r>
            <w:r>
              <w:rPr>
                <w:rFonts w:hint="eastAsia" w:ascii="宋体" w:hAnsi="宋体" w:eastAsia="宋体" w:cs="宋体"/>
                <w:b/>
                <w:bCs/>
                <w:color w:val="auto"/>
                <w:sz w:val="24"/>
                <w:szCs w:val="24"/>
                <w:highlight w:val="none"/>
                <w:lang w:eastAsia="zh-CN"/>
              </w:rPr>
              <w:t>单一来源</w:t>
            </w:r>
            <w:r>
              <w:rPr>
                <w:rFonts w:hint="eastAsia" w:ascii="宋体" w:hAnsi="宋体" w:eastAsia="宋体" w:cs="宋体"/>
                <w:b/>
                <w:bCs/>
                <w:color w:val="auto"/>
                <w:sz w:val="24"/>
                <w:szCs w:val="24"/>
                <w:highlight w:val="none"/>
                <w:lang w:bidi="ar"/>
              </w:rPr>
              <w:t>响应文件</w:t>
            </w:r>
            <w:r>
              <w:rPr>
                <w:rFonts w:hint="eastAsia" w:ascii="宋体" w:hAnsi="宋体" w:eastAsia="宋体" w:cs="宋体"/>
                <w:b/>
                <w:bCs/>
                <w:color w:val="auto"/>
                <w:sz w:val="24"/>
                <w:szCs w:val="24"/>
                <w:highlight w:val="none"/>
                <w:lang w:val="en-US" w:eastAsia="zh-CN" w:bidi="ar"/>
              </w:rPr>
              <w:t>正本</w:t>
            </w:r>
            <w:r>
              <w:rPr>
                <w:rFonts w:hint="eastAsia" w:ascii="宋体" w:hAnsi="宋体" w:eastAsia="宋体" w:cs="宋体"/>
                <w:b/>
                <w:bCs/>
                <w:color w:val="auto"/>
                <w:sz w:val="24"/>
                <w:szCs w:val="24"/>
                <w:highlight w:val="none"/>
                <w:lang w:bidi="ar"/>
              </w:rPr>
              <w:t>中的法定代表人身份证明或法定代表人授权书为原件，</w:t>
            </w:r>
            <w:r>
              <w:rPr>
                <w:rFonts w:hint="eastAsia" w:ascii="宋体" w:hAnsi="宋体" w:eastAsia="宋体" w:cs="宋体"/>
                <w:b/>
                <w:bCs/>
                <w:color w:val="auto"/>
                <w:sz w:val="24"/>
                <w:szCs w:val="24"/>
                <w:highlight w:val="none"/>
              </w:rPr>
              <w:t>其他所有资质</w:t>
            </w:r>
            <w:r>
              <w:rPr>
                <w:rFonts w:hint="eastAsia" w:ascii="宋体" w:hAnsi="宋体" w:eastAsia="宋体" w:cs="宋体"/>
                <w:b/>
                <w:bCs/>
                <w:color w:val="auto"/>
                <w:sz w:val="24"/>
                <w:szCs w:val="24"/>
                <w:highlight w:val="none"/>
                <w:lang w:val="en-US" w:eastAsia="zh-CN"/>
              </w:rPr>
              <w:t>证明文件</w:t>
            </w:r>
            <w:r>
              <w:rPr>
                <w:rFonts w:hint="eastAsia" w:ascii="宋体" w:hAnsi="宋体" w:eastAsia="宋体" w:cs="宋体"/>
                <w:b/>
                <w:bCs/>
                <w:color w:val="auto"/>
                <w:sz w:val="24"/>
                <w:szCs w:val="24"/>
                <w:highlight w:val="none"/>
              </w:rPr>
              <w:t>的复印件必须加盖单位公章附在单一来源响应文件中</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bidi="ar"/>
              </w:rPr>
              <w:t>未注明要求原件的资格证明文件，在</w:t>
            </w:r>
            <w:r>
              <w:rPr>
                <w:rFonts w:hint="eastAsia" w:ascii="宋体" w:hAnsi="宋体" w:eastAsia="宋体" w:cs="宋体"/>
                <w:b/>
                <w:bCs/>
                <w:color w:val="auto"/>
                <w:sz w:val="24"/>
                <w:szCs w:val="24"/>
                <w:highlight w:val="none"/>
                <w:lang w:val="en-US" w:eastAsia="zh-CN" w:bidi="ar"/>
              </w:rPr>
              <w:t>投标</w:t>
            </w:r>
            <w:r>
              <w:rPr>
                <w:rFonts w:hint="eastAsia" w:ascii="宋体" w:hAnsi="宋体" w:eastAsia="宋体" w:cs="宋体"/>
                <w:b/>
                <w:bCs/>
                <w:color w:val="auto"/>
                <w:sz w:val="24"/>
                <w:szCs w:val="24"/>
                <w:highlight w:val="none"/>
                <w:lang w:bidi="ar"/>
              </w:rPr>
              <w:t>后的任何时间，</w:t>
            </w:r>
            <w:r>
              <w:rPr>
                <w:rFonts w:hint="eastAsia" w:ascii="宋体" w:hAnsi="宋体" w:eastAsia="宋体" w:cs="宋体"/>
                <w:b/>
                <w:bCs/>
                <w:color w:val="auto"/>
                <w:sz w:val="24"/>
                <w:szCs w:val="24"/>
                <w:highlight w:val="none"/>
                <w:lang w:eastAsia="zh-CN" w:bidi="ar"/>
              </w:rPr>
              <w:t>谈判小组</w:t>
            </w:r>
            <w:r>
              <w:rPr>
                <w:rFonts w:hint="eastAsia" w:ascii="宋体" w:hAnsi="宋体" w:eastAsia="宋体" w:cs="宋体"/>
                <w:b/>
                <w:bCs/>
                <w:color w:val="auto"/>
                <w:sz w:val="24"/>
                <w:szCs w:val="24"/>
                <w:highlight w:val="none"/>
                <w:lang w:bidi="ar"/>
              </w:rPr>
              <w:t>都有权随时要求审查原件，如果不能按规定时间提供，按无效</w:t>
            </w:r>
            <w:r>
              <w:rPr>
                <w:rFonts w:hint="eastAsia" w:ascii="宋体" w:hAnsi="宋体" w:eastAsia="宋体" w:cs="宋体"/>
                <w:b/>
                <w:bCs/>
                <w:color w:val="auto"/>
                <w:sz w:val="24"/>
                <w:szCs w:val="24"/>
                <w:highlight w:val="none"/>
                <w:lang w:eastAsia="zh-CN" w:bidi="ar"/>
              </w:rPr>
              <w:t>谈判</w:t>
            </w:r>
            <w:r>
              <w:rPr>
                <w:rFonts w:hint="eastAsia" w:ascii="宋体" w:hAnsi="宋体" w:eastAsia="宋体" w:cs="宋体"/>
                <w:b/>
                <w:bCs/>
                <w:color w:val="auto"/>
                <w:sz w:val="24"/>
                <w:szCs w:val="24"/>
                <w:highlight w:val="none"/>
                <w:lang w:bidi="ar"/>
              </w:rPr>
              <w:t>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845"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谈判保证金</w:t>
            </w:r>
          </w:p>
        </w:tc>
        <w:tc>
          <w:tcPr>
            <w:tcW w:w="7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1845"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w:t>
            </w:r>
          </w:p>
        </w:tc>
        <w:tc>
          <w:tcPr>
            <w:tcW w:w="7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1845"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rPr>
              <w:t>招标代理服务费</w:t>
            </w:r>
          </w:p>
        </w:tc>
        <w:tc>
          <w:tcPr>
            <w:tcW w:w="7227" w:type="dxa"/>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1845"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知识产权</w:t>
            </w:r>
          </w:p>
        </w:tc>
        <w:tc>
          <w:tcPr>
            <w:tcW w:w="7227" w:type="dxa"/>
            <w:vAlign w:val="center"/>
          </w:tcPr>
          <w:p>
            <w:pPr>
              <w:pStyle w:val="120"/>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应对所供服务具有或已取得合法知识产权，供应商应保证所供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1845" w:type="dxa"/>
            <w:vAlign w:val="center"/>
          </w:tcPr>
          <w:p>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评审方法</w:t>
            </w:r>
          </w:p>
        </w:tc>
        <w:tc>
          <w:tcPr>
            <w:tcW w:w="7227" w:type="dxa"/>
            <w:vAlign w:val="center"/>
          </w:tcPr>
          <w:p>
            <w:pPr>
              <w:keepNext w:val="0"/>
              <w:keepLines w:val="0"/>
              <w:pageBreakBefore w:val="0"/>
              <w:numPr>
                <w:ilvl w:val="0"/>
                <w:numId w:val="0"/>
              </w:numPr>
              <w:kinsoku/>
              <w:wordWrap/>
              <w:overflowPunct/>
              <w:topLinePunct w:val="0"/>
              <w:bidi w:val="0"/>
              <w:snapToGrid/>
              <w:spacing w:line="440" w:lineRule="exact"/>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综合评分法（详见第四章）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1845" w:type="dxa"/>
            <w:vAlign w:val="center"/>
          </w:tcPr>
          <w:p>
            <w:pPr>
              <w:keepNext w:val="0"/>
              <w:keepLines w:val="0"/>
              <w:pageBreakBefore w:val="0"/>
              <w:kinsoku/>
              <w:wordWrap/>
              <w:overflowPunct/>
              <w:topLinePunct w:val="0"/>
              <w:autoSpaceDE/>
              <w:autoSpaceDN/>
              <w:bidi w:val="0"/>
              <w:adjustRightInd/>
              <w:snapToGrid/>
              <w:spacing w:line="440" w:lineRule="exact"/>
              <w:ind w:left="42" w:leftChars="20"/>
              <w:jc w:val="center"/>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szCs w:val="24"/>
                <w:highlight w:val="none"/>
                <w:lang w:val="en-US" w:eastAsia="zh-CN"/>
              </w:rPr>
              <w:t>履约验收</w:t>
            </w:r>
          </w:p>
        </w:tc>
        <w:tc>
          <w:tcPr>
            <w:tcW w:w="7227" w:type="dxa"/>
            <w:vAlign w:val="center"/>
          </w:tcPr>
          <w:p>
            <w:pPr>
              <w:keepNext w:val="0"/>
              <w:keepLines w:val="0"/>
              <w:pageBreakBefore w:val="0"/>
              <w:kinsoku/>
              <w:wordWrap/>
              <w:overflowPunct/>
              <w:topLinePunct w:val="0"/>
              <w:autoSpaceDE/>
              <w:autoSpaceDN/>
              <w:bidi w:val="0"/>
              <w:adjustRightInd/>
              <w:snapToGrid/>
              <w:spacing w:line="440" w:lineRule="exact"/>
              <w:ind w:left="42" w:leftChars="2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政府采购合同的履行、违约责任和解决争议的方法等适用《民法典》。采购人按照政府采购合同规定的技术、服务、安全标准组织对供应商履约情况进行验收，并出具验收书。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信用担保及信用融资</w:t>
            </w:r>
          </w:p>
        </w:tc>
        <w:tc>
          <w:tcPr>
            <w:tcW w:w="72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w:t>
            </w:r>
          </w:p>
        </w:tc>
        <w:tc>
          <w:tcPr>
            <w:tcW w:w="1845"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采购标的对应的中小企业划分标准所属行业</w:t>
            </w:r>
          </w:p>
        </w:tc>
        <w:tc>
          <w:tcPr>
            <w:tcW w:w="7227" w:type="dxa"/>
            <w:vAlign w:val="center"/>
          </w:tcPr>
          <w:p>
            <w:pPr>
              <w:pStyle w:val="120"/>
              <w:keepNext w:val="0"/>
              <w:keepLines w:val="0"/>
              <w:pageBreakBefore w:val="0"/>
              <w:numPr>
                <w:ilvl w:val="0"/>
                <w:numId w:val="0"/>
              </w:numPr>
              <w:kinsoku/>
              <w:wordWrap/>
              <w:overflowPunct/>
              <w:topLinePunct w:val="0"/>
              <w:bidi w:val="0"/>
              <w:snapToGrid/>
              <w:spacing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租赁和商务服务业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1"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p>
        </w:tc>
        <w:tc>
          <w:tcPr>
            <w:tcW w:w="1845" w:type="dxa"/>
            <w:vAlign w:val="center"/>
          </w:tcPr>
          <w:p>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响应文件和证明资料签字、盖章要求</w:t>
            </w:r>
          </w:p>
        </w:tc>
        <w:tc>
          <w:tcPr>
            <w:tcW w:w="7227" w:type="dxa"/>
            <w:vAlign w:val="center"/>
          </w:tcPr>
          <w:p>
            <w:pPr>
              <w:pStyle w:val="120"/>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1、按第八章响应文件格式中要求签字和盖章；</w:t>
            </w:r>
          </w:p>
          <w:p>
            <w:pPr>
              <w:pStyle w:val="120"/>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2、证明资料复印件、扫描件加盖投标人公章；</w:t>
            </w:r>
          </w:p>
          <w:p>
            <w:pPr>
              <w:pStyle w:val="120"/>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3、相关网站查询证明截图加盖投标人公章。</w:t>
            </w:r>
          </w:p>
          <w:p>
            <w:pPr>
              <w:pStyle w:val="120"/>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4、响应文件建议</w:t>
            </w:r>
            <w:r>
              <w:rPr>
                <w:rFonts w:hint="eastAsia" w:ascii="宋体" w:hAnsi="宋体" w:eastAsia="宋体" w:cs="宋体"/>
                <w:b/>
                <w:bCs/>
                <w:color w:val="auto"/>
                <w:sz w:val="24"/>
                <w:lang w:val="en-US" w:eastAsia="zh-CN"/>
              </w:rPr>
              <w:t>双面打印</w:t>
            </w:r>
            <w:r>
              <w:rPr>
                <w:rFonts w:hint="eastAsia" w:ascii="宋体" w:hAnsi="宋体" w:eastAsia="宋体" w:cs="宋体"/>
                <w:color w:val="auto"/>
                <w:sz w:val="24"/>
                <w:lang w:val="en-US" w:eastAsia="zh-CN"/>
              </w:rPr>
              <w:t>。</w:t>
            </w:r>
          </w:p>
        </w:tc>
      </w:tr>
    </w:tbl>
    <w:p>
      <w:pPr>
        <w:autoSpaceDE w:val="0"/>
        <w:autoSpaceDN w:val="0"/>
        <w:adjustRightInd w:val="0"/>
        <w:spacing w:line="360" w:lineRule="auto"/>
        <w:jc w:val="center"/>
        <w:rPr>
          <w:rFonts w:hint="eastAsia" w:ascii="宋体" w:hAnsi="宋体" w:eastAsia="宋体" w:cs="宋体"/>
          <w:color w:val="auto"/>
          <w:sz w:val="28"/>
          <w:szCs w:val="28"/>
        </w:rPr>
        <w:sectPr>
          <w:footerReference r:id="rId12" w:type="first"/>
          <w:footerReference r:id="rId11"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425" w:num="1"/>
          <w:titlePg/>
          <w:docGrid w:linePitch="312" w:charSpace="0"/>
        </w:sectPr>
      </w:pPr>
    </w:p>
    <w:p>
      <w:pPr>
        <w:pStyle w:val="3"/>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32"/>
          <w:szCs w:val="32"/>
          <w:lang w:val="zh-CN" w:eastAsia="zh-CN"/>
        </w:rPr>
      </w:pPr>
      <w:bookmarkStart w:id="1" w:name="_Toc3444"/>
      <w:r>
        <w:rPr>
          <w:rFonts w:hint="eastAsia" w:ascii="宋体" w:hAnsi="宋体" w:eastAsia="宋体" w:cs="宋体"/>
          <w:b/>
          <w:bCs/>
          <w:color w:val="auto"/>
          <w:sz w:val="32"/>
          <w:szCs w:val="32"/>
          <w:lang w:val="en-US" w:eastAsia="zh-CN"/>
        </w:rPr>
        <w:t xml:space="preserve">第三章 </w:t>
      </w:r>
      <w:r>
        <w:rPr>
          <w:rFonts w:hint="eastAsia" w:ascii="宋体" w:hAnsi="宋体" w:eastAsia="宋体" w:cs="宋体"/>
          <w:b/>
          <w:bCs/>
          <w:color w:val="auto"/>
          <w:sz w:val="32"/>
          <w:szCs w:val="32"/>
          <w:lang w:val="zh-CN" w:eastAsia="zh-CN"/>
        </w:rPr>
        <w:t>供应商须知</w:t>
      </w:r>
      <w:bookmarkEnd w:id="1"/>
    </w:p>
    <w:p>
      <w:pPr>
        <w:keepLines w:val="0"/>
        <w:pageBreakBefore w:val="0"/>
        <w:widowControl w:val="0"/>
        <w:kinsoku/>
        <w:wordWrap/>
        <w:overflowPunct/>
        <w:topLinePunct w:val="0"/>
        <w:autoSpaceDE w:val="0"/>
        <w:autoSpaceDN w:val="0"/>
        <w:bidi w:val="0"/>
        <w:adjustRightInd w:val="0"/>
        <w:snapToGrid/>
        <w:spacing w:line="440" w:lineRule="exact"/>
        <w:ind w:firstLine="573"/>
        <w:jc w:val="center"/>
        <w:textAlignment w:val="auto"/>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en-US" w:eastAsia="zh-CN"/>
        </w:rPr>
        <w:t>A</w:t>
      </w:r>
      <w:r>
        <w:rPr>
          <w:rFonts w:hint="eastAsia" w:ascii="宋体" w:hAnsi="宋体" w:eastAsia="宋体" w:cs="宋体"/>
          <w:b/>
          <w:color w:val="auto"/>
          <w:sz w:val="28"/>
          <w:szCs w:val="28"/>
          <w:lang w:val="zh-CN"/>
        </w:rPr>
        <w:t>、总则</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1、资金来源</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1.1本次单一来源所签合同使用财政</w:t>
      </w:r>
      <w:r>
        <w:rPr>
          <w:rFonts w:hint="eastAsia" w:ascii="宋体" w:hAnsi="宋体" w:eastAsia="宋体" w:cs="宋体"/>
          <w:color w:val="auto"/>
          <w:sz w:val="24"/>
          <w:szCs w:val="24"/>
          <w:highlight w:val="none"/>
          <w:lang w:val="en-US" w:eastAsia="zh-CN"/>
        </w:rPr>
        <w:t>资金</w:t>
      </w:r>
      <w:r>
        <w:rPr>
          <w:rFonts w:hint="eastAsia" w:ascii="宋体" w:hAnsi="宋体" w:eastAsia="宋体" w:cs="宋体"/>
          <w:b w:val="0"/>
          <w:bCs/>
          <w:color w:val="auto"/>
          <w:sz w:val="24"/>
          <w:szCs w:val="24"/>
          <w:lang w:val="en-US" w:eastAsia="zh-CN"/>
        </w:rPr>
        <w:t>支付，资金已落实到位。</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lang w:val="en-US" w:eastAsia="zh-CN"/>
        </w:rPr>
        <w:t>名词解释</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1、采 购</w:t>
      </w:r>
      <w:r>
        <w:rPr>
          <w:rFonts w:hint="eastAsia" w:ascii="宋体" w:hAnsi="宋体" w:eastAsia="宋体" w:cs="宋体"/>
          <w:color w:val="auto"/>
          <w:sz w:val="24"/>
          <w:szCs w:val="24"/>
          <w:highlight w:val="none"/>
          <w:lang w:val="zh-CN"/>
        </w:rPr>
        <w:t xml:space="preserve"> 人：</w:t>
      </w:r>
      <w:r>
        <w:rPr>
          <w:rFonts w:hint="eastAsia" w:ascii="宋体" w:hAnsi="宋体" w:eastAsia="宋体" w:cs="宋体"/>
          <w:color w:val="auto"/>
          <w:sz w:val="24"/>
          <w:szCs w:val="24"/>
          <w:highlight w:val="none"/>
          <w:lang w:eastAsia="zh-CN"/>
        </w:rPr>
        <w:t>泾阳县人民政府办公室</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2、监督机构：</w:t>
      </w:r>
      <w:r>
        <w:rPr>
          <w:rFonts w:hint="eastAsia" w:ascii="宋体" w:hAnsi="宋体" w:eastAsia="宋体" w:cs="宋体"/>
          <w:color w:val="auto"/>
          <w:sz w:val="24"/>
          <w:szCs w:val="24"/>
          <w:lang w:val="en-US" w:eastAsia="zh-CN"/>
        </w:rPr>
        <w:t>泾阳县财政局</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lang w:val="zh-CN"/>
        </w:rPr>
        <w:t>、采购代理机构：</w:t>
      </w:r>
      <w:r>
        <w:rPr>
          <w:rFonts w:hint="eastAsia" w:ascii="宋体" w:hAnsi="宋体" w:eastAsia="宋体" w:cs="宋体"/>
          <w:color w:val="auto"/>
          <w:sz w:val="24"/>
          <w:szCs w:val="24"/>
          <w:highlight w:val="none"/>
          <w:lang w:val="en-US" w:eastAsia="zh-CN"/>
        </w:rPr>
        <w:t>泾阳县政府采购中心</w:t>
      </w:r>
      <w:r>
        <w:rPr>
          <w:rFonts w:hint="eastAsia" w:ascii="宋体" w:hAnsi="宋体" w:eastAsia="宋体" w:cs="宋体"/>
          <w:color w:val="auto"/>
          <w:sz w:val="24"/>
          <w:szCs w:val="24"/>
          <w:highlight w:val="none"/>
          <w:lang w:val="zh-CN"/>
        </w:rPr>
        <w:t xml:space="preserve"> </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lang w:val="zh-CN"/>
        </w:rPr>
        <w:t>、供应商：响应谈判并且符合</w:t>
      </w:r>
      <w:r>
        <w:rPr>
          <w:rFonts w:hint="eastAsia" w:ascii="宋体" w:hAnsi="宋体" w:cs="宋体"/>
          <w:color w:val="auto"/>
          <w:sz w:val="24"/>
          <w:szCs w:val="24"/>
          <w:lang w:val="en-US" w:eastAsia="zh-CN"/>
        </w:rPr>
        <w:t>单一来源</w:t>
      </w:r>
      <w:r>
        <w:rPr>
          <w:rFonts w:hint="eastAsia" w:ascii="宋体" w:hAnsi="宋体" w:eastAsia="宋体" w:cs="宋体"/>
          <w:color w:val="auto"/>
          <w:sz w:val="24"/>
          <w:szCs w:val="24"/>
          <w:lang w:val="zh-CN"/>
        </w:rPr>
        <w:t>采购文件规定资格条件和参加谈判竞争的法人或其他组织或自然人。</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2.5、服务是指供应商为满足单一来源文件要求而提供的服务。</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2.6、单一来源文件：由采购人或采购代理机构发出的文本、文件，包括全部章节和附件及答疑会议纪要。</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2.7、单一来源响应文件：谈判供应商根据本单一来源文件向采购人提交的全部文件。</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2.8、书面形式：任何手写、打印或印刷的各种函件，包括电传、电报、电子邮件等。</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谈判费用</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无论谈判结果如何，谈判供应商自行承担与参加谈判活动有关的全部费用。</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zh-CN"/>
        </w:rPr>
        <w:t>合格的供应商</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.1、《中华人民共和国政府采购法》第二十二条第一款规定的供应商基本资格条件:</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1）具有独立承担民事责任的能力；</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2）具有良好的商业信誉和健全的财务会计制度；</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3）具有履行合同所必需的设备和专业技术能力；</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4）有依法缴纳税收和社会保障资金的良好记录；</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5）参加政府采购活动前三年内，在经营活动中没有重大违法记录；</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6）法律、行政法规规定的其他条件。</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.2、根据本次采购项目的要求，规定的供应商特殊条件（见供应商须知前附表）。</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否则均为无效谈判。</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.4、供应商不得直接或间接地与采购人或采购代理机构有任何关联，亦不得是采购人或采购代理机构的附属机构。如果供应商在谈判中隐瞒了上述关系，一经证实，则该谈判无效。</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.5、供应商必须在</w:t>
      </w:r>
      <w:r>
        <w:rPr>
          <w:rFonts w:hint="eastAsia" w:ascii="宋体" w:hAnsi="宋体" w:eastAsia="宋体" w:cs="宋体"/>
          <w:color w:val="auto"/>
          <w:sz w:val="24"/>
          <w:szCs w:val="24"/>
          <w:lang w:val="en-US" w:eastAsia="zh-CN"/>
        </w:rPr>
        <w:t>泾阳县政府采购中心报名并领取</w:t>
      </w:r>
      <w:r>
        <w:rPr>
          <w:rFonts w:hint="eastAsia" w:ascii="宋体" w:hAnsi="宋体" w:eastAsia="宋体" w:cs="宋体"/>
          <w:color w:val="auto"/>
          <w:sz w:val="24"/>
          <w:szCs w:val="24"/>
          <w:lang w:val="zh-CN"/>
        </w:rPr>
        <w:t>单一来源文件，方可参加谈判。</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.6、联合体谈判：不接受联合体谈判。</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5、合格的货物（产品）和服务</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5.1、</w:t>
      </w:r>
      <w:r>
        <w:rPr>
          <w:rFonts w:hint="eastAsia" w:ascii="宋体" w:hAnsi="宋体" w:eastAsia="宋体" w:cs="宋体"/>
          <w:color w:val="auto"/>
          <w:sz w:val="24"/>
          <w:szCs w:val="24"/>
          <w:lang w:val="zh-CN"/>
        </w:rPr>
        <w:t>供应商提供的所有货物和服务，必须是合法生产、合法来源，符合国家有关标准要求，并满足单一来源文件规定的规格、参数、质量、价格、有效期、售后服务及供应商须承担的运输、安装、技术支持、培训和单一来源文件规定的其它伴随服务等要求。</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5.2、</w:t>
      </w:r>
      <w:r>
        <w:rPr>
          <w:rFonts w:hint="eastAsia" w:ascii="宋体" w:hAnsi="宋体" w:eastAsia="宋体" w:cs="宋体"/>
          <w:color w:val="auto"/>
          <w:sz w:val="24"/>
          <w:szCs w:val="24"/>
          <w:lang w:val="zh-CN"/>
        </w:rPr>
        <w:t>采购人有权拒绝接受任何不合格的产品和服务，由此产生的费用及相关后果均由供应商自行承担。</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6、单一来源响应文件内容的真实性</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应保证其单一来源响应文件中所提供的所有有关谈判的资料、信息是真实的、并且来源于合法的渠道。因单一来源响应文件中所提供的有关谈判的资料、信息不真实、或者其来源不合法而导致的所有法律责任，由供应商自行承担。</w:t>
      </w:r>
    </w:p>
    <w:p>
      <w:pPr>
        <w:keepLines w:val="0"/>
        <w:pageBreakBefore w:val="0"/>
        <w:widowControl w:val="0"/>
        <w:kinsoku/>
        <w:wordWrap/>
        <w:overflowPunct/>
        <w:topLinePunct w:val="0"/>
        <w:autoSpaceDE w:val="0"/>
        <w:autoSpaceDN w:val="0"/>
        <w:bidi w:val="0"/>
        <w:adjustRightInd w:val="0"/>
        <w:snapToGrid/>
        <w:spacing w:line="440" w:lineRule="exact"/>
        <w:ind w:firstLine="573"/>
        <w:jc w:val="center"/>
        <w:textAlignment w:val="auto"/>
        <w:rPr>
          <w:rFonts w:hint="eastAsia" w:ascii="宋体" w:hAnsi="宋体" w:eastAsia="宋体" w:cs="宋体"/>
          <w:color w:val="auto"/>
          <w:lang w:val="zh-CN"/>
        </w:rPr>
      </w:pPr>
      <w:r>
        <w:rPr>
          <w:rFonts w:hint="eastAsia" w:ascii="宋体" w:hAnsi="宋体" w:eastAsia="宋体" w:cs="宋体"/>
          <w:b/>
          <w:color w:val="auto"/>
          <w:sz w:val="28"/>
          <w:szCs w:val="28"/>
          <w:lang w:val="en-US" w:eastAsia="zh-CN"/>
        </w:rPr>
        <w:t>B</w:t>
      </w:r>
      <w:r>
        <w:rPr>
          <w:rFonts w:hint="eastAsia" w:ascii="宋体" w:hAnsi="宋体" w:eastAsia="宋体" w:cs="宋体"/>
          <w:b/>
          <w:color w:val="auto"/>
          <w:sz w:val="28"/>
          <w:szCs w:val="28"/>
          <w:lang w:val="zh-CN"/>
        </w:rPr>
        <w:t>、单一来源文件</w:t>
      </w:r>
    </w:p>
    <w:p>
      <w:pPr>
        <w:keepLines w:val="0"/>
        <w:pageBreakBefore w:val="0"/>
        <w:widowControl w:val="0"/>
        <w:kinsoku/>
        <w:wordWrap/>
        <w:overflowPunct/>
        <w:topLinePunct w:val="0"/>
        <w:bidi w:val="0"/>
        <w:snapToGrid/>
        <w:spacing w:line="44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7、单一来源文件的构成</w:t>
      </w:r>
    </w:p>
    <w:p>
      <w:pPr>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单一来源文件</w:t>
      </w:r>
      <w:r>
        <w:rPr>
          <w:rFonts w:hint="eastAsia" w:ascii="宋体" w:hAnsi="宋体" w:eastAsia="宋体" w:cs="宋体"/>
          <w:color w:val="auto"/>
          <w:sz w:val="24"/>
          <w:szCs w:val="24"/>
        </w:rPr>
        <w:t>组成：</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采购文件是根据本项目的特点和需求编制，包括以下内容：</w:t>
      </w:r>
    </w:p>
    <w:p>
      <w:pPr>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第一章 单一来源邀请函</w:t>
      </w:r>
    </w:p>
    <w:p>
      <w:pPr>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第二章 供应商须知前附表</w:t>
      </w:r>
    </w:p>
    <w:p>
      <w:pPr>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第三章 供应商须知</w:t>
      </w:r>
    </w:p>
    <w:p>
      <w:pPr>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第四章 评审办法</w:t>
      </w:r>
    </w:p>
    <w:p>
      <w:pPr>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第五章 采购内容及要求</w:t>
      </w:r>
    </w:p>
    <w:p>
      <w:pPr>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第六章 商务要求</w:t>
      </w:r>
    </w:p>
    <w:p>
      <w:pPr>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第七章 合同协议书</w:t>
      </w:r>
    </w:p>
    <w:p>
      <w:pPr>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第八章 响应文件格式</w:t>
      </w:r>
    </w:p>
    <w:p>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val="zh-CN"/>
        </w:rPr>
        <w:t>2、供应商应认真阅读单一来源文件中所有的事项、格式、条款和规范等要求。如果供应商没有按照单一来源文件要求提交全部资料，或者单一来源响应文件没有对单一来源文件在各方面都做出实质性响应，由此带来不利于供应商的谈判结果，其风险由供应商承担。</w:t>
      </w:r>
    </w:p>
    <w:p>
      <w:pPr>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lang w:val="zh-CN"/>
        </w:rPr>
        <w:t>、单一来源文件的澄清或修改</w:t>
      </w:r>
    </w:p>
    <w:p>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8</w:t>
      </w:r>
      <w:r>
        <w:rPr>
          <w:rFonts w:hint="eastAsia" w:ascii="宋体" w:hAnsi="宋体" w:eastAsia="宋体" w:cs="宋体"/>
          <w:b w:val="0"/>
          <w:bCs/>
          <w:color w:val="auto"/>
          <w:sz w:val="24"/>
          <w:szCs w:val="24"/>
          <w:lang w:val="zh-CN"/>
        </w:rPr>
        <w:t>.1、在</w:t>
      </w:r>
      <w:r>
        <w:rPr>
          <w:rFonts w:hint="eastAsia" w:ascii="宋体" w:hAnsi="宋体" w:eastAsia="宋体" w:cs="宋体"/>
          <w:b w:val="0"/>
          <w:bCs w:val="0"/>
          <w:color w:val="auto"/>
          <w:sz w:val="24"/>
          <w:szCs w:val="24"/>
          <w:lang w:val="zh-CN"/>
        </w:rPr>
        <w:t>单一来源</w:t>
      </w:r>
      <w:r>
        <w:rPr>
          <w:rFonts w:hint="eastAsia" w:ascii="宋体" w:hAnsi="宋体" w:eastAsia="宋体" w:cs="宋体"/>
          <w:b w:val="0"/>
          <w:bCs/>
          <w:color w:val="auto"/>
          <w:sz w:val="24"/>
          <w:szCs w:val="24"/>
          <w:lang w:val="zh-CN"/>
        </w:rPr>
        <w:t>响应文件截止时间前，采购代理机构可以视采购具体情况，延长</w:t>
      </w:r>
      <w:r>
        <w:rPr>
          <w:rFonts w:hint="eastAsia" w:ascii="宋体" w:hAnsi="宋体" w:eastAsia="宋体" w:cs="宋体"/>
          <w:b w:val="0"/>
          <w:bCs w:val="0"/>
          <w:color w:val="auto"/>
          <w:sz w:val="24"/>
          <w:szCs w:val="24"/>
          <w:lang w:val="zh-CN"/>
        </w:rPr>
        <w:t>单一来源</w:t>
      </w:r>
      <w:r>
        <w:rPr>
          <w:rFonts w:hint="eastAsia" w:ascii="宋体" w:hAnsi="宋体" w:eastAsia="宋体" w:cs="宋体"/>
          <w:b w:val="0"/>
          <w:bCs/>
          <w:color w:val="auto"/>
          <w:sz w:val="24"/>
          <w:szCs w:val="24"/>
          <w:lang w:val="zh-CN"/>
        </w:rPr>
        <w:t>响应文件递交截止时间和谈判时间并在财政部门指定的媒体上发布变更公告，同时将变更时间书面通知所有获取单一来源文件的供应商。</w:t>
      </w:r>
    </w:p>
    <w:p>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val="zh-CN"/>
        </w:rPr>
        <w:t>.2、提交</w:t>
      </w:r>
      <w:r>
        <w:rPr>
          <w:rFonts w:hint="eastAsia" w:ascii="宋体" w:hAnsi="宋体" w:eastAsia="宋体" w:cs="宋体"/>
          <w:b w:val="0"/>
          <w:bCs w:val="0"/>
          <w:color w:val="auto"/>
          <w:sz w:val="24"/>
          <w:szCs w:val="24"/>
          <w:highlight w:val="none"/>
          <w:lang w:val="zh-CN"/>
        </w:rPr>
        <w:t>单一来源</w:t>
      </w:r>
      <w:r>
        <w:rPr>
          <w:rFonts w:hint="eastAsia" w:ascii="宋体" w:hAnsi="宋体" w:eastAsia="宋体" w:cs="宋体"/>
          <w:b w:val="0"/>
          <w:bCs/>
          <w:color w:val="auto"/>
          <w:sz w:val="24"/>
          <w:szCs w:val="24"/>
          <w:highlight w:val="none"/>
          <w:lang w:val="zh-CN"/>
        </w:rPr>
        <w:t>响应文件截止之间前，采购人或采购代理机构有权对已发出的单一来源文件进行必要的澄清或修改，澄清或修改的内容作为单一来源文件的组成部分。澄清或修改的内容可能影响响应文件编制的，采购代理机构应在提交响应文件截止时间至少</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zh-CN"/>
        </w:rPr>
        <w:t>日前，以书面形式通知所有获得单一来源文件的供应商；不足</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zh-CN"/>
        </w:rPr>
        <w:t>日的，采购代理机构应当顺延提交响应文件截止时间。</w:t>
      </w:r>
    </w:p>
    <w:p>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8</w:t>
      </w:r>
      <w:r>
        <w:rPr>
          <w:rFonts w:hint="eastAsia" w:ascii="宋体" w:hAnsi="宋体" w:eastAsia="宋体" w:cs="宋体"/>
          <w:b w:val="0"/>
          <w:bCs/>
          <w:color w:val="auto"/>
          <w:sz w:val="24"/>
          <w:szCs w:val="24"/>
          <w:lang w:val="zh-CN"/>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val="zh-CN"/>
        </w:rPr>
        <w:t>、任何要求对单一来源文件进行澄清的谈判供应商，均应在响应文件递交截止时间3天前，以书面形式通知采购代理机构,由代理机构汇总后统一进行答复，并以书面形式通知所有参与谈判的供应商。谈判供应商收到后澄清或修改文件后24小时内，以书面形式确认收到该文件。</w:t>
      </w:r>
    </w:p>
    <w:p>
      <w:pPr>
        <w:keepLines w:val="0"/>
        <w:pageBreakBefore w:val="0"/>
        <w:widowControl w:val="0"/>
        <w:kinsoku/>
        <w:wordWrap/>
        <w:overflowPunct/>
        <w:topLinePunct w:val="0"/>
        <w:bidi w:val="0"/>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单一来源文件的澄清或修改内容均以书面形式明确的内容为准。当单一来源文件的澄清、修改、补充等在同一内容的表述上不一致时，以最后发出的书面文件为准。所有补充文件将作为单一来源文件的组成部分，对所有供应商具有约束力。</w:t>
      </w:r>
    </w:p>
    <w:p>
      <w:pPr>
        <w:keepLines w:val="0"/>
        <w:pageBreakBefore w:val="0"/>
        <w:widowControl w:val="0"/>
        <w:kinsoku/>
        <w:wordWrap/>
        <w:overflowPunct/>
        <w:topLinePunct w:val="0"/>
        <w:bidi w:val="0"/>
        <w:snapToGrid/>
        <w:spacing w:line="440" w:lineRule="exact"/>
        <w:ind w:left="-105" w:leftChars="-5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lang w:val="en-US" w:eastAsia="zh-CN"/>
        </w:rPr>
        <w:t>8.5、供应商若对单一来源文件有任何疑问，可以以书面形式向采购代理机构提出询问。否则，视为同意单一来源文件的一切条款和要求并承担由此引起的一切法律责任。凡因供应商对单一来源文件阅读不深、理解不透、误解、疏漏、或因市场行情了解不清造成的后果和风险均由供应商自负。</w:t>
      </w:r>
    </w:p>
    <w:p>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8</w:t>
      </w:r>
      <w:r>
        <w:rPr>
          <w:rFonts w:hint="eastAsia" w:ascii="宋体" w:hAnsi="宋体" w:eastAsia="宋体" w:cs="宋体"/>
          <w:b w:val="0"/>
          <w:bCs/>
          <w:color w:val="auto"/>
          <w:sz w:val="24"/>
          <w:szCs w:val="24"/>
          <w:lang w:val="zh-CN"/>
        </w:rPr>
        <w:t>.</w:t>
      </w: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lang w:val="zh-CN"/>
        </w:rPr>
        <w:t>、单一来源文件的解释权归采购代理机构所有。如发现单一来源文件内容中与现行的法律法规不相符合的情况，以现行的法律法规为准；单一来源文件中某个或多个条款依我国法律、法规被认定为非法、无效或不可执行的,该无效条款的无效、失效和不可执行,不影响亦不损害其他条款的有效性、生效性和可执行性。</w:t>
      </w:r>
    </w:p>
    <w:p>
      <w:pPr>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en-US" w:eastAsia="zh-CN"/>
        </w:rPr>
        <w:t>9、</w:t>
      </w:r>
      <w:r>
        <w:rPr>
          <w:rFonts w:hint="eastAsia" w:ascii="宋体" w:hAnsi="宋体" w:eastAsia="宋体" w:cs="宋体"/>
          <w:b/>
          <w:bCs w:val="0"/>
          <w:color w:val="auto"/>
          <w:sz w:val="24"/>
          <w:szCs w:val="24"/>
          <w:lang w:val="zh-CN"/>
        </w:rPr>
        <w:t>备选谈判方案</w:t>
      </w:r>
    </w:p>
    <w:p>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lang w:val="zh-CN"/>
        </w:rPr>
      </w:pPr>
      <w:r>
        <w:rPr>
          <w:rFonts w:hint="eastAsia" w:ascii="宋体" w:hAnsi="宋体" w:eastAsia="宋体" w:cs="宋体"/>
          <w:b w:val="0"/>
          <w:bCs/>
          <w:color w:val="auto"/>
          <w:sz w:val="24"/>
          <w:szCs w:val="24"/>
          <w:lang w:val="zh-CN"/>
        </w:rPr>
        <w:t>本项目不得提供备选方案。</w:t>
      </w:r>
    </w:p>
    <w:p>
      <w:pPr>
        <w:keepLines w:val="0"/>
        <w:pageBreakBefore w:val="0"/>
        <w:widowControl w:val="0"/>
        <w:numPr>
          <w:ilvl w:val="0"/>
          <w:numId w:val="2"/>
        </w:numPr>
        <w:kinsoku/>
        <w:wordWrap/>
        <w:overflowPunct/>
        <w:topLinePunct w:val="0"/>
        <w:autoSpaceDE w:val="0"/>
        <w:autoSpaceDN w:val="0"/>
        <w:bidi w:val="0"/>
        <w:adjustRightInd w:val="0"/>
        <w:snapToGrid/>
        <w:spacing w:line="440" w:lineRule="exact"/>
        <w:ind w:firstLine="573"/>
        <w:jc w:val="center"/>
        <w:textAlignment w:val="auto"/>
        <w:rPr>
          <w:rFonts w:hint="eastAsia" w:ascii="宋体" w:hAnsi="宋体" w:eastAsia="宋体" w:cs="宋体"/>
          <w:color w:val="auto"/>
          <w:shd w:val="clear" w:color="auto" w:fill="auto"/>
          <w:lang w:val="zh-CN"/>
        </w:rPr>
      </w:pPr>
      <w:r>
        <w:rPr>
          <w:rFonts w:hint="eastAsia" w:ascii="宋体" w:hAnsi="宋体" w:eastAsia="宋体" w:cs="宋体"/>
          <w:b/>
          <w:color w:val="auto"/>
          <w:sz w:val="28"/>
          <w:szCs w:val="28"/>
          <w:lang w:val="en-US" w:eastAsia="zh-CN"/>
        </w:rPr>
        <w:t>单一来源响应</w:t>
      </w:r>
      <w:r>
        <w:rPr>
          <w:rFonts w:hint="eastAsia" w:ascii="宋体" w:hAnsi="宋体" w:eastAsia="宋体" w:cs="宋体"/>
          <w:b/>
          <w:color w:val="auto"/>
          <w:sz w:val="28"/>
          <w:szCs w:val="28"/>
          <w:lang w:val="zh-CN"/>
        </w:rPr>
        <w:t>文件</w:t>
      </w:r>
    </w:p>
    <w:p>
      <w:pPr>
        <w:keepLines w:val="0"/>
        <w:pageBreakBefore w:val="0"/>
        <w:widowControl w:val="0"/>
        <w:kinsoku/>
        <w:wordWrap/>
        <w:overflowPunct/>
        <w:topLinePunct w:val="0"/>
        <w:autoSpaceDE w:val="0"/>
        <w:autoSpaceDN w:val="0"/>
        <w:bidi w:val="0"/>
        <w:adjustRightInd w:val="0"/>
        <w:snapToGrid/>
        <w:spacing w:line="440" w:lineRule="exact"/>
        <w:ind w:firstLine="570"/>
        <w:textAlignment w:val="auto"/>
        <w:rPr>
          <w:rFonts w:hint="eastAsia" w:ascii="宋体" w:hAnsi="宋体" w:eastAsia="宋体" w:cs="宋体"/>
          <w:b/>
          <w:bCs w:val="0"/>
          <w:color w:val="auto"/>
          <w:sz w:val="24"/>
          <w:szCs w:val="24"/>
          <w:shd w:val="clear" w:color="auto" w:fill="auto"/>
          <w:lang w:val="en-US" w:eastAsia="zh-CN"/>
        </w:rPr>
      </w:pPr>
      <w:r>
        <w:rPr>
          <w:rFonts w:hint="eastAsia" w:ascii="宋体" w:hAnsi="宋体" w:eastAsia="宋体" w:cs="宋体"/>
          <w:b/>
          <w:bCs w:val="0"/>
          <w:color w:val="auto"/>
          <w:sz w:val="24"/>
          <w:szCs w:val="24"/>
          <w:shd w:val="clear" w:color="auto" w:fill="auto"/>
          <w:lang w:val="en-US" w:eastAsia="zh-CN"/>
        </w:rPr>
        <w:t>10、单一来源响应文件编制的原则</w:t>
      </w:r>
    </w:p>
    <w:p>
      <w:pPr>
        <w:keepLines w:val="0"/>
        <w:pageBreakBefore w:val="0"/>
        <w:widowControl w:val="0"/>
        <w:kinsoku/>
        <w:wordWrap/>
        <w:overflowPunct/>
        <w:topLinePunct w:val="0"/>
        <w:autoSpaceDE w:val="0"/>
        <w:autoSpaceDN w:val="0"/>
        <w:bidi w:val="0"/>
        <w:adjustRightInd w:val="0"/>
        <w:snapToGrid/>
        <w:spacing w:line="440" w:lineRule="exact"/>
        <w:ind w:firstLine="570"/>
        <w:textAlignment w:val="auto"/>
        <w:rPr>
          <w:rFonts w:hint="eastAsia" w:ascii="宋体" w:hAnsi="宋体" w:eastAsia="宋体" w:cs="宋体"/>
          <w:b w:val="0"/>
          <w:bCs/>
          <w:color w:val="auto"/>
          <w:sz w:val="24"/>
          <w:szCs w:val="24"/>
          <w:shd w:val="clear" w:color="auto" w:fill="auto"/>
          <w:lang w:val="zh-CN"/>
        </w:rPr>
      </w:pPr>
      <w:r>
        <w:rPr>
          <w:rFonts w:hint="eastAsia" w:ascii="宋体" w:hAnsi="宋体" w:eastAsia="宋体" w:cs="宋体"/>
          <w:b w:val="0"/>
          <w:bCs/>
          <w:color w:val="auto"/>
          <w:sz w:val="24"/>
          <w:szCs w:val="24"/>
          <w:shd w:val="clear" w:color="auto" w:fill="auto"/>
          <w:lang w:val="en-US" w:eastAsia="zh-CN"/>
        </w:rPr>
        <w:t>10.1、供应商应在认真阅读单一来源文件所有内容的基础上，按照单一来源文件的要求编制完整的响应文件。单一来源</w:t>
      </w:r>
      <w:r>
        <w:rPr>
          <w:rFonts w:hint="eastAsia" w:ascii="宋体" w:hAnsi="宋体" w:eastAsia="宋体" w:cs="宋体"/>
          <w:b w:val="0"/>
          <w:bCs/>
          <w:color w:val="auto"/>
          <w:sz w:val="24"/>
          <w:szCs w:val="24"/>
          <w:shd w:val="clear" w:color="auto" w:fill="auto"/>
          <w:lang w:val="zh-CN"/>
        </w:rPr>
        <w:t>响应文件参考给定格式编制，对单一来源文件要求做出实质性响应。供应商可根据情况自行扩展，但不得随意删减格式要求内容。</w:t>
      </w:r>
    </w:p>
    <w:p>
      <w:pPr>
        <w:keepLines w:val="0"/>
        <w:pageBreakBefore w:val="0"/>
        <w:widowControl w:val="0"/>
        <w:kinsoku/>
        <w:wordWrap/>
        <w:overflowPunct/>
        <w:topLinePunct w:val="0"/>
        <w:autoSpaceDE w:val="0"/>
        <w:autoSpaceDN w:val="0"/>
        <w:bidi w:val="0"/>
        <w:adjustRightInd w:val="0"/>
        <w:snapToGrid/>
        <w:spacing w:line="440" w:lineRule="exact"/>
        <w:ind w:firstLine="570"/>
        <w:textAlignment w:val="auto"/>
        <w:rPr>
          <w:rFonts w:hint="eastAsia" w:ascii="宋体" w:hAnsi="宋体" w:eastAsia="宋体" w:cs="宋体"/>
          <w:b w:val="0"/>
          <w:bCs/>
          <w:color w:val="auto"/>
          <w:sz w:val="24"/>
          <w:szCs w:val="24"/>
          <w:shd w:val="clear" w:color="auto" w:fill="auto"/>
          <w:lang w:val="en-US" w:eastAsia="zh-CN"/>
        </w:rPr>
      </w:pPr>
      <w:r>
        <w:rPr>
          <w:rFonts w:hint="eastAsia" w:ascii="宋体" w:hAnsi="宋体" w:eastAsia="宋体" w:cs="宋体"/>
          <w:b w:val="0"/>
          <w:bCs/>
          <w:color w:val="auto"/>
          <w:sz w:val="24"/>
          <w:szCs w:val="24"/>
          <w:shd w:val="clear" w:color="auto" w:fill="auto"/>
          <w:lang w:val="en-US" w:eastAsia="zh-CN"/>
        </w:rPr>
        <w:t>10.2、供应商必须保证响应文件所提供的全部资料真实可靠，并接受对其中任何资料进一步审查的要求。</w:t>
      </w:r>
    </w:p>
    <w:p>
      <w:pPr>
        <w:keepLines w:val="0"/>
        <w:pageBreakBefore w:val="0"/>
        <w:widowControl w:val="0"/>
        <w:kinsoku/>
        <w:wordWrap/>
        <w:overflowPunct/>
        <w:topLinePunct w:val="0"/>
        <w:autoSpaceDE w:val="0"/>
        <w:autoSpaceDN w:val="0"/>
        <w:bidi w:val="0"/>
        <w:adjustRightInd w:val="0"/>
        <w:snapToGrid/>
        <w:spacing w:line="440" w:lineRule="exact"/>
        <w:ind w:firstLine="570"/>
        <w:textAlignment w:val="auto"/>
        <w:rPr>
          <w:rFonts w:hint="eastAsia" w:ascii="宋体" w:hAnsi="宋体" w:eastAsia="宋体" w:cs="宋体"/>
          <w:b w:val="0"/>
          <w:bCs/>
          <w:color w:val="auto"/>
          <w:sz w:val="24"/>
          <w:szCs w:val="24"/>
          <w:shd w:val="clear" w:color="auto" w:fill="auto"/>
          <w:lang w:val="en-US" w:eastAsia="zh-CN"/>
        </w:rPr>
      </w:pPr>
      <w:r>
        <w:rPr>
          <w:rFonts w:hint="eastAsia" w:ascii="宋体" w:hAnsi="宋体" w:eastAsia="宋体" w:cs="宋体"/>
          <w:b w:val="0"/>
          <w:bCs/>
          <w:color w:val="auto"/>
          <w:sz w:val="24"/>
          <w:szCs w:val="24"/>
          <w:shd w:val="clear" w:color="auto" w:fill="auto"/>
          <w:lang w:val="en-US" w:eastAsia="zh-CN"/>
        </w:rPr>
        <w:t>10.3、响应文件须对单一来源文件中的内容做出实质性和完整的响应，否则其投标将被拒绝。</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bCs w:val="0"/>
          <w:color w:val="auto"/>
          <w:sz w:val="24"/>
          <w:szCs w:val="24"/>
          <w:shd w:val="clear" w:color="auto" w:fill="auto"/>
          <w:lang w:val="en-US" w:eastAsia="zh-CN"/>
        </w:rPr>
      </w:pPr>
      <w:r>
        <w:rPr>
          <w:rFonts w:hint="eastAsia" w:ascii="宋体" w:hAnsi="宋体" w:eastAsia="宋体" w:cs="宋体"/>
          <w:b/>
          <w:bCs w:val="0"/>
          <w:color w:val="auto"/>
          <w:sz w:val="24"/>
          <w:szCs w:val="24"/>
          <w:shd w:val="clear" w:color="auto" w:fill="auto"/>
          <w:lang w:val="en-US" w:eastAsia="zh-CN"/>
        </w:rPr>
        <w:t>11、单一来源</w:t>
      </w:r>
      <w:r>
        <w:rPr>
          <w:rFonts w:hint="eastAsia" w:ascii="宋体" w:hAnsi="宋体" w:eastAsia="宋体" w:cs="宋体"/>
          <w:b/>
          <w:bCs w:val="0"/>
          <w:color w:val="auto"/>
          <w:sz w:val="24"/>
          <w:szCs w:val="24"/>
          <w:shd w:val="clear" w:color="auto" w:fill="auto"/>
          <w:lang w:val="zh-CN"/>
        </w:rPr>
        <w:t>响应文件</w:t>
      </w:r>
      <w:r>
        <w:rPr>
          <w:rFonts w:hint="eastAsia" w:ascii="宋体" w:hAnsi="宋体" w:eastAsia="宋体" w:cs="宋体"/>
          <w:b/>
          <w:bCs w:val="0"/>
          <w:color w:val="auto"/>
          <w:sz w:val="24"/>
          <w:szCs w:val="24"/>
          <w:shd w:val="clear" w:color="auto" w:fill="auto"/>
          <w:lang w:val="en-US" w:eastAsia="zh-CN"/>
        </w:rPr>
        <w:t>的式样</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11.1、语言</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采购活动的所有文件、资料、函电文字均使用简体中文，确需提交用其他语言形成的资料，必须翻译成简体中文，如有差异，以简体中文为准。</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en-US" w:eastAsia="zh-CN"/>
        </w:rPr>
        <w:t>11.2、单一来源</w:t>
      </w:r>
      <w:r>
        <w:rPr>
          <w:rFonts w:hint="eastAsia" w:ascii="宋体" w:hAnsi="宋体" w:eastAsia="宋体" w:cs="宋体"/>
          <w:b w:val="0"/>
          <w:bCs/>
          <w:color w:val="auto"/>
          <w:sz w:val="24"/>
          <w:szCs w:val="24"/>
          <w:lang w:val="zh-CN" w:eastAsia="zh-CN"/>
        </w:rPr>
        <w:t>响应文件计量单位</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bCs/>
          <w:color w:val="auto"/>
          <w:sz w:val="24"/>
          <w:szCs w:val="24"/>
          <w:lang w:val="zh-CN"/>
        </w:rPr>
      </w:pPr>
      <w:r>
        <w:rPr>
          <w:rFonts w:hint="eastAsia" w:ascii="宋体" w:hAnsi="宋体" w:eastAsia="宋体" w:cs="宋体"/>
          <w:b w:val="0"/>
          <w:bCs/>
          <w:color w:val="auto"/>
          <w:sz w:val="24"/>
          <w:szCs w:val="24"/>
          <w:lang w:val="en-US" w:eastAsia="zh-CN"/>
        </w:rPr>
        <w:t>单一来源</w:t>
      </w:r>
      <w:r>
        <w:rPr>
          <w:rFonts w:hint="eastAsia" w:ascii="宋体" w:hAnsi="宋体" w:eastAsia="宋体" w:cs="宋体"/>
          <w:bCs/>
          <w:color w:val="auto"/>
          <w:sz w:val="24"/>
          <w:szCs w:val="24"/>
          <w:lang w:val="zh-CN"/>
        </w:rPr>
        <w:t>响应文件中所使用的计量单位，除有特殊要求外，均采用国家法定计量单位。</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bCs w:val="0"/>
          <w:color w:val="auto"/>
          <w:sz w:val="24"/>
          <w:szCs w:val="24"/>
          <w:highlight w:val="none"/>
          <w:shd w:val="clear" w:color="auto" w:fill="auto"/>
          <w:lang w:val="zh-CN"/>
        </w:rPr>
      </w:pPr>
      <w:r>
        <w:rPr>
          <w:rFonts w:hint="eastAsia" w:ascii="宋体" w:hAnsi="宋体" w:eastAsia="宋体" w:cs="宋体"/>
          <w:b/>
          <w:bCs w:val="0"/>
          <w:color w:val="auto"/>
          <w:sz w:val="24"/>
          <w:szCs w:val="24"/>
          <w:highlight w:val="none"/>
          <w:shd w:val="clear" w:color="auto" w:fill="auto"/>
          <w:lang w:val="en-US" w:eastAsia="zh-CN"/>
        </w:rPr>
        <w:t>12、单一来源</w:t>
      </w:r>
      <w:r>
        <w:rPr>
          <w:rFonts w:hint="eastAsia" w:ascii="宋体" w:hAnsi="宋体" w:eastAsia="宋体" w:cs="宋体"/>
          <w:b/>
          <w:bCs w:val="0"/>
          <w:color w:val="auto"/>
          <w:sz w:val="24"/>
          <w:szCs w:val="24"/>
          <w:highlight w:val="none"/>
          <w:shd w:val="clear" w:color="auto" w:fill="auto"/>
          <w:lang w:val="zh-CN"/>
        </w:rPr>
        <w:t>响应文件的组成</w:t>
      </w:r>
    </w:p>
    <w:p>
      <w:pPr>
        <w:pStyle w:val="4"/>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shd w:val="clear" w:color="auto" w:fill="auto"/>
          <w:lang w:val="zh-CN"/>
        </w:rPr>
      </w:pPr>
      <w:r>
        <w:rPr>
          <w:rFonts w:hint="eastAsia" w:ascii="宋体" w:hAnsi="宋体" w:eastAsia="宋体" w:cs="宋体"/>
          <w:b w:val="0"/>
          <w:bCs/>
          <w:color w:val="auto"/>
          <w:sz w:val="24"/>
          <w:szCs w:val="24"/>
          <w:highlight w:val="none"/>
          <w:shd w:val="clear" w:color="auto" w:fill="auto"/>
          <w:lang w:val="en-US" w:eastAsia="zh-CN"/>
        </w:rPr>
        <w:t>12.1、单一来源</w:t>
      </w:r>
      <w:r>
        <w:rPr>
          <w:rFonts w:hint="eastAsia" w:ascii="宋体" w:hAnsi="宋体" w:eastAsia="宋体" w:cs="宋体"/>
          <w:b w:val="0"/>
          <w:bCs/>
          <w:color w:val="auto"/>
          <w:sz w:val="24"/>
          <w:szCs w:val="24"/>
          <w:highlight w:val="none"/>
          <w:shd w:val="clear" w:color="auto" w:fill="auto"/>
          <w:lang w:val="zh-CN"/>
        </w:rPr>
        <w:t>响应文件的组成包含</w:t>
      </w:r>
      <w:r>
        <w:rPr>
          <w:rFonts w:hint="eastAsia" w:ascii="宋体" w:hAnsi="宋体" w:eastAsia="宋体" w:cs="宋体"/>
          <w:color w:val="auto"/>
          <w:sz w:val="24"/>
          <w:szCs w:val="24"/>
          <w:highlight w:val="none"/>
          <w:shd w:val="clear" w:color="auto" w:fill="auto"/>
          <w:lang w:eastAsia="zh-CN"/>
        </w:rPr>
        <w:t>谈判</w:t>
      </w:r>
      <w:r>
        <w:rPr>
          <w:rFonts w:hint="eastAsia" w:ascii="宋体" w:hAnsi="宋体" w:eastAsia="宋体" w:cs="宋体"/>
          <w:color w:val="auto"/>
          <w:sz w:val="24"/>
          <w:szCs w:val="24"/>
          <w:highlight w:val="none"/>
          <w:shd w:val="clear" w:color="auto" w:fill="auto"/>
        </w:rPr>
        <w:t>响应函</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第一次</w:t>
      </w:r>
      <w:r>
        <w:rPr>
          <w:rFonts w:hint="eastAsia" w:ascii="宋体" w:hAnsi="宋体" w:eastAsia="宋体" w:cs="宋体"/>
          <w:color w:val="auto"/>
          <w:sz w:val="24"/>
          <w:szCs w:val="24"/>
          <w:highlight w:val="none"/>
          <w:shd w:val="clear" w:color="auto" w:fill="auto"/>
          <w:lang w:eastAsia="zh-CN"/>
        </w:rPr>
        <w:t>谈判</w:t>
      </w:r>
      <w:r>
        <w:rPr>
          <w:rFonts w:hint="eastAsia" w:ascii="宋体" w:hAnsi="宋体" w:eastAsia="宋体" w:cs="宋体"/>
          <w:color w:val="auto"/>
          <w:sz w:val="24"/>
          <w:szCs w:val="24"/>
          <w:highlight w:val="none"/>
          <w:shd w:val="clear" w:color="auto" w:fill="auto"/>
        </w:rPr>
        <w:t>报价表</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分项报价表</w:t>
      </w:r>
      <w:r>
        <w:rPr>
          <w:rFonts w:hint="eastAsia" w:ascii="宋体" w:hAnsi="宋体" w:eastAsia="宋体" w:cs="宋体"/>
          <w:bCs/>
          <w:color w:val="auto"/>
          <w:kern w:val="0"/>
          <w:sz w:val="24"/>
          <w:szCs w:val="24"/>
          <w:highlight w:val="none"/>
          <w:shd w:val="clear" w:color="auto" w:fill="auto"/>
          <w:lang w:val="zh-CN" w:eastAsia="zh-CN"/>
        </w:rPr>
        <w:t>、</w:t>
      </w:r>
      <w:r>
        <w:rPr>
          <w:rFonts w:hint="eastAsia" w:ascii="宋体" w:hAnsi="宋体" w:eastAsia="宋体" w:cs="宋体"/>
          <w:bCs/>
          <w:color w:val="auto"/>
          <w:kern w:val="0"/>
          <w:sz w:val="24"/>
          <w:szCs w:val="24"/>
          <w:highlight w:val="none"/>
          <w:shd w:val="clear" w:color="auto" w:fill="auto"/>
        </w:rPr>
        <w:t>偏离</w:t>
      </w:r>
      <w:r>
        <w:rPr>
          <w:rFonts w:hint="eastAsia" w:ascii="宋体" w:hAnsi="宋体" w:eastAsia="宋体" w:cs="宋体"/>
          <w:bCs/>
          <w:color w:val="auto"/>
          <w:kern w:val="0"/>
          <w:sz w:val="24"/>
          <w:szCs w:val="24"/>
          <w:highlight w:val="none"/>
          <w:shd w:val="clear" w:color="auto" w:fill="auto"/>
          <w:lang w:val="en-US" w:eastAsia="zh-CN"/>
        </w:rPr>
        <w:t>表、</w:t>
      </w:r>
      <w:r>
        <w:rPr>
          <w:rFonts w:hint="eastAsia" w:ascii="宋体" w:hAnsi="宋体" w:eastAsia="宋体" w:cs="宋体"/>
          <w:color w:val="auto"/>
          <w:sz w:val="24"/>
          <w:szCs w:val="24"/>
          <w:highlight w:val="none"/>
          <w:shd w:val="clear" w:color="auto" w:fill="auto"/>
          <w:lang w:eastAsia="zh-CN"/>
        </w:rPr>
        <w:t>谈判</w:t>
      </w:r>
      <w:r>
        <w:rPr>
          <w:rFonts w:hint="eastAsia" w:ascii="宋体" w:hAnsi="宋体" w:eastAsia="宋体" w:cs="宋体"/>
          <w:color w:val="auto"/>
          <w:sz w:val="24"/>
          <w:szCs w:val="24"/>
          <w:highlight w:val="none"/>
          <w:shd w:val="clear" w:color="auto" w:fill="auto"/>
        </w:rPr>
        <w:t>方案说明</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供应商</w:t>
      </w:r>
      <w:r>
        <w:rPr>
          <w:rFonts w:hint="eastAsia" w:ascii="宋体" w:hAnsi="宋体" w:eastAsia="宋体" w:cs="宋体"/>
          <w:color w:val="auto"/>
          <w:sz w:val="24"/>
          <w:szCs w:val="24"/>
          <w:highlight w:val="none"/>
          <w:shd w:val="clear" w:color="auto" w:fill="auto"/>
          <w:lang w:val="en-US" w:eastAsia="zh-CN"/>
        </w:rPr>
        <w:t>承诺书</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项目团队</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供应商资质证明文件</w:t>
      </w:r>
      <w:r>
        <w:rPr>
          <w:rFonts w:hint="eastAsia" w:ascii="宋体" w:hAnsi="宋体" w:eastAsia="宋体" w:cs="宋体"/>
          <w:color w:val="auto"/>
          <w:sz w:val="24"/>
          <w:szCs w:val="24"/>
          <w:highlight w:val="none"/>
          <w:shd w:val="clear" w:color="auto" w:fill="auto"/>
          <w:lang w:val="en-US" w:eastAsia="zh-CN"/>
        </w:rPr>
        <w:t>、其他资料</w:t>
      </w:r>
      <w:r>
        <w:rPr>
          <w:rFonts w:hint="eastAsia" w:ascii="宋体" w:hAnsi="宋体" w:eastAsia="宋体" w:cs="宋体"/>
          <w:b w:val="0"/>
          <w:bCs/>
          <w:color w:val="auto"/>
          <w:sz w:val="24"/>
          <w:szCs w:val="24"/>
          <w:highlight w:val="none"/>
          <w:shd w:val="clear" w:color="auto" w:fill="auto"/>
          <w:lang w:val="zh-CN"/>
        </w:rPr>
        <w:t>等内容。</w:t>
      </w:r>
    </w:p>
    <w:p>
      <w:pPr>
        <w:keepLines w:val="0"/>
        <w:pageBreakBefore w:val="0"/>
        <w:widowControl w:val="0"/>
        <w:kinsoku/>
        <w:wordWrap/>
        <w:overflowPunct/>
        <w:topLinePunct w:val="0"/>
        <w:autoSpaceDE w:val="0"/>
        <w:autoSpaceDN w:val="0"/>
        <w:bidi w:val="0"/>
        <w:adjustRightInd w:val="0"/>
        <w:snapToGrid/>
        <w:spacing w:line="440" w:lineRule="exact"/>
        <w:ind w:firstLine="570"/>
        <w:textAlignment w:val="auto"/>
        <w:rPr>
          <w:rFonts w:hint="eastAsia" w:ascii="宋体" w:hAnsi="宋体" w:eastAsia="宋体" w:cs="宋体"/>
          <w:b w:val="0"/>
          <w:bCs/>
          <w:color w:val="auto"/>
          <w:sz w:val="24"/>
          <w:szCs w:val="24"/>
          <w:highlight w:val="none"/>
          <w:shd w:val="clear" w:color="auto" w:fill="auto"/>
          <w:lang w:val="zh-CN"/>
        </w:rPr>
      </w:pPr>
      <w:r>
        <w:rPr>
          <w:rFonts w:hint="eastAsia" w:ascii="宋体" w:hAnsi="宋体" w:eastAsia="宋体" w:cs="宋体"/>
          <w:b w:val="0"/>
          <w:bCs/>
          <w:color w:val="auto"/>
          <w:sz w:val="24"/>
          <w:szCs w:val="24"/>
          <w:highlight w:val="none"/>
          <w:shd w:val="clear" w:color="auto" w:fill="auto"/>
          <w:lang w:val="en-US" w:eastAsia="zh-CN"/>
        </w:rPr>
        <w:t>12</w:t>
      </w:r>
      <w:r>
        <w:rPr>
          <w:rFonts w:hint="eastAsia" w:ascii="宋体" w:hAnsi="宋体" w:eastAsia="宋体" w:cs="宋体"/>
          <w:b w:val="0"/>
          <w:bCs/>
          <w:color w:val="auto"/>
          <w:sz w:val="24"/>
          <w:szCs w:val="24"/>
          <w:highlight w:val="none"/>
          <w:shd w:val="clear" w:color="auto" w:fill="auto"/>
          <w:lang w:val="zh-CN"/>
        </w:rPr>
        <w:t>.2、</w:t>
      </w:r>
      <w:r>
        <w:rPr>
          <w:rFonts w:hint="eastAsia" w:ascii="宋体" w:hAnsi="宋体" w:eastAsia="宋体" w:cs="宋体"/>
          <w:b w:val="0"/>
          <w:bCs w:val="0"/>
          <w:color w:val="auto"/>
          <w:sz w:val="24"/>
          <w:szCs w:val="24"/>
          <w:highlight w:val="none"/>
          <w:lang w:val="zh-CN"/>
        </w:rPr>
        <w:t>单一来源</w:t>
      </w:r>
      <w:r>
        <w:rPr>
          <w:rFonts w:hint="eastAsia" w:ascii="宋体" w:hAnsi="宋体" w:eastAsia="宋体" w:cs="宋体"/>
          <w:b w:val="0"/>
          <w:bCs/>
          <w:color w:val="auto"/>
          <w:sz w:val="24"/>
          <w:szCs w:val="24"/>
          <w:highlight w:val="none"/>
          <w:shd w:val="clear" w:color="auto" w:fill="auto"/>
          <w:lang w:val="zh-CN"/>
        </w:rPr>
        <w:t>响应文件中谈判报价表内容与分项报价表内容不一致的，以谈判报价表为准。</w:t>
      </w:r>
    </w:p>
    <w:p>
      <w:pPr>
        <w:keepLines w:val="0"/>
        <w:pageBreakBefore w:val="0"/>
        <w:widowControl w:val="0"/>
        <w:kinsoku/>
        <w:wordWrap/>
        <w:overflowPunct/>
        <w:topLinePunct w:val="0"/>
        <w:autoSpaceDE w:val="0"/>
        <w:autoSpaceDN w:val="0"/>
        <w:bidi w:val="0"/>
        <w:adjustRightInd w:val="0"/>
        <w:snapToGrid/>
        <w:spacing w:line="440" w:lineRule="exact"/>
        <w:ind w:firstLine="570"/>
        <w:textAlignment w:val="auto"/>
        <w:rPr>
          <w:rFonts w:hint="eastAsia" w:ascii="宋体" w:hAnsi="宋体" w:eastAsia="宋体" w:cs="宋体"/>
          <w:b w:val="0"/>
          <w:bCs/>
          <w:color w:val="auto"/>
          <w:sz w:val="24"/>
          <w:szCs w:val="24"/>
          <w:highlight w:val="none"/>
          <w:shd w:val="clear" w:color="auto" w:fill="auto"/>
          <w:lang w:val="zh-CN"/>
        </w:rPr>
      </w:pPr>
      <w:r>
        <w:rPr>
          <w:rFonts w:hint="eastAsia" w:ascii="宋体" w:hAnsi="宋体" w:eastAsia="宋体" w:cs="宋体"/>
          <w:b w:val="0"/>
          <w:bCs/>
          <w:color w:val="auto"/>
          <w:sz w:val="24"/>
          <w:szCs w:val="24"/>
          <w:highlight w:val="none"/>
          <w:shd w:val="clear" w:color="auto" w:fill="auto"/>
          <w:lang w:val="en-US" w:eastAsia="zh-CN"/>
        </w:rPr>
        <w:t>12.3、</w:t>
      </w:r>
      <w:r>
        <w:rPr>
          <w:rFonts w:hint="eastAsia" w:ascii="宋体" w:hAnsi="宋体" w:eastAsia="宋体" w:cs="宋体"/>
          <w:b w:val="0"/>
          <w:bCs/>
          <w:color w:val="auto"/>
          <w:sz w:val="24"/>
          <w:szCs w:val="24"/>
          <w:highlight w:val="none"/>
          <w:shd w:val="clear" w:color="auto" w:fill="auto"/>
          <w:lang w:val="zh-CN"/>
        </w:rPr>
        <w:t>本次谈判的最小单元为“包号”，供应商可根据自身的资质情况和经营范围对本次项目进行谈判，不得将其子目再行分解或只对本次项目中的品目进行不完全谈判，任何不完全的响应将会被拒绝。</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en-US" w:eastAsia="zh-CN"/>
        </w:rPr>
        <w:t>13</w:t>
      </w:r>
      <w:r>
        <w:rPr>
          <w:rFonts w:hint="eastAsia" w:ascii="宋体" w:hAnsi="宋体" w:eastAsia="宋体" w:cs="宋体"/>
          <w:b/>
          <w:color w:val="auto"/>
          <w:sz w:val="24"/>
          <w:szCs w:val="24"/>
          <w:highlight w:val="none"/>
          <w:shd w:val="clear" w:color="auto" w:fill="auto"/>
        </w:rPr>
        <w:t>、</w:t>
      </w:r>
      <w:r>
        <w:rPr>
          <w:rFonts w:hint="eastAsia" w:ascii="宋体" w:hAnsi="宋体" w:eastAsia="宋体" w:cs="宋体"/>
          <w:b/>
          <w:color w:val="auto"/>
          <w:sz w:val="24"/>
          <w:szCs w:val="24"/>
          <w:highlight w:val="none"/>
          <w:shd w:val="clear" w:color="auto" w:fill="auto"/>
          <w:lang w:val="zh-CN"/>
        </w:rPr>
        <w:t>单一来源</w:t>
      </w:r>
      <w:r>
        <w:rPr>
          <w:rFonts w:hint="eastAsia" w:ascii="宋体" w:hAnsi="宋体" w:eastAsia="宋体" w:cs="宋体"/>
          <w:b/>
          <w:color w:val="auto"/>
          <w:sz w:val="24"/>
          <w:szCs w:val="24"/>
          <w:highlight w:val="none"/>
          <w:shd w:val="clear" w:color="auto" w:fill="auto"/>
        </w:rPr>
        <w:t xml:space="preserve">响应文件格式 </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1</w:t>
      </w:r>
      <w:r>
        <w:rPr>
          <w:rFonts w:hint="eastAsia" w:ascii="宋体" w:hAnsi="宋体" w:eastAsia="宋体" w:cs="宋体"/>
          <w:b w:val="0"/>
          <w:bCs/>
          <w:color w:val="auto"/>
          <w:sz w:val="24"/>
          <w:szCs w:val="24"/>
          <w:highlight w:val="none"/>
          <w:shd w:val="clear" w:color="auto" w:fill="auto"/>
          <w:lang w:val="en-US" w:eastAsia="zh-CN"/>
        </w:rPr>
        <w:t>3</w:t>
      </w:r>
      <w:r>
        <w:rPr>
          <w:rFonts w:hint="eastAsia" w:ascii="宋体" w:hAnsi="宋体" w:eastAsia="宋体" w:cs="宋体"/>
          <w:b w:val="0"/>
          <w:bCs/>
          <w:color w:val="auto"/>
          <w:sz w:val="24"/>
          <w:szCs w:val="24"/>
          <w:highlight w:val="none"/>
          <w:shd w:val="clear" w:color="auto" w:fill="auto"/>
        </w:rPr>
        <w:t>.1</w:t>
      </w:r>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eastAsia="宋体" w:cs="宋体"/>
          <w:b w:val="0"/>
          <w:bCs/>
          <w:color w:val="auto"/>
          <w:sz w:val="24"/>
          <w:szCs w:val="24"/>
          <w:highlight w:val="none"/>
          <w:shd w:val="clear" w:color="auto" w:fill="auto"/>
        </w:rPr>
        <w:t>供应商应按照</w:t>
      </w:r>
      <w:r>
        <w:rPr>
          <w:rFonts w:hint="eastAsia" w:ascii="宋体" w:hAnsi="宋体" w:eastAsia="宋体" w:cs="宋体"/>
          <w:b w:val="0"/>
          <w:bCs/>
          <w:color w:val="auto"/>
          <w:sz w:val="24"/>
          <w:szCs w:val="24"/>
          <w:highlight w:val="none"/>
          <w:shd w:val="clear" w:color="auto" w:fill="auto"/>
          <w:lang w:eastAsia="zh-CN"/>
        </w:rPr>
        <w:t>单一来源文件</w:t>
      </w:r>
      <w:r>
        <w:rPr>
          <w:rFonts w:hint="eastAsia" w:ascii="宋体" w:hAnsi="宋体" w:eastAsia="宋体" w:cs="宋体"/>
          <w:b w:val="0"/>
          <w:bCs/>
          <w:color w:val="auto"/>
          <w:sz w:val="24"/>
          <w:szCs w:val="24"/>
          <w:highlight w:val="none"/>
          <w:shd w:val="clear" w:color="auto" w:fill="auto"/>
        </w:rPr>
        <w:t>中第</w:t>
      </w:r>
      <w:r>
        <w:rPr>
          <w:rFonts w:hint="eastAsia" w:ascii="宋体" w:hAnsi="宋体" w:eastAsia="宋体" w:cs="宋体"/>
          <w:b w:val="0"/>
          <w:bCs/>
          <w:color w:val="auto"/>
          <w:sz w:val="24"/>
          <w:szCs w:val="24"/>
          <w:highlight w:val="none"/>
          <w:shd w:val="clear" w:color="auto" w:fill="auto"/>
          <w:lang w:val="en-US" w:eastAsia="zh-CN"/>
        </w:rPr>
        <w:t>八</w:t>
      </w:r>
      <w:r>
        <w:rPr>
          <w:rFonts w:hint="eastAsia" w:ascii="宋体" w:hAnsi="宋体" w:eastAsia="宋体" w:cs="宋体"/>
          <w:b w:val="0"/>
          <w:bCs/>
          <w:color w:val="auto"/>
          <w:sz w:val="24"/>
          <w:szCs w:val="24"/>
          <w:highlight w:val="none"/>
          <w:shd w:val="clear" w:color="auto" w:fill="auto"/>
        </w:rPr>
        <w:t>章“</w:t>
      </w:r>
      <w:r>
        <w:rPr>
          <w:rFonts w:hint="eastAsia" w:ascii="宋体" w:hAnsi="宋体" w:eastAsia="宋体" w:cs="宋体"/>
          <w:b w:val="0"/>
          <w:bCs/>
          <w:color w:val="auto"/>
          <w:sz w:val="24"/>
          <w:szCs w:val="24"/>
          <w:highlight w:val="none"/>
          <w:shd w:val="clear" w:color="auto" w:fill="auto"/>
          <w:lang w:val="zh-CN"/>
        </w:rPr>
        <w:t>单一来源</w:t>
      </w:r>
      <w:r>
        <w:rPr>
          <w:rFonts w:hint="eastAsia" w:ascii="宋体" w:hAnsi="宋体" w:eastAsia="宋体" w:cs="宋体"/>
          <w:b w:val="0"/>
          <w:bCs/>
          <w:color w:val="auto"/>
          <w:sz w:val="24"/>
          <w:szCs w:val="24"/>
          <w:highlight w:val="none"/>
          <w:shd w:val="clear" w:color="auto" w:fill="auto"/>
        </w:rPr>
        <w:t>响应文件格式及构成”所提供的格式和要求制作</w:t>
      </w:r>
      <w:r>
        <w:rPr>
          <w:rFonts w:hint="eastAsia" w:ascii="宋体" w:hAnsi="宋体" w:eastAsia="宋体" w:cs="宋体"/>
          <w:b w:val="0"/>
          <w:bCs w:val="0"/>
          <w:color w:val="auto"/>
          <w:sz w:val="24"/>
          <w:szCs w:val="24"/>
          <w:highlight w:val="none"/>
          <w:lang w:val="zh-CN"/>
        </w:rPr>
        <w:t>单一来源</w:t>
      </w:r>
      <w:r>
        <w:rPr>
          <w:rFonts w:hint="eastAsia" w:ascii="宋体" w:hAnsi="宋体" w:eastAsia="宋体" w:cs="宋体"/>
          <w:b w:val="0"/>
          <w:bCs/>
          <w:color w:val="auto"/>
          <w:sz w:val="24"/>
          <w:szCs w:val="24"/>
          <w:highlight w:val="none"/>
          <w:shd w:val="clear" w:color="auto" w:fill="auto"/>
        </w:rPr>
        <w:t>响应文件，明确表达</w:t>
      </w:r>
      <w:r>
        <w:rPr>
          <w:rFonts w:hint="eastAsia" w:ascii="宋体" w:hAnsi="宋体" w:eastAsia="宋体" w:cs="宋体"/>
          <w:b w:val="0"/>
          <w:bCs/>
          <w:color w:val="auto"/>
          <w:sz w:val="24"/>
          <w:szCs w:val="24"/>
          <w:highlight w:val="none"/>
          <w:shd w:val="clear" w:color="auto" w:fill="auto"/>
          <w:lang w:eastAsia="zh-CN"/>
        </w:rPr>
        <w:t>谈判</w:t>
      </w:r>
      <w:r>
        <w:rPr>
          <w:rFonts w:hint="eastAsia" w:ascii="宋体" w:hAnsi="宋体" w:eastAsia="宋体" w:cs="宋体"/>
          <w:b w:val="0"/>
          <w:bCs/>
          <w:color w:val="auto"/>
          <w:sz w:val="24"/>
          <w:szCs w:val="24"/>
          <w:highlight w:val="none"/>
          <w:shd w:val="clear" w:color="auto" w:fill="auto"/>
        </w:rPr>
        <w:t>意愿，详细说明</w:t>
      </w:r>
      <w:r>
        <w:rPr>
          <w:rFonts w:hint="eastAsia" w:ascii="宋体" w:hAnsi="宋体" w:eastAsia="宋体" w:cs="宋体"/>
          <w:b w:val="0"/>
          <w:bCs/>
          <w:color w:val="auto"/>
          <w:sz w:val="24"/>
          <w:szCs w:val="24"/>
          <w:highlight w:val="none"/>
          <w:shd w:val="clear" w:color="auto" w:fill="auto"/>
          <w:lang w:eastAsia="zh-CN"/>
        </w:rPr>
        <w:t>谈判</w:t>
      </w:r>
      <w:r>
        <w:rPr>
          <w:rFonts w:hint="eastAsia" w:ascii="宋体" w:hAnsi="宋体" w:eastAsia="宋体" w:cs="宋体"/>
          <w:b w:val="0"/>
          <w:bCs/>
          <w:color w:val="auto"/>
          <w:sz w:val="24"/>
          <w:szCs w:val="24"/>
          <w:highlight w:val="none"/>
          <w:shd w:val="clear" w:color="auto" w:fill="auto"/>
        </w:rPr>
        <w:t>方案、承诺及价格。</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1</w:t>
      </w:r>
      <w:r>
        <w:rPr>
          <w:rFonts w:hint="eastAsia" w:ascii="宋体" w:hAnsi="宋体" w:eastAsia="宋体" w:cs="宋体"/>
          <w:b w:val="0"/>
          <w:bCs/>
          <w:color w:val="auto"/>
          <w:sz w:val="24"/>
          <w:szCs w:val="24"/>
          <w:highlight w:val="none"/>
          <w:shd w:val="clear" w:color="auto" w:fill="auto"/>
          <w:lang w:val="en-US" w:eastAsia="zh-CN"/>
        </w:rPr>
        <w:t>3</w:t>
      </w:r>
      <w:r>
        <w:rPr>
          <w:rFonts w:hint="eastAsia" w:ascii="宋体" w:hAnsi="宋体" w:eastAsia="宋体" w:cs="宋体"/>
          <w:b w:val="0"/>
          <w:bCs/>
          <w:color w:val="auto"/>
          <w:sz w:val="24"/>
          <w:szCs w:val="24"/>
          <w:highlight w:val="none"/>
          <w:shd w:val="clear" w:color="auto" w:fill="auto"/>
        </w:rPr>
        <w:t>.2</w:t>
      </w:r>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eastAsia="宋体" w:cs="宋体"/>
          <w:b w:val="0"/>
          <w:bCs/>
          <w:color w:val="auto"/>
          <w:sz w:val="24"/>
          <w:szCs w:val="24"/>
          <w:highlight w:val="none"/>
          <w:shd w:val="clear" w:color="auto" w:fill="auto"/>
        </w:rPr>
        <w:t>按</w:t>
      </w:r>
      <w:r>
        <w:rPr>
          <w:rFonts w:hint="eastAsia" w:ascii="宋体" w:hAnsi="宋体" w:eastAsia="宋体" w:cs="宋体"/>
          <w:b w:val="0"/>
          <w:bCs/>
          <w:color w:val="auto"/>
          <w:sz w:val="24"/>
          <w:szCs w:val="24"/>
          <w:highlight w:val="none"/>
          <w:shd w:val="clear" w:color="auto" w:fill="auto"/>
          <w:lang w:eastAsia="zh-CN"/>
        </w:rPr>
        <w:t>单一来源文件</w:t>
      </w:r>
      <w:r>
        <w:rPr>
          <w:rFonts w:hint="eastAsia" w:ascii="宋体" w:hAnsi="宋体" w:eastAsia="宋体" w:cs="宋体"/>
          <w:b w:val="0"/>
          <w:bCs/>
          <w:color w:val="auto"/>
          <w:sz w:val="24"/>
          <w:szCs w:val="24"/>
          <w:highlight w:val="none"/>
          <w:shd w:val="clear" w:color="auto" w:fill="auto"/>
        </w:rPr>
        <w:t>第</w:t>
      </w:r>
      <w:r>
        <w:rPr>
          <w:rFonts w:hint="eastAsia" w:ascii="宋体" w:hAnsi="宋体" w:eastAsia="宋体" w:cs="宋体"/>
          <w:b w:val="0"/>
          <w:bCs/>
          <w:color w:val="auto"/>
          <w:sz w:val="24"/>
          <w:szCs w:val="24"/>
          <w:highlight w:val="none"/>
          <w:shd w:val="clear" w:color="auto" w:fill="auto"/>
          <w:lang w:val="en-US" w:eastAsia="zh-CN"/>
        </w:rPr>
        <w:t>五章采购</w:t>
      </w:r>
      <w:r>
        <w:rPr>
          <w:rFonts w:hint="eastAsia" w:ascii="宋体" w:hAnsi="宋体" w:eastAsia="宋体" w:cs="宋体"/>
          <w:b w:val="0"/>
          <w:bCs/>
          <w:color w:val="auto"/>
          <w:sz w:val="24"/>
          <w:szCs w:val="24"/>
          <w:highlight w:val="none"/>
          <w:shd w:val="clear" w:color="auto" w:fill="auto"/>
        </w:rPr>
        <w:t>内容及要求和第</w:t>
      </w:r>
      <w:r>
        <w:rPr>
          <w:rFonts w:hint="eastAsia" w:ascii="宋体" w:hAnsi="宋体" w:eastAsia="宋体" w:cs="宋体"/>
          <w:b w:val="0"/>
          <w:bCs/>
          <w:color w:val="auto"/>
          <w:sz w:val="24"/>
          <w:szCs w:val="24"/>
          <w:highlight w:val="none"/>
          <w:shd w:val="clear" w:color="auto" w:fill="auto"/>
          <w:lang w:val="en-US" w:eastAsia="zh-CN"/>
        </w:rPr>
        <w:t>八</w:t>
      </w:r>
      <w:r>
        <w:rPr>
          <w:rFonts w:hint="eastAsia" w:ascii="宋体" w:hAnsi="宋体" w:eastAsia="宋体" w:cs="宋体"/>
          <w:b w:val="0"/>
          <w:bCs/>
          <w:color w:val="auto"/>
          <w:sz w:val="24"/>
          <w:szCs w:val="24"/>
          <w:highlight w:val="none"/>
          <w:shd w:val="clear" w:color="auto" w:fill="auto"/>
        </w:rPr>
        <w:t>章提供的格式和要求编写其</w:t>
      </w:r>
      <w:r>
        <w:rPr>
          <w:rFonts w:hint="eastAsia" w:ascii="宋体" w:hAnsi="宋体" w:eastAsia="宋体" w:cs="宋体"/>
          <w:b w:val="0"/>
          <w:bCs/>
          <w:color w:val="auto"/>
          <w:sz w:val="24"/>
          <w:szCs w:val="24"/>
          <w:highlight w:val="none"/>
          <w:shd w:val="clear" w:color="auto" w:fill="auto"/>
          <w:lang w:eastAsia="zh-CN"/>
        </w:rPr>
        <w:t>单一来源</w:t>
      </w:r>
      <w:r>
        <w:rPr>
          <w:rFonts w:hint="eastAsia" w:ascii="宋体" w:hAnsi="宋体" w:eastAsia="宋体" w:cs="宋体"/>
          <w:b w:val="0"/>
          <w:bCs/>
          <w:color w:val="auto"/>
          <w:sz w:val="24"/>
          <w:szCs w:val="24"/>
          <w:highlight w:val="none"/>
          <w:shd w:val="clear" w:color="auto" w:fill="auto"/>
        </w:rPr>
        <w:t>响应文件，供应商不得缺少或留空任何</w:t>
      </w:r>
      <w:r>
        <w:rPr>
          <w:rFonts w:hint="eastAsia" w:ascii="宋体" w:hAnsi="宋体" w:eastAsia="宋体" w:cs="宋体"/>
          <w:b w:val="0"/>
          <w:bCs/>
          <w:color w:val="auto"/>
          <w:sz w:val="24"/>
          <w:szCs w:val="24"/>
          <w:highlight w:val="none"/>
          <w:shd w:val="clear" w:color="auto" w:fill="auto"/>
          <w:lang w:eastAsia="zh-CN"/>
        </w:rPr>
        <w:t>单一来源文件</w:t>
      </w:r>
      <w:r>
        <w:rPr>
          <w:rFonts w:hint="eastAsia" w:ascii="宋体" w:hAnsi="宋体" w:eastAsia="宋体" w:cs="宋体"/>
          <w:b w:val="0"/>
          <w:bCs/>
          <w:color w:val="auto"/>
          <w:sz w:val="24"/>
          <w:szCs w:val="24"/>
          <w:highlight w:val="none"/>
          <w:shd w:val="clear" w:color="auto" w:fill="auto"/>
        </w:rPr>
        <w:t>要求填写的表格或提交的资料。</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13.3、供应商应按照本企业的实际情况提供响应文件格式中所要求的资料，如采购人发现成交供应商响应文件中提供的资料有弄虚作假或不实的情况，采购人保留扣除该供应商</w:t>
      </w:r>
      <w:r>
        <w:rPr>
          <w:rFonts w:hint="eastAsia" w:ascii="宋体" w:hAnsi="宋体" w:eastAsia="宋体" w:cs="宋体"/>
          <w:b w:val="0"/>
          <w:bCs/>
          <w:color w:val="auto"/>
          <w:sz w:val="24"/>
          <w:szCs w:val="24"/>
          <w:highlight w:val="none"/>
          <w:shd w:val="clear" w:color="auto" w:fill="auto"/>
          <w:lang w:val="en-US" w:eastAsia="zh-CN"/>
        </w:rPr>
        <w:t>投标</w:t>
      </w:r>
      <w:r>
        <w:rPr>
          <w:rFonts w:hint="eastAsia" w:ascii="宋体" w:hAnsi="宋体" w:eastAsia="宋体" w:cs="宋体"/>
          <w:b w:val="0"/>
          <w:bCs/>
          <w:color w:val="auto"/>
          <w:sz w:val="24"/>
          <w:szCs w:val="24"/>
          <w:highlight w:val="none"/>
          <w:shd w:val="clear" w:color="auto" w:fill="auto"/>
        </w:rPr>
        <w:t>保证金及取消该供应商成交资格的权力。</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color w:val="auto"/>
          <w:sz w:val="24"/>
          <w:szCs w:val="24"/>
          <w:highlight w:val="none"/>
          <w:shd w:val="clear" w:color="auto" w:fill="auto"/>
          <w:lang w:val="zh-CN"/>
        </w:rPr>
      </w:pPr>
      <w:r>
        <w:rPr>
          <w:rFonts w:hint="eastAsia" w:ascii="宋体" w:hAnsi="宋体" w:eastAsia="宋体" w:cs="宋体"/>
          <w:b/>
          <w:color w:val="auto"/>
          <w:sz w:val="24"/>
          <w:szCs w:val="24"/>
          <w:highlight w:val="none"/>
          <w:shd w:val="clear" w:color="auto" w:fill="auto"/>
          <w:lang w:val="en-US" w:eastAsia="zh-CN"/>
        </w:rPr>
        <w:t>14、</w:t>
      </w:r>
      <w:r>
        <w:rPr>
          <w:rFonts w:hint="eastAsia" w:ascii="宋体" w:hAnsi="宋体" w:eastAsia="宋体" w:cs="宋体"/>
          <w:b/>
          <w:color w:val="auto"/>
          <w:sz w:val="24"/>
          <w:szCs w:val="24"/>
          <w:highlight w:val="none"/>
          <w:shd w:val="clear" w:color="auto" w:fill="auto"/>
          <w:lang w:val="zh-CN"/>
        </w:rPr>
        <w:t>谈判报价：</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en-US" w:eastAsia="zh-CN"/>
        </w:rPr>
        <w:t>14.1</w:t>
      </w:r>
      <w:r>
        <w:rPr>
          <w:rFonts w:hint="eastAsia" w:ascii="宋体" w:hAnsi="宋体" w:eastAsia="宋体" w:cs="宋体"/>
          <w:color w:val="auto"/>
          <w:sz w:val="24"/>
          <w:szCs w:val="24"/>
          <w:highlight w:val="none"/>
          <w:shd w:val="clear" w:color="auto" w:fill="auto"/>
          <w:lang w:val="zh-CN"/>
        </w:rPr>
        <w:t>、供应商依据单一来源文件给定的资料及现行规范的相应规定，在充分考虑</w:t>
      </w:r>
      <w:r>
        <w:rPr>
          <w:rFonts w:hint="eastAsia" w:ascii="宋体" w:hAnsi="宋体" w:eastAsia="宋体" w:cs="宋体"/>
          <w:color w:val="auto"/>
          <w:sz w:val="24"/>
          <w:szCs w:val="24"/>
          <w:highlight w:val="none"/>
          <w:shd w:val="clear" w:color="auto" w:fill="auto"/>
          <w:lang w:val="en-US" w:eastAsia="zh-CN"/>
        </w:rPr>
        <w:t>项目</w:t>
      </w:r>
      <w:r>
        <w:rPr>
          <w:rFonts w:hint="eastAsia" w:ascii="宋体" w:hAnsi="宋体" w:eastAsia="宋体" w:cs="宋体"/>
          <w:color w:val="auto"/>
          <w:sz w:val="24"/>
          <w:szCs w:val="24"/>
          <w:highlight w:val="none"/>
          <w:shd w:val="clear" w:color="auto" w:fill="auto"/>
          <w:lang w:val="zh-CN"/>
        </w:rPr>
        <w:t>的实际工作内容、工作量、技术含量、难易程度、复杂性等因素的基础上以总价形式进行报价</w:t>
      </w:r>
      <w:r>
        <w:rPr>
          <w:rFonts w:hint="eastAsia" w:ascii="宋体" w:hAnsi="宋体" w:eastAsia="宋体" w:cs="宋体"/>
          <w:color w:val="auto"/>
          <w:sz w:val="24"/>
          <w:szCs w:val="24"/>
          <w:highlight w:val="none"/>
          <w:shd w:val="clear" w:color="auto" w:fill="auto"/>
        </w:rPr>
        <w:t>。供应商所报的价格应考虑到可能发生的所有与完成本项目相关服务及履行合同义务有关的一切费用</w:t>
      </w:r>
      <w:r>
        <w:rPr>
          <w:rFonts w:hint="eastAsia" w:ascii="宋体" w:hAnsi="宋体" w:eastAsia="宋体" w:cs="宋体"/>
          <w:color w:val="auto"/>
          <w:sz w:val="24"/>
          <w:szCs w:val="24"/>
          <w:highlight w:val="none"/>
          <w:shd w:val="clear" w:color="auto" w:fill="auto"/>
          <w:lang w:val="zh-CN"/>
        </w:rPr>
        <w:t>。任何错报、漏报由供应商自行负责。</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en-US" w:eastAsia="zh-CN"/>
        </w:rPr>
        <w:t>14.</w:t>
      </w:r>
      <w:r>
        <w:rPr>
          <w:rFonts w:hint="eastAsia" w:ascii="宋体" w:hAnsi="宋体" w:eastAsia="宋体" w:cs="宋体"/>
          <w:color w:val="auto"/>
          <w:sz w:val="24"/>
          <w:szCs w:val="24"/>
          <w:highlight w:val="none"/>
          <w:shd w:val="clear" w:color="auto" w:fill="auto"/>
          <w:lang w:val="zh-CN"/>
        </w:rPr>
        <w:t>2、谈判报价表中标明本次服务</w:t>
      </w:r>
      <w:r>
        <w:rPr>
          <w:rFonts w:hint="eastAsia" w:ascii="宋体" w:hAnsi="宋体" w:eastAsia="宋体" w:cs="宋体"/>
          <w:color w:val="auto"/>
          <w:sz w:val="24"/>
          <w:szCs w:val="24"/>
          <w:highlight w:val="none"/>
          <w:shd w:val="clear" w:color="auto" w:fill="auto"/>
          <w:lang w:val="zh-CN" w:eastAsia="zh-CN"/>
        </w:rPr>
        <w:t>价格</w:t>
      </w:r>
      <w:r>
        <w:rPr>
          <w:rFonts w:hint="eastAsia" w:ascii="宋体" w:hAnsi="宋体" w:eastAsia="宋体" w:cs="宋体"/>
          <w:color w:val="auto"/>
          <w:sz w:val="24"/>
          <w:szCs w:val="24"/>
          <w:highlight w:val="none"/>
          <w:shd w:val="clear" w:color="auto" w:fill="auto"/>
          <w:lang w:val="zh-CN"/>
        </w:rPr>
        <w:t>，任何有选择的报价将不予接受，按无效谈判处理。</w:t>
      </w:r>
    </w:p>
    <w:p>
      <w:pPr>
        <w:pStyle w:val="2"/>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val="en-US" w:eastAsia="zh-CN"/>
        </w:rPr>
        <w:t xml:space="preserve">   14.3</w:t>
      </w:r>
      <w:r>
        <w:rPr>
          <w:rFonts w:hint="eastAsia" w:ascii="宋体" w:hAnsi="宋体" w:eastAsia="宋体" w:cs="宋体"/>
          <w:color w:val="auto"/>
          <w:sz w:val="24"/>
          <w:szCs w:val="24"/>
          <w:highlight w:val="none"/>
          <w:shd w:val="clear" w:color="auto" w:fill="auto"/>
          <w:lang w:val="zh-CN"/>
        </w:rPr>
        <w:t>、凡因供应商对单一来源采购文件阅读不深、</w:t>
      </w:r>
      <w:r>
        <w:rPr>
          <w:rFonts w:hint="eastAsia" w:ascii="宋体" w:hAnsi="宋体" w:eastAsia="宋体" w:cs="宋体"/>
          <w:color w:val="auto"/>
          <w:sz w:val="24"/>
          <w:szCs w:val="24"/>
          <w:highlight w:val="none"/>
          <w:shd w:val="clear" w:color="auto" w:fill="auto"/>
        </w:rPr>
        <w:t>理解不透、</w:t>
      </w:r>
      <w:r>
        <w:rPr>
          <w:rFonts w:hint="eastAsia" w:ascii="宋体" w:hAnsi="宋体" w:eastAsia="宋体" w:cs="宋体"/>
          <w:color w:val="auto"/>
          <w:sz w:val="24"/>
          <w:szCs w:val="24"/>
          <w:highlight w:val="none"/>
          <w:shd w:val="clear" w:color="auto" w:fill="auto"/>
          <w:lang w:val="zh-CN"/>
        </w:rPr>
        <w:t>误解、疏漏、</w:t>
      </w:r>
      <w:r>
        <w:rPr>
          <w:rFonts w:hint="eastAsia" w:ascii="宋体" w:hAnsi="宋体" w:eastAsia="宋体" w:cs="宋体"/>
          <w:color w:val="auto"/>
          <w:sz w:val="24"/>
          <w:szCs w:val="24"/>
          <w:highlight w:val="none"/>
          <w:shd w:val="clear" w:color="auto" w:fill="auto"/>
        </w:rPr>
        <w:t>或因市场行情了解不清造成的后果和风险均由供应商自负。</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en-US" w:eastAsia="zh-CN"/>
        </w:rPr>
        <w:t>14.4</w:t>
      </w:r>
      <w:r>
        <w:rPr>
          <w:rFonts w:hint="eastAsia" w:ascii="宋体" w:hAnsi="宋体" w:eastAsia="宋体" w:cs="宋体"/>
          <w:color w:val="auto"/>
          <w:sz w:val="24"/>
          <w:szCs w:val="24"/>
          <w:highlight w:val="none"/>
          <w:shd w:val="clear" w:color="auto" w:fill="auto"/>
          <w:lang w:val="zh-CN"/>
        </w:rPr>
        <w:t>、谈判报价不因市场因素、政府政策调整、费率调整和税收变化等而作任何调整，谈判单位应充分考虑到各种风险因素。</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14.5、</w:t>
      </w:r>
      <w:r>
        <w:rPr>
          <w:rFonts w:hint="eastAsia" w:ascii="宋体" w:hAnsi="宋体" w:eastAsia="宋体" w:cs="宋体"/>
          <w:color w:val="auto"/>
          <w:sz w:val="24"/>
          <w:szCs w:val="24"/>
          <w:highlight w:val="none"/>
          <w:lang w:val="zh-CN"/>
        </w:rPr>
        <w:t>最低报价不是确定成交供应商的唯一条件。</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报价货币：人民币，单位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元。</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w:t>
      </w:r>
      <w:r>
        <w:rPr>
          <w:rFonts w:hint="eastAsia" w:ascii="宋体" w:hAnsi="宋体" w:eastAsia="宋体" w:cs="宋体"/>
          <w:b/>
          <w:color w:val="auto"/>
          <w:kern w:val="0"/>
          <w:sz w:val="24"/>
          <w:szCs w:val="24"/>
          <w:highlight w:val="none"/>
        </w:rPr>
        <w:t>本次</w:t>
      </w:r>
      <w:r>
        <w:rPr>
          <w:rFonts w:hint="eastAsia" w:ascii="宋体" w:hAnsi="宋体" w:eastAsia="宋体" w:cs="宋体"/>
          <w:b/>
          <w:color w:val="auto"/>
          <w:kern w:val="0"/>
          <w:sz w:val="24"/>
          <w:szCs w:val="24"/>
          <w:highlight w:val="none"/>
          <w:lang w:eastAsia="zh-CN"/>
        </w:rPr>
        <w:t>谈判</w:t>
      </w:r>
      <w:r>
        <w:rPr>
          <w:rFonts w:hint="eastAsia" w:ascii="宋体" w:hAnsi="宋体" w:eastAsia="宋体" w:cs="宋体"/>
          <w:b/>
          <w:color w:val="auto"/>
          <w:kern w:val="0"/>
          <w:sz w:val="24"/>
          <w:szCs w:val="24"/>
          <w:highlight w:val="none"/>
        </w:rPr>
        <w:t>采取二次报价，即：</w:t>
      </w:r>
      <w:r>
        <w:rPr>
          <w:rFonts w:hint="eastAsia" w:ascii="宋体" w:hAnsi="宋体" w:eastAsia="宋体" w:cs="宋体"/>
          <w:b/>
          <w:color w:val="auto"/>
          <w:kern w:val="0"/>
          <w:sz w:val="24"/>
          <w:szCs w:val="24"/>
          <w:highlight w:val="none"/>
          <w:lang w:val="zh-CN"/>
        </w:rPr>
        <w:t>单一来源</w:t>
      </w:r>
      <w:r>
        <w:rPr>
          <w:rFonts w:hint="eastAsia" w:ascii="宋体" w:hAnsi="宋体" w:eastAsia="宋体" w:cs="宋体"/>
          <w:b/>
          <w:color w:val="auto"/>
          <w:kern w:val="0"/>
          <w:sz w:val="24"/>
          <w:szCs w:val="24"/>
          <w:highlight w:val="none"/>
        </w:rPr>
        <w:t>响应文件中的</w:t>
      </w:r>
      <w:r>
        <w:rPr>
          <w:rFonts w:hint="eastAsia" w:ascii="宋体" w:hAnsi="宋体" w:eastAsia="宋体" w:cs="宋体"/>
          <w:b/>
          <w:color w:val="auto"/>
          <w:kern w:val="0"/>
          <w:sz w:val="24"/>
          <w:szCs w:val="24"/>
          <w:highlight w:val="none"/>
          <w:lang w:eastAsia="zh-CN"/>
        </w:rPr>
        <w:t>谈判</w:t>
      </w:r>
      <w:r>
        <w:rPr>
          <w:rFonts w:hint="eastAsia" w:ascii="宋体" w:hAnsi="宋体" w:eastAsia="宋体" w:cs="宋体"/>
          <w:b/>
          <w:color w:val="auto"/>
          <w:kern w:val="0"/>
          <w:sz w:val="24"/>
          <w:szCs w:val="24"/>
          <w:highlight w:val="none"/>
        </w:rPr>
        <w:t>总报价为第一次报价；在供应商初审合格后，第一次报价为有效报价。</w:t>
      </w:r>
      <w:r>
        <w:rPr>
          <w:rFonts w:hint="eastAsia" w:ascii="宋体" w:hAnsi="宋体" w:eastAsia="宋体" w:cs="宋体"/>
          <w:b/>
          <w:color w:val="auto"/>
          <w:sz w:val="24"/>
          <w:szCs w:val="24"/>
          <w:highlight w:val="none"/>
        </w:rPr>
        <w:t>通过初审的各供应商单位与</w:t>
      </w:r>
      <w:r>
        <w:rPr>
          <w:rFonts w:hint="eastAsia" w:ascii="宋体" w:hAnsi="宋体" w:eastAsia="宋体" w:cs="宋体"/>
          <w:b/>
          <w:color w:val="auto"/>
          <w:sz w:val="24"/>
          <w:szCs w:val="24"/>
          <w:highlight w:val="none"/>
          <w:lang w:eastAsia="zh-CN"/>
        </w:rPr>
        <w:t>谈判小组</w:t>
      </w:r>
      <w:r>
        <w:rPr>
          <w:rFonts w:hint="eastAsia" w:ascii="宋体" w:hAnsi="宋体" w:eastAsia="宋体" w:cs="宋体"/>
          <w:b/>
          <w:color w:val="auto"/>
          <w:sz w:val="24"/>
          <w:szCs w:val="24"/>
          <w:highlight w:val="none"/>
        </w:rPr>
        <w:t>进行背靠背</w:t>
      </w:r>
      <w:r>
        <w:rPr>
          <w:rFonts w:hint="eastAsia" w:ascii="宋体" w:hAnsi="宋体" w:eastAsia="宋体" w:cs="宋体"/>
          <w:b/>
          <w:color w:val="auto"/>
          <w:sz w:val="24"/>
          <w:szCs w:val="24"/>
          <w:highlight w:val="none"/>
          <w:lang w:eastAsia="zh-CN"/>
        </w:rPr>
        <w:t>谈判</w:t>
      </w:r>
      <w:r>
        <w:rPr>
          <w:rFonts w:hint="eastAsia" w:ascii="宋体" w:hAnsi="宋体" w:eastAsia="宋体" w:cs="宋体"/>
          <w:b/>
          <w:color w:val="auto"/>
          <w:sz w:val="24"/>
          <w:szCs w:val="24"/>
          <w:highlight w:val="none"/>
        </w:rPr>
        <w:t>后，在规定时间内，提交第二次报价，</w:t>
      </w:r>
      <w:r>
        <w:rPr>
          <w:rFonts w:hint="eastAsia" w:ascii="宋体" w:hAnsi="宋体" w:eastAsia="宋体" w:cs="宋体"/>
          <w:b/>
          <w:color w:val="auto"/>
          <w:kern w:val="0"/>
          <w:sz w:val="24"/>
          <w:szCs w:val="24"/>
          <w:highlight w:val="none"/>
        </w:rPr>
        <w:t>第二次报价即为最终报价。</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、谈判后所确定的成交价格，在合同执行过程中，不得以任何理由变更。</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14.9、</w:t>
      </w:r>
      <w:r>
        <w:rPr>
          <w:rFonts w:hint="eastAsia" w:ascii="宋体" w:hAnsi="宋体" w:eastAsia="宋体" w:cs="宋体"/>
          <w:color w:val="auto"/>
          <w:sz w:val="24"/>
          <w:szCs w:val="24"/>
          <w:lang w:val="zh-CN"/>
        </w:rPr>
        <w:t>供应商不得以低于成本的报价参加谈判。若谈判小组认为某个供应商的报价明显低于其他通过符合性审查的供应商的报价，有可能影响产品质量或者不能诚信履约的，应当要求其在谈判现场合理的时间内提供书面说明，必要时提交相关证明材料；供应商不能证明其报价合理性的，谈判小组应将其作为无效投标处理。</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en-US" w:eastAsia="zh-CN"/>
        </w:rPr>
        <w:t>14.10</w:t>
      </w:r>
      <w:r>
        <w:rPr>
          <w:rFonts w:hint="eastAsia" w:ascii="宋体" w:hAnsi="宋体" w:eastAsia="宋体" w:cs="宋体"/>
          <w:color w:val="auto"/>
          <w:sz w:val="24"/>
          <w:szCs w:val="24"/>
          <w:lang w:val="zh-CN"/>
        </w:rPr>
        <w:t>、第一次报价超出采购预算的供应商不进入下一步谈判程序。</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、本项目不公开任何一次报价。</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1</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val="zh-CN" w:eastAsia="zh-CN"/>
        </w:rPr>
        <w:t>、证明供应商合格的资格证明文件</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.1、供应商应按照单一来源文件供应商须知前附表的要求，在</w:t>
      </w:r>
      <w:r>
        <w:rPr>
          <w:rFonts w:hint="eastAsia" w:ascii="宋体" w:hAnsi="宋体" w:eastAsia="宋体" w:cs="宋体"/>
          <w:b w:val="0"/>
          <w:bCs w:val="0"/>
          <w:color w:val="auto"/>
          <w:sz w:val="24"/>
          <w:szCs w:val="24"/>
          <w:lang w:val="zh-CN"/>
        </w:rPr>
        <w:t>单一来源</w:t>
      </w:r>
      <w:r>
        <w:rPr>
          <w:rFonts w:hint="eastAsia" w:ascii="宋体" w:hAnsi="宋体" w:eastAsia="宋体" w:cs="宋体"/>
          <w:color w:val="auto"/>
          <w:sz w:val="24"/>
          <w:szCs w:val="24"/>
          <w:lang w:val="zh-CN" w:eastAsia="zh-CN"/>
        </w:rPr>
        <w:t>响应文件中提交合格的资格证明文件。如果资格证明文件不全或不合格的，其</w:t>
      </w:r>
      <w:r>
        <w:rPr>
          <w:rFonts w:hint="eastAsia" w:ascii="宋体" w:hAnsi="宋体" w:eastAsia="宋体" w:cs="宋体"/>
          <w:b w:val="0"/>
          <w:bCs w:val="0"/>
          <w:color w:val="auto"/>
          <w:sz w:val="24"/>
          <w:szCs w:val="24"/>
          <w:lang w:val="zh-CN"/>
        </w:rPr>
        <w:t>单一来源</w:t>
      </w:r>
      <w:r>
        <w:rPr>
          <w:rFonts w:hint="eastAsia" w:ascii="宋体" w:hAnsi="宋体" w:eastAsia="宋体" w:cs="宋体"/>
          <w:color w:val="auto"/>
          <w:sz w:val="24"/>
          <w:szCs w:val="24"/>
          <w:lang w:val="zh-CN" w:eastAsia="zh-CN"/>
        </w:rPr>
        <w:t>响应文件将被作无效文件处理。</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1</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eastAsia="zh-CN"/>
        </w:rPr>
        <w:t>证明货物（产品）符合单一来源文件规定的文件</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eastAsia="zh-CN"/>
        </w:rPr>
        <w:t>.1、供应商应在</w:t>
      </w:r>
      <w:r>
        <w:rPr>
          <w:rFonts w:hint="eastAsia" w:ascii="宋体" w:hAnsi="宋体" w:eastAsia="宋体" w:cs="宋体"/>
          <w:b w:val="0"/>
          <w:bCs w:val="0"/>
          <w:color w:val="auto"/>
          <w:sz w:val="24"/>
          <w:szCs w:val="24"/>
          <w:lang w:val="zh-CN"/>
        </w:rPr>
        <w:t>单一来源</w:t>
      </w:r>
      <w:r>
        <w:rPr>
          <w:rFonts w:hint="eastAsia" w:ascii="宋体" w:hAnsi="宋体" w:eastAsia="宋体" w:cs="宋体"/>
          <w:color w:val="auto"/>
          <w:sz w:val="24"/>
          <w:szCs w:val="24"/>
          <w:lang w:val="zh-CN" w:eastAsia="zh-CN"/>
        </w:rPr>
        <w:t>响应文件中提交服务满足单一来源文件要求并符合国家法律法规、行业管理部门要求的其他强制性标准的证明文件。缺少证明文件或证明文件不合格的</w:t>
      </w:r>
      <w:r>
        <w:rPr>
          <w:rFonts w:hint="eastAsia" w:ascii="宋体" w:hAnsi="宋体" w:eastAsia="宋体" w:cs="宋体"/>
          <w:b w:val="0"/>
          <w:bCs w:val="0"/>
          <w:color w:val="auto"/>
          <w:sz w:val="24"/>
          <w:szCs w:val="24"/>
          <w:lang w:val="zh-CN"/>
        </w:rPr>
        <w:t>单一来源</w:t>
      </w:r>
      <w:r>
        <w:rPr>
          <w:rFonts w:hint="eastAsia" w:ascii="宋体" w:hAnsi="宋体" w:eastAsia="宋体" w:cs="宋体"/>
          <w:color w:val="auto"/>
          <w:sz w:val="24"/>
          <w:szCs w:val="24"/>
          <w:lang w:val="zh-CN" w:eastAsia="zh-CN"/>
        </w:rPr>
        <w:t>响应文件，与单一来源文件要求有重大偏离的</w:t>
      </w:r>
      <w:r>
        <w:rPr>
          <w:rFonts w:hint="eastAsia" w:ascii="宋体" w:hAnsi="宋体" w:eastAsia="宋体" w:cs="宋体"/>
          <w:b w:val="0"/>
          <w:bCs w:val="0"/>
          <w:color w:val="auto"/>
          <w:sz w:val="24"/>
          <w:szCs w:val="24"/>
          <w:lang w:val="zh-CN"/>
        </w:rPr>
        <w:t>单一来源</w:t>
      </w:r>
      <w:r>
        <w:rPr>
          <w:rFonts w:hint="eastAsia" w:ascii="宋体" w:hAnsi="宋体" w:eastAsia="宋体" w:cs="宋体"/>
          <w:color w:val="auto"/>
          <w:sz w:val="24"/>
          <w:szCs w:val="24"/>
          <w:lang w:val="zh-CN" w:eastAsia="zh-CN"/>
        </w:rPr>
        <w:t>响应文件，不符合国家法律法规、行业管理部门要求的其他强制性标准的</w:t>
      </w:r>
      <w:r>
        <w:rPr>
          <w:rFonts w:hint="eastAsia" w:ascii="宋体" w:hAnsi="宋体" w:eastAsia="宋体" w:cs="宋体"/>
          <w:b w:val="0"/>
          <w:bCs w:val="0"/>
          <w:color w:val="auto"/>
          <w:sz w:val="24"/>
          <w:szCs w:val="24"/>
          <w:lang w:val="zh-CN"/>
        </w:rPr>
        <w:t>单一来源</w:t>
      </w:r>
      <w:r>
        <w:rPr>
          <w:rFonts w:hint="eastAsia" w:ascii="宋体" w:hAnsi="宋体" w:eastAsia="宋体" w:cs="宋体"/>
          <w:color w:val="auto"/>
          <w:sz w:val="24"/>
          <w:szCs w:val="24"/>
          <w:lang w:val="zh-CN" w:eastAsia="zh-CN"/>
        </w:rPr>
        <w:t>响应文件将按无效谈判处理。</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 服务主要技术指标和性能的详细说明；</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2）逐条对</w:t>
      </w:r>
      <w:r>
        <w:rPr>
          <w:rFonts w:hint="eastAsia" w:ascii="宋体" w:hAnsi="宋体" w:eastAsia="宋体" w:cs="宋体"/>
          <w:color w:val="auto"/>
          <w:sz w:val="24"/>
          <w:szCs w:val="24"/>
          <w:lang w:val="en-US" w:eastAsia="zh-CN"/>
        </w:rPr>
        <w:t>单一来源文件</w:t>
      </w:r>
      <w:r>
        <w:rPr>
          <w:rFonts w:hint="eastAsia" w:ascii="宋体" w:hAnsi="宋体" w:eastAsia="宋体" w:cs="宋体"/>
          <w:color w:val="auto"/>
          <w:sz w:val="24"/>
          <w:szCs w:val="24"/>
          <w:lang w:val="zh-CN" w:eastAsia="zh-CN"/>
        </w:rPr>
        <w:t>提出的技术要求和商务要求进行应答，说明所提供的服务对</w:t>
      </w:r>
      <w:r>
        <w:rPr>
          <w:rFonts w:hint="eastAsia" w:ascii="宋体" w:hAnsi="宋体" w:eastAsia="宋体" w:cs="宋体"/>
          <w:color w:val="auto"/>
          <w:sz w:val="24"/>
          <w:szCs w:val="24"/>
          <w:lang w:val="en-US" w:eastAsia="zh-CN"/>
        </w:rPr>
        <w:t>单一来源文件</w:t>
      </w:r>
      <w:r>
        <w:rPr>
          <w:rFonts w:hint="eastAsia" w:ascii="宋体" w:hAnsi="宋体" w:eastAsia="宋体" w:cs="宋体"/>
          <w:color w:val="auto"/>
          <w:sz w:val="24"/>
          <w:szCs w:val="24"/>
          <w:lang w:val="zh-CN" w:eastAsia="zh-CN"/>
        </w:rPr>
        <w:t>的技术和商务要求是否做出了实质性响应并提供支持文件；</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 服务内容、服务实施方案等的详细说明。</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保证金</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.1、谈判保证金：</w:t>
      </w:r>
      <w:r>
        <w:rPr>
          <w:rFonts w:hint="eastAsia" w:ascii="宋体" w:hAnsi="宋体" w:eastAsia="宋体" w:cs="宋体"/>
          <w:color w:val="auto"/>
          <w:sz w:val="24"/>
          <w:szCs w:val="24"/>
          <w:highlight w:val="none"/>
          <w:lang w:val="en-US" w:eastAsia="zh-CN"/>
        </w:rPr>
        <w:t>本项目无谈判保证金；</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.2、履约保证金：本项目</w:t>
      </w:r>
      <w:r>
        <w:rPr>
          <w:rFonts w:hint="eastAsia" w:ascii="宋体" w:hAnsi="宋体" w:eastAsia="宋体" w:cs="宋体"/>
          <w:color w:val="auto"/>
          <w:sz w:val="24"/>
          <w:szCs w:val="24"/>
          <w:lang w:val="en-US" w:eastAsia="zh-CN"/>
        </w:rPr>
        <w:t>无</w:t>
      </w:r>
      <w:r>
        <w:rPr>
          <w:rFonts w:hint="eastAsia" w:ascii="宋体" w:hAnsi="宋体" w:eastAsia="宋体" w:cs="宋体"/>
          <w:color w:val="auto"/>
          <w:sz w:val="24"/>
          <w:szCs w:val="24"/>
          <w:lang w:val="zh-CN" w:eastAsia="zh-CN"/>
        </w:rPr>
        <w:t>履约保证金。</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18</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lang w:eastAsia="zh-CN"/>
        </w:rPr>
        <w:t>谈判</w:t>
      </w:r>
      <w:r>
        <w:rPr>
          <w:rFonts w:hint="eastAsia" w:ascii="宋体" w:hAnsi="宋体" w:eastAsia="宋体" w:cs="宋体"/>
          <w:b/>
          <w:color w:val="auto"/>
          <w:sz w:val="24"/>
          <w:szCs w:val="24"/>
        </w:rPr>
        <w:t>有效期</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18.1、</w:t>
      </w:r>
      <w:r>
        <w:rPr>
          <w:rFonts w:hint="eastAsia" w:ascii="宋体" w:hAnsi="宋体" w:eastAsia="宋体" w:cs="宋体"/>
          <w:color w:val="auto"/>
          <w:sz w:val="24"/>
          <w:szCs w:val="24"/>
          <w:lang w:val="zh-CN"/>
        </w:rPr>
        <w:t>谈判有效期见供应商须知前附表。谈判有效期短于此规定期限的谈判，将按无效谈判处理。</w:t>
      </w:r>
      <w:r>
        <w:rPr>
          <w:rFonts w:hint="eastAsia" w:ascii="宋体" w:hAnsi="宋体" w:eastAsia="宋体" w:cs="宋体"/>
          <w:sz w:val="24"/>
          <w:szCs w:val="24"/>
        </w:rPr>
        <w:t>在有效期内</w:t>
      </w:r>
      <w:r>
        <w:rPr>
          <w:rFonts w:hint="eastAsia" w:ascii="宋体" w:hAnsi="宋体" w:eastAsia="宋体" w:cs="宋体"/>
          <w:sz w:val="24"/>
          <w:szCs w:val="24"/>
          <w:lang w:val="en-US" w:eastAsia="zh-CN"/>
        </w:rPr>
        <w:t>单一来源</w:t>
      </w:r>
      <w:r>
        <w:rPr>
          <w:rFonts w:hint="eastAsia" w:ascii="宋体" w:hAnsi="宋体" w:eastAsia="宋体" w:cs="宋体"/>
          <w:sz w:val="24"/>
          <w:szCs w:val="24"/>
        </w:rPr>
        <w:t>响应文件对供应商具有法律约束力，以保证采购人完成评审、定标以及合同签订事项。成交单位的</w:t>
      </w:r>
      <w:r>
        <w:rPr>
          <w:rFonts w:hint="eastAsia" w:ascii="宋体" w:hAnsi="宋体" w:eastAsia="宋体" w:cs="宋体"/>
          <w:sz w:val="24"/>
          <w:szCs w:val="24"/>
          <w:lang w:val="en-US" w:eastAsia="zh-CN"/>
        </w:rPr>
        <w:t>单一来源</w:t>
      </w:r>
      <w:r>
        <w:rPr>
          <w:rFonts w:hint="eastAsia" w:ascii="宋体" w:hAnsi="宋体" w:eastAsia="宋体" w:cs="宋体"/>
          <w:sz w:val="24"/>
          <w:szCs w:val="24"/>
        </w:rPr>
        <w:t>响应文件有效期自动延长至合同执行完毕。</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en-US" w:eastAsia="zh-CN"/>
        </w:rPr>
        <w:t>18.2、在特殊情况下，在原谈判有效期期满之前，采购代理机构可向供应商提出延长谈判有效期的要求。这种要求与答复均应以书面的形式。供应商可以拒绝采购代理机构的这种要求。同意延长的供应商既不能要求也不允许修改其单一来源响应文件。</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en-US" w:eastAsia="zh-CN"/>
        </w:rPr>
        <w:t>18.3、</w:t>
      </w:r>
      <w:r>
        <w:rPr>
          <w:rFonts w:hint="eastAsia" w:ascii="宋体" w:hAnsi="宋体" w:eastAsia="宋体" w:cs="宋体"/>
          <w:b/>
          <w:color w:val="auto"/>
          <w:sz w:val="24"/>
          <w:szCs w:val="24"/>
          <w:lang w:val="zh-CN"/>
        </w:rPr>
        <w:t>单一来源响应文件有效期为自谈判截止日起90日历天，成交供应商的单一来源响应文件有效期自动延长至合同执行完毕。</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19</w:t>
      </w:r>
      <w:r>
        <w:rPr>
          <w:rFonts w:hint="eastAsia" w:ascii="宋体" w:hAnsi="宋体" w:eastAsia="宋体" w:cs="宋体"/>
          <w:b/>
          <w:color w:val="auto"/>
          <w:sz w:val="24"/>
          <w:szCs w:val="24"/>
          <w:lang w:val="zh-CN"/>
        </w:rPr>
        <w:t>、单一来源响应文件的式样和签署</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lang w:val="zh-CN"/>
        </w:rPr>
        <w:t>1、供应商应填写全称，同时加盖供应商单位印章，签署、盖章和内容应完整。</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19.2、</w:t>
      </w:r>
      <w:r>
        <w:rPr>
          <w:rFonts w:hint="eastAsia" w:ascii="宋体" w:hAnsi="宋体" w:eastAsia="宋体" w:cs="宋体"/>
          <w:b w:val="0"/>
          <w:bCs w:val="0"/>
          <w:color w:val="auto"/>
          <w:sz w:val="24"/>
          <w:szCs w:val="24"/>
          <w:lang w:val="zh-CN"/>
        </w:rPr>
        <w:t>单一来源</w:t>
      </w:r>
      <w:r>
        <w:rPr>
          <w:rFonts w:hint="eastAsia" w:ascii="宋体" w:hAnsi="宋体" w:eastAsia="宋体" w:cs="宋体"/>
          <w:color w:val="auto"/>
          <w:sz w:val="24"/>
          <w:szCs w:val="24"/>
          <w:lang w:val="en-US" w:eastAsia="zh-CN"/>
        </w:rPr>
        <w:t>响应文件中需签字的地方按单一来源文件要求签字，需盖章的地方按单一来源文件要求盖章。</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19.3</w:t>
      </w:r>
      <w:r>
        <w:rPr>
          <w:rFonts w:hint="eastAsia" w:ascii="宋体" w:hAnsi="宋体" w:eastAsia="宋体" w:cs="宋体"/>
          <w:color w:val="auto"/>
          <w:sz w:val="24"/>
          <w:szCs w:val="24"/>
          <w:lang w:val="zh-CN"/>
        </w:rPr>
        <w:t>、单一来源</w:t>
      </w:r>
      <w:r>
        <w:rPr>
          <w:rFonts w:hint="eastAsia" w:ascii="宋体" w:hAnsi="宋体" w:eastAsia="宋体" w:cs="宋体"/>
          <w:b/>
          <w:color w:val="auto"/>
          <w:kern w:val="1"/>
          <w:sz w:val="24"/>
          <w:szCs w:val="24"/>
          <w:highlight w:val="none"/>
        </w:rPr>
        <w:t>响应文件（正本1份、副本</w:t>
      </w:r>
      <w:r>
        <w:rPr>
          <w:rFonts w:hint="eastAsia" w:ascii="宋体" w:hAnsi="宋体" w:eastAsia="宋体" w:cs="宋体"/>
          <w:b/>
          <w:color w:val="auto"/>
          <w:kern w:val="1"/>
          <w:sz w:val="24"/>
          <w:szCs w:val="24"/>
          <w:highlight w:val="none"/>
          <w:lang w:val="en-US" w:eastAsia="zh-CN"/>
        </w:rPr>
        <w:t>2</w:t>
      </w:r>
      <w:r>
        <w:rPr>
          <w:rFonts w:hint="eastAsia" w:ascii="宋体" w:hAnsi="宋体" w:eastAsia="宋体" w:cs="宋体"/>
          <w:b/>
          <w:color w:val="auto"/>
          <w:kern w:val="1"/>
          <w:sz w:val="24"/>
          <w:szCs w:val="24"/>
          <w:highlight w:val="none"/>
        </w:rPr>
        <w:t>份</w:t>
      </w:r>
      <w:r>
        <w:rPr>
          <w:rFonts w:hint="eastAsia" w:ascii="宋体" w:hAnsi="宋体" w:eastAsia="宋体" w:cs="宋体"/>
          <w:b/>
          <w:color w:val="auto"/>
          <w:kern w:val="1"/>
          <w:sz w:val="24"/>
          <w:szCs w:val="24"/>
          <w:highlight w:val="none"/>
          <w:lang w:eastAsia="zh-CN"/>
        </w:rPr>
        <w:t>、</w:t>
      </w:r>
      <w:r>
        <w:rPr>
          <w:rFonts w:hint="eastAsia" w:ascii="宋体" w:hAnsi="宋体" w:eastAsia="宋体" w:cs="宋体"/>
          <w:b/>
          <w:color w:val="auto"/>
          <w:kern w:val="1"/>
          <w:sz w:val="24"/>
          <w:szCs w:val="24"/>
          <w:highlight w:val="none"/>
          <w:lang w:val="en-US" w:eastAsia="zh-CN"/>
        </w:rPr>
        <w:t>电子文件U盘2份</w:t>
      </w:r>
      <w:r>
        <w:rPr>
          <w:rFonts w:hint="eastAsia" w:ascii="宋体" w:hAnsi="宋体" w:eastAsia="宋体" w:cs="宋体"/>
          <w:b/>
          <w:color w:val="auto"/>
          <w:kern w:val="1"/>
          <w:sz w:val="24"/>
          <w:szCs w:val="24"/>
          <w:highlight w:val="none"/>
        </w:rPr>
        <w:t>）</w:t>
      </w:r>
      <w:r>
        <w:rPr>
          <w:rFonts w:hint="eastAsia" w:ascii="宋体" w:hAnsi="宋体" w:eastAsia="宋体" w:cs="宋体"/>
          <w:color w:val="auto"/>
          <w:kern w:val="1"/>
          <w:sz w:val="24"/>
          <w:szCs w:val="24"/>
          <w:highlight w:val="none"/>
        </w:rPr>
        <w:t>，正、副本须用A4幅面纸张打印或用不褪色的蓝（黑）墨水填写，并清楚标明“正本”“副本”字样，并各自装订成册。副本可以为正本的复印件</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但签字盖章处需加盖单位红色印章</w:t>
      </w:r>
      <w:r>
        <w:rPr>
          <w:rFonts w:hint="eastAsia" w:ascii="宋体" w:hAnsi="宋体" w:eastAsia="宋体" w:cs="宋体"/>
          <w:color w:val="auto"/>
          <w:kern w:val="1"/>
          <w:sz w:val="24"/>
          <w:szCs w:val="24"/>
          <w:highlight w:val="none"/>
        </w:rPr>
        <w:t>。如果正本与副本不符，以正本为准。</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lang w:val="zh-CN"/>
        </w:rPr>
        <w:t>4、</w:t>
      </w:r>
      <w:r>
        <w:rPr>
          <w:rFonts w:hint="eastAsia" w:ascii="宋体" w:hAnsi="宋体" w:eastAsia="宋体" w:cs="宋体"/>
          <w:b/>
          <w:bCs/>
          <w:color w:val="auto"/>
          <w:sz w:val="24"/>
          <w:szCs w:val="24"/>
          <w:lang w:val="zh-CN"/>
        </w:rPr>
        <w:t>电子文件制作要求，电子文件与纸质正本单一来源响应文件的内容应保持一致，具有同等法律效力，包含PDF格式和WORD格式，采用PDF格式的，有盖章和签字的文字页、证件等扫描文件一起编辑到PDF格式文件中，尤其是有盖章和签字的页不能遗漏，采用U盘刻录。</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19.5、</w:t>
      </w:r>
      <w:r>
        <w:rPr>
          <w:rFonts w:hint="eastAsia" w:ascii="宋体" w:hAnsi="宋体" w:eastAsia="宋体" w:cs="宋体"/>
          <w:b w:val="0"/>
          <w:bCs w:val="0"/>
          <w:color w:val="auto"/>
          <w:sz w:val="24"/>
          <w:szCs w:val="24"/>
          <w:lang w:val="zh-CN"/>
        </w:rPr>
        <w:t>单一来源</w:t>
      </w:r>
      <w:r>
        <w:rPr>
          <w:rFonts w:hint="eastAsia" w:ascii="宋体" w:hAnsi="宋体" w:eastAsia="宋体" w:cs="宋体"/>
          <w:color w:val="auto"/>
          <w:sz w:val="24"/>
          <w:szCs w:val="24"/>
          <w:lang w:val="zh-CN"/>
        </w:rPr>
        <w:t>响应文件除各供应商对错处做必要修改外，不得行间插字、涂改和增删，如有修改错漏处，必须由供应商法定代表人（或其委托代理人）签字或盖章。</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19.6、</w:t>
      </w:r>
      <w:r>
        <w:rPr>
          <w:rFonts w:hint="eastAsia" w:ascii="宋体" w:hAnsi="宋体" w:eastAsia="宋体" w:cs="宋体"/>
          <w:color w:val="auto"/>
          <w:sz w:val="24"/>
          <w:szCs w:val="24"/>
          <w:lang w:val="zh-CN"/>
        </w:rPr>
        <w:t>因字迹潦草或表达不清所引起的后果由供应商负责。</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20、踏勘和谈判预备会</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20.1、本项目不组织统一踏勘。</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20.2、本项目不召开谈判预备会，供应商如有疑问，请以书面形式在规定时间内提交至代理机构。</w:t>
      </w:r>
    </w:p>
    <w:p>
      <w:pPr>
        <w:pStyle w:val="4"/>
        <w:keepLines w:val="0"/>
        <w:pageBreakBefore w:val="0"/>
        <w:widowControl w:val="0"/>
        <w:tabs>
          <w:tab w:val="left" w:pos="576"/>
        </w:tabs>
        <w:kinsoku/>
        <w:wordWrap/>
        <w:overflowPunct/>
        <w:topLinePunct w:val="0"/>
        <w:autoSpaceDE/>
        <w:autoSpaceDN/>
        <w:bidi w:val="0"/>
        <w:snapToGrid/>
        <w:spacing w:before="0" w:after="0" w:line="440" w:lineRule="exact"/>
        <w:ind w:left="0" w:leftChars="0"/>
        <w:jc w:val="center"/>
        <w:textAlignment w:val="auto"/>
        <w:rPr>
          <w:rFonts w:hint="eastAsia" w:ascii="宋体" w:hAnsi="宋体" w:eastAsia="宋体" w:cs="宋体"/>
          <w:color w:val="auto"/>
          <w:lang w:val="en-US" w:eastAsia="zh-CN"/>
        </w:rPr>
      </w:pPr>
      <w:bookmarkStart w:id="2" w:name="_Toc10117"/>
      <w:bookmarkStart w:id="3" w:name="_Toc233435938"/>
      <w:bookmarkStart w:id="4" w:name="_Toc386965846"/>
      <w:bookmarkStart w:id="5" w:name="_Toc5363"/>
      <w:bookmarkStart w:id="6" w:name="_Toc7524491"/>
      <w:bookmarkStart w:id="7" w:name="_Toc13486"/>
      <w:bookmarkStart w:id="8" w:name="_Toc29488"/>
      <w:bookmarkStart w:id="9" w:name="_Toc22633"/>
      <w:bookmarkStart w:id="10" w:name="_Toc23618"/>
      <w:bookmarkStart w:id="11" w:name="_Toc392236633"/>
      <w:bookmarkStart w:id="12" w:name="_Toc17826"/>
      <w:r>
        <w:rPr>
          <w:rFonts w:hint="eastAsia" w:ascii="宋体" w:hAnsi="宋体" w:eastAsia="宋体" w:cs="宋体"/>
          <w:b/>
          <w:color w:val="auto"/>
          <w:kern w:val="2"/>
          <w:sz w:val="28"/>
          <w:szCs w:val="28"/>
          <w:lang w:val="zh-CN" w:eastAsia="zh-CN" w:bidi="ar-SA"/>
        </w:rPr>
        <w:t>D、</w:t>
      </w:r>
      <w:r>
        <w:rPr>
          <w:rFonts w:hint="eastAsia" w:ascii="宋体" w:hAnsi="宋体" w:eastAsia="宋体" w:cs="宋体"/>
          <w:b/>
          <w:color w:val="auto"/>
          <w:kern w:val="2"/>
          <w:sz w:val="28"/>
          <w:szCs w:val="28"/>
          <w:lang w:val="en-US" w:eastAsia="zh-CN" w:bidi="ar-SA"/>
        </w:rPr>
        <w:t>单一来源</w:t>
      </w:r>
      <w:r>
        <w:rPr>
          <w:rFonts w:hint="eastAsia" w:ascii="宋体" w:hAnsi="宋体" w:eastAsia="宋体" w:cs="宋体"/>
          <w:b/>
          <w:color w:val="auto"/>
          <w:kern w:val="2"/>
          <w:sz w:val="28"/>
          <w:szCs w:val="28"/>
          <w:lang w:val="zh-CN" w:eastAsia="zh-CN" w:bidi="ar-SA"/>
        </w:rPr>
        <w:t>响应文件的递交</w:t>
      </w:r>
      <w:bookmarkEnd w:id="2"/>
      <w:bookmarkEnd w:id="3"/>
      <w:bookmarkEnd w:id="4"/>
      <w:bookmarkEnd w:id="5"/>
      <w:bookmarkEnd w:id="6"/>
      <w:bookmarkEnd w:id="7"/>
      <w:bookmarkEnd w:id="8"/>
      <w:bookmarkEnd w:id="9"/>
      <w:bookmarkEnd w:id="10"/>
      <w:bookmarkEnd w:id="11"/>
      <w:bookmarkEnd w:id="12"/>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val="0"/>
          <w:bCs/>
          <w:color w:val="auto"/>
          <w:sz w:val="24"/>
          <w:szCs w:val="24"/>
          <w:lang w:val="zh-CN"/>
        </w:rPr>
      </w:pPr>
      <w:r>
        <w:rPr>
          <w:rFonts w:hint="eastAsia" w:ascii="宋体" w:hAnsi="宋体" w:eastAsia="宋体" w:cs="宋体"/>
          <w:b/>
          <w:color w:val="auto"/>
          <w:sz w:val="24"/>
          <w:szCs w:val="24"/>
          <w:lang w:val="en-US" w:eastAsia="zh-CN"/>
        </w:rPr>
        <w:t>21</w:t>
      </w:r>
      <w:r>
        <w:rPr>
          <w:rFonts w:hint="eastAsia" w:ascii="宋体" w:hAnsi="宋体" w:eastAsia="宋体" w:cs="宋体"/>
          <w:b/>
          <w:color w:val="auto"/>
          <w:sz w:val="24"/>
          <w:szCs w:val="24"/>
          <w:lang w:val="zh-CN"/>
        </w:rPr>
        <w:t>、单一来源</w:t>
      </w:r>
      <w:r>
        <w:rPr>
          <w:rFonts w:hint="eastAsia" w:ascii="宋体" w:hAnsi="宋体" w:eastAsia="宋体" w:cs="宋体"/>
          <w:b/>
          <w:bCs w:val="0"/>
          <w:color w:val="auto"/>
          <w:sz w:val="24"/>
          <w:szCs w:val="24"/>
          <w:lang w:val="zh-CN"/>
        </w:rPr>
        <w:t>响应文件的密封、标记及递交</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21</w:t>
      </w:r>
      <w:r>
        <w:rPr>
          <w:rFonts w:hint="eastAsia" w:ascii="宋体" w:hAnsi="宋体" w:eastAsia="宋体" w:cs="宋体"/>
          <w:b w:val="0"/>
          <w:bCs/>
          <w:color w:val="auto"/>
          <w:sz w:val="24"/>
          <w:szCs w:val="24"/>
          <w:lang w:val="zh-CN"/>
        </w:rPr>
        <w:t xml:space="preserve">.1 </w:t>
      </w:r>
      <w:r>
        <w:rPr>
          <w:rFonts w:hint="eastAsia" w:ascii="宋体" w:hAnsi="宋体" w:eastAsia="宋体" w:cs="宋体"/>
          <w:b w:val="0"/>
          <w:bCs w:val="0"/>
          <w:color w:val="auto"/>
          <w:sz w:val="24"/>
          <w:szCs w:val="24"/>
          <w:lang w:val="zh-CN"/>
        </w:rPr>
        <w:t>单一来源</w:t>
      </w:r>
      <w:r>
        <w:rPr>
          <w:rFonts w:hint="eastAsia" w:ascii="宋体" w:hAnsi="宋体" w:eastAsia="宋体" w:cs="宋体"/>
          <w:b w:val="0"/>
          <w:bCs/>
          <w:color w:val="auto"/>
          <w:sz w:val="24"/>
          <w:szCs w:val="24"/>
          <w:lang w:val="zh-CN"/>
        </w:rPr>
        <w:t>响应文件应密封在密封袋内。正本单独密封在一个密封袋内，所有副本密封在一个密封袋内，</w:t>
      </w:r>
      <w:r>
        <w:rPr>
          <w:rFonts w:hint="eastAsia" w:ascii="宋体" w:hAnsi="宋体" w:eastAsia="宋体" w:cs="宋体"/>
          <w:b w:val="0"/>
          <w:bCs/>
          <w:color w:val="auto"/>
          <w:sz w:val="24"/>
          <w:szCs w:val="24"/>
          <w:lang w:val="en-US" w:eastAsia="zh-CN"/>
        </w:rPr>
        <w:t>电子版文件</w:t>
      </w:r>
      <w:r>
        <w:rPr>
          <w:rFonts w:hint="eastAsia" w:ascii="宋体" w:hAnsi="宋体" w:eastAsia="宋体" w:cs="宋体"/>
          <w:b w:val="0"/>
          <w:bCs/>
          <w:color w:val="auto"/>
          <w:sz w:val="24"/>
          <w:szCs w:val="24"/>
          <w:lang w:val="zh-CN"/>
        </w:rPr>
        <w:t>单独密封在一个密封袋内</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lang w:val="zh-CN"/>
        </w:rPr>
        <w:t>封袋封口处应加贴封条密封，并在封线处加盖公章（骑缝章）。</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21</w:t>
      </w:r>
      <w:r>
        <w:rPr>
          <w:rFonts w:hint="eastAsia" w:ascii="宋体" w:hAnsi="宋体" w:eastAsia="宋体" w:cs="宋体"/>
          <w:b w:val="0"/>
          <w:bCs/>
          <w:color w:val="auto"/>
          <w:sz w:val="24"/>
          <w:szCs w:val="24"/>
          <w:lang w:val="zh-CN"/>
        </w:rPr>
        <w:t>.2 封皮上写明：</w:t>
      </w:r>
    </w:p>
    <w:p>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项目名称：</w:t>
      </w:r>
    </w:p>
    <w:p>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p>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供应商名称：</w:t>
      </w:r>
    </w:p>
    <w:p>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单一来源</w:t>
      </w:r>
      <w:r>
        <w:rPr>
          <w:rFonts w:hint="eastAsia" w:ascii="宋体" w:hAnsi="宋体" w:eastAsia="宋体" w:cs="宋体"/>
          <w:color w:val="auto"/>
          <w:sz w:val="24"/>
          <w:szCs w:val="24"/>
          <w:lang w:val="zh-CN"/>
        </w:rPr>
        <w:t>响应文件在202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年  月  日  时  分前“不得开启”字样</w:t>
      </w:r>
    </w:p>
    <w:p>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21.3</w:t>
      </w:r>
      <w:r>
        <w:rPr>
          <w:rFonts w:hint="eastAsia" w:ascii="宋体" w:hAnsi="宋体" w:eastAsia="宋体" w:cs="宋体"/>
          <w:color w:val="auto"/>
          <w:sz w:val="24"/>
          <w:szCs w:val="24"/>
          <w:lang w:val="zh-CN"/>
        </w:rPr>
        <w:t>、响应文件必须密封递交。对封装材料及样式不作特别规定，但供应商应当保证其封装的可靠性，不致因搬运、堆放等原因散开。所有密封袋/箱和响应文件封面须标明项目名称、采购项目编号、供应商名称及“正本”、“副本”</w:t>
      </w:r>
      <w:r>
        <w:rPr>
          <w:rFonts w:hint="eastAsia" w:ascii="宋体" w:hAnsi="宋体" w:eastAsia="宋体" w:cs="宋体"/>
          <w:color w:val="auto"/>
          <w:sz w:val="24"/>
          <w:szCs w:val="24"/>
          <w:lang w:val="en-US" w:eastAsia="zh-CN"/>
        </w:rPr>
        <w:t>或“电子文件”等</w:t>
      </w:r>
      <w:r>
        <w:rPr>
          <w:rFonts w:hint="eastAsia" w:ascii="宋体" w:hAnsi="宋体" w:eastAsia="宋体" w:cs="宋体"/>
          <w:color w:val="auto"/>
          <w:sz w:val="24"/>
          <w:szCs w:val="24"/>
          <w:lang w:val="zh-CN"/>
        </w:rPr>
        <w:t>字样。</w:t>
      </w:r>
    </w:p>
    <w:p>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21.4、</w:t>
      </w:r>
      <w:r>
        <w:rPr>
          <w:rFonts w:hint="eastAsia" w:ascii="宋体" w:hAnsi="宋体" w:eastAsia="宋体" w:cs="宋体"/>
          <w:color w:val="auto"/>
          <w:sz w:val="24"/>
          <w:szCs w:val="24"/>
          <w:lang w:val="zh-CN"/>
        </w:rPr>
        <w:t>响应文件未按要求密封和加写标记，采购代理机构应当拒收；采购代理机构对误投或过早启封的响应文件概不负责。</w:t>
      </w:r>
    </w:p>
    <w:p>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21.5、供应商应按照</w:t>
      </w:r>
      <w:r>
        <w:rPr>
          <w:rFonts w:hint="eastAsia" w:ascii="宋体" w:hAnsi="宋体" w:eastAsia="宋体" w:cs="宋体"/>
          <w:b w:val="0"/>
          <w:bCs w:val="0"/>
          <w:color w:val="auto"/>
          <w:sz w:val="24"/>
          <w:szCs w:val="24"/>
          <w:lang w:val="zh-CN"/>
        </w:rPr>
        <w:t>单一来源</w:t>
      </w:r>
      <w:r>
        <w:rPr>
          <w:rFonts w:hint="eastAsia" w:ascii="宋体" w:hAnsi="宋体" w:eastAsia="宋体" w:cs="宋体"/>
          <w:b w:val="0"/>
          <w:bCs w:val="0"/>
          <w:color w:val="auto"/>
          <w:sz w:val="24"/>
          <w:szCs w:val="24"/>
          <w:lang w:val="en-US" w:eastAsia="zh-CN"/>
        </w:rPr>
        <w:t>邀请函</w:t>
      </w:r>
      <w:r>
        <w:rPr>
          <w:rFonts w:hint="eastAsia" w:ascii="宋体" w:hAnsi="宋体" w:eastAsia="宋体" w:cs="宋体"/>
          <w:color w:val="auto"/>
          <w:sz w:val="24"/>
          <w:szCs w:val="24"/>
          <w:lang w:val="en-US" w:eastAsia="zh-CN"/>
        </w:rPr>
        <w:t>中规定的时间、地点，在规定的</w:t>
      </w:r>
      <w:r>
        <w:rPr>
          <w:rFonts w:hint="eastAsia" w:ascii="宋体" w:hAnsi="宋体" w:eastAsia="宋体" w:cs="宋体"/>
          <w:b w:val="0"/>
          <w:bCs w:val="0"/>
          <w:color w:val="auto"/>
          <w:sz w:val="24"/>
          <w:szCs w:val="24"/>
          <w:lang w:val="zh-CN"/>
        </w:rPr>
        <w:t>单一来源</w:t>
      </w:r>
      <w:r>
        <w:rPr>
          <w:rFonts w:hint="eastAsia" w:ascii="宋体" w:hAnsi="宋体" w:eastAsia="宋体" w:cs="宋体"/>
          <w:color w:val="auto"/>
          <w:sz w:val="24"/>
          <w:szCs w:val="24"/>
          <w:lang w:val="en-US" w:eastAsia="zh-CN"/>
        </w:rPr>
        <w:t>响应文件递交截止时间前将全部</w:t>
      </w:r>
      <w:r>
        <w:rPr>
          <w:rFonts w:hint="eastAsia" w:ascii="宋体" w:hAnsi="宋体" w:eastAsia="宋体" w:cs="宋体"/>
          <w:b w:val="0"/>
          <w:bCs w:val="0"/>
          <w:color w:val="auto"/>
          <w:sz w:val="24"/>
          <w:szCs w:val="24"/>
          <w:lang w:val="zh-CN"/>
        </w:rPr>
        <w:t>单一来源</w:t>
      </w:r>
      <w:r>
        <w:rPr>
          <w:rFonts w:hint="eastAsia" w:ascii="宋体" w:hAnsi="宋体" w:eastAsia="宋体" w:cs="宋体"/>
          <w:color w:val="auto"/>
          <w:sz w:val="24"/>
          <w:szCs w:val="24"/>
          <w:lang w:val="en-US" w:eastAsia="zh-CN"/>
        </w:rPr>
        <w:t>响应文件和谈判资料递交至采购代理机构接收人处。</w:t>
      </w:r>
    </w:p>
    <w:p>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21.6、采购代理机构在单一来源文件规定的单一来源响应文件递交截止时间前，只负责</w:t>
      </w:r>
      <w:r>
        <w:rPr>
          <w:rFonts w:hint="eastAsia" w:ascii="宋体" w:hAnsi="宋体" w:eastAsia="宋体" w:cs="宋体"/>
          <w:b w:val="0"/>
          <w:bCs w:val="0"/>
          <w:color w:val="auto"/>
          <w:sz w:val="24"/>
          <w:szCs w:val="24"/>
          <w:lang w:val="zh-CN"/>
        </w:rPr>
        <w:t>单一来源</w:t>
      </w:r>
      <w:r>
        <w:rPr>
          <w:rFonts w:hint="eastAsia" w:ascii="宋体" w:hAnsi="宋体" w:eastAsia="宋体" w:cs="宋体"/>
          <w:color w:val="auto"/>
          <w:sz w:val="24"/>
          <w:szCs w:val="24"/>
          <w:lang w:val="en-US" w:eastAsia="zh-CN"/>
        </w:rPr>
        <w:t>响应文件的接收、清点、造册登记工作，并请递交人签字确认，对其有效性不负任何责任。</w:t>
      </w:r>
    </w:p>
    <w:p>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21.7、无论供应商成交与否，其</w:t>
      </w:r>
      <w:r>
        <w:rPr>
          <w:rFonts w:hint="eastAsia" w:ascii="宋体" w:hAnsi="宋体" w:eastAsia="宋体" w:cs="宋体"/>
          <w:b w:val="0"/>
          <w:bCs w:val="0"/>
          <w:color w:val="auto"/>
          <w:sz w:val="24"/>
          <w:szCs w:val="24"/>
          <w:lang w:val="zh-CN"/>
        </w:rPr>
        <w:t>单一来源</w:t>
      </w:r>
      <w:r>
        <w:rPr>
          <w:rFonts w:hint="eastAsia" w:ascii="宋体" w:hAnsi="宋体" w:eastAsia="宋体" w:cs="宋体"/>
          <w:color w:val="auto"/>
          <w:sz w:val="24"/>
          <w:szCs w:val="24"/>
          <w:lang w:val="en-US" w:eastAsia="zh-CN"/>
        </w:rPr>
        <w:t>响应文件恕不退还。</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22、谈判截止时间</w:t>
      </w:r>
    </w:p>
    <w:p>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22.1、所有响应文件都必须按“</w:t>
      </w:r>
      <w:r>
        <w:rPr>
          <w:rFonts w:hint="eastAsia" w:ascii="宋体" w:hAnsi="宋体" w:eastAsia="宋体" w:cs="宋体"/>
          <w:b w:val="0"/>
          <w:bCs w:val="0"/>
          <w:color w:val="auto"/>
          <w:sz w:val="24"/>
          <w:szCs w:val="24"/>
          <w:lang w:val="zh-CN"/>
        </w:rPr>
        <w:t>单一来源</w:t>
      </w:r>
      <w:r>
        <w:rPr>
          <w:rFonts w:hint="eastAsia" w:ascii="宋体" w:hAnsi="宋体" w:eastAsia="宋体" w:cs="宋体"/>
          <w:b w:val="0"/>
          <w:bCs w:val="0"/>
          <w:color w:val="auto"/>
          <w:sz w:val="24"/>
          <w:szCs w:val="24"/>
          <w:lang w:val="en-US" w:eastAsia="zh-CN"/>
        </w:rPr>
        <w:t>邀请函</w:t>
      </w:r>
      <w:r>
        <w:rPr>
          <w:rFonts w:hint="eastAsia" w:ascii="宋体" w:hAnsi="宋体" w:eastAsia="宋体" w:cs="宋体"/>
          <w:color w:val="auto"/>
          <w:sz w:val="24"/>
          <w:szCs w:val="24"/>
          <w:lang w:val="en-US" w:eastAsia="zh-CN"/>
        </w:rPr>
        <w:t>”中规定的统一递交响应文件时间送达“</w:t>
      </w:r>
      <w:r>
        <w:rPr>
          <w:rFonts w:hint="eastAsia" w:ascii="宋体" w:hAnsi="宋体" w:eastAsia="宋体" w:cs="宋体"/>
          <w:b w:val="0"/>
          <w:bCs w:val="0"/>
          <w:color w:val="auto"/>
          <w:sz w:val="24"/>
          <w:szCs w:val="24"/>
          <w:lang w:val="zh-CN"/>
        </w:rPr>
        <w:t>单一来源</w:t>
      </w:r>
      <w:r>
        <w:rPr>
          <w:rFonts w:hint="eastAsia" w:ascii="宋体" w:hAnsi="宋体" w:eastAsia="宋体" w:cs="宋体"/>
          <w:b w:val="0"/>
          <w:bCs w:val="0"/>
          <w:color w:val="auto"/>
          <w:sz w:val="24"/>
          <w:szCs w:val="24"/>
          <w:lang w:val="en-US" w:eastAsia="zh-CN"/>
        </w:rPr>
        <w:t>邀请函</w:t>
      </w:r>
      <w:r>
        <w:rPr>
          <w:rFonts w:hint="eastAsia" w:ascii="宋体" w:hAnsi="宋体" w:eastAsia="宋体" w:cs="宋体"/>
          <w:color w:val="auto"/>
          <w:sz w:val="24"/>
          <w:szCs w:val="24"/>
          <w:lang w:val="en-US" w:eastAsia="zh-CN"/>
        </w:rPr>
        <w:t>”中规定的递交地址。</w:t>
      </w:r>
    </w:p>
    <w:p>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22.2、出现因单一来源文件的修改推迟投标截止日期时，则按修改通知规定的时间递交。</w:t>
      </w:r>
    </w:p>
    <w:p>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22.3、在响应文件递交截止时间之后递交的任何响应文件及资料将被拒绝接收。</w:t>
      </w:r>
    </w:p>
    <w:p>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22.4、拒绝接受以电报、电话、传真、电子邮件形式的投标。</w:t>
      </w:r>
    </w:p>
    <w:p>
      <w:pPr>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lang w:val="zh-CN"/>
        </w:rPr>
        <w:t>、单一来源</w:t>
      </w:r>
      <w:r>
        <w:rPr>
          <w:rFonts w:hint="eastAsia" w:ascii="宋体" w:hAnsi="宋体" w:eastAsia="宋体" w:cs="宋体"/>
          <w:b/>
          <w:color w:val="auto"/>
          <w:kern w:val="1"/>
          <w:sz w:val="24"/>
          <w:szCs w:val="24"/>
          <w:highlight w:val="none"/>
        </w:rPr>
        <w:t>响应文件的修改</w:t>
      </w:r>
      <w:r>
        <w:rPr>
          <w:rFonts w:hint="eastAsia" w:ascii="宋体" w:hAnsi="宋体" w:eastAsia="宋体" w:cs="宋体"/>
          <w:b/>
          <w:color w:val="auto"/>
          <w:kern w:val="1"/>
          <w:sz w:val="24"/>
          <w:szCs w:val="24"/>
          <w:highlight w:val="none"/>
          <w:lang w:val="en-US" w:eastAsia="zh-CN"/>
        </w:rPr>
        <w:t>与</w:t>
      </w:r>
      <w:r>
        <w:rPr>
          <w:rFonts w:hint="eastAsia" w:ascii="宋体" w:hAnsi="宋体" w:eastAsia="宋体" w:cs="宋体"/>
          <w:b/>
          <w:color w:val="auto"/>
          <w:kern w:val="1"/>
          <w:sz w:val="24"/>
          <w:szCs w:val="24"/>
          <w:highlight w:val="none"/>
        </w:rPr>
        <w:t>撤回</w:t>
      </w:r>
    </w:p>
    <w:p>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23.1</w:t>
      </w:r>
      <w:r>
        <w:rPr>
          <w:rFonts w:hint="eastAsia" w:ascii="宋体" w:hAnsi="宋体" w:eastAsia="宋体" w:cs="宋体"/>
          <w:color w:val="auto"/>
          <w:sz w:val="24"/>
          <w:szCs w:val="24"/>
          <w:lang w:val="zh-CN"/>
        </w:rPr>
        <w:t>、供应商在递交单一来源响应文件后，可以修改或撤回其</w:t>
      </w:r>
      <w:r>
        <w:rPr>
          <w:rFonts w:hint="eastAsia" w:ascii="宋体" w:hAnsi="宋体" w:eastAsia="宋体" w:cs="宋体"/>
          <w:b w:val="0"/>
          <w:bCs w:val="0"/>
          <w:color w:val="auto"/>
          <w:sz w:val="24"/>
          <w:szCs w:val="24"/>
          <w:lang w:val="zh-CN"/>
        </w:rPr>
        <w:t>单一来源</w:t>
      </w:r>
      <w:r>
        <w:rPr>
          <w:rFonts w:hint="eastAsia" w:ascii="宋体" w:hAnsi="宋体" w:eastAsia="宋体" w:cs="宋体"/>
          <w:color w:val="auto"/>
          <w:sz w:val="24"/>
          <w:szCs w:val="24"/>
          <w:lang w:val="zh-CN"/>
        </w:rPr>
        <w:t>响应文件，也可以提出价格变动声明，但供应商必须在规定的谈判截止时间之前将修改或撤回或变动价格的书面通知文件递交到采购代理机构。</w:t>
      </w:r>
    </w:p>
    <w:p>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.2、供应商的修改或撤回或变动价格的通知应按本须知第</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lang w:val="zh-CN"/>
        </w:rPr>
        <w:t>条的规定编制、密封、标记和递交。</w:t>
      </w:r>
    </w:p>
    <w:p>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23.3</w:t>
      </w:r>
      <w:r>
        <w:rPr>
          <w:rFonts w:hint="eastAsia" w:ascii="宋体" w:hAnsi="宋体" w:eastAsia="宋体" w:cs="宋体"/>
          <w:color w:val="auto"/>
          <w:sz w:val="24"/>
          <w:szCs w:val="24"/>
          <w:lang w:val="zh-CN" w:eastAsia="zh-CN"/>
        </w:rPr>
        <w:t>、在谈判截止时间之后，供应商不得对其</w:t>
      </w:r>
      <w:r>
        <w:rPr>
          <w:rFonts w:hint="eastAsia" w:ascii="宋体" w:hAnsi="宋体" w:eastAsia="宋体" w:cs="宋体"/>
          <w:b w:val="0"/>
          <w:bCs w:val="0"/>
          <w:color w:val="auto"/>
          <w:sz w:val="24"/>
          <w:szCs w:val="24"/>
          <w:lang w:val="zh-CN"/>
        </w:rPr>
        <w:t>单一来</w:t>
      </w:r>
      <w:r>
        <w:rPr>
          <w:rFonts w:hint="eastAsia" w:ascii="宋体" w:hAnsi="宋体" w:eastAsia="宋体" w:cs="宋体"/>
          <w:color w:val="auto"/>
          <w:sz w:val="24"/>
          <w:szCs w:val="24"/>
          <w:lang w:val="zh-CN" w:eastAsia="zh-CN"/>
        </w:rPr>
        <w:t>响应文件做任何修改或撤回。</w:t>
      </w:r>
    </w:p>
    <w:p>
      <w:pPr>
        <w:pStyle w:val="4"/>
        <w:keepLines w:val="0"/>
        <w:pageBreakBefore w:val="0"/>
        <w:widowControl w:val="0"/>
        <w:tabs>
          <w:tab w:val="left" w:pos="576"/>
        </w:tabs>
        <w:kinsoku/>
        <w:wordWrap/>
        <w:overflowPunct/>
        <w:topLinePunct w:val="0"/>
        <w:autoSpaceDE/>
        <w:autoSpaceDN/>
        <w:bidi w:val="0"/>
        <w:snapToGrid/>
        <w:spacing w:before="0" w:after="0" w:line="440" w:lineRule="exact"/>
        <w:ind w:left="0" w:leftChars="0"/>
        <w:jc w:val="center"/>
        <w:textAlignment w:val="auto"/>
        <w:rPr>
          <w:rFonts w:hint="eastAsia" w:ascii="宋体" w:hAnsi="宋体" w:eastAsia="宋体" w:cs="宋体"/>
          <w:b/>
          <w:color w:val="auto"/>
          <w:kern w:val="2"/>
          <w:sz w:val="28"/>
          <w:szCs w:val="28"/>
          <w:lang w:val="zh-CN" w:eastAsia="zh-CN" w:bidi="ar-SA"/>
        </w:rPr>
      </w:pPr>
      <w:r>
        <w:rPr>
          <w:rFonts w:hint="eastAsia" w:ascii="宋体" w:hAnsi="宋体" w:eastAsia="宋体" w:cs="宋体"/>
          <w:b/>
          <w:color w:val="auto"/>
          <w:kern w:val="2"/>
          <w:sz w:val="28"/>
          <w:szCs w:val="28"/>
          <w:lang w:val="zh-CN" w:eastAsia="zh-CN" w:bidi="ar-SA"/>
        </w:rPr>
        <w:t>E、谈判及评审</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24、谈判大会</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24.1、采购代理机构按单一来源文件规定的时间、地点组织谈判。</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24.2、谈判大会由采购代理机构主持，采购人代表、谈判供应商等相关人员参加。</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24.3、谈判供应商应派法定代表人或者授权代表出席开标会，参加开标的代表应签名报到，以证明其出席。谈判供应商的法定代表人或授权代表未出席开标会的，视为其认同谈判结果。</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24.4、谈判大会程序：</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24.4.1宣布谈判大会现场纪律。</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24.4.2公布递交</w:t>
      </w:r>
      <w:r>
        <w:rPr>
          <w:rFonts w:hint="eastAsia" w:ascii="宋体" w:hAnsi="宋体" w:eastAsia="宋体" w:cs="宋体"/>
          <w:b w:val="0"/>
          <w:bCs w:val="0"/>
          <w:color w:val="auto"/>
          <w:sz w:val="24"/>
          <w:szCs w:val="24"/>
          <w:lang w:val="zh-CN"/>
        </w:rPr>
        <w:t>单一来</w:t>
      </w:r>
      <w:r>
        <w:rPr>
          <w:rFonts w:hint="eastAsia" w:ascii="宋体" w:hAnsi="宋体" w:eastAsia="宋体" w:cs="宋体"/>
          <w:color w:val="auto"/>
          <w:sz w:val="24"/>
          <w:szCs w:val="24"/>
          <w:lang w:val="en-US" w:eastAsia="zh-CN"/>
        </w:rPr>
        <w:t>响应文件的谈判供应商名称。</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24.4.3查验</w:t>
      </w:r>
      <w:r>
        <w:rPr>
          <w:rFonts w:hint="eastAsia" w:ascii="宋体" w:hAnsi="宋体" w:eastAsia="宋体" w:cs="宋体"/>
          <w:b w:val="0"/>
          <w:bCs w:val="0"/>
          <w:color w:val="auto"/>
          <w:sz w:val="24"/>
          <w:szCs w:val="24"/>
          <w:lang w:val="zh-CN"/>
        </w:rPr>
        <w:t>单一来</w:t>
      </w:r>
      <w:r>
        <w:rPr>
          <w:rFonts w:hint="eastAsia" w:ascii="宋体" w:hAnsi="宋体" w:eastAsia="宋体" w:cs="宋体"/>
          <w:color w:val="auto"/>
          <w:sz w:val="24"/>
          <w:szCs w:val="24"/>
          <w:lang w:val="en-US" w:eastAsia="zh-CN"/>
        </w:rPr>
        <w:t>响应文件的密封情况。</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24.5、采购代理机构对开标过程做好记录，并存档备案。</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25、评审程序</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w:t>
      </w:r>
      <w:r>
        <w:rPr>
          <w:rFonts w:hint="eastAsia" w:ascii="宋体" w:hAnsi="宋体" w:eastAsia="宋体" w:cs="宋体"/>
          <w:b w:val="0"/>
          <w:bCs w:val="0"/>
          <w:color w:val="auto"/>
          <w:sz w:val="24"/>
          <w:szCs w:val="24"/>
          <w:lang w:val="zh-CN"/>
        </w:rPr>
        <w:t>单一来源</w:t>
      </w:r>
      <w:r>
        <w:rPr>
          <w:rFonts w:hint="eastAsia" w:ascii="宋体" w:hAnsi="宋体" w:eastAsia="宋体" w:cs="宋体"/>
          <w:color w:val="auto"/>
          <w:sz w:val="24"/>
          <w:szCs w:val="24"/>
          <w:lang w:val="en-US" w:eastAsia="zh-CN"/>
        </w:rPr>
        <w:t>响应文件初审、澄清有关问题、分别谈判、二次报价推荐成交候选人名单的工作程序进行评审。在上一步评审中被认定为无效谈判者，不进入下一步的评审</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26、评审组织及评审原则</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26.1、按照《中华人民共和国政府采购法》及实施条例，依法组建谈判小组。谈判小组由采购人代表和评审专家组成，成员人数应当为3人以上单数，其中采购人代表须持有授权书。谈判小组按照单一来源文件规定的评审方法独立进行评审工作。</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26.2、单一来源文件和</w:t>
      </w:r>
      <w:r>
        <w:rPr>
          <w:rFonts w:hint="eastAsia" w:ascii="宋体" w:hAnsi="宋体" w:eastAsia="宋体" w:cs="宋体"/>
          <w:b w:val="0"/>
          <w:bCs w:val="0"/>
          <w:color w:val="auto"/>
          <w:sz w:val="24"/>
          <w:szCs w:val="24"/>
          <w:lang w:val="zh-CN"/>
        </w:rPr>
        <w:t>单一来源</w:t>
      </w:r>
      <w:r>
        <w:rPr>
          <w:rFonts w:hint="eastAsia" w:ascii="宋体" w:hAnsi="宋体" w:eastAsia="宋体" w:cs="宋体"/>
          <w:color w:val="auto"/>
          <w:sz w:val="24"/>
          <w:szCs w:val="24"/>
          <w:lang w:val="en-US" w:eastAsia="zh-CN"/>
        </w:rPr>
        <w:t>响应文件是评审的依据。在评审中，不得改变单一来源文件中规定的评审标准、方法和成交条件。</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26.3、在评审期间，对</w:t>
      </w:r>
      <w:r>
        <w:rPr>
          <w:rFonts w:hint="eastAsia" w:ascii="宋体" w:hAnsi="宋体" w:eastAsia="宋体" w:cs="宋体"/>
          <w:b w:val="0"/>
          <w:bCs w:val="0"/>
          <w:color w:val="auto"/>
          <w:sz w:val="24"/>
          <w:szCs w:val="24"/>
          <w:lang w:val="zh-CN"/>
        </w:rPr>
        <w:t>单一来源</w:t>
      </w:r>
      <w:r>
        <w:rPr>
          <w:rFonts w:hint="eastAsia" w:ascii="宋体" w:hAnsi="宋体" w:eastAsia="宋体" w:cs="宋体"/>
          <w:color w:val="auto"/>
          <w:sz w:val="24"/>
          <w:szCs w:val="24"/>
          <w:lang w:val="en-US" w:eastAsia="zh-CN"/>
        </w:rPr>
        <w:t>响应文件中含义不明确、同类问题表述不一致或者有明显文字和计算错误的内容，谈判小组可以书面形式（由谈判小组专家签字）要求供应商作出必要的澄清、说明或者纠正。供应商的澄清、说明或者补正应当采用书面形式，由其授权的代表签字，并不得超出</w:t>
      </w:r>
      <w:r>
        <w:rPr>
          <w:rFonts w:hint="eastAsia" w:ascii="宋体" w:hAnsi="宋体" w:eastAsia="宋体" w:cs="宋体"/>
          <w:b w:val="0"/>
          <w:bCs w:val="0"/>
          <w:color w:val="auto"/>
          <w:sz w:val="24"/>
          <w:szCs w:val="24"/>
          <w:lang w:val="zh-CN"/>
        </w:rPr>
        <w:t>单一来源</w:t>
      </w:r>
      <w:r>
        <w:rPr>
          <w:rFonts w:hint="eastAsia" w:ascii="宋体" w:hAnsi="宋体" w:eastAsia="宋体" w:cs="宋体"/>
          <w:color w:val="auto"/>
          <w:sz w:val="24"/>
          <w:szCs w:val="24"/>
          <w:lang w:val="en-US" w:eastAsia="zh-CN"/>
        </w:rPr>
        <w:t>响应文件的范围或者改变</w:t>
      </w:r>
      <w:r>
        <w:rPr>
          <w:rFonts w:hint="eastAsia" w:ascii="宋体" w:hAnsi="宋体" w:eastAsia="宋体" w:cs="宋体"/>
          <w:b w:val="0"/>
          <w:bCs w:val="0"/>
          <w:color w:val="auto"/>
          <w:sz w:val="24"/>
          <w:szCs w:val="24"/>
          <w:lang w:val="zh-CN"/>
        </w:rPr>
        <w:t>单一来源</w:t>
      </w:r>
      <w:r>
        <w:rPr>
          <w:rFonts w:hint="eastAsia" w:ascii="宋体" w:hAnsi="宋体" w:eastAsia="宋体" w:cs="宋体"/>
          <w:color w:val="auto"/>
          <w:sz w:val="24"/>
          <w:szCs w:val="24"/>
          <w:lang w:val="en-US" w:eastAsia="zh-CN"/>
        </w:rPr>
        <w:t>响应文件的实质性内容。</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26.4、如果供应商在澄清规定期限内，未能答复或拒绝答复谈判小组提出的澄清要求，将由谈判小组根据其</w:t>
      </w:r>
      <w:r>
        <w:rPr>
          <w:rFonts w:hint="eastAsia" w:ascii="宋体" w:hAnsi="宋体" w:eastAsia="宋体" w:cs="宋体"/>
          <w:b w:val="0"/>
          <w:bCs w:val="0"/>
          <w:color w:val="auto"/>
          <w:sz w:val="24"/>
          <w:szCs w:val="24"/>
          <w:lang w:val="zh-CN"/>
        </w:rPr>
        <w:t>单一来源</w:t>
      </w:r>
      <w:r>
        <w:rPr>
          <w:rFonts w:hint="eastAsia" w:ascii="宋体" w:hAnsi="宋体" w:eastAsia="宋体" w:cs="宋体"/>
          <w:color w:val="auto"/>
          <w:sz w:val="24"/>
          <w:szCs w:val="24"/>
          <w:lang w:val="en-US" w:eastAsia="zh-CN"/>
        </w:rPr>
        <w:t>响应文件按最大风险进行评审。</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26.5、谈判过程中的实质性变动：</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26.5.1、在谈判过程中，谈判小组可以根据单一来源文件和谈判情况在最终报价之前实质性变动采购需求中的技术、服务要求以及合同草案条款，但不得变动单一来源文件中的其他内容。实质性变动的内容，须经采购人代表确认。</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26.5.2、对单一来源文件做出的实质性变动是单一来源文件的有效组成部分，谈判小组应当及时以书面形式通知所有参加谈判的供应商。</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26.6、</w:t>
      </w:r>
      <w:r>
        <w:rPr>
          <w:rFonts w:hint="eastAsia" w:ascii="宋体" w:hAnsi="宋体" w:eastAsia="宋体" w:cs="宋体"/>
          <w:b/>
          <w:bCs/>
          <w:color w:val="auto"/>
          <w:sz w:val="24"/>
          <w:szCs w:val="24"/>
          <w:lang w:val="zh-CN"/>
        </w:rPr>
        <w:t>单一来源</w:t>
      </w:r>
      <w:r>
        <w:rPr>
          <w:rFonts w:hint="eastAsia" w:ascii="宋体" w:hAnsi="宋体" w:eastAsia="宋体" w:cs="宋体"/>
          <w:b/>
          <w:bCs/>
          <w:color w:val="auto"/>
          <w:sz w:val="24"/>
          <w:szCs w:val="24"/>
          <w:lang w:val="en-US" w:eastAsia="zh-CN"/>
        </w:rPr>
        <w:t>响应文件的资格性审查</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26.6.1开标结束后，采购人依据法律法规和单一来源文件的规定，对响应文件中的供应商资格证明文件进行审查，以确定供应商是否具备谈判资格。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出现下列情形的，响应文件将被视为无效：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(1)不具备单一来源文件中规定的资格要求的；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(2)未按单一来源文件要求提供资格证明文件，或未按单一来源文件要求加盖公章的；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(3)监标人认为供应商的资格证明文件存在疑点，需提供更清晰有效的证明文件，供应商不能在规定时限内提供符合单一来源文件要求的证明文件的。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资格审查结束后，监标人应当对审查结果进行签字确认，并告知有关供应商未通过审查的原因。通过资格审查的供应商，进行符合性审查。</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26.7、</w:t>
      </w:r>
      <w:r>
        <w:rPr>
          <w:rFonts w:hint="eastAsia" w:ascii="宋体" w:hAnsi="宋体" w:eastAsia="宋体" w:cs="宋体"/>
          <w:b/>
          <w:bCs/>
          <w:color w:val="auto"/>
          <w:sz w:val="24"/>
          <w:szCs w:val="24"/>
        </w:rPr>
        <w:t>关于信用记录的查询和使用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26.7.1、供应商</w:t>
      </w:r>
      <w:r>
        <w:rPr>
          <w:rFonts w:hint="eastAsia" w:ascii="宋体" w:hAnsi="宋体" w:eastAsia="宋体" w:cs="宋体"/>
          <w:color w:val="auto"/>
          <w:sz w:val="24"/>
          <w:szCs w:val="24"/>
          <w:highlight w:val="none"/>
        </w:rPr>
        <w:t>不得为列入信用中国(www.creditchina.gov.cn)记录失信被执行人或重大税收违法案件当事人名单或中国政府采购网(www.ccgp.gov.cn)的政府采购严重违法失信行为记录名单</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26.7.2、</w:t>
      </w:r>
      <w:r>
        <w:rPr>
          <w:rFonts w:hint="eastAsia" w:ascii="宋体" w:hAnsi="宋体" w:eastAsia="宋体" w:cs="宋体"/>
          <w:color w:val="auto"/>
          <w:sz w:val="24"/>
          <w:szCs w:val="24"/>
        </w:rPr>
        <w:t>供应商在参加政府采购活动前 3 年内因违法经营被禁止在一定期限内参加政府采购活动，期限届满的，可以参加政府采购活动的，但供应商应提供相关证明材料。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26.7.3、</w:t>
      </w:r>
      <w:r>
        <w:rPr>
          <w:rFonts w:hint="eastAsia" w:ascii="宋体" w:hAnsi="宋体" w:eastAsia="宋体" w:cs="宋体"/>
          <w:color w:val="auto"/>
          <w:sz w:val="24"/>
          <w:szCs w:val="24"/>
        </w:rPr>
        <w:t>供应商信用记录及企业基本信息查询的时间段为“</w:t>
      </w:r>
      <w:r>
        <w:rPr>
          <w:rFonts w:hint="eastAsia" w:ascii="宋体" w:hAnsi="宋体" w:eastAsia="宋体" w:cs="宋体"/>
          <w:color w:val="auto"/>
          <w:sz w:val="24"/>
          <w:szCs w:val="24"/>
          <w:lang w:val="en-US" w:eastAsia="zh-CN"/>
        </w:rPr>
        <w:t>单一来源文件发售</w:t>
      </w:r>
      <w:r>
        <w:rPr>
          <w:rFonts w:hint="eastAsia" w:ascii="宋体" w:hAnsi="宋体" w:eastAsia="宋体" w:cs="宋体"/>
          <w:color w:val="auto"/>
          <w:sz w:val="24"/>
          <w:szCs w:val="24"/>
        </w:rPr>
        <w:t>之日（含当日）至提交</w:t>
      </w:r>
      <w:r>
        <w:rPr>
          <w:rFonts w:hint="eastAsia" w:ascii="宋体" w:hAnsi="宋体" w:eastAsia="宋体" w:cs="宋体"/>
          <w:color w:val="auto"/>
          <w:sz w:val="24"/>
          <w:szCs w:val="24"/>
          <w:lang w:val="en-US" w:eastAsia="zh-CN"/>
        </w:rPr>
        <w:t>单一来源</w:t>
      </w:r>
      <w:r>
        <w:rPr>
          <w:rFonts w:hint="eastAsia" w:ascii="宋体" w:hAnsi="宋体" w:eastAsia="宋体" w:cs="宋体"/>
          <w:color w:val="auto"/>
          <w:sz w:val="24"/>
          <w:szCs w:val="24"/>
        </w:rPr>
        <w:t>响应文件截止之日（含当日）”。信用记录查询的结果，</w:t>
      </w:r>
      <w:r>
        <w:rPr>
          <w:rFonts w:hint="eastAsia" w:ascii="宋体" w:hAnsi="宋体" w:eastAsia="宋体" w:cs="宋体"/>
          <w:color w:val="auto"/>
          <w:sz w:val="24"/>
          <w:szCs w:val="24"/>
          <w:lang w:val="en-US" w:eastAsia="zh-CN"/>
        </w:rPr>
        <w:t>以</w:t>
      </w:r>
      <w:r>
        <w:rPr>
          <w:rFonts w:hint="eastAsia" w:ascii="宋体" w:hAnsi="宋体" w:eastAsia="宋体" w:cs="宋体"/>
          <w:color w:val="auto"/>
          <w:sz w:val="24"/>
          <w:szCs w:val="24"/>
        </w:rPr>
        <w:t>纸质截图</w:t>
      </w:r>
      <w:r>
        <w:rPr>
          <w:rFonts w:hint="eastAsia" w:ascii="宋体" w:hAnsi="宋体" w:eastAsia="宋体" w:cs="宋体"/>
          <w:color w:val="auto"/>
          <w:sz w:val="24"/>
          <w:szCs w:val="24"/>
          <w:lang w:val="en-US" w:eastAsia="zh-CN"/>
        </w:rPr>
        <w:t>并附在单一来源响应文件中</w:t>
      </w:r>
      <w:r>
        <w:rPr>
          <w:rFonts w:hint="eastAsia" w:ascii="宋体" w:hAnsi="宋体" w:eastAsia="宋体" w:cs="宋体"/>
          <w:color w:val="auto"/>
          <w:sz w:val="24"/>
          <w:szCs w:val="24"/>
        </w:rPr>
        <w:t>的形式留存。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26.7.4、</w:t>
      </w:r>
      <w:r>
        <w:rPr>
          <w:rFonts w:hint="eastAsia" w:ascii="宋体" w:hAnsi="宋体" w:eastAsia="宋体" w:cs="宋体"/>
          <w:color w:val="auto"/>
          <w:sz w:val="24"/>
          <w:szCs w:val="24"/>
        </w:rPr>
        <w:t>两个以上的自然人、法人或者其他组织组成一个联合体，以一个供应商的身份</w:t>
      </w:r>
      <w:r>
        <w:rPr>
          <w:rFonts w:hint="eastAsia" w:ascii="宋体" w:hAnsi="宋体" w:eastAsia="宋体" w:cs="宋体"/>
          <w:color w:val="auto"/>
          <w:sz w:val="24"/>
          <w:szCs w:val="24"/>
          <w:highlight w:val="none"/>
        </w:rPr>
        <w:t>共同参加政府采购活动的，应当对所有联合体成员进行信用记录查询，联合体成员</w:t>
      </w:r>
      <w:r>
        <w:rPr>
          <w:rFonts w:hint="eastAsia" w:ascii="宋体" w:hAnsi="宋体" w:eastAsia="宋体" w:cs="宋体"/>
          <w:color w:val="auto"/>
          <w:sz w:val="24"/>
          <w:szCs w:val="24"/>
          <w:lang w:val="en-US" w:eastAsia="zh-CN"/>
        </w:rPr>
        <w:t>存在不良信用记录的，视同联合体存在不良信用记录。</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注：若供应商在失信行为记录名单中，则其响应文件无效。采购代理机构将打印查询记录作为证据留存。</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26.8、单一来源响应文件的符合性审查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谈判小组依据单一来源文件的规定，对响应文件的有效性、完整性和对单一来源文件的响应程度进行审查，以确定是否对单一来源文件的全部实质性要求做出响应。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谈判小组要审查每份响应文件是否实质上响应了单一来源文件的要求。实质上没有响应单一来源文件要求的响应文件作无效响应处理，谈判小组应告知有关供应商未通过审查的原因。供应商不得通过修正或撤销不符之处而使其成为实质上响应。</w:t>
      </w:r>
    </w:p>
    <w:p>
      <w:pPr>
        <w:keepLines w:val="0"/>
        <w:pageBreakBefore w:val="0"/>
        <w:widowControl w:val="0"/>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lang w:val="en-US" w:eastAsia="zh-CN"/>
        </w:rPr>
        <w:t>6.9</w:t>
      </w: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en-US" w:eastAsia="zh-CN"/>
        </w:rPr>
        <w:t>评审中，</w:t>
      </w:r>
      <w:r>
        <w:rPr>
          <w:rFonts w:hint="eastAsia" w:ascii="宋体" w:hAnsi="宋体" w:eastAsia="宋体" w:cs="宋体"/>
          <w:b/>
          <w:bCs/>
          <w:color w:val="auto"/>
          <w:sz w:val="24"/>
          <w:szCs w:val="24"/>
          <w:highlight w:val="none"/>
          <w:lang w:val="zh-CN" w:eastAsia="zh-CN"/>
        </w:rPr>
        <w:t>谈判采购响应文件出现下列情况，修正原则为：</w:t>
      </w:r>
    </w:p>
    <w:p>
      <w:pPr>
        <w:keepLines w:val="0"/>
        <w:pageBreakBefore w:val="0"/>
        <w:widowControl w:val="0"/>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6.9.1、谈判响应函内容</w:t>
      </w:r>
      <w:r>
        <w:rPr>
          <w:rFonts w:hint="eastAsia" w:ascii="宋体" w:hAnsi="宋体" w:eastAsia="宋体" w:cs="宋体"/>
          <w:color w:val="auto"/>
          <w:sz w:val="24"/>
          <w:szCs w:val="24"/>
          <w:lang w:val="en-US" w:eastAsia="zh-CN"/>
        </w:rPr>
        <w:t>与谈判报价表内容不一致的，以谈判响应函为准；</w:t>
      </w:r>
    </w:p>
    <w:p>
      <w:pPr>
        <w:keepLines w:val="0"/>
        <w:pageBreakBefore w:val="0"/>
        <w:widowControl w:val="0"/>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6.9.2、</w:t>
      </w:r>
      <w:r>
        <w:rPr>
          <w:rFonts w:hint="eastAsia" w:ascii="宋体" w:hAnsi="宋体" w:eastAsia="宋体" w:cs="宋体"/>
          <w:color w:val="auto"/>
          <w:sz w:val="24"/>
          <w:szCs w:val="24"/>
          <w:lang w:val="zh-CN" w:eastAsia="zh-CN"/>
        </w:rPr>
        <w:t>报价的大写金额和小写金额不一致的，以大写金额为准；</w:t>
      </w:r>
    </w:p>
    <w:p>
      <w:pPr>
        <w:keepLines w:val="0"/>
        <w:pageBreakBefore w:val="0"/>
        <w:widowControl w:val="0"/>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6.9.3、</w:t>
      </w:r>
      <w:r>
        <w:rPr>
          <w:rFonts w:hint="eastAsia" w:ascii="宋体" w:hAnsi="宋体" w:eastAsia="宋体" w:cs="宋体"/>
          <w:color w:val="auto"/>
          <w:sz w:val="24"/>
          <w:szCs w:val="24"/>
          <w:lang w:val="zh-CN" w:eastAsia="zh-CN"/>
        </w:rPr>
        <w:t>总价金额与按单价汇总金额不一致的，以单价汇总金额为准；</w:t>
      </w:r>
    </w:p>
    <w:p>
      <w:pPr>
        <w:keepLines w:val="0"/>
        <w:pageBreakBefore w:val="0"/>
        <w:widowControl w:val="0"/>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6.9.4、</w:t>
      </w:r>
      <w:r>
        <w:rPr>
          <w:rFonts w:hint="eastAsia" w:ascii="宋体" w:hAnsi="宋体" w:eastAsia="宋体" w:cs="宋体"/>
          <w:color w:val="auto"/>
          <w:sz w:val="24"/>
          <w:szCs w:val="24"/>
          <w:lang w:val="zh-CN" w:eastAsia="zh-CN"/>
        </w:rPr>
        <w:t>单价金额小数点有明显错位的，以总价为准，并修改单价；</w:t>
      </w:r>
    </w:p>
    <w:p>
      <w:pPr>
        <w:keepLines w:val="0"/>
        <w:pageBreakBefore w:val="0"/>
        <w:widowControl w:val="0"/>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6.9.5、单一来源</w:t>
      </w:r>
      <w:r>
        <w:rPr>
          <w:rFonts w:hint="eastAsia" w:ascii="宋体" w:hAnsi="宋体" w:eastAsia="宋体" w:cs="宋体"/>
          <w:color w:val="auto"/>
          <w:sz w:val="24"/>
          <w:szCs w:val="24"/>
          <w:lang w:val="zh-CN" w:eastAsia="zh-CN"/>
        </w:rPr>
        <w:t>响应文件正本与副本不一致的，以正本为准；</w:t>
      </w:r>
    </w:p>
    <w:p>
      <w:pPr>
        <w:keepLines w:val="0"/>
        <w:pageBreakBefore w:val="0"/>
        <w:widowControl w:val="0"/>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6.9.6、</w:t>
      </w:r>
      <w:r>
        <w:rPr>
          <w:rFonts w:hint="eastAsia" w:ascii="宋体" w:hAnsi="宋体" w:eastAsia="宋体" w:cs="宋体"/>
          <w:color w:val="auto"/>
          <w:sz w:val="24"/>
          <w:szCs w:val="24"/>
          <w:lang w:val="zh-CN" w:eastAsia="zh-CN"/>
        </w:rPr>
        <w:t>多处内容交叉不符时，以谈判小组评审结果为准；</w:t>
      </w:r>
    </w:p>
    <w:p>
      <w:pPr>
        <w:keepLines w:val="0"/>
        <w:pageBreakBefore w:val="0"/>
        <w:widowControl w:val="0"/>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6.9.7、</w:t>
      </w:r>
      <w:r>
        <w:rPr>
          <w:rFonts w:hint="eastAsia" w:ascii="宋体" w:hAnsi="宋体" w:eastAsia="宋体" w:cs="宋体"/>
          <w:color w:val="auto"/>
          <w:sz w:val="24"/>
          <w:szCs w:val="24"/>
          <w:lang w:val="zh-CN" w:eastAsia="zh-CN"/>
        </w:rPr>
        <w:t>文字与图表不符时，以文字为准；</w:t>
      </w:r>
    </w:p>
    <w:p>
      <w:pPr>
        <w:keepLines w:val="0"/>
        <w:pageBreakBefore w:val="0"/>
        <w:widowControl w:val="0"/>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谈判供应商不同意以上修正，则其投标将被拒绝。谈判供应商同意后，按上述规定修正后的报价对谈判供应商起约束作用。</w:t>
      </w:r>
    </w:p>
    <w:p>
      <w:pPr>
        <w:keepLines w:val="0"/>
        <w:pageBreakBefore w:val="0"/>
        <w:widowControl w:val="0"/>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26.10、在详细评审之前，谈判小组要审查单一来源响应文件是否实质上响应了单一来源文件的要求。实质上响应的谈判应该是与单一来源文件要求的全部条款、条件和规格参数相符，没有重大偏离的谈判。对关键条文的偏离、保留或反对将被认为是实质上的偏离。谈判小组决定谈判的响应性只根据单一来源响应文件本身的内容，而不寻求外部的证据。</w:t>
      </w:r>
    </w:p>
    <w:p>
      <w:pPr>
        <w:keepLines w:val="0"/>
        <w:pageBreakBefore w:val="0"/>
        <w:widowControl w:val="0"/>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6.11、</w:t>
      </w:r>
      <w:r>
        <w:rPr>
          <w:rFonts w:hint="eastAsia" w:ascii="宋体" w:hAnsi="宋体" w:eastAsia="宋体" w:cs="宋体"/>
          <w:color w:val="auto"/>
          <w:sz w:val="24"/>
          <w:szCs w:val="24"/>
          <w:lang w:val="zh-CN" w:eastAsia="zh-CN"/>
        </w:rPr>
        <w:t xml:space="preserve">凡审查、澄清、评价和比较投标的有关资料及被授标意见等内容，谈判小组成员均不得向谈判供应商及与评标无关的其他人透露。 </w:t>
      </w:r>
    </w:p>
    <w:p>
      <w:pPr>
        <w:keepLines w:val="0"/>
        <w:pageBreakBefore w:val="0"/>
        <w:widowControl w:val="0"/>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27、单一来源</w:t>
      </w:r>
      <w:r>
        <w:rPr>
          <w:rFonts w:hint="eastAsia" w:ascii="宋体" w:hAnsi="宋体" w:eastAsia="宋体" w:cs="宋体"/>
          <w:b/>
          <w:bCs/>
          <w:color w:val="auto"/>
          <w:sz w:val="24"/>
          <w:szCs w:val="24"/>
          <w:highlight w:val="none"/>
          <w:lang w:val="zh-CN"/>
        </w:rPr>
        <w:t>响应文件的详细审查</w:t>
      </w:r>
    </w:p>
    <w:p>
      <w:pPr>
        <w:keepLines w:val="0"/>
        <w:pageBreakBefore w:val="0"/>
        <w:widowControl w:val="0"/>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lang w:val="zh-CN" w:eastAsia="zh-CN"/>
        </w:rPr>
        <w:t>.1、经谈判确定最终采购需求和提交最后报价的供应商后，谈判小组采用最低评标价法。</w:t>
      </w:r>
    </w:p>
    <w:p>
      <w:pPr>
        <w:keepLines w:val="0"/>
        <w:pageBreakBefore w:val="0"/>
        <w:widowControl w:val="0"/>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评审报告应当由谈判小组全体人员签字认可。对评审报告有异议的谈判小组成员，应当在报告上签署不同意见并说明理由，由谈判小组书面记录相关情况。谈判小组成员拒绝在报告上签字又不书面说明其不同意见和理由的，视为同意评审报告。</w:t>
      </w:r>
    </w:p>
    <w:p>
      <w:pPr>
        <w:keepLines w:val="0"/>
        <w:pageBreakBefore w:val="0"/>
        <w:widowControl w:val="0"/>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28、</w:t>
      </w:r>
      <w:r>
        <w:rPr>
          <w:rFonts w:hint="eastAsia" w:ascii="宋体" w:hAnsi="宋体" w:eastAsia="宋体" w:cs="宋体"/>
          <w:b/>
          <w:bCs/>
          <w:color w:val="auto"/>
          <w:sz w:val="24"/>
          <w:szCs w:val="24"/>
          <w:lang w:val="zh-CN"/>
        </w:rPr>
        <w:t>评审过程的保密</w:t>
      </w:r>
    </w:p>
    <w:p>
      <w:pPr>
        <w:keepLines w:val="0"/>
        <w:pageBreakBefore w:val="0"/>
        <w:widowControl w:val="0"/>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谈判小组成员和与评审活动有关的工作人员不得泄露有关</w:t>
      </w:r>
      <w:r>
        <w:rPr>
          <w:rFonts w:hint="eastAsia" w:ascii="宋体" w:hAnsi="宋体" w:eastAsia="宋体" w:cs="宋体"/>
          <w:color w:val="auto"/>
          <w:sz w:val="24"/>
          <w:szCs w:val="24"/>
          <w:lang w:val="zh-CN" w:eastAsia="zh-CN"/>
        </w:rPr>
        <w:t>单一来源</w:t>
      </w:r>
      <w:r>
        <w:rPr>
          <w:rFonts w:hint="eastAsia" w:ascii="宋体" w:hAnsi="宋体" w:eastAsia="宋体" w:cs="宋体"/>
          <w:color w:val="auto"/>
          <w:sz w:val="24"/>
          <w:szCs w:val="24"/>
          <w:lang w:val="zh-CN"/>
        </w:rPr>
        <w:t>响应文件的评审和比较、成交候选人的推荐以及与评审有关的其他情况。</w:t>
      </w:r>
    </w:p>
    <w:p>
      <w:pPr>
        <w:keepLines w:val="0"/>
        <w:pageBreakBefore w:val="0"/>
        <w:widowControl w:val="0"/>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29、</w:t>
      </w:r>
      <w:r>
        <w:rPr>
          <w:rFonts w:hint="eastAsia" w:ascii="宋体" w:hAnsi="宋体" w:eastAsia="宋体" w:cs="宋体"/>
          <w:b/>
          <w:bCs/>
          <w:color w:val="auto"/>
          <w:sz w:val="24"/>
          <w:szCs w:val="24"/>
          <w:lang w:val="zh-CN"/>
        </w:rPr>
        <w:t>评审方法</w:t>
      </w:r>
    </w:p>
    <w:p>
      <w:pPr>
        <w:keepLines w:val="0"/>
        <w:pageBreakBefore w:val="0"/>
        <w:widowControl w:val="0"/>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按照《中华人民共和国政府采购法》及实施条例，本次评审采用</w:t>
      </w:r>
      <w:r>
        <w:rPr>
          <w:rFonts w:hint="eastAsia" w:ascii="宋体" w:hAnsi="宋体" w:eastAsia="宋体" w:cs="宋体"/>
          <w:color w:val="auto"/>
          <w:sz w:val="24"/>
          <w:szCs w:val="24"/>
          <w:lang w:val="zh-CN" w:eastAsia="zh-CN"/>
        </w:rPr>
        <w:t>最低评标价法</w:t>
      </w:r>
      <w:r>
        <w:rPr>
          <w:rFonts w:hint="eastAsia" w:ascii="宋体" w:hAnsi="宋体" w:eastAsia="宋体" w:cs="宋体"/>
          <w:color w:val="auto"/>
          <w:sz w:val="24"/>
          <w:szCs w:val="24"/>
          <w:lang w:val="zh-CN"/>
        </w:rPr>
        <w:t>。</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30</w:t>
      </w:r>
      <w:r>
        <w:rPr>
          <w:rFonts w:hint="eastAsia" w:ascii="宋体" w:hAnsi="宋体" w:eastAsia="宋体" w:cs="宋体"/>
          <w:b/>
          <w:bCs/>
          <w:color w:val="auto"/>
          <w:sz w:val="24"/>
          <w:szCs w:val="24"/>
          <w:lang w:val="zh-CN"/>
        </w:rPr>
        <w:t>、谈判小组组成及职责</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val="zh-CN"/>
        </w:rPr>
        <w:t>1、为确保评标工作公开、公平、公正，依法成立谈判小组。谈判小组由采购人</w:t>
      </w:r>
      <w:r>
        <w:rPr>
          <w:rFonts w:hint="eastAsia" w:ascii="宋体" w:hAnsi="宋体" w:eastAsia="宋体" w:cs="宋体"/>
          <w:color w:val="auto"/>
          <w:sz w:val="24"/>
          <w:szCs w:val="24"/>
          <w:lang w:val="en-US" w:eastAsia="zh-CN"/>
        </w:rPr>
        <w:t>代表</w:t>
      </w:r>
      <w:r>
        <w:rPr>
          <w:rFonts w:hint="eastAsia" w:ascii="宋体" w:hAnsi="宋体" w:eastAsia="宋体" w:cs="宋体"/>
          <w:color w:val="auto"/>
          <w:sz w:val="24"/>
          <w:szCs w:val="24"/>
          <w:lang w:val="zh-CN"/>
        </w:rPr>
        <w:t>及和评审专家共3人以上单数组成，其中评审专家人数不得不少于谈判小组成员总数的三分之二，评审专家在陕西省政府采购网专家库中随机抽取产生。</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val="zh-CN"/>
        </w:rPr>
        <w:t>2、谈判小组负责具体评审事务，并独立履行下列职责：</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30.2.</w:t>
      </w:r>
      <w:r>
        <w:rPr>
          <w:rFonts w:hint="eastAsia" w:ascii="宋体" w:hAnsi="宋体" w:eastAsia="宋体" w:cs="宋体"/>
          <w:color w:val="auto"/>
          <w:sz w:val="24"/>
          <w:szCs w:val="24"/>
          <w:lang w:val="zh-CN"/>
        </w:rPr>
        <w:t>1、遵纪守法，客观、公正、廉洁地履行职责，审查</w:t>
      </w:r>
      <w:r>
        <w:rPr>
          <w:rFonts w:hint="eastAsia" w:ascii="宋体" w:hAnsi="宋体" w:eastAsia="宋体" w:cs="宋体"/>
          <w:color w:val="auto"/>
          <w:sz w:val="24"/>
          <w:szCs w:val="24"/>
          <w:lang w:val="zh-CN" w:eastAsia="zh-CN"/>
        </w:rPr>
        <w:t>单一来源</w:t>
      </w:r>
      <w:r>
        <w:rPr>
          <w:rFonts w:hint="eastAsia" w:ascii="宋体" w:hAnsi="宋体" w:eastAsia="宋体" w:cs="宋体"/>
          <w:color w:val="auto"/>
          <w:sz w:val="24"/>
          <w:szCs w:val="24"/>
          <w:lang w:val="zh-CN"/>
        </w:rPr>
        <w:t>响应文件是否符合</w:t>
      </w:r>
      <w:r>
        <w:rPr>
          <w:rFonts w:hint="eastAsia" w:ascii="宋体" w:hAnsi="宋体" w:eastAsia="宋体" w:cs="宋体"/>
          <w:color w:val="auto"/>
          <w:sz w:val="24"/>
          <w:szCs w:val="24"/>
          <w:lang w:val="zh-CN" w:eastAsia="zh-CN"/>
        </w:rPr>
        <w:t>单一来源</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文件的要求，并做出评价；</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30.2.</w:t>
      </w:r>
      <w:r>
        <w:rPr>
          <w:rFonts w:hint="eastAsia" w:ascii="宋体" w:hAnsi="宋体" w:eastAsia="宋体" w:cs="宋体"/>
          <w:color w:val="auto"/>
          <w:sz w:val="24"/>
          <w:szCs w:val="24"/>
          <w:lang w:val="zh-CN"/>
        </w:rPr>
        <w:t>2、要求供应商对</w:t>
      </w:r>
      <w:r>
        <w:rPr>
          <w:rFonts w:hint="eastAsia" w:ascii="宋体" w:hAnsi="宋体" w:eastAsia="宋体" w:cs="宋体"/>
          <w:color w:val="auto"/>
          <w:sz w:val="24"/>
          <w:szCs w:val="24"/>
          <w:lang w:val="zh-CN" w:eastAsia="zh-CN"/>
        </w:rPr>
        <w:t>单一来源</w:t>
      </w:r>
      <w:r>
        <w:rPr>
          <w:rFonts w:hint="eastAsia" w:ascii="宋体" w:hAnsi="宋体" w:eastAsia="宋体" w:cs="宋体"/>
          <w:color w:val="auto"/>
          <w:sz w:val="24"/>
          <w:szCs w:val="24"/>
          <w:lang w:val="zh-CN"/>
        </w:rPr>
        <w:t>响应文件有关事项作出解释或者澄清；</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30.2.</w:t>
      </w:r>
      <w:r>
        <w:rPr>
          <w:rFonts w:hint="eastAsia" w:ascii="宋体" w:hAnsi="宋体" w:eastAsia="宋体" w:cs="宋体"/>
          <w:color w:val="auto"/>
          <w:sz w:val="24"/>
          <w:szCs w:val="24"/>
          <w:lang w:val="zh-CN"/>
        </w:rPr>
        <w:t>3、按照</w:t>
      </w:r>
      <w:r>
        <w:rPr>
          <w:rFonts w:hint="eastAsia" w:ascii="宋体" w:hAnsi="宋体" w:eastAsia="宋体" w:cs="宋体"/>
          <w:color w:val="auto"/>
          <w:sz w:val="24"/>
          <w:szCs w:val="24"/>
          <w:lang w:val="zh-CN" w:eastAsia="zh-CN"/>
        </w:rPr>
        <w:t>单一来源</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文件的要求和谈判办法进行评审，推荐成交候选单位名单，对评审意见承担个人责任；</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30.2.</w:t>
      </w:r>
      <w:r>
        <w:rPr>
          <w:rFonts w:hint="eastAsia" w:ascii="宋体" w:hAnsi="宋体" w:eastAsia="宋体" w:cs="宋体"/>
          <w:color w:val="auto"/>
          <w:sz w:val="24"/>
          <w:szCs w:val="24"/>
          <w:lang w:val="zh-CN"/>
        </w:rPr>
        <w:t>4、对评审过程和结果以及供应商的商业秘密保密；</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30.2.</w:t>
      </w:r>
      <w:r>
        <w:rPr>
          <w:rFonts w:hint="eastAsia" w:ascii="宋体" w:hAnsi="宋体" w:eastAsia="宋体" w:cs="宋体"/>
          <w:color w:val="auto"/>
          <w:sz w:val="24"/>
          <w:szCs w:val="24"/>
          <w:lang w:val="zh-CN"/>
        </w:rPr>
        <w:t>5、参与谈判结果报告的起草；</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30.2.</w:t>
      </w:r>
      <w:r>
        <w:rPr>
          <w:rFonts w:hint="eastAsia" w:ascii="宋体" w:hAnsi="宋体" w:eastAsia="宋体" w:cs="宋体"/>
          <w:color w:val="auto"/>
          <w:sz w:val="24"/>
          <w:szCs w:val="24"/>
          <w:lang w:val="zh-CN"/>
        </w:rPr>
        <w:t>6、配合采购代理机构答复供应商提出的质疑；</w:t>
      </w:r>
    </w:p>
    <w:p>
      <w:pPr>
        <w:keepLines w:val="0"/>
        <w:pageBreakBefore w:val="0"/>
        <w:widowControl w:val="0"/>
        <w:kinsoku/>
        <w:wordWrap/>
        <w:overflowPunct/>
        <w:topLinePunct w:val="0"/>
        <w:autoSpaceDE w:val="0"/>
        <w:autoSpaceDN w:val="0"/>
        <w:bidi w:val="0"/>
        <w:adjustRightInd w:val="0"/>
        <w:snapToGrid/>
        <w:spacing w:line="440" w:lineRule="exact"/>
        <w:ind w:firstLine="573"/>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30.2.</w:t>
      </w:r>
      <w:r>
        <w:rPr>
          <w:rFonts w:hint="eastAsia" w:ascii="宋体" w:hAnsi="宋体" w:eastAsia="宋体" w:cs="宋体"/>
          <w:color w:val="auto"/>
          <w:sz w:val="24"/>
          <w:szCs w:val="24"/>
          <w:lang w:val="zh-CN"/>
        </w:rPr>
        <w:t>7、配合财政部门的投诉处理工作；</w:t>
      </w:r>
    </w:p>
    <w:p>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30.2.</w:t>
      </w:r>
      <w:r>
        <w:rPr>
          <w:rFonts w:hint="eastAsia" w:ascii="宋体" w:hAnsi="宋体" w:eastAsia="宋体" w:cs="宋体"/>
          <w:color w:val="auto"/>
          <w:sz w:val="24"/>
          <w:szCs w:val="24"/>
          <w:lang w:val="zh-CN"/>
        </w:rPr>
        <w:t>8、依据政府采购法有关精神，有权对谈判过程中出现的一切问题做出处理决定。</w:t>
      </w:r>
    </w:p>
    <w:p>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lang w:val="en-US" w:eastAsia="zh-CN"/>
        </w:rPr>
        <w:t>30.</w:t>
      </w:r>
      <w:r>
        <w:rPr>
          <w:rFonts w:hint="eastAsia" w:ascii="宋体" w:hAnsi="宋体" w:eastAsia="宋体" w:cs="宋体"/>
          <w:color w:val="auto"/>
          <w:kern w:val="1"/>
          <w:sz w:val="24"/>
          <w:szCs w:val="24"/>
          <w:highlight w:val="none"/>
          <w:lang w:val="en-US" w:eastAsia="zh-CN"/>
        </w:rPr>
        <w:t>3、</w:t>
      </w:r>
      <w:r>
        <w:rPr>
          <w:rFonts w:hint="eastAsia" w:ascii="宋体" w:hAnsi="宋体" w:eastAsia="宋体" w:cs="宋体"/>
          <w:color w:val="auto"/>
          <w:kern w:val="1"/>
          <w:sz w:val="24"/>
          <w:szCs w:val="24"/>
          <w:highlight w:val="none"/>
          <w:lang w:eastAsia="zh-CN"/>
        </w:rPr>
        <w:t>谈判小组</w:t>
      </w:r>
      <w:r>
        <w:rPr>
          <w:rFonts w:hint="eastAsia" w:ascii="宋体" w:hAnsi="宋体" w:eastAsia="宋体" w:cs="宋体"/>
          <w:color w:val="auto"/>
          <w:kern w:val="1"/>
          <w:sz w:val="24"/>
          <w:szCs w:val="24"/>
          <w:highlight w:val="none"/>
        </w:rPr>
        <w:t>在评审过程中发现供应商有行贿、提供虚假材料或者串通等违法行为的，应当及时向财政部门报告。</w:t>
      </w:r>
    </w:p>
    <w:p>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lang w:val="en-US" w:eastAsia="zh-CN"/>
        </w:rPr>
        <w:t>30.</w:t>
      </w:r>
      <w:r>
        <w:rPr>
          <w:rFonts w:hint="eastAsia" w:ascii="宋体" w:hAnsi="宋体" w:eastAsia="宋体" w:cs="宋体"/>
          <w:color w:val="auto"/>
          <w:kern w:val="1"/>
          <w:sz w:val="24"/>
          <w:szCs w:val="24"/>
          <w:highlight w:val="none"/>
          <w:lang w:val="en-US" w:eastAsia="zh-CN"/>
        </w:rPr>
        <w:t>4、</w:t>
      </w:r>
      <w:r>
        <w:rPr>
          <w:rFonts w:hint="eastAsia" w:ascii="宋体" w:hAnsi="宋体" w:eastAsia="宋体" w:cs="宋体"/>
          <w:color w:val="auto"/>
          <w:kern w:val="1"/>
          <w:sz w:val="24"/>
          <w:szCs w:val="24"/>
          <w:highlight w:val="none"/>
          <w:lang w:eastAsia="zh-CN"/>
        </w:rPr>
        <w:t>谈判小组</w:t>
      </w:r>
      <w:r>
        <w:rPr>
          <w:rFonts w:hint="eastAsia" w:ascii="宋体" w:hAnsi="宋体" w:eastAsia="宋体" w:cs="宋体"/>
          <w:color w:val="auto"/>
          <w:kern w:val="1"/>
          <w:sz w:val="24"/>
          <w:szCs w:val="24"/>
          <w:highlight w:val="none"/>
        </w:rPr>
        <w:t>在评审过程中收到非法干涉的，应当及时向财政、监察等部门举报。</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30.5、谈判小组成员应当按照客观、公正、审慎的原则，根据单一来源文件规定的评审程序、评审方法和评审标准进行独立评审。</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31</w:t>
      </w:r>
      <w:r>
        <w:rPr>
          <w:rFonts w:hint="eastAsia" w:ascii="宋体" w:hAnsi="宋体" w:eastAsia="宋体" w:cs="宋体"/>
          <w:b/>
          <w:bCs/>
          <w:color w:val="auto"/>
          <w:sz w:val="24"/>
          <w:szCs w:val="24"/>
          <w:lang w:val="zh-CN" w:eastAsia="zh-CN"/>
        </w:rPr>
        <w:t>、谈判小组的职能：</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lang w:val="zh-CN" w:eastAsia="zh-CN"/>
        </w:rPr>
        <w:t>1、对供应商进行符合性审查；</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lang w:val="zh-CN" w:eastAsia="zh-CN"/>
        </w:rPr>
        <w:t>2、与各供应商就单一来源响应文件（含澄清、说明或补正的内容）中的实施方案、谈判报价、商务响应等进行谈判；</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lang w:val="zh-CN"/>
        </w:rPr>
        <w:t>3、依据</w:t>
      </w:r>
      <w:r>
        <w:rPr>
          <w:rFonts w:hint="eastAsia" w:ascii="宋体" w:hAnsi="宋体" w:eastAsia="宋体" w:cs="宋体"/>
          <w:color w:val="auto"/>
          <w:sz w:val="24"/>
          <w:szCs w:val="24"/>
          <w:lang w:val="zh-CN" w:eastAsia="zh-CN"/>
        </w:rPr>
        <w:t>单一来源</w:t>
      </w:r>
      <w:r>
        <w:rPr>
          <w:rFonts w:hint="eastAsia" w:ascii="宋体" w:hAnsi="宋体" w:eastAsia="宋体" w:cs="宋体"/>
          <w:color w:val="auto"/>
          <w:sz w:val="24"/>
          <w:szCs w:val="24"/>
          <w:lang w:val="zh-CN"/>
        </w:rPr>
        <w:t>文件，并视谈判情况，</w:t>
      </w:r>
      <w:r>
        <w:rPr>
          <w:rFonts w:hint="eastAsia" w:ascii="宋体" w:hAnsi="宋体" w:eastAsia="宋体" w:cs="宋体"/>
          <w:color w:val="auto"/>
          <w:sz w:val="24"/>
          <w:szCs w:val="24"/>
          <w:lang w:val="en-US" w:eastAsia="zh-CN"/>
        </w:rPr>
        <w:t>推荐</w:t>
      </w:r>
      <w:r>
        <w:rPr>
          <w:rFonts w:hint="eastAsia" w:ascii="宋体" w:hAnsi="宋体" w:eastAsia="宋体" w:cs="宋体"/>
          <w:color w:val="auto"/>
          <w:sz w:val="24"/>
          <w:szCs w:val="24"/>
          <w:lang w:val="zh-CN"/>
        </w:rPr>
        <w:t>最终成交供应商；</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31.4</w:t>
      </w:r>
      <w:r>
        <w:rPr>
          <w:rFonts w:hint="eastAsia" w:ascii="宋体" w:hAnsi="宋体" w:eastAsia="宋体" w:cs="宋体"/>
          <w:color w:val="auto"/>
          <w:sz w:val="24"/>
          <w:szCs w:val="24"/>
          <w:lang w:val="zh-CN"/>
        </w:rPr>
        <w:t>、协商处理谈判过程中出现的其它相关问题。</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32</w:t>
      </w:r>
      <w:r>
        <w:rPr>
          <w:rFonts w:hint="eastAsia" w:ascii="宋体" w:hAnsi="宋体" w:eastAsia="宋体" w:cs="宋体"/>
          <w:b/>
          <w:bCs/>
          <w:color w:val="auto"/>
          <w:sz w:val="24"/>
          <w:szCs w:val="24"/>
          <w:lang w:val="zh-CN"/>
        </w:rPr>
        <w:t>、 谈判小组及其成员不得有下列行为：</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32.1、</w:t>
      </w:r>
      <w:r>
        <w:rPr>
          <w:rFonts w:hint="eastAsia" w:ascii="宋体" w:hAnsi="宋体" w:eastAsia="宋体" w:cs="宋体"/>
          <w:color w:val="auto"/>
          <w:sz w:val="24"/>
          <w:szCs w:val="24"/>
          <w:lang w:val="zh-CN"/>
        </w:rPr>
        <w:t>确定参与评审至评审结束前私自接触供应商；</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32.2、</w:t>
      </w:r>
      <w:r>
        <w:rPr>
          <w:rFonts w:hint="eastAsia" w:ascii="宋体" w:hAnsi="宋体" w:eastAsia="宋体" w:cs="宋体"/>
          <w:color w:val="auto"/>
          <w:sz w:val="24"/>
          <w:szCs w:val="24"/>
          <w:lang w:val="zh-CN"/>
        </w:rPr>
        <w:t>接受供应商提出的与响应文件不一致的澄清或者说明，财政部第87号令第五十一条规定的情形除外；</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32.3、</w:t>
      </w:r>
      <w:r>
        <w:rPr>
          <w:rFonts w:hint="eastAsia" w:ascii="宋体" w:hAnsi="宋体" w:eastAsia="宋体" w:cs="宋体"/>
          <w:color w:val="auto"/>
          <w:sz w:val="24"/>
          <w:szCs w:val="24"/>
          <w:lang w:val="zh-CN"/>
        </w:rPr>
        <w:t>违反评审纪律发表倾向性意见或者征询采购人的倾向性意见；</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32.4、</w:t>
      </w:r>
      <w:r>
        <w:rPr>
          <w:rFonts w:hint="eastAsia" w:ascii="宋体" w:hAnsi="宋体" w:eastAsia="宋体" w:cs="宋体"/>
          <w:color w:val="auto"/>
          <w:sz w:val="24"/>
          <w:szCs w:val="24"/>
          <w:lang w:val="zh-CN"/>
        </w:rPr>
        <w:t>对需要专业判断的主观评审因素协商评分；</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32.5、</w:t>
      </w:r>
      <w:r>
        <w:rPr>
          <w:rFonts w:hint="eastAsia" w:ascii="宋体" w:hAnsi="宋体" w:eastAsia="宋体" w:cs="宋体"/>
          <w:color w:val="auto"/>
          <w:sz w:val="24"/>
          <w:szCs w:val="24"/>
          <w:lang w:val="zh-CN"/>
        </w:rPr>
        <w:t>在评审过程中擅离职守，影响评审程序正常进行的；</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32.6、</w:t>
      </w:r>
      <w:r>
        <w:rPr>
          <w:rFonts w:hint="eastAsia" w:ascii="宋体" w:hAnsi="宋体" w:eastAsia="宋体" w:cs="宋体"/>
          <w:color w:val="auto"/>
          <w:sz w:val="24"/>
          <w:szCs w:val="24"/>
          <w:lang w:val="zh-CN"/>
        </w:rPr>
        <w:t>记录、复制或者带走任何评审资料；</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32.7、</w:t>
      </w:r>
      <w:r>
        <w:rPr>
          <w:rFonts w:hint="eastAsia" w:ascii="宋体" w:hAnsi="宋体" w:eastAsia="宋体" w:cs="宋体"/>
          <w:color w:val="auto"/>
          <w:sz w:val="24"/>
          <w:szCs w:val="24"/>
          <w:lang w:val="zh-CN" w:eastAsia="zh-CN"/>
        </w:rPr>
        <w:t>其他不遵守评审纪律的行为。</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谈判小组成员有前五项行为之一的，其评审意见无效，并不得获取评审劳务报酬和报销异地评审差旅费。</w:t>
      </w:r>
    </w:p>
    <w:p>
      <w:pPr>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color w:val="auto"/>
          <w:sz w:val="24"/>
          <w:szCs w:val="24"/>
          <w:lang w:val="zh-CN" w:eastAsia="zh-CN"/>
        </w:rPr>
      </w:pPr>
      <w:bookmarkStart w:id="13" w:name="_Toc29664"/>
      <w:bookmarkStart w:id="14" w:name="_Toc7524503"/>
      <w:bookmarkStart w:id="15" w:name="_Toc392236645"/>
      <w:bookmarkStart w:id="16" w:name="_Toc27212"/>
      <w:bookmarkStart w:id="17" w:name="_Toc386965858"/>
      <w:bookmarkStart w:id="18" w:name="_Toc24411"/>
      <w:bookmarkStart w:id="19" w:name="_Toc2781"/>
      <w:bookmarkStart w:id="20" w:name="_Toc26534"/>
      <w:bookmarkStart w:id="21" w:name="_Toc233435947"/>
      <w:bookmarkStart w:id="22" w:name="_Toc2468"/>
      <w:bookmarkStart w:id="23" w:name="_Toc5977"/>
      <w:r>
        <w:rPr>
          <w:rFonts w:hint="eastAsia" w:ascii="宋体" w:hAnsi="宋体" w:eastAsia="宋体" w:cs="宋体"/>
          <w:b/>
          <w:bCs/>
          <w:color w:val="auto"/>
          <w:sz w:val="28"/>
          <w:szCs w:val="28"/>
          <w:highlight w:val="none"/>
        </w:rPr>
        <w:t>F</w:t>
      </w:r>
      <w:bookmarkStart w:id="24" w:name="_Hlt497547134"/>
      <w:bookmarkEnd w:id="24"/>
      <w:bookmarkStart w:id="25" w:name="_Hlt491765714"/>
      <w:bookmarkEnd w:id="25"/>
      <w:r>
        <w:rPr>
          <w:rFonts w:hint="eastAsia" w:ascii="宋体" w:hAnsi="宋体" w:eastAsia="宋体" w:cs="宋体"/>
          <w:b/>
          <w:bCs/>
          <w:color w:val="auto"/>
          <w:sz w:val="28"/>
          <w:szCs w:val="28"/>
          <w:highlight w:val="none"/>
          <w:lang w:eastAsia="zh-CN"/>
        </w:rPr>
        <w:t>、</w:t>
      </w:r>
      <w:bookmarkEnd w:id="13"/>
      <w:bookmarkEnd w:id="14"/>
      <w:bookmarkEnd w:id="15"/>
      <w:bookmarkEnd w:id="16"/>
      <w:bookmarkEnd w:id="17"/>
      <w:bookmarkEnd w:id="18"/>
      <w:bookmarkEnd w:id="19"/>
      <w:bookmarkEnd w:id="20"/>
      <w:bookmarkEnd w:id="21"/>
      <w:bookmarkEnd w:id="22"/>
      <w:bookmarkEnd w:id="23"/>
      <w:r>
        <w:rPr>
          <w:rFonts w:hint="eastAsia" w:ascii="宋体" w:hAnsi="宋体" w:eastAsia="宋体" w:cs="宋体"/>
          <w:b/>
          <w:bCs/>
          <w:color w:val="auto"/>
          <w:sz w:val="28"/>
          <w:szCs w:val="28"/>
          <w:highlight w:val="none"/>
          <w:lang w:val="en-US" w:eastAsia="zh-CN"/>
        </w:rPr>
        <w:t>确定中标</w:t>
      </w:r>
    </w:p>
    <w:p>
      <w:pPr>
        <w:keepLines w:val="0"/>
        <w:pageBreakBefore w:val="0"/>
        <w:widowControl w:val="0"/>
        <w:kinsoku/>
        <w:wordWrap/>
        <w:overflowPunct/>
        <w:topLinePunct w:val="0"/>
        <w:autoSpaceDE w:val="0"/>
        <w:autoSpaceDN w:val="0"/>
        <w:bidi w:val="0"/>
        <w:adjustRightInd w:val="0"/>
        <w:snapToGrid/>
        <w:spacing w:line="440" w:lineRule="exact"/>
        <w:ind w:firstLine="472" w:firstLineChars="196"/>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33</w:t>
      </w:r>
      <w:r>
        <w:rPr>
          <w:rFonts w:hint="eastAsia" w:ascii="宋体" w:hAnsi="宋体" w:eastAsia="宋体" w:cs="宋体"/>
          <w:b/>
          <w:color w:val="auto"/>
          <w:sz w:val="24"/>
          <w:szCs w:val="24"/>
          <w:lang w:val="zh-CN"/>
        </w:rPr>
        <w:t>、成交程序</w:t>
      </w:r>
    </w:p>
    <w:p>
      <w:pPr>
        <w:keepLines w:val="0"/>
        <w:pageBreakBefore w:val="0"/>
        <w:widowControl w:val="0"/>
        <w:kinsoku/>
        <w:wordWrap/>
        <w:overflowPunct/>
        <w:topLinePunct w:val="0"/>
        <w:autoSpaceDE w:val="0"/>
        <w:autoSpaceDN w:val="0"/>
        <w:bidi w:val="0"/>
        <w:adjustRightInd w:val="0"/>
        <w:snapToGrid/>
        <w:spacing w:line="440" w:lineRule="exact"/>
        <w:ind w:firstLine="470" w:firstLineChars="196"/>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lang w:val="zh-CN"/>
        </w:rPr>
        <w:t>.1、谈判小组根据评审方法的规定对供应商进行评审。评审结果由全体谈判小组成员签字确认。</w:t>
      </w:r>
    </w:p>
    <w:p>
      <w:pPr>
        <w:keepLines w:val="0"/>
        <w:pageBreakBefore w:val="0"/>
        <w:widowControl w:val="0"/>
        <w:kinsoku/>
        <w:wordWrap/>
        <w:overflowPunct/>
        <w:topLinePunct w:val="0"/>
        <w:autoSpaceDE w:val="0"/>
        <w:autoSpaceDN w:val="0"/>
        <w:bidi w:val="0"/>
        <w:adjustRightInd w:val="0"/>
        <w:snapToGrid/>
        <w:spacing w:line="440" w:lineRule="exact"/>
        <w:ind w:firstLine="470" w:firstLineChars="196"/>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lang w:val="zh-CN"/>
        </w:rPr>
        <w:t>.2、采购代理机构</w:t>
      </w:r>
      <w:r>
        <w:rPr>
          <w:rFonts w:hint="eastAsia" w:ascii="宋体" w:hAnsi="宋体" w:eastAsia="宋体" w:cs="宋体"/>
          <w:color w:val="auto"/>
          <w:sz w:val="24"/>
          <w:szCs w:val="24"/>
          <w:lang w:val="en-US" w:eastAsia="zh-CN"/>
        </w:rPr>
        <w:t>在谈判</w:t>
      </w:r>
      <w:r>
        <w:rPr>
          <w:rFonts w:hint="eastAsia" w:ascii="宋体" w:hAnsi="宋体" w:eastAsia="宋体" w:cs="宋体"/>
          <w:color w:val="auto"/>
          <w:sz w:val="24"/>
          <w:szCs w:val="24"/>
          <w:lang w:val="zh-CN"/>
        </w:rPr>
        <w:t>结束后2个工作日内将</w:t>
      </w:r>
      <w:r>
        <w:rPr>
          <w:rFonts w:hint="eastAsia" w:ascii="宋体" w:hAnsi="宋体" w:eastAsia="宋体" w:cs="宋体"/>
          <w:color w:val="auto"/>
          <w:sz w:val="24"/>
          <w:szCs w:val="24"/>
          <w:lang w:val="en-US" w:eastAsia="zh-CN"/>
        </w:rPr>
        <w:t>谈判结果</w:t>
      </w:r>
      <w:r>
        <w:rPr>
          <w:rFonts w:hint="eastAsia" w:ascii="宋体" w:hAnsi="宋体" w:eastAsia="宋体" w:cs="宋体"/>
          <w:color w:val="auto"/>
          <w:sz w:val="24"/>
          <w:szCs w:val="24"/>
          <w:lang w:val="zh-CN"/>
        </w:rPr>
        <w:t>报告送采购人。</w:t>
      </w:r>
    </w:p>
    <w:p>
      <w:pPr>
        <w:keepLines w:val="0"/>
        <w:pageBreakBefore w:val="0"/>
        <w:widowControl w:val="0"/>
        <w:kinsoku/>
        <w:wordWrap/>
        <w:overflowPunct/>
        <w:topLinePunct w:val="0"/>
        <w:autoSpaceDE w:val="0"/>
        <w:autoSpaceDN w:val="0"/>
        <w:bidi w:val="0"/>
        <w:adjustRightInd w:val="0"/>
        <w:snapToGrid/>
        <w:spacing w:line="440" w:lineRule="exact"/>
        <w:ind w:firstLine="470" w:firstLineChars="196"/>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33.3、采购人在收到谈判结果报告后5个工作日内，采购人根据谈判结果报告推荐成交候选人同时，复函采购代理机构。</w:t>
      </w:r>
    </w:p>
    <w:p>
      <w:pPr>
        <w:keepLines w:val="0"/>
        <w:pageBreakBefore w:val="0"/>
        <w:widowControl w:val="0"/>
        <w:kinsoku/>
        <w:wordWrap/>
        <w:overflowPunct/>
        <w:topLinePunct w:val="0"/>
        <w:autoSpaceDE w:val="0"/>
        <w:autoSpaceDN w:val="0"/>
        <w:bidi w:val="0"/>
        <w:adjustRightInd w:val="0"/>
        <w:snapToGrid/>
        <w:spacing w:line="440" w:lineRule="exact"/>
        <w:ind w:firstLine="470" w:firstLineChars="196"/>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33.4、采购代理机构在接到采购人“定标复函”之日起2个工作日内，成交结果在财政部门指定的媒体上发布公告。</w:t>
      </w:r>
    </w:p>
    <w:p>
      <w:pPr>
        <w:keepLines w:val="0"/>
        <w:pageBreakBefore w:val="0"/>
        <w:widowControl w:val="0"/>
        <w:kinsoku/>
        <w:wordWrap/>
        <w:overflowPunct/>
        <w:topLinePunct w:val="0"/>
        <w:autoSpaceDE w:val="0"/>
        <w:autoSpaceDN w:val="0"/>
        <w:bidi w:val="0"/>
        <w:adjustRightInd w:val="0"/>
        <w:snapToGrid/>
        <w:spacing w:line="440" w:lineRule="exact"/>
        <w:ind w:firstLine="470" w:firstLineChars="196"/>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成交候选人放弃成交、在规定期限内未能签订合同、因不可抗力不能履行合同、不按照单一来源文件要求提交履约保证金，或者被查实存在影响成交结果的违法行为等情形，不符合成交条件的，采购人可以重新组织</w:t>
      </w:r>
      <w:r>
        <w:rPr>
          <w:rFonts w:hint="eastAsia" w:ascii="宋体" w:hAnsi="宋体" w:cs="宋体"/>
          <w:color w:val="auto"/>
          <w:sz w:val="24"/>
          <w:szCs w:val="24"/>
          <w:lang w:val="en-US" w:eastAsia="zh-CN"/>
        </w:rPr>
        <w:t>招标</w:t>
      </w:r>
      <w:r>
        <w:rPr>
          <w:rFonts w:hint="eastAsia" w:ascii="宋体" w:hAnsi="宋体" w:eastAsia="宋体" w:cs="宋体"/>
          <w:color w:val="auto"/>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、采购人也可以授权谈判小组评审后直接确定成交供应商。</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、供应商或者其他利害关系人对评审结果有异议的，应当在法律规定的时间内提出。</w:t>
      </w:r>
    </w:p>
    <w:p>
      <w:pPr>
        <w:keepLines w:val="0"/>
        <w:pageBreakBefore w:val="0"/>
        <w:widowControl w:val="0"/>
        <w:kinsoku/>
        <w:wordWrap/>
        <w:overflowPunct/>
        <w:topLinePunct w:val="0"/>
        <w:autoSpaceDE w:val="0"/>
        <w:autoSpaceDN w:val="0"/>
        <w:bidi w:val="0"/>
        <w:adjustRightInd w:val="0"/>
        <w:snapToGrid/>
        <w:spacing w:line="440" w:lineRule="exact"/>
        <w:ind w:firstLine="472" w:firstLineChars="196"/>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34、</w:t>
      </w:r>
      <w:r>
        <w:rPr>
          <w:rFonts w:hint="eastAsia" w:ascii="宋体" w:hAnsi="宋体" w:eastAsia="宋体" w:cs="宋体"/>
          <w:b/>
          <w:color w:val="auto"/>
          <w:sz w:val="24"/>
          <w:szCs w:val="24"/>
          <w:lang w:val="zh-CN"/>
        </w:rPr>
        <w:t>成交</w:t>
      </w:r>
      <w:r>
        <w:rPr>
          <w:rFonts w:hint="eastAsia" w:ascii="宋体" w:hAnsi="宋体" w:eastAsia="宋体" w:cs="宋体"/>
          <w:b/>
          <w:color w:val="auto"/>
          <w:sz w:val="24"/>
          <w:szCs w:val="24"/>
          <w:lang w:val="en-US" w:eastAsia="zh-CN"/>
        </w:rPr>
        <w:t>通知</w:t>
      </w:r>
    </w:p>
    <w:p>
      <w:pPr>
        <w:keepLines w:val="0"/>
        <w:pageBreakBefore w:val="0"/>
        <w:widowControl w:val="0"/>
        <w:kinsoku/>
        <w:wordWrap/>
        <w:overflowPunct/>
        <w:topLinePunct w:val="0"/>
        <w:autoSpaceDE w:val="0"/>
        <w:autoSpaceDN w:val="0"/>
        <w:bidi w:val="0"/>
        <w:adjustRightInd w:val="0"/>
        <w:snapToGrid/>
        <w:spacing w:line="440" w:lineRule="exact"/>
        <w:ind w:firstLine="470" w:firstLineChars="196"/>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34.1、采购代理机构向成交供应商发出《成交通知书》。</w:t>
      </w:r>
      <w:r>
        <w:rPr>
          <w:rFonts w:hint="eastAsia" w:ascii="宋体" w:hAnsi="宋体" w:eastAsia="宋体" w:cs="宋体"/>
          <w:b/>
          <w:bCs/>
          <w:color w:val="auto"/>
          <w:sz w:val="24"/>
          <w:szCs w:val="24"/>
          <w:lang w:val="en-US" w:eastAsia="zh-CN"/>
        </w:rPr>
        <w:t>成交供应商领取成交通知书时须携带法定代表人授权书及加盖单位公章的被授权人身份证复印件。</w:t>
      </w:r>
    </w:p>
    <w:p>
      <w:pPr>
        <w:keepLines w:val="0"/>
        <w:pageBreakBefore w:val="0"/>
        <w:widowControl w:val="0"/>
        <w:kinsoku/>
        <w:wordWrap/>
        <w:overflowPunct/>
        <w:topLinePunct w:val="0"/>
        <w:autoSpaceDE w:val="0"/>
        <w:autoSpaceDN w:val="0"/>
        <w:bidi w:val="0"/>
        <w:adjustRightInd w:val="0"/>
        <w:snapToGrid/>
        <w:spacing w:line="440" w:lineRule="exact"/>
        <w:ind w:firstLine="470" w:firstLineChars="196"/>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34.2、成交通知书对采购人和成交供应商具有同等法律效力。成交通知书发出之后，采购人改变成交结果，或者成交供应商放弃成交，应当承担相应的法律责任。</w:t>
      </w:r>
    </w:p>
    <w:p>
      <w:pPr>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G、</w:t>
      </w:r>
      <w:r>
        <w:rPr>
          <w:rFonts w:hint="eastAsia" w:ascii="宋体" w:hAnsi="宋体" w:eastAsia="宋体" w:cs="宋体"/>
          <w:b/>
          <w:bCs/>
          <w:color w:val="auto"/>
          <w:sz w:val="28"/>
          <w:szCs w:val="28"/>
          <w:highlight w:val="none"/>
          <w:lang w:val="en-US" w:eastAsia="zh-CN"/>
        </w:rPr>
        <w:t>合同授予</w:t>
      </w:r>
    </w:p>
    <w:p>
      <w:pPr>
        <w:keepLines w:val="0"/>
        <w:pageBreakBefore w:val="0"/>
        <w:widowControl w:val="0"/>
        <w:kinsoku/>
        <w:wordWrap/>
        <w:overflowPunct/>
        <w:topLinePunct w:val="0"/>
        <w:autoSpaceDE w:val="0"/>
        <w:autoSpaceDN w:val="0"/>
        <w:bidi w:val="0"/>
        <w:adjustRightInd w:val="0"/>
        <w:snapToGrid/>
        <w:spacing w:line="440" w:lineRule="exact"/>
        <w:ind w:firstLine="472" w:firstLineChars="196"/>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35</w:t>
      </w:r>
      <w:r>
        <w:rPr>
          <w:rFonts w:hint="eastAsia" w:ascii="宋体" w:hAnsi="宋体" w:eastAsia="宋体" w:cs="宋体"/>
          <w:b/>
          <w:bCs/>
          <w:color w:val="auto"/>
          <w:sz w:val="24"/>
          <w:szCs w:val="24"/>
          <w:lang w:val="zh-CN" w:eastAsia="zh-CN"/>
        </w:rPr>
        <w:t>、</w:t>
      </w:r>
      <w:r>
        <w:rPr>
          <w:rFonts w:hint="eastAsia" w:ascii="宋体" w:hAnsi="宋体" w:eastAsia="宋体" w:cs="宋体"/>
          <w:b/>
          <w:bCs/>
          <w:color w:val="auto"/>
          <w:sz w:val="24"/>
          <w:szCs w:val="24"/>
          <w:lang w:val="en-US" w:eastAsia="zh-CN"/>
        </w:rPr>
        <w:t>采购</w:t>
      </w:r>
      <w:r>
        <w:rPr>
          <w:rFonts w:hint="eastAsia" w:ascii="宋体" w:hAnsi="宋体" w:eastAsia="宋体" w:cs="宋体"/>
          <w:b/>
          <w:bCs/>
          <w:color w:val="auto"/>
          <w:sz w:val="24"/>
          <w:szCs w:val="24"/>
          <w:lang w:val="zh-CN" w:eastAsia="zh-CN"/>
        </w:rPr>
        <w:t>合同</w:t>
      </w:r>
      <w:r>
        <w:rPr>
          <w:rFonts w:hint="eastAsia" w:ascii="宋体" w:hAnsi="宋体" w:eastAsia="宋体" w:cs="宋体"/>
          <w:b/>
          <w:bCs/>
          <w:color w:val="auto"/>
          <w:sz w:val="24"/>
          <w:szCs w:val="24"/>
          <w:lang w:val="en-US" w:eastAsia="zh-CN"/>
        </w:rPr>
        <w:t>的签订</w:t>
      </w:r>
    </w:p>
    <w:p>
      <w:pPr>
        <w:keepLines w:val="0"/>
        <w:pageBreakBefore w:val="0"/>
        <w:widowControl w:val="0"/>
        <w:shd w:val="clear"/>
        <w:kinsoku/>
        <w:wordWrap/>
        <w:overflowPunct/>
        <w:topLinePunct w:val="0"/>
        <w:autoSpaceDE w:val="0"/>
        <w:autoSpaceDN w:val="0"/>
        <w:bidi w:val="0"/>
        <w:adjustRightInd w:val="0"/>
        <w:snapToGrid/>
        <w:spacing w:line="440" w:lineRule="exact"/>
        <w:ind w:firstLine="470" w:firstLineChars="196"/>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35.1、采购人应当自成交通知书发出之日起三十日内，按照单一来源文件和成交供应商单一来源响应文件（包括评审中形成的澄清文件）的约定，与成交供应商签订书面合同。所签订的合同不得对单一来源文件和成交供应商的单一来源响应文件（包括评审中形成的澄清文件）作实质性修改。</w:t>
      </w:r>
    </w:p>
    <w:p>
      <w:pPr>
        <w:keepLines w:val="0"/>
        <w:pageBreakBefore w:val="0"/>
        <w:widowControl w:val="0"/>
        <w:shd w:val="clear"/>
        <w:kinsoku/>
        <w:wordWrap/>
        <w:overflowPunct/>
        <w:topLinePunct w:val="0"/>
        <w:autoSpaceDE w:val="0"/>
        <w:autoSpaceDN w:val="0"/>
        <w:bidi w:val="0"/>
        <w:adjustRightInd w:val="0"/>
        <w:snapToGrid/>
        <w:spacing w:line="440" w:lineRule="exact"/>
        <w:ind w:firstLine="470" w:firstLineChars="196"/>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35.2、采购人自采购合同签订之日起2个工作日内，将采购合同在财政部门指定的媒体上进行公示。</w:t>
      </w:r>
    </w:p>
    <w:p>
      <w:pPr>
        <w:keepLines w:val="0"/>
        <w:pageBreakBefore w:val="0"/>
        <w:widowControl w:val="0"/>
        <w:shd w:val="clear"/>
        <w:kinsoku/>
        <w:wordWrap/>
        <w:overflowPunct/>
        <w:topLinePunct w:val="0"/>
        <w:autoSpaceDE w:val="0"/>
        <w:autoSpaceDN w:val="0"/>
        <w:bidi w:val="0"/>
        <w:adjustRightInd w:val="0"/>
        <w:snapToGrid/>
        <w:spacing w:line="440" w:lineRule="exact"/>
        <w:ind w:firstLine="470" w:firstLineChars="196"/>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35.3、采购人自采购合同签订之日起7个工作日内，将采购合同副本报同级人民政府财政部门备案。</w:t>
      </w:r>
    </w:p>
    <w:p>
      <w:pPr>
        <w:keepLines w:val="0"/>
        <w:pageBreakBefore w:val="0"/>
        <w:widowControl w:val="0"/>
        <w:shd w:val="clear"/>
        <w:kinsoku/>
        <w:wordWrap/>
        <w:overflowPunct/>
        <w:topLinePunct w:val="0"/>
        <w:autoSpaceDE w:val="0"/>
        <w:autoSpaceDN w:val="0"/>
        <w:bidi w:val="0"/>
        <w:adjustRightInd w:val="0"/>
        <w:snapToGrid/>
        <w:spacing w:line="440" w:lineRule="exact"/>
        <w:ind w:firstLine="472" w:firstLineChars="196"/>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3</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zh-CN" w:eastAsia="zh-CN"/>
        </w:rPr>
        <w:t>、合同实施</w:t>
      </w:r>
    </w:p>
    <w:p>
      <w:pPr>
        <w:keepLines w:val="0"/>
        <w:pageBreakBefore w:val="0"/>
        <w:widowControl w:val="0"/>
        <w:shd w:val="clear"/>
        <w:kinsoku/>
        <w:wordWrap/>
        <w:overflowPunct/>
        <w:topLinePunct w:val="0"/>
        <w:autoSpaceDE w:val="0"/>
        <w:autoSpaceDN w:val="0"/>
        <w:bidi w:val="0"/>
        <w:adjustRightInd w:val="0"/>
        <w:snapToGrid/>
        <w:spacing w:line="440" w:lineRule="exact"/>
        <w:ind w:firstLine="470" w:firstLineChars="196"/>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1、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pPr>
        <w:keepLines w:val="0"/>
        <w:pageBreakBefore w:val="0"/>
        <w:widowControl w:val="0"/>
        <w:shd w:val="clear"/>
        <w:kinsoku/>
        <w:wordWrap/>
        <w:overflowPunct/>
        <w:topLinePunct w:val="0"/>
        <w:autoSpaceDE w:val="0"/>
        <w:autoSpaceDN w:val="0"/>
        <w:bidi w:val="0"/>
        <w:adjustRightInd w:val="0"/>
        <w:snapToGrid/>
        <w:spacing w:line="440" w:lineRule="exact"/>
        <w:ind w:firstLine="472" w:firstLineChars="196"/>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37、转包与分包 </w:t>
      </w:r>
    </w:p>
    <w:p>
      <w:pPr>
        <w:keepLines w:val="0"/>
        <w:pageBreakBefore w:val="0"/>
        <w:widowControl w:val="0"/>
        <w:shd w:val="clear"/>
        <w:kinsoku/>
        <w:wordWrap/>
        <w:overflowPunct/>
        <w:topLinePunct w:val="0"/>
        <w:autoSpaceDE w:val="0"/>
        <w:autoSpaceDN w:val="0"/>
        <w:bidi w:val="0"/>
        <w:adjustRightInd w:val="0"/>
        <w:snapToGrid/>
        <w:spacing w:line="440" w:lineRule="exact"/>
        <w:ind w:firstLine="470" w:firstLineChars="196"/>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highlight w:val="none"/>
          <w:lang w:val="en-US" w:eastAsia="zh-CN"/>
        </w:rPr>
        <w:t>37.1、本项目不允许采取转包方式履行合同。</w:t>
      </w:r>
      <w:r>
        <w:rPr>
          <w:rFonts w:hint="eastAsia" w:ascii="宋体" w:hAnsi="宋体" w:eastAsia="宋体" w:cs="宋体"/>
          <w:bCs/>
          <w:color w:val="auto"/>
          <w:sz w:val="24"/>
          <w:szCs w:val="24"/>
          <w:lang w:val="en-US" w:eastAsia="zh-CN"/>
        </w:rPr>
        <w:t xml:space="preserve"> </w:t>
      </w:r>
    </w:p>
    <w:p>
      <w:pPr>
        <w:keepLines w:val="0"/>
        <w:pageBreakBefore w:val="0"/>
        <w:widowControl w:val="0"/>
        <w:shd w:val="clear"/>
        <w:kinsoku/>
        <w:wordWrap/>
        <w:overflowPunct/>
        <w:topLinePunct w:val="0"/>
        <w:autoSpaceDE w:val="0"/>
        <w:autoSpaceDN w:val="0"/>
        <w:bidi w:val="0"/>
        <w:adjustRightInd w:val="0"/>
        <w:snapToGrid/>
        <w:spacing w:line="440" w:lineRule="exact"/>
        <w:ind w:firstLine="470" w:firstLineChars="196"/>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lang w:val="en-US" w:eastAsia="zh-CN"/>
        </w:rPr>
        <w:t>37.2、本项目经采购人同意，可以将成交项目的部分非主体、非关键性工作分包给</w:t>
      </w:r>
      <w:r>
        <w:rPr>
          <w:rFonts w:hint="eastAsia" w:ascii="宋体" w:hAnsi="宋体" w:eastAsia="宋体" w:cs="宋体"/>
          <w:color w:val="auto"/>
          <w:sz w:val="24"/>
          <w:szCs w:val="24"/>
          <w:highlight w:val="none"/>
          <w:lang w:val="en-US" w:eastAsia="zh-CN"/>
        </w:rPr>
        <w:t>他人 完成，本项目“主体和关键性工作”是指：</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 xml:space="preserve">【根据项目具体情况确定】。接受分包的供 应商应当具备相应的资格条件，并不得再次分包。 </w:t>
      </w:r>
    </w:p>
    <w:p>
      <w:pPr>
        <w:keepLines w:val="0"/>
        <w:pageBreakBefore w:val="0"/>
        <w:widowControl w:val="0"/>
        <w:shd w:val="clear"/>
        <w:kinsoku/>
        <w:wordWrap/>
        <w:overflowPunct/>
        <w:topLinePunct w:val="0"/>
        <w:autoSpaceDE w:val="0"/>
        <w:autoSpaceDN w:val="0"/>
        <w:bidi w:val="0"/>
        <w:adjustRightInd w:val="0"/>
        <w:snapToGrid/>
        <w:spacing w:line="440" w:lineRule="exact"/>
        <w:ind w:firstLine="470" w:firstLineChars="196"/>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37.3、采购合同实行分包履行的，成交供应商就采购项目和分包项目向采购人负责，分 包供应商就分包项目承担责任。</w:t>
      </w:r>
    </w:p>
    <w:p>
      <w:pPr>
        <w:keepLines w:val="0"/>
        <w:pageBreakBefore w:val="0"/>
        <w:widowControl w:val="0"/>
        <w:shd w:val="clear"/>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H</w:t>
      </w:r>
      <w:r>
        <w:rPr>
          <w:rFonts w:hint="eastAsia" w:ascii="宋体" w:hAnsi="宋体" w:eastAsia="宋体" w:cs="宋体"/>
          <w:b/>
          <w:bCs/>
          <w:color w:val="auto"/>
          <w:sz w:val="28"/>
          <w:szCs w:val="28"/>
          <w:highlight w:val="none"/>
        </w:rPr>
        <w:t>、其它</w:t>
      </w:r>
    </w:p>
    <w:p>
      <w:pPr>
        <w:keepNext w:val="0"/>
        <w:keepLines w:val="0"/>
        <w:pageBreakBefore w:val="0"/>
        <w:widowControl w:val="0"/>
        <w:shd w:val="clear"/>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en-US" w:eastAsia="zh-CN"/>
        </w:rPr>
        <w:t>38</w:t>
      </w:r>
      <w:r>
        <w:rPr>
          <w:rFonts w:hint="eastAsia" w:ascii="宋体" w:hAnsi="宋体" w:eastAsia="宋体" w:cs="宋体"/>
          <w:b/>
          <w:bCs w:val="0"/>
          <w:color w:val="auto"/>
          <w:sz w:val="24"/>
          <w:szCs w:val="24"/>
          <w:highlight w:val="none"/>
          <w:lang w:val="zh-CN"/>
        </w:rPr>
        <w:t>、</w:t>
      </w:r>
      <w:r>
        <w:rPr>
          <w:rFonts w:hint="eastAsia" w:ascii="宋体" w:hAnsi="宋体" w:eastAsia="宋体" w:cs="宋体"/>
          <w:b/>
          <w:bCs w:val="0"/>
          <w:color w:val="auto"/>
          <w:sz w:val="24"/>
          <w:szCs w:val="24"/>
          <w:highlight w:val="none"/>
          <w:lang w:val="en-US" w:eastAsia="zh-CN"/>
        </w:rPr>
        <w:t>谈判开始后，出现下列情形之一的，采购代理机构将终止谈判活动，发布项目终止公告并说明原因，重新开展采购活动：</w:t>
      </w:r>
    </w:p>
    <w:p>
      <w:pPr>
        <w:keepNext w:val="0"/>
        <w:keepLines w:val="0"/>
        <w:pageBreakBefore w:val="0"/>
        <w:widowControl w:val="0"/>
        <w:shd w:val="clear"/>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en-US" w:eastAsia="zh-CN"/>
        </w:rPr>
        <w:t>38.1、</w:t>
      </w:r>
      <w:r>
        <w:rPr>
          <w:rFonts w:hint="eastAsia" w:ascii="宋体" w:hAnsi="宋体" w:eastAsia="宋体" w:cs="宋体"/>
          <w:b w:val="0"/>
          <w:bCs/>
          <w:color w:val="auto"/>
          <w:sz w:val="24"/>
          <w:szCs w:val="24"/>
          <w:highlight w:val="none"/>
          <w:lang w:val="zh-CN"/>
        </w:rPr>
        <w:t>因情况变化，不再符合规定的</w:t>
      </w:r>
      <w:r>
        <w:rPr>
          <w:rFonts w:hint="eastAsia" w:ascii="宋体" w:hAnsi="宋体" w:eastAsia="宋体" w:cs="宋体"/>
          <w:b w:val="0"/>
          <w:bCs/>
          <w:color w:val="auto"/>
          <w:sz w:val="24"/>
          <w:szCs w:val="24"/>
          <w:highlight w:val="none"/>
          <w:lang w:val="en-US" w:eastAsia="zh-CN"/>
        </w:rPr>
        <w:t>单一来源</w:t>
      </w:r>
      <w:r>
        <w:rPr>
          <w:rFonts w:hint="eastAsia" w:ascii="宋体" w:hAnsi="宋体" w:eastAsia="宋体" w:cs="宋体"/>
          <w:b w:val="0"/>
          <w:bCs/>
          <w:color w:val="auto"/>
          <w:sz w:val="24"/>
          <w:szCs w:val="24"/>
          <w:highlight w:val="none"/>
          <w:lang w:val="zh-CN"/>
        </w:rPr>
        <w:t>采购方式适用情形的；</w:t>
      </w:r>
    </w:p>
    <w:p>
      <w:pPr>
        <w:keepNext w:val="0"/>
        <w:keepLines w:val="0"/>
        <w:pageBreakBefore w:val="0"/>
        <w:widowControl w:val="0"/>
        <w:shd w:val="clear"/>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en-US" w:eastAsia="zh-CN"/>
        </w:rPr>
        <w:t>38.2、</w:t>
      </w:r>
      <w:r>
        <w:rPr>
          <w:rFonts w:hint="eastAsia" w:ascii="宋体" w:hAnsi="宋体" w:eastAsia="宋体" w:cs="宋体"/>
          <w:b w:val="0"/>
          <w:bCs/>
          <w:color w:val="auto"/>
          <w:sz w:val="24"/>
          <w:szCs w:val="24"/>
          <w:highlight w:val="none"/>
          <w:lang w:val="zh-CN"/>
        </w:rPr>
        <w:t>出现影响采购公正的违法、违规行为的；</w:t>
      </w:r>
    </w:p>
    <w:p>
      <w:pPr>
        <w:pStyle w:val="49"/>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b w:val="0"/>
          <w:bCs/>
          <w:color w:val="auto"/>
          <w:sz w:val="24"/>
          <w:szCs w:val="24"/>
          <w:highlight w:val="none"/>
          <w:lang w:val="en-US" w:eastAsia="zh-CN"/>
        </w:rPr>
        <w:t>38.3、报价超过采购预算的。</w:t>
      </w:r>
    </w:p>
    <w:p>
      <w:pPr>
        <w:keepNext w:val="0"/>
        <w:keepLines w:val="0"/>
        <w:pageBreakBefore w:val="0"/>
        <w:widowControl w:val="0"/>
        <w:shd w:val="clear"/>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废标后，采购代理机构应在指定</w:t>
      </w:r>
      <w:r>
        <w:rPr>
          <w:rFonts w:hint="eastAsia" w:ascii="宋体" w:hAnsi="宋体" w:eastAsia="宋体" w:cs="宋体"/>
          <w:b w:val="0"/>
          <w:bCs/>
          <w:color w:val="auto"/>
          <w:sz w:val="24"/>
          <w:szCs w:val="24"/>
          <w:highlight w:val="none"/>
          <w:lang w:val="en-US" w:eastAsia="zh-CN"/>
        </w:rPr>
        <w:t>网站</w:t>
      </w:r>
      <w:r>
        <w:rPr>
          <w:rFonts w:hint="eastAsia" w:ascii="宋体" w:hAnsi="宋体" w:eastAsia="宋体" w:cs="宋体"/>
          <w:b w:val="0"/>
          <w:bCs/>
          <w:color w:val="auto"/>
          <w:sz w:val="24"/>
          <w:szCs w:val="24"/>
          <w:highlight w:val="none"/>
          <w:lang w:val="zh-CN"/>
        </w:rPr>
        <w:t>上公告，并公告废标的详细理由。</w:t>
      </w:r>
    </w:p>
    <w:p>
      <w:pPr>
        <w:keepNext w:val="0"/>
        <w:keepLines w:val="0"/>
        <w:pageBreakBefore w:val="0"/>
        <w:widowControl w:val="0"/>
        <w:shd w:val="clear"/>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en-US" w:eastAsia="zh-CN"/>
        </w:rPr>
        <w:t>39</w:t>
      </w:r>
      <w:r>
        <w:rPr>
          <w:rFonts w:hint="eastAsia" w:ascii="宋体" w:hAnsi="宋体" w:eastAsia="宋体" w:cs="宋体"/>
          <w:b/>
          <w:color w:val="auto"/>
          <w:sz w:val="24"/>
          <w:szCs w:val="24"/>
          <w:highlight w:val="none"/>
          <w:lang w:val="zh-CN"/>
        </w:rPr>
        <w:t>、质疑与投诉</w:t>
      </w:r>
    </w:p>
    <w:p>
      <w:pPr>
        <w:keepNext w:val="0"/>
        <w:keepLines w:val="0"/>
        <w:pageBreakBefore w:val="0"/>
        <w:widowControl w:val="0"/>
        <w:shd w:val="clear"/>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39.</w:t>
      </w:r>
      <w:r>
        <w:rPr>
          <w:rFonts w:hint="eastAsia" w:ascii="宋体" w:hAnsi="宋体" w:eastAsia="宋体" w:cs="宋体"/>
          <w:color w:val="auto"/>
          <w:sz w:val="24"/>
          <w:szCs w:val="24"/>
          <w:highlight w:val="none"/>
          <w:lang w:val="zh-CN"/>
        </w:rPr>
        <w:t>1、供应商认为</w:t>
      </w:r>
      <w:r>
        <w:rPr>
          <w:rFonts w:hint="eastAsia" w:ascii="宋体" w:hAnsi="宋体" w:eastAsia="宋体" w:cs="宋体"/>
          <w:color w:val="auto"/>
          <w:sz w:val="24"/>
          <w:szCs w:val="24"/>
          <w:highlight w:val="none"/>
          <w:lang w:val="en-US" w:eastAsia="zh-CN"/>
        </w:rPr>
        <w:t>单一来源</w:t>
      </w:r>
      <w:r>
        <w:rPr>
          <w:rFonts w:hint="eastAsia" w:ascii="宋体" w:hAnsi="宋体" w:eastAsia="宋体" w:cs="宋体"/>
          <w:color w:val="auto"/>
          <w:sz w:val="24"/>
          <w:szCs w:val="24"/>
          <w:highlight w:val="none"/>
          <w:lang w:val="zh-CN"/>
        </w:rPr>
        <w:t>文件、采购过程、中标或者成交结果使自己的权益受到损害的，可以在知道或者应知其权益受到损害之日起7个工作日内，以书面形式向采购人、采购代理机构提出质疑。</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供应商在法定质疑期内应一次性提出针对同一采购程序环节的质疑。</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质疑接受以书面形式送达 以下地址：</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联系人：</w:t>
      </w:r>
      <w:r>
        <w:rPr>
          <w:rFonts w:hint="eastAsia" w:ascii="宋体" w:hAnsi="宋体" w:eastAsia="宋体" w:cs="宋体"/>
          <w:color w:val="auto"/>
          <w:sz w:val="24"/>
          <w:szCs w:val="24"/>
          <w:highlight w:val="none"/>
          <w:lang w:val="en-US" w:eastAsia="zh-CN"/>
        </w:rPr>
        <w:t>赵</w:t>
      </w:r>
      <w:r>
        <w:rPr>
          <w:rFonts w:hint="eastAsia" w:ascii="宋体" w:hAnsi="宋体" w:eastAsia="宋体" w:cs="宋体"/>
          <w:color w:val="auto"/>
          <w:sz w:val="24"/>
          <w:szCs w:val="24"/>
          <w:lang w:val="en-US" w:eastAsia="zh-CN"/>
        </w:rPr>
        <w:t>工</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联系电话：029-36223975</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 xml:space="preserve">地址： </w:t>
      </w:r>
      <w:r>
        <w:rPr>
          <w:rFonts w:hint="eastAsia" w:ascii="宋体" w:hAnsi="宋体" w:eastAsia="宋体" w:cs="宋体"/>
          <w:i w:val="0"/>
          <w:iCs w:val="0"/>
          <w:caps w:val="0"/>
          <w:color w:val="auto"/>
          <w:spacing w:val="0"/>
          <w:sz w:val="24"/>
          <w:szCs w:val="24"/>
          <w:shd w:val="clear" w:fill="FFFFFF"/>
          <w:vertAlign w:val="baseline"/>
        </w:rPr>
        <w:t>泾阳县中心街402号财政局院内泾阳县政府采购中心</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color w:val="auto"/>
          <w:sz w:val="24"/>
          <w:szCs w:val="24"/>
          <w:highlight w:val="none"/>
          <w:lang w:val="en-US" w:eastAsia="zh-CN"/>
        </w:rPr>
        <w:t xml:space="preserve"> </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39.</w:t>
      </w:r>
      <w:r>
        <w:rPr>
          <w:rFonts w:hint="eastAsia" w:ascii="宋体" w:hAnsi="宋体" w:eastAsia="宋体" w:cs="宋体"/>
          <w:color w:val="auto"/>
          <w:sz w:val="24"/>
          <w:szCs w:val="24"/>
          <w:highlight w:val="none"/>
          <w:lang w:val="zh-CN"/>
        </w:rPr>
        <w:t>2、质疑函应当包括下列内容：</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39.</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、供应商的姓名或者名称、地址、邮编、联系人及联系电话；</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39.</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、质疑项目的名称、编号；</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39.</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、具体、明确的质疑事项和与质疑事项相关的请求；</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39.</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、事实依据；</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39.</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、必要的法律依据；</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39.</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、提出质疑的日期。</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为自然人的，应当由本人签字；供应商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39.3</w:t>
      </w:r>
      <w:r>
        <w:rPr>
          <w:rFonts w:hint="eastAsia" w:ascii="宋体" w:hAnsi="宋体" w:eastAsia="宋体" w:cs="宋体"/>
          <w:color w:val="auto"/>
          <w:sz w:val="24"/>
          <w:szCs w:val="24"/>
          <w:highlight w:val="none"/>
          <w:lang w:val="zh-CN"/>
        </w:rPr>
        <w:t>、代理机构或采购人将在收到书面质疑后7个工作日内做出答复，并以书面形式通知质疑人和其他有关供应商。</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39.4</w:t>
      </w:r>
      <w:r>
        <w:rPr>
          <w:rFonts w:hint="eastAsia" w:ascii="宋体" w:hAnsi="宋体" w:eastAsia="宋体" w:cs="宋体"/>
          <w:color w:val="auto"/>
          <w:sz w:val="24"/>
          <w:szCs w:val="24"/>
          <w:highlight w:val="none"/>
          <w:lang w:val="zh-CN"/>
        </w:rPr>
        <w:t>、质疑人对代理机构或采购人的答复不满意，以及代理机构或采购人未在规定时间内做出答复的，可以在答复期满后15个工作日内向政府采购监管机构提出投诉。</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39.5</w:t>
      </w:r>
      <w:r>
        <w:rPr>
          <w:rFonts w:hint="eastAsia" w:ascii="宋体" w:hAnsi="宋体" w:eastAsia="宋体" w:cs="宋体"/>
          <w:color w:val="auto"/>
          <w:sz w:val="24"/>
          <w:szCs w:val="24"/>
          <w:highlight w:val="none"/>
          <w:lang w:val="zh-CN"/>
        </w:rPr>
        <w:t>、供应商投诉的事项不得超出已质疑事项的范围。</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39.6</w:t>
      </w:r>
      <w:r>
        <w:rPr>
          <w:rFonts w:hint="eastAsia" w:ascii="宋体" w:hAnsi="宋体" w:eastAsia="宋体" w:cs="宋体"/>
          <w:color w:val="auto"/>
          <w:sz w:val="24"/>
          <w:szCs w:val="24"/>
          <w:highlight w:val="none"/>
          <w:lang w:val="zh-CN"/>
        </w:rPr>
        <w:t>、对捏造事实、提供虚假材料进行质疑、投诉的行为予以严肃处理：</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39.7</w:t>
      </w:r>
      <w:r>
        <w:rPr>
          <w:rFonts w:hint="eastAsia" w:ascii="宋体" w:hAnsi="宋体" w:eastAsia="宋体" w:cs="宋体"/>
          <w:color w:val="auto"/>
          <w:sz w:val="24"/>
          <w:szCs w:val="24"/>
          <w:highlight w:val="none"/>
          <w:lang w:val="zh-CN"/>
        </w:rPr>
        <w:t>、对捏造事实诬告陷害他人、诽谤他人的法律适用：</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《中华人民共和国刑法》第243条【诬告陷害罪】捏造事实诬告陷害他人，意图使他人受刑事追究，情节严重的，处三年以下有期徒刑、拘役或者管制；造成严重后果的，处三年以上十年以下有期徒刑。</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rPr>
      </w:pPr>
      <w:r>
        <w:rPr>
          <w:rFonts w:hint="eastAsia" w:ascii="宋体" w:hAnsi="宋体" w:eastAsia="宋体" w:cs="宋体"/>
          <w:color w:val="auto"/>
          <w:sz w:val="24"/>
          <w:szCs w:val="24"/>
          <w:highlight w:val="none"/>
          <w:lang w:val="zh-CN"/>
        </w:rPr>
        <w:t>《中华人民共和国刑法》第246条【侮辱罪、诽谤罪】以暴力或者其他方法公然侮辱他人或者捏造事实诽谤他人，情节严重的，处三年以下有期徒刑、拘役、管制或者剥夺政治权。</w:t>
      </w:r>
    </w:p>
    <w:p>
      <w:pPr>
        <w:keepLines w:val="0"/>
        <w:pageBreakBefore w:val="0"/>
        <w:widowControl w:val="0"/>
        <w:shd w:val="clear"/>
        <w:kinsoku/>
        <w:wordWrap/>
        <w:overflowPunct/>
        <w:topLinePunct w:val="0"/>
        <w:bidi w:val="0"/>
        <w:snapToGrid/>
        <w:spacing w:line="440" w:lineRule="exact"/>
        <w:jc w:val="center"/>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4"/>
          <w:szCs w:val="24"/>
          <w:highlight w:val="none"/>
        </w:rPr>
        <w:t>质疑函范本</w:t>
      </w:r>
    </w:p>
    <w:tbl>
      <w:tblPr>
        <w:tblStyle w:val="36"/>
        <w:tblW w:w="8500"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7" w:hRule="atLeast"/>
        </w:trPr>
        <w:tc>
          <w:tcPr>
            <w:tcW w:w="8500" w:type="dxa"/>
            <w:vAlign w:val="center"/>
          </w:tcPr>
          <w:p>
            <w:pPr>
              <w:pStyle w:val="16"/>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pStyle w:val="16"/>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质疑供应商</w:t>
            </w:r>
          </w:p>
          <w:p>
            <w:pPr>
              <w:pStyle w:val="16"/>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地址：                                       邮编：</w:t>
            </w:r>
          </w:p>
          <w:p>
            <w:pPr>
              <w:pStyle w:val="16"/>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联系人：                                     联系电话</w:t>
            </w:r>
          </w:p>
          <w:p>
            <w:pPr>
              <w:pStyle w:val="16"/>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w:t>
            </w:r>
          </w:p>
          <w:p>
            <w:pPr>
              <w:pStyle w:val="16"/>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联系电话：</w:t>
            </w:r>
          </w:p>
          <w:p>
            <w:pPr>
              <w:pStyle w:val="16"/>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地址：                                       邮编：</w:t>
            </w:r>
          </w:p>
          <w:p>
            <w:pPr>
              <w:pStyle w:val="16"/>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pStyle w:val="16"/>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质疑项目的名称：</w:t>
            </w:r>
          </w:p>
          <w:p>
            <w:pPr>
              <w:pStyle w:val="16"/>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质疑项目的编号：</w:t>
            </w:r>
          </w:p>
          <w:p>
            <w:pPr>
              <w:pStyle w:val="16"/>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包号：</w:t>
            </w:r>
          </w:p>
          <w:p>
            <w:pPr>
              <w:pStyle w:val="16"/>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采购人名称：</w:t>
            </w:r>
          </w:p>
          <w:p>
            <w:pPr>
              <w:pStyle w:val="16"/>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采购文件获取日期：</w:t>
            </w:r>
          </w:p>
          <w:p>
            <w:pPr>
              <w:pStyle w:val="16"/>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三、质疑项目具体内容</w:t>
            </w:r>
          </w:p>
          <w:p>
            <w:pPr>
              <w:pStyle w:val="16"/>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质疑事项1：</w:t>
            </w:r>
          </w:p>
          <w:p>
            <w:pPr>
              <w:pStyle w:val="16"/>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事实依据：</w:t>
            </w:r>
          </w:p>
          <w:p>
            <w:pPr>
              <w:pStyle w:val="16"/>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法律依据</w:t>
            </w:r>
          </w:p>
          <w:p>
            <w:pPr>
              <w:pStyle w:val="16"/>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质疑事项2：</w:t>
            </w:r>
          </w:p>
          <w:p>
            <w:pPr>
              <w:pStyle w:val="16"/>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pStyle w:val="16"/>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请求：</w:t>
            </w:r>
          </w:p>
          <w:p>
            <w:pPr>
              <w:pStyle w:val="16"/>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签字（签章）：                          公章：</w:t>
            </w:r>
          </w:p>
          <w:p>
            <w:pPr>
              <w:pStyle w:val="16"/>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日期：</w:t>
            </w:r>
          </w:p>
        </w:tc>
      </w:tr>
    </w:tbl>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39.8、</w:t>
      </w:r>
      <w:r>
        <w:rPr>
          <w:rFonts w:hint="eastAsia" w:ascii="宋体" w:hAnsi="宋体" w:eastAsia="宋体" w:cs="宋体"/>
          <w:color w:val="auto"/>
          <w:sz w:val="24"/>
          <w:szCs w:val="24"/>
          <w:highlight w:val="none"/>
          <w:lang w:val="zh-CN"/>
        </w:rPr>
        <w:t>投诉</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供应商和其他利害关系人认为本次招标采购活动违反法律、法规和规章规定的，有权向有关行政监督机构投诉。</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39.8.1、</w:t>
      </w:r>
      <w:r>
        <w:rPr>
          <w:rFonts w:hint="eastAsia" w:ascii="宋体" w:hAnsi="宋体" w:eastAsia="宋体" w:cs="宋体"/>
          <w:color w:val="auto"/>
          <w:sz w:val="24"/>
          <w:szCs w:val="24"/>
          <w:highlight w:val="none"/>
          <w:lang w:val="zh-CN"/>
        </w:rPr>
        <w:t>质疑人对采购代理机构或采购人的答复不满意，以及采购代理机构或采购人未在规定时间内做出答复的，可以在答复期满后15个工作日内向政府采购监管机构提出投诉。</w:t>
      </w:r>
    </w:p>
    <w:p>
      <w:pPr>
        <w:keepLines w:val="0"/>
        <w:pageBreakBefore w:val="0"/>
        <w:widowControl w:val="0"/>
        <w:shd w:val="clear"/>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43.8.2、</w:t>
      </w:r>
      <w:r>
        <w:rPr>
          <w:rFonts w:hint="eastAsia" w:ascii="宋体" w:hAnsi="宋体" w:eastAsia="宋体" w:cs="宋体"/>
          <w:color w:val="auto"/>
          <w:sz w:val="24"/>
          <w:szCs w:val="24"/>
          <w:highlight w:val="none"/>
          <w:lang w:val="zh-CN"/>
        </w:rPr>
        <w:t>供应商投诉的事项不得超出已质疑事项的范围。</w:t>
      </w:r>
    </w:p>
    <w:p>
      <w:pPr>
        <w:keepNext w:val="0"/>
        <w:keepLines w:val="0"/>
        <w:pageBreakBefore w:val="0"/>
        <w:widowControl w:val="0"/>
        <w:shd w:val="clear"/>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39.8.3、</w:t>
      </w:r>
      <w:r>
        <w:rPr>
          <w:rFonts w:hint="eastAsia" w:ascii="宋体" w:hAnsi="宋体" w:eastAsia="宋体" w:cs="宋体"/>
          <w:color w:val="auto"/>
          <w:sz w:val="24"/>
          <w:szCs w:val="24"/>
          <w:highlight w:val="none"/>
          <w:lang w:val="zh-CN"/>
        </w:rPr>
        <w:t>投诉书范本格式在中国政府采购网站（http://www.ccgp.gov.cn/）自行下载。</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4</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zh-CN"/>
        </w:rPr>
        <w:t>陕西省政府采购信用担保及信用融资政策</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为支持和促进中小企业发展，进一步发挥政府采购政策功能作用，根据《财政部关于开展政府采购信用担保试点工作的通知》（财库（2011）124号）、《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pPr>
        <w:keepLines w:val="0"/>
        <w:pageBreakBefore w:val="0"/>
        <w:widowControl w:val="0"/>
        <w:shd w:val="clear"/>
        <w:kinsoku/>
        <w:wordWrap/>
        <w:overflowPunct/>
        <w:topLinePunct w:val="0"/>
        <w:autoSpaceDE w:val="0"/>
        <w:autoSpaceDN w:val="0"/>
        <w:bidi w:val="0"/>
        <w:adjustRightInd w:val="0"/>
        <w:snapToGrid/>
        <w:spacing w:line="440" w:lineRule="exact"/>
        <w:ind w:firstLine="63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成交人如果需要融资贷款服务需求的，可凭成交通知书、政府采购合同等相关资料，按照文件规定的相关政策、业务流程申请办理，具体规定可登陆陕西省政府采购信用融资平台（http://www.ccgp-shaanxi.gov.cn/zcdservice/zcd/shanxi/）查询了解。</w:t>
      </w:r>
    </w:p>
    <w:p>
      <w:pPr>
        <w:pStyle w:val="34"/>
        <w:keepNext w:val="0"/>
        <w:keepLines w:val="0"/>
        <w:pageBreakBefore w:val="0"/>
        <w:widowControl w:val="0"/>
        <w:kinsoku/>
        <w:wordWrap/>
        <w:overflowPunct/>
        <w:topLinePunct w:val="0"/>
        <w:autoSpaceDE w:val="0"/>
        <w:autoSpaceDN w:val="0"/>
        <w:bidi w:val="0"/>
        <w:adjustRightInd w:val="0"/>
        <w:snapToGrid w:val="0"/>
        <w:spacing w:line="520" w:lineRule="exact"/>
        <w:ind w:firstLine="0" w:firstLineChars="0"/>
        <w:jc w:val="center"/>
        <w:textAlignment w:val="bottom"/>
        <w:outlineLvl w:val="9"/>
        <w:rPr>
          <w:rFonts w:hint="eastAsia" w:ascii="宋体" w:hAnsi="宋体" w:eastAsia="宋体" w:cs="宋体"/>
          <w:color w:val="auto"/>
          <w:sz w:val="36"/>
          <w:szCs w:val="36"/>
          <w:highlight w:val="none"/>
          <w:lang w:val="en-US" w:eastAsia="zh-CN"/>
        </w:rPr>
      </w:pPr>
    </w:p>
    <w:p>
      <w:pPr>
        <w:pStyle w:val="34"/>
        <w:keepNext w:val="0"/>
        <w:keepLines w:val="0"/>
        <w:pageBreakBefore w:val="0"/>
        <w:widowControl w:val="0"/>
        <w:kinsoku/>
        <w:wordWrap/>
        <w:overflowPunct/>
        <w:topLinePunct w:val="0"/>
        <w:autoSpaceDE w:val="0"/>
        <w:autoSpaceDN w:val="0"/>
        <w:bidi w:val="0"/>
        <w:adjustRightInd w:val="0"/>
        <w:snapToGrid w:val="0"/>
        <w:spacing w:line="520" w:lineRule="exact"/>
        <w:ind w:firstLine="0" w:firstLineChars="0"/>
        <w:jc w:val="center"/>
        <w:textAlignment w:val="bottom"/>
        <w:outlineLvl w:val="9"/>
        <w:rPr>
          <w:rFonts w:hint="eastAsia" w:ascii="宋体" w:hAnsi="宋体" w:eastAsia="宋体" w:cs="宋体"/>
          <w:color w:val="auto"/>
          <w:sz w:val="36"/>
          <w:szCs w:val="36"/>
          <w:highlight w:val="none"/>
        </w:rPr>
      </w:pPr>
    </w:p>
    <w:p>
      <w:pPr>
        <w:pStyle w:val="34"/>
        <w:keepNext w:val="0"/>
        <w:keepLines w:val="0"/>
        <w:pageBreakBefore w:val="0"/>
        <w:widowControl w:val="0"/>
        <w:kinsoku/>
        <w:wordWrap/>
        <w:overflowPunct/>
        <w:topLinePunct w:val="0"/>
        <w:autoSpaceDE w:val="0"/>
        <w:autoSpaceDN w:val="0"/>
        <w:bidi w:val="0"/>
        <w:adjustRightInd w:val="0"/>
        <w:snapToGrid w:val="0"/>
        <w:spacing w:line="520" w:lineRule="exact"/>
        <w:ind w:firstLine="0" w:firstLineChars="0"/>
        <w:jc w:val="center"/>
        <w:textAlignment w:val="bottom"/>
        <w:outlineLvl w:val="9"/>
        <w:rPr>
          <w:rFonts w:hint="eastAsia" w:ascii="宋体" w:hAnsi="宋体" w:eastAsia="宋体" w:cs="宋体"/>
          <w:color w:val="auto"/>
          <w:sz w:val="36"/>
          <w:szCs w:val="36"/>
          <w:highlight w:val="none"/>
        </w:rPr>
        <w:sectPr>
          <w:footerReference r:id="rId15" w:type="first"/>
          <w:headerReference r:id="rId13" w:type="default"/>
          <w:footerReference r:id="rId14" w:type="default"/>
          <w:pgSz w:w="11906" w:h="16838"/>
          <w:pgMar w:top="1417" w:right="1418" w:bottom="1417" w:left="1417" w:header="851" w:footer="992" w:gutter="0"/>
          <w:pgNumType w:fmt="decimal"/>
          <w:cols w:space="720" w:num="1"/>
          <w:docGrid w:type="lines" w:linePitch="312" w:charSpace="0"/>
        </w:sectPr>
      </w:pPr>
    </w:p>
    <w:p>
      <w:pPr>
        <w:pStyle w:val="3"/>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32"/>
          <w:szCs w:val="32"/>
          <w:lang w:val="en-US" w:eastAsia="zh-CN"/>
        </w:rPr>
      </w:pPr>
      <w:bookmarkStart w:id="26" w:name="_Toc21220"/>
      <w:r>
        <w:rPr>
          <w:rFonts w:hint="eastAsia" w:ascii="宋体" w:hAnsi="宋体" w:eastAsia="宋体" w:cs="宋体"/>
          <w:b/>
          <w:bCs/>
          <w:color w:val="auto"/>
          <w:sz w:val="32"/>
          <w:szCs w:val="32"/>
          <w:lang w:val="en-US" w:eastAsia="zh-CN"/>
        </w:rPr>
        <w:t>第四章 评审办法</w:t>
      </w:r>
      <w:bookmarkEnd w:id="26"/>
    </w:p>
    <w:p>
      <w:pPr>
        <w:keepLines w:val="0"/>
        <w:pageBreakBefore w:val="0"/>
        <w:widowControl w:val="0"/>
        <w:numPr>
          <w:ilvl w:val="0"/>
          <w:numId w:val="0"/>
        </w:numPr>
        <w:kinsoku/>
        <w:wordWrap/>
        <w:overflowPunct/>
        <w:topLinePunct w:val="0"/>
        <w:bidi w:val="0"/>
        <w:spacing w:line="440" w:lineRule="exact"/>
        <w:jc w:val="both"/>
        <w:textAlignment w:val="auto"/>
        <w:rPr>
          <w:rFonts w:hint="eastAsia" w:ascii="宋体" w:hAnsi="宋体" w:eastAsia="宋体" w:cs="宋体"/>
          <w:color w:val="auto"/>
          <w:lang w:val="en-US" w:eastAsia="zh-CN"/>
        </w:rPr>
      </w:pPr>
    </w:p>
    <w:p>
      <w:pPr>
        <w:keepLines w:val="0"/>
        <w:pageBreakBefore w:val="0"/>
        <w:widowControl w:val="0"/>
        <w:kinsoku/>
        <w:wordWrap/>
        <w:overflowPunct/>
        <w:topLinePunct w:val="0"/>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评审方法：</w:t>
      </w:r>
    </w:p>
    <w:p>
      <w:pPr>
        <w:keepLines w:val="0"/>
        <w:pageBreakBefore w:val="0"/>
        <w:widowControl w:val="0"/>
        <w:kinsoku/>
        <w:wordWrap/>
        <w:overflowPunct/>
        <w:topLinePunct w:val="0"/>
        <w:bidi w:val="0"/>
        <w:spacing w:line="440" w:lineRule="exact"/>
        <w:ind w:firstLine="520" w:firstLineChars="217"/>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按照《中华人民共和国政府采购法》</w:t>
      </w:r>
      <w:r>
        <w:rPr>
          <w:rFonts w:hint="eastAsia" w:ascii="宋体" w:hAnsi="宋体" w:eastAsia="宋体" w:cs="宋体"/>
          <w:color w:val="auto"/>
          <w:spacing w:val="4"/>
          <w:sz w:val="24"/>
          <w:szCs w:val="24"/>
          <w:highlight w:val="none"/>
        </w:rPr>
        <w:t>规定，本次评标采用最低评标价法，即在最大限度地满足</w:t>
      </w:r>
      <w:r>
        <w:rPr>
          <w:rFonts w:hint="eastAsia" w:ascii="宋体" w:hAnsi="宋体" w:eastAsia="宋体" w:cs="宋体"/>
          <w:color w:val="auto"/>
          <w:spacing w:val="4"/>
          <w:sz w:val="24"/>
          <w:szCs w:val="24"/>
          <w:highlight w:val="none"/>
          <w:lang w:eastAsia="zh-CN"/>
        </w:rPr>
        <w:t>单一来源文件</w:t>
      </w:r>
      <w:r>
        <w:rPr>
          <w:rFonts w:hint="eastAsia" w:ascii="宋体" w:hAnsi="宋体" w:eastAsia="宋体" w:cs="宋体"/>
          <w:color w:val="auto"/>
          <w:spacing w:val="4"/>
          <w:sz w:val="24"/>
          <w:szCs w:val="24"/>
          <w:highlight w:val="none"/>
        </w:rPr>
        <w:t>实质性要求前提下，</w:t>
      </w:r>
      <w:r>
        <w:rPr>
          <w:rFonts w:hint="eastAsia" w:ascii="宋体" w:hAnsi="宋体" w:eastAsia="宋体" w:cs="宋体"/>
          <w:color w:val="auto"/>
          <w:spacing w:val="4"/>
          <w:sz w:val="24"/>
          <w:szCs w:val="24"/>
          <w:highlight w:val="none"/>
          <w:lang w:val="en-US" w:eastAsia="zh-CN"/>
        </w:rPr>
        <w:t>推荐出成交供应商</w:t>
      </w:r>
      <w:r>
        <w:rPr>
          <w:rFonts w:hint="eastAsia" w:ascii="宋体" w:hAnsi="宋体" w:eastAsia="宋体" w:cs="宋体"/>
          <w:color w:val="auto"/>
          <w:spacing w:val="4"/>
          <w:sz w:val="24"/>
          <w:szCs w:val="24"/>
          <w:highlight w:val="none"/>
        </w:rPr>
        <w:t>。</w:t>
      </w:r>
    </w:p>
    <w:p>
      <w:pPr>
        <w:keepLines w:val="0"/>
        <w:pageBreakBefore w:val="0"/>
        <w:widowControl w:val="0"/>
        <w:kinsoku/>
        <w:wordWrap/>
        <w:overflowPunct/>
        <w:topLinePunct w:val="0"/>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评审标准</w:t>
      </w:r>
    </w:p>
    <w:p>
      <w:pPr>
        <w:keepLines w:val="0"/>
        <w:pageBreakBefore w:val="0"/>
        <w:widowControl w:val="0"/>
        <w:tabs>
          <w:tab w:val="left" w:pos="0"/>
        </w:tabs>
        <w:kinsoku/>
        <w:wordWrap/>
        <w:overflowPunct/>
        <w:topLinePunct w:val="0"/>
        <w:bidi w:val="0"/>
        <w:adjustRightInd w:val="0"/>
        <w:snapToGrid w:val="0"/>
        <w:spacing w:line="44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资格性审查标准：见附件1初步审查要素表</w:t>
      </w:r>
    </w:p>
    <w:p>
      <w:pPr>
        <w:keepLines w:val="0"/>
        <w:pageBreakBefore w:val="0"/>
        <w:widowControl w:val="0"/>
        <w:tabs>
          <w:tab w:val="left" w:pos="0"/>
        </w:tabs>
        <w:kinsoku/>
        <w:wordWrap/>
        <w:overflowPunct/>
        <w:topLinePunct w:val="0"/>
        <w:bidi w:val="0"/>
        <w:adjustRightInd w:val="0"/>
        <w:snapToGrid w:val="0"/>
        <w:spacing w:line="44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符合性审查标准：见附件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初步审查要素表</w:t>
      </w:r>
    </w:p>
    <w:p>
      <w:pPr>
        <w:keepLines w:val="0"/>
        <w:pageBreakBefore w:val="0"/>
        <w:widowControl w:val="0"/>
        <w:kinsoku/>
        <w:wordWrap/>
        <w:overflowPunct/>
        <w:topLinePunct w:val="0"/>
        <w:bidi w:val="0"/>
        <w:spacing w:line="440" w:lineRule="exact"/>
        <w:textAlignment w:val="auto"/>
        <w:rPr>
          <w:rFonts w:hint="eastAsia"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lang w:val="en-US" w:eastAsia="zh-CN"/>
        </w:rPr>
        <w:t>3</w:t>
      </w:r>
      <w:r>
        <w:rPr>
          <w:rFonts w:hint="eastAsia" w:ascii="宋体" w:hAnsi="宋体" w:eastAsia="宋体" w:cs="宋体"/>
          <w:b/>
          <w:color w:val="auto"/>
          <w:spacing w:val="4"/>
          <w:sz w:val="24"/>
          <w:szCs w:val="24"/>
          <w:highlight w:val="none"/>
        </w:rPr>
        <w:t>、评审程序：</w:t>
      </w:r>
    </w:p>
    <w:p>
      <w:pPr>
        <w:pStyle w:val="27"/>
        <w:keepLines w:val="0"/>
        <w:pageBreakBefore w:val="0"/>
        <w:widowControl w:val="0"/>
        <w:kinsoku/>
        <w:wordWrap/>
        <w:overflowPunct/>
        <w:topLinePunct w:val="0"/>
        <w:bidi w:val="0"/>
        <w:spacing w:line="440" w:lineRule="exact"/>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按照</w:t>
      </w:r>
      <w:r>
        <w:rPr>
          <w:rFonts w:hint="eastAsia" w:ascii="宋体" w:hAnsi="宋体" w:eastAsia="宋体" w:cs="宋体"/>
          <w:b w:val="0"/>
          <w:bCs w:val="0"/>
          <w:color w:val="auto"/>
          <w:sz w:val="24"/>
          <w:szCs w:val="24"/>
          <w:highlight w:val="none"/>
          <w:lang w:eastAsia="zh-CN"/>
        </w:rPr>
        <w:t>单一来源</w:t>
      </w:r>
      <w:r>
        <w:rPr>
          <w:rFonts w:hint="eastAsia" w:ascii="宋体" w:hAnsi="宋体" w:eastAsia="宋体" w:cs="宋体"/>
          <w:b w:val="0"/>
          <w:bCs w:val="0"/>
          <w:color w:val="auto"/>
          <w:sz w:val="24"/>
          <w:szCs w:val="24"/>
          <w:highlight w:val="none"/>
        </w:rPr>
        <w:t>响应文件初审、澄清有关问题、分别</w:t>
      </w:r>
      <w:r>
        <w:rPr>
          <w:rFonts w:hint="eastAsia" w:ascii="宋体" w:hAnsi="宋体" w:eastAsia="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、二次报价推荐成交候选人名单。在上一步评审中被认定为无效</w:t>
      </w:r>
      <w:r>
        <w:rPr>
          <w:rFonts w:hint="eastAsia" w:ascii="宋体" w:hAnsi="宋体" w:eastAsia="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者，不进入下一步的评审。</w:t>
      </w:r>
    </w:p>
    <w:p>
      <w:pPr>
        <w:keepLines w:val="0"/>
        <w:pageBreakBefore w:val="0"/>
        <w:widowControl w:val="0"/>
        <w:numPr>
          <w:ilvl w:val="0"/>
          <w:numId w:val="0"/>
        </w:numPr>
        <w:kinsoku/>
        <w:wordWrap/>
        <w:overflowPunct/>
        <w:topLinePunct w:val="0"/>
        <w:bidi w:val="0"/>
        <w:spacing w:line="440" w:lineRule="exact"/>
        <w:ind w:firstLine="496" w:firstLineChars="200"/>
        <w:textAlignment w:val="auto"/>
        <w:rPr>
          <w:rFonts w:hint="eastAsia" w:ascii="宋体" w:hAnsi="宋体" w:eastAsia="宋体" w:cs="宋体"/>
          <w:b w:val="0"/>
          <w:bCs w:val="0"/>
          <w:color w:val="auto"/>
          <w:spacing w:val="4"/>
          <w:sz w:val="24"/>
          <w:szCs w:val="24"/>
          <w:highlight w:val="none"/>
        </w:rPr>
      </w:pPr>
      <w:r>
        <w:rPr>
          <w:rFonts w:hint="eastAsia" w:ascii="宋体" w:hAnsi="宋体" w:eastAsia="宋体" w:cs="宋体"/>
          <w:b w:val="0"/>
          <w:bCs w:val="0"/>
          <w:color w:val="auto"/>
          <w:spacing w:val="4"/>
          <w:sz w:val="24"/>
          <w:szCs w:val="24"/>
          <w:highlight w:val="none"/>
          <w:lang w:val="en-US" w:eastAsia="zh-CN"/>
        </w:rPr>
        <w:t>3.1、</w:t>
      </w:r>
      <w:r>
        <w:rPr>
          <w:rFonts w:hint="eastAsia" w:ascii="宋体" w:hAnsi="宋体" w:eastAsia="宋体" w:cs="宋体"/>
          <w:b w:val="0"/>
          <w:bCs w:val="0"/>
          <w:color w:val="auto"/>
          <w:spacing w:val="4"/>
          <w:sz w:val="24"/>
          <w:szCs w:val="24"/>
          <w:highlight w:val="none"/>
        </w:rPr>
        <w:t>对</w:t>
      </w:r>
      <w:r>
        <w:rPr>
          <w:rFonts w:hint="eastAsia" w:ascii="宋体" w:hAnsi="宋体" w:eastAsia="宋体" w:cs="宋体"/>
          <w:bCs/>
          <w:color w:val="auto"/>
          <w:sz w:val="24"/>
          <w:szCs w:val="24"/>
          <w:highlight w:val="none"/>
          <w:lang w:eastAsia="zh-CN"/>
        </w:rPr>
        <w:t>单一来源</w:t>
      </w:r>
      <w:r>
        <w:rPr>
          <w:rFonts w:hint="eastAsia" w:ascii="宋体" w:hAnsi="宋体" w:eastAsia="宋体" w:cs="宋体"/>
          <w:b w:val="0"/>
          <w:bCs w:val="0"/>
          <w:color w:val="auto"/>
          <w:spacing w:val="4"/>
          <w:sz w:val="24"/>
          <w:szCs w:val="24"/>
          <w:highlight w:val="none"/>
        </w:rPr>
        <w:t>响应文件的初审：</w:t>
      </w:r>
    </w:p>
    <w:p>
      <w:pPr>
        <w:keepLines w:val="0"/>
        <w:pageBreakBefore w:val="0"/>
        <w:widowControl w:val="0"/>
        <w:tabs>
          <w:tab w:val="left" w:pos="0"/>
        </w:tabs>
        <w:kinsoku/>
        <w:wordWrap/>
        <w:overflowPunct/>
        <w:topLinePunct w:val="0"/>
        <w:bidi w:val="0"/>
        <w:adjustRightInd w:val="0"/>
        <w:snapToGrid w:val="0"/>
        <w:spacing w:line="440" w:lineRule="exact"/>
        <w:ind w:firstLine="470" w:firstLineChars="196"/>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1.1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资格性审查：</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将依据本章第 2.1.1 项规定的评审标准对</w:t>
      </w:r>
      <w:r>
        <w:rPr>
          <w:rFonts w:hint="eastAsia" w:ascii="宋体" w:hAnsi="宋体" w:eastAsia="宋体" w:cs="宋体"/>
          <w:b w:val="0"/>
          <w:bCs w:val="0"/>
          <w:color w:val="auto"/>
          <w:sz w:val="24"/>
          <w:szCs w:val="24"/>
          <w:highlight w:val="none"/>
          <w:lang w:eastAsia="zh-CN"/>
        </w:rPr>
        <w:t>单一来源</w:t>
      </w:r>
      <w:r>
        <w:rPr>
          <w:rFonts w:hint="eastAsia" w:ascii="宋体" w:hAnsi="宋体" w:eastAsia="宋体" w:cs="宋体"/>
          <w:b w:val="0"/>
          <w:bCs w:val="0"/>
          <w:color w:val="auto"/>
          <w:sz w:val="24"/>
          <w:szCs w:val="24"/>
          <w:highlight w:val="none"/>
        </w:rPr>
        <w:t>响应文件进行资格性审查。有一项不符合评审标准的，将被视为未实质性响应</w:t>
      </w:r>
      <w:r>
        <w:rPr>
          <w:rFonts w:hint="eastAsia" w:ascii="宋体" w:hAnsi="宋体" w:eastAsia="宋体" w:cs="宋体"/>
          <w:b w:val="0"/>
          <w:bCs w:val="0"/>
          <w:color w:val="auto"/>
          <w:sz w:val="24"/>
          <w:szCs w:val="24"/>
          <w:highlight w:val="none"/>
          <w:lang w:eastAsia="zh-CN"/>
        </w:rPr>
        <w:t>单一来源文件</w:t>
      </w:r>
      <w:r>
        <w:rPr>
          <w:rFonts w:hint="eastAsia" w:ascii="宋体" w:hAnsi="宋体" w:eastAsia="宋体" w:cs="宋体"/>
          <w:b w:val="0"/>
          <w:bCs w:val="0"/>
          <w:color w:val="auto"/>
          <w:sz w:val="24"/>
          <w:szCs w:val="24"/>
          <w:highlight w:val="none"/>
        </w:rPr>
        <w:t>，其</w:t>
      </w:r>
      <w:r>
        <w:rPr>
          <w:rFonts w:hint="eastAsia" w:ascii="宋体" w:hAnsi="宋体" w:eastAsia="宋体" w:cs="宋体"/>
          <w:b w:val="0"/>
          <w:bCs w:val="0"/>
          <w:color w:val="auto"/>
          <w:sz w:val="24"/>
          <w:szCs w:val="24"/>
          <w:highlight w:val="none"/>
          <w:lang w:eastAsia="zh-CN"/>
        </w:rPr>
        <w:t>单一来源</w:t>
      </w:r>
      <w:r>
        <w:rPr>
          <w:rFonts w:hint="eastAsia" w:ascii="宋体" w:hAnsi="宋体" w:eastAsia="宋体" w:cs="宋体"/>
          <w:b w:val="0"/>
          <w:bCs w:val="0"/>
          <w:color w:val="auto"/>
          <w:sz w:val="24"/>
          <w:szCs w:val="24"/>
          <w:highlight w:val="none"/>
        </w:rPr>
        <w:t>响应文件将按无效文件处理。</w:t>
      </w:r>
    </w:p>
    <w:p>
      <w:pPr>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1.2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符合性审查：</w:t>
      </w:r>
      <w:r>
        <w:rPr>
          <w:rFonts w:hint="eastAsia" w:ascii="宋体" w:hAnsi="宋体" w:eastAsia="宋体" w:cs="宋体"/>
          <w:b w:val="0"/>
          <w:bCs w:val="0"/>
          <w:color w:val="auto"/>
          <w:sz w:val="24"/>
          <w:szCs w:val="24"/>
          <w:highlight w:val="none"/>
          <w:lang w:eastAsia="zh-CN"/>
        </w:rPr>
        <w:t>谈判小组</w:t>
      </w:r>
      <w:r>
        <w:rPr>
          <w:rFonts w:hint="eastAsia" w:ascii="宋体" w:hAnsi="宋体" w:eastAsia="宋体" w:cs="宋体"/>
          <w:b w:val="0"/>
          <w:bCs w:val="0"/>
          <w:color w:val="auto"/>
          <w:sz w:val="24"/>
          <w:szCs w:val="24"/>
          <w:highlight w:val="none"/>
        </w:rPr>
        <w:t>根据本章第 2.1.2 项规定的评审标准对</w:t>
      </w:r>
      <w:r>
        <w:rPr>
          <w:rFonts w:hint="eastAsia" w:ascii="宋体" w:hAnsi="宋体" w:eastAsia="宋体" w:cs="宋体"/>
          <w:b w:val="0"/>
          <w:bCs w:val="0"/>
          <w:color w:val="auto"/>
          <w:sz w:val="24"/>
          <w:szCs w:val="24"/>
          <w:highlight w:val="none"/>
          <w:lang w:eastAsia="zh-CN"/>
        </w:rPr>
        <w:t>单一来源</w:t>
      </w:r>
      <w:r>
        <w:rPr>
          <w:rFonts w:hint="eastAsia" w:ascii="宋体" w:hAnsi="宋体" w:eastAsia="宋体" w:cs="宋体"/>
          <w:b w:val="0"/>
          <w:bCs w:val="0"/>
          <w:color w:val="auto"/>
          <w:sz w:val="24"/>
          <w:szCs w:val="24"/>
          <w:highlight w:val="none"/>
        </w:rPr>
        <w:t>响应文件进行符合性评审。有一项不符合评审标准的，将被视为未实质性响应</w:t>
      </w:r>
      <w:r>
        <w:rPr>
          <w:rFonts w:hint="eastAsia" w:ascii="宋体" w:hAnsi="宋体" w:eastAsia="宋体" w:cs="宋体"/>
          <w:b w:val="0"/>
          <w:bCs w:val="0"/>
          <w:color w:val="auto"/>
          <w:sz w:val="24"/>
          <w:szCs w:val="24"/>
          <w:highlight w:val="none"/>
          <w:lang w:eastAsia="zh-CN"/>
        </w:rPr>
        <w:t>单一来源文件</w:t>
      </w:r>
      <w:r>
        <w:rPr>
          <w:rFonts w:hint="eastAsia" w:ascii="宋体" w:hAnsi="宋体" w:eastAsia="宋体" w:cs="宋体"/>
          <w:b w:val="0"/>
          <w:bCs w:val="0"/>
          <w:color w:val="auto"/>
          <w:sz w:val="24"/>
          <w:szCs w:val="24"/>
          <w:highlight w:val="none"/>
        </w:rPr>
        <w:t>，其</w:t>
      </w:r>
      <w:r>
        <w:rPr>
          <w:rFonts w:hint="eastAsia" w:ascii="宋体" w:hAnsi="宋体" w:eastAsia="宋体" w:cs="宋体"/>
          <w:b w:val="0"/>
          <w:bCs w:val="0"/>
          <w:color w:val="auto"/>
          <w:sz w:val="24"/>
          <w:szCs w:val="24"/>
          <w:highlight w:val="none"/>
          <w:lang w:eastAsia="zh-CN"/>
        </w:rPr>
        <w:t>单一来源</w:t>
      </w:r>
      <w:r>
        <w:rPr>
          <w:rFonts w:hint="eastAsia" w:ascii="宋体" w:hAnsi="宋体" w:eastAsia="宋体" w:cs="宋体"/>
          <w:b w:val="0"/>
          <w:bCs w:val="0"/>
          <w:color w:val="auto"/>
          <w:sz w:val="24"/>
          <w:szCs w:val="24"/>
          <w:highlight w:val="none"/>
        </w:rPr>
        <w:t>响应文件将按无效文件处理。</w:t>
      </w:r>
    </w:p>
    <w:p>
      <w:pPr>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在资格性审查</w:t>
      </w:r>
      <w:r>
        <w:rPr>
          <w:rFonts w:hint="eastAsia" w:ascii="宋体" w:hAnsi="宋体" w:eastAsia="宋体" w:cs="宋体"/>
          <w:b w:val="0"/>
          <w:bCs w:val="0"/>
          <w:color w:val="auto"/>
          <w:sz w:val="24"/>
          <w:szCs w:val="24"/>
          <w:highlight w:val="none"/>
          <w:lang w:eastAsia="zh-CN"/>
        </w:rPr>
        <w:t>阶</w:t>
      </w:r>
      <w:r>
        <w:rPr>
          <w:rFonts w:hint="eastAsia" w:ascii="宋体" w:hAnsi="宋体" w:eastAsia="宋体" w:cs="宋体"/>
          <w:b w:val="0"/>
          <w:bCs w:val="0"/>
          <w:color w:val="auto"/>
          <w:sz w:val="24"/>
          <w:szCs w:val="24"/>
          <w:highlight w:val="none"/>
        </w:rPr>
        <w:t>段，不符合</w:t>
      </w:r>
      <w:r>
        <w:rPr>
          <w:rFonts w:hint="eastAsia" w:ascii="宋体" w:hAnsi="宋体" w:eastAsia="宋体" w:cs="宋体"/>
          <w:b w:val="0"/>
          <w:bCs w:val="0"/>
          <w:color w:val="auto"/>
          <w:sz w:val="24"/>
          <w:szCs w:val="24"/>
          <w:highlight w:val="none"/>
          <w:lang w:eastAsia="zh-CN"/>
        </w:rPr>
        <w:t>单一来源文件</w:t>
      </w:r>
      <w:r>
        <w:rPr>
          <w:rFonts w:hint="eastAsia" w:ascii="宋体" w:hAnsi="宋体" w:eastAsia="宋体" w:cs="宋体"/>
          <w:b w:val="0"/>
          <w:bCs w:val="0"/>
          <w:color w:val="auto"/>
          <w:sz w:val="24"/>
          <w:szCs w:val="24"/>
          <w:highlight w:val="none"/>
        </w:rPr>
        <w:t>要求的，不得进入符合性审查，在符合性审查时未通过的，不得进入后续评审环节。</w:t>
      </w:r>
    </w:p>
    <w:p>
      <w:pPr>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2、</w:t>
      </w:r>
      <w:r>
        <w:rPr>
          <w:rFonts w:hint="eastAsia" w:ascii="宋体" w:hAnsi="宋体" w:eastAsia="宋体" w:cs="宋体"/>
          <w:bCs/>
          <w:color w:val="auto"/>
          <w:sz w:val="24"/>
          <w:szCs w:val="24"/>
          <w:highlight w:val="none"/>
          <w:lang w:eastAsia="zh-CN"/>
        </w:rPr>
        <w:t>单一来源</w:t>
      </w:r>
      <w:r>
        <w:rPr>
          <w:rFonts w:hint="eastAsia" w:ascii="宋体" w:hAnsi="宋体" w:eastAsia="宋体" w:cs="宋体"/>
          <w:b w:val="0"/>
          <w:bCs w:val="0"/>
          <w:color w:val="auto"/>
          <w:sz w:val="24"/>
          <w:szCs w:val="24"/>
          <w:highlight w:val="none"/>
        </w:rPr>
        <w:t>响应文件的澄清</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lang w:val="zh-CN"/>
        </w:rPr>
        <w:t>1、在评审期间,根据谈判小组的需要，要求供应商对其响应文件进行澄清，有关澄清的要求和答复应以书面形式提交，但不得寻求、提供或允许对谈判价格等实质性内容做任何更改。</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lang w:val="zh-CN"/>
        </w:rPr>
        <w:t>2、供应商应采用书面形式进行澄清或说明，但不得超出响应文件的范围或改变响应文件的实质性内容。</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3.2.3、</w:t>
      </w:r>
      <w:r>
        <w:rPr>
          <w:rFonts w:hint="eastAsia" w:ascii="宋体" w:hAnsi="宋体" w:eastAsia="宋体" w:cs="宋体"/>
          <w:color w:val="auto"/>
          <w:sz w:val="24"/>
          <w:szCs w:val="24"/>
          <w:lang w:val="zh-CN"/>
        </w:rPr>
        <w:t xml:space="preserve"> 谈判小组所有成员集中与供应商进行谈判。在谈判过程中，谈判小组可以根据单一来源文件和谈判情况实质性变动采购需求中的技术、服务要求以及合同草案条款，但不得变动单一来源文件中的其他内容。实质性变动的内容，须经采购人代表确认。对单一来源文件作出的实质性变动是单一来源文件的有效组成部分，谈判小组应当及时</w:t>
      </w:r>
      <w:r>
        <w:rPr>
          <w:rFonts w:hint="eastAsia" w:ascii="宋体" w:hAnsi="宋体" w:eastAsia="宋体" w:cs="宋体"/>
          <w:color w:val="auto"/>
          <w:sz w:val="24"/>
          <w:szCs w:val="24"/>
          <w:lang w:val="zh-CN" w:eastAsia="zh-CN"/>
        </w:rPr>
        <w:t>以书面形式同时通知所有参加谈判的供应商。供应商应当按照单一来源文件的变动情况和谈判小组的要求重新提交响应文件，并由其法定代表人或授权代表签字或加盖公章。</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4、二次谈判</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lang w:val="zh-CN"/>
        </w:rPr>
        <w:t>对第一轮谈判结果不满意，谈判小组可以再次要求参谈投标人进行第二轮谈判，谈判内容及要求跟第一轮谈判一样。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lang w:val="zh-CN"/>
        </w:rPr>
        <w:t>谈判轮次最多不得超过二轮。</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val="zh-CN"/>
        </w:rPr>
        <w:t>最终报价：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谈判结束前，谈判小组需对参谈</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要求一次最后的报价。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谈判确定的最终价格及服务等仍不能满足</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lang w:val="zh-CN"/>
        </w:rPr>
        <w:t>的要求，</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lang w:val="zh-CN"/>
        </w:rPr>
        <w:t>及谈判小组将保留最终放弃本次谈判的权利。</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rPr>
        <w:t>确定</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lang w:val="zh-CN"/>
        </w:rPr>
        <w:t>单位</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在单一来源采购文件规定的有效期内，</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lang w:val="zh-CN"/>
        </w:rPr>
        <w:t>根据审查谈判结果报告确定成交单位并签字确认，由</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val="zh-CN"/>
        </w:rPr>
        <w:t>代理机构向确定的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val="zh-CN"/>
        </w:rPr>
        <w:t>发出“</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通知书”。</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7、</w:t>
      </w:r>
      <w:r>
        <w:rPr>
          <w:rFonts w:hint="eastAsia" w:ascii="宋体" w:hAnsi="宋体" w:eastAsia="宋体" w:cs="宋体"/>
          <w:b/>
          <w:bCs/>
          <w:color w:val="auto"/>
          <w:sz w:val="24"/>
          <w:szCs w:val="24"/>
          <w:lang w:val="zh-CN"/>
        </w:rPr>
        <w:t>需要落实的政府采购政策</w:t>
      </w:r>
    </w:p>
    <w:p>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7.1、关于印发《政府采购促进中小企业发展管理办法》的通知--财库〔2020〕46号</w:t>
      </w:r>
    </w:p>
    <w:p>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根据《政府采购促进中小企业发展管理办法》（财库〔2020〕46 号）的有关规定，在货物采购项目中，货物由小微企业制造，即货物由小微企业生产且使用该小微企业商号或者注册商标；在服务采购项目中，服务由小微企业承建，即服务施工单位为小微企业；在服务采购项目中，服务由小微企业承接，即提供服务的人员为小微企业依照《中华人民共和国民法典》订立劳动合同的从业人员，则参与政府采购活动时，享受中小企业扶持政策。</w:t>
      </w:r>
    </w:p>
    <w:p>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在货物采购项目中，供应商提供的货物既有中小企业制造货物，也有大型企业制造货物的，不享受本办法规定的中小企业扶持政策。</w:t>
      </w:r>
    </w:p>
    <w:p>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参加政府采购活动的中小企业应提供《中小企业声明函》原件。否则不得享受相关中小企业扶持政策。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7.2、财政部司法部关于政府采购支持监狱企业发展有关问题的通知--财库〔2014〕68号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7.3、《关于促进残疾人就业政府采购政策的通知》（财库〔2017〕141 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根据财政部、民政部、中国残疾人联合会下发的《关于促进残疾人就业政府采购政策的通知》（财库〔2017〕141 号）的规定，残疾人福利性单位提供本单位制造的货物、承担的服务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参加政府采购活动的残疾人单位应提供《残疾人福利性单位声明函》原件。未提供上述声明函原件，不能享受</w:t>
      </w:r>
      <w:r>
        <w:rPr>
          <w:rFonts w:hint="eastAsia" w:ascii="宋体" w:hAnsi="宋体" w:eastAsia="宋体" w:cs="宋体"/>
          <w:color w:val="auto"/>
          <w:sz w:val="24"/>
          <w:szCs w:val="24"/>
          <w:lang w:val="en-US" w:eastAsia="zh-CN"/>
        </w:rPr>
        <w:t>单一来源</w:t>
      </w:r>
      <w:r>
        <w:rPr>
          <w:rFonts w:hint="eastAsia" w:ascii="宋体" w:hAnsi="宋体" w:eastAsia="宋体" w:cs="宋体"/>
          <w:color w:val="auto"/>
          <w:sz w:val="24"/>
          <w:szCs w:val="24"/>
        </w:rPr>
        <w:t>文件规定的价格扣除，但不影响响应文件的有效性。</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7.4、 《国务院办公厅关于建立政府强制采购节能产品制度的通知》--国办发〔2007〕51号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各级政府机构使用财政性资金进行政府采购活动时，在技术、服务等指标满足采购需求的前提下，要优先采购节能产品，对部分节能效果、性能等达到要求的产品，实行强制采购。</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7.5、《节能产品政府采购实施意见》--（财库[2004]185号）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根据《节能产品政府采购实施意见》--（财库[2004]185号）规定，采购人采购的产品在品目清单中并具有认证证书的，在技术、服务等指标同等条件下，应当优先采购节能清单所列的节能产品。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7.6、《环境标志产品政府采购实施的意见》--财库[2006]90号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根据《环境标志产品政府采购实施的意见》--财库[2006]90号规定，采购人采购的产品在品目清单中并具有认证证书的，在性能、技术、服务等指标同等条件下，应当优先采购清单中的产品。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7.7、《关于调整优化节能产品、环境标志产品政府采购执行机制的通知》（财库〔2019〕9 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7.8、《关于印发环境标志产品政府采购品目清单的通知》（财库〔2019〕18号）</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7.9、《关于印发节能产品政府采购品目清单的通知》（财库〔2019〕19号）</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7.10、《关于运用政府采购政策支持乡村产业振兴的通知》财库〔2021〕19号</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7.11、《陕西省中小企业政府采购信用融资办法》（陕财办采〔2018〕23号）</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7.12、《陕西省财政厅关于加快推进我省中小企业政府采购信用融资工作的通知》（陕财办采〔2020〕15号）</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7.13、《财政部关于在政府采购活动中查询及使用信用记录有关问题的通知》（财库〔2016〕125 号）</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7.14、《财政部关于进一步加大政府采购支持中小企业力度的通知》（财库〔2022〕19号）</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8、政策性扣减</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8.1、小微企业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照&lt;关于印发《政府采购促进中小企业发展管理办法》（财库〔2020〕46号）的规定，中小企业参加政府采购活动，应当出具本办法规定的《中小企业声明函》，否则，按照有关规定予以处理。任何单位和个人不得要求供应商提供《中小企业声明函》之外的中小企业身份证明文件。供应商提供的《中小企业声明函》资料必须真实。</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专门面向中小企业采购项目不享受优惠政策；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非专门面向中小企业采购项目(价格扣除)：对小型和微型企业的价格给予10%</w:t>
      </w:r>
      <w:r>
        <w:rPr>
          <w:rFonts w:hint="eastAsia" w:ascii="宋体" w:hAnsi="宋体" w:eastAsia="宋体" w:cs="宋体"/>
          <w:b w:val="0"/>
          <w:bCs w:val="0"/>
          <w:color w:val="auto"/>
          <w:sz w:val="24"/>
          <w:szCs w:val="24"/>
          <w:lang w:val="en-US" w:eastAsia="zh-CN"/>
        </w:rPr>
        <w:t>-20%</w:t>
      </w:r>
      <w:r>
        <w:rPr>
          <w:rFonts w:hint="eastAsia" w:ascii="宋体" w:hAnsi="宋体" w:eastAsia="宋体" w:cs="宋体"/>
          <w:b w:val="0"/>
          <w:bCs w:val="0"/>
          <w:color w:val="auto"/>
          <w:sz w:val="24"/>
          <w:szCs w:val="24"/>
        </w:rPr>
        <w:t>的扣除，用扣除后的价格参与评审。本项目的扣除比例为：小型企业扣除</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%，微型企业扣除</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%的扣除</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本项目的扣除比例为：扣除</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组成联合体或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8.2、支持监狱企业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非专门面向监狱采购项目(价格扣除)：监狱企业可视同小微企业在价格评审时给予10%</w:t>
      </w:r>
      <w:r>
        <w:rPr>
          <w:rFonts w:hint="eastAsia" w:ascii="宋体" w:hAnsi="宋体" w:eastAsia="宋体" w:cs="宋体"/>
          <w:b w:val="0"/>
          <w:bCs w:val="0"/>
          <w:color w:val="auto"/>
          <w:sz w:val="24"/>
          <w:szCs w:val="24"/>
          <w:lang w:val="en-US" w:eastAsia="zh-CN"/>
        </w:rPr>
        <w:t>-20%</w:t>
      </w:r>
      <w:r>
        <w:rPr>
          <w:rFonts w:hint="eastAsia" w:ascii="宋体" w:hAnsi="宋体" w:eastAsia="宋体" w:cs="宋体"/>
          <w:color w:val="auto"/>
          <w:sz w:val="24"/>
          <w:szCs w:val="24"/>
        </w:rPr>
        <w:t>的扣除，用扣除后的价格参与评审。本项目的扣除比例为：扣除</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8.3、其他法律法规强制性规定或扶持政策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残疾人福利性单位可视同小微企业在价格评审时给予10%</w:t>
      </w:r>
      <w:r>
        <w:rPr>
          <w:rFonts w:hint="eastAsia" w:ascii="宋体" w:hAnsi="宋体" w:eastAsia="宋体" w:cs="宋体"/>
          <w:b w:val="0"/>
          <w:bCs w:val="0"/>
          <w:color w:val="auto"/>
          <w:sz w:val="24"/>
          <w:szCs w:val="24"/>
          <w:lang w:val="en-US" w:eastAsia="zh-CN"/>
        </w:rPr>
        <w:t>-20%</w:t>
      </w:r>
      <w:r>
        <w:rPr>
          <w:rFonts w:hint="eastAsia" w:ascii="宋体" w:hAnsi="宋体" w:eastAsia="宋体" w:cs="宋体"/>
          <w:color w:val="auto"/>
          <w:sz w:val="24"/>
          <w:szCs w:val="24"/>
        </w:rPr>
        <w:t>的扣除，用扣除后的价格参与评审。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本项目的扣除比例为：扣除</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%；但应满足下列条件：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1、残疾人福利性单位应符合《财政部、民政部、中国残疾人联合会关于促进残疾人就业政府采购政策的通知》（财库[2017]141号）文件规定，并提供《残疾人福利性单位声明函》，并对声明的真实性负责。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8.4、采购人拟采购产品属于优先采购节能、环境标志产品范围的，应当优先采购节能、环境标志产品；拟采购产品符合政府采购强制采购政策的，实行强制采购。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（1）采购人依据节能产品、环境标志产品品目清单和节能、环境标志产品认证证书实施政府优先采购和强制采购。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szCs w:val="24"/>
          <w:lang w:val="zh-CN"/>
        </w:rPr>
      </w:pPr>
      <w:r>
        <w:rPr>
          <w:rFonts w:hint="eastAsia" w:ascii="宋体" w:hAnsi="宋体" w:eastAsia="宋体" w:cs="宋体"/>
          <w:b/>
          <w:bCs/>
          <w:color w:val="auto"/>
          <w:sz w:val="24"/>
          <w:szCs w:val="24"/>
        </w:rPr>
        <w:t>8.5、供应商享受支持中小型企业发展政策优惠的，可以同时享受节能、环境标志产品优先采购政策。</w:t>
      </w:r>
    </w:p>
    <w:p>
      <w:pPr>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lang w:val="zh-CN"/>
        </w:rPr>
      </w:pPr>
    </w:p>
    <w:p>
      <w:pPr>
        <w:pStyle w:val="16"/>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lang w:val="zh-CN"/>
        </w:rPr>
      </w:pPr>
    </w:p>
    <w:p>
      <w:pPr>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lang w:val="zh-CN"/>
        </w:rPr>
      </w:pPr>
    </w:p>
    <w:p>
      <w:pPr>
        <w:pStyle w:val="16"/>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lang w:val="zh-CN"/>
        </w:rPr>
      </w:pPr>
    </w:p>
    <w:p>
      <w:pPr>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lang w:val="zh-CN"/>
        </w:rPr>
      </w:pPr>
    </w:p>
    <w:p>
      <w:pPr>
        <w:pStyle w:val="16"/>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lang w:val="zh-CN"/>
        </w:rPr>
      </w:pPr>
    </w:p>
    <w:p>
      <w:pPr>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lang w:val="zh-CN"/>
        </w:rPr>
      </w:pPr>
    </w:p>
    <w:p>
      <w:pPr>
        <w:pStyle w:val="16"/>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lang w:val="zh-CN"/>
        </w:rPr>
      </w:pPr>
    </w:p>
    <w:p>
      <w:pPr>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lang w:val="zh-CN"/>
        </w:rPr>
      </w:pPr>
    </w:p>
    <w:p>
      <w:pPr>
        <w:pStyle w:val="16"/>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附件1：</w:t>
      </w:r>
    </w:p>
    <w:p>
      <w:pPr>
        <w:pStyle w:val="16"/>
        <w:keepLines w:val="0"/>
        <w:pageBreakBefore w:val="0"/>
        <w:kinsoku/>
        <w:wordWrap/>
        <w:overflowPunct/>
        <w:topLinePunct w:val="0"/>
        <w:bidi w:val="0"/>
        <w:spacing w:line="4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初步审查要素表</w:t>
      </w:r>
    </w:p>
    <w:tbl>
      <w:tblPr>
        <w:tblStyle w:val="36"/>
        <w:tblW w:w="9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583"/>
        <w:gridCol w:w="2056"/>
        <w:gridCol w:w="6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025" w:type="dxa"/>
            <w:gridSpan w:val="2"/>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条款号</w:t>
            </w:r>
          </w:p>
        </w:tc>
        <w:tc>
          <w:tcPr>
            <w:tcW w:w="2056"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评审因素</w:t>
            </w:r>
          </w:p>
        </w:tc>
        <w:tc>
          <w:tcPr>
            <w:tcW w:w="6642"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dxa"/>
            <w:vMerge w:val="restart"/>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2.1.1</w:t>
            </w:r>
          </w:p>
        </w:tc>
        <w:tc>
          <w:tcPr>
            <w:tcW w:w="583" w:type="dxa"/>
            <w:vMerge w:val="restart"/>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资格评审</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标准</w:t>
            </w:r>
          </w:p>
        </w:tc>
        <w:tc>
          <w:tcPr>
            <w:tcW w:w="2056" w:type="dxa"/>
            <w:vMerge w:val="restart"/>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基本资格条件</w:t>
            </w:r>
          </w:p>
        </w:tc>
        <w:tc>
          <w:tcPr>
            <w:tcW w:w="6642"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具有独立承担民事责任能力的法人、其他组织或自然人，并出具合法有效的营业执照或事业单位法人证书等国家规定的相关证明，自然人参与的提供其身份证明；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p>
        </w:tc>
        <w:tc>
          <w:tcPr>
            <w:tcW w:w="583"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p>
        </w:tc>
        <w:tc>
          <w:tcPr>
            <w:tcW w:w="2056"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p>
        </w:tc>
        <w:tc>
          <w:tcPr>
            <w:tcW w:w="6642"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lang w:val="zh-CN"/>
              </w:rPr>
              <w:t>财务状况报告：提供具有财务审计资质单位出具的</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zh-CN"/>
              </w:rPr>
              <w:t>年度财务报告（</w:t>
            </w:r>
            <w:r>
              <w:rPr>
                <w:rFonts w:hint="eastAsia" w:ascii="宋体" w:hAnsi="宋体" w:eastAsia="宋体" w:cs="宋体"/>
                <w:color w:val="auto"/>
                <w:sz w:val="24"/>
                <w:szCs w:val="24"/>
                <w:highlight w:val="none"/>
                <w:lang w:val="zh-CN"/>
              </w:rPr>
              <w:t>包括审计报告、资产负债表、利润表、现金流量表</w:t>
            </w:r>
            <w:r>
              <w:rPr>
                <w:rFonts w:hint="eastAsia" w:ascii="宋体" w:hAnsi="宋体" w:eastAsia="宋体" w:cs="宋体"/>
                <w:color w:val="auto"/>
                <w:sz w:val="24"/>
                <w:szCs w:val="24"/>
                <w:highlight w:val="none"/>
                <w:lang w:val="en-US" w:eastAsia="zh-CN"/>
              </w:rPr>
              <w:t>及会计报表</w:t>
            </w:r>
            <w:r>
              <w:rPr>
                <w:rFonts w:hint="eastAsia" w:ascii="宋体" w:hAnsi="宋体" w:eastAsia="宋体" w:cs="宋体"/>
                <w:color w:val="auto"/>
                <w:sz w:val="24"/>
                <w:szCs w:val="24"/>
                <w:highlight w:val="none"/>
                <w:lang w:val="zh-CN"/>
              </w:rPr>
              <w:t>附注，</w:t>
            </w:r>
            <w:r>
              <w:rPr>
                <w:rFonts w:hint="eastAsia" w:ascii="宋体" w:hAnsi="宋体" w:eastAsia="宋体" w:cs="宋体"/>
                <w:color w:val="auto"/>
                <w:sz w:val="24"/>
                <w:szCs w:val="24"/>
                <w:lang w:val="zh-CN"/>
              </w:rPr>
              <w:t>成立时间至开标时间不足一年的可提供成立后任意时段的资产负债表）或开标前六个月内其基本账户银行出具的资信证明（附开户许可证）或政府采购信用担保机构出具的投标担保函；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p>
        </w:tc>
        <w:tc>
          <w:tcPr>
            <w:tcW w:w="583"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p>
        </w:tc>
        <w:tc>
          <w:tcPr>
            <w:tcW w:w="2056"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i w:val="0"/>
                <w:caps w:val="0"/>
                <w:color w:val="auto"/>
                <w:spacing w:val="0"/>
                <w:sz w:val="24"/>
                <w:szCs w:val="24"/>
                <w:highlight w:val="none"/>
                <w:shd w:val="clear" w:color="auto" w:fill="FFFFFF"/>
                <w:lang w:val="en-US" w:eastAsia="zh-CN"/>
              </w:rPr>
            </w:pPr>
          </w:p>
        </w:tc>
        <w:tc>
          <w:tcPr>
            <w:tcW w:w="6642" w:type="dxa"/>
            <w:noWrap w:val="0"/>
            <w:vAlign w:val="center"/>
          </w:tcPr>
          <w:p>
            <w:pPr>
              <w:pStyle w:val="31"/>
              <w:spacing w:before="0" w:beforeAutospacing="0" w:after="0" w:afterAutospacing="0" w:line="360" w:lineRule="auto"/>
              <w:rPr>
                <w:rFonts w:hint="eastAsia" w:ascii="宋体" w:hAnsi="宋体" w:eastAsia="宋体" w:cs="宋体"/>
                <w:color w:val="auto"/>
                <w:sz w:val="24"/>
                <w:szCs w:val="24"/>
              </w:rPr>
            </w:pPr>
            <w:r>
              <w:rPr>
                <w:rFonts w:hint="eastAsia" w:ascii="宋体" w:hAnsi="宋体" w:eastAsia="宋体" w:cs="宋体"/>
                <w:color w:val="auto"/>
                <w:shd w:val="clear" w:color="auto" w:fill="FFFFFF"/>
                <w:lang w:val="zh-CN"/>
              </w:rPr>
              <w:t>税收缴纳证明：提供开标前六个月内</w:t>
            </w:r>
            <w:r>
              <w:rPr>
                <w:rFonts w:hint="eastAsia" w:ascii="宋体" w:hAnsi="宋体" w:eastAsia="宋体" w:cs="宋体"/>
                <w:color w:val="auto"/>
                <w:shd w:val="clear" w:color="auto" w:fill="FFFFFF"/>
              </w:rPr>
              <w:t>任意</w:t>
            </w:r>
            <w:r>
              <w:rPr>
                <w:rFonts w:hint="eastAsia" w:ascii="宋体" w:hAnsi="宋体" w:eastAsia="宋体" w:cs="宋体"/>
                <w:color w:val="auto"/>
                <w:shd w:val="clear" w:color="auto" w:fill="FFFFFF"/>
                <w:lang w:val="zh-CN"/>
              </w:rPr>
              <w:t>一个月已缴纳完税凭证或税务机关开具的完税证明（任意税种）；依法免税的应提供相关文件证明；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p>
        </w:tc>
        <w:tc>
          <w:tcPr>
            <w:tcW w:w="583"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p>
        </w:tc>
        <w:tc>
          <w:tcPr>
            <w:tcW w:w="2056"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p>
        </w:tc>
        <w:tc>
          <w:tcPr>
            <w:tcW w:w="6642" w:type="dxa"/>
            <w:noWrap w:val="0"/>
            <w:vAlign w:val="center"/>
          </w:tcPr>
          <w:p>
            <w:pPr>
              <w:tabs>
                <w:tab w:val="left" w:pos="0"/>
              </w:tabs>
              <w:adjustRightInd w:val="0"/>
              <w:snapToGrid w:val="0"/>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lang w:val="zh-CN"/>
              </w:rPr>
              <w:t>社会保障资金缴纳证明：提供开标前六个月内</w:t>
            </w:r>
            <w:r>
              <w:rPr>
                <w:rFonts w:hint="eastAsia" w:ascii="宋体" w:hAnsi="宋体" w:eastAsia="宋体" w:cs="宋体"/>
                <w:bCs/>
                <w:color w:val="auto"/>
                <w:sz w:val="24"/>
                <w:szCs w:val="24"/>
              </w:rPr>
              <w:t>任意</w:t>
            </w:r>
            <w:r>
              <w:rPr>
                <w:rFonts w:hint="eastAsia" w:ascii="宋体" w:hAnsi="宋体" w:eastAsia="宋体" w:cs="宋体"/>
                <w:bCs/>
                <w:color w:val="auto"/>
                <w:sz w:val="24"/>
                <w:szCs w:val="24"/>
                <w:lang w:val="zh-CN"/>
              </w:rPr>
              <w:t>一个月已缴纳的社会保障资金缴存单据或社保机构开具的社会保险参保缴费情况证明（依法不需要缴纳社会保障资金的投标人应提供相关证明）；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p>
        </w:tc>
        <w:tc>
          <w:tcPr>
            <w:tcW w:w="583"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p>
        </w:tc>
        <w:tc>
          <w:tcPr>
            <w:tcW w:w="2056"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lang w:eastAsia="zh-CN"/>
              </w:rPr>
            </w:pPr>
          </w:p>
        </w:tc>
        <w:tc>
          <w:tcPr>
            <w:tcW w:w="6642" w:type="dxa"/>
            <w:noWrap w:val="0"/>
            <w:vAlign w:val="center"/>
          </w:tcPr>
          <w:p>
            <w:pPr>
              <w:pStyle w:val="31"/>
              <w:spacing w:before="0" w:beforeAutospacing="0" w:after="0" w:afterAutospacing="0"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rPr>
              <w:t>具备履行合同所必需的设备和专业技术能力的证明材料(由供应商根据项目需求提供说明材料或者承诺)；（格式自拟）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p>
        </w:tc>
        <w:tc>
          <w:tcPr>
            <w:tcW w:w="583"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p>
        </w:tc>
        <w:tc>
          <w:tcPr>
            <w:tcW w:w="2056"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lang w:eastAsia="zh-CN"/>
              </w:rPr>
            </w:pPr>
          </w:p>
        </w:tc>
        <w:tc>
          <w:tcPr>
            <w:tcW w:w="6642" w:type="dxa"/>
            <w:noWrap w:val="0"/>
            <w:vAlign w:val="center"/>
          </w:tcPr>
          <w:p>
            <w:pPr>
              <w:tabs>
                <w:tab w:val="left" w:pos="0"/>
              </w:tabs>
              <w:adjustRightInd w:val="0"/>
              <w:snapToGrid w:val="0"/>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rPr>
              <w:t>提供参加政府采购活动前三年内在经营活动中没有重大违法记录的书面声明；（格式自拟）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p>
        </w:tc>
        <w:tc>
          <w:tcPr>
            <w:tcW w:w="583"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p>
        </w:tc>
        <w:tc>
          <w:tcPr>
            <w:tcW w:w="2056" w:type="dxa"/>
            <w:vMerge w:val="restart"/>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特定资格条件</w:t>
            </w:r>
          </w:p>
        </w:tc>
        <w:tc>
          <w:tcPr>
            <w:tcW w:w="6642" w:type="dxa"/>
            <w:noWrap w:val="0"/>
            <w:vAlign w:val="center"/>
          </w:tcPr>
          <w:p>
            <w:pPr>
              <w:spacing w:line="440" w:lineRule="exact"/>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rPr>
              <w:t>供应商应授权合法的人员参加谈判全过程，其中法定代表人直接参加谈判的，须出具法定代表人身份证明及法人身份证原件及复印件，法定代表人授权代表参加谈判的，须出具法定代表人授权书及授权代表身份证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42"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p>
        </w:tc>
        <w:tc>
          <w:tcPr>
            <w:tcW w:w="583"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p>
        </w:tc>
        <w:tc>
          <w:tcPr>
            <w:tcW w:w="2056"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lang w:eastAsia="zh-CN"/>
              </w:rPr>
            </w:pPr>
          </w:p>
        </w:tc>
        <w:tc>
          <w:tcPr>
            <w:tcW w:w="6642" w:type="dxa"/>
            <w:noWrap w:val="0"/>
            <w:vAlign w:val="center"/>
          </w:tcPr>
          <w:p>
            <w:pPr>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rPr>
              <w:t>供应商不得为列入信用中国(www.creditchina.gov.cn)记录失信被执行人或重大税收违法案件当事人名单或中国政府采购网(www.ccgp.gov.cn)的政府采购严重违法失信行为记录名单；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42"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p>
        </w:tc>
        <w:tc>
          <w:tcPr>
            <w:tcW w:w="583"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p>
        </w:tc>
        <w:tc>
          <w:tcPr>
            <w:tcW w:w="2056"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lang w:eastAsia="zh-CN"/>
              </w:rPr>
            </w:pPr>
          </w:p>
        </w:tc>
        <w:tc>
          <w:tcPr>
            <w:tcW w:w="6642"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与招标人存在利害关系可能影响招标公正性的单位，不得参加投标、单位负责人为同一人或存在控股、管理关系的不同单位，不得参加同一标段投标，否则，相关投标均无效；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42"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p>
        </w:tc>
        <w:tc>
          <w:tcPr>
            <w:tcW w:w="583"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rPr>
            </w:pPr>
          </w:p>
        </w:tc>
        <w:tc>
          <w:tcPr>
            <w:tcW w:w="2056"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highlight w:val="none"/>
                <w:lang w:eastAsia="zh-CN"/>
              </w:rPr>
            </w:pPr>
          </w:p>
        </w:tc>
        <w:tc>
          <w:tcPr>
            <w:tcW w:w="6642"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本项目不允许联合体</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23" w:type="dxa"/>
            <w:gridSpan w:val="4"/>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注：以上为必备资质，缺一项或某项达不到要求，按无效文件处理。资格审查时以</w:t>
            </w:r>
            <w:r>
              <w:rPr>
                <w:rFonts w:hint="eastAsia" w:ascii="宋体" w:hAnsi="宋体" w:eastAsia="宋体" w:cs="宋体"/>
                <w:bCs/>
                <w:color w:val="auto"/>
                <w:sz w:val="24"/>
                <w:szCs w:val="24"/>
                <w:highlight w:val="none"/>
                <w:lang w:eastAsia="zh-CN"/>
              </w:rPr>
              <w:t>单一来源</w:t>
            </w:r>
            <w:r>
              <w:rPr>
                <w:rFonts w:hint="eastAsia" w:ascii="宋体" w:hAnsi="宋体" w:eastAsia="宋体" w:cs="宋体"/>
                <w:bCs/>
                <w:color w:val="auto"/>
                <w:sz w:val="24"/>
                <w:szCs w:val="24"/>
                <w:highlight w:val="none"/>
              </w:rPr>
              <w:t>响应文件中所附证明材料为准，原件备查。如</w:t>
            </w:r>
            <w:r>
              <w:rPr>
                <w:rFonts w:hint="eastAsia" w:ascii="宋体" w:hAnsi="宋体" w:eastAsia="宋体" w:cs="宋体"/>
                <w:bCs/>
                <w:color w:val="auto"/>
                <w:sz w:val="24"/>
                <w:szCs w:val="24"/>
                <w:highlight w:val="none"/>
                <w:lang w:eastAsia="zh-CN"/>
              </w:rPr>
              <w:t>单一来源</w:t>
            </w:r>
            <w:r>
              <w:rPr>
                <w:rFonts w:hint="eastAsia" w:ascii="宋体" w:hAnsi="宋体" w:eastAsia="宋体" w:cs="宋体"/>
                <w:bCs/>
                <w:color w:val="auto"/>
                <w:sz w:val="24"/>
                <w:szCs w:val="24"/>
                <w:highlight w:val="none"/>
              </w:rPr>
              <w:t>响应文件中所附证明材料模糊不清，且未在规定时间提供原件，按无效文件处理。</w:t>
            </w:r>
          </w:p>
        </w:tc>
      </w:tr>
    </w:tbl>
    <w:p>
      <w:pPr>
        <w:autoSpaceDE w:val="0"/>
        <w:autoSpaceDN w:val="0"/>
        <w:adjustRightInd w:val="0"/>
        <w:snapToGrid w:val="0"/>
        <w:spacing w:line="520" w:lineRule="exact"/>
        <w:ind w:firstLine="630"/>
        <w:jc w:val="center"/>
        <w:rPr>
          <w:rFonts w:hint="eastAsia" w:ascii="宋体" w:hAnsi="宋体" w:eastAsia="宋体" w:cs="宋体"/>
          <w:color w:val="auto"/>
          <w:sz w:val="24"/>
          <w:szCs w:val="24"/>
          <w:lang w:val="zh-CN"/>
        </w:rPr>
      </w:pPr>
    </w:p>
    <w:p>
      <w:pPr>
        <w:pStyle w:val="2"/>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pStyle w:val="2"/>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pStyle w:val="2"/>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pStyle w:val="2"/>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pStyle w:val="2"/>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pStyle w:val="2"/>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pStyle w:val="2"/>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pStyle w:val="2"/>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pStyle w:val="2"/>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pStyle w:val="16"/>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24"/>
        </w:rPr>
      </w:pPr>
    </w:p>
    <w:p>
      <w:pPr>
        <w:pStyle w:val="16"/>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24"/>
        </w:rPr>
      </w:pPr>
    </w:p>
    <w:p>
      <w:pPr>
        <w:pStyle w:val="16"/>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lang w:val="zh-CN"/>
        </w:rPr>
      </w:pPr>
      <w:r>
        <w:rPr>
          <w:rFonts w:hint="eastAsia" w:ascii="宋体" w:hAnsi="宋体" w:eastAsia="宋体" w:cs="宋体"/>
          <w:b/>
          <w:bCs/>
          <w:color w:val="auto"/>
          <w:sz w:val="24"/>
          <w:szCs w:val="24"/>
        </w:rPr>
        <w:t>附件</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w:t>
      </w:r>
    </w:p>
    <w:p>
      <w:pPr>
        <w:keepNext/>
        <w:keepLines w:val="0"/>
        <w:pageBreakBefore w:val="0"/>
        <w:widowControl w:val="0"/>
        <w:kinsoku/>
        <w:wordWrap/>
        <w:overflowPunct/>
        <w:topLinePunct w:val="0"/>
        <w:autoSpaceDE/>
        <w:autoSpaceDN/>
        <w:bidi w:val="0"/>
        <w:adjustRightInd/>
        <w:snapToGrid/>
        <w:spacing w:line="420" w:lineRule="exact"/>
        <w:jc w:val="center"/>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〖符合性审查表〗</w:t>
      </w:r>
    </w:p>
    <w:tbl>
      <w:tblPr>
        <w:tblStyle w:val="36"/>
        <w:tblW w:w="9359"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4"/>
        <w:gridCol w:w="479"/>
        <w:gridCol w:w="1940"/>
        <w:gridCol w:w="65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903" w:type="dxa"/>
            <w:gridSpan w:val="2"/>
            <w:tcBorders>
              <w:top w:val="single" w:color="auto" w:sz="2" w:space="0"/>
            </w:tcBorders>
            <w:vAlign w:val="center"/>
          </w:tcPr>
          <w:p>
            <w:pPr>
              <w:keepNext/>
              <w:keepLines w:val="0"/>
              <w:pageBreakBefore w:val="0"/>
              <w:widowControl w:val="0"/>
              <w:kinsoku/>
              <w:wordWrap/>
              <w:overflowPunct/>
              <w:topLinePunct w:val="0"/>
              <w:autoSpaceDE/>
              <w:autoSpaceDN/>
              <w:bidi w:val="0"/>
              <w:adjustRightInd/>
              <w:snapToGrid/>
              <w:spacing w:line="420" w:lineRule="exact"/>
              <w:jc w:val="center"/>
              <w:textAlignment w:val="auto"/>
              <w:outlineLvl w:val="3"/>
              <w:rPr>
                <w:rFonts w:hint="eastAsia" w:ascii="宋体" w:hAnsi="宋体" w:eastAsia="宋体" w:cs="宋体"/>
                <w:b w:val="0"/>
                <w:bCs/>
                <w:color w:val="auto"/>
                <w:sz w:val="24"/>
                <w:szCs w:val="24"/>
              </w:rPr>
            </w:pPr>
            <w:r>
              <w:rPr>
                <w:rFonts w:hint="eastAsia" w:ascii="宋体" w:hAnsi="宋体" w:eastAsia="宋体" w:cs="宋体"/>
                <w:bCs/>
                <w:color w:val="auto"/>
                <w:sz w:val="24"/>
                <w:szCs w:val="24"/>
                <w:highlight w:val="none"/>
              </w:rPr>
              <w:t>条款号</w:t>
            </w:r>
          </w:p>
        </w:tc>
        <w:tc>
          <w:tcPr>
            <w:tcW w:w="1940" w:type="dxa"/>
            <w:tcBorders>
              <w:top w:val="single" w:color="auto" w:sz="2" w:space="0"/>
            </w:tcBorders>
            <w:vAlign w:val="center"/>
          </w:tcPr>
          <w:p>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评标</w:t>
            </w:r>
            <w:r>
              <w:rPr>
                <w:rFonts w:hint="eastAsia" w:ascii="宋体" w:hAnsi="宋体" w:eastAsia="宋体" w:cs="宋体"/>
                <w:bCs/>
                <w:color w:val="auto"/>
                <w:sz w:val="24"/>
                <w:szCs w:val="24"/>
              </w:rPr>
              <w:t>因素</w:t>
            </w:r>
          </w:p>
        </w:tc>
        <w:tc>
          <w:tcPr>
            <w:tcW w:w="6516" w:type="dxa"/>
            <w:tcBorders>
              <w:top w:val="single" w:color="auto" w:sz="2" w:space="0"/>
            </w:tcBorders>
            <w:vAlign w:val="center"/>
          </w:tcPr>
          <w:p>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highlight w:val="none"/>
                <w:lang w:eastAsia="zh-CN"/>
              </w:rPr>
              <w:t>评标</w:t>
            </w:r>
            <w:r>
              <w:rPr>
                <w:rFonts w:hint="eastAsia" w:ascii="宋体" w:hAnsi="宋体" w:eastAsia="宋体" w:cs="宋体"/>
                <w:bCs/>
                <w:color w:val="auto"/>
                <w:sz w:val="24"/>
                <w:szCs w:val="24"/>
                <w:highlight w:val="none"/>
              </w:rPr>
              <w:t>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2" w:hRule="atLeast"/>
        </w:trPr>
        <w:tc>
          <w:tcPr>
            <w:tcW w:w="424" w:type="dxa"/>
            <w:vMerge w:val="restart"/>
            <w:tcBorders>
              <w:top w:val="single" w:color="auto" w:sz="2" w:space="0"/>
            </w:tcBorders>
            <w:vAlign w:val="center"/>
          </w:tcPr>
          <w:p>
            <w:pPr>
              <w:pStyle w:val="1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contextualSpacing w:val="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highlight w:val="none"/>
              </w:rPr>
              <w:t>2.1.</w:t>
            </w:r>
            <w:r>
              <w:rPr>
                <w:rFonts w:hint="eastAsia" w:ascii="宋体" w:hAnsi="宋体" w:eastAsia="宋体" w:cs="宋体"/>
                <w:b w:val="0"/>
                <w:bCs/>
                <w:color w:val="auto"/>
                <w:sz w:val="24"/>
                <w:szCs w:val="24"/>
                <w:highlight w:val="none"/>
                <w:lang w:val="en-US" w:eastAsia="zh-CN"/>
              </w:rPr>
              <w:t>2</w:t>
            </w:r>
          </w:p>
        </w:tc>
        <w:tc>
          <w:tcPr>
            <w:tcW w:w="479" w:type="dxa"/>
            <w:vMerge w:val="restart"/>
            <w:tcBorders>
              <w:top w:val="single" w:color="auto" w:sz="2" w:space="0"/>
            </w:tcBorders>
            <w:vAlign w:val="center"/>
          </w:tcPr>
          <w:p>
            <w:pPr>
              <w:keepNext/>
              <w:keepLines w:val="0"/>
              <w:pageBreakBefore w:val="0"/>
              <w:widowControl w:val="0"/>
              <w:kinsoku/>
              <w:wordWrap/>
              <w:overflowPunct/>
              <w:topLinePunct w:val="0"/>
              <w:autoSpaceDE/>
              <w:autoSpaceDN/>
              <w:bidi w:val="0"/>
              <w:adjustRightInd/>
              <w:snapToGrid/>
              <w:spacing w:line="420" w:lineRule="exact"/>
              <w:jc w:val="center"/>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符</w:t>
            </w:r>
          </w:p>
          <w:p>
            <w:pPr>
              <w:keepNext/>
              <w:keepLines w:val="0"/>
              <w:pageBreakBefore w:val="0"/>
              <w:widowControl w:val="0"/>
              <w:kinsoku/>
              <w:wordWrap/>
              <w:overflowPunct/>
              <w:topLinePunct w:val="0"/>
              <w:autoSpaceDE/>
              <w:autoSpaceDN/>
              <w:bidi w:val="0"/>
              <w:adjustRightInd/>
              <w:snapToGrid/>
              <w:spacing w:line="420" w:lineRule="exact"/>
              <w:jc w:val="center"/>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合</w:t>
            </w:r>
          </w:p>
          <w:p>
            <w:pPr>
              <w:keepNext/>
              <w:keepLines w:val="0"/>
              <w:pageBreakBefore w:val="0"/>
              <w:widowControl w:val="0"/>
              <w:kinsoku/>
              <w:wordWrap/>
              <w:overflowPunct/>
              <w:topLinePunct w:val="0"/>
              <w:autoSpaceDE/>
              <w:autoSpaceDN/>
              <w:bidi w:val="0"/>
              <w:adjustRightInd/>
              <w:snapToGrid/>
              <w:spacing w:line="420" w:lineRule="exact"/>
              <w:jc w:val="center"/>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性</w:t>
            </w:r>
          </w:p>
          <w:p>
            <w:pPr>
              <w:keepNext/>
              <w:keepLines w:val="0"/>
              <w:pageBreakBefore w:val="0"/>
              <w:widowControl w:val="0"/>
              <w:kinsoku/>
              <w:wordWrap/>
              <w:overflowPunct/>
              <w:topLinePunct w:val="0"/>
              <w:autoSpaceDE/>
              <w:autoSpaceDN/>
              <w:bidi w:val="0"/>
              <w:adjustRightInd/>
              <w:snapToGrid/>
              <w:spacing w:line="420" w:lineRule="exact"/>
              <w:jc w:val="center"/>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审</w:t>
            </w:r>
          </w:p>
          <w:p>
            <w:pPr>
              <w:keepNext/>
              <w:keepLines w:val="0"/>
              <w:pageBreakBefore w:val="0"/>
              <w:widowControl w:val="0"/>
              <w:kinsoku/>
              <w:wordWrap/>
              <w:overflowPunct/>
              <w:topLinePunct w:val="0"/>
              <w:autoSpaceDE/>
              <w:autoSpaceDN/>
              <w:bidi w:val="0"/>
              <w:adjustRightInd/>
              <w:snapToGrid/>
              <w:spacing w:line="420" w:lineRule="exact"/>
              <w:jc w:val="center"/>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查</w:t>
            </w:r>
          </w:p>
          <w:p>
            <w:pPr>
              <w:keepNext/>
              <w:keepLines w:val="0"/>
              <w:pageBreakBefore w:val="0"/>
              <w:widowControl w:val="0"/>
              <w:kinsoku/>
              <w:wordWrap/>
              <w:overflowPunct/>
              <w:topLinePunct w:val="0"/>
              <w:autoSpaceDE/>
              <w:autoSpaceDN/>
              <w:bidi w:val="0"/>
              <w:adjustRightInd/>
              <w:snapToGrid/>
              <w:spacing w:line="420" w:lineRule="exact"/>
              <w:jc w:val="center"/>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表</w:t>
            </w:r>
          </w:p>
        </w:tc>
        <w:tc>
          <w:tcPr>
            <w:tcW w:w="1940" w:type="dxa"/>
            <w:tcBorders>
              <w:top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与项目的一致性</w:t>
            </w:r>
          </w:p>
        </w:tc>
        <w:tc>
          <w:tcPr>
            <w:tcW w:w="6516" w:type="dxa"/>
            <w:tcBorders>
              <w:top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highlight w:val="none"/>
              </w:rPr>
              <w:t>供应商名称和公章、营业执照</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资质证书</w:t>
            </w:r>
            <w:r>
              <w:rPr>
                <w:rFonts w:hint="eastAsia" w:ascii="宋体" w:hAnsi="宋体" w:eastAsia="宋体" w:cs="宋体"/>
                <w:bCs/>
                <w:color w:val="auto"/>
                <w:sz w:val="24"/>
                <w:szCs w:val="24"/>
                <w:highlight w:val="none"/>
              </w:rPr>
              <w:t>等一致。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46" w:hRule="atLeast"/>
        </w:trPr>
        <w:tc>
          <w:tcPr>
            <w:tcW w:w="424" w:type="dxa"/>
            <w:vMerge w:val="continue"/>
            <w:vAlign w:val="center"/>
          </w:tcPr>
          <w:p>
            <w:pPr>
              <w:pStyle w:val="117"/>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240" w:firstLineChars="100"/>
              <w:contextualSpacing w:val="0"/>
              <w:jc w:val="both"/>
              <w:textAlignment w:val="auto"/>
              <w:rPr>
                <w:rFonts w:hint="eastAsia" w:ascii="宋体" w:hAnsi="宋体" w:eastAsia="宋体" w:cs="宋体"/>
                <w:bCs/>
                <w:color w:val="auto"/>
                <w:sz w:val="24"/>
                <w:szCs w:val="24"/>
              </w:rPr>
            </w:pPr>
          </w:p>
        </w:tc>
        <w:tc>
          <w:tcPr>
            <w:tcW w:w="479" w:type="dxa"/>
            <w:vMerge w:val="continue"/>
            <w:vAlign w:val="center"/>
          </w:tcPr>
          <w:p>
            <w:pPr>
              <w:keepNext/>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outlineLvl w:val="3"/>
              <w:rPr>
                <w:rFonts w:hint="eastAsia" w:ascii="宋体" w:hAnsi="宋体" w:eastAsia="宋体" w:cs="宋体"/>
                <w:bCs/>
                <w:color w:val="auto"/>
                <w:sz w:val="24"/>
                <w:szCs w:val="24"/>
              </w:rPr>
            </w:pPr>
          </w:p>
        </w:tc>
        <w:tc>
          <w:tcPr>
            <w:tcW w:w="19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单一来源响应文件</w:t>
            </w:r>
            <w:r>
              <w:rPr>
                <w:rFonts w:hint="eastAsia" w:ascii="宋体" w:hAnsi="宋体" w:eastAsia="宋体" w:cs="宋体"/>
                <w:bCs/>
                <w:color w:val="auto"/>
                <w:sz w:val="24"/>
                <w:szCs w:val="24"/>
              </w:rPr>
              <w:t>组成</w:t>
            </w:r>
          </w:p>
        </w:tc>
        <w:tc>
          <w:tcPr>
            <w:tcW w:w="65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en-US" w:eastAsia="zh-CN"/>
              </w:rPr>
              <w:t>单一来源响应文件应包含以下部分：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第一部分    </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 xml:space="preserve">响应函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第二部分    第一次</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 xml:space="preserve">报价表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第三部分    分项报价表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第四部分    偏离表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第五部分    </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方案说明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第六部分    供应商承诺书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第七部分    供应商资质证明文件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第八部分    提供政府采购政策证明材料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color w:val="auto"/>
              </w:rPr>
            </w:pPr>
            <w:r>
              <w:rPr>
                <w:rFonts w:hint="eastAsia" w:ascii="宋体" w:hAnsi="宋体" w:eastAsia="宋体" w:cs="宋体"/>
                <w:color w:val="auto"/>
                <w:sz w:val="24"/>
                <w:szCs w:val="24"/>
              </w:rPr>
              <w:t>第九部分    其他资料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424" w:type="dxa"/>
            <w:vMerge w:val="continue"/>
            <w:vAlign w:val="center"/>
          </w:tcPr>
          <w:p>
            <w:pPr>
              <w:pStyle w:val="117"/>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240" w:firstLineChars="100"/>
              <w:contextualSpacing w:val="0"/>
              <w:jc w:val="both"/>
              <w:textAlignment w:val="auto"/>
              <w:rPr>
                <w:rFonts w:hint="eastAsia" w:ascii="宋体" w:hAnsi="宋体" w:eastAsia="宋体" w:cs="宋体"/>
                <w:bCs/>
                <w:color w:val="auto"/>
                <w:sz w:val="24"/>
                <w:szCs w:val="24"/>
              </w:rPr>
            </w:pPr>
          </w:p>
        </w:tc>
        <w:tc>
          <w:tcPr>
            <w:tcW w:w="479" w:type="dxa"/>
            <w:vMerge w:val="continue"/>
            <w:vAlign w:val="center"/>
          </w:tcPr>
          <w:p>
            <w:pPr>
              <w:keepNext/>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outlineLvl w:val="3"/>
              <w:rPr>
                <w:rFonts w:hint="eastAsia" w:ascii="宋体" w:hAnsi="宋体" w:eastAsia="宋体" w:cs="宋体"/>
                <w:bCs/>
                <w:color w:val="auto"/>
                <w:sz w:val="24"/>
                <w:szCs w:val="24"/>
              </w:rPr>
            </w:pPr>
          </w:p>
        </w:tc>
        <w:tc>
          <w:tcPr>
            <w:tcW w:w="19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签章</w:t>
            </w:r>
          </w:p>
        </w:tc>
        <w:tc>
          <w:tcPr>
            <w:tcW w:w="65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签章均符合</w:t>
            </w:r>
            <w:r>
              <w:rPr>
                <w:rFonts w:hint="eastAsia" w:ascii="宋体" w:hAnsi="宋体" w:eastAsia="宋体" w:cs="宋体"/>
                <w:bCs/>
                <w:color w:val="auto"/>
                <w:sz w:val="24"/>
                <w:szCs w:val="24"/>
                <w:lang w:val="en-US" w:eastAsia="zh-CN"/>
              </w:rPr>
              <w:t>单一来源文件</w:t>
            </w:r>
            <w:r>
              <w:rPr>
                <w:rFonts w:hint="eastAsia" w:ascii="宋体" w:hAnsi="宋体" w:eastAsia="宋体" w:cs="宋体"/>
                <w:color w:val="auto"/>
                <w:sz w:val="24"/>
                <w:szCs w:val="24"/>
              </w:rPr>
              <w:t>要求，且无遗漏</w:t>
            </w:r>
            <w:r>
              <w:rPr>
                <w:rFonts w:hint="eastAsia" w:ascii="宋体" w:hAnsi="宋体" w:eastAsia="宋体" w:cs="宋体"/>
                <w:color w:val="auto"/>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6" w:hRule="atLeast"/>
        </w:trPr>
        <w:tc>
          <w:tcPr>
            <w:tcW w:w="424" w:type="dxa"/>
            <w:vMerge w:val="continue"/>
            <w:vAlign w:val="center"/>
          </w:tcPr>
          <w:p>
            <w:pPr>
              <w:pStyle w:val="117"/>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240" w:firstLineChars="100"/>
              <w:contextualSpacing w:val="0"/>
              <w:jc w:val="both"/>
              <w:textAlignment w:val="auto"/>
              <w:rPr>
                <w:rFonts w:hint="eastAsia" w:ascii="宋体" w:hAnsi="宋体" w:eastAsia="宋体" w:cs="宋体"/>
                <w:bCs/>
                <w:color w:val="auto"/>
                <w:sz w:val="24"/>
                <w:szCs w:val="24"/>
              </w:rPr>
            </w:pPr>
          </w:p>
        </w:tc>
        <w:tc>
          <w:tcPr>
            <w:tcW w:w="479" w:type="dxa"/>
            <w:vMerge w:val="continue"/>
            <w:vAlign w:val="center"/>
          </w:tcPr>
          <w:p>
            <w:pPr>
              <w:keepNext/>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outlineLvl w:val="3"/>
              <w:rPr>
                <w:rFonts w:hint="eastAsia" w:ascii="宋体" w:hAnsi="宋体" w:eastAsia="宋体" w:cs="宋体"/>
                <w:bCs/>
                <w:color w:val="auto"/>
                <w:sz w:val="24"/>
                <w:szCs w:val="24"/>
              </w:rPr>
            </w:pPr>
          </w:p>
        </w:tc>
        <w:tc>
          <w:tcPr>
            <w:tcW w:w="19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语言和计量单位</w:t>
            </w:r>
          </w:p>
        </w:tc>
        <w:tc>
          <w:tcPr>
            <w:tcW w:w="65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符合单一来源</w:t>
            </w:r>
            <w:r>
              <w:rPr>
                <w:rFonts w:hint="eastAsia" w:ascii="宋体" w:hAnsi="宋体" w:eastAsia="宋体" w:cs="宋体"/>
                <w:bCs/>
                <w:color w:val="auto"/>
                <w:sz w:val="24"/>
                <w:szCs w:val="24"/>
                <w:lang w:val="en-US" w:eastAsia="zh-CN"/>
              </w:rPr>
              <w:t>文件</w:t>
            </w:r>
            <w:r>
              <w:rPr>
                <w:rFonts w:hint="eastAsia" w:ascii="宋体" w:hAnsi="宋体" w:eastAsia="宋体" w:cs="宋体"/>
                <w:color w:val="auto"/>
                <w:sz w:val="24"/>
                <w:szCs w:val="24"/>
              </w:rPr>
              <w:t>的要求</w:t>
            </w:r>
            <w:r>
              <w:rPr>
                <w:rFonts w:hint="eastAsia" w:ascii="宋体" w:hAnsi="宋体" w:eastAsia="宋体" w:cs="宋体"/>
                <w:color w:val="auto"/>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6" w:hRule="atLeast"/>
        </w:trPr>
        <w:tc>
          <w:tcPr>
            <w:tcW w:w="424" w:type="dxa"/>
            <w:vMerge w:val="continue"/>
            <w:vAlign w:val="center"/>
          </w:tcPr>
          <w:p>
            <w:pPr>
              <w:pStyle w:val="117"/>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240" w:firstLineChars="100"/>
              <w:contextualSpacing w:val="0"/>
              <w:jc w:val="both"/>
              <w:textAlignment w:val="auto"/>
              <w:rPr>
                <w:rFonts w:hint="eastAsia" w:ascii="宋体" w:hAnsi="宋体" w:eastAsia="宋体" w:cs="宋体"/>
                <w:bCs/>
                <w:color w:val="auto"/>
                <w:sz w:val="24"/>
                <w:szCs w:val="24"/>
              </w:rPr>
            </w:pPr>
          </w:p>
        </w:tc>
        <w:tc>
          <w:tcPr>
            <w:tcW w:w="479" w:type="dxa"/>
            <w:vMerge w:val="continue"/>
            <w:vAlign w:val="center"/>
          </w:tcPr>
          <w:p>
            <w:pPr>
              <w:keepNext/>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outlineLvl w:val="3"/>
              <w:rPr>
                <w:rFonts w:hint="eastAsia" w:ascii="宋体" w:hAnsi="宋体" w:eastAsia="宋体" w:cs="宋体"/>
                <w:bCs/>
                <w:color w:val="auto"/>
                <w:sz w:val="24"/>
                <w:szCs w:val="24"/>
              </w:rPr>
            </w:pPr>
          </w:p>
        </w:tc>
        <w:tc>
          <w:tcPr>
            <w:tcW w:w="1940" w:type="dxa"/>
            <w:vAlign w:val="center"/>
          </w:tcPr>
          <w:p>
            <w:pPr>
              <w:keepLines w:val="0"/>
              <w:pageBreakBefore w:val="0"/>
              <w:tabs>
                <w:tab w:val="left" w:pos="0"/>
              </w:tabs>
              <w:kinsoku/>
              <w:wordWrap/>
              <w:overflowPunct/>
              <w:topLinePunct w:val="0"/>
              <w:bidi w:val="0"/>
              <w:adjustRightInd w:val="0"/>
              <w:snapToGrid w:val="0"/>
              <w:spacing w:line="42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服务</w:t>
            </w:r>
            <w:r>
              <w:rPr>
                <w:rFonts w:hint="eastAsia" w:ascii="宋体" w:hAnsi="宋体" w:eastAsia="宋体" w:cs="宋体"/>
                <w:bCs/>
                <w:color w:val="auto"/>
                <w:sz w:val="24"/>
                <w:szCs w:val="24"/>
              </w:rPr>
              <w:t>期</w:t>
            </w:r>
          </w:p>
        </w:tc>
        <w:tc>
          <w:tcPr>
            <w:tcW w:w="6516" w:type="dxa"/>
            <w:vAlign w:val="center"/>
          </w:tcPr>
          <w:p>
            <w:pPr>
              <w:keepLines w:val="0"/>
              <w:pageBreakBefore w:val="0"/>
              <w:tabs>
                <w:tab w:val="left" w:pos="0"/>
              </w:tabs>
              <w:kinsoku/>
              <w:wordWrap/>
              <w:overflowPunct/>
              <w:topLinePunct w:val="0"/>
              <w:bidi w:val="0"/>
              <w:adjustRightInd w:val="0"/>
              <w:snapToGrid w:val="0"/>
              <w:spacing w:line="420" w:lineRule="exact"/>
              <w:rPr>
                <w:rFonts w:hint="eastAsia" w:ascii="宋体" w:hAnsi="宋体" w:eastAsia="宋体" w:cs="宋体"/>
                <w:color w:val="auto"/>
                <w:sz w:val="24"/>
                <w:szCs w:val="24"/>
              </w:rPr>
            </w:pPr>
            <w:r>
              <w:rPr>
                <w:rFonts w:hint="eastAsia" w:ascii="宋体" w:hAnsi="宋体" w:eastAsia="宋体" w:cs="宋体"/>
                <w:bCs/>
                <w:color w:val="auto"/>
                <w:sz w:val="24"/>
                <w:szCs w:val="24"/>
              </w:rPr>
              <w:t>应满足</w:t>
            </w:r>
            <w:r>
              <w:rPr>
                <w:rFonts w:hint="eastAsia" w:ascii="宋体" w:hAnsi="宋体" w:eastAsia="宋体" w:cs="宋体"/>
                <w:bCs/>
                <w:color w:val="auto"/>
                <w:sz w:val="24"/>
                <w:szCs w:val="24"/>
                <w:lang w:val="en-US" w:eastAsia="zh-CN"/>
              </w:rPr>
              <w:t>单一来源</w:t>
            </w:r>
            <w:r>
              <w:rPr>
                <w:rFonts w:hint="eastAsia" w:ascii="宋体" w:hAnsi="宋体" w:eastAsia="宋体" w:cs="宋体"/>
                <w:bCs/>
                <w:color w:val="auto"/>
                <w:sz w:val="24"/>
                <w:szCs w:val="24"/>
                <w:lang w:eastAsia="zh-CN"/>
              </w:rPr>
              <w:t>文件</w:t>
            </w:r>
            <w:r>
              <w:rPr>
                <w:rFonts w:hint="eastAsia" w:ascii="宋体" w:hAnsi="宋体" w:eastAsia="宋体" w:cs="宋体"/>
                <w:bCs/>
                <w:color w:val="auto"/>
                <w:sz w:val="24"/>
                <w:szCs w:val="24"/>
              </w:rPr>
              <w:t>中要求的</w:t>
            </w:r>
            <w:r>
              <w:rPr>
                <w:rFonts w:hint="eastAsia" w:ascii="宋体" w:hAnsi="宋体" w:eastAsia="宋体" w:cs="宋体"/>
                <w:bCs/>
                <w:color w:val="auto"/>
                <w:sz w:val="24"/>
                <w:szCs w:val="24"/>
                <w:lang w:val="en-US" w:eastAsia="zh-CN"/>
              </w:rPr>
              <w:t>服务</w:t>
            </w:r>
            <w:r>
              <w:rPr>
                <w:rFonts w:hint="eastAsia" w:ascii="宋体" w:hAnsi="宋体" w:eastAsia="宋体" w:cs="宋体"/>
                <w:bCs/>
                <w:color w:val="auto"/>
                <w:sz w:val="24"/>
                <w:szCs w:val="24"/>
              </w:rPr>
              <w:t>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3" w:hRule="atLeast"/>
        </w:trPr>
        <w:tc>
          <w:tcPr>
            <w:tcW w:w="424" w:type="dxa"/>
            <w:vMerge w:val="continue"/>
            <w:vAlign w:val="center"/>
          </w:tcPr>
          <w:p>
            <w:pPr>
              <w:pStyle w:val="117"/>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240" w:firstLineChars="100"/>
              <w:contextualSpacing w:val="0"/>
              <w:jc w:val="both"/>
              <w:textAlignment w:val="auto"/>
              <w:rPr>
                <w:rFonts w:hint="eastAsia" w:ascii="宋体" w:hAnsi="宋体" w:eastAsia="宋体" w:cs="宋体"/>
                <w:bCs/>
                <w:color w:val="auto"/>
                <w:sz w:val="24"/>
                <w:szCs w:val="24"/>
              </w:rPr>
            </w:pPr>
          </w:p>
        </w:tc>
        <w:tc>
          <w:tcPr>
            <w:tcW w:w="479" w:type="dxa"/>
            <w:vMerge w:val="continue"/>
            <w:vAlign w:val="center"/>
          </w:tcPr>
          <w:p>
            <w:pPr>
              <w:keepNext/>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outlineLvl w:val="3"/>
              <w:rPr>
                <w:rFonts w:hint="eastAsia" w:ascii="宋体" w:hAnsi="宋体" w:eastAsia="宋体" w:cs="宋体"/>
                <w:bCs/>
                <w:color w:val="auto"/>
                <w:sz w:val="24"/>
                <w:szCs w:val="24"/>
              </w:rPr>
            </w:pPr>
          </w:p>
        </w:tc>
        <w:tc>
          <w:tcPr>
            <w:tcW w:w="19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单一来源响应文件</w:t>
            </w:r>
            <w:r>
              <w:rPr>
                <w:rFonts w:hint="eastAsia" w:ascii="宋体" w:hAnsi="宋体" w:eastAsia="宋体" w:cs="宋体"/>
                <w:bCs/>
                <w:color w:val="auto"/>
                <w:sz w:val="24"/>
                <w:szCs w:val="24"/>
              </w:rPr>
              <w:t>有效期</w:t>
            </w:r>
          </w:p>
        </w:tc>
        <w:tc>
          <w:tcPr>
            <w:tcW w:w="65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符合</w:t>
            </w:r>
            <w:r>
              <w:rPr>
                <w:rFonts w:hint="eastAsia" w:ascii="宋体" w:hAnsi="宋体" w:eastAsia="宋体" w:cs="宋体"/>
                <w:bCs/>
                <w:color w:val="auto"/>
                <w:sz w:val="24"/>
                <w:szCs w:val="24"/>
                <w:lang w:val="en-US" w:eastAsia="zh-CN"/>
              </w:rPr>
              <w:t>单一来源文件</w:t>
            </w:r>
            <w:r>
              <w:rPr>
                <w:rFonts w:hint="eastAsia" w:ascii="宋体" w:hAnsi="宋体" w:eastAsia="宋体" w:cs="宋体"/>
                <w:color w:val="auto"/>
                <w:sz w:val="24"/>
                <w:szCs w:val="24"/>
              </w:rPr>
              <w:t>的要求</w:t>
            </w:r>
            <w:r>
              <w:rPr>
                <w:rFonts w:hint="eastAsia" w:ascii="宋体" w:hAnsi="宋体" w:eastAsia="宋体" w:cs="宋体"/>
                <w:color w:val="auto"/>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75" w:hRule="atLeast"/>
        </w:trPr>
        <w:tc>
          <w:tcPr>
            <w:tcW w:w="424" w:type="dxa"/>
            <w:vMerge w:val="continue"/>
            <w:vAlign w:val="center"/>
          </w:tcPr>
          <w:p>
            <w:pPr>
              <w:pStyle w:val="117"/>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240" w:firstLineChars="100"/>
              <w:contextualSpacing w:val="0"/>
              <w:jc w:val="both"/>
              <w:textAlignment w:val="auto"/>
              <w:rPr>
                <w:rFonts w:hint="eastAsia" w:ascii="宋体" w:hAnsi="宋体" w:eastAsia="宋体" w:cs="宋体"/>
                <w:bCs/>
                <w:color w:val="auto"/>
                <w:sz w:val="24"/>
                <w:szCs w:val="24"/>
              </w:rPr>
            </w:pPr>
          </w:p>
        </w:tc>
        <w:tc>
          <w:tcPr>
            <w:tcW w:w="479" w:type="dxa"/>
            <w:vMerge w:val="continue"/>
            <w:vAlign w:val="center"/>
          </w:tcPr>
          <w:p>
            <w:pPr>
              <w:keepNext/>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outlineLvl w:val="3"/>
              <w:rPr>
                <w:rFonts w:hint="eastAsia" w:ascii="宋体" w:hAnsi="宋体" w:eastAsia="宋体" w:cs="宋体"/>
                <w:bCs/>
                <w:color w:val="auto"/>
                <w:sz w:val="24"/>
                <w:szCs w:val="24"/>
              </w:rPr>
            </w:pPr>
          </w:p>
        </w:tc>
        <w:tc>
          <w:tcPr>
            <w:tcW w:w="19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谈判</w:t>
            </w:r>
            <w:r>
              <w:rPr>
                <w:rFonts w:hint="eastAsia" w:ascii="宋体" w:hAnsi="宋体" w:eastAsia="宋体" w:cs="宋体"/>
                <w:bCs/>
                <w:color w:val="auto"/>
                <w:sz w:val="24"/>
                <w:szCs w:val="24"/>
              </w:rPr>
              <w:t>报价</w:t>
            </w:r>
          </w:p>
        </w:tc>
        <w:tc>
          <w:tcPr>
            <w:tcW w:w="65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同时满足以下条款：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（1）货币单位符合</w:t>
            </w:r>
            <w:r>
              <w:rPr>
                <w:rFonts w:hint="eastAsia" w:ascii="宋体" w:hAnsi="宋体" w:eastAsia="宋体" w:cs="宋体"/>
                <w:bCs/>
                <w:color w:val="auto"/>
                <w:sz w:val="24"/>
                <w:szCs w:val="24"/>
                <w:lang w:val="en-US" w:eastAsia="zh-CN"/>
              </w:rPr>
              <w:t>单一来源文件</w:t>
            </w:r>
            <w:r>
              <w:rPr>
                <w:rFonts w:hint="eastAsia" w:ascii="宋体" w:hAnsi="宋体" w:eastAsia="宋体" w:cs="宋体"/>
                <w:bCs/>
                <w:color w:val="auto"/>
                <w:sz w:val="24"/>
                <w:szCs w:val="24"/>
              </w:rPr>
              <w:t>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（2）报价符合唯一性要求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（3）未超出</w:t>
            </w:r>
            <w:r>
              <w:rPr>
                <w:rFonts w:hint="eastAsia" w:ascii="宋体" w:hAnsi="宋体" w:eastAsia="宋体" w:cs="宋体"/>
                <w:bCs/>
                <w:color w:val="auto"/>
                <w:sz w:val="24"/>
                <w:szCs w:val="24"/>
                <w:lang w:val="en-US" w:eastAsia="zh-CN"/>
              </w:rPr>
              <w:t>采购预算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（4）符合《</w:t>
            </w:r>
            <w:r>
              <w:rPr>
                <w:rFonts w:hint="eastAsia" w:ascii="宋体" w:hAnsi="宋体" w:eastAsia="宋体" w:cs="宋体"/>
                <w:bCs/>
                <w:color w:val="auto"/>
                <w:sz w:val="24"/>
                <w:szCs w:val="24"/>
                <w:lang w:val="zh-CN"/>
              </w:rPr>
              <w:t>第一次</w:t>
            </w:r>
            <w:r>
              <w:rPr>
                <w:rFonts w:hint="eastAsia" w:ascii="宋体" w:hAnsi="宋体" w:eastAsia="宋体" w:cs="宋体"/>
                <w:bCs/>
                <w:color w:val="auto"/>
                <w:sz w:val="24"/>
                <w:szCs w:val="24"/>
                <w:lang w:val="en-US" w:eastAsia="zh-CN"/>
              </w:rPr>
              <w:t>谈判</w:t>
            </w:r>
            <w:r>
              <w:rPr>
                <w:rFonts w:hint="eastAsia" w:ascii="宋体" w:hAnsi="宋体" w:eastAsia="宋体" w:cs="宋体"/>
                <w:bCs/>
                <w:color w:val="auto"/>
                <w:sz w:val="24"/>
                <w:szCs w:val="24"/>
                <w:lang w:val="zh-CN"/>
              </w:rPr>
              <w:t>报价表</w:t>
            </w:r>
            <w:r>
              <w:rPr>
                <w:rFonts w:hint="eastAsia" w:ascii="宋体" w:hAnsi="宋体" w:eastAsia="宋体" w:cs="宋体"/>
                <w:bCs/>
                <w:color w:val="auto"/>
                <w:sz w:val="24"/>
                <w:szCs w:val="24"/>
              </w:rPr>
              <w:t>》的填</w:t>
            </w:r>
            <w:r>
              <w:rPr>
                <w:rFonts w:hint="eastAsia" w:ascii="宋体" w:hAnsi="宋体" w:eastAsia="宋体" w:cs="宋体"/>
                <w:bCs/>
                <w:color w:val="auto"/>
                <w:sz w:val="24"/>
                <w:szCs w:val="24"/>
                <w:lang w:val="en-US" w:eastAsia="zh-CN"/>
              </w:rPr>
              <w:t>表</w:t>
            </w:r>
            <w:r>
              <w:rPr>
                <w:rFonts w:hint="eastAsia" w:ascii="宋体" w:hAnsi="宋体" w:eastAsia="宋体" w:cs="宋体"/>
                <w:bCs/>
                <w:color w:val="auto"/>
                <w:sz w:val="24"/>
                <w:szCs w:val="24"/>
              </w:rPr>
              <w:t>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424" w:type="dxa"/>
            <w:vMerge w:val="continue"/>
            <w:vAlign w:val="center"/>
          </w:tcPr>
          <w:p>
            <w:pPr>
              <w:pStyle w:val="117"/>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240" w:firstLineChars="100"/>
              <w:contextualSpacing w:val="0"/>
              <w:jc w:val="both"/>
              <w:textAlignment w:val="auto"/>
              <w:rPr>
                <w:rFonts w:hint="eastAsia" w:ascii="宋体" w:hAnsi="宋体" w:eastAsia="宋体" w:cs="宋体"/>
                <w:bCs/>
                <w:color w:val="auto"/>
                <w:sz w:val="24"/>
                <w:szCs w:val="24"/>
              </w:rPr>
            </w:pPr>
          </w:p>
        </w:tc>
        <w:tc>
          <w:tcPr>
            <w:tcW w:w="479" w:type="dxa"/>
            <w:vMerge w:val="continue"/>
            <w:vAlign w:val="center"/>
          </w:tcPr>
          <w:p>
            <w:pPr>
              <w:keepNext/>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outlineLvl w:val="3"/>
              <w:rPr>
                <w:rFonts w:hint="eastAsia" w:ascii="宋体" w:hAnsi="宋体" w:eastAsia="宋体" w:cs="宋体"/>
                <w:bCs/>
                <w:color w:val="auto"/>
                <w:sz w:val="24"/>
                <w:szCs w:val="24"/>
              </w:rPr>
            </w:pPr>
          </w:p>
        </w:tc>
        <w:tc>
          <w:tcPr>
            <w:tcW w:w="1940" w:type="dxa"/>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highlight w:val="none"/>
              </w:rPr>
              <w:t>对</w:t>
            </w:r>
            <w:r>
              <w:rPr>
                <w:rFonts w:hint="eastAsia" w:ascii="宋体" w:hAnsi="宋体" w:eastAsia="宋体" w:cs="宋体"/>
                <w:bCs/>
                <w:color w:val="auto"/>
                <w:sz w:val="24"/>
                <w:szCs w:val="24"/>
                <w:highlight w:val="none"/>
                <w:lang w:eastAsia="zh-CN"/>
              </w:rPr>
              <w:t>单一来源文件</w:t>
            </w:r>
            <w:r>
              <w:rPr>
                <w:rFonts w:hint="eastAsia" w:ascii="宋体" w:hAnsi="宋体" w:eastAsia="宋体" w:cs="宋体"/>
                <w:bCs/>
                <w:color w:val="auto"/>
                <w:sz w:val="24"/>
                <w:szCs w:val="24"/>
                <w:highlight w:val="none"/>
              </w:rPr>
              <w:t>响应程度</w:t>
            </w:r>
          </w:p>
        </w:tc>
        <w:tc>
          <w:tcPr>
            <w:tcW w:w="6516" w:type="dxa"/>
            <w:vAlign w:val="center"/>
          </w:tcPr>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highlight w:val="none"/>
              </w:rPr>
              <w:t>要求全面响应，不能有任何采购人不能接受的附加条件</w:t>
            </w:r>
            <w:r>
              <w:rPr>
                <w:rFonts w:hint="eastAsia" w:ascii="宋体" w:hAnsi="宋体" w:eastAsia="宋体" w:cs="宋体"/>
                <w:bCs/>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24" w:type="dxa"/>
            <w:vMerge w:val="continue"/>
            <w:vAlign w:val="center"/>
          </w:tcPr>
          <w:p>
            <w:pPr>
              <w:pStyle w:val="117"/>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240" w:firstLineChars="100"/>
              <w:contextualSpacing w:val="0"/>
              <w:jc w:val="both"/>
              <w:textAlignment w:val="auto"/>
              <w:rPr>
                <w:rFonts w:hint="eastAsia" w:ascii="宋体" w:hAnsi="宋体" w:eastAsia="宋体" w:cs="宋体"/>
                <w:bCs/>
                <w:color w:val="auto"/>
                <w:sz w:val="24"/>
                <w:szCs w:val="24"/>
              </w:rPr>
            </w:pPr>
          </w:p>
        </w:tc>
        <w:tc>
          <w:tcPr>
            <w:tcW w:w="479" w:type="dxa"/>
            <w:vMerge w:val="continue"/>
            <w:vAlign w:val="center"/>
          </w:tcPr>
          <w:p>
            <w:pPr>
              <w:keepNext/>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outlineLvl w:val="3"/>
              <w:rPr>
                <w:rFonts w:hint="eastAsia" w:ascii="宋体" w:hAnsi="宋体" w:eastAsia="宋体" w:cs="宋体"/>
                <w:bCs/>
                <w:color w:val="auto"/>
                <w:sz w:val="24"/>
                <w:szCs w:val="24"/>
              </w:rPr>
            </w:pPr>
          </w:p>
        </w:tc>
        <w:tc>
          <w:tcPr>
            <w:tcW w:w="19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实质性条款响 应</w:t>
            </w:r>
          </w:p>
        </w:tc>
        <w:tc>
          <w:tcPr>
            <w:tcW w:w="65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文件要求的各项技术、商务实质性条款。（实质性条款以★标识，未设置时请忽略此项）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38" w:hRule="atLeast"/>
        </w:trPr>
        <w:tc>
          <w:tcPr>
            <w:tcW w:w="424" w:type="dxa"/>
            <w:vMerge w:val="continue"/>
            <w:vAlign w:val="center"/>
          </w:tcPr>
          <w:p>
            <w:pPr>
              <w:pStyle w:val="1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20" w:lineRule="exact"/>
              <w:ind w:leftChars="100" w:right="0" w:rightChars="0"/>
              <w:contextualSpacing w:val="0"/>
              <w:jc w:val="both"/>
              <w:textAlignment w:val="auto"/>
              <w:rPr>
                <w:rFonts w:hint="eastAsia" w:ascii="宋体" w:hAnsi="宋体" w:eastAsia="宋体" w:cs="宋体"/>
                <w:color w:val="auto"/>
                <w:sz w:val="24"/>
                <w:szCs w:val="24"/>
                <w:lang w:val="en-US" w:eastAsia="zh-CN"/>
              </w:rPr>
            </w:pPr>
          </w:p>
        </w:tc>
        <w:tc>
          <w:tcPr>
            <w:tcW w:w="479" w:type="dxa"/>
            <w:vMerge w:val="continue"/>
            <w:vAlign w:val="center"/>
          </w:tcPr>
          <w:p>
            <w:pPr>
              <w:keepNext/>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outlineLvl w:val="3"/>
              <w:rPr>
                <w:rFonts w:hint="eastAsia" w:ascii="宋体" w:hAnsi="宋体" w:eastAsia="宋体" w:cs="宋体"/>
                <w:bCs/>
                <w:color w:val="auto"/>
                <w:sz w:val="24"/>
                <w:szCs w:val="24"/>
              </w:rPr>
            </w:pPr>
          </w:p>
        </w:tc>
        <w:tc>
          <w:tcPr>
            <w:tcW w:w="19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其他</w:t>
            </w:r>
          </w:p>
        </w:tc>
        <w:tc>
          <w:tcPr>
            <w:tcW w:w="65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完全理解并接受法律法规和单一来源</w:t>
            </w:r>
            <w:r>
              <w:rPr>
                <w:rFonts w:hint="eastAsia" w:ascii="宋体" w:hAnsi="宋体" w:eastAsia="宋体" w:cs="宋体"/>
                <w:bCs/>
                <w:color w:val="auto"/>
                <w:sz w:val="24"/>
                <w:szCs w:val="24"/>
                <w:lang w:val="en-US" w:eastAsia="zh-CN"/>
              </w:rPr>
              <w:t>文件</w:t>
            </w:r>
            <w:r>
              <w:rPr>
                <w:rFonts w:hint="eastAsia" w:ascii="宋体" w:hAnsi="宋体" w:eastAsia="宋体" w:cs="宋体"/>
                <w:color w:val="auto"/>
                <w:sz w:val="24"/>
                <w:szCs w:val="24"/>
              </w:rPr>
              <w:t>对供应商合法经营的各类规约和责任义务要求，没有出现法律法规或</w:t>
            </w:r>
            <w:r>
              <w:rPr>
                <w:rFonts w:hint="eastAsia" w:ascii="宋体" w:hAnsi="宋体" w:eastAsia="宋体" w:cs="宋体"/>
                <w:bCs/>
                <w:color w:val="auto"/>
                <w:sz w:val="24"/>
                <w:szCs w:val="24"/>
                <w:lang w:val="en-US" w:eastAsia="zh-CN"/>
              </w:rPr>
              <w:t>单一来源文件</w:t>
            </w:r>
            <w:r>
              <w:rPr>
                <w:rFonts w:hint="eastAsia" w:ascii="宋体" w:hAnsi="宋体" w:eastAsia="宋体" w:cs="宋体"/>
                <w:color w:val="auto"/>
                <w:sz w:val="24"/>
                <w:szCs w:val="24"/>
              </w:rPr>
              <w:t>规定的其他无效情形。</w:t>
            </w:r>
          </w:p>
        </w:tc>
      </w:tr>
    </w:tbl>
    <w:p>
      <w:pPr>
        <w:pStyle w:val="2"/>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pStyle w:val="2"/>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pStyle w:val="2"/>
        <w:rPr>
          <w:rFonts w:hint="eastAsia" w:ascii="宋体" w:hAnsi="宋体" w:eastAsia="宋体" w:cs="宋体"/>
          <w:lang w:val="zh-CN"/>
        </w:rPr>
      </w:pPr>
    </w:p>
    <w:p>
      <w:pPr>
        <w:autoSpaceDE w:val="0"/>
        <w:autoSpaceDN w:val="0"/>
        <w:adjustRightInd w:val="0"/>
        <w:snapToGrid w:val="0"/>
        <w:spacing w:line="520" w:lineRule="exact"/>
        <w:ind w:firstLine="630"/>
        <w:jc w:val="center"/>
        <w:rPr>
          <w:rFonts w:hint="eastAsia" w:ascii="宋体" w:hAnsi="宋体" w:eastAsia="宋体" w:cs="宋体"/>
          <w:color w:val="auto"/>
          <w:sz w:val="24"/>
          <w:szCs w:val="24"/>
          <w:lang w:val="zh-CN"/>
        </w:rPr>
      </w:pPr>
    </w:p>
    <w:p>
      <w:pPr>
        <w:pStyle w:val="13"/>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pStyle w:val="2"/>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pStyle w:val="2"/>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pStyle w:val="2"/>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pStyle w:val="2"/>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pStyle w:val="2"/>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pStyle w:val="2"/>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pStyle w:val="2"/>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pStyle w:val="2"/>
        <w:rPr>
          <w:rFonts w:hint="eastAsia" w:ascii="宋体" w:hAnsi="宋体" w:eastAsia="宋体" w:cs="宋体"/>
          <w:lang w:val="zh-CN"/>
        </w:rPr>
      </w:pPr>
    </w:p>
    <w:p>
      <w:pPr>
        <w:pStyle w:val="16"/>
        <w:rPr>
          <w:rFonts w:hint="eastAsia" w:ascii="宋体" w:hAnsi="宋体" w:eastAsia="宋体" w:cs="宋体"/>
          <w:color w:val="auto"/>
          <w:sz w:val="24"/>
          <w:szCs w:val="24"/>
          <w:lang w:val="zh-CN"/>
        </w:rPr>
      </w:pPr>
    </w:p>
    <w:p>
      <w:pPr>
        <w:rPr>
          <w:rFonts w:hint="eastAsia" w:ascii="宋体" w:hAnsi="宋体" w:eastAsia="宋体" w:cs="宋体"/>
          <w:lang w:val="zh-CN"/>
        </w:rPr>
      </w:pPr>
    </w:p>
    <w:p>
      <w:pPr>
        <w:rPr>
          <w:rFonts w:hint="eastAsia" w:ascii="宋体" w:hAnsi="宋体" w:eastAsia="宋体" w:cs="宋体"/>
          <w:color w:val="auto"/>
          <w:sz w:val="24"/>
          <w:szCs w:val="24"/>
          <w:lang w:val="zh-CN"/>
        </w:rPr>
      </w:pPr>
    </w:p>
    <w:p>
      <w:pPr>
        <w:pStyle w:val="13"/>
        <w:rPr>
          <w:rFonts w:hint="eastAsia" w:ascii="宋体" w:hAnsi="宋体" w:eastAsia="宋体" w:cs="宋体"/>
          <w:color w:val="auto"/>
          <w:lang w:val="zh-CN"/>
        </w:rPr>
      </w:pPr>
    </w:p>
    <w:p>
      <w:pPr>
        <w:rPr>
          <w:rFonts w:hint="eastAsia" w:ascii="宋体" w:hAnsi="宋体" w:eastAsia="宋体" w:cs="宋体"/>
          <w:b/>
          <w:color w:val="auto"/>
          <w:szCs w:val="28"/>
          <w:lang w:val="zh-CN"/>
        </w:rPr>
      </w:pPr>
      <w:bookmarkStart w:id="27" w:name="_Toc9383"/>
      <w:bookmarkStart w:id="28" w:name="_Toc492476967"/>
    </w:p>
    <w:p>
      <w:pPr>
        <w:pStyle w:val="3"/>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32"/>
          <w:szCs w:val="32"/>
          <w:highlight w:val="yellow"/>
          <w:lang w:val="zh-CN" w:eastAsia="zh-CN"/>
        </w:rPr>
      </w:pPr>
      <w:r>
        <w:rPr>
          <w:rFonts w:hint="eastAsia" w:ascii="宋体" w:hAnsi="宋体" w:eastAsia="宋体" w:cs="宋体"/>
          <w:b/>
          <w:bCs/>
          <w:color w:val="auto"/>
          <w:sz w:val="32"/>
          <w:szCs w:val="32"/>
          <w:highlight w:val="yellow"/>
          <w:lang w:val="zh-CN" w:eastAsia="zh-CN"/>
        </w:rPr>
        <w:t>第</w:t>
      </w:r>
      <w:r>
        <w:rPr>
          <w:rFonts w:hint="eastAsia" w:ascii="宋体" w:hAnsi="宋体" w:eastAsia="宋体" w:cs="宋体"/>
          <w:b/>
          <w:bCs/>
          <w:color w:val="auto"/>
          <w:sz w:val="32"/>
          <w:szCs w:val="32"/>
          <w:highlight w:val="yellow"/>
          <w:lang w:val="en-US" w:eastAsia="zh-CN"/>
        </w:rPr>
        <w:t>五</w:t>
      </w:r>
      <w:r>
        <w:rPr>
          <w:rFonts w:hint="eastAsia" w:ascii="宋体" w:hAnsi="宋体" w:eastAsia="宋体" w:cs="宋体"/>
          <w:b/>
          <w:bCs/>
          <w:color w:val="auto"/>
          <w:sz w:val="32"/>
          <w:szCs w:val="32"/>
          <w:highlight w:val="yellow"/>
          <w:lang w:val="zh-CN" w:eastAsia="zh-CN"/>
        </w:rPr>
        <w:t>章</w:t>
      </w:r>
      <w:r>
        <w:rPr>
          <w:rFonts w:hint="eastAsia" w:ascii="宋体" w:hAnsi="宋体" w:eastAsia="宋体" w:cs="宋体"/>
          <w:b/>
          <w:bCs/>
          <w:color w:val="auto"/>
          <w:sz w:val="32"/>
          <w:szCs w:val="32"/>
          <w:highlight w:val="yellow"/>
          <w:lang w:val="en-US" w:eastAsia="zh-CN"/>
        </w:rPr>
        <w:t xml:space="preserve"> 采购</w:t>
      </w:r>
      <w:r>
        <w:rPr>
          <w:rFonts w:hint="eastAsia" w:ascii="宋体" w:hAnsi="宋体" w:eastAsia="宋体" w:cs="宋体"/>
          <w:b/>
          <w:bCs/>
          <w:color w:val="auto"/>
          <w:sz w:val="32"/>
          <w:szCs w:val="32"/>
          <w:highlight w:val="yellow"/>
          <w:lang w:val="zh-CN" w:eastAsia="zh-CN"/>
        </w:rPr>
        <w:t>内容及要求</w:t>
      </w:r>
      <w:bookmarkEnd w:id="27"/>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一、项目概况</w:t>
      </w:r>
    </w:p>
    <w:p>
      <w:pPr>
        <w:pStyle w:val="117"/>
        <w:keepNext w:val="0"/>
        <w:keepLines w:val="0"/>
        <w:pageBreakBefore w:val="0"/>
        <w:widowControl/>
        <w:numPr>
          <w:ilvl w:val="0"/>
          <w:numId w:val="0"/>
        </w:numPr>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bCs/>
          <w:sz w:val="24"/>
        </w:rPr>
      </w:pPr>
      <w:r>
        <w:rPr>
          <w:rFonts w:hint="eastAsia" w:ascii="宋体" w:hAnsi="宋体" w:eastAsia="宋体" w:cs="宋体"/>
          <w:bCs/>
          <w:sz w:val="24"/>
          <w:lang w:val="en-US" w:eastAsia="zh-CN"/>
        </w:rPr>
        <w:t>1、</w:t>
      </w:r>
      <w:r>
        <w:rPr>
          <w:rFonts w:hint="eastAsia" w:ascii="宋体" w:hAnsi="宋体" w:eastAsia="宋体" w:cs="宋体"/>
          <w:bCs/>
          <w:sz w:val="24"/>
        </w:rPr>
        <w:t>采购内容：县委、政府两院光纤；</w:t>
      </w:r>
    </w:p>
    <w:p>
      <w:pPr>
        <w:pStyle w:val="117"/>
        <w:keepNext w:val="0"/>
        <w:keepLines w:val="0"/>
        <w:pageBreakBefore w:val="0"/>
        <w:widowControl/>
        <w:numPr>
          <w:ilvl w:val="0"/>
          <w:numId w:val="0"/>
        </w:numPr>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2、总体要求：</w:t>
      </w:r>
    </w:p>
    <w:p>
      <w:pPr>
        <w:pStyle w:val="117"/>
        <w:keepNext w:val="0"/>
        <w:keepLines w:val="0"/>
        <w:pageBreakBefore w:val="0"/>
        <w:widowControl/>
        <w:numPr>
          <w:ilvl w:val="0"/>
          <w:numId w:val="0"/>
        </w:numPr>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为提供的电子政务出口带宽完成线路的开通工作；</w:t>
      </w:r>
    </w:p>
    <w:p>
      <w:pPr>
        <w:pStyle w:val="117"/>
        <w:keepNext w:val="0"/>
        <w:keepLines w:val="0"/>
        <w:pageBreakBefore w:val="0"/>
        <w:widowControl/>
        <w:numPr>
          <w:ilvl w:val="0"/>
          <w:numId w:val="0"/>
        </w:numPr>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负责线路的日常维护和故障处理，确保线路全年 24 小时持续运行。</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二、采购内容及要求</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lang w:eastAsia="zh-CN"/>
        </w:rPr>
      </w:pPr>
      <w:r>
        <w:rPr>
          <w:rFonts w:hint="eastAsia" w:ascii="宋体" w:hAnsi="宋体" w:eastAsia="宋体" w:cs="宋体"/>
          <w:b/>
          <w:bCs/>
          <w:sz w:val="24"/>
          <w:lang w:val="en-US" w:eastAsia="zh-CN"/>
        </w:rPr>
        <w:t>1、</w:t>
      </w:r>
      <w:r>
        <w:rPr>
          <w:rFonts w:hint="eastAsia" w:ascii="宋体" w:hAnsi="宋体" w:eastAsia="宋体" w:cs="宋体"/>
          <w:b/>
          <w:bCs/>
          <w:sz w:val="24"/>
        </w:rPr>
        <w:t>技术指标</w:t>
      </w:r>
      <w:r>
        <w:rPr>
          <w:rFonts w:hint="eastAsia" w:ascii="宋体" w:hAnsi="宋体" w:eastAsia="宋体" w:cs="宋体"/>
          <w:b/>
          <w:bCs/>
          <w:sz w:val="24"/>
          <w:lang w:eastAsia="zh-CN"/>
        </w:rPr>
        <w:t>参数</w:t>
      </w:r>
    </w:p>
    <w:tbl>
      <w:tblPr>
        <w:tblStyle w:val="36"/>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728"/>
        <w:gridCol w:w="4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80" w:type="dxa"/>
            <w:vMerge w:val="restart"/>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线路</w:t>
            </w:r>
          </w:p>
        </w:tc>
        <w:tc>
          <w:tcPr>
            <w:tcW w:w="2728" w:type="dxa"/>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接入</w:t>
            </w:r>
          </w:p>
        </w:tc>
        <w:tc>
          <w:tcPr>
            <w:tcW w:w="4391" w:type="dxa"/>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光纤专线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80" w:type="dxa"/>
            <w:vMerge w:val="continue"/>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rPr>
            </w:pPr>
          </w:p>
        </w:tc>
        <w:tc>
          <w:tcPr>
            <w:tcW w:w="2728" w:type="dxa"/>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带宽</w:t>
            </w:r>
          </w:p>
        </w:tc>
        <w:tc>
          <w:tcPr>
            <w:tcW w:w="4391" w:type="dxa"/>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不低于</w:t>
            </w:r>
            <w:r>
              <w:rPr>
                <w:rFonts w:hint="eastAsia" w:ascii="宋体" w:hAnsi="宋体" w:eastAsia="宋体" w:cs="宋体"/>
                <w:sz w:val="24"/>
                <w:szCs w:val="24"/>
                <w:lang w:val="en-US" w:eastAsia="zh-CN"/>
              </w:rPr>
              <w:t>5</w:t>
            </w:r>
            <w:r>
              <w:rPr>
                <w:rFonts w:hint="eastAsia" w:ascii="宋体" w:hAnsi="宋体" w:eastAsia="宋体" w:cs="宋体"/>
                <w:sz w:val="24"/>
                <w:szCs w:val="24"/>
              </w:rPr>
              <w:t>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80" w:type="dxa"/>
            <w:vMerge w:val="continue"/>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rPr>
            </w:pPr>
          </w:p>
        </w:tc>
        <w:tc>
          <w:tcPr>
            <w:tcW w:w="2728" w:type="dxa"/>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IP</w:t>
            </w:r>
            <w:r>
              <w:rPr>
                <w:rFonts w:hint="eastAsia" w:ascii="宋体" w:hAnsi="宋体" w:eastAsia="宋体" w:cs="宋体"/>
                <w:sz w:val="24"/>
                <w:szCs w:val="24"/>
                <w:lang w:val="en-US" w:eastAsia="zh-CN"/>
              </w:rPr>
              <w:t>地址</w:t>
            </w:r>
          </w:p>
        </w:tc>
        <w:tc>
          <w:tcPr>
            <w:tcW w:w="4391" w:type="dxa"/>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80" w:type="dxa"/>
            <w:vMerge w:val="continue"/>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rPr>
            </w:pPr>
          </w:p>
        </w:tc>
        <w:tc>
          <w:tcPr>
            <w:tcW w:w="2728" w:type="dxa"/>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接口实测速率</w:t>
            </w:r>
          </w:p>
        </w:tc>
        <w:tc>
          <w:tcPr>
            <w:tcW w:w="4391" w:type="dxa"/>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≥接口理论速率×90%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80" w:type="dxa"/>
            <w:vMerge w:val="continue"/>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rPr>
            </w:pPr>
          </w:p>
        </w:tc>
        <w:tc>
          <w:tcPr>
            <w:tcW w:w="2728" w:type="dxa"/>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上下行速率差</w:t>
            </w:r>
          </w:p>
        </w:tc>
        <w:tc>
          <w:tcPr>
            <w:tcW w:w="4391" w:type="dxa"/>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上行速率≥下行速率×99%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80" w:type="dxa"/>
            <w:vMerge w:val="continue"/>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rPr>
            </w:pPr>
          </w:p>
        </w:tc>
        <w:tc>
          <w:tcPr>
            <w:tcW w:w="2728" w:type="dxa"/>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年中断次数</w:t>
            </w:r>
          </w:p>
        </w:tc>
        <w:tc>
          <w:tcPr>
            <w:tcW w:w="4391" w:type="dxa"/>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80" w:type="dxa"/>
            <w:vMerge w:val="continue"/>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rPr>
            </w:pPr>
          </w:p>
        </w:tc>
        <w:tc>
          <w:tcPr>
            <w:tcW w:w="2728" w:type="dxa"/>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每次中断时间</w:t>
            </w:r>
          </w:p>
        </w:tc>
        <w:tc>
          <w:tcPr>
            <w:tcW w:w="4391" w:type="dxa"/>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80" w:type="dxa"/>
            <w:vMerge w:val="restart"/>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服务</w:t>
            </w:r>
          </w:p>
        </w:tc>
        <w:tc>
          <w:tcPr>
            <w:tcW w:w="2728" w:type="dxa"/>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故障处理时间</w:t>
            </w:r>
          </w:p>
        </w:tc>
        <w:tc>
          <w:tcPr>
            <w:tcW w:w="4391" w:type="dxa"/>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响应时间≤2h</w:t>
            </w:r>
          </w:p>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排除时间≤4h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rPr>
            </w:pPr>
          </w:p>
        </w:tc>
        <w:tc>
          <w:tcPr>
            <w:tcW w:w="2728" w:type="dxa"/>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线路开通时间</w:t>
            </w:r>
          </w:p>
        </w:tc>
        <w:tc>
          <w:tcPr>
            <w:tcW w:w="4391" w:type="dxa"/>
            <w:noWrap w:val="0"/>
            <w:vAlign w:val="center"/>
          </w:tcPr>
          <w:p>
            <w:pPr>
              <w:pStyle w:val="151"/>
              <w:keepNext w:val="0"/>
              <w:keepLines w:val="0"/>
              <w:pageBreakBefore w:val="0"/>
              <w:widowControl w:val="0"/>
              <w:kinsoku/>
              <w:wordWrap/>
              <w:overflowPunct/>
              <w:topLinePunct/>
              <w:autoSpaceDE/>
              <w:autoSpaceDN/>
              <w:bidi w:val="0"/>
              <w:adjustRightInd w:val="0"/>
              <w:snapToGrid w:val="0"/>
              <w:spacing w:before="0" w:after="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24小时</w:t>
            </w:r>
          </w:p>
        </w:tc>
      </w:tr>
    </w:tbl>
    <w:p>
      <w:pPr>
        <w:keepNext w:val="0"/>
        <w:keepLines w:val="0"/>
        <w:pageBreakBefore w:val="0"/>
        <w:widowControl/>
        <w:numPr>
          <w:ilvl w:val="0"/>
          <w:numId w:val="1"/>
        </w:numPr>
        <w:kinsoku/>
        <w:wordWrap/>
        <w:overflowPunct/>
        <w:topLinePunct w:val="0"/>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光端机支持 RJ45 接入方式，根据采购人要求完成RJ45 的线路连接在电路使用过程中需要更换接口类型时，必须以最短的时间完成电路接口的更换，不影响采购人业务连续性。</w:t>
      </w:r>
    </w:p>
    <w:p>
      <w:pPr>
        <w:keepNext w:val="0"/>
        <w:keepLines w:val="0"/>
        <w:pageBreakBefore w:val="0"/>
        <w:widowControl/>
        <w:numPr>
          <w:ilvl w:val="0"/>
          <w:numId w:val="1"/>
        </w:numPr>
        <w:kinsoku/>
        <w:wordWrap/>
        <w:overflowPunct/>
        <w:topLinePunct w:val="0"/>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电路传输质量及维护指标要求如下:</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leftChars="0"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故障申告响应:不超过 30分钟；</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leftChars="0"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电路故障修复时限:不超过 6小时；</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leftChars="0"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故障处理过程反馈:每1小时一次；</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leftChars="0" w:firstLine="480" w:firstLineChars="200"/>
        <w:textAlignment w:val="auto"/>
        <w:rPr>
          <w:rFonts w:hint="eastAsia" w:ascii="宋体" w:hAnsi="宋体" w:eastAsia="宋体" w:cs="宋体"/>
          <w:b/>
          <w:bCs/>
          <w:sz w:val="24"/>
          <w:lang w:val="en-US" w:eastAsia="zh-CN"/>
        </w:rPr>
      </w:pPr>
      <w:r>
        <w:rPr>
          <w:rFonts w:hint="eastAsia" w:ascii="宋体" w:hAnsi="宋体" w:eastAsia="宋体" w:cs="宋体"/>
          <w:b w:val="0"/>
          <w:bCs w:val="0"/>
          <w:sz w:val="24"/>
          <w:lang w:val="en-US" w:eastAsia="zh-CN"/>
        </w:rPr>
        <w:t>故障排除反馈:不超过 30 分钟。</w:t>
      </w:r>
    </w:p>
    <w:p>
      <w:pPr>
        <w:keepNext w:val="0"/>
        <w:keepLines w:val="0"/>
        <w:pageBreakBefore w:val="0"/>
        <w:widowControl/>
        <w:numPr>
          <w:ilvl w:val="0"/>
          <w:numId w:val="1"/>
        </w:numPr>
        <w:kinsoku/>
        <w:wordWrap/>
        <w:overflowPunct/>
        <w:topLinePunct w:val="0"/>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数据安全需求</w:t>
      </w:r>
    </w:p>
    <w:p>
      <w:pPr>
        <w:pStyle w:val="117"/>
        <w:keepNext w:val="0"/>
        <w:keepLines w:val="0"/>
        <w:pageBreakBefore w:val="0"/>
        <w:widowControl/>
        <w:numPr>
          <w:ilvl w:val="0"/>
          <w:numId w:val="0"/>
        </w:numPr>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专网光纤线路应单独组网，与互联网等其他网络物理隔离。专网光纤线路内部应合理划分区域以便于管理和限制网络病毒、木马、网络风暴的传播。</w:t>
      </w:r>
    </w:p>
    <w:p>
      <w:pPr>
        <w:keepNext w:val="0"/>
        <w:keepLines w:val="0"/>
        <w:pageBreakBefore w:val="0"/>
        <w:widowControl/>
        <w:numPr>
          <w:ilvl w:val="0"/>
          <w:numId w:val="3"/>
        </w:numPr>
        <w:kinsoku/>
        <w:wordWrap/>
        <w:overflowPunct/>
        <w:topLinePunct w:val="0"/>
        <w:bidi w:val="0"/>
        <w:adjustRightInd w:val="0"/>
        <w:snapToGrid w:val="0"/>
        <w:spacing w:line="440" w:lineRule="exact"/>
        <w:ind w:left="0"/>
        <w:textAlignment w:val="auto"/>
        <w:rPr>
          <w:rFonts w:hint="eastAsia" w:ascii="宋体" w:hAnsi="宋体" w:eastAsia="宋体" w:cs="宋体"/>
          <w:b/>
          <w:bCs/>
          <w:sz w:val="24"/>
        </w:rPr>
      </w:pPr>
      <w:r>
        <w:rPr>
          <w:rFonts w:hint="eastAsia" w:ascii="宋体" w:hAnsi="宋体" w:eastAsia="宋体" w:cs="宋体"/>
          <w:b/>
          <w:bCs/>
          <w:sz w:val="24"/>
        </w:rPr>
        <w:t>维保服务</w:t>
      </w:r>
    </w:p>
    <w:p>
      <w:pPr>
        <w:keepNext w:val="0"/>
        <w:keepLines w:val="0"/>
        <w:pageBreakBefore w:val="0"/>
        <w:widowControl/>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1、提供7*24小时的故障报修体系，承诺在报障后4小时内排除网络故障；半年提供一次网络运行报告，对网络运行情况做全方位的分析，具体售后服务指标如下：应对障碍服务。</w:t>
      </w:r>
    </w:p>
    <w:p>
      <w:pPr>
        <w:keepNext w:val="0"/>
        <w:keepLines w:val="0"/>
        <w:pageBreakBefore w:val="0"/>
        <w:widowControl/>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1.1、为客户提供所在地维护工程师专项服务。</w:t>
      </w:r>
    </w:p>
    <w:p>
      <w:pPr>
        <w:keepNext w:val="0"/>
        <w:keepLines w:val="0"/>
        <w:pageBreakBefore w:val="0"/>
        <w:widowControl/>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1.2、7：00至24：00件发生的障碍，进行故障处理的恢复时间为240分钟。</w:t>
      </w:r>
    </w:p>
    <w:p>
      <w:pPr>
        <w:keepNext w:val="0"/>
        <w:keepLines w:val="0"/>
        <w:pageBreakBefore w:val="0"/>
        <w:widowControl/>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1.3、在业务开通、障碍处理过程中及时做好与客户的沟通和反馈。</w:t>
      </w:r>
    </w:p>
    <w:p>
      <w:pPr>
        <w:keepNext w:val="0"/>
        <w:keepLines w:val="0"/>
        <w:pageBreakBefore w:val="0"/>
        <w:widowControl/>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1.4、提供7×24 的热线服务，提供故障一点受理与升级处理机制。</w:t>
      </w:r>
    </w:p>
    <w:p>
      <w:pPr>
        <w:keepNext w:val="0"/>
        <w:keepLines w:val="0"/>
        <w:pageBreakBefore w:val="0"/>
        <w:widowControl/>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1.5、对中断超过1小时的服务方原因故障，提供故障处理报告。</w:t>
      </w:r>
    </w:p>
    <w:p>
      <w:pPr>
        <w:keepNext w:val="0"/>
        <w:keepLines w:val="0"/>
        <w:pageBreakBefore w:val="0"/>
        <w:widowControl/>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1.6、提供网络运行分析报告，分析网络运行情况，1次/半年。</w:t>
      </w:r>
    </w:p>
    <w:p>
      <w:pPr>
        <w:keepNext w:val="0"/>
        <w:keepLines w:val="0"/>
        <w:pageBreakBefore w:val="0"/>
        <w:widowControl/>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2、其他要求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服务期限内，成交供应商应严格遵守采购人各项规章制度；若成交供应商违反采购人规章制度和内部管理规定给采购人造成损失的，采购人有权要求成交供应商另行提供服务人员，如若无法按要求提供服务人员，采购人有权终止合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2.2、成交供应商在服务期限内违反国家相关法律法规，均由成交供应商负责处理，采购人不予承担任何责任。</w:t>
      </w:r>
    </w:p>
    <w:p>
      <w:pPr>
        <w:pStyle w:val="13"/>
        <w:keepLines w:val="0"/>
        <w:pageBreakBefore w:val="0"/>
        <w:kinsoku/>
        <w:wordWrap/>
        <w:overflowPunct/>
        <w:topLinePunct w:val="0"/>
        <w:bidi w:val="0"/>
        <w:snapToGrid/>
        <w:spacing w:before="0" w:line="440" w:lineRule="exact"/>
        <w:rPr>
          <w:rFonts w:hint="eastAsia" w:ascii="宋体" w:hAnsi="宋体" w:eastAsia="宋体" w:cs="宋体"/>
          <w:color w:val="auto"/>
          <w:lang w:val="en-US" w:eastAsia="zh-CN"/>
        </w:rPr>
      </w:pPr>
    </w:p>
    <w:p>
      <w:pPr>
        <w:keepLines w:val="0"/>
        <w:pageBreakBefore w:val="0"/>
        <w:kinsoku/>
        <w:wordWrap/>
        <w:overflowPunct/>
        <w:topLinePunct w:val="0"/>
        <w:bidi w:val="0"/>
        <w:snapToGrid/>
        <w:spacing w:line="440" w:lineRule="exact"/>
        <w:rPr>
          <w:rFonts w:hint="eastAsia" w:ascii="宋体" w:hAnsi="宋体" w:eastAsia="宋体" w:cs="宋体"/>
          <w:color w:val="auto"/>
          <w:lang w:val="en-US" w:eastAsia="zh-CN"/>
        </w:rPr>
      </w:pPr>
    </w:p>
    <w:p>
      <w:pPr>
        <w:pStyle w:val="13"/>
        <w:keepLines w:val="0"/>
        <w:pageBreakBefore w:val="0"/>
        <w:kinsoku/>
        <w:wordWrap/>
        <w:overflowPunct/>
        <w:topLinePunct w:val="0"/>
        <w:bidi w:val="0"/>
        <w:snapToGrid/>
        <w:spacing w:before="0" w:line="440" w:lineRule="exact"/>
        <w:rPr>
          <w:rFonts w:hint="eastAsia" w:ascii="宋体" w:hAnsi="宋体" w:eastAsia="宋体" w:cs="宋体"/>
          <w:color w:val="auto"/>
          <w:lang w:val="en-US" w:eastAsia="zh-CN"/>
        </w:rPr>
      </w:pPr>
    </w:p>
    <w:p>
      <w:pPr>
        <w:keepLines w:val="0"/>
        <w:pageBreakBefore w:val="0"/>
        <w:kinsoku/>
        <w:wordWrap/>
        <w:overflowPunct/>
        <w:topLinePunct w:val="0"/>
        <w:bidi w:val="0"/>
        <w:snapToGrid/>
        <w:spacing w:line="440" w:lineRule="exact"/>
        <w:rPr>
          <w:rFonts w:hint="eastAsia" w:ascii="宋体" w:hAnsi="宋体" w:eastAsia="宋体" w:cs="宋体"/>
          <w:color w:val="auto"/>
          <w:lang w:val="en-US" w:eastAsia="zh-CN"/>
        </w:rPr>
      </w:pPr>
    </w:p>
    <w:p>
      <w:pPr>
        <w:keepLines w:val="0"/>
        <w:pageBreakBefore w:val="0"/>
        <w:kinsoku/>
        <w:wordWrap/>
        <w:overflowPunct/>
        <w:topLinePunct w:val="0"/>
        <w:bidi w:val="0"/>
        <w:snapToGrid/>
        <w:spacing w:line="440" w:lineRule="exact"/>
        <w:rPr>
          <w:rFonts w:hint="eastAsia" w:ascii="宋体" w:hAnsi="宋体" w:eastAsia="宋体" w:cs="宋体"/>
          <w:color w:val="auto"/>
          <w:lang w:val="en-US" w:eastAsia="zh-CN"/>
        </w:rPr>
      </w:pPr>
    </w:p>
    <w:p>
      <w:pPr>
        <w:pStyle w:val="22"/>
        <w:rPr>
          <w:rFonts w:hint="eastAsia" w:ascii="宋体" w:hAnsi="宋体" w:eastAsia="宋体" w:cs="宋体"/>
          <w:color w:val="auto"/>
          <w:lang w:val="en-US" w:eastAsia="zh-CN"/>
        </w:rPr>
      </w:pPr>
    </w:p>
    <w:p>
      <w:pPr>
        <w:pStyle w:val="22"/>
        <w:rPr>
          <w:rFonts w:hint="eastAsia" w:ascii="宋体" w:hAnsi="宋体" w:eastAsia="宋体" w:cs="宋体"/>
          <w:color w:val="auto"/>
          <w:lang w:val="en-US" w:eastAsia="zh-CN"/>
        </w:rPr>
      </w:pPr>
    </w:p>
    <w:p>
      <w:pPr>
        <w:pStyle w:val="22"/>
        <w:rPr>
          <w:rFonts w:hint="eastAsia" w:ascii="宋体" w:hAnsi="宋体" w:eastAsia="宋体" w:cs="宋体"/>
          <w:color w:val="auto"/>
          <w:lang w:val="en-US" w:eastAsia="zh-CN"/>
        </w:rPr>
      </w:pPr>
    </w:p>
    <w:p>
      <w:pPr>
        <w:pStyle w:val="22"/>
        <w:rPr>
          <w:rFonts w:hint="eastAsia" w:ascii="宋体" w:hAnsi="宋体" w:eastAsia="宋体" w:cs="宋体"/>
          <w:color w:val="auto"/>
          <w:lang w:val="en-US" w:eastAsia="zh-CN"/>
        </w:rPr>
      </w:pPr>
    </w:p>
    <w:p>
      <w:pPr>
        <w:pStyle w:val="22"/>
        <w:rPr>
          <w:rFonts w:hint="eastAsia" w:ascii="宋体" w:hAnsi="宋体" w:eastAsia="宋体" w:cs="宋体"/>
          <w:color w:val="auto"/>
          <w:lang w:val="en-US" w:eastAsia="zh-CN"/>
        </w:rPr>
      </w:pPr>
    </w:p>
    <w:p>
      <w:pPr>
        <w:pStyle w:val="22"/>
        <w:rPr>
          <w:rFonts w:hint="eastAsia" w:ascii="宋体" w:hAnsi="宋体" w:eastAsia="宋体" w:cs="宋体"/>
          <w:color w:val="auto"/>
          <w:lang w:val="en-US" w:eastAsia="zh-CN"/>
        </w:rPr>
      </w:pPr>
    </w:p>
    <w:p>
      <w:pPr>
        <w:pStyle w:val="22"/>
        <w:rPr>
          <w:rFonts w:hint="eastAsia" w:ascii="宋体" w:hAnsi="宋体" w:eastAsia="宋体" w:cs="宋体"/>
          <w:color w:val="auto"/>
          <w:lang w:val="en-US" w:eastAsia="zh-CN"/>
        </w:rPr>
      </w:pPr>
    </w:p>
    <w:p>
      <w:pPr>
        <w:pStyle w:val="22"/>
        <w:rPr>
          <w:rFonts w:hint="eastAsia" w:ascii="宋体" w:hAnsi="宋体" w:eastAsia="宋体" w:cs="宋体"/>
          <w:color w:val="auto"/>
          <w:lang w:val="en-US" w:eastAsia="zh-CN"/>
        </w:rPr>
      </w:pPr>
    </w:p>
    <w:p>
      <w:pPr>
        <w:pStyle w:val="3"/>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32"/>
          <w:szCs w:val="32"/>
          <w:lang w:val="zh-CN" w:eastAsia="zh-CN"/>
        </w:rPr>
      </w:pPr>
      <w:bookmarkStart w:id="29" w:name="_Toc13080"/>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六</w:t>
      </w:r>
      <w:r>
        <w:rPr>
          <w:rFonts w:hint="eastAsia" w:ascii="宋体" w:hAnsi="宋体" w:eastAsia="宋体" w:cs="宋体"/>
          <w:b/>
          <w:bCs/>
          <w:color w:val="auto"/>
          <w:sz w:val="32"/>
          <w:szCs w:val="32"/>
          <w:lang w:val="zh-CN" w:eastAsia="zh-CN"/>
        </w:rPr>
        <w:t>章  商务要求</w:t>
      </w:r>
      <w:bookmarkEnd w:id="28"/>
      <w:bookmarkEnd w:id="29"/>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1、质量要求：</w:t>
      </w:r>
      <w:r>
        <w:rPr>
          <w:rFonts w:hint="eastAsia" w:ascii="宋体" w:hAnsi="宋体" w:eastAsia="宋体" w:cs="宋体"/>
          <w:color w:val="auto"/>
          <w:sz w:val="24"/>
          <w:szCs w:val="24"/>
        </w:rPr>
        <w:t>符合国家现行技术规范和标准合格。</w:t>
      </w:r>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lang w:val="en-US" w:eastAsia="zh-CN"/>
        </w:rPr>
        <w:t>服务</w:t>
      </w:r>
      <w:r>
        <w:rPr>
          <w:rFonts w:hint="eastAsia" w:ascii="宋体" w:hAnsi="宋体" w:eastAsia="宋体" w:cs="宋体"/>
          <w:b/>
          <w:color w:val="auto"/>
          <w:sz w:val="24"/>
          <w:szCs w:val="24"/>
        </w:rPr>
        <w:t>期：</w:t>
      </w:r>
      <w:r>
        <w:rPr>
          <w:rFonts w:hint="eastAsia" w:ascii="宋体" w:hAnsi="宋体" w:eastAsia="宋体" w:cs="宋体"/>
          <w:b/>
          <w:color w:val="auto"/>
          <w:sz w:val="24"/>
          <w:szCs w:val="24"/>
          <w:highlight w:val="none"/>
          <w:lang w:val="en-US" w:eastAsia="zh-CN"/>
        </w:rPr>
        <w:t>一年</w:t>
      </w:r>
      <w:r>
        <w:rPr>
          <w:rFonts w:hint="eastAsia" w:ascii="宋体" w:hAnsi="宋体" w:eastAsia="宋体" w:cs="宋体"/>
          <w:b/>
          <w:color w:val="auto"/>
          <w:sz w:val="24"/>
          <w:szCs w:val="24"/>
          <w:lang w:val="en-US" w:eastAsia="zh-CN"/>
        </w:rPr>
        <w:t>。</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.1、成交供应商未征得采购人同意和谅解而单方面延迟服务期限，将按违约终止合同。</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成交供应商遇到可能妨碍按时提供服务的情况，应当及时以书面形式通知采购人，说明原由、拖延的期限等；采购人、采购代理机构在收到通知后，尽快进行情况评估并确定是否通过修改合同，酌情延长服务时间或者通过协商加收误期赔偿金。</w:t>
      </w:r>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、合同价款：</w:t>
      </w:r>
    </w:p>
    <w:p>
      <w:pPr>
        <w:keepNext w:val="0"/>
        <w:keepLines w:val="0"/>
        <w:pageBreakBefore w:val="0"/>
        <w:widowControl w:val="0"/>
        <w:kinsoku/>
        <w:wordWrap/>
        <w:overflowPunct/>
        <w:topLinePunct w:val="0"/>
        <w:autoSpaceDE/>
        <w:autoSpaceDN/>
        <w:bidi w:val="0"/>
        <w:spacing w:line="440" w:lineRule="exact"/>
        <w:ind w:firstLine="470" w:firstLineChars="196"/>
        <w:textAlignment w:val="auto"/>
        <w:rPr>
          <w:rFonts w:hint="eastAsia" w:ascii="宋体" w:hAnsi="宋体" w:eastAsia="宋体" w:cs="宋体"/>
          <w:b w:val="0"/>
          <w:bCs/>
          <w:color w:val="auto"/>
          <w:sz w:val="24"/>
          <w:szCs w:val="24"/>
          <w:highlight w:val="none"/>
          <w:lang w:val="en-US" w:eastAsia="zh-CN"/>
        </w:rPr>
      </w:pPr>
      <w:bookmarkStart w:id="30" w:name="_Toc12362"/>
      <w:bookmarkStart w:id="31" w:name="_Toc23351"/>
      <w:r>
        <w:rPr>
          <w:rFonts w:hint="eastAsia" w:ascii="宋体" w:hAnsi="宋体" w:eastAsia="宋体" w:cs="宋体"/>
          <w:b w:val="0"/>
          <w:bCs/>
          <w:color w:val="auto"/>
          <w:sz w:val="24"/>
          <w:szCs w:val="24"/>
          <w:highlight w:val="none"/>
          <w:lang w:val="en-US" w:eastAsia="zh-CN"/>
        </w:rPr>
        <w:t>3.1、合同价格形式：总价合同。</w:t>
      </w:r>
    </w:p>
    <w:p>
      <w:pPr>
        <w:keepNext w:val="0"/>
        <w:keepLines w:val="0"/>
        <w:pageBreakBefore w:val="0"/>
        <w:widowControl w:val="0"/>
        <w:kinsoku/>
        <w:wordWrap/>
        <w:overflowPunct/>
        <w:topLinePunct w:val="0"/>
        <w:autoSpaceDE/>
        <w:autoSpaceDN/>
        <w:bidi w:val="0"/>
        <w:spacing w:line="440" w:lineRule="exact"/>
        <w:ind w:firstLine="470" w:firstLineChars="196"/>
        <w:textAlignment w:val="auto"/>
        <w:rPr>
          <w:rFonts w:hint="eastAsia" w:ascii="宋体" w:hAnsi="宋体" w:eastAsia="宋体" w:cs="宋体"/>
          <w:b w:val="0"/>
          <w:bCs/>
          <w:color w:val="auto"/>
          <w:sz w:val="24"/>
          <w:szCs w:val="24"/>
          <w:highlight w:val="none"/>
          <w:lang w:val="en-US" w:eastAsia="zh-CN"/>
        </w:rPr>
      </w:pPr>
      <w:bookmarkStart w:id="32" w:name="_Toc32453"/>
      <w:r>
        <w:rPr>
          <w:rFonts w:hint="eastAsia" w:ascii="宋体" w:hAnsi="宋体" w:eastAsia="宋体" w:cs="宋体"/>
          <w:b w:val="0"/>
          <w:bCs/>
          <w:color w:val="auto"/>
          <w:sz w:val="24"/>
          <w:szCs w:val="24"/>
          <w:highlight w:val="none"/>
          <w:lang w:val="en-US" w:eastAsia="zh-CN"/>
        </w:rPr>
        <w:t>3.2、合同总价包括</w:t>
      </w:r>
      <w:r>
        <w:rPr>
          <w:rFonts w:hint="eastAsia" w:ascii="宋体" w:hAnsi="宋体" w:eastAsia="宋体" w:cs="宋体"/>
          <w:color w:val="auto"/>
          <w:sz w:val="24"/>
          <w:szCs w:val="24"/>
          <w:lang w:val="en-US" w:eastAsia="zh-CN"/>
        </w:rPr>
        <w:t>：</w:t>
      </w:r>
      <w:bookmarkEnd w:id="30"/>
      <w:bookmarkEnd w:id="31"/>
      <w:bookmarkEnd w:id="32"/>
      <w:r>
        <w:rPr>
          <w:rFonts w:hint="eastAsia" w:ascii="宋体" w:hAnsi="宋体" w:eastAsia="宋体" w:cs="宋体"/>
          <w:color w:val="auto"/>
          <w:sz w:val="24"/>
          <w:szCs w:val="24"/>
          <w:lang w:val="en-US" w:eastAsia="zh-CN"/>
        </w:rPr>
        <w:t>供应商应在谈判报价表中标明完成本次单一来源所要求的服务且验收合格的所有费用，包括但不限于安装调试费、调试检测费、技术培训费、验收费等其他一切相关费用。</w:t>
      </w:r>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bCs/>
          <w:color w:val="auto"/>
          <w:sz w:val="24"/>
          <w:szCs w:val="24"/>
          <w:lang w:val="en-US" w:eastAsia="zh-CN"/>
        </w:rPr>
        <w:t>款项结算方式</w:t>
      </w:r>
    </w:p>
    <w:p>
      <w:pPr>
        <w:keepNext w:val="0"/>
        <w:keepLines w:val="0"/>
        <w:pageBreakBefore w:val="0"/>
        <w:widowControl w:val="0"/>
        <w:kinsoku/>
        <w:wordWrap/>
        <w:overflowPunct/>
        <w:topLinePunct w:val="0"/>
        <w:autoSpaceDE/>
        <w:autoSpaceDN/>
        <w:bidi w:val="0"/>
        <w:spacing w:line="440" w:lineRule="exact"/>
        <w:ind w:firstLine="470" w:firstLineChars="196"/>
        <w:textAlignment w:val="auto"/>
        <w:rPr>
          <w:rFonts w:hint="eastAsia" w:ascii="宋体" w:hAnsi="宋体" w:eastAsia="宋体" w:cs="宋体"/>
          <w:b w:val="0"/>
          <w:bCs w:val="0"/>
          <w:snapToGrid w:val="0"/>
          <w:color w:val="auto"/>
          <w:spacing w:val="12"/>
          <w:kern w:val="0"/>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付款方式：服务完成并验收合格后无任何质量问题无争议索赔的情况下不计息一次付清。</w:t>
      </w:r>
    </w:p>
    <w:p>
      <w:pPr>
        <w:keepNext w:val="0"/>
        <w:keepLines w:val="0"/>
        <w:pageBreakBefore w:val="0"/>
        <w:widowControl w:val="0"/>
        <w:kinsoku/>
        <w:wordWrap/>
        <w:overflowPunct/>
        <w:topLinePunct w:val="0"/>
        <w:autoSpaceDE/>
        <w:autoSpaceDN/>
        <w:bidi w:val="0"/>
        <w:spacing w:line="440" w:lineRule="exact"/>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4.2、结算方式：采购人与成交供应商直接结算，发票直开采购人。</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4.3、支付形式：银行转账。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szCs w:val="24"/>
        </w:rPr>
      </w:pPr>
      <w:r>
        <w:rPr>
          <w:rFonts w:hint="eastAsia" w:ascii="宋体" w:hAnsi="宋体" w:eastAsia="宋体" w:cs="宋体"/>
          <w:b/>
          <w:bCs w:val="0"/>
          <w:color w:val="auto"/>
          <w:sz w:val="24"/>
          <w:szCs w:val="24"/>
          <w:lang w:val="en-US" w:eastAsia="zh-CN"/>
        </w:rPr>
        <w:t>5、</w:t>
      </w:r>
      <w:r>
        <w:rPr>
          <w:rFonts w:hint="eastAsia" w:ascii="宋体" w:hAnsi="宋体" w:eastAsia="宋体" w:cs="宋体"/>
          <w:b/>
          <w:color w:val="auto"/>
          <w:sz w:val="24"/>
          <w:szCs w:val="24"/>
        </w:rPr>
        <w:t>验收</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由采购人和供应商共同对项目整体进行验收。其内容包括对其服务指标、性能参数是否达到现行国家有关验收规范“合格”标准进行逐项检查。</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5.1、</w:t>
      </w:r>
      <w:r>
        <w:rPr>
          <w:rFonts w:hint="eastAsia" w:ascii="宋体" w:hAnsi="宋体" w:eastAsia="宋体" w:cs="宋体"/>
          <w:color w:val="auto"/>
          <w:sz w:val="24"/>
          <w:szCs w:val="24"/>
        </w:rPr>
        <w:t>所验服务指标、性能参数通过验收达不到</w:t>
      </w:r>
      <w:r>
        <w:rPr>
          <w:rFonts w:hint="eastAsia" w:ascii="宋体" w:hAnsi="宋体" w:eastAsia="宋体" w:cs="宋体"/>
          <w:color w:val="auto"/>
          <w:sz w:val="24"/>
          <w:szCs w:val="24"/>
          <w:lang w:val="en-US" w:eastAsia="zh-CN"/>
        </w:rPr>
        <w:t>单一来源</w:t>
      </w:r>
      <w:r>
        <w:rPr>
          <w:rFonts w:hint="eastAsia" w:ascii="宋体" w:hAnsi="宋体" w:eastAsia="宋体" w:cs="宋体"/>
          <w:color w:val="auto"/>
          <w:sz w:val="24"/>
          <w:szCs w:val="24"/>
        </w:rPr>
        <w:t>文件要求和</w:t>
      </w:r>
      <w:r>
        <w:rPr>
          <w:rFonts w:hint="eastAsia" w:ascii="宋体" w:hAnsi="宋体" w:eastAsia="宋体" w:cs="宋体"/>
          <w:color w:val="auto"/>
          <w:sz w:val="24"/>
          <w:szCs w:val="24"/>
          <w:lang w:val="en-US" w:eastAsia="zh-CN"/>
        </w:rPr>
        <w:t>单一来源</w:t>
      </w:r>
      <w:r>
        <w:rPr>
          <w:rFonts w:hint="eastAsia" w:ascii="宋体" w:hAnsi="宋体" w:eastAsia="宋体" w:cs="宋体"/>
          <w:color w:val="auto"/>
          <w:sz w:val="24"/>
          <w:szCs w:val="24"/>
        </w:rPr>
        <w:t>响应文件承诺的，或在服务期中发现采购人不能容忍的缺陷等，将视为验收不合格，供应商应无条件免费更换或退货。</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5.2、</w:t>
      </w:r>
      <w:r>
        <w:rPr>
          <w:rFonts w:hint="eastAsia" w:ascii="宋体" w:hAnsi="宋体" w:eastAsia="宋体" w:cs="宋体"/>
          <w:color w:val="auto"/>
          <w:sz w:val="24"/>
          <w:szCs w:val="24"/>
        </w:rPr>
        <w:t>若发现供应商有弄虚作假的，在</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阶段故意或随意夸大服务性能，供应商应无条件退货，并赔偿采购人相应的损失。</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5.3、</w:t>
      </w:r>
      <w:r>
        <w:rPr>
          <w:rFonts w:hint="eastAsia" w:ascii="宋体" w:hAnsi="宋体" w:eastAsia="宋体" w:cs="宋体"/>
          <w:color w:val="auto"/>
          <w:sz w:val="24"/>
          <w:szCs w:val="24"/>
        </w:rPr>
        <w:t>验收标准：按</w:t>
      </w:r>
      <w:r>
        <w:rPr>
          <w:rFonts w:hint="eastAsia" w:ascii="宋体" w:hAnsi="宋体" w:eastAsia="宋体" w:cs="宋体"/>
          <w:color w:val="auto"/>
          <w:sz w:val="24"/>
          <w:szCs w:val="24"/>
          <w:lang w:val="en-US" w:eastAsia="zh-CN"/>
        </w:rPr>
        <w:t>单一来源</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eastAsia="zh-CN"/>
        </w:rPr>
        <w:t>单一来源</w:t>
      </w:r>
      <w:r>
        <w:rPr>
          <w:rFonts w:hint="eastAsia" w:ascii="宋体" w:hAnsi="宋体" w:eastAsia="宋体" w:cs="宋体"/>
          <w:color w:val="auto"/>
          <w:sz w:val="24"/>
          <w:szCs w:val="24"/>
        </w:rPr>
        <w:t>响应文件及澄清函等服务指标进行验收。各项指标均应符合验收标准及要求。</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5.4、</w:t>
      </w:r>
      <w:r>
        <w:rPr>
          <w:rFonts w:hint="eastAsia" w:ascii="宋体" w:hAnsi="宋体" w:eastAsia="宋体" w:cs="宋体"/>
          <w:color w:val="auto"/>
          <w:sz w:val="24"/>
          <w:szCs w:val="24"/>
        </w:rPr>
        <w:t>验收合格后，填写验收单，双方签字生效。</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5.5、</w:t>
      </w:r>
      <w:r>
        <w:rPr>
          <w:rFonts w:hint="eastAsia" w:ascii="宋体" w:hAnsi="宋体" w:eastAsia="宋体" w:cs="宋体"/>
          <w:color w:val="auto"/>
          <w:sz w:val="24"/>
          <w:szCs w:val="24"/>
        </w:rPr>
        <w:t>验收依据：</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a)合同文本；</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en-US" w:eastAsia="zh-CN"/>
        </w:rPr>
        <w:t>单一来源</w:t>
      </w:r>
      <w:r>
        <w:rPr>
          <w:rFonts w:hint="eastAsia" w:ascii="宋体" w:hAnsi="宋体" w:eastAsia="宋体" w:cs="宋体"/>
          <w:color w:val="auto"/>
          <w:sz w:val="24"/>
          <w:szCs w:val="24"/>
        </w:rPr>
        <w:t>响应文件及澄清函、</w:t>
      </w:r>
      <w:r>
        <w:rPr>
          <w:rFonts w:hint="eastAsia" w:ascii="宋体" w:hAnsi="宋体" w:eastAsia="宋体" w:cs="宋体"/>
          <w:color w:val="auto"/>
          <w:sz w:val="24"/>
          <w:szCs w:val="24"/>
          <w:lang w:val="en-US" w:eastAsia="zh-CN"/>
        </w:rPr>
        <w:t>单一来源</w:t>
      </w:r>
      <w:r>
        <w:rPr>
          <w:rFonts w:hint="eastAsia" w:ascii="宋体" w:hAnsi="宋体" w:eastAsia="宋体" w:cs="宋体"/>
          <w:color w:val="auto"/>
          <w:sz w:val="24"/>
          <w:szCs w:val="24"/>
        </w:rPr>
        <w:t>文件；</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c)国家和行业制定的相应的标准和规范。</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color w:val="auto"/>
          <w:sz w:val="24"/>
          <w:szCs w:val="24"/>
          <w:lang w:val="en-US"/>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技术支持</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提供全年7×24小时的技术咨询服务。</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违约责任</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7.1、</w:t>
      </w:r>
      <w:r>
        <w:rPr>
          <w:rFonts w:hint="eastAsia" w:ascii="宋体" w:hAnsi="宋体" w:eastAsia="宋体" w:cs="宋体"/>
          <w:bCs/>
          <w:color w:val="auto"/>
          <w:sz w:val="24"/>
          <w:szCs w:val="24"/>
        </w:rPr>
        <w:t>按《中华人民共和国政府采购法》、《中华人民共和国</w:t>
      </w:r>
      <w:r>
        <w:rPr>
          <w:rFonts w:hint="eastAsia" w:ascii="宋体" w:hAnsi="宋体" w:eastAsia="宋体" w:cs="宋体"/>
          <w:bCs/>
          <w:color w:val="auto"/>
          <w:sz w:val="24"/>
          <w:szCs w:val="24"/>
          <w:lang w:val="en-US" w:eastAsia="zh-CN"/>
        </w:rPr>
        <w:t>民法典</w:t>
      </w:r>
      <w:r>
        <w:rPr>
          <w:rFonts w:hint="eastAsia" w:ascii="宋体" w:hAnsi="宋体" w:eastAsia="宋体" w:cs="宋体"/>
          <w:bCs/>
          <w:color w:val="auto"/>
          <w:sz w:val="24"/>
          <w:szCs w:val="24"/>
        </w:rPr>
        <w:t>》中的相关条款执行。</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7.2、</w:t>
      </w:r>
      <w:r>
        <w:rPr>
          <w:rFonts w:hint="eastAsia" w:ascii="宋体" w:hAnsi="宋体" w:eastAsia="宋体" w:cs="宋体"/>
          <w:bCs/>
          <w:color w:val="auto"/>
          <w:sz w:val="24"/>
          <w:szCs w:val="24"/>
        </w:rPr>
        <w:t>未按合同或</w:t>
      </w:r>
      <w:r>
        <w:rPr>
          <w:rFonts w:hint="eastAsia" w:ascii="宋体" w:hAnsi="宋体" w:eastAsia="宋体" w:cs="宋体"/>
          <w:color w:val="auto"/>
          <w:sz w:val="24"/>
          <w:szCs w:val="24"/>
          <w:lang w:val="en-US" w:eastAsia="zh-CN"/>
        </w:rPr>
        <w:t>单一来源</w:t>
      </w:r>
      <w:r>
        <w:rPr>
          <w:rFonts w:hint="eastAsia" w:ascii="宋体" w:hAnsi="宋体" w:eastAsia="宋体" w:cs="宋体"/>
          <w:bCs/>
          <w:color w:val="auto"/>
          <w:sz w:val="24"/>
          <w:szCs w:val="24"/>
        </w:rPr>
        <w:t>文件要求提供的服务不能满足采购人要求，采购单位有权终止合同，甚至对供应商违约行为进行追究。</w:t>
      </w:r>
    </w:p>
    <w:p>
      <w:pPr>
        <w:pStyle w:val="2"/>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pStyle w:val="2"/>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pStyle w:val="2"/>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pStyle w:val="2"/>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pStyle w:val="2"/>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pStyle w:val="2"/>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pStyle w:val="2"/>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pStyle w:val="2"/>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pStyle w:val="2"/>
        <w:rPr>
          <w:rFonts w:hint="eastAsia" w:ascii="宋体" w:hAnsi="宋体" w:eastAsia="宋体" w:cs="宋体"/>
          <w:bCs/>
          <w:color w:val="auto"/>
          <w:sz w:val="24"/>
          <w:szCs w:val="24"/>
        </w:rPr>
      </w:pPr>
    </w:p>
    <w:p>
      <w:pPr>
        <w:rPr>
          <w:rFonts w:hint="eastAsia" w:ascii="宋体" w:hAnsi="宋体" w:eastAsia="宋体" w:cs="宋体"/>
        </w:rPr>
      </w:pPr>
    </w:p>
    <w:p>
      <w:pPr>
        <w:rPr>
          <w:rFonts w:hint="eastAsia" w:ascii="宋体" w:hAnsi="宋体" w:eastAsia="宋体" w:cs="宋体"/>
          <w:bCs/>
          <w:color w:val="auto"/>
          <w:sz w:val="24"/>
          <w:szCs w:val="24"/>
        </w:rPr>
      </w:pPr>
    </w:p>
    <w:p>
      <w:pPr>
        <w:pStyle w:val="2"/>
        <w:rPr>
          <w:rFonts w:hint="eastAsia" w:ascii="宋体" w:hAnsi="宋体" w:eastAsia="宋体" w:cs="宋体"/>
          <w:bCs/>
          <w:color w:val="auto"/>
          <w:sz w:val="24"/>
          <w:szCs w:val="24"/>
        </w:rPr>
      </w:pPr>
    </w:p>
    <w:p>
      <w:pPr>
        <w:rPr>
          <w:rFonts w:hint="eastAsia" w:ascii="宋体" w:hAnsi="宋体" w:eastAsia="宋体" w:cs="宋体"/>
          <w:lang w:val="zh-CN"/>
        </w:rPr>
      </w:pPr>
    </w:p>
    <w:p>
      <w:pPr>
        <w:pStyle w:val="3"/>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32"/>
          <w:szCs w:val="32"/>
          <w:lang w:val="zh-CN" w:eastAsia="zh-CN"/>
        </w:rPr>
      </w:pPr>
      <w:bookmarkStart w:id="33" w:name="_Toc28721"/>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七</w:t>
      </w:r>
      <w:r>
        <w:rPr>
          <w:rFonts w:hint="eastAsia" w:ascii="宋体" w:hAnsi="宋体" w:eastAsia="宋体" w:cs="宋体"/>
          <w:b/>
          <w:bCs/>
          <w:color w:val="auto"/>
          <w:sz w:val="32"/>
          <w:szCs w:val="32"/>
          <w:lang w:val="zh-CN" w:eastAsia="zh-CN"/>
        </w:rPr>
        <w:t>章  合同协议书</w:t>
      </w:r>
      <w:bookmarkEnd w:id="33"/>
      <w:bookmarkStart w:id="34" w:name="_Toc389553742"/>
      <w:bookmarkStart w:id="35" w:name="_Toc8194597"/>
    </w:p>
    <w:p>
      <w:pPr>
        <w:spacing w:line="52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（合同模板仅供参考，具体以实际签订合同为准）</w:t>
      </w:r>
    </w:p>
    <w:p>
      <w:pPr>
        <w:pStyle w:val="124"/>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Cs w:val="24"/>
        </w:rPr>
      </w:pPr>
      <w:bookmarkStart w:id="36" w:name="_Toc497206293"/>
      <w:bookmarkStart w:id="37" w:name="_Toc497206183"/>
      <w:r>
        <w:rPr>
          <w:rFonts w:hint="eastAsia" w:ascii="宋体" w:hAnsi="宋体" w:eastAsia="宋体" w:cs="宋体"/>
          <w:color w:val="auto"/>
          <w:szCs w:val="24"/>
        </w:rPr>
        <w:t xml:space="preserve">合同编号：                                         </w:t>
      </w:r>
    </w:p>
    <w:p>
      <w:pPr>
        <w:pStyle w:val="124"/>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 xml:space="preserve">签订地点：          </w:t>
      </w:r>
    </w:p>
    <w:p>
      <w:pPr>
        <w:pStyle w:val="124"/>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签订时间</w:t>
      </w:r>
      <w:r>
        <w:rPr>
          <w:rFonts w:hint="eastAsia" w:ascii="宋体" w:hAnsi="宋体" w:eastAsia="宋体" w:cs="宋体"/>
          <w:b/>
          <w:color w:val="auto"/>
          <w:szCs w:val="24"/>
        </w:rPr>
        <w:t>:</w:t>
      </w:r>
      <w:r>
        <w:rPr>
          <w:rFonts w:hint="eastAsia" w:ascii="宋体" w:hAnsi="宋体" w:eastAsia="宋体" w:cs="宋体"/>
          <w:color w:val="auto"/>
          <w:szCs w:val="24"/>
        </w:rPr>
        <w:t xml:space="preserve"> </w:t>
      </w:r>
    </w:p>
    <w:p>
      <w:pPr>
        <w:pStyle w:val="124"/>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 xml:space="preserve">采购人（甲方）：                                          </w:t>
      </w:r>
    </w:p>
    <w:p>
      <w:pPr>
        <w:pStyle w:val="124"/>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 xml:space="preserve">供应商（乙方）：                              </w:t>
      </w:r>
    </w:p>
    <w:p>
      <w:pPr>
        <w:keepLines w:val="0"/>
        <w:pageBreakBefore w:val="0"/>
        <w:widowControl w:val="0"/>
        <w:tabs>
          <w:tab w:val="left" w:pos="735"/>
        </w:tabs>
        <w:kinsoku/>
        <w:wordWrap/>
        <w:overflowPunct/>
        <w:topLinePunct w:val="0"/>
        <w:autoSpaceDE w:val="0"/>
        <w:autoSpaceDN w:val="0"/>
        <w:bidi w:val="0"/>
        <w:adjustRightInd w:val="0"/>
        <w:snapToGrid w:val="0"/>
        <w:spacing w:line="440" w:lineRule="exact"/>
        <w:ind w:firstLine="480" w:firstLineChars="200"/>
        <w:textAlignment w:val="auto"/>
        <w:outlineLvl w:val="0"/>
        <w:rPr>
          <w:rFonts w:hint="eastAsia" w:ascii="宋体" w:hAnsi="宋体" w:eastAsia="宋体" w:cs="宋体"/>
          <w:color w:val="auto"/>
          <w:sz w:val="24"/>
          <w:szCs w:val="24"/>
        </w:rPr>
      </w:pPr>
      <w:bookmarkStart w:id="38" w:name="_Toc28531"/>
      <w:bookmarkStart w:id="39" w:name="_Toc30788"/>
      <w:r>
        <w:rPr>
          <w:rFonts w:hint="eastAsia" w:ascii="宋体" w:hAnsi="宋体" w:eastAsia="宋体" w:cs="宋体"/>
          <w:color w:val="auto"/>
          <w:sz w:val="24"/>
          <w:szCs w:val="24"/>
        </w:rPr>
        <w:t xml:space="preserve">根据《中华人民共和国政府采购法》及实施条例、《中华人民共和国民法典》和甲方采购项目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单一来源</w:t>
      </w:r>
      <w:r>
        <w:rPr>
          <w:rFonts w:hint="eastAsia" w:ascii="宋体" w:hAnsi="宋体" w:eastAsia="宋体" w:cs="宋体"/>
          <w:color w:val="auto"/>
          <w:sz w:val="24"/>
          <w:szCs w:val="24"/>
        </w:rPr>
        <w:t>文件、成交供应商的</w:t>
      </w:r>
      <w:r>
        <w:rPr>
          <w:rFonts w:hint="eastAsia" w:ascii="宋体" w:hAnsi="宋体" w:eastAsia="宋体" w:cs="宋体"/>
          <w:color w:val="auto"/>
          <w:sz w:val="24"/>
          <w:szCs w:val="24"/>
          <w:lang w:val="en-US" w:eastAsia="zh-CN"/>
        </w:rPr>
        <w:t>单一来源</w:t>
      </w:r>
      <w:r>
        <w:rPr>
          <w:rFonts w:hint="eastAsia" w:ascii="宋体" w:hAnsi="宋体" w:eastAsia="宋体" w:cs="宋体"/>
          <w:color w:val="auto"/>
          <w:sz w:val="24"/>
          <w:szCs w:val="24"/>
        </w:rPr>
        <w:t>响应文件，为保证甲方采购项目的顺利实施，甲、乙双方同意签订本合同，并共同遵守如下条款：</w:t>
      </w:r>
      <w:bookmarkEnd w:id="38"/>
      <w:bookmarkEnd w:id="39"/>
    </w:p>
    <w:p>
      <w:pPr>
        <w:keepLines w:val="0"/>
        <w:pageBreakBefore w:val="0"/>
        <w:widowControl w:val="0"/>
        <w:tabs>
          <w:tab w:val="left" w:pos="735"/>
        </w:tabs>
        <w:kinsoku/>
        <w:wordWrap/>
        <w:overflowPunct/>
        <w:topLinePunct w:val="0"/>
        <w:autoSpaceDE w:val="0"/>
        <w:autoSpaceDN w:val="0"/>
        <w:bidi w:val="0"/>
        <w:adjustRightInd w:val="0"/>
        <w:snapToGrid w:val="0"/>
        <w:spacing w:line="440" w:lineRule="exact"/>
        <w:ind w:firstLine="482" w:firstLineChars="200"/>
        <w:textAlignment w:val="auto"/>
        <w:outlineLvl w:val="0"/>
        <w:rPr>
          <w:rFonts w:hint="eastAsia" w:ascii="宋体" w:hAnsi="宋体" w:eastAsia="宋体" w:cs="宋体"/>
          <w:b/>
          <w:color w:val="auto"/>
          <w:sz w:val="24"/>
          <w:szCs w:val="24"/>
        </w:rPr>
      </w:pPr>
      <w:bookmarkStart w:id="40" w:name="_Toc26352"/>
      <w:bookmarkStart w:id="41" w:name="_Toc30653"/>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、合同标的</w:t>
      </w:r>
      <w:bookmarkEnd w:id="36"/>
      <w:bookmarkEnd w:id="37"/>
      <w:bookmarkEnd w:id="40"/>
      <w:bookmarkEnd w:id="41"/>
    </w:p>
    <w:p>
      <w:pPr>
        <w:keepLines w:val="0"/>
        <w:pageBreakBefore w:val="0"/>
        <w:widowControl w:val="0"/>
        <w:tabs>
          <w:tab w:val="left" w:pos="735"/>
        </w:tabs>
        <w:kinsoku/>
        <w:wordWrap/>
        <w:overflowPunct/>
        <w:topLinePunct w:val="0"/>
        <w:autoSpaceDE w:val="0"/>
        <w:autoSpaceDN w:val="0"/>
        <w:bidi w:val="0"/>
        <w:adjustRightInd w:val="0"/>
        <w:snapToGrid w:val="0"/>
        <w:spacing w:line="440" w:lineRule="exact"/>
        <w:ind w:firstLine="482" w:firstLineChars="200"/>
        <w:textAlignment w:val="auto"/>
        <w:outlineLvl w:val="0"/>
        <w:rPr>
          <w:rFonts w:hint="eastAsia" w:ascii="宋体" w:hAnsi="宋体" w:eastAsia="宋体" w:cs="宋体"/>
          <w:b/>
          <w:color w:val="auto"/>
          <w:sz w:val="24"/>
          <w:szCs w:val="24"/>
          <w:lang w:val="en-US" w:eastAsia="zh-CN"/>
        </w:rPr>
      </w:pPr>
      <w:bookmarkStart w:id="42" w:name="_Toc497206294"/>
      <w:bookmarkStart w:id="43" w:name="_Toc497206184"/>
      <w:bookmarkStart w:id="44" w:name="_Toc13114"/>
      <w:bookmarkStart w:id="45" w:name="_Toc27848"/>
    </w:p>
    <w:p>
      <w:pPr>
        <w:keepNext w:val="0"/>
        <w:keepLines w:val="0"/>
        <w:pageBreakBefore w:val="0"/>
        <w:widowControl w:val="0"/>
        <w:tabs>
          <w:tab w:val="left" w:pos="735"/>
        </w:tabs>
        <w:kinsoku/>
        <w:wordWrap/>
        <w:overflowPunct/>
        <w:topLinePunct w:val="0"/>
        <w:autoSpaceDE w:val="0"/>
        <w:autoSpaceDN w:val="0"/>
        <w:bidi w:val="0"/>
        <w:adjustRightInd w:val="0"/>
        <w:snapToGrid w:val="0"/>
        <w:spacing w:line="360" w:lineRule="auto"/>
        <w:ind w:right="0" w:firstLine="482" w:firstLineChars="200"/>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、合同价款</w:t>
      </w:r>
      <w:bookmarkEnd w:id="42"/>
      <w:bookmarkEnd w:id="43"/>
      <w:bookmarkEnd w:id="44"/>
      <w:bookmarkEnd w:id="45"/>
    </w:p>
    <w:p>
      <w:pPr>
        <w:keepNext w:val="0"/>
        <w:keepLines w:val="0"/>
        <w:pageBreakBefore w:val="0"/>
        <w:widowControl w:val="0"/>
        <w:tabs>
          <w:tab w:val="left" w:pos="735"/>
        </w:tabs>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1、合同总价：</w:t>
      </w:r>
      <w:r>
        <w:rPr>
          <w:rFonts w:hint="eastAsia" w:ascii="宋体" w:hAnsi="宋体" w:eastAsia="宋体" w:cs="宋体"/>
          <w:color w:val="auto"/>
          <w:sz w:val="24"/>
          <w:szCs w:val="24"/>
          <w:u w:val="single"/>
        </w:rPr>
        <w:t xml:space="preserve">          </w:t>
      </w:r>
    </w:p>
    <w:p>
      <w:pPr>
        <w:keepNext w:val="0"/>
        <w:keepLines w:val="0"/>
        <w:pageBreakBefore w:val="0"/>
        <w:widowControl w:val="0"/>
        <w:tabs>
          <w:tab w:val="left" w:pos="735"/>
        </w:tabs>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2、合同总价包括：</w:t>
      </w:r>
      <w:r>
        <w:rPr>
          <w:rFonts w:hint="eastAsia" w:ascii="宋体" w:hAnsi="宋体" w:eastAsia="宋体" w:cs="宋体"/>
          <w:color w:val="auto"/>
          <w:sz w:val="24"/>
          <w:szCs w:val="24"/>
          <w:lang w:val="en-US" w:eastAsia="zh-CN"/>
        </w:rPr>
        <w:t>包括但不限于安装调试费、调试检测费、技术培训费、验收费等其他一切相关费用</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 xml:space="preserve">     </w:t>
      </w:r>
    </w:p>
    <w:p>
      <w:pPr>
        <w:keepNext w:val="0"/>
        <w:keepLines w:val="0"/>
        <w:pageBreakBefore w:val="0"/>
        <w:widowControl w:val="0"/>
        <w:tabs>
          <w:tab w:val="left" w:pos="735"/>
        </w:tabs>
        <w:kinsoku/>
        <w:wordWrap/>
        <w:overflowPunct/>
        <w:topLinePunct w:val="0"/>
        <w:bidi w:val="0"/>
        <w:adjustRightInd w:val="0"/>
        <w:snapToGrid w:val="0"/>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3、本合同总价还包含乙方应当提供的伴随服务和售后服务费用。</w:t>
      </w:r>
    </w:p>
    <w:p>
      <w:pPr>
        <w:keepNext w:val="0"/>
        <w:keepLines w:val="0"/>
        <w:pageBreakBefore w:val="0"/>
        <w:widowControl w:val="0"/>
        <w:tabs>
          <w:tab w:val="left" w:pos="735"/>
        </w:tabs>
        <w:kinsoku/>
        <w:wordWrap/>
        <w:overflowPunct/>
        <w:topLinePunct w:val="0"/>
        <w:bidi w:val="0"/>
        <w:adjustRightInd w:val="0"/>
        <w:snapToGrid w:val="0"/>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4、本合同执行期间合同总价不变，甲方无须另向乙方支付本合同约定合同总价之外的其他任何费用。</w:t>
      </w:r>
    </w:p>
    <w:p>
      <w:pPr>
        <w:keepNext w:val="0"/>
        <w:keepLines w:val="0"/>
        <w:pageBreakBefore w:val="0"/>
        <w:widowControl w:val="0"/>
        <w:tabs>
          <w:tab w:val="left" w:pos="735"/>
        </w:tabs>
        <w:kinsoku/>
        <w:wordWrap/>
        <w:overflowPunct/>
        <w:topLinePunct w:val="0"/>
        <w:bidi w:val="0"/>
        <w:adjustRightInd w:val="0"/>
        <w:snapToGrid w:val="0"/>
        <w:spacing w:line="360" w:lineRule="auto"/>
        <w:ind w:righ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、款项结算</w:t>
      </w:r>
    </w:p>
    <w:p>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w:t>
      </w:r>
      <w:bookmarkStart w:id="46" w:name="_Toc497206297"/>
      <w:bookmarkStart w:id="47" w:name="_Toc14025"/>
      <w:bookmarkStart w:id="48" w:name="_Toc497206187"/>
      <w:bookmarkStart w:id="49" w:name="_Toc18747"/>
      <w:r>
        <w:rPr>
          <w:rFonts w:hint="eastAsia" w:ascii="宋体" w:hAnsi="宋体" w:eastAsia="宋体" w:cs="宋体"/>
          <w:color w:val="auto"/>
          <w:sz w:val="24"/>
          <w:szCs w:val="24"/>
        </w:rPr>
        <w:t>付款方式：</w:t>
      </w:r>
      <w:r>
        <w:rPr>
          <w:rFonts w:hint="eastAsia" w:ascii="宋体" w:hAnsi="宋体" w:eastAsia="宋体" w:cs="宋体"/>
          <w:b w:val="0"/>
          <w:bCs/>
          <w:color w:val="auto"/>
          <w:sz w:val="24"/>
          <w:szCs w:val="24"/>
          <w:highlight w:val="none"/>
          <w:lang w:val="en-US" w:eastAsia="zh-CN"/>
        </w:rPr>
        <w:t>服务完成并验收合格后无任何质量问题无争议索赔的情况下不计息一次付清。</w:t>
      </w:r>
    </w:p>
    <w:p>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bCs/>
          <w:color w:val="auto"/>
          <w:sz w:val="24"/>
          <w:szCs w:val="24"/>
          <w:lang w:val="en-US" w:eastAsia="zh-CN"/>
        </w:rPr>
        <w:t>3.2、</w:t>
      </w:r>
      <w:r>
        <w:rPr>
          <w:rFonts w:hint="eastAsia" w:ascii="宋体" w:hAnsi="宋体" w:eastAsia="宋体" w:cs="宋体"/>
          <w:color w:val="auto"/>
          <w:sz w:val="24"/>
          <w:szCs w:val="24"/>
          <w:lang w:val="zh-CN"/>
        </w:rPr>
        <w:t>结算方式：</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lang w:val="zh-CN"/>
        </w:rPr>
        <w:t>与</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lang w:val="zh-CN"/>
        </w:rPr>
        <w:t>直接结算，发票直开</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lang w:val="zh-CN"/>
        </w:rPr>
        <w:t>。</w:t>
      </w:r>
    </w:p>
    <w:p>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lang w:val="zh-CN"/>
        </w:rPr>
        <w:t>支付方式：银行转账。</w:t>
      </w:r>
    </w:p>
    <w:p>
      <w:pPr>
        <w:keepNext w:val="0"/>
        <w:keepLines w:val="0"/>
        <w:pageBreakBefore w:val="0"/>
        <w:widowControl w:val="0"/>
        <w:kinsoku/>
        <w:wordWrap/>
        <w:overflowPunct/>
        <w:topLinePunct w:val="0"/>
        <w:bidi w:val="0"/>
        <w:adjustRightInd w:val="0"/>
        <w:snapToGrid w:val="0"/>
        <w:spacing w:line="360" w:lineRule="auto"/>
        <w:ind w:right="0"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服务</w:t>
      </w:r>
      <w:r>
        <w:rPr>
          <w:rFonts w:hint="eastAsia" w:ascii="宋体" w:hAnsi="宋体" w:eastAsia="宋体" w:cs="宋体"/>
          <w:b/>
          <w:bCs/>
          <w:color w:val="auto"/>
          <w:sz w:val="24"/>
          <w:szCs w:val="24"/>
          <w:lang w:val="zh-CN"/>
        </w:rPr>
        <w:t>条件</w:t>
      </w:r>
      <w:bookmarkEnd w:id="46"/>
      <w:bookmarkEnd w:id="47"/>
      <w:bookmarkEnd w:id="48"/>
      <w:bookmarkEnd w:id="49"/>
    </w:p>
    <w:p>
      <w:pPr>
        <w:keepNext w:val="0"/>
        <w:keepLines w:val="0"/>
        <w:pageBreakBefore w:val="0"/>
        <w:widowControl w:val="0"/>
        <w:tabs>
          <w:tab w:val="left" w:pos="735"/>
        </w:tabs>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地点：</w:t>
      </w:r>
      <w:r>
        <w:rPr>
          <w:rFonts w:hint="eastAsia" w:ascii="宋体" w:hAnsi="宋体" w:eastAsia="宋体" w:cs="宋体"/>
          <w:color w:val="auto"/>
          <w:sz w:val="24"/>
          <w:szCs w:val="24"/>
          <w:u w:val="single"/>
        </w:rPr>
        <w:t xml:space="preserve">               </w:t>
      </w:r>
    </w:p>
    <w:p>
      <w:pPr>
        <w:keepNext w:val="0"/>
        <w:keepLines w:val="0"/>
        <w:pageBreakBefore w:val="0"/>
        <w:widowControl w:val="0"/>
        <w:tabs>
          <w:tab w:val="left" w:pos="735"/>
        </w:tabs>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服务期</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right="0" w:firstLine="482" w:firstLineChars="200"/>
        <w:textAlignment w:val="auto"/>
        <w:outlineLvl w:val="0"/>
        <w:rPr>
          <w:rFonts w:hint="eastAsia" w:ascii="宋体" w:hAnsi="宋体" w:eastAsia="宋体" w:cs="宋体"/>
          <w:b/>
          <w:bCs/>
          <w:color w:val="auto"/>
          <w:sz w:val="24"/>
          <w:szCs w:val="24"/>
          <w:lang w:val="zh-CN"/>
        </w:rPr>
      </w:pPr>
      <w:bookmarkStart w:id="50" w:name="_Toc24786"/>
      <w:bookmarkStart w:id="51" w:name="_Toc6728"/>
      <w:bookmarkStart w:id="52" w:name="_Toc497206299"/>
      <w:bookmarkStart w:id="53" w:name="_Toc497206189"/>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val="zh-CN"/>
        </w:rPr>
        <w:t>、</w:t>
      </w:r>
      <w:bookmarkEnd w:id="50"/>
      <w:bookmarkEnd w:id="51"/>
      <w:bookmarkEnd w:id="52"/>
      <w:bookmarkEnd w:id="53"/>
      <w:r>
        <w:rPr>
          <w:rFonts w:hint="eastAsia" w:ascii="宋体" w:hAnsi="宋体" w:eastAsia="宋体" w:cs="宋体"/>
          <w:b/>
          <w:bCs/>
          <w:color w:val="auto"/>
          <w:sz w:val="24"/>
          <w:szCs w:val="24"/>
          <w:lang w:val="zh-CN"/>
        </w:rPr>
        <w:t>质保及维保服务</w:t>
      </w:r>
    </w:p>
    <w:p>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提供7*24小时的故障报修体系，承诺在报障后4小时内排除网络故障；半年提供一次网络运行报告，对网络运行情况做全方位的分析，具体售后服务指标如下：应对障碍服务。</w:t>
      </w:r>
    </w:p>
    <w:p>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5.1、为客户提供所在地维护工程师专项服务。</w:t>
      </w:r>
    </w:p>
    <w:p>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5.2、7：00至24：00件发生的障碍，进行故障处理的恢复时间为240分钟。</w:t>
      </w:r>
    </w:p>
    <w:p>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5.3、在业务开通、障碍处理过程中及时做好与客户的沟通和反馈。</w:t>
      </w:r>
    </w:p>
    <w:p>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5.4、提供7×24 的热线服务，提供故障一点受理与升级处理机制。</w:t>
      </w:r>
    </w:p>
    <w:p>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5.5、对中断超过1小时的服务方原因故障，提供故障处理报告。</w:t>
      </w:r>
    </w:p>
    <w:p>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5.6、提供网络运行分析报告，分析网络运行情况，1次/半年。</w:t>
      </w:r>
    </w:p>
    <w:p>
      <w:pPr>
        <w:keepNext w:val="0"/>
        <w:keepLines w:val="0"/>
        <w:pageBreakBefore w:val="0"/>
        <w:widowControl w:val="0"/>
        <w:kinsoku/>
        <w:wordWrap/>
        <w:overflowPunct/>
        <w:topLinePunct w:val="0"/>
        <w:bidi w:val="0"/>
        <w:spacing w:line="360" w:lineRule="auto"/>
        <w:ind w:righ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、技术服务</w:t>
      </w:r>
    </w:p>
    <w:p>
      <w:pPr>
        <w:keepNext w:val="0"/>
        <w:keepLines w:val="0"/>
        <w:pageBreakBefore w:val="0"/>
        <w:widowControl w:val="0"/>
        <w:kinsoku/>
        <w:wordWrap/>
        <w:overflowPunct/>
        <w:topLinePunct w:val="0"/>
        <w:bidi w:val="0"/>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1、服务承诺：响应文件中有明确且具体、切实可行的技术服务承诺。</w:t>
      </w:r>
    </w:p>
    <w:p>
      <w:pPr>
        <w:keepNext w:val="0"/>
        <w:keepLines w:val="0"/>
        <w:pageBreakBefore w:val="0"/>
        <w:widowControl w:val="0"/>
        <w:kinsoku/>
        <w:wordWrap/>
        <w:overflowPunct/>
        <w:topLinePunct w:val="0"/>
        <w:bidi w:val="0"/>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售后服务体系：</w:t>
      </w:r>
    </w:p>
    <w:p>
      <w:pPr>
        <w:keepNext w:val="0"/>
        <w:keepLines w:val="0"/>
        <w:pageBreakBefore w:val="0"/>
        <w:widowControl w:val="0"/>
        <w:kinsoku/>
        <w:wordWrap/>
        <w:overflowPunct/>
        <w:topLinePunct w:val="0"/>
        <w:bidi w:val="0"/>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eastAsia="zh-CN"/>
        </w:rPr>
        <w:t>）</w:t>
      </w:r>
      <w:r>
        <w:rPr>
          <w:rFonts w:hint="eastAsia" w:ascii="宋体" w:hAnsi="宋体" w:eastAsia="宋体" w:cs="宋体"/>
          <w:color w:val="auto"/>
          <w:sz w:val="24"/>
          <w:szCs w:val="24"/>
        </w:rPr>
        <w:t>提供本地区同类用户售后服务系统网络图、主要负责人的姓名、联系电话、营业场所详细地址。</w:t>
      </w:r>
    </w:p>
    <w:p>
      <w:pPr>
        <w:keepNext w:val="0"/>
        <w:keepLines w:val="0"/>
        <w:pageBreakBefore w:val="0"/>
        <w:widowControl w:val="0"/>
        <w:kinsoku/>
        <w:wordWrap/>
        <w:overflowPunct/>
        <w:topLinePunct w:val="0"/>
        <w:bidi w:val="0"/>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CN"/>
        </w:rPr>
        <w:t>）</w:t>
      </w:r>
      <w:r>
        <w:rPr>
          <w:rFonts w:hint="eastAsia" w:ascii="宋体" w:hAnsi="宋体" w:eastAsia="宋体" w:cs="宋体"/>
          <w:color w:val="auto"/>
          <w:sz w:val="24"/>
          <w:szCs w:val="24"/>
        </w:rPr>
        <w:t>提供具体负责本用户的售后服务人员姓名、联系电话、联系地址。</w:t>
      </w:r>
    </w:p>
    <w:p>
      <w:pPr>
        <w:keepNext w:val="0"/>
        <w:keepLines w:val="0"/>
        <w:pageBreakBefore w:val="0"/>
        <w:widowControl w:val="0"/>
        <w:kinsoku/>
        <w:wordWrap/>
        <w:overflowPunct/>
        <w:topLinePunct w:val="0"/>
        <w:bidi w:val="0"/>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2、售后服务承诺：</w:t>
      </w:r>
    </w:p>
    <w:p>
      <w:pPr>
        <w:keepNext w:val="0"/>
        <w:keepLines w:val="0"/>
        <w:pageBreakBefore w:val="0"/>
        <w:widowControl w:val="0"/>
        <w:kinsoku/>
        <w:wordWrap/>
        <w:overflowPunct/>
        <w:topLinePunct w:val="0"/>
        <w:bidi w:val="0"/>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eastAsia="zh-CN"/>
        </w:rPr>
        <w:t>）</w:t>
      </w:r>
      <w:r>
        <w:rPr>
          <w:rFonts w:hint="eastAsia" w:ascii="宋体" w:hAnsi="宋体" w:eastAsia="宋体" w:cs="宋体"/>
          <w:color w:val="auto"/>
          <w:sz w:val="24"/>
          <w:szCs w:val="24"/>
        </w:rPr>
        <w:t>发生故障后最短和最长的响应时间（以接到报修电话起至维修人员到达现场止所需时间）。</w:t>
      </w:r>
    </w:p>
    <w:p>
      <w:pPr>
        <w:keepNext w:val="0"/>
        <w:keepLines w:val="0"/>
        <w:pageBreakBefore w:val="0"/>
        <w:widowControl w:val="0"/>
        <w:kinsoku/>
        <w:wordWrap/>
        <w:overflowPunct/>
        <w:topLinePunct w:val="0"/>
        <w:bidi w:val="0"/>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CN"/>
        </w:rPr>
        <w:t>）</w:t>
      </w:r>
      <w:r>
        <w:rPr>
          <w:rFonts w:hint="eastAsia" w:ascii="宋体" w:hAnsi="宋体" w:eastAsia="宋体" w:cs="宋体"/>
          <w:color w:val="auto"/>
          <w:sz w:val="24"/>
          <w:szCs w:val="24"/>
        </w:rPr>
        <w:t>质量保修期间的承诺。</w:t>
      </w:r>
    </w:p>
    <w:p>
      <w:pPr>
        <w:keepNext w:val="0"/>
        <w:keepLines w:val="0"/>
        <w:pageBreakBefore w:val="0"/>
        <w:widowControl w:val="0"/>
        <w:kinsoku/>
        <w:wordWrap/>
        <w:overflowPunct/>
        <w:topLinePunct w:val="0"/>
        <w:bidi w:val="0"/>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lang w:eastAsia="zh-CN"/>
        </w:rPr>
        <w:t>）</w:t>
      </w:r>
      <w:r>
        <w:rPr>
          <w:rFonts w:hint="eastAsia" w:ascii="宋体" w:hAnsi="宋体" w:eastAsia="宋体" w:cs="宋体"/>
          <w:color w:val="auto"/>
          <w:sz w:val="24"/>
          <w:szCs w:val="24"/>
        </w:rPr>
        <w:t>质量保修期后的承诺，包括常年维修服务的收费标准、易损零配件的价格表等。</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lang w:val="en-US" w:eastAsia="zh-CN"/>
        </w:rPr>
        <w:t>6.3、</w:t>
      </w:r>
      <w:r>
        <w:rPr>
          <w:rFonts w:hint="eastAsia" w:ascii="宋体" w:hAnsi="宋体" w:eastAsia="宋体" w:cs="宋体"/>
          <w:b w:val="0"/>
          <w:bCs/>
          <w:color w:val="auto"/>
          <w:sz w:val="24"/>
          <w:szCs w:val="24"/>
          <w:lang w:val="en-US" w:eastAsia="zh-CN"/>
        </w:rPr>
        <w:t>提供全年7×24小时的技术咨询服务。</w:t>
      </w:r>
    </w:p>
    <w:p>
      <w:pPr>
        <w:keepNext w:val="0"/>
        <w:keepLines w:val="0"/>
        <w:pageBreakBefore w:val="0"/>
        <w:widowControl w:val="0"/>
        <w:tabs>
          <w:tab w:val="left" w:pos="0"/>
        </w:tabs>
        <w:kinsoku/>
        <w:wordWrap/>
        <w:overflowPunct/>
        <w:topLinePunct w:val="0"/>
        <w:autoSpaceDE w:val="0"/>
        <w:autoSpaceDN w:val="0"/>
        <w:bidi w:val="0"/>
        <w:adjustRightInd w:val="0"/>
        <w:spacing w:line="360" w:lineRule="auto"/>
        <w:ind w:right="0" w:firstLine="482" w:firstLineChars="200"/>
        <w:textAlignment w:val="auto"/>
        <w:outlineLvl w:val="0"/>
        <w:rPr>
          <w:rFonts w:hint="eastAsia" w:ascii="宋体" w:hAnsi="宋体" w:eastAsia="宋体" w:cs="宋体"/>
          <w:b/>
          <w:bCs/>
          <w:color w:val="auto"/>
          <w:sz w:val="24"/>
          <w:szCs w:val="24"/>
          <w:lang w:val="zh-CN"/>
        </w:rPr>
      </w:pPr>
      <w:bookmarkStart w:id="54" w:name="_Toc4326"/>
      <w:bookmarkStart w:id="55" w:name="_Toc497206304"/>
      <w:bookmarkStart w:id="56" w:name="_Toc497206194"/>
      <w:bookmarkStart w:id="57" w:name="_Toc23707"/>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lang w:val="zh-CN"/>
        </w:rPr>
        <w:t>、验收</w:t>
      </w:r>
      <w:bookmarkEnd w:id="54"/>
      <w:bookmarkEnd w:id="55"/>
      <w:bookmarkEnd w:id="56"/>
      <w:bookmarkEnd w:id="57"/>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bookmarkStart w:id="58" w:name="_Toc497206305"/>
      <w:bookmarkStart w:id="59" w:name="_Toc25680"/>
      <w:bookmarkStart w:id="60" w:name="_Toc29166"/>
      <w:bookmarkStart w:id="61" w:name="_Toc497206195"/>
      <w:r>
        <w:rPr>
          <w:rFonts w:hint="eastAsia" w:ascii="宋体" w:hAnsi="宋体" w:eastAsia="宋体" w:cs="宋体"/>
          <w:color w:val="auto"/>
          <w:sz w:val="24"/>
          <w:szCs w:val="24"/>
        </w:rPr>
        <w:t>由</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和</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共同对项目整体进行验收。其内容包括对其服务指标、性能参数是否达到现行国家有关验收规范“合格”标准进行逐项检查。</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7.1、</w:t>
      </w:r>
      <w:r>
        <w:rPr>
          <w:rFonts w:hint="eastAsia" w:ascii="宋体" w:hAnsi="宋体" w:eastAsia="宋体" w:cs="宋体"/>
          <w:color w:val="auto"/>
          <w:sz w:val="24"/>
          <w:szCs w:val="24"/>
        </w:rPr>
        <w:t>所验服务指标、性能参数通过验收达不到</w:t>
      </w:r>
      <w:r>
        <w:rPr>
          <w:rFonts w:hint="eastAsia" w:ascii="宋体" w:hAnsi="宋体" w:eastAsia="宋体" w:cs="宋体"/>
          <w:color w:val="auto"/>
          <w:sz w:val="24"/>
          <w:szCs w:val="24"/>
          <w:lang w:val="en-US" w:eastAsia="zh-CN"/>
        </w:rPr>
        <w:t>单一来源</w:t>
      </w:r>
      <w:r>
        <w:rPr>
          <w:rFonts w:hint="eastAsia" w:ascii="宋体" w:hAnsi="宋体" w:eastAsia="宋体" w:cs="宋体"/>
          <w:color w:val="auto"/>
          <w:sz w:val="24"/>
          <w:szCs w:val="24"/>
        </w:rPr>
        <w:t>文件要求和</w:t>
      </w:r>
      <w:r>
        <w:rPr>
          <w:rFonts w:hint="eastAsia" w:ascii="宋体" w:hAnsi="宋体" w:eastAsia="宋体" w:cs="宋体"/>
          <w:color w:val="auto"/>
          <w:sz w:val="24"/>
          <w:szCs w:val="24"/>
          <w:lang w:val="en-US" w:eastAsia="zh-CN"/>
        </w:rPr>
        <w:t>单一来源</w:t>
      </w:r>
      <w:r>
        <w:rPr>
          <w:rFonts w:hint="eastAsia" w:ascii="宋体" w:hAnsi="宋体" w:eastAsia="宋体" w:cs="宋体"/>
          <w:color w:val="auto"/>
          <w:sz w:val="24"/>
          <w:szCs w:val="24"/>
        </w:rPr>
        <w:t>响应文件承诺的，或在服务期中发现</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不能容忍的缺陷等，将视为验收不合格，</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应无条件免费更换或退货。</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7.2、</w:t>
      </w:r>
      <w:r>
        <w:rPr>
          <w:rFonts w:hint="eastAsia" w:ascii="宋体" w:hAnsi="宋体" w:eastAsia="宋体" w:cs="宋体"/>
          <w:color w:val="auto"/>
          <w:sz w:val="24"/>
          <w:szCs w:val="24"/>
        </w:rPr>
        <w:t>若发现</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有弄虚作假的，在</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阶段故意或随意夸大服务性能，</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应无条件退货，并赔偿</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相应的损失。</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7.3、</w:t>
      </w:r>
      <w:r>
        <w:rPr>
          <w:rFonts w:hint="eastAsia" w:ascii="宋体" w:hAnsi="宋体" w:eastAsia="宋体" w:cs="宋体"/>
          <w:color w:val="auto"/>
          <w:sz w:val="24"/>
          <w:szCs w:val="24"/>
        </w:rPr>
        <w:t>验收标准：按</w:t>
      </w:r>
      <w:r>
        <w:rPr>
          <w:rFonts w:hint="eastAsia" w:ascii="宋体" w:hAnsi="宋体" w:eastAsia="宋体" w:cs="宋体"/>
          <w:color w:val="auto"/>
          <w:sz w:val="24"/>
          <w:szCs w:val="24"/>
          <w:lang w:val="en-US" w:eastAsia="zh-CN"/>
        </w:rPr>
        <w:t>单一来源</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eastAsia="zh-CN"/>
        </w:rPr>
        <w:t>单一来源</w:t>
      </w:r>
      <w:r>
        <w:rPr>
          <w:rFonts w:hint="eastAsia" w:ascii="宋体" w:hAnsi="宋体" w:eastAsia="宋体" w:cs="宋体"/>
          <w:color w:val="auto"/>
          <w:sz w:val="24"/>
          <w:szCs w:val="24"/>
        </w:rPr>
        <w:t>响应文件及澄清函等服务指标进行验收。各项指标均应符合验收标准及要求。</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7.4、</w:t>
      </w:r>
      <w:r>
        <w:rPr>
          <w:rFonts w:hint="eastAsia" w:ascii="宋体" w:hAnsi="宋体" w:eastAsia="宋体" w:cs="宋体"/>
          <w:color w:val="auto"/>
          <w:sz w:val="24"/>
          <w:szCs w:val="24"/>
        </w:rPr>
        <w:t>验收合格后，填写验收单，双方签字生效。</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7.5、</w:t>
      </w:r>
      <w:r>
        <w:rPr>
          <w:rFonts w:hint="eastAsia" w:ascii="宋体" w:hAnsi="宋体" w:eastAsia="宋体" w:cs="宋体"/>
          <w:color w:val="auto"/>
          <w:sz w:val="24"/>
          <w:szCs w:val="24"/>
        </w:rPr>
        <w:t>验收依据：</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a)合同文本；</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en-US" w:eastAsia="zh-CN"/>
        </w:rPr>
        <w:t>单一来源</w:t>
      </w:r>
      <w:r>
        <w:rPr>
          <w:rFonts w:hint="eastAsia" w:ascii="宋体" w:hAnsi="宋体" w:eastAsia="宋体" w:cs="宋体"/>
          <w:color w:val="auto"/>
          <w:sz w:val="24"/>
          <w:szCs w:val="24"/>
        </w:rPr>
        <w:t>响应文件及澄清函、</w:t>
      </w:r>
      <w:r>
        <w:rPr>
          <w:rFonts w:hint="eastAsia" w:ascii="宋体" w:hAnsi="宋体" w:eastAsia="宋体" w:cs="宋体"/>
          <w:color w:val="auto"/>
          <w:sz w:val="24"/>
          <w:szCs w:val="24"/>
          <w:lang w:val="en-US" w:eastAsia="zh-CN"/>
        </w:rPr>
        <w:t>单一来源</w:t>
      </w:r>
      <w:r>
        <w:rPr>
          <w:rFonts w:hint="eastAsia" w:ascii="宋体" w:hAnsi="宋体" w:eastAsia="宋体" w:cs="宋体"/>
          <w:color w:val="auto"/>
          <w:sz w:val="24"/>
          <w:szCs w:val="24"/>
        </w:rPr>
        <w:t>文件；</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c)国家和行业制定的相应的标准和规范。</w:t>
      </w:r>
    </w:p>
    <w:p>
      <w:pPr>
        <w:keepNext w:val="0"/>
        <w:keepLines w:val="0"/>
        <w:pageBreakBefore w:val="0"/>
        <w:widowControl w:val="0"/>
        <w:kinsoku/>
        <w:wordWrap/>
        <w:overflowPunct/>
        <w:topLinePunct w:val="0"/>
        <w:bidi w:val="0"/>
        <w:spacing w:line="360" w:lineRule="auto"/>
        <w:ind w:right="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8、知识产权</w:t>
      </w:r>
    </w:p>
    <w:p>
      <w:pPr>
        <w:keepNext w:val="0"/>
        <w:keepLines w:val="0"/>
        <w:pageBreakBefore w:val="0"/>
        <w:widowControl w:val="0"/>
        <w:kinsoku/>
        <w:wordWrap/>
        <w:overflowPunct/>
        <w:topLinePunct w:val="0"/>
        <w:bidi w:val="0"/>
        <w:snapToGrid/>
        <w:spacing w:line="360" w:lineRule="auto"/>
        <w:ind w:right="0"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应对所供产品具有或已取得合法知识产权，乙方应保证所供产品及服务不会出现因第三方提出侵犯其专利权、商标权或其它知识产权而引发法律或经济纠纷，否则由</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负责解决并承担全部责任；如因此影响到</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的正常使用，</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有权单方解除本合同，</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应无条件向</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退回已收取的全部合同价款。</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w:t>
      </w:r>
      <w:bookmarkEnd w:id="58"/>
      <w:bookmarkEnd w:id="59"/>
      <w:bookmarkEnd w:id="60"/>
      <w:bookmarkEnd w:id="61"/>
      <w:r>
        <w:rPr>
          <w:rFonts w:hint="eastAsia" w:ascii="宋体" w:hAnsi="宋体" w:eastAsia="宋体" w:cs="宋体"/>
          <w:b/>
          <w:color w:val="auto"/>
          <w:sz w:val="24"/>
          <w:szCs w:val="24"/>
        </w:rPr>
        <w:t>争议的解决</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bookmarkStart w:id="62" w:name="_Toc497206196"/>
      <w:bookmarkStart w:id="63" w:name="_Toc497206306"/>
      <w:r>
        <w:rPr>
          <w:rFonts w:hint="eastAsia" w:ascii="宋体" w:hAnsi="宋体" w:eastAsia="宋体" w:cs="宋体"/>
          <w:color w:val="auto"/>
          <w:sz w:val="24"/>
          <w:szCs w:val="24"/>
        </w:rPr>
        <w:t>合同执行中发生争议的，当事人双方应协商解决，协商达不成一致时，可向采购人所在地人民法院提请诉讼。</w:t>
      </w:r>
    </w:p>
    <w:p>
      <w:pPr>
        <w:keepLines w:val="0"/>
        <w:pageBreakBefore w:val="0"/>
        <w:widowControl w:val="0"/>
        <w:numPr>
          <w:ilvl w:val="0"/>
          <w:numId w:val="4"/>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不可抗力情况</w:t>
      </w:r>
    </w:p>
    <w:p>
      <w:pPr>
        <w:pStyle w:val="2"/>
        <w:keepNext/>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不可抗力情况下的免责约定，双方约定不可抗力情况包括：五级以上地震、大风、大雨、大雪。</w:t>
      </w:r>
    </w:p>
    <w:p>
      <w:pPr>
        <w:keepLines w:val="0"/>
        <w:pageBreakBefore w:val="0"/>
        <w:widowControl w:val="0"/>
        <w:kinsoku/>
        <w:wordWrap/>
        <w:overflowPunct/>
        <w:topLinePunct w:val="0"/>
        <w:bidi w:val="0"/>
        <w:spacing w:line="44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11</w:t>
      </w:r>
      <w:r>
        <w:rPr>
          <w:rFonts w:hint="eastAsia" w:ascii="宋体" w:hAnsi="宋体" w:eastAsia="宋体" w:cs="宋体"/>
          <w:b/>
          <w:color w:val="auto"/>
          <w:sz w:val="24"/>
          <w:szCs w:val="24"/>
        </w:rPr>
        <w:t>、合同的变更和终止</w:t>
      </w:r>
    </w:p>
    <w:p>
      <w:pPr>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除《政府采购法》第49条、第50条第二款规定的情形外，本合同一经签订，甲乙双方不得擅自变更、中止或终止合同。</w:t>
      </w:r>
    </w:p>
    <w:p>
      <w:pPr>
        <w:keepLines w:val="0"/>
        <w:pageBreakBefore w:val="0"/>
        <w:widowControl w:val="0"/>
        <w:kinsoku/>
        <w:wordWrap/>
        <w:overflowPunct/>
        <w:topLinePunct w:val="0"/>
        <w:bidi w:val="0"/>
        <w:spacing w:line="44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12</w:t>
      </w:r>
      <w:r>
        <w:rPr>
          <w:rFonts w:hint="eastAsia" w:ascii="宋体" w:hAnsi="宋体" w:eastAsia="宋体" w:cs="宋体"/>
          <w:b/>
          <w:color w:val="auto"/>
          <w:sz w:val="24"/>
          <w:szCs w:val="24"/>
        </w:rPr>
        <w:t>、</w:t>
      </w:r>
      <w:r>
        <w:rPr>
          <w:rFonts w:hint="eastAsia" w:ascii="宋体" w:hAnsi="宋体" w:eastAsia="宋体" w:cs="宋体"/>
          <w:b/>
          <w:bCs/>
          <w:color w:val="auto"/>
          <w:sz w:val="24"/>
          <w:szCs w:val="24"/>
          <w:lang w:val="zh-CN"/>
        </w:rPr>
        <w:t>违约责任</w:t>
      </w:r>
    </w:p>
    <w:p>
      <w:pPr>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w:t>
      </w:r>
      <w:r>
        <w:rPr>
          <w:rFonts w:hint="eastAsia" w:ascii="宋体" w:hAnsi="宋体" w:eastAsia="宋体" w:cs="宋体"/>
          <w:color w:val="auto"/>
          <w:sz w:val="24"/>
          <w:szCs w:val="24"/>
        </w:rPr>
        <w:t>按《</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》中的相关条款和本合同的约定执行。</w:t>
      </w:r>
    </w:p>
    <w:p>
      <w:pPr>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12.2、</w:t>
      </w:r>
      <w:r>
        <w:rPr>
          <w:rFonts w:hint="eastAsia" w:ascii="宋体" w:hAnsi="宋体" w:eastAsia="宋体" w:cs="宋体"/>
          <w:color w:val="auto"/>
          <w:sz w:val="24"/>
          <w:szCs w:val="24"/>
        </w:rPr>
        <w:t>未按合同或</w:t>
      </w:r>
      <w:r>
        <w:rPr>
          <w:rFonts w:hint="eastAsia" w:ascii="宋体" w:hAnsi="宋体" w:eastAsia="宋体" w:cs="宋体"/>
          <w:color w:val="auto"/>
          <w:sz w:val="24"/>
          <w:szCs w:val="24"/>
          <w:lang w:val="en-US" w:eastAsia="zh-CN"/>
        </w:rPr>
        <w:t>单一来源</w:t>
      </w:r>
      <w:r>
        <w:rPr>
          <w:rFonts w:hint="eastAsia" w:ascii="宋体" w:hAnsi="宋体" w:eastAsia="宋体" w:cs="宋体"/>
          <w:color w:val="auto"/>
          <w:sz w:val="24"/>
          <w:szCs w:val="24"/>
        </w:rPr>
        <w:t>文件要求提供产品或供应的产品质量不能满足采购人技术要求，采购人有权终止合同，甚至对供应商违约行为进行追究。</w:t>
      </w:r>
    </w:p>
    <w:p>
      <w:pPr>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outlineLvl w:val="0"/>
        <w:rPr>
          <w:rFonts w:hint="eastAsia" w:ascii="宋体" w:hAnsi="宋体" w:eastAsia="宋体" w:cs="宋体"/>
          <w:b/>
          <w:bCs/>
          <w:color w:val="auto"/>
          <w:sz w:val="24"/>
          <w:szCs w:val="24"/>
          <w:lang w:val="zh-CN"/>
        </w:rPr>
      </w:pPr>
      <w:bookmarkStart w:id="64" w:name="_Toc27594"/>
      <w:bookmarkStart w:id="65" w:name="_Toc3203"/>
      <w:r>
        <w:rPr>
          <w:rFonts w:hint="eastAsia" w:ascii="宋体" w:hAnsi="宋体" w:eastAsia="宋体" w:cs="宋体"/>
          <w:b/>
          <w:bCs/>
          <w:color w:val="auto"/>
          <w:sz w:val="24"/>
          <w:szCs w:val="24"/>
          <w:lang w:val="en-US" w:eastAsia="zh-CN"/>
        </w:rPr>
        <w:t>13</w:t>
      </w:r>
      <w:r>
        <w:rPr>
          <w:rFonts w:hint="eastAsia" w:ascii="宋体" w:hAnsi="宋体" w:eastAsia="宋体" w:cs="宋体"/>
          <w:b/>
          <w:bCs/>
          <w:color w:val="auto"/>
          <w:sz w:val="24"/>
          <w:szCs w:val="24"/>
          <w:lang w:val="zh-CN"/>
        </w:rPr>
        <w:t>、合同组成</w:t>
      </w:r>
      <w:bookmarkEnd w:id="62"/>
      <w:bookmarkEnd w:id="63"/>
      <w:bookmarkEnd w:id="64"/>
      <w:bookmarkEnd w:id="65"/>
    </w:p>
    <w:p>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1、成交通知书</w:t>
      </w:r>
    </w:p>
    <w:p>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2、合同文件</w:t>
      </w:r>
    </w:p>
    <w:p>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3、国家相关规范及标准</w:t>
      </w:r>
    </w:p>
    <w:p>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4、单一来源文件</w:t>
      </w:r>
    </w:p>
    <w:p>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5、单一来源响应文件</w:t>
      </w:r>
    </w:p>
    <w:p>
      <w:pPr>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outlineLvl w:val="0"/>
        <w:rPr>
          <w:rFonts w:hint="eastAsia" w:ascii="宋体" w:hAnsi="宋体" w:eastAsia="宋体" w:cs="宋体"/>
          <w:b/>
          <w:bCs/>
          <w:color w:val="auto"/>
          <w:sz w:val="24"/>
          <w:szCs w:val="24"/>
        </w:rPr>
      </w:pPr>
      <w:bookmarkStart w:id="66" w:name="_Toc10604"/>
      <w:bookmarkStart w:id="67" w:name="_Toc497206197"/>
      <w:bookmarkStart w:id="68" w:name="_Toc893"/>
      <w:bookmarkStart w:id="69" w:name="_Toc497206307"/>
      <w:r>
        <w:rPr>
          <w:rFonts w:hint="eastAsia" w:ascii="宋体" w:hAnsi="宋体" w:eastAsia="宋体" w:cs="宋体"/>
          <w:b/>
          <w:bCs/>
          <w:color w:val="auto"/>
          <w:sz w:val="24"/>
          <w:szCs w:val="24"/>
          <w:lang w:val="en-US" w:eastAsia="zh-CN"/>
        </w:rPr>
        <w:t>14</w:t>
      </w:r>
      <w:r>
        <w:rPr>
          <w:rFonts w:hint="eastAsia" w:ascii="宋体" w:hAnsi="宋体" w:eastAsia="宋体" w:cs="宋体"/>
          <w:b/>
          <w:bCs/>
          <w:color w:val="auto"/>
          <w:sz w:val="24"/>
          <w:szCs w:val="24"/>
          <w:lang w:val="zh-CN"/>
        </w:rPr>
        <w:t>、合同生效及其它</w:t>
      </w:r>
      <w:bookmarkEnd w:id="66"/>
      <w:bookmarkEnd w:id="67"/>
      <w:bookmarkEnd w:id="68"/>
      <w:bookmarkEnd w:id="69"/>
    </w:p>
    <w:p>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1、合同未尽事宜、由甲、乙双方协商，作为合同补充，与原合同具有同等法律效力。</w:t>
      </w:r>
    </w:p>
    <w:p>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2、本合同正本一式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份，甲方、乙方双方分别执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份，备案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3、合同经甲乙双方盖章、签字后生效，合同签订地点为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4、生效时间：    年   月  日</w:t>
      </w:r>
    </w:p>
    <w:p>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p>
    <w:tbl>
      <w:tblPr>
        <w:tblStyle w:val="36"/>
        <w:tblW w:w="9286" w:type="dxa"/>
        <w:jc w:val="center"/>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jc w:val="center"/>
        </w:trPr>
        <w:tc>
          <w:tcPr>
            <w:tcW w:w="4643" w:type="dxa"/>
          </w:tcPr>
          <w:p>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甲方名称（盖章）:</w:t>
            </w:r>
          </w:p>
          <w:p>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w:t>
            </w:r>
          </w:p>
          <w:p>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代表人（签字）：</w:t>
            </w:r>
          </w:p>
          <w:p>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电话：</w:t>
            </w:r>
          </w:p>
          <w:p>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开户银行：</w:t>
            </w:r>
          </w:p>
          <w:p>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帐号：</w:t>
            </w:r>
          </w:p>
        </w:tc>
        <w:tc>
          <w:tcPr>
            <w:tcW w:w="4643" w:type="dxa"/>
          </w:tcPr>
          <w:p>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乙方名称（盖章）:</w:t>
            </w:r>
          </w:p>
          <w:p>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w:t>
            </w:r>
          </w:p>
          <w:p>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代表人（签字）：</w:t>
            </w:r>
          </w:p>
          <w:p>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电话：</w:t>
            </w:r>
          </w:p>
          <w:p>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开户银行：</w:t>
            </w:r>
          </w:p>
          <w:p>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帐号：</w:t>
            </w:r>
          </w:p>
        </w:tc>
      </w:tr>
    </w:tbl>
    <w:p>
      <w:pPr>
        <w:pStyle w:val="16"/>
        <w:rPr>
          <w:rFonts w:hint="eastAsia" w:ascii="宋体" w:hAnsi="宋体" w:eastAsia="宋体" w:cs="宋体"/>
          <w:bCs/>
          <w:color w:val="auto"/>
          <w:sz w:val="24"/>
        </w:rPr>
      </w:pPr>
    </w:p>
    <w:p>
      <w:pPr>
        <w:pStyle w:val="22"/>
        <w:ind w:left="0" w:leftChars="0" w:firstLine="0" w:firstLineChars="0"/>
        <w:rPr>
          <w:rFonts w:hint="eastAsia" w:ascii="宋体" w:hAnsi="宋体" w:eastAsia="宋体" w:cs="宋体"/>
          <w:bCs/>
          <w:color w:val="auto"/>
          <w:sz w:val="24"/>
        </w:rPr>
      </w:pPr>
    </w:p>
    <w:p>
      <w:pPr>
        <w:pStyle w:val="22"/>
        <w:ind w:left="0" w:leftChars="0" w:firstLine="0" w:firstLineChars="0"/>
        <w:rPr>
          <w:rFonts w:hint="eastAsia" w:ascii="宋体" w:hAnsi="宋体" w:eastAsia="宋体" w:cs="宋体"/>
          <w:bCs/>
          <w:color w:val="auto"/>
          <w:sz w:val="24"/>
        </w:rPr>
      </w:pPr>
    </w:p>
    <w:p>
      <w:pPr>
        <w:pStyle w:val="22"/>
        <w:ind w:left="0" w:leftChars="0" w:firstLine="0" w:firstLineChars="0"/>
        <w:rPr>
          <w:rFonts w:hint="eastAsia" w:ascii="宋体" w:hAnsi="宋体" w:eastAsia="宋体" w:cs="宋体"/>
          <w:bCs/>
          <w:color w:val="auto"/>
          <w:sz w:val="24"/>
        </w:rPr>
      </w:pPr>
    </w:p>
    <w:p>
      <w:pPr>
        <w:pStyle w:val="22"/>
        <w:ind w:left="0" w:leftChars="0" w:firstLine="0" w:firstLineChars="0"/>
        <w:rPr>
          <w:rFonts w:hint="eastAsia" w:ascii="宋体" w:hAnsi="宋体" w:eastAsia="宋体" w:cs="宋体"/>
          <w:bCs/>
          <w:color w:val="auto"/>
          <w:sz w:val="24"/>
        </w:rPr>
      </w:pPr>
    </w:p>
    <w:p>
      <w:pPr>
        <w:pStyle w:val="22"/>
        <w:ind w:left="0" w:leftChars="0" w:firstLine="0" w:firstLineChars="0"/>
        <w:rPr>
          <w:rFonts w:hint="eastAsia" w:ascii="宋体" w:hAnsi="宋体" w:eastAsia="宋体" w:cs="宋体"/>
          <w:bCs/>
          <w:color w:val="auto"/>
          <w:sz w:val="24"/>
        </w:rPr>
      </w:pPr>
    </w:p>
    <w:p>
      <w:pPr>
        <w:pStyle w:val="22"/>
        <w:ind w:left="0" w:leftChars="0" w:firstLine="0" w:firstLineChars="0"/>
        <w:rPr>
          <w:rFonts w:hint="eastAsia" w:ascii="宋体" w:hAnsi="宋体" w:eastAsia="宋体" w:cs="宋体"/>
          <w:bCs/>
          <w:color w:val="auto"/>
          <w:sz w:val="24"/>
        </w:rPr>
      </w:pPr>
    </w:p>
    <w:p>
      <w:pPr>
        <w:pStyle w:val="22"/>
        <w:ind w:left="0" w:leftChars="0" w:firstLine="0" w:firstLineChars="0"/>
        <w:rPr>
          <w:rFonts w:hint="eastAsia" w:ascii="宋体" w:hAnsi="宋体" w:eastAsia="宋体" w:cs="宋体"/>
          <w:bCs/>
          <w:color w:val="auto"/>
          <w:sz w:val="24"/>
        </w:rPr>
      </w:pPr>
    </w:p>
    <w:p>
      <w:pPr>
        <w:pStyle w:val="22"/>
        <w:ind w:left="0" w:leftChars="0" w:firstLine="0" w:firstLineChars="0"/>
        <w:rPr>
          <w:rFonts w:hint="eastAsia" w:ascii="宋体" w:hAnsi="宋体" w:eastAsia="宋体" w:cs="宋体"/>
          <w:bCs/>
          <w:color w:val="auto"/>
          <w:sz w:val="24"/>
        </w:rPr>
      </w:pPr>
    </w:p>
    <w:p>
      <w:pPr>
        <w:pStyle w:val="22"/>
        <w:ind w:left="0" w:leftChars="0" w:firstLine="0" w:firstLineChars="0"/>
        <w:rPr>
          <w:rFonts w:hint="eastAsia" w:ascii="宋体" w:hAnsi="宋体" w:eastAsia="宋体" w:cs="宋体"/>
          <w:bCs/>
          <w:color w:val="auto"/>
          <w:sz w:val="24"/>
        </w:rPr>
      </w:pPr>
    </w:p>
    <w:p>
      <w:pPr>
        <w:pStyle w:val="22"/>
        <w:ind w:left="0" w:leftChars="0" w:firstLine="0" w:firstLineChars="0"/>
        <w:rPr>
          <w:rFonts w:hint="eastAsia" w:ascii="宋体" w:hAnsi="宋体" w:eastAsia="宋体" w:cs="宋体"/>
          <w:bCs/>
          <w:color w:val="auto"/>
          <w:sz w:val="24"/>
        </w:rPr>
      </w:pPr>
    </w:p>
    <w:p>
      <w:pPr>
        <w:pStyle w:val="22"/>
        <w:ind w:left="0" w:leftChars="0" w:firstLine="0" w:firstLineChars="0"/>
        <w:rPr>
          <w:rFonts w:hint="eastAsia" w:ascii="宋体" w:hAnsi="宋体" w:eastAsia="宋体" w:cs="宋体"/>
          <w:bCs/>
          <w:color w:val="auto"/>
          <w:sz w:val="24"/>
        </w:rPr>
      </w:pPr>
    </w:p>
    <w:bookmarkEnd w:id="34"/>
    <w:bookmarkEnd w:id="35"/>
    <w:p>
      <w:pPr>
        <w:pStyle w:val="3"/>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32"/>
          <w:szCs w:val="32"/>
          <w:lang w:val="zh-CN" w:eastAsia="zh-CN"/>
        </w:rPr>
      </w:pPr>
      <w:bookmarkStart w:id="70" w:name="_Toc12872"/>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八</w:t>
      </w:r>
      <w:r>
        <w:rPr>
          <w:rFonts w:hint="eastAsia" w:ascii="宋体" w:hAnsi="宋体" w:eastAsia="宋体" w:cs="宋体"/>
          <w:b/>
          <w:bCs/>
          <w:color w:val="auto"/>
          <w:sz w:val="32"/>
          <w:szCs w:val="32"/>
          <w:lang w:val="zh-CN" w:eastAsia="zh-CN"/>
        </w:rPr>
        <w:t>章  响应文件格式</w:t>
      </w:r>
      <w:bookmarkEnd w:id="70"/>
    </w:p>
    <w:p>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pPr>
        <w:spacing w:line="56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单一来源</w:t>
      </w:r>
      <w:r>
        <w:rPr>
          <w:rFonts w:hint="eastAsia" w:ascii="宋体" w:hAnsi="宋体" w:eastAsia="宋体" w:cs="宋体"/>
          <w:color w:val="auto"/>
          <w:sz w:val="24"/>
          <w:szCs w:val="24"/>
        </w:rPr>
        <w:t>响应文件格式是</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供应商的</w:t>
      </w:r>
      <w:r>
        <w:rPr>
          <w:rFonts w:hint="eastAsia" w:ascii="宋体" w:hAnsi="宋体" w:eastAsia="宋体" w:cs="宋体"/>
          <w:bCs/>
          <w:color w:val="auto"/>
          <w:sz w:val="24"/>
          <w:szCs w:val="24"/>
          <w:highlight w:val="none"/>
          <w:lang w:eastAsia="zh-CN"/>
        </w:rPr>
        <w:t>单一来源</w:t>
      </w:r>
      <w:r>
        <w:rPr>
          <w:rFonts w:hint="eastAsia" w:ascii="宋体" w:hAnsi="宋体" w:eastAsia="宋体" w:cs="宋体"/>
          <w:color w:val="auto"/>
          <w:sz w:val="24"/>
          <w:szCs w:val="24"/>
        </w:rPr>
        <w:t>响应文件格式，</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供应商应按照这些格式编制</w:t>
      </w:r>
      <w:r>
        <w:rPr>
          <w:rFonts w:hint="eastAsia" w:ascii="宋体" w:hAnsi="宋体" w:eastAsia="宋体" w:cs="宋体"/>
          <w:bCs/>
          <w:color w:val="auto"/>
          <w:sz w:val="24"/>
          <w:szCs w:val="24"/>
          <w:highlight w:val="none"/>
          <w:lang w:eastAsia="zh-CN"/>
        </w:rPr>
        <w:t>单一来源</w:t>
      </w:r>
      <w:r>
        <w:rPr>
          <w:rFonts w:hint="eastAsia" w:ascii="宋体" w:hAnsi="宋体" w:eastAsia="宋体" w:cs="宋体"/>
          <w:color w:val="auto"/>
          <w:sz w:val="24"/>
          <w:szCs w:val="24"/>
        </w:rPr>
        <w:t>响应文件。编制</w:t>
      </w:r>
      <w:r>
        <w:rPr>
          <w:rFonts w:hint="eastAsia" w:ascii="宋体" w:hAnsi="宋体" w:eastAsia="宋体" w:cs="宋体"/>
          <w:bCs/>
          <w:color w:val="auto"/>
          <w:sz w:val="24"/>
          <w:szCs w:val="24"/>
          <w:highlight w:val="none"/>
          <w:lang w:eastAsia="zh-CN"/>
        </w:rPr>
        <w:t>单一来源</w:t>
      </w:r>
      <w:r>
        <w:rPr>
          <w:rFonts w:hint="eastAsia" w:ascii="宋体" w:hAnsi="宋体" w:eastAsia="宋体" w:cs="宋体"/>
          <w:color w:val="auto"/>
          <w:sz w:val="24"/>
          <w:szCs w:val="24"/>
        </w:rPr>
        <w:t>响应文件前，请详细阅读</w:t>
      </w:r>
      <w:r>
        <w:rPr>
          <w:rFonts w:hint="eastAsia" w:ascii="宋体" w:hAnsi="宋体" w:eastAsia="宋体" w:cs="宋体"/>
          <w:bCs/>
          <w:color w:val="auto"/>
          <w:sz w:val="24"/>
          <w:szCs w:val="24"/>
          <w:highlight w:val="none"/>
          <w:lang w:eastAsia="zh-CN"/>
        </w:rPr>
        <w:t>单一来源</w:t>
      </w:r>
      <w:r>
        <w:rPr>
          <w:rFonts w:hint="eastAsia" w:ascii="宋体" w:hAnsi="宋体" w:eastAsia="宋体" w:cs="宋体"/>
          <w:color w:val="auto"/>
          <w:sz w:val="24"/>
          <w:szCs w:val="24"/>
        </w:rPr>
        <w:t>采购文件，理解文件中的每一项要求，逐一做出实质性响应，认为有必要，可做补充说明。</w:t>
      </w:r>
    </w:p>
    <w:p>
      <w:pPr>
        <w:rPr>
          <w:rFonts w:hint="eastAsia" w:ascii="宋体" w:hAnsi="宋体" w:eastAsia="宋体" w:cs="宋体"/>
          <w:color w:val="auto"/>
          <w:sz w:val="24"/>
          <w:szCs w:val="24"/>
          <w:lang w:val="zh-CN"/>
        </w:rPr>
      </w:pPr>
    </w:p>
    <w:p>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pPr>
        <w:spacing w:line="560" w:lineRule="exact"/>
        <w:ind w:firstLine="472" w:firstLineChars="196"/>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注:非独立企业法人参与本次谈判的，</w:t>
      </w:r>
      <w:r>
        <w:rPr>
          <w:rFonts w:hint="eastAsia" w:ascii="宋体" w:hAnsi="宋体" w:eastAsia="宋体" w:cs="宋体"/>
          <w:b/>
          <w:bCs/>
          <w:color w:val="auto"/>
          <w:sz w:val="24"/>
          <w:szCs w:val="24"/>
          <w:lang w:val="zh-CN" w:eastAsia="zh-CN"/>
        </w:rPr>
        <w:t>单一来源</w:t>
      </w:r>
      <w:r>
        <w:rPr>
          <w:rFonts w:hint="eastAsia" w:ascii="宋体" w:hAnsi="宋体" w:eastAsia="宋体" w:cs="宋体"/>
          <w:b/>
          <w:bCs/>
          <w:color w:val="auto"/>
          <w:sz w:val="24"/>
          <w:szCs w:val="24"/>
          <w:lang w:val="zh-CN"/>
        </w:rPr>
        <w:t>响应文件内涉及到法人签字盖章的部分均可由负责人签字盖章，授权书格式参照法人代表授权书。</w:t>
      </w:r>
    </w:p>
    <w:p>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pPr>
        <w:autoSpaceDE w:val="0"/>
        <w:autoSpaceDN w:val="0"/>
        <w:adjustRightInd w:val="0"/>
        <w:snapToGrid w:val="0"/>
        <w:spacing w:line="360" w:lineRule="auto"/>
        <w:jc w:val="both"/>
        <w:rPr>
          <w:rFonts w:hint="eastAsia" w:ascii="宋体" w:hAnsi="宋体" w:eastAsia="宋体" w:cs="宋体"/>
          <w:b/>
          <w:bCs/>
          <w:color w:val="auto"/>
          <w:sz w:val="36"/>
          <w:szCs w:val="36"/>
          <w:lang w:val="zh-CN"/>
        </w:rPr>
      </w:pPr>
    </w:p>
    <w:p>
      <w:pPr>
        <w:autoSpaceDE w:val="0"/>
        <w:autoSpaceDN w:val="0"/>
        <w:adjustRightInd w:val="0"/>
        <w:snapToGrid w:val="0"/>
        <w:spacing w:line="360" w:lineRule="auto"/>
        <w:jc w:val="right"/>
        <w:rPr>
          <w:rFonts w:hint="eastAsia" w:ascii="宋体" w:hAnsi="宋体" w:eastAsia="宋体" w:cs="宋体"/>
          <w:b/>
          <w:bCs/>
          <w:color w:val="auto"/>
          <w:sz w:val="36"/>
          <w:szCs w:val="36"/>
          <w:lang w:val="zh-CN"/>
        </w:rPr>
      </w:pPr>
    </w:p>
    <w:p>
      <w:pPr>
        <w:autoSpaceDE w:val="0"/>
        <w:autoSpaceDN w:val="0"/>
        <w:adjustRightInd w:val="0"/>
        <w:snapToGrid w:val="0"/>
        <w:spacing w:line="360" w:lineRule="auto"/>
        <w:jc w:val="right"/>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lang w:val="zh-CN"/>
        </w:rPr>
        <w:t>正本/副本</w:t>
      </w:r>
    </w:p>
    <w:p>
      <w:pPr>
        <w:pStyle w:val="16"/>
        <w:rPr>
          <w:rFonts w:hint="eastAsia" w:ascii="宋体" w:hAnsi="宋体" w:eastAsia="宋体" w:cs="宋体"/>
          <w:color w:val="auto"/>
          <w:lang w:val="zh-CN"/>
        </w:rPr>
      </w:pPr>
    </w:p>
    <w:p>
      <w:pPr>
        <w:autoSpaceDE w:val="0"/>
        <w:autoSpaceDN w:val="0"/>
        <w:adjustRightInd w:val="0"/>
        <w:snapToGrid w:val="0"/>
        <w:spacing w:line="360" w:lineRule="auto"/>
        <w:jc w:val="left"/>
        <w:rPr>
          <w:rFonts w:hint="eastAsia" w:ascii="宋体" w:hAnsi="宋体" w:eastAsia="宋体" w:cs="宋体"/>
          <w:b/>
          <w:bCs/>
          <w:color w:val="auto"/>
          <w:sz w:val="28"/>
          <w:szCs w:val="28"/>
        </w:rPr>
      </w:pPr>
      <w:r>
        <w:rPr>
          <w:rFonts w:hint="eastAsia" w:ascii="宋体" w:hAnsi="宋体" w:eastAsia="宋体" w:cs="宋体"/>
          <w:b/>
          <w:bCs/>
          <w:color w:val="auto"/>
          <w:sz w:val="32"/>
          <w:szCs w:val="32"/>
          <w:lang w:val="zh-CN"/>
        </w:rPr>
        <w:t xml:space="preserve">                     </w:t>
      </w:r>
    </w:p>
    <w:p>
      <w:pPr>
        <w:spacing w:line="100" w:lineRule="atLeast"/>
        <w:rPr>
          <w:rFonts w:hint="eastAsia" w:ascii="宋体" w:hAnsi="宋体" w:eastAsia="宋体" w:cs="宋体"/>
          <w:b/>
          <w:color w:val="auto"/>
          <w:sz w:val="28"/>
          <w:szCs w:val="28"/>
          <w:u w:val="single"/>
        </w:rPr>
      </w:pPr>
      <w:r>
        <w:rPr>
          <w:rFonts w:hint="eastAsia" w:ascii="宋体" w:hAnsi="宋体" w:eastAsia="宋体" w:cs="宋体"/>
          <w:b/>
          <w:bCs/>
          <w:color w:val="auto"/>
          <w:sz w:val="28"/>
          <w:szCs w:val="28"/>
        </w:rPr>
        <w:t>项目编号：ZFCG-泾阳县-2023-00009</w:t>
      </w:r>
    </w:p>
    <w:p>
      <w:pPr>
        <w:pStyle w:val="2"/>
        <w:jc w:val="both"/>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2"/>
        <w:keepNext/>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val="en-US" w:eastAsia="zh-CN"/>
        </w:rPr>
        <w:t>泾阳县县委、政府两院光纤使用费项目</w:t>
      </w:r>
    </w:p>
    <w:p>
      <w:pPr>
        <w:pStyle w:val="2"/>
        <w:rPr>
          <w:rFonts w:hint="eastAsia" w:ascii="宋体" w:hAnsi="宋体" w:eastAsia="宋体" w:cs="宋体"/>
          <w:b/>
          <w:bCs/>
          <w:color w:val="auto"/>
          <w:sz w:val="28"/>
          <w:szCs w:val="28"/>
        </w:rPr>
      </w:pPr>
    </w:p>
    <w:p>
      <w:pPr>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color w:val="auto"/>
        </w:rPr>
      </w:pPr>
    </w:p>
    <w:p>
      <w:pPr>
        <w:rPr>
          <w:rFonts w:hint="eastAsia" w:ascii="宋体" w:hAnsi="宋体" w:eastAsia="宋体" w:cs="宋体"/>
          <w:color w:val="auto"/>
        </w:rPr>
      </w:pPr>
    </w:p>
    <w:p>
      <w:pPr>
        <w:tabs>
          <w:tab w:val="left" w:pos="5670"/>
        </w:tabs>
        <w:autoSpaceDE w:val="0"/>
        <w:autoSpaceDN w:val="0"/>
        <w:adjustRightInd w:val="0"/>
        <w:snapToGrid w:val="0"/>
        <w:spacing w:line="360" w:lineRule="auto"/>
        <w:jc w:val="center"/>
        <w:rPr>
          <w:rFonts w:hint="eastAsia" w:ascii="宋体" w:hAnsi="宋体" w:eastAsia="宋体" w:cs="宋体"/>
          <w:b/>
          <w:bCs/>
          <w:color w:val="auto"/>
          <w:sz w:val="52"/>
          <w:szCs w:val="52"/>
          <w:lang w:val="zh-CN"/>
        </w:rPr>
      </w:pPr>
      <w:r>
        <w:rPr>
          <w:rFonts w:hint="eastAsia" w:ascii="宋体" w:hAnsi="宋体" w:eastAsia="宋体" w:cs="宋体"/>
          <w:b/>
          <w:bCs/>
          <w:color w:val="auto"/>
          <w:sz w:val="52"/>
          <w:szCs w:val="52"/>
          <w:lang w:val="zh-CN" w:eastAsia="zh-CN"/>
        </w:rPr>
        <w:t>单一来源</w:t>
      </w:r>
      <w:r>
        <w:rPr>
          <w:rFonts w:hint="eastAsia" w:ascii="宋体" w:hAnsi="宋体" w:eastAsia="宋体" w:cs="宋体"/>
          <w:b/>
          <w:bCs/>
          <w:color w:val="auto"/>
          <w:sz w:val="52"/>
          <w:szCs w:val="52"/>
          <w:lang w:val="zh-CN"/>
        </w:rPr>
        <w:t>响应文件</w:t>
      </w:r>
    </w:p>
    <w:p>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pPr>
        <w:pStyle w:val="16"/>
        <w:rPr>
          <w:rFonts w:hint="eastAsia" w:ascii="宋体" w:hAnsi="宋体" w:eastAsia="宋体" w:cs="宋体"/>
          <w:color w:val="auto"/>
        </w:rPr>
      </w:pPr>
    </w:p>
    <w:p>
      <w:pPr>
        <w:tabs>
          <w:tab w:val="left" w:pos="5670"/>
        </w:tabs>
        <w:autoSpaceDE w:val="0"/>
        <w:autoSpaceDN w:val="0"/>
        <w:adjustRightInd w:val="0"/>
        <w:snapToGrid w:val="0"/>
        <w:spacing w:line="360" w:lineRule="auto"/>
        <w:jc w:val="center"/>
        <w:rPr>
          <w:rFonts w:hint="eastAsia" w:ascii="宋体" w:hAnsi="宋体" w:eastAsia="宋体" w:cs="宋体"/>
          <w:color w:val="auto"/>
          <w:sz w:val="28"/>
          <w:szCs w:val="28"/>
        </w:rPr>
      </w:pPr>
    </w:p>
    <w:p>
      <w:pPr>
        <w:pStyle w:val="2"/>
        <w:rPr>
          <w:rFonts w:hint="eastAsia" w:ascii="宋体" w:hAnsi="宋体" w:eastAsia="宋体" w:cs="宋体"/>
        </w:rPr>
      </w:pPr>
    </w:p>
    <w:p>
      <w:pPr>
        <w:autoSpaceDE w:val="0"/>
        <w:autoSpaceDN w:val="0"/>
        <w:adjustRightInd w:val="0"/>
        <w:snapToGrid w:val="0"/>
        <w:spacing w:line="360" w:lineRule="auto"/>
        <w:rPr>
          <w:rFonts w:hint="eastAsia" w:ascii="宋体" w:hAnsi="宋体" w:eastAsia="宋体" w:cs="宋体"/>
          <w:color w:val="auto"/>
          <w:sz w:val="28"/>
          <w:szCs w:val="28"/>
          <w:u w:val="single"/>
        </w:rPr>
      </w:pPr>
    </w:p>
    <w:p>
      <w:pPr>
        <w:autoSpaceDE w:val="0"/>
        <w:autoSpaceDN w:val="0"/>
        <w:adjustRightInd w:val="0"/>
        <w:snapToGrid w:val="0"/>
        <w:spacing w:line="360" w:lineRule="auto"/>
        <w:ind w:firstLine="869" w:firstLineChars="309"/>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lang w:val="zh-CN"/>
        </w:rPr>
        <w:t>谈判供应商：</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（单位盖章）</w:t>
      </w:r>
    </w:p>
    <w:p>
      <w:pPr>
        <w:autoSpaceDE w:val="0"/>
        <w:autoSpaceDN w:val="0"/>
        <w:adjustRightInd w:val="0"/>
        <w:snapToGrid w:val="0"/>
        <w:spacing w:line="360" w:lineRule="auto"/>
        <w:ind w:firstLine="869" w:firstLineChars="309"/>
        <w:jc w:val="left"/>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法定代表人或其授权代表：</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（签字或盖章）</w:t>
      </w:r>
    </w:p>
    <w:p>
      <w:pPr>
        <w:autoSpaceDE w:val="0"/>
        <w:autoSpaceDN w:val="0"/>
        <w:adjustRightInd w:val="0"/>
        <w:snapToGrid w:val="0"/>
        <w:spacing w:line="360" w:lineRule="auto"/>
        <w:ind w:firstLine="869" w:firstLineChars="309"/>
        <w:rPr>
          <w:rFonts w:hint="eastAsia" w:ascii="宋体" w:hAnsi="宋体" w:eastAsia="宋体" w:cs="宋体"/>
          <w:bCs/>
          <w:color w:val="auto"/>
          <w:sz w:val="28"/>
          <w:szCs w:val="28"/>
        </w:rPr>
      </w:pPr>
      <w:r>
        <w:rPr>
          <w:rFonts w:hint="eastAsia" w:ascii="宋体" w:hAnsi="宋体" w:eastAsia="宋体" w:cs="宋体"/>
          <w:b/>
          <w:bCs/>
          <w:color w:val="auto"/>
          <w:sz w:val="28"/>
          <w:szCs w:val="28"/>
          <w:lang w:val="zh-CN"/>
        </w:rPr>
        <w:t>时  间：</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      </w:t>
      </w:r>
      <w:r>
        <w:rPr>
          <w:rFonts w:hint="eastAsia" w:ascii="宋体" w:hAnsi="宋体" w:eastAsia="宋体" w:cs="宋体"/>
          <w:bCs/>
          <w:color w:val="auto"/>
          <w:sz w:val="28"/>
          <w:szCs w:val="28"/>
        </w:rPr>
        <w:t xml:space="preserve">     </w:t>
      </w:r>
    </w:p>
    <w:p>
      <w:pPr>
        <w:autoSpaceDE w:val="0"/>
        <w:autoSpaceDN w:val="0"/>
        <w:adjustRightInd w:val="0"/>
        <w:snapToGrid w:val="0"/>
        <w:spacing w:line="360" w:lineRule="auto"/>
        <w:rPr>
          <w:rFonts w:hint="eastAsia" w:ascii="宋体" w:hAnsi="宋体" w:eastAsia="宋体" w:cs="宋体"/>
          <w:b/>
          <w:bCs/>
          <w:color w:val="auto"/>
          <w:sz w:val="28"/>
          <w:szCs w:val="28"/>
          <w:lang w:val="zh-CN"/>
        </w:rPr>
        <w:sectPr>
          <w:headerReference r:id="rId16" w:type="default"/>
          <w:footerReference r:id="rId17"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pPr>
        <w:autoSpaceDE w:val="0"/>
        <w:autoSpaceDN w:val="0"/>
        <w:adjustRightInd w:val="0"/>
        <w:snapToGrid w:val="0"/>
        <w:spacing w:line="360" w:lineRule="auto"/>
        <w:jc w:val="center"/>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lang w:val="zh-CN"/>
        </w:rPr>
        <w:t>目   录</w:t>
      </w:r>
    </w:p>
    <w:p>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eastAsia="zh-CN"/>
        </w:rPr>
        <w:t>第一部分</w:t>
      </w:r>
      <w:r>
        <w:rPr>
          <w:rFonts w:hint="eastAsia" w:ascii="宋体" w:hAnsi="宋体" w:eastAsia="宋体" w:cs="宋体"/>
          <w:b w:val="0"/>
          <w:bCs w:val="0"/>
          <w:color w:val="auto"/>
          <w:sz w:val="24"/>
          <w:szCs w:val="24"/>
          <w:lang w:val="zh-CN"/>
        </w:rPr>
        <w:t xml:space="preserve"> </w:t>
      </w:r>
      <w:r>
        <w:rPr>
          <w:rFonts w:hint="eastAsia" w:ascii="宋体" w:hAnsi="宋体" w:eastAsia="宋体" w:cs="宋体"/>
          <w:b w:val="0"/>
          <w:bCs w:val="0"/>
          <w:color w:val="auto"/>
          <w:sz w:val="24"/>
          <w:szCs w:val="24"/>
          <w:lang w:val="zh-CN" w:eastAsia="zh-CN"/>
        </w:rPr>
        <w:t xml:space="preserve"> </w:t>
      </w:r>
      <w:r>
        <w:rPr>
          <w:rFonts w:hint="eastAsia" w:ascii="宋体" w:hAnsi="宋体" w:eastAsia="宋体" w:cs="宋体"/>
          <w:b w:val="0"/>
          <w:bCs w:val="0"/>
          <w:color w:val="auto"/>
          <w:sz w:val="24"/>
          <w:szCs w:val="24"/>
          <w:lang w:val="zh-CN"/>
        </w:rPr>
        <w:t xml:space="preserve">谈判响应函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 xml:space="preserve">第二部分  第一次谈判报价表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eastAsia="zh-CN"/>
        </w:rPr>
        <w:t>第三部分  分项报价表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zh-CN" w:eastAsia="zh-CN"/>
        </w:rPr>
        <w:t>四</w:t>
      </w:r>
      <w:r>
        <w:rPr>
          <w:rFonts w:hint="eastAsia" w:ascii="宋体" w:hAnsi="宋体" w:eastAsia="宋体" w:cs="宋体"/>
          <w:b w:val="0"/>
          <w:bCs w:val="0"/>
          <w:color w:val="auto"/>
          <w:sz w:val="24"/>
          <w:szCs w:val="24"/>
          <w:lang w:val="zh-CN"/>
        </w:rPr>
        <w:t>部分</w:t>
      </w:r>
      <w:r>
        <w:rPr>
          <w:rFonts w:hint="eastAsia" w:ascii="宋体" w:hAnsi="宋体" w:eastAsia="宋体" w:cs="宋体"/>
          <w:b w:val="0"/>
          <w:bCs w:val="0"/>
          <w:color w:val="auto"/>
          <w:sz w:val="24"/>
          <w:szCs w:val="24"/>
          <w:lang w:val="zh-CN" w:eastAsia="zh-CN"/>
        </w:rPr>
        <w:t xml:space="preserve">  </w:t>
      </w:r>
      <w:r>
        <w:rPr>
          <w:rFonts w:hint="eastAsia" w:ascii="宋体" w:hAnsi="宋体" w:eastAsia="宋体" w:cs="宋体"/>
          <w:b w:val="0"/>
          <w:bCs w:val="0"/>
          <w:color w:val="auto"/>
          <w:sz w:val="24"/>
          <w:szCs w:val="24"/>
          <w:lang w:val="zh-CN"/>
        </w:rPr>
        <w:t>偏离</w:t>
      </w:r>
      <w:r>
        <w:rPr>
          <w:rFonts w:hint="eastAsia" w:ascii="宋体" w:hAnsi="宋体" w:eastAsia="宋体" w:cs="宋体"/>
          <w:b w:val="0"/>
          <w:bCs w:val="0"/>
          <w:color w:val="auto"/>
          <w:sz w:val="24"/>
          <w:szCs w:val="24"/>
          <w:lang w:val="zh-CN" w:eastAsia="zh-CN"/>
        </w:rPr>
        <w:t>表</w:t>
      </w:r>
      <w:r>
        <w:rPr>
          <w:rFonts w:hint="eastAsia" w:ascii="宋体" w:hAnsi="宋体" w:eastAsia="宋体" w:cs="宋体"/>
          <w:b w:val="0"/>
          <w:bCs w:val="0"/>
          <w:color w:val="auto"/>
          <w:sz w:val="24"/>
          <w:szCs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zh-CN" w:eastAsia="zh-CN"/>
        </w:rPr>
        <w:t>五</w:t>
      </w:r>
      <w:r>
        <w:rPr>
          <w:rFonts w:hint="eastAsia" w:ascii="宋体" w:hAnsi="宋体" w:eastAsia="宋体" w:cs="宋体"/>
          <w:b w:val="0"/>
          <w:bCs w:val="0"/>
          <w:color w:val="auto"/>
          <w:sz w:val="24"/>
          <w:szCs w:val="24"/>
          <w:lang w:val="zh-CN"/>
        </w:rPr>
        <w:t xml:space="preserve">部分  谈判方案说明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zh-CN" w:eastAsia="zh-CN"/>
        </w:rPr>
        <w:t>六</w:t>
      </w:r>
      <w:r>
        <w:rPr>
          <w:rFonts w:hint="eastAsia" w:ascii="宋体" w:hAnsi="宋体" w:eastAsia="宋体" w:cs="宋体"/>
          <w:b w:val="0"/>
          <w:bCs w:val="0"/>
          <w:color w:val="auto"/>
          <w:sz w:val="24"/>
          <w:szCs w:val="24"/>
          <w:lang w:val="zh-CN"/>
        </w:rPr>
        <w:t>部分  供应商</w:t>
      </w:r>
      <w:r>
        <w:rPr>
          <w:rFonts w:hint="eastAsia" w:ascii="宋体" w:hAnsi="宋体" w:eastAsia="宋体" w:cs="宋体"/>
          <w:b w:val="0"/>
          <w:bCs w:val="0"/>
          <w:color w:val="auto"/>
          <w:sz w:val="24"/>
          <w:szCs w:val="24"/>
          <w:lang w:val="en-US" w:eastAsia="zh-CN"/>
        </w:rPr>
        <w:t>承诺书</w:t>
      </w:r>
      <w:r>
        <w:rPr>
          <w:rFonts w:hint="eastAsia" w:ascii="宋体" w:hAnsi="宋体" w:eastAsia="宋体" w:cs="宋体"/>
          <w:b w:val="0"/>
          <w:bCs w:val="0"/>
          <w:color w:val="auto"/>
          <w:sz w:val="24"/>
          <w:szCs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zh-CN" w:eastAsia="zh-CN"/>
        </w:rPr>
        <w:t>七</w:t>
      </w:r>
      <w:r>
        <w:rPr>
          <w:rFonts w:hint="eastAsia" w:ascii="宋体" w:hAnsi="宋体" w:eastAsia="宋体" w:cs="宋体"/>
          <w:b w:val="0"/>
          <w:bCs w:val="0"/>
          <w:color w:val="auto"/>
          <w:sz w:val="24"/>
          <w:szCs w:val="24"/>
          <w:lang w:val="zh-CN"/>
        </w:rPr>
        <w:t>部分</w:t>
      </w:r>
      <w:r>
        <w:rPr>
          <w:rFonts w:hint="eastAsia" w:ascii="宋体" w:hAnsi="宋体" w:eastAsia="宋体" w:cs="宋体"/>
          <w:b w:val="0"/>
          <w:bCs w:val="0"/>
          <w:color w:val="auto"/>
          <w:sz w:val="24"/>
          <w:szCs w:val="24"/>
          <w:lang w:val="zh-CN" w:eastAsia="zh-CN"/>
        </w:rPr>
        <w:t xml:space="preserve">  </w:t>
      </w:r>
      <w:r>
        <w:rPr>
          <w:rFonts w:hint="eastAsia" w:ascii="宋体" w:hAnsi="宋体" w:eastAsia="宋体" w:cs="宋体"/>
          <w:b w:val="0"/>
          <w:bCs w:val="0"/>
          <w:color w:val="auto"/>
          <w:sz w:val="24"/>
          <w:szCs w:val="24"/>
          <w:lang w:val="zh-CN"/>
        </w:rPr>
        <w:t>供应商资质证明文件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zh-CN" w:eastAsia="zh-CN"/>
        </w:rPr>
        <w:t>八</w:t>
      </w:r>
      <w:r>
        <w:rPr>
          <w:rFonts w:hint="eastAsia" w:ascii="宋体" w:hAnsi="宋体" w:eastAsia="宋体" w:cs="宋体"/>
          <w:b w:val="0"/>
          <w:bCs w:val="0"/>
          <w:color w:val="auto"/>
          <w:sz w:val="24"/>
          <w:szCs w:val="24"/>
          <w:lang w:val="zh-CN"/>
        </w:rPr>
        <w:t xml:space="preserve">部分  </w:t>
      </w:r>
      <w:r>
        <w:rPr>
          <w:rFonts w:hint="eastAsia" w:ascii="宋体" w:hAnsi="宋体" w:eastAsia="宋体" w:cs="宋体"/>
          <w:color w:val="auto"/>
          <w:sz w:val="24"/>
          <w:szCs w:val="24"/>
        </w:rPr>
        <w:t>提供政府采购政策证明材料</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eastAsia="zh-CN"/>
        </w:rPr>
        <w:t>第九部分  其他资料</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eastAsia="zh-CN"/>
        </w:rPr>
        <w:t xml:space="preserve"> </w:t>
      </w:r>
      <w:r>
        <w:rPr>
          <w:rFonts w:hint="eastAsia" w:ascii="宋体" w:hAnsi="宋体" w:eastAsia="宋体" w:cs="宋体"/>
          <w:b w:val="0"/>
          <w:bCs w:val="0"/>
          <w:color w:val="auto"/>
          <w:sz w:val="24"/>
          <w:szCs w:val="24"/>
          <w:lang w:val="zh-CN"/>
        </w:rPr>
        <w:t xml:space="preserve"> </w:t>
      </w:r>
    </w:p>
    <w:p>
      <w:pPr>
        <w:autoSpaceDE w:val="0"/>
        <w:autoSpaceDN w:val="0"/>
        <w:adjustRightInd w:val="0"/>
        <w:jc w:val="left"/>
        <w:rPr>
          <w:rFonts w:hint="eastAsia" w:ascii="宋体" w:hAnsi="宋体" w:eastAsia="宋体" w:cs="宋体"/>
          <w:b/>
          <w:bCs/>
          <w:color w:val="auto"/>
          <w:sz w:val="28"/>
          <w:szCs w:val="28"/>
          <w:lang w:val="zh-CN"/>
        </w:rPr>
      </w:pPr>
    </w:p>
    <w:p>
      <w:pPr>
        <w:autoSpaceDE w:val="0"/>
        <w:autoSpaceDN w:val="0"/>
        <w:adjustRightInd w:val="0"/>
        <w:jc w:val="left"/>
        <w:rPr>
          <w:rFonts w:hint="eastAsia" w:ascii="宋体" w:hAnsi="宋体" w:eastAsia="宋体" w:cs="宋体"/>
          <w:b/>
          <w:bCs/>
          <w:color w:val="auto"/>
          <w:sz w:val="28"/>
          <w:szCs w:val="28"/>
          <w:lang w:val="zh-CN"/>
        </w:rPr>
      </w:pPr>
    </w:p>
    <w:p>
      <w:pPr>
        <w:autoSpaceDE w:val="0"/>
        <w:autoSpaceDN w:val="0"/>
        <w:adjustRightInd w:val="0"/>
        <w:jc w:val="left"/>
        <w:rPr>
          <w:rFonts w:hint="eastAsia" w:ascii="宋体" w:hAnsi="宋体" w:eastAsia="宋体" w:cs="宋体"/>
          <w:b/>
          <w:bCs/>
          <w:color w:val="auto"/>
          <w:sz w:val="28"/>
          <w:szCs w:val="28"/>
          <w:lang w:val="zh-CN"/>
        </w:rPr>
      </w:pPr>
    </w:p>
    <w:p>
      <w:pPr>
        <w:autoSpaceDE w:val="0"/>
        <w:autoSpaceDN w:val="0"/>
        <w:adjustRightInd w:val="0"/>
        <w:jc w:val="left"/>
        <w:rPr>
          <w:rFonts w:hint="eastAsia" w:ascii="宋体" w:hAnsi="宋体" w:eastAsia="宋体" w:cs="宋体"/>
          <w:b/>
          <w:bCs/>
          <w:color w:val="auto"/>
          <w:sz w:val="28"/>
          <w:szCs w:val="28"/>
          <w:lang w:val="zh-CN"/>
        </w:rPr>
      </w:pPr>
    </w:p>
    <w:p>
      <w:pPr>
        <w:autoSpaceDE w:val="0"/>
        <w:autoSpaceDN w:val="0"/>
        <w:adjustRightInd w:val="0"/>
        <w:jc w:val="left"/>
        <w:rPr>
          <w:rFonts w:hint="eastAsia" w:ascii="宋体" w:hAnsi="宋体" w:eastAsia="宋体" w:cs="宋体"/>
          <w:b/>
          <w:bCs/>
          <w:color w:val="auto"/>
          <w:sz w:val="28"/>
          <w:szCs w:val="28"/>
          <w:lang w:val="zh-CN"/>
        </w:rPr>
      </w:pPr>
    </w:p>
    <w:p>
      <w:pPr>
        <w:autoSpaceDE w:val="0"/>
        <w:autoSpaceDN w:val="0"/>
        <w:adjustRightInd w:val="0"/>
        <w:jc w:val="left"/>
        <w:rPr>
          <w:rFonts w:hint="eastAsia" w:ascii="宋体" w:hAnsi="宋体" w:eastAsia="宋体" w:cs="宋体"/>
          <w:b/>
          <w:bCs/>
          <w:color w:val="auto"/>
          <w:sz w:val="28"/>
          <w:szCs w:val="28"/>
          <w:lang w:val="zh-CN"/>
        </w:rPr>
      </w:pPr>
    </w:p>
    <w:p>
      <w:pPr>
        <w:autoSpaceDE w:val="0"/>
        <w:autoSpaceDN w:val="0"/>
        <w:adjustRightInd w:val="0"/>
        <w:jc w:val="left"/>
        <w:rPr>
          <w:rFonts w:hint="eastAsia" w:ascii="宋体" w:hAnsi="宋体" w:eastAsia="宋体" w:cs="宋体"/>
          <w:b/>
          <w:bCs/>
          <w:color w:val="auto"/>
          <w:sz w:val="28"/>
          <w:szCs w:val="28"/>
          <w:lang w:val="zh-CN"/>
        </w:rPr>
      </w:pPr>
    </w:p>
    <w:p>
      <w:pPr>
        <w:autoSpaceDE w:val="0"/>
        <w:autoSpaceDN w:val="0"/>
        <w:adjustRightInd w:val="0"/>
        <w:jc w:val="center"/>
        <w:rPr>
          <w:rFonts w:hint="eastAsia" w:ascii="宋体" w:hAnsi="宋体" w:eastAsia="宋体" w:cs="宋体"/>
          <w:b/>
          <w:bCs/>
          <w:color w:val="auto"/>
          <w:sz w:val="28"/>
          <w:szCs w:val="28"/>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pPr>
        <w:pStyle w:val="4"/>
        <w:keepNext/>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Cs w:val="28"/>
          <w:lang w:val="zh-CN" w:eastAsia="zh-CN"/>
        </w:rPr>
      </w:pPr>
      <w:r>
        <w:rPr>
          <w:rFonts w:hint="eastAsia" w:ascii="宋体" w:hAnsi="宋体" w:eastAsia="宋体" w:cs="宋体"/>
          <w:b/>
          <w:bCs/>
          <w:color w:val="auto"/>
          <w:szCs w:val="28"/>
          <w:lang w:val="zh-CN" w:eastAsia="zh-CN"/>
        </w:rPr>
        <w:t>第一部分  谈判响应函</w:t>
      </w:r>
    </w:p>
    <w:p>
      <w:pPr>
        <w:autoSpaceDE w:val="0"/>
        <w:autoSpaceDN w:val="0"/>
        <w:adjustRightInd w:val="0"/>
        <w:spacing w:line="480" w:lineRule="exact"/>
        <w:rPr>
          <w:rFonts w:hint="eastAsia" w:ascii="宋体" w:hAnsi="宋体" w:eastAsia="宋体" w:cs="宋体"/>
          <w:color w:val="auto"/>
          <w:sz w:val="24"/>
          <w:szCs w:val="24"/>
        </w:rPr>
      </w:pPr>
    </w:p>
    <w:p>
      <w:pPr>
        <w:autoSpaceDE w:val="0"/>
        <w:autoSpaceDN w:val="0"/>
        <w:adjustRightInd w:val="0"/>
        <w:spacing w:line="480" w:lineRule="exact"/>
        <w:rPr>
          <w:rFonts w:hint="eastAsia" w:ascii="宋体" w:hAnsi="宋体" w:eastAsia="宋体" w:cs="宋体"/>
          <w:b/>
          <w:bCs/>
          <w:color w:val="auto"/>
          <w:sz w:val="24"/>
          <w:szCs w:val="24"/>
          <w:lang w:val="zh-CN"/>
        </w:rPr>
      </w:pPr>
      <w:r>
        <w:rPr>
          <w:rFonts w:hint="eastAsia" w:ascii="宋体" w:hAnsi="宋体" w:eastAsia="宋体" w:cs="宋体"/>
          <w:color w:val="auto"/>
          <w:sz w:val="24"/>
          <w:szCs w:val="24"/>
          <w:lang w:val="en-US" w:eastAsia="zh-CN"/>
        </w:rPr>
        <w:t>泾阳县政府采购中心</w:t>
      </w:r>
      <w:r>
        <w:rPr>
          <w:rFonts w:hint="eastAsia" w:ascii="宋体" w:hAnsi="宋体" w:eastAsia="宋体" w:cs="宋体"/>
          <w:b/>
          <w:bCs/>
          <w:color w:val="auto"/>
          <w:sz w:val="24"/>
          <w:szCs w:val="24"/>
          <w:lang w:val="zh-CN"/>
        </w:rPr>
        <w:t>：</w:t>
      </w:r>
    </w:p>
    <w:p>
      <w:pPr>
        <w:autoSpaceDE w:val="0"/>
        <w:autoSpaceDN w:val="0"/>
        <w:adjustRightInd w:val="0"/>
        <w:snapToGrid w:val="0"/>
        <w:spacing w:line="480" w:lineRule="exact"/>
        <w:ind w:firstLine="629"/>
        <w:rPr>
          <w:rFonts w:hint="eastAsia" w:ascii="宋体" w:hAnsi="宋体" w:eastAsia="宋体" w:cs="宋体"/>
          <w:color w:val="auto"/>
          <w:sz w:val="24"/>
          <w:szCs w:val="24"/>
        </w:rPr>
      </w:pPr>
      <w:r>
        <w:rPr>
          <w:rFonts w:hint="eastAsia" w:ascii="宋体" w:hAnsi="宋体" w:eastAsia="宋体" w:cs="宋体"/>
          <w:color w:val="auto"/>
          <w:sz w:val="24"/>
          <w:szCs w:val="24"/>
          <w:lang w:val="zh-CN"/>
        </w:rPr>
        <w:t>我单位收到贵公司</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（项目</w:t>
      </w:r>
      <w:r>
        <w:rPr>
          <w:rFonts w:hint="eastAsia" w:ascii="宋体" w:hAnsi="宋体" w:eastAsia="宋体" w:cs="宋体"/>
          <w:color w:val="auto"/>
          <w:sz w:val="24"/>
          <w:szCs w:val="24"/>
          <w:u w:val="single"/>
          <w:lang w:val="en-US" w:eastAsia="zh-CN"/>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u w:val="single"/>
          <w:lang w:val="zh-CN"/>
        </w:rPr>
        <w:t>（</w:t>
      </w:r>
      <w:r>
        <w:rPr>
          <w:rFonts w:hint="eastAsia" w:ascii="宋体" w:hAnsi="宋体" w:eastAsia="宋体" w:cs="宋体"/>
          <w:color w:val="auto"/>
          <w:kern w:val="0"/>
          <w:sz w:val="24"/>
          <w:szCs w:val="24"/>
          <w:u w:val="single"/>
        </w:rPr>
        <w:t>项目编号</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Cs/>
          <w:color w:val="auto"/>
          <w:sz w:val="24"/>
          <w:szCs w:val="24"/>
          <w:highlight w:val="none"/>
          <w:lang w:eastAsia="zh-CN"/>
        </w:rPr>
        <w:t>单一来源</w:t>
      </w:r>
      <w:r>
        <w:rPr>
          <w:rFonts w:hint="eastAsia" w:ascii="宋体" w:hAnsi="宋体" w:eastAsia="宋体" w:cs="宋体"/>
          <w:color w:val="auto"/>
          <w:sz w:val="24"/>
          <w:szCs w:val="24"/>
          <w:lang w:val="zh-CN"/>
        </w:rPr>
        <w:t>文件，经详细研究，我们决定参加本次谈判活动。为此，我方郑重声明以下诸点，并负法律责任。</w:t>
      </w:r>
    </w:p>
    <w:p>
      <w:pPr>
        <w:autoSpaceDE w:val="0"/>
        <w:autoSpaceDN w:val="0"/>
        <w:adjustRightInd w:val="0"/>
        <w:snapToGrid w:val="0"/>
        <w:spacing w:line="480" w:lineRule="exact"/>
        <w:ind w:firstLine="62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、愿意按照</w:t>
      </w:r>
      <w:r>
        <w:rPr>
          <w:rFonts w:hint="eastAsia" w:ascii="宋体" w:hAnsi="宋体" w:eastAsia="宋体" w:cs="宋体"/>
          <w:bCs/>
          <w:color w:val="auto"/>
          <w:sz w:val="24"/>
          <w:szCs w:val="24"/>
          <w:highlight w:val="none"/>
          <w:lang w:eastAsia="zh-CN"/>
        </w:rPr>
        <w:t>单一来源</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文件中的一切要求，提供谈判技术服务，完成合同的责任和义务。</w:t>
      </w:r>
    </w:p>
    <w:p>
      <w:pPr>
        <w:autoSpaceDE w:val="0"/>
        <w:autoSpaceDN w:val="0"/>
        <w:adjustRightInd w:val="0"/>
        <w:snapToGrid w:val="0"/>
        <w:spacing w:line="480" w:lineRule="exact"/>
        <w:ind w:firstLine="62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、按</w:t>
      </w:r>
      <w:r>
        <w:rPr>
          <w:rFonts w:hint="eastAsia" w:ascii="宋体" w:hAnsi="宋体" w:cs="宋体"/>
          <w:color w:val="auto"/>
          <w:sz w:val="24"/>
          <w:szCs w:val="24"/>
          <w:lang w:val="en-US" w:eastAsia="zh-CN"/>
        </w:rPr>
        <w:t>单一来源</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文件的规定，我公司的第一次谈判总报价为：人民币（</w:t>
      </w:r>
      <w:r>
        <w:rPr>
          <w:rFonts w:hint="eastAsia" w:ascii="宋体" w:hAnsi="宋体" w:eastAsia="宋体" w:cs="宋体"/>
          <w:color w:val="auto"/>
          <w:sz w:val="24"/>
          <w:szCs w:val="24"/>
          <w:u w:val="single"/>
          <w:lang w:val="zh-CN"/>
        </w:rPr>
        <w:t>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zh-CN"/>
        </w:rPr>
        <w:t>元）</w:t>
      </w:r>
      <w:r>
        <w:rPr>
          <w:rFonts w:hint="eastAsia" w:ascii="宋体" w:hAnsi="宋体" w:eastAsia="宋体" w:cs="宋体"/>
          <w:color w:val="auto"/>
          <w:sz w:val="24"/>
          <w:szCs w:val="24"/>
          <w:lang w:val="zh-CN"/>
        </w:rPr>
        <w:t>，并对其后的谈判报价负法律责任。</w:t>
      </w:r>
    </w:p>
    <w:p>
      <w:pPr>
        <w:autoSpaceDE w:val="0"/>
        <w:autoSpaceDN w:val="0"/>
        <w:adjustRightInd w:val="0"/>
        <w:snapToGrid w:val="0"/>
        <w:spacing w:line="480" w:lineRule="exact"/>
        <w:ind w:firstLine="629"/>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、我方提交的响应文件</w:t>
      </w:r>
      <w:r>
        <w:rPr>
          <w:rFonts w:hint="eastAsia" w:ascii="宋体" w:hAnsi="宋体" w:eastAsia="宋体" w:cs="宋体"/>
          <w:color w:val="auto"/>
          <w:sz w:val="24"/>
          <w:szCs w:val="24"/>
          <w:highlight w:val="none"/>
          <w:lang w:val="zh-CN"/>
        </w:rPr>
        <w:t>正本一份、副本</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lang w:val="zh-CN"/>
        </w:rPr>
        <w:t>份、电子标书</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lang w:val="zh-CN"/>
        </w:rPr>
        <w:t>份。</w:t>
      </w:r>
    </w:p>
    <w:p>
      <w:pPr>
        <w:autoSpaceDE w:val="0"/>
        <w:autoSpaceDN w:val="0"/>
        <w:adjustRightInd w:val="0"/>
        <w:snapToGrid w:val="0"/>
        <w:spacing w:line="480" w:lineRule="exact"/>
        <w:ind w:firstLine="629"/>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、我方已详细阅读了</w:t>
      </w:r>
      <w:r>
        <w:rPr>
          <w:rFonts w:hint="eastAsia" w:ascii="宋体" w:hAnsi="宋体" w:eastAsia="宋体" w:cs="宋体"/>
          <w:bCs/>
          <w:color w:val="auto"/>
          <w:sz w:val="24"/>
          <w:szCs w:val="24"/>
          <w:highlight w:val="none"/>
          <w:lang w:eastAsia="zh-CN"/>
        </w:rPr>
        <w:t>单一来源</w:t>
      </w:r>
      <w:r>
        <w:rPr>
          <w:rFonts w:hint="eastAsia" w:ascii="宋体" w:hAnsi="宋体" w:eastAsia="宋体" w:cs="宋体"/>
          <w:color w:val="auto"/>
          <w:sz w:val="24"/>
          <w:szCs w:val="24"/>
          <w:lang w:val="zh-CN"/>
        </w:rPr>
        <w:t>文件，完全理解并放弃提出含糊不清或易形成歧义的表述和资料。</w:t>
      </w:r>
    </w:p>
    <w:p>
      <w:pPr>
        <w:autoSpaceDE w:val="0"/>
        <w:autoSpaceDN w:val="0"/>
        <w:adjustRightInd w:val="0"/>
        <w:snapToGrid w:val="0"/>
        <w:spacing w:line="480" w:lineRule="exact"/>
        <w:ind w:firstLine="629"/>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、谈判后在规定的有效期内撤回谈判，我方愿接受政府采购的有关处罚决定。</w:t>
      </w:r>
    </w:p>
    <w:p>
      <w:pPr>
        <w:autoSpaceDE w:val="0"/>
        <w:autoSpaceDN w:val="0"/>
        <w:adjustRightInd w:val="0"/>
        <w:snapToGrid w:val="0"/>
        <w:spacing w:line="480" w:lineRule="exact"/>
        <w:ind w:firstLine="629"/>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、同意向贵方提供可能要求的，与本次谈判有关的任何证据或资料，且尊重谈判小组的评审结论和结果。我们完全理解最低谈判报价不作为成交的唯一条件，且尊重谈判小组的评审结论和成交结果。</w:t>
      </w:r>
    </w:p>
    <w:p>
      <w:pPr>
        <w:autoSpaceDE w:val="0"/>
        <w:autoSpaceDN w:val="0"/>
        <w:adjustRightInd w:val="0"/>
        <w:snapToGrid w:val="0"/>
        <w:spacing w:line="480" w:lineRule="exact"/>
        <w:ind w:firstLine="629"/>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、我方的响应文件在谈判后有效期为</w:t>
      </w:r>
      <w:r>
        <w:rPr>
          <w:rFonts w:hint="eastAsia" w:ascii="宋体" w:hAnsi="宋体" w:eastAsia="宋体" w:cs="宋体"/>
          <w:color w:val="auto"/>
          <w:sz w:val="24"/>
          <w:szCs w:val="24"/>
        </w:rPr>
        <w:t>90</w:t>
      </w:r>
      <w:r>
        <w:rPr>
          <w:rFonts w:hint="eastAsia" w:ascii="宋体" w:hAnsi="宋体" w:eastAsia="宋体" w:cs="宋体"/>
          <w:color w:val="auto"/>
          <w:sz w:val="24"/>
          <w:szCs w:val="24"/>
          <w:lang w:val="zh-CN"/>
        </w:rPr>
        <w:t>个日历天，若我方成交，响应文件有效期延长至合同执行完毕。</w:t>
      </w:r>
    </w:p>
    <w:p>
      <w:pPr>
        <w:autoSpaceDE w:val="0"/>
        <w:autoSpaceDN w:val="0"/>
        <w:adjustRightInd w:val="0"/>
        <w:snapToGrid w:val="0"/>
        <w:spacing w:line="480" w:lineRule="exact"/>
        <w:ind w:firstLine="629"/>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、有关于本单一来源文件的函电，请按下列地址联系。</w:t>
      </w:r>
    </w:p>
    <w:p>
      <w:pPr>
        <w:autoSpaceDE w:val="0"/>
        <w:autoSpaceDN w:val="0"/>
        <w:adjustRightInd w:val="0"/>
        <w:snapToGrid w:val="0"/>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供应商全称（印章）：</w:t>
      </w:r>
    </w:p>
    <w:p>
      <w:pPr>
        <w:autoSpaceDE w:val="0"/>
        <w:autoSpaceDN w:val="0"/>
        <w:adjustRightInd w:val="0"/>
        <w:snapToGrid w:val="0"/>
        <w:spacing w:line="48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地</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址：</w:t>
      </w:r>
      <w:r>
        <w:rPr>
          <w:rFonts w:hint="eastAsia" w:ascii="宋体" w:hAnsi="宋体" w:eastAsia="宋体" w:cs="宋体"/>
          <w:b/>
          <w:color w:val="auto"/>
          <w:szCs w:val="21"/>
          <w:u w:val="single"/>
          <w:lang w:val="zh-CN"/>
        </w:rPr>
        <w:t xml:space="preserve">                </w:t>
      </w:r>
      <w:r>
        <w:rPr>
          <w:rFonts w:hint="eastAsia" w:ascii="宋体" w:hAnsi="宋体" w:eastAsia="宋体" w:cs="宋体"/>
          <w:b/>
          <w:color w:val="auto"/>
          <w:szCs w:val="21"/>
          <w:u w:val="single"/>
          <w:lang w:val="en-US" w:eastAsia="zh-CN"/>
        </w:rPr>
        <w:t xml:space="preserve">                              </w:t>
      </w:r>
    </w:p>
    <w:p>
      <w:pPr>
        <w:autoSpaceDE w:val="0"/>
        <w:autoSpaceDN w:val="0"/>
        <w:adjustRightInd w:val="0"/>
        <w:snapToGrid w:val="0"/>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lang w:val="zh-CN"/>
        </w:rPr>
        <w:t>开户银行：</w:t>
      </w:r>
      <w:r>
        <w:rPr>
          <w:rFonts w:hint="eastAsia" w:ascii="宋体" w:hAnsi="宋体" w:eastAsia="宋体" w:cs="宋体"/>
          <w:b/>
          <w:color w:val="auto"/>
          <w:szCs w:val="21"/>
          <w:u w:val="single"/>
          <w:lang w:val="zh-CN"/>
        </w:rPr>
        <w:t xml:space="preserve">                </w:t>
      </w:r>
      <w:r>
        <w:rPr>
          <w:rFonts w:hint="eastAsia" w:ascii="宋体" w:hAnsi="宋体" w:eastAsia="宋体" w:cs="宋体"/>
          <w:b/>
          <w:color w:val="auto"/>
          <w:szCs w:val="21"/>
          <w:u w:val="single"/>
          <w:lang w:val="en-US" w:eastAsia="zh-CN"/>
        </w:rPr>
        <w:t xml:space="preserve">                              </w:t>
      </w:r>
    </w:p>
    <w:p>
      <w:pPr>
        <w:autoSpaceDE w:val="0"/>
        <w:autoSpaceDN w:val="0"/>
        <w:adjustRightInd w:val="0"/>
        <w:snapToGrid w:val="0"/>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lang w:val="zh-CN"/>
        </w:rPr>
        <w:t>账</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号：</w:t>
      </w:r>
      <w:r>
        <w:rPr>
          <w:rFonts w:hint="eastAsia" w:ascii="宋体" w:hAnsi="宋体" w:eastAsia="宋体" w:cs="宋体"/>
          <w:b/>
          <w:color w:val="auto"/>
          <w:szCs w:val="21"/>
          <w:u w:val="single"/>
          <w:lang w:val="zh-CN"/>
        </w:rPr>
        <w:t xml:space="preserve">                </w:t>
      </w:r>
      <w:r>
        <w:rPr>
          <w:rFonts w:hint="eastAsia" w:ascii="宋体" w:hAnsi="宋体" w:eastAsia="宋体" w:cs="宋体"/>
          <w:b/>
          <w:color w:val="auto"/>
          <w:szCs w:val="21"/>
          <w:u w:val="single"/>
          <w:lang w:val="en-US" w:eastAsia="zh-CN"/>
        </w:rPr>
        <w:t xml:space="preserve">                              </w:t>
      </w:r>
    </w:p>
    <w:p>
      <w:pPr>
        <w:autoSpaceDE w:val="0"/>
        <w:autoSpaceDN w:val="0"/>
        <w:adjustRightInd w:val="0"/>
        <w:snapToGrid w:val="0"/>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lang w:val="zh-CN"/>
        </w:rPr>
        <w:t>电</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话：</w:t>
      </w:r>
      <w:r>
        <w:rPr>
          <w:rFonts w:hint="eastAsia" w:ascii="宋体" w:hAnsi="宋体" w:eastAsia="宋体" w:cs="宋体"/>
          <w:b/>
          <w:color w:val="auto"/>
          <w:szCs w:val="21"/>
          <w:u w:val="single"/>
          <w:lang w:val="zh-CN"/>
        </w:rPr>
        <w:t xml:space="preserve">                </w:t>
      </w:r>
      <w:r>
        <w:rPr>
          <w:rFonts w:hint="eastAsia" w:ascii="宋体" w:hAnsi="宋体" w:eastAsia="宋体" w:cs="宋体"/>
          <w:b/>
          <w:color w:val="auto"/>
          <w:szCs w:val="21"/>
          <w:u w:val="single"/>
          <w:lang w:val="en-US" w:eastAsia="zh-CN"/>
        </w:rPr>
        <w:t xml:space="preserve">                              </w:t>
      </w:r>
    </w:p>
    <w:p>
      <w:pPr>
        <w:autoSpaceDE w:val="0"/>
        <w:autoSpaceDN w:val="0"/>
        <w:adjustRightInd w:val="0"/>
        <w:snapToGrid w:val="0"/>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lang w:val="zh-CN"/>
        </w:rPr>
        <w:t>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真：</w:t>
      </w:r>
      <w:r>
        <w:rPr>
          <w:rFonts w:hint="eastAsia" w:ascii="宋体" w:hAnsi="宋体" w:eastAsia="宋体" w:cs="宋体"/>
          <w:b/>
          <w:color w:val="auto"/>
          <w:szCs w:val="21"/>
          <w:u w:val="single"/>
          <w:lang w:val="zh-CN"/>
        </w:rPr>
        <w:t xml:space="preserve">                </w:t>
      </w:r>
      <w:r>
        <w:rPr>
          <w:rFonts w:hint="eastAsia" w:ascii="宋体" w:hAnsi="宋体" w:eastAsia="宋体" w:cs="宋体"/>
          <w:b/>
          <w:color w:val="auto"/>
          <w:szCs w:val="21"/>
          <w:u w:val="single"/>
          <w:lang w:val="en-US" w:eastAsia="zh-CN"/>
        </w:rPr>
        <w:t xml:space="preserve">                              </w:t>
      </w:r>
    </w:p>
    <w:p>
      <w:pPr>
        <w:autoSpaceDE w:val="0"/>
        <w:autoSpaceDN w:val="0"/>
        <w:adjustRightInd w:val="0"/>
        <w:snapToGrid w:val="0"/>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lang w:val="zh-CN"/>
        </w:rPr>
        <w:t>法定代表人或授权代表（签名或盖章）：</w:t>
      </w:r>
      <w:r>
        <w:rPr>
          <w:rFonts w:hint="eastAsia" w:ascii="宋体" w:hAnsi="宋体" w:eastAsia="宋体" w:cs="宋体"/>
          <w:b/>
          <w:color w:val="auto"/>
          <w:szCs w:val="21"/>
          <w:u w:val="single"/>
          <w:lang w:val="zh-CN"/>
        </w:rPr>
        <w:t xml:space="preserve">                </w:t>
      </w:r>
    </w:p>
    <w:p>
      <w:pPr>
        <w:autoSpaceDE w:val="0"/>
        <w:autoSpaceDN w:val="0"/>
        <w:adjustRightInd w:val="0"/>
        <w:snapToGrid w:val="0"/>
        <w:spacing w:line="480" w:lineRule="exact"/>
        <w:rPr>
          <w:rFonts w:hint="eastAsia" w:ascii="宋体" w:hAnsi="宋体" w:eastAsia="宋体" w:cs="宋体"/>
          <w:color w:val="auto"/>
          <w:sz w:val="24"/>
          <w:szCs w:val="24"/>
        </w:rPr>
      </w:pPr>
    </w:p>
    <w:p>
      <w:pPr>
        <w:autoSpaceDE w:val="0"/>
        <w:autoSpaceDN w:val="0"/>
        <w:adjustRightInd w:val="0"/>
        <w:spacing w:line="48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rPr>
        <w:t xml:space="preserve">                                   </w:t>
      </w:r>
      <w:r>
        <w:rPr>
          <w:rFonts w:hint="eastAsia" w:ascii="宋体" w:hAnsi="宋体" w:eastAsia="宋体" w:cs="宋体"/>
          <w:b/>
          <w:color w:val="auto"/>
          <w:szCs w:val="21"/>
          <w:u w:val="single"/>
          <w:lang w:val="zh-CN"/>
        </w:rPr>
        <w:t xml:space="preserve">       </w:t>
      </w:r>
      <w:r>
        <w:rPr>
          <w:rFonts w:hint="eastAsia" w:ascii="宋体" w:hAnsi="宋体" w:eastAsia="宋体" w:cs="宋体"/>
          <w:color w:val="auto"/>
          <w:sz w:val="24"/>
          <w:szCs w:val="24"/>
          <w:lang w:val="zh-CN"/>
        </w:rPr>
        <w:t>年</w:t>
      </w:r>
      <w:r>
        <w:rPr>
          <w:rFonts w:hint="eastAsia" w:ascii="宋体" w:hAnsi="宋体" w:eastAsia="宋体" w:cs="宋体"/>
          <w:b/>
          <w:color w:val="auto"/>
          <w:szCs w:val="21"/>
          <w:u w:val="single"/>
          <w:lang w:val="zh-CN"/>
        </w:rPr>
        <w:t xml:space="preserve">       </w:t>
      </w:r>
      <w:r>
        <w:rPr>
          <w:rFonts w:hint="eastAsia" w:ascii="宋体" w:hAnsi="宋体" w:eastAsia="宋体" w:cs="宋体"/>
          <w:color w:val="auto"/>
          <w:sz w:val="24"/>
          <w:szCs w:val="24"/>
          <w:lang w:val="zh-CN"/>
        </w:rPr>
        <w:t>月</w:t>
      </w:r>
      <w:r>
        <w:rPr>
          <w:rFonts w:hint="eastAsia" w:ascii="宋体" w:hAnsi="宋体" w:eastAsia="宋体" w:cs="宋体"/>
          <w:b/>
          <w:color w:val="auto"/>
          <w:szCs w:val="21"/>
          <w:u w:val="single"/>
          <w:lang w:val="zh-CN"/>
        </w:rPr>
        <w:t xml:space="preserve">       </w:t>
      </w:r>
      <w:r>
        <w:rPr>
          <w:rFonts w:hint="eastAsia" w:ascii="宋体" w:hAnsi="宋体" w:eastAsia="宋体" w:cs="宋体"/>
          <w:color w:val="auto"/>
          <w:sz w:val="24"/>
          <w:szCs w:val="24"/>
          <w:lang w:val="zh-CN"/>
        </w:rPr>
        <w:t>日</w:t>
      </w:r>
    </w:p>
    <w:p>
      <w:pPr>
        <w:autoSpaceDE w:val="0"/>
        <w:autoSpaceDN w:val="0"/>
        <w:adjustRightInd w:val="0"/>
        <w:rPr>
          <w:rFonts w:hint="eastAsia" w:ascii="宋体" w:hAnsi="宋体" w:eastAsia="宋体" w:cs="宋体"/>
          <w:b/>
          <w:bCs/>
          <w:color w:val="auto"/>
          <w:sz w:val="24"/>
          <w:szCs w:val="24"/>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pPr>
        <w:pStyle w:val="4"/>
        <w:keepNext/>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Cs w:val="28"/>
          <w:lang w:val="zh-CN" w:eastAsia="zh-CN"/>
        </w:rPr>
      </w:pPr>
      <w:r>
        <w:rPr>
          <w:rFonts w:hint="eastAsia" w:ascii="宋体" w:hAnsi="宋体" w:eastAsia="宋体" w:cs="宋体"/>
          <w:b/>
          <w:bCs/>
          <w:color w:val="auto"/>
          <w:szCs w:val="28"/>
          <w:lang w:val="zh-CN" w:eastAsia="zh-CN"/>
        </w:rPr>
        <w:t>第二部分   第一次谈判报价表</w:t>
      </w:r>
    </w:p>
    <w:p>
      <w:pPr>
        <w:autoSpaceDE w:val="0"/>
        <w:autoSpaceDN w:val="0"/>
        <w:adjustRightInd w:val="0"/>
        <w:rPr>
          <w:rFonts w:hint="eastAsia" w:ascii="宋体" w:hAnsi="宋体" w:eastAsia="宋体" w:cs="宋体"/>
          <w:bCs/>
          <w:color w:val="auto"/>
          <w:sz w:val="28"/>
          <w:szCs w:val="28"/>
          <w:lang w:val="zh-CN"/>
        </w:rPr>
      </w:pPr>
    </w:p>
    <w:p>
      <w:pPr>
        <w:autoSpaceDE w:val="0"/>
        <w:autoSpaceDN w:val="0"/>
        <w:adjustRightInd w:val="0"/>
        <w:jc w:val="center"/>
        <w:rPr>
          <w:rFonts w:hint="eastAsia" w:ascii="宋体" w:hAnsi="宋体" w:eastAsia="宋体" w:cs="宋体"/>
          <w:b/>
          <w:bCs/>
          <w:color w:val="auto"/>
          <w:sz w:val="28"/>
          <w:szCs w:val="28"/>
          <w:lang w:val="zh-CN"/>
        </w:rPr>
      </w:pPr>
    </w:p>
    <w:p>
      <w:pPr>
        <w:autoSpaceDE w:val="0"/>
        <w:autoSpaceDN w:val="0"/>
        <w:adjustRightInd w:val="0"/>
        <w:snapToGrid w:val="0"/>
        <w:spacing w:line="360" w:lineRule="auto"/>
        <w:ind w:right="1280" w:firstLine="600" w:firstLineChars="250"/>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项目编号：</w:t>
      </w:r>
      <w:r>
        <w:rPr>
          <w:rFonts w:hint="eastAsia" w:ascii="宋体" w:hAnsi="宋体" w:eastAsia="宋体" w:cs="宋体"/>
          <w:bCs/>
          <w:color w:val="auto"/>
          <w:kern w:val="0"/>
          <w:sz w:val="24"/>
          <w:szCs w:val="24"/>
          <w:lang w:val="en-US" w:eastAsia="zh-CN"/>
        </w:rPr>
        <w:t xml:space="preserve">                             供应商名称：</w:t>
      </w:r>
    </w:p>
    <w:tbl>
      <w:tblPr>
        <w:tblStyle w:val="36"/>
        <w:tblW w:w="910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21"/>
        <w:gridCol w:w="468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jc w:val="center"/>
        </w:trPr>
        <w:tc>
          <w:tcPr>
            <w:tcW w:w="9108" w:type="dxa"/>
            <w:gridSpan w:val="2"/>
            <w:vAlign w:val="center"/>
          </w:tcPr>
          <w:p>
            <w:pPr>
              <w:widowControl/>
              <w:spacing w:line="500" w:lineRule="exact"/>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项目</w:t>
            </w:r>
            <w:r>
              <w:rPr>
                <w:rFonts w:hint="eastAsia" w:ascii="宋体" w:hAnsi="宋体" w:eastAsia="宋体" w:cs="宋体"/>
                <w:b/>
                <w:bCs/>
                <w:color w:val="auto"/>
                <w:kern w:val="0"/>
                <w:sz w:val="24"/>
                <w:szCs w:val="24"/>
              </w:rPr>
              <w:t>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0" w:hRule="atLeast"/>
          <w:jc w:val="center"/>
        </w:trPr>
        <w:tc>
          <w:tcPr>
            <w:tcW w:w="4421" w:type="dxa"/>
            <w:vAlign w:val="center"/>
          </w:tcPr>
          <w:p>
            <w:pPr>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总报价（元）</w:t>
            </w:r>
          </w:p>
        </w:tc>
        <w:tc>
          <w:tcPr>
            <w:tcW w:w="4687" w:type="dxa"/>
            <w:shd w:val="clear" w:color="auto" w:fill="auto"/>
            <w:vAlign w:val="center"/>
          </w:tcPr>
          <w:p>
            <w:pPr>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服务</w:t>
            </w:r>
            <w:r>
              <w:rPr>
                <w:rFonts w:hint="eastAsia" w:ascii="宋体" w:hAnsi="宋体" w:eastAsia="宋体" w:cs="宋体"/>
                <w:b/>
                <w:color w:val="auto"/>
                <w:sz w:val="24"/>
                <w:szCs w:val="24"/>
              </w:rPr>
              <w:t>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4" w:hRule="atLeast"/>
          <w:jc w:val="center"/>
        </w:trPr>
        <w:tc>
          <w:tcPr>
            <w:tcW w:w="4421" w:type="dxa"/>
            <w:vAlign w:val="center"/>
          </w:tcPr>
          <w:p>
            <w:pPr>
              <w:widowControl/>
              <w:spacing w:line="500" w:lineRule="exact"/>
              <w:jc w:val="center"/>
              <w:rPr>
                <w:rFonts w:hint="eastAsia" w:ascii="宋体" w:hAnsi="宋体" w:eastAsia="宋体" w:cs="宋体"/>
                <w:color w:val="auto"/>
                <w:kern w:val="0"/>
                <w:sz w:val="24"/>
                <w:szCs w:val="24"/>
              </w:rPr>
            </w:pPr>
          </w:p>
        </w:tc>
        <w:tc>
          <w:tcPr>
            <w:tcW w:w="4687" w:type="dxa"/>
            <w:shd w:val="clear" w:color="auto" w:fill="auto"/>
            <w:vAlign w:val="center"/>
          </w:tcPr>
          <w:p>
            <w:pPr>
              <w:widowControl/>
              <w:spacing w:line="500" w:lineRule="exact"/>
              <w:jc w:val="center"/>
              <w:rPr>
                <w:rFonts w:hint="eastAsia" w:ascii="宋体" w:hAnsi="宋体" w:eastAsia="宋体" w:cs="宋体"/>
                <w:color w:val="auto"/>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9" w:hRule="atLeast"/>
          <w:jc w:val="center"/>
        </w:trPr>
        <w:tc>
          <w:tcPr>
            <w:tcW w:w="9108" w:type="dxa"/>
            <w:gridSpan w:val="2"/>
            <w:vAlign w:val="center"/>
          </w:tcPr>
          <w:p>
            <w:pPr>
              <w:autoSpaceDE w:val="0"/>
              <w:autoSpaceDN w:val="0"/>
              <w:adjustRightInd w:val="0"/>
              <w:snapToGrid w:val="0"/>
              <w:spacing w:line="500" w:lineRule="exac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合计：</w:t>
            </w:r>
          </w:p>
          <w:p>
            <w:pPr>
              <w:widowControl/>
              <w:spacing w:line="500" w:lineRule="exact"/>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 xml:space="preserve">人民币：大写 </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lang w:val="zh-CN"/>
              </w:rPr>
              <w:t xml:space="preserve">     </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zh-CN"/>
              </w:rPr>
              <w:t xml:space="preserve">   小写：￥</w:t>
            </w:r>
          </w:p>
        </w:tc>
      </w:tr>
    </w:tbl>
    <w:p>
      <w:pPr>
        <w:autoSpaceDE w:val="0"/>
        <w:autoSpaceDN w:val="0"/>
        <w:adjustRightInd w:val="0"/>
        <w:snapToGrid w:val="0"/>
        <w:spacing w:line="360" w:lineRule="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 xml:space="preserve">    注：</w:t>
      </w:r>
      <w:r>
        <w:rPr>
          <w:rFonts w:hint="eastAsia" w:ascii="宋体" w:hAnsi="宋体" w:eastAsia="宋体" w:cs="宋体"/>
          <w:b w:val="0"/>
          <w:bCs w:val="0"/>
          <w:color w:val="auto"/>
          <w:sz w:val="21"/>
          <w:szCs w:val="21"/>
          <w:lang w:val="en-US" w:eastAsia="zh-CN"/>
        </w:rPr>
        <w:t>1、此表总报价为含税总价，报价</w:t>
      </w:r>
      <w:r>
        <w:rPr>
          <w:rFonts w:hint="eastAsia" w:ascii="宋体" w:hAnsi="宋体" w:eastAsia="宋体" w:cs="宋体"/>
          <w:b w:val="0"/>
          <w:bCs w:val="0"/>
          <w:color w:val="auto"/>
          <w:sz w:val="21"/>
          <w:szCs w:val="21"/>
        </w:rPr>
        <w:t>最多保留小数点后两位，大小写不一致时，以大写为准</w:t>
      </w:r>
      <w:r>
        <w:rPr>
          <w:rFonts w:hint="eastAsia" w:ascii="宋体" w:hAnsi="宋体" w:eastAsia="宋体" w:cs="宋体"/>
          <w:b w:val="0"/>
          <w:bCs w:val="0"/>
          <w:color w:val="auto"/>
          <w:sz w:val="21"/>
          <w:szCs w:val="21"/>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各供应商必须严格按照上表要求填写。</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20" w:firstLineChars="200"/>
        <w:textAlignment w:val="auto"/>
        <w:rPr>
          <w:rFonts w:hint="eastAsia" w:ascii="宋体" w:hAnsi="宋体" w:eastAsia="宋体" w:cs="宋体"/>
          <w:b w:val="0"/>
          <w:bCs w:val="0"/>
          <w:color w:val="auto"/>
          <w:sz w:val="21"/>
          <w:szCs w:val="21"/>
        </w:rPr>
      </w:pPr>
    </w:p>
    <w:p>
      <w:pPr>
        <w:autoSpaceDE w:val="0"/>
        <w:autoSpaceDN w:val="0"/>
        <w:adjustRightInd w:val="0"/>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p>
    <w:p>
      <w:pPr>
        <w:autoSpaceDE w:val="0"/>
        <w:autoSpaceDN w:val="0"/>
        <w:adjustRightInd w:val="0"/>
        <w:snapToGrid w:val="0"/>
        <w:spacing w:line="360" w:lineRule="auto"/>
        <w:rPr>
          <w:rFonts w:hint="eastAsia" w:ascii="宋体" w:hAnsi="宋体" w:eastAsia="宋体" w:cs="宋体"/>
          <w:b/>
          <w:color w:val="auto"/>
          <w:sz w:val="24"/>
          <w:szCs w:val="24"/>
          <w:lang w:val="zh-CN"/>
        </w:rPr>
      </w:pPr>
      <w:r>
        <w:rPr>
          <w:rFonts w:hint="eastAsia" w:ascii="宋体" w:hAnsi="宋体" w:eastAsia="宋体" w:cs="宋体"/>
          <w:b/>
          <w:bCs/>
          <w:color w:val="auto"/>
          <w:sz w:val="24"/>
          <w:szCs w:val="24"/>
        </w:rPr>
        <w:t xml:space="preserve">                               </w:t>
      </w:r>
    </w:p>
    <w:p>
      <w:pPr>
        <w:autoSpaceDE w:val="0"/>
        <w:autoSpaceDN w:val="0"/>
        <w:adjustRightInd w:val="0"/>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供应商名称（单位公章）：</w:t>
      </w:r>
      <w:r>
        <w:rPr>
          <w:rFonts w:hint="eastAsia" w:ascii="宋体" w:hAnsi="宋体" w:eastAsia="宋体" w:cs="宋体"/>
          <w:color w:val="auto"/>
          <w:sz w:val="24"/>
          <w:szCs w:val="24"/>
        </w:rPr>
        <w:t xml:space="preserve">                  </w:t>
      </w:r>
    </w:p>
    <w:p>
      <w:pPr>
        <w:autoSpaceDE w:val="0"/>
        <w:autoSpaceDN w:val="0"/>
        <w:adjustRightInd w:val="0"/>
        <w:snapToGrid w:val="0"/>
        <w:spacing w:line="360" w:lineRule="auto"/>
        <w:ind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法定代表人或授权代表（签名或盖章）：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日期：</w:t>
      </w:r>
    </w:p>
    <w:p>
      <w:pPr>
        <w:pStyle w:val="13"/>
        <w:rPr>
          <w:rFonts w:hint="eastAsia" w:ascii="宋体" w:hAnsi="宋体" w:eastAsia="宋体" w:cs="宋体"/>
          <w:color w:val="auto"/>
          <w:lang w:val="zh-CN"/>
        </w:rPr>
      </w:pPr>
    </w:p>
    <w:p>
      <w:pPr>
        <w:autoSpaceDE w:val="0"/>
        <w:autoSpaceDN w:val="0"/>
        <w:adjustRightInd w:val="0"/>
        <w:snapToGrid w:val="0"/>
        <w:spacing w:line="560" w:lineRule="exact"/>
        <w:ind w:firstLine="1820" w:firstLineChars="650"/>
        <w:rPr>
          <w:rFonts w:hint="eastAsia" w:ascii="宋体" w:hAnsi="宋体" w:eastAsia="宋体" w:cs="宋体"/>
          <w:color w:val="auto"/>
          <w:sz w:val="28"/>
          <w:szCs w:val="28"/>
          <w:lang w:val="zh-CN"/>
        </w:rPr>
      </w:pPr>
    </w:p>
    <w:p>
      <w:pPr>
        <w:pStyle w:val="13"/>
        <w:rPr>
          <w:rFonts w:hint="eastAsia" w:ascii="宋体" w:hAnsi="宋体" w:eastAsia="宋体" w:cs="宋体"/>
          <w:color w:val="auto"/>
          <w:sz w:val="28"/>
          <w:szCs w:val="28"/>
          <w:lang w:val="zh-CN"/>
        </w:rPr>
      </w:pPr>
    </w:p>
    <w:p>
      <w:pPr>
        <w:rPr>
          <w:rFonts w:hint="eastAsia" w:ascii="宋体" w:hAnsi="宋体" w:eastAsia="宋体" w:cs="宋体"/>
          <w:color w:val="auto"/>
          <w:sz w:val="28"/>
          <w:szCs w:val="28"/>
          <w:lang w:val="zh-CN"/>
        </w:rPr>
      </w:pPr>
    </w:p>
    <w:p>
      <w:pPr>
        <w:pStyle w:val="2"/>
        <w:rPr>
          <w:rFonts w:hint="eastAsia" w:ascii="宋体" w:hAnsi="宋体" w:eastAsia="宋体" w:cs="宋体"/>
          <w:color w:val="auto"/>
          <w:sz w:val="28"/>
          <w:szCs w:val="28"/>
          <w:lang w:val="zh-CN"/>
        </w:rPr>
      </w:pPr>
    </w:p>
    <w:p>
      <w:pPr>
        <w:rPr>
          <w:rFonts w:hint="eastAsia" w:ascii="宋体" w:hAnsi="宋体" w:eastAsia="宋体" w:cs="宋体"/>
          <w:color w:val="auto"/>
          <w:sz w:val="28"/>
          <w:szCs w:val="28"/>
          <w:lang w:val="zh-CN"/>
        </w:rPr>
      </w:pPr>
    </w:p>
    <w:p>
      <w:pPr>
        <w:pStyle w:val="2"/>
        <w:rPr>
          <w:rFonts w:hint="eastAsia" w:ascii="宋体" w:hAnsi="宋体" w:eastAsia="宋体" w:cs="宋体"/>
          <w:color w:val="auto"/>
          <w:sz w:val="28"/>
          <w:szCs w:val="28"/>
          <w:lang w:val="zh-CN"/>
        </w:rPr>
      </w:pPr>
    </w:p>
    <w:p>
      <w:pPr>
        <w:rPr>
          <w:rFonts w:hint="eastAsia" w:ascii="宋体" w:hAnsi="宋体" w:eastAsia="宋体" w:cs="宋体"/>
          <w:color w:val="auto"/>
          <w:sz w:val="28"/>
          <w:szCs w:val="28"/>
          <w:lang w:val="zh-CN"/>
        </w:rPr>
      </w:pPr>
    </w:p>
    <w:p>
      <w:pPr>
        <w:pStyle w:val="2"/>
        <w:rPr>
          <w:rFonts w:hint="eastAsia" w:ascii="宋体" w:hAnsi="宋体" w:eastAsia="宋体" w:cs="宋体"/>
          <w:lang w:val="zh-CN"/>
        </w:rPr>
      </w:pPr>
    </w:p>
    <w:p>
      <w:pPr>
        <w:rPr>
          <w:rFonts w:hint="eastAsia" w:ascii="宋体" w:hAnsi="宋体" w:eastAsia="宋体" w:cs="宋体"/>
          <w:color w:val="auto"/>
          <w:sz w:val="28"/>
          <w:szCs w:val="28"/>
          <w:lang w:val="zh-CN"/>
        </w:rPr>
      </w:pPr>
    </w:p>
    <w:p>
      <w:pPr>
        <w:pStyle w:val="13"/>
        <w:rPr>
          <w:rFonts w:hint="eastAsia" w:ascii="宋体" w:hAnsi="宋体" w:eastAsia="宋体" w:cs="宋体"/>
          <w:color w:val="auto"/>
          <w:lang w:val="zh-CN"/>
        </w:rPr>
      </w:pPr>
    </w:p>
    <w:p>
      <w:pPr>
        <w:autoSpaceDE w:val="0"/>
        <w:autoSpaceDN w:val="0"/>
        <w:adjustRightInd w:val="0"/>
        <w:spacing w:line="560" w:lineRule="exact"/>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zh-CN"/>
        </w:rPr>
        <w:t>第</w:t>
      </w: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lang w:val="zh-CN"/>
        </w:rPr>
        <w:t xml:space="preserve">部分   </w:t>
      </w:r>
      <w:r>
        <w:rPr>
          <w:rFonts w:hint="eastAsia" w:ascii="宋体" w:hAnsi="宋体" w:eastAsia="宋体" w:cs="宋体"/>
          <w:b/>
          <w:bCs/>
          <w:color w:val="auto"/>
          <w:sz w:val="28"/>
          <w:szCs w:val="28"/>
          <w:lang w:val="en-US" w:eastAsia="zh-CN"/>
        </w:rPr>
        <w:t>分项报价表</w:t>
      </w:r>
    </w:p>
    <w:p>
      <w:pPr>
        <w:pStyle w:val="6"/>
        <w:ind w:firstLine="0"/>
        <w:rPr>
          <w:rFonts w:hint="eastAsia" w:ascii="宋体" w:hAnsi="宋体" w:eastAsia="宋体" w:cs="宋体"/>
          <w:color w:val="auto"/>
          <w:highlight w:val="yellow"/>
          <w:lang w:val="zh-CN"/>
        </w:rPr>
      </w:pP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供应商名称：                                  项目编号：</w:t>
      </w:r>
    </w:p>
    <w:tbl>
      <w:tblPr>
        <w:tblStyle w:val="3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2811"/>
        <w:gridCol w:w="852"/>
        <w:gridCol w:w="918"/>
        <w:gridCol w:w="1427"/>
        <w:gridCol w:w="1371"/>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00" w:type="pct"/>
            <w:tcBorders>
              <w:top w:val="double" w:color="auto" w:sz="4" w:space="0"/>
              <w:left w:val="double" w:color="auto" w:sz="4" w:space="0"/>
              <w:right w:val="single" w:color="auto" w:sz="4" w:space="0"/>
            </w:tcBorders>
            <w:vAlign w:val="center"/>
          </w:tcPr>
          <w:p>
            <w:pPr>
              <w:pStyle w:val="20"/>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序号</w:t>
            </w:r>
          </w:p>
        </w:tc>
        <w:tc>
          <w:tcPr>
            <w:tcW w:w="1515" w:type="pct"/>
            <w:tcBorders>
              <w:top w:val="double" w:color="auto" w:sz="4" w:space="0"/>
              <w:left w:val="single" w:color="auto" w:sz="4" w:space="0"/>
              <w:right w:val="single" w:color="auto" w:sz="4" w:space="0"/>
            </w:tcBorders>
            <w:vAlign w:val="center"/>
          </w:tcPr>
          <w:p>
            <w:pPr>
              <w:pStyle w:val="20"/>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服务内容</w:t>
            </w:r>
          </w:p>
        </w:tc>
        <w:tc>
          <w:tcPr>
            <w:tcW w:w="459" w:type="pct"/>
            <w:tcBorders>
              <w:top w:val="double" w:color="auto" w:sz="4" w:space="0"/>
              <w:left w:val="single" w:color="auto" w:sz="4" w:space="0"/>
              <w:right w:val="single" w:color="auto" w:sz="4" w:space="0"/>
            </w:tcBorders>
            <w:vAlign w:val="center"/>
          </w:tcPr>
          <w:p>
            <w:pPr>
              <w:pStyle w:val="20"/>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495" w:type="pct"/>
            <w:tcBorders>
              <w:top w:val="double" w:color="auto" w:sz="4" w:space="0"/>
              <w:left w:val="single" w:color="auto" w:sz="4" w:space="0"/>
              <w:right w:val="single" w:color="auto" w:sz="4" w:space="0"/>
            </w:tcBorders>
            <w:vAlign w:val="center"/>
          </w:tcPr>
          <w:p>
            <w:pPr>
              <w:pStyle w:val="20"/>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数量</w:t>
            </w:r>
          </w:p>
        </w:tc>
        <w:tc>
          <w:tcPr>
            <w:tcW w:w="769" w:type="pct"/>
            <w:tcBorders>
              <w:top w:val="double" w:color="auto" w:sz="4" w:space="0"/>
              <w:left w:val="single" w:color="auto" w:sz="4" w:space="0"/>
              <w:right w:val="single" w:color="auto" w:sz="4" w:space="0"/>
            </w:tcBorders>
            <w:vAlign w:val="center"/>
          </w:tcPr>
          <w:p>
            <w:pPr>
              <w:pStyle w:val="20"/>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单价(元)</w:t>
            </w:r>
          </w:p>
        </w:tc>
        <w:tc>
          <w:tcPr>
            <w:tcW w:w="739" w:type="pct"/>
            <w:tcBorders>
              <w:top w:val="double" w:color="auto" w:sz="4" w:space="0"/>
              <w:left w:val="single" w:color="auto" w:sz="4" w:space="0"/>
              <w:right w:val="single" w:color="auto" w:sz="4" w:space="0"/>
            </w:tcBorders>
            <w:vAlign w:val="center"/>
          </w:tcPr>
          <w:p>
            <w:pPr>
              <w:pStyle w:val="20"/>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合计(元)</w:t>
            </w:r>
          </w:p>
        </w:tc>
        <w:tc>
          <w:tcPr>
            <w:tcW w:w="520" w:type="pct"/>
            <w:tcBorders>
              <w:top w:val="double" w:color="auto" w:sz="4" w:space="0"/>
              <w:left w:val="single" w:color="auto" w:sz="4" w:space="0"/>
              <w:right w:val="double" w:color="auto" w:sz="4" w:space="0"/>
            </w:tcBorders>
            <w:vAlign w:val="center"/>
          </w:tcPr>
          <w:p>
            <w:pPr>
              <w:pStyle w:val="20"/>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00" w:type="pct"/>
            <w:tcBorders>
              <w:left w:val="double" w:color="auto" w:sz="4" w:space="0"/>
              <w:right w:val="single" w:color="auto" w:sz="4" w:space="0"/>
            </w:tcBorders>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15" w:type="pct"/>
            <w:tcBorders>
              <w:left w:val="single" w:color="auto" w:sz="4" w:space="0"/>
              <w:right w:val="single" w:color="auto" w:sz="4" w:space="0"/>
            </w:tcBorders>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p>
        </w:tc>
        <w:tc>
          <w:tcPr>
            <w:tcW w:w="459" w:type="pct"/>
            <w:tcBorders>
              <w:left w:val="single" w:color="auto" w:sz="4" w:space="0"/>
              <w:right w:val="single" w:color="auto" w:sz="4" w:space="0"/>
            </w:tcBorders>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p>
        </w:tc>
        <w:tc>
          <w:tcPr>
            <w:tcW w:w="495" w:type="pct"/>
            <w:tcBorders>
              <w:left w:val="single" w:color="auto" w:sz="4" w:space="0"/>
              <w:right w:val="single" w:color="auto" w:sz="4" w:space="0"/>
            </w:tcBorders>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p>
        </w:tc>
        <w:tc>
          <w:tcPr>
            <w:tcW w:w="769" w:type="pct"/>
            <w:tcBorders>
              <w:left w:val="single" w:color="auto" w:sz="4" w:space="0"/>
              <w:right w:val="single" w:color="auto" w:sz="4" w:space="0"/>
            </w:tcBorders>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p>
        </w:tc>
        <w:tc>
          <w:tcPr>
            <w:tcW w:w="739" w:type="pct"/>
            <w:tcBorders>
              <w:left w:val="single" w:color="auto" w:sz="4" w:space="0"/>
              <w:right w:val="single" w:color="auto" w:sz="4" w:space="0"/>
            </w:tcBorders>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p>
        </w:tc>
        <w:tc>
          <w:tcPr>
            <w:tcW w:w="520" w:type="pct"/>
            <w:tcBorders>
              <w:left w:val="single" w:color="auto" w:sz="4" w:space="0"/>
              <w:right w:val="double" w:color="auto" w:sz="4" w:space="0"/>
            </w:tcBorders>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00" w:type="pct"/>
            <w:tcBorders>
              <w:left w:val="double" w:color="auto" w:sz="4" w:space="0"/>
              <w:right w:val="single" w:color="auto" w:sz="4" w:space="0"/>
            </w:tcBorders>
            <w:vAlign w:val="center"/>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515" w:type="pct"/>
            <w:tcBorders>
              <w:left w:val="single" w:color="auto" w:sz="4" w:space="0"/>
              <w:right w:val="single" w:color="auto" w:sz="4" w:space="0"/>
            </w:tcBorders>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p>
        </w:tc>
        <w:tc>
          <w:tcPr>
            <w:tcW w:w="459" w:type="pct"/>
            <w:tcBorders>
              <w:left w:val="single" w:color="auto" w:sz="4" w:space="0"/>
              <w:right w:val="single" w:color="auto" w:sz="4" w:space="0"/>
            </w:tcBorders>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p>
        </w:tc>
        <w:tc>
          <w:tcPr>
            <w:tcW w:w="495" w:type="pct"/>
            <w:tcBorders>
              <w:left w:val="single" w:color="auto" w:sz="4" w:space="0"/>
              <w:right w:val="single" w:color="auto" w:sz="4" w:space="0"/>
            </w:tcBorders>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p>
        </w:tc>
        <w:tc>
          <w:tcPr>
            <w:tcW w:w="769" w:type="pct"/>
            <w:tcBorders>
              <w:left w:val="single" w:color="auto" w:sz="4" w:space="0"/>
              <w:right w:val="single" w:color="auto" w:sz="4" w:space="0"/>
            </w:tcBorders>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p>
        </w:tc>
        <w:tc>
          <w:tcPr>
            <w:tcW w:w="739" w:type="pct"/>
            <w:tcBorders>
              <w:left w:val="single" w:color="auto" w:sz="4" w:space="0"/>
              <w:right w:val="single" w:color="auto" w:sz="4" w:space="0"/>
            </w:tcBorders>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p>
        </w:tc>
        <w:tc>
          <w:tcPr>
            <w:tcW w:w="520" w:type="pct"/>
            <w:tcBorders>
              <w:left w:val="single" w:color="auto" w:sz="4" w:space="0"/>
              <w:right w:val="double" w:color="auto" w:sz="4" w:space="0"/>
            </w:tcBorders>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00" w:type="pct"/>
            <w:tcBorders>
              <w:left w:val="double" w:color="auto" w:sz="4" w:space="0"/>
              <w:right w:val="single" w:color="auto" w:sz="4" w:space="0"/>
            </w:tcBorders>
            <w:vAlign w:val="center"/>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N</w:t>
            </w:r>
          </w:p>
        </w:tc>
        <w:tc>
          <w:tcPr>
            <w:tcW w:w="1515" w:type="pct"/>
            <w:tcBorders>
              <w:left w:val="single" w:color="auto" w:sz="4" w:space="0"/>
              <w:right w:val="single" w:color="auto" w:sz="4" w:space="0"/>
            </w:tcBorders>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p>
        </w:tc>
        <w:tc>
          <w:tcPr>
            <w:tcW w:w="459" w:type="pct"/>
            <w:tcBorders>
              <w:left w:val="single" w:color="auto" w:sz="4" w:space="0"/>
              <w:right w:val="single" w:color="auto" w:sz="4" w:space="0"/>
            </w:tcBorders>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p>
        </w:tc>
        <w:tc>
          <w:tcPr>
            <w:tcW w:w="495" w:type="pct"/>
            <w:tcBorders>
              <w:left w:val="single" w:color="auto" w:sz="4" w:space="0"/>
              <w:right w:val="single" w:color="auto" w:sz="4" w:space="0"/>
            </w:tcBorders>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p>
        </w:tc>
        <w:tc>
          <w:tcPr>
            <w:tcW w:w="769" w:type="pct"/>
            <w:tcBorders>
              <w:left w:val="single" w:color="auto" w:sz="4" w:space="0"/>
              <w:right w:val="single" w:color="auto" w:sz="4" w:space="0"/>
            </w:tcBorders>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p>
        </w:tc>
        <w:tc>
          <w:tcPr>
            <w:tcW w:w="739" w:type="pct"/>
            <w:tcBorders>
              <w:left w:val="single" w:color="auto" w:sz="4" w:space="0"/>
              <w:right w:val="single" w:color="auto" w:sz="4" w:space="0"/>
            </w:tcBorders>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p>
        </w:tc>
        <w:tc>
          <w:tcPr>
            <w:tcW w:w="520" w:type="pct"/>
            <w:tcBorders>
              <w:left w:val="single" w:color="auto" w:sz="4" w:space="0"/>
              <w:right w:val="double" w:color="auto" w:sz="4" w:space="0"/>
            </w:tcBorders>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000" w:type="pct"/>
            <w:gridSpan w:val="7"/>
            <w:tcBorders>
              <w:left w:val="double" w:color="auto" w:sz="4" w:space="0"/>
              <w:right w:val="double" w:color="auto" w:sz="4" w:space="0"/>
            </w:tcBorders>
          </w:tcPr>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总报价（人民币大写）：                       （￥</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000" w:type="pct"/>
            <w:gridSpan w:val="7"/>
            <w:tcBorders>
              <w:left w:val="double" w:color="auto" w:sz="4" w:space="0"/>
              <w:bottom w:val="double" w:color="auto" w:sz="4" w:space="0"/>
              <w:right w:val="double" w:color="auto" w:sz="4" w:space="0"/>
            </w:tcBorders>
          </w:tcPr>
          <w:p>
            <w:pPr>
              <w:keepNext w:val="0"/>
              <w:keepLines w:val="0"/>
              <w:pageBreakBefore w:val="0"/>
              <w:kinsoku/>
              <w:wordWrap/>
              <w:overflowPunct/>
              <w:topLinePunct w:val="0"/>
              <w:bidi w:val="0"/>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pPr>
              <w:keepNext w:val="0"/>
              <w:keepLines w:val="0"/>
              <w:pageBreakBefore w:val="0"/>
              <w:numPr>
                <w:ilvl w:val="0"/>
                <w:numId w:val="5"/>
              </w:numPr>
              <w:kinsoku/>
              <w:wordWrap/>
              <w:overflowPunct/>
              <w:topLinePunct w:val="0"/>
              <w:bidi w:val="0"/>
              <w:spacing w:line="440" w:lineRule="exact"/>
              <w:ind w:left="210" w:leftChars="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表内报价内容以元为单位，保留小数点后两位。</w:t>
            </w:r>
          </w:p>
          <w:p>
            <w:pPr>
              <w:keepNext w:val="0"/>
              <w:keepLines w:val="0"/>
              <w:pageBreakBefore w:val="0"/>
              <w:numPr>
                <w:ilvl w:val="0"/>
                <w:numId w:val="5"/>
              </w:numPr>
              <w:kinsoku/>
              <w:wordWrap/>
              <w:overflowPunct/>
              <w:topLinePunct w:val="0"/>
              <w:bidi w:val="0"/>
              <w:spacing w:line="440" w:lineRule="exact"/>
              <w:ind w:left="210" w:leftChars="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“分项报价表”各分项报价合计应当与“第一次</w:t>
            </w:r>
            <w:r>
              <w:rPr>
                <w:rFonts w:hint="eastAsia" w:ascii="宋体" w:hAnsi="宋体" w:eastAsia="宋体" w:cs="宋体"/>
                <w:b/>
                <w:bCs/>
                <w:color w:val="auto"/>
                <w:sz w:val="24"/>
                <w:szCs w:val="24"/>
                <w:highlight w:val="none"/>
                <w:lang w:val="en-US" w:eastAsia="zh-CN"/>
              </w:rPr>
              <w:t>谈判</w:t>
            </w:r>
            <w:r>
              <w:rPr>
                <w:rFonts w:hint="eastAsia" w:ascii="宋体" w:hAnsi="宋体" w:eastAsia="宋体" w:cs="宋体"/>
                <w:b/>
                <w:bCs/>
                <w:color w:val="auto"/>
                <w:sz w:val="24"/>
                <w:szCs w:val="24"/>
                <w:highlight w:val="none"/>
              </w:rPr>
              <w:t>报价表”总报价相等；</w:t>
            </w:r>
          </w:p>
          <w:p>
            <w:pPr>
              <w:keepNext w:val="0"/>
              <w:keepLines w:val="0"/>
              <w:pageBreakBefore w:val="0"/>
              <w:numPr>
                <w:ilvl w:val="0"/>
                <w:numId w:val="5"/>
              </w:numPr>
              <w:kinsoku/>
              <w:wordWrap/>
              <w:overflowPunct/>
              <w:topLinePunct w:val="0"/>
              <w:bidi w:val="0"/>
              <w:spacing w:line="440" w:lineRule="exact"/>
              <w:ind w:left="210" w:leftChars="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如果按单价计算的结果与金额不一致时，以单价为准修正金额</w:t>
            </w:r>
            <w:r>
              <w:rPr>
                <w:rFonts w:hint="eastAsia" w:ascii="宋体" w:hAnsi="宋体" w:eastAsia="宋体" w:cs="宋体"/>
                <w:b/>
                <w:bCs/>
                <w:color w:val="auto"/>
                <w:sz w:val="24"/>
                <w:szCs w:val="24"/>
                <w:highlight w:val="none"/>
                <w:lang w:eastAsia="zh-CN"/>
              </w:rPr>
              <w:t>。</w:t>
            </w:r>
          </w:p>
        </w:tc>
      </w:tr>
    </w:tbl>
    <w:p>
      <w:pPr>
        <w:autoSpaceDE w:val="0"/>
        <w:autoSpaceDN w:val="0"/>
        <w:adjustRightInd w:val="0"/>
        <w:snapToGrid w:val="0"/>
        <w:spacing w:line="360" w:lineRule="auto"/>
        <w:ind w:firstLine="240" w:firstLineChars="100"/>
        <w:rPr>
          <w:rFonts w:hint="eastAsia" w:ascii="宋体" w:hAnsi="宋体" w:eastAsia="宋体" w:cs="宋体"/>
          <w:color w:val="auto"/>
          <w:sz w:val="24"/>
          <w:szCs w:val="24"/>
          <w:lang w:val="zh-CN"/>
        </w:rPr>
      </w:pPr>
    </w:p>
    <w:p>
      <w:pPr>
        <w:pStyle w:val="2"/>
        <w:rPr>
          <w:rFonts w:hint="eastAsia" w:ascii="宋体" w:hAnsi="宋体" w:eastAsia="宋体" w:cs="宋体"/>
          <w:lang w:val="zh-CN"/>
        </w:rPr>
      </w:pPr>
    </w:p>
    <w:p>
      <w:pPr>
        <w:autoSpaceDE w:val="0"/>
        <w:autoSpaceDN w:val="0"/>
        <w:adjustRightInd w:val="0"/>
        <w:snapToGrid w:val="0"/>
        <w:spacing w:line="360" w:lineRule="auto"/>
        <w:ind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供应商名称：（盖章）</w:t>
      </w:r>
    </w:p>
    <w:p>
      <w:pPr>
        <w:autoSpaceDE w:val="0"/>
        <w:autoSpaceDN w:val="0"/>
        <w:adjustRightInd w:val="0"/>
        <w:snapToGrid w:val="0"/>
        <w:spacing w:line="360" w:lineRule="auto"/>
        <w:ind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法定代表人或授权代表（签名或盖章）：         日期：</w:t>
      </w:r>
    </w:p>
    <w:p>
      <w:pPr>
        <w:rPr>
          <w:rFonts w:hint="eastAsia" w:ascii="宋体" w:hAnsi="宋体" w:eastAsia="宋体" w:cs="宋体"/>
          <w:color w:val="auto"/>
          <w:lang w:val="zh-CN"/>
        </w:rPr>
        <w:sectPr>
          <w:footerReference r:id="rId18" w:type="even"/>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pPr>
        <w:pStyle w:val="4"/>
        <w:keepNext/>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auto"/>
          <w:szCs w:val="28"/>
          <w:lang w:val="zh-CN"/>
        </w:rPr>
      </w:pPr>
      <w:r>
        <w:rPr>
          <w:rFonts w:hint="eastAsia" w:ascii="宋体" w:hAnsi="宋体" w:eastAsia="宋体" w:cs="宋体"/>
          <w:b/>
          <w:bCs/>
          <w:color w:val="auto"/>
          <w:szCs w:val="28"/>
          <w:lang w:val="en-US" w:eastAsia="zh-CN"/>
        </w:rPr>
        <w:t xml:space="preserve">第四部分 </w:t>
      </w:r>
      <w:r>
        <w:rPr>
          <w:rFonts w:hint="eastAsia" w:ascii="宋体" w:hAnsi="宋体" w:eastAsia="宋体" w:cs="宋体"/>
          <w:b/>
          <w:bCs/>
          <w:color w:val="auto"/>
          <w:szCs w:val="28"/>
        </w:rPr>
        <w:t>偏离表</w:t>
      </w:r>
    </w:p>
    <w:p>
      <w:pPr>
        <w:pStyle w:val="4"/>
        <w:keepNext/>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Cs/>
          <w:color w:val="auto"/>
          <w:szCs w:val="28"/>
        </w:rPr>
      </w:pPr>
      <w:r>
        <w:rPr>
          <w:rFonts w:hint="eastAsia" w:ascii="宋体" w:hAnsi="宋体" w:eastAsia="宋体" w:cs="宋体"/>
          <w:b/>
          <w:bCs/>
          <w:color w:val="auto"/>
          <w:szCs w:val="28"/>
          <w:lang w:val="en-US" w:eastAsia="zh-CN"/>
        </w:rPr>
        <w:t>4.1</w:t>
      </w:r>
      <w:r>
        <w:rPr>
          <w:rFonts w:hint="eastAsia" w:ascii="宋体" w:hAnsi="宋体" w:eastAsia="宋体" w:cs="宋体"/>
          <w:b/>
          <w:bCs/>
          <w:color w:val="auto"/>
          <w:szCs w:val="28"/>
        </w:rPr>
        <w:t>商务偏离表</w:t>
      </w:r>
    </w:p>
    <w:p>
      <w:pPr>
        <w:pStyle w:val="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供应商名称：                           项目编号：</w:t>
      </w:r>
    </w:p>
    <w:tbl>
      <w:tblPr>
        <w:tblStyle w:val="36"/>
        <w:tblpPr w:leftFromText="180" w:rightFromText="180" w:vertAnchor="text" w:horzAnchor="margin" w:tblpXSpec="center" w:tblpY="81"/>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602"/>
        <w:gridCol w:w="2723"/>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847" w:type="dxa"/>
            <w:tcBorders>
              <w:bottom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602" w:type="dxa"/>
            <w:tcBorders>
              <w:bottom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eastAsia="zh-CN"/>
              </w:rPr>
              <w:t>单一来源</w:t>
            </w:r>
            <w:r>
              <w:rPr>
                <w:rFonts w:hint="eastAsia" w:ascii="宋体" w:hAnsi="宋体" w:eastAsia="宋体" w:cs="宋体"/>
                <w:color w:val="auto"/>
                <w:sz w:val="24"/>
                <w:szCs w:val="24"/>
              </w:rPr>
              <w:t>采购商务要求</w:t>
            </w:r>
          </w:p>
        </w:tc>
        <w:tc>
          <w:tcPr>
            <w:tcW w:w="2723" w:type="dxa"/>
            <w:tcBorders>
              <w:bottom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单一来源</w:t>
            </w:r>
            <w:r>
              <w:rPr>
                <w:rFonts w:hint="eastAsia" w:ascii="宋体" w:hAnsi="宋体" w:eastAsia="宋体" w:cs="宋体"/>
                <w:color w:val="auto"/>
                <w:sz w:val="24"/>
                <w:szCs w:val="24"/>
              </w:rPr>
              <w:t>响应文件商务响应</w:t>
            </w:r>
          </w:p>
        </w:tc>
        <w:tc>
          <w:tcPr>
            <w:tcW w:w="2542" w:type="dxa"/>
            <w:tcBorders>
              <w:bottom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60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7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54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60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7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54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60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7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54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60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7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54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60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7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54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60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7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54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60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7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54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60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7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54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60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7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c>
          <w:tcPr>
            <w:tcW w:w="254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4"/>
                <w:szCs w:val="24"/>
              </w:rPr>
            </w:pPr>
          </w:p>
        </w:tc>
      </w:tr>
    </w:tbl>
    <w:p>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注： 1.本表应严格按照“第</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rPr>
        <w:t>章 商务要求”中所包含的商务条款填写；“</w:t>
      </w:r>
      <w:r>
        <w:rPr>
          <w:rFonts w:hint="eastAsia" w:ascii="宋体" w:hAnsi="宋体" w:eastAsia="宋体" w:cs="宋体"/>
          <w:color w:val="auto"/>
          <w:sz w:val="21"/>
          <w:szCs w:val="21"/>
          <w:lang w:eastAsia="zh-CN"/>
        </w:rPr>
        <w:t>单一来源</w:t>
      </w:r>
      <w:r>
        <w:rPr>
          <w:rFonts w:hint="eastAsia" w:ascii="宋体" w:hAnsi="宋体" w:eastAsia="宋体" w:cs="宋体"/>
          <w:color w:val="auto"/>
          <w:sz w:val="21"/>
          <w:szCs w:val="21"/>
        </w:rPr>
        <w:t>采购商务要求”须按</w:t>
      </w:r>
      <w:r>
        <w:rPr>
          <w:rFonts w:hint="eastAsia" w:ascii="宋体" w:hAnsi="宋体" w:eastAsia="宋体" w:cs="宋体"/>
          <w:color w:val="auto"/>
          <w:sz w:val="21"/>
          <w:szCs w:val="21"/>
          <w:lang w:eastAsia="zh-CN"/>
        </w:rPr>
        <w:t>单一来源</w:t>
      </w:r>
      <w:r>
        <w:rPr>
          <w:rFonts w:hint="eastAsia" w:ascii="宋体" w:hAnsi="宋体" w:eastAsia="宋体" w:cs="宋体"/>
          <w:color w:val="auto"/>
          <w:sz w:val="21"/>
          <w:szCs w:val="21"/>
        </w:rPr>
        <w:t>文件的商务条款填写；“</w:t>
      </w:r>
      <w:r>
        <w:rPr>
          <w:rFonts w:hint="eastAsia" w:ascii="宋体" w:hAnsi="宋体" w:eastAsia="宋体" w:cs="宋体"/>
          <w:color w:val="auto"/>
          <w:sz w:val="21"/>
          <w:szCs w:val="21"/>
          <w:lang w:eastAsia="zh-CN"/>
        </w:rPr>
        <w:t>单一来源</w:t>
      </w:r>
      <w:r>
        <w:rPr>
          <w:rFonts w:hint="eastAsia" w:ascii="宋体" w:hAnsi="宋体" w:eastAsia="宋体" w:cs="宋体"/>
          <w:color w:val="auto"/>
          <w:sz w:val="21"/>
          <w:szCs w:val="21"/>
        </w:rPr>
        <w:t>响应文件商务响应”为供应商所响应的商务条款；“偏离及其影响” 填写：优于、相同或低于。</w:t>
      </w:r>
    </w:p>
    <w:p>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2．供应商必须据实填写，不得虚假响应，否则将取消其</w:t>
      </w:r>
      <w:r>
        <w:rPr>
          <w:rFonts w:hint="eastAsia" w:ascii="宋体" w:hAnsi="宋体" w:eastAsia="宋体" w:cs="宋体"/>
          <w:color w:val="auto"/>
          <w:sz w:val="21"/>
          <w:szCs w:val="21"/>
          <w:lang w:eastAsia="zh-CN"/>
        </w:rPr>
        <w:t>谈判</w:t>
      </w:r>
      <w:r>
        <w:rPr>
          <w:rFonts w:hint="eastAsia" w:ascii="宋体" w:hAnsi="宋体" w:eastAsia="宋体" w:cs="宋体"/>
          <w:color w:val="auto"/>
          <w:sz w:val="21"/>
          <w:szCs w:val="21"/>
        </w:rPr>
        <w:t>或成交资格，并按有关规定进</w:t>
      </w:r>
      <w:r>
        <w:rPr>
          <w:rFonts w:hint="eastAsia" w:ascii="宋体" w:hAnsi="宋体" w:eastAsia="宋体" w:cs="宋体"/>
          <w:color w:val="auto"/>
          <w:sz w:val="21"/>
          <w:szCs w:val="21"/>
          <w:lang w:val="en-US" w:eastAsia="zh-CN"/>
        </w:rPr>
        <w:t>行</w:t>
      </w:r>
      <w:r>
        <w:rPr>
          <w:rFonts w:hint="eastAsia" w:ascii="宋体" w:hAnsi="宋体" w:eastAsia="宋体" w:cs="宋体"/>
          <w:color w:val="auto"/>
          <w:sz w:val="21"/>
          <w:szCs w:val="21"/>
        </w:rPr>
        <w:t>处罚。</w:t>
      </w:r>
    </w:p>
    <w:p>
      <w:pPr>
        <w:spacing w:line="360" w:lineRule="auto"/>
        <w:ind w:firstLine="840" w:firstLineChars="300"/>
        <w:rPr>
          <w:rFonts w:hint="eastAsia" w:ascii="宋体" w:hAnsi="宋体" w:eastAsia="宋体" w:cs="宋体"/>
          <w:color w:val="auto"/>
          <w:sz w:val="28"/>
          <w:szCs w:val="28"/>
        </w:rPr>
      </w:pPr>
    </w:p>
    <w:p>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供应商名称：（盖章）</w:t>
      </w:r>
    </w:p>
    <w:p>
      <w:pPr>
        <w:adjustRightInd w:val="0"/>
        <w:spacing w:line="36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法定代表人或授权代表（签名或盖章）：         日期：</w:t>
      </w:r>
    </w:p>
    <w:p>
      <w:pPr>
        <w:autoSpaceDE w:val="0"/>
        <w:autoSpaceDN w:val="0"/>
        <w:adjustRightInd w:val="0"/>
        <w:spacing w:line="360" w:lineRule="auto"/>
        <w:rPr>
          <w:rFonts w:hint="eastAsia" w:ascii="宋体" w:hAnsi="宋体" w:eastAsia="宋体" w:cs="宋体"/>
          <w:b/>
          <w:bCs/>
          <w:color w:val="auto"/>
          <w:sz w:val="28"/>
          <w:szCs w:val="28"/>
          <w:lang w:val="zh-CN"/>
        </w:rPr>
      </w:pPr>
    </w:p>
    <w:p>
      <w:pPr>
        <w:autoSpaceDE w:val="0"/>
        <w:autoSpaceDN w:val="0"/>
        <w:adjustRightInd w:val="0"/>
        <w:spacing w:line="360" w:lineRule="auto"/>
        <w:jc w:val="center"/>
        <w:rPr>
          <w:rFonts w:hint="eastAsia" w:ascii="宋体" w:hAnsi="宋体" w:eastAsia="宋体" w:cs="宋体"/>
          <w:b/>
          <w:bCs/>
          <w:color w:val="auto"/>
          <w:sz w:val="36"/>
          <w:szCs w:val="36"/>
          <w:lang w:val="zh-CN"/>
        </w:rPr>
      </w:pPr>
    </w:p>
    <w:p>
      <w:pPr>
        <w:pStyle w:val="16"/>
        <w:rPr>
          <w:rFonts w:hint="eastAsia" w:ascii="宋体" w:hAnsi="宋体" w:eastAsia="宋体" w:cs="宋体"/>
          <w:color w:val="auto"/>
          <w:lang w:val="zh-CN"/>
        </w:rPr>
      </w:pPr>
    </w:p>
    <w:p>
      <w:pPr>
        <w:pStyle w:val="4"/>
        <w:keepNext/>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auto"/>
          <w:sz w:val="24"/>
          <w:szCs w:val="24"/>
        </w:rPr>
      </w:pPr>
      <w:r>
        <w:rPr>
          <w:rFonts w:hint="eastAsia" w:ascii="宋体" w:hAnsi="宋体" w:eastAsia="宋体" w:cs="宋体"/>
          <w:b/>
          <w:bCs/>
          <w:color w:val="auto"/>
          <w:szCs w:val="28"/>
          <w:lang w:val="en-US" w:eastAsia="zh-CN"/>
        </w:rPr>
        <w:t>4.2</w:t>
      </w:r>
      <w:r>
        <w:rPr>
          <w:rFonts w:hint="eastAsia" w:ascii="宋体" w:hAnsi="宋体" w:eastAsia="宋体" w:cs="宋体"/>
          <w:b/>
          <w:bCs/>
          <w:color w:val="auto"/>
          <w:szCs w:val="28"/>
          <w:lang w:val="zh-CN" w:eastAsia="zh-CN"/>
        </w:rPr>
        <w:t>技术</w:t>
      </w:r>
      <w:r>
        <w:rPr>
          <w:rFonts w:hint="eastAsia" w:ascii="宋体" w:hAnsi="宋体" w:eastAsia="宋体" w:cs="宋体"/>
          <w:b/>
          <w:bCs/>
          <w:color w:val="auto"/>
          <w:szCs w:val="28"/>
          <w:lang w:val="en-US" w:eastAsia="zh-CN"/>
        </w:rPr>
        <w:t>要求</w:t>
      </w:r>
      <w:r>
        <w:rPr>
          <w:rFonts w:hint="eastAsia" w:ascii="宋体" w:hAnsi="宋体" w:eastAsia="宋体" w:cs="宋体"/>
          <w:b/>
          <w:bCs/>
          <w:color w:val="auto"/>
          <w:szCs w:val="28"/>
          <w:lang w:val="zh-CN" w:eastAsia="zh-CN"/>
        </w:rPr>
        <w:t xml:space="preserve">偏离表 </w:t>
      </w:r>
    </w:p>
    <w:p>
      <w:pPr>
        <w:pStyle w:val="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供应商名称：                           项目编号：</w:t>
      </w:r>
    </w:p>
    <w:tbl>
      <w:tblPr>
        <w:tblStyle w:val="36"/>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2486"/>
        <w:gridCol w:w="2466"/>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93" w:type="dxa"/>
            <w:tcBorders>
              <w:top w:val="single" w:color="auto" w:sz="4" w:space="0"/>
              <w:left w:val="single" w:color="auto" w:sz="4" w:space="0"/>
              <w:bottom w:val="single" w:color="auto" w:sz="4" w:space="0"/>
              <w:right w:val="single" w:color="auto" w:sz="4" w:space="0"/>
            </w:tcBorders>
            <w:noWrap w:val="0"/>
            <w:vAlign w:val="center"/>
          </w:tcPr>
          <w:p>
            <w:pPr>
              <w:pStyle w:val="1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序号</w:t>
            </w:r>
          </w:p>
        </w:tc>
        <w:tc>
          <w:tcPr>
            <w:tcW w:w="2486" w:type="dxa"/>
            <w:tcBorders>
              <w:top w:val="single" w:color="auto" w:sz="4" w:space="0"/>
              <w:left w:val="nil"/>
              <w:bottom w:val="single" w:color="auto" w:sz="4" w:space="0"/>
              <w:right w:val="single" w:color="auto" w:sz="4" w:space="0"/>
            </w:tcBorders>
            <w:noWrap w:val="0"/>
            <w:vAlign w:val="center"/>
          </w:tcPr>
          <w:p>
            <w:pPr>
              <w:pStyle w:val="1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单一来源文件技术要求</w:t>
            </w:r>
          </w:p>
        </w:tc>
        <w:tc>
          <w:tcPr>
            <w:tcW w:w="2466" w:type="dxa"/>
            <w:tcBorders>
              <w:top w:val="single" w:color="auto" w:sz="4" w:space="0"/>
              <w:left w:val="nil"/>
              <w:bottom w:val="single" w:color="auto" w:sz="4" w:space="0"/>
              <w:right w:val="single" w:color="auto" w:sz="4" w:space="0"/>
            </w:tcBorders>
            <w:noWrap w:val="0"/>
            <w:vAlign w:val="center"/>
          </w:tcPr>
          <w:p>
            <w:pPr>
              <w:pStyle w:val="1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单一来源</w:t>
            </w:r>
            <w:r>
              <w:rPr>
                <w:rFonts w:hint="eastAsia" w:ascii="宋体" w:hAnsi="宋体" w:eastAsia="宋体" w:cs="宋体"/>
                <w:color w:val="auto"/>
                <w:sz w:val="24"/>
                <w:szCs w:val="24"/>
              </w:rPr>
              <w:t>响应文件</w:t>
            </w:r>
            <w:r>
              <w:rPr>
                <w:rFonts w:hint="eastAsia" w:ascii="宋体" w:hAnsi="宋体" w:eastAsia="宋体" w:cs="宋体"/>
                <w:color w:val="auto"/>
                <w:kern w:val="2"/>
                <w:sz w:val="24"/>
                <w:szCs w:val="24"/>
                <w:lang w:val="en-US" w:eastAsia="zh-CN" w:bidi="ar-SA"/>
              </w:rPr>
              <w:t>技术要求</w:t>
            </w:r>
          </w:p>
        </w:tc>
        <w:tc>
          <w:tcPr>
            <w:tcW w:w="2378" w:type="dxa"/>
            <w:tcBorders>
              <w:top w:val="single" w:color="auto" w:sz="4" w:space="0"/>
              <w:left w:val="nil"/>
              <w:bottom w:val="single" w:color="auto" w:sz="4" w:space="0"/>
              <w:right w:val="single" w:color="auto" w:sz="4" w:space="0"/>
            </w:tcBorders>
            <w:noWrap w:val="0"/>
            <w:vAlign w:val="center"/>
          </w:tcPr>
          <w:p>
            <w:pPr>
              <w:pStyle w:val="1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486"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466"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378"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486"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466"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378"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486"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466"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378"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486"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466"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378"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486"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466"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378"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486"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466"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378"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486"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466"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378"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486"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466"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378"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93" w:type="dxa"/>
            <w:tcBorders>
              <w:top w:val="single" w:color="auto" w:sz="4" w:space="0"/>
              <w:left w:val="single" w:color="auto" w:sz="4" w:space="0"/>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486"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466"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c>
          <w:tcPr>
            <w:tcW w:w="2378" w:type="dxa"/>
            <w:tcBorders>
              <w:top w:val="single" w:color="auto" w:sz="4" w:space="0"/>
              <w:left w:val="nil"/>
              <w:bottom w:val="single" w:color="auto" w:sz="4" w:space="0"/>
              <w:right w:val="single" w:color="auto" w:sz="4" w:space="0"/>
            </w:tcBorders>
            <w:noWrap w:val="0"/>
            <w:vAlign w:val="top"/>
          </w:tcPr>
          <w:p>
            <w:pPr>
              <w:pStyle w:val="118"/>
              <w:spacing w:line="360" w:lineRule="auto"/>
              <w:rPr>
                <w:rFonts w:hint="eastAsia" w:ascii="宋体" w:hAnsi="宋体" w:eastAsia="宋体" w:cs="宋体"/>
                <w:color w:val="auto"/>
                <w:kern w:val="2"/>
                <w:sz w:val="24"/>
                <w:szCs w:val="24"/>
                <w:lang w:val="en-US" w:eastAsia="zh-CN" w:bidi="ar-SA"/>
              </w:rPr>
            </w:pPr>
          </w:p>
        </w:tc>
      </w:tr>
    </w:tbl>
    <w:p>
      <w:pPr>
        <w:widowControl/>
        <w:spacing w:line="480" w:lineRule="exact"/>
        <w:ind w:firstLine="525" w:firstLineChars="250"/>
        <w:textAlignment w:val="baseline"/>
        <w:rPr>
          <w:rFonts w:hint="eastAsia" w:ascii="宋体" w:hAnsi="宋体" w:eastAsia="宋体" w:cs="宋体"/>
          <w:color w:val="auto"/>
          <w:kern w:val="0"/>
          <w:szCs w:val="21"/>
          <w:u w:val="none" w:color="000000"/>
        </w:rPr>
      </w:pPr>
      <w:r>
        <w:rPr>
          <w:rFonts w:hint="eastAsia" w:ascii="宋体" w:hAnsi="宋体" w:eastAsia="宋体" w:cs="宋体"/>
          <w:color w:val="auto"/>
          <w:kern w:val="0"/>
          <w:szCs w:val="21"/>
          <w:u w:val="none" w:color="000000"/>
        </w:rPr>
        <w:t>注：1本表应严格按照“</w:t>
      </w:r>
      <w:r>
        <w:rPr>
          <w:rFonts w:hint="eastAsia" w:ascii="宋体" w:hAnsi="宋体" w:eastAsia="宋体" w:cs="宋体"/>
          <w:color w:val="auto"/>
          <w:kern w:val="0"/>
          <w:szCs w:val="21"/>
          <w:u w:val="none" w:color="000000"/>
          <w:lang w:val="en-US" w:eastAsia="zh-CN"/>
        </w:rPr>
        <w:t>第五</w:t>
      </w:r>
      <w:r>
        <w:rPr>
          <w:rFonts w:hint="eastAsia" w:ascii="宋体" w:hAnsi="宋体" w:eastAsia="宋体" w:cs="宋体"/>
          <w:color w:val="auto"/>
          <w:kern w:val="0"/>
          <w:szCs w:val="21"/>
          <w:u w:val="none" w:color="000000"/>
        </w:rPr>
        <w:t xml:space="preserve">章 </w:t>
      </w:r>
      <w:r>
        <w:rPr>
          <w:rFonts w:hint="eastAsia" w:ascii="宋体" w:hAnsi="宋体" w:eastAsia="宋体" w:cs="宋体"/>
          <w:color w:val="auto"/>
          <w:kern w:val="0"/>
          <w:szCs w:val="21"/>
          <w:u w:val="none" w:color="000000"/>
          <w:lang w:val="en-US" w:eastAsia="zh-CN"/>
        </w:rPr>
        <w:t>采购</w:t>
      </w:r>
      <w:r>
        <w:rPr>
          <w:rFonts w:hint="eastAsia" w:ascii="宋体" w:hAnsi="宋体" w:eastAsia="宋体" w:cs="宋体"/>
          <w:color w:val="auto"/>
          <w:kern w:val="0"/>
          <w:szCs w:val="21"/>
          <w:u w:val="none" w:color="000000"/>
        </w:rPr>
        <w:t>内容及要求”中采购的</w:t>
      </w:r>
      <w:r>
        <w:rPr>
          <w:rFonts w:hint="eastAsia" w:ascii="宋体" w:hAnsi="宋体" w:eastAsia="宋体" w:cs="宋体"/>
          <w:color w:val="auto"/>
          <w:kern w:val="0"/>
          <w:szCs w:val="21"/>
          <w:u w:val="none" w:color="000000"/>
          <w:lang w:val="en-US" w:eastAsia="zh-CN"/>
        </w:rPr>
        <w:t>技术要求</w:t>
      </w:r>
      <w:r>
        <w:rPr>
          <w:rFonts w:hint="eastAsia" w:ascii="宋体" w:hAnsi="宋体" w:eastAsia="宋体" w:cs="宋体"/>
          <w:color w:val="auto"/>
          <w:kern w:val="0"/>
          <w:szCs w:val="21"/>
          <w:u w:val="none" w:color="000000"/>
        </w:rPr>
        <w:t>填写；“</w:t>
      </w:r>
      <w:r>
        <w:rPr>
          <w:rFonts w:hint="eastAsia" w:ascii="宋体" w:hAnsi="宋体" w:eastAsia="宋体" w:cs="宋体"/>
          <w:color w:val="auto"/>
          <w:kern w:val="0"/>
          <w:szCs w:val="21"/>
          <w:u w:val="none" w:color="000000"/>
          <w:lang w:eastAsia="zh-CN"/>
        </w:rPr>
        <w:t>单一来源</w:t>
      </w:r>
      <w:r>
        <w:rPr>
          <w:rFonts w:hint="eastAsia" w:ascii="宋体" w:hAnsi="宋体" w:eastAsia="宋体" w:cs="宋体"/>
          <w:color w:val="auto"/>
          <w:kern w:val="0"/>
          <w:szCs w:val="21"/>
          <w:u w:val="none" w:color="000000"/>
        </w:rPr>
        <w:t>文件要求”须</w:t>
      </w:r>
      <w:r>
        <w:rPr>
          <w:rFonts w:hint="eastAsia" w:ascii="宋体" w:hAnsi="宋体" w:eastAsia="宋体" w:cs="宋体"/>
          <w:color w:val="auto"/>
          <w:kern w:val="0"/>
          <w:szCs w:val="21"/>
          <w:u w:val="none" w:color="000000"/>
          <w:lang w:val="en-US" w:eastAsia="zh-CN"/>
        </w:rPr>
        <w:t>按单一来源</w:t>
      </w:r>
      <w:r>
        <w:rPr>
          <w:rFonts w:hint="eastAsia" w:ascii="宋体" w:hAnsi="宋体" w:eastAsia="宋体" w:cs="宋体"/>
          <w:color w:val="auto"/>
          <w:kern w:val="0"/>
          <w:szCs w:val="21"/>
          <w:u w:val="none" w:color="000000"/>
        </w:rPr>
        <w:t>文件的技术</w:t>
      </w:r>
      <w:r>
        <w:rPr>
          <w:rFonts w:hint="eastAsia" w:ascii="宋体" w:hAnsi="宋体" w:eastAsia="宋体" w:cs="宋体"/>
          <w:color w:val="auto"/>
          <w:kern w:val="0"/>
          <w:szCs w:val="21"/>
          <w:u w:val="none" w:color="000000"/>
          <w:lang w:val="en-US" w:eastAsia="zh-CN"/>
        </w:rPr>
        <w:t>要求</w:t>
      </w:r>
      <w:r>
        <w:rPr>
          <w:rFonts w:hint="eastAsia" w:ascii="宋体" w:hAnsi="宋体" w:eastAsia="宋体" w:cs="宋体"/>
          <w:color w:val="auto"/>
          <w:kern w:val="0"/>
          <w:szCs w:val="21"/>
          <w:u w:val="none" w:color="000000"/>
        </w:rPr>
        <w:t>填写；“</w:t>
      </w:r>
      <w:r>
        <w:rPr>
          <w:rFonts w:hint="eastAsia" w:ascii="宋体" w:hAnsi="宋体" w:eastAsia="宋体" w:cs="宋体"/>
          <w:color w:val="auto"/>
          <w:kern w:val="0"/>
          <w:szCs w:val="21"/>
          <w:u w:val="none" w:color="000000"/>
          <w:lang w:eastAsia="zh-CN"/>
        </w:rPr>
        <w:t>单一来源</w:t>
      </w:r>
      <w:r>
        <w:rPr>
          <w:rFonts w:hint="eastAsia" w:ascii="宋体" w:hAnsi="宋体" w:eastAsia="宋体" w:cs="宋体"/>
          <w:color w:val="auto"/>
          <w:kern w:val="0"/>
          <w:szCs w:val="21"/>
          <w:u w:val="none" w:color="000000"/>
        </w:rPr>
        <w:t>响应文件技术要求”为</w:t>
      </w:r>
      <w:r>
        <w:rPr>
          <w:rFonts w:hint="eastAsia" w:ascii="宋体" w:hAnsi="宋体" w:eastAsia="宋体" w:cs="宋体"/>
          <w:color w:val="auto"/>
          <w:kern w:val="0"/>
          <w:szCs w:val="21"/>
          <w:u w:val="none" w:color="000000"/>
          <w:lang w:val="en-US" w:eastAsia="zh-CN"/>
        </w:rPr>
        <w:t>供应商</w:t>
      </w:r>
      <w:r>
        <w:rPr>
          <w:rFonts w:hint="eastAsia" w:ascii="宋体" w:hAnsi="宋体" w:eastAsia="宋体" w:cs="宋体"/>
          <w:color w:val="auto"/>
          <w:kern w:val="0"/>
          <w:szCs w:val="21"/>
          <w:u w:val="none" w:color="000000"/>
        </w:rPr>
        <w:t>所</w:t>
      </w:r>
      <w:r>
        <w:rPr>
          <w:rFonts w:hint="eastAsia" w:ascii="宋体" w:hAnsi="宋体" w:eastAsia="宋体" w:cs="宋体"/>
          <w:color w:val="auto"/>
          <w:kern w:val="0"/>
          <w:szCs w:val="21"/>
          <w:u w:val="none" w:color="000000"/>
          <w:lang w:val="en-US" w:eastAsia="zh-CN"/>
        </w:rPr>
        <w:t>响应</w:t>
      </w:r>
      <w:r>
        <w:rPr>
          <w:rFonts w:hint="eastAsia" w:ascii="宋体" w:hAnsi="宋体" w:eastAsia="宋体" w:cs="宋体"/>
          <w:color w:val="auto"/>
          <w:kern w:val="0"/>
          <w:szCs w:val="21"/>
          <w:u w:val="none" w:color="000000"/>
        </w:rPr>
        <w:t>的</w:t>
      </w:r>
      <w:r>
        <w:rPr>
          <w:rFonts w:hint="eastAsia" w:ascii="宋体" w:hAnsi="宋体" w:eastAsia="宋体" w:cs="宋体"/>
          <w:color w:val="auto"/>
          <w:kern w:val="0"/>
          <w:szCs w:val="21"/>
          <w:u w:val="none" w:color="000000"/>
          <w:lang w:val="en-US" w:eastAsia="zh-CN"/>
        </w:rPr>
        <w:t>技术要求</w:t>
      </w:r>
      <w:r>
        <w:rPr>
          <w:rFonts w:hint="eastAsia" w:ascii="宋体" w:hAnsi="宋体" w:eastAsia="宋体" w:cs="宋体"/>
          <w:color w:val="auto"/>
          <w:kern w:val="0"/>
          <w:szCs w:val="21"/>
          <w:u w:val="none" w:color="000000"/>
        </w:rPr>
        <w:t>；“偏离及其影响”填写：优于、相同或低于。</w:t>
      </w:r>
    </w:p>
    <w:p>
      <w:pPr>
        <w:widowControl/>
        <w:spacing w:line="480" w:lineRule="exact"/>
        <w:ind w:firstLine="525" w:firstLineChars="250"/>
        <w:textAlignment w:val="baseline"/>
        <w:rPr>
          <w:rFonts w:hint="eastAsia" w:ascii="宋体" w:hAnsi="宋体" w:eastAsia="宋体" w:cs="宋体"/>
          <w:color w:val="auto"/>
          <w:kern w:val="0"/>
          <w:szCs w:val="21"/>
          <w:u w:val="none" w:color="000000"/>
        </w:rPr>
      </w:pPr>
      <w:r>
        <w:rPr>
          <w:rFonts w:hint="eastAsia" w:ascii="宋体" w:hAnsi="宋体" w:eastAsia="宋体" w:cs="宋体"/>
          <w:color w:val="auto"/>
          <w:kern w:val="0"/>
          <w:szCs w:val="21"/>
          <w:u w:val="none" w:color="000000"/>
        </w:rPr>
        <w:t>2．</w:t>
      </w:r>
      <w:r>
        <w:rPr>
          <w:rFonts w:hint="eastAsia" w:ascii="宋体" w:hAnsi="宋体" w:eastAsia="宋体" w:cs="宋体"/>
          <w:color w:val="auto"/>
          <w:sz w:val="21"/>
          <w:szCs w:val="21"/>
        </w:rPr>
        <w:t>供应商必须据实填写，不得虚假响应，否则将取消其</w:t>
      </w:r>
      <w:r>
        <w:rPr>
          <w:rFonts w:hint="eastAsia" w:ascii="宋体" w:hAnsi="宋体" w:eastAsia="宋体" w:cs="宋体"/>
          <w:color w:val="auto"/>
          <w:sz w:val="21"/>
          <w:szCs w:val="21"/>
          <w:lang w:eastAsia="zh-CN"/>
        </w:rPr>
        <w:t>谈判</w:t>
      </w:r>
      <w:r>
        <w:rPr>
          <w:rFonts w:hint="eastAsia" w:ascii="宋体" w:hAnsi="宋体" w:eastAsia="宋体" w:cs="宋体"/>
          <w:color w:val="auto"/>
          <w:sz w:val="21"/>
          <w:szCs w:val="21"/>
        </w:rPr>
        <w:t>或成交资格，并按有关规定进</w:t>
      </w:r>
      <w:r>
        <w:rPr>
          <w:rFonts w:hint="eastAsia" w:ascii="宋体" w:hAnsi="宋体" w:eastAsia="宋体" w:cs="宋体"/>
          <w:color w:val="auto"/>
          <w:sz w:val="21"/>
          <w:szCs w:val="21"/>
          <w:lang w:val="en-US" w:eastAsia="zh-CN"/>
        </w:rPr>
        <w:t>行</w:t>
      </w:r>
      <w:r>
        <w:rPr>
          <w:rFonts w:hint="eastAsia" w:ascii="宋体" w:hAnsi="宋体" w:eastAsia="宋体" w:cs="宋体"/>
          <w:color w:val="auto"/>
          <w:sz w:val="21"/>
          <w:szCs w:val="21"/>
        </w:rPr>
        <w:t>处罚。</w:t>
      </w:r>
    </w:p>
    <w:p>
      <w:pPr>
        <w:pStyle w:val="16"/>
        <w:rPr>
          <w:rFonts w:hint="eastAsia" w:ascii="宋体" w:hAnsi="宋体" w:eastAsia="宋体" w:cs="宋体"/>
          <w:color w:val="auto"/>
        </w:rPr>
      </w:pPr>
    </w:p>
    <w:p>
      <w:pPr>
        <w:pStyle w:val="16"/>
        <w:rPr>
          <w:rFonts w:hint="eastAsia" w:ascii="宋体" w:hAnsi="宋体" w:eastAsia="宋体" w:cs="宋体"/>
          <w:color w:val="auto"/>
        </w:rPr>
      </w:pPr>
    </w:p>
    <w:p>
      <w:pPr>
        <w:pStyle w:val="16"/>
        <w:rPr>
          <w:rFonts w:hint="eastAsia" w:ascii="宋体" w:hAnsi="宋体" w:eastAsia="宋体" w:cs="宋体"/>
          <w:color w:val="auto"/>
        </w:rPr>
      </w:pPr>
    </w:p>
    <w:p>
      <w:pPr>
        <w:pStyle w:val="16"/>
        <w:rPr>
          <w:rFonts w:hint="eastAsia" w:ascii="宋体" w:hAnsi="宋体" w:eastAsia="宋体" w:cs="宋体"/>
          <w:color w:val="auto"/>
        </w:rPr>
      </w:pPr>
    </w:p>
    <w:p>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供应商名称：（盖章）</w:t>
      </w:r>
    </w:p>
    <w:p>
      <w:pPr>
        <w:adjustRightInd w:val="0"/>
        <w:spacing w:line="36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法定代表人或授权代表（签名或盖章）：         日期：</w:t>
      </w:r>
    </w:p>
    <w:p>
      <w:pPr>
        <w:autoSpaceDE w:val="0"/>
        <w:autoSpaceDN w:val="0"/>
        <w:adjustRightInd w:val="0"/>
        <w:spacing w:line="360" w:lineRule="auto"/>
        <w:jc w:val="center"/>
        <w:rPr>
          <w:rFonts w:hint="eastAsia" w:ascii="宋体" w:hAnsi="宋体" w:eastAsia="宋体" w:cs="宋体"/>
          <w:b/>
          <w:bCs/>
          <w:color w:val="auto"/>
          <w:sz w:val="36"/>
          <w:szCs w:val="36"/>
          <w:lang w:val="zh-CN"/>
        </w:rPr>
      </w:pPr>
    </w:p>
    <w:p>
      <w:pPr>
        <w:pStyle w:val="16"/>
        <w:rPr>
          <w:rFonts w:hint="eastAsia" w:ascii="宋体" w:hAnsi="宋体" w:eastAsia="宋体" w:cs="宋体"/>
          <w:color w:val="auto"/>
          <w:lang w:val="zh-CN"/>
        </w:rPr>
      </w:pPr>
    </w:p>
    <w:p>
      <w:pPr>
        <w:autoSpaceDE w:val="0"/>
        <w:autoSpaceDN w:val="0"/>
        <w:adjustRightInd w:val="0"/>
        <w:spacing w:line="360" w:lineRule="auto"/>
        <w:jc w:val="center"/>
        <w:rPr>
          <w:rFonts w:hint="eastAsia" w:ascii="宋体" w:hAnsi="宋体" w:eastAsia="宋体" w:cs="宋体"/>
          <w:b/>
          <w:bCs/>
          <w:color w:val="auto"/>
          <w:sz w:val="28"/>
          <w:szCs w:val="28"/>
          <w:lang w:val="zh-CN"/>
        </w:rPr>
      </w:pPr>
    </w:p>
    <w:p>
      <w:pPr>
        <w:pStyle w:val="4"/>
        <w:keepNext/>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auto"/>
          <w:szCs w:val="28"/>
          <w:lang w:val="zh-CN"/>
        </w:rPr>
      </w:pPr>
      <w:r>
        <w:rPr>
          <w:rFonts w:hint="eastAsia" w:ascii="宋体" w:hAnsi="宋体" w:eastAsia="宋体" w:cs="宋体"/>
          <w:b/>
          <w:bCs/>
          <w:color w:val="auto"/>
          <w:szCs w:val="28"/>
          <w:lang w:val="en-US" w:eastAsia="zh-CN"/>
        </w:rPr>
        <w:t xml:space="preserve">第五部分 </w:t>
      </w:r>
      <w:r>
        <w:rPr>
          <w:rFonts w:hint="eastAsia" w:ascii="宋体" w:hAnsi="宋体" w:eastAsia="宋体" w:cs="宋体"/>
          <w:b/>
          <w:bCs/>
          <w:color w:val="auto"/>
          <w:szCs w:val="28"/>
          <w:lang w:val="zh-CN"/>
        </w:rPr>
        <w:t>谈判方案说明</w:t>
      </w:r>
    </w:p>
    <w:p>
      <w:pPr>
        <w:autoSpaceDE w:val="0"/>
        <w:autoSpaceDN w:val="0"/>
        <w:adjustRightInd w:val="0"/>
        <w:spacing w:line="360" w:lineRule="auto"/>
        <w:jc w:val="center"/>
        <w:rPr>
          <w:rFonts w:hint="eastAsia" w:ascii="宋体" w:hAnsi="宋体" w:eastAsia="宋体" w:cs="宋体"/>
          <w:b/>
          <w:bCs/>
          <w:color w:val="auto"/>
          <w:sz w:val="36"/>
          <w:szCs w:val="36"/>
          <w:lang w:val="zh-CN"/>
        </w:rPr>
      </w:pP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1、依照</w:t>
      </w:r>
      <w:r>
        <w:rPr>
          <w:rFonts w:hint="eastAsia" w:ascii="宋体" w:hAnsi="宋体" w:eastAsia="宋体" w:cs="宋体"/>
          <w:color w:val="auto"/>
          <w:sz w:val="24"/>
          <w:szCs w:val="24"/>
          <w:lang w:eastAsia="zh-CN"/>
        </w:rPr>
        <w:t>单一来源文件</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第五章 </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内容及要求</w:t>
      </w:r>
      <w:r>
        <w:rPr>
          <w:rFonts w:hint="eastAsia" w:ascii="宋体" w:hAnsi="宋体" w:eastAsia="宋体" w:cs="宋体"/>
          <w:color w:val="auto"/>
          <w:sz w:val="24"/>
          <w:szCs w:val="24"/>
        </w:rPr>
        <w:t>”及“</w:t>
      </w:r>
      <w:r>
        <w:rPr>
          <w:rFonts w:hint="eastAsia" w:ascii="宋体" w:hAnsi="宋体" w:eastAsia="宋体" w:cs="宋体"/>
          <w:color w:val="auto"/>
          <w:sz w:val="24"/>
          <w:szCs w:val="24"/>
          <w:lang w:val="en-US" w:eastAsia="zh-CN"/>
        </w:rPr>
        <w:t>评审办法</w:t>
      </w:r>
      <w:r>
        <w:rPr>
          <w:rFonts w:hint="eastAsia" w:ascii="宋体" w:hAnsi="宋体" w:eastAsia="宋体" w:cs="宋体"/>
          <w:color w:val="auto"/>
          <w:sz w:val="24"/>
          <w:szCs w:val="24"/>
        </w:rPr>
        <w:t>”编制</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方案，不限于：</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方案、</w:t>
      </w:r>
      <w:r>
        <w:rPr>
          <w:rFonts w:hint="eastAsia" w:ascii="宋体" w:hAnsi="宋体" w:eastAsia="宋体" w:cs="宋体"/>
          <w:color w:val="auto"/>
          <w:sz w:val="24"/>
          <w:szCs w:val="24"/>
          <w:lang w:val="en-US" w:eastAsia="zh-CN"/>
        </w:rPr>
        <w:t>人员配备</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履约能力</w:t>
      </w:r>
      <w:r>
        <w:rPr>
          <w:rFonts w:hint="eastAsia" w:ascii="宋体" w:hAnsi="宋体" w:eastAsia="宋体" w:cs="宋体"/>
          <w:color w:val="auto"/>
          <w:sz w:val="24"/>
          <w:szCs w:val="24"/>
        </w:rPr>
        <w:t>等。</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2、供应商认为有必要说明的其他问题。</w:t>
      </w:r>
    </w:p>
    <w:p>
      <w:pPr>
        <w:jc w:val="center"/>
        <w:rPr>
          <w:rFonts w:hint="eastAsia" w:ascii="宋体" w:hAnsi="宋体" w:eastAsia="宋体" w:cs="宋体"/>
          <w:b/>
          <w:color w:val="auto"/>
          <w:sz w:val="32"/>
          <w:szCs w:val="32"/>
        </w:rPr>
      </w:pPr>
    </w:p>
    <w:p>
      <w:pPr>
        <w:autoSpaceDE w:val="0"/>
        <w:autoSpaceDN w:val="0"/>
        <w:adjustRightInd w:val="0"/>
        <w:spacing w:line="360" w:lineRule="auto"/>
        <w:jc w:val="center"/>
        <w:rPr>
          <w:rFonts w:hint="eastAsia" w:ascii="宋体" w:hAnsi="宋体" w:eastAsia="宋体" w:cs="宋体"/>
          <w:b/>
          <w:bCs/>
          <w:color w:val="auto"/>
          <w:sz w:val="28"/>
          <w:szCs w:val="28"/>
          <w:lang w:val="zh-CN"/>
        </w:rPr>
      </w:pPr>
    </w:p>
    <w:p>
      <w:pPr>
        <w:autoSpaceDE w:val="0"/>
        <w:autoSpaceDN w:val="0"/>
        <w:adjustRightInd w:val="0"/>
        <w:spacing w:line="360" w:lineRule="auto"/>
        <w:jc w:val="center"/>
        <w:rPr>
          <w:rFonts w:hint="eastAsia" w:ascii="宋体" w:hAnsi="宋体" w:eastAsia="宋体" w:cs="宋体"/>
          <w:b/>
          <w:bCs/>
          <w:color w:val="auto"/>
          <w:sz w:val="28"/>
          <w:szCs w:val="28"/>
          <w:lang w:val="zh-CN"/>
        </w:rPr>
      </w:pPr>
    </w:p>
    <w:p>
      <w:pPr>
        <w:autoSpaceDE w:val="0"/>
        <w:autoSpaceDN w:val="0"/>
        <w:adjustRightInd w:val="0"/>
        <w:spacing w:line="360" w:lineRule="auto"/>
        <w:jc w:val="center"/>
        <w:rPr>
          <w:rFonts w:hint="eastAsia" w:ascii="宋体" w:hAnsi="宋体" w:eastAsia="宋体" w:cs="宋体"/>
          <w:b/>
          <w:bCs/>
          <w:color w:val="auto"/>
          <w:sz w:val="28"/>
          <w:szCs w:val="28"/>
          <w:lang w:val="zh-CN"/>
        </w:rPr>
      </w:pPr>
    </w:p>
    <w:p>
      <w:pPr>
        <w:autoSpaceDE w:val="0"/>
        <w:autoSpaceDN w:val="0"/>
        <w:adjustRightInd w:val="0"/>
        <w:spacing w:line="360" w:lineRule="auto"/>
        <w:jc w:val="center"/>
        <w:rPr>
          <w:rFonts w:hint="eastAsia" w:ascii="宋体" w:hAnsi="宋体" w:eastAsia="宋体" w:cs="宋体"/>
          <w:b/>
          <w:bCs/>
          <w:color w:val="auto"/>
          <w:sz w:val="28"/>
          <w:szCs w:val="28"/>
          <w:lang w:val="zh-CN"/>
        </w:rPr>
      </w:pPr>
    </w:p>
    <w:p>
      <w:pPr>
        <w:pStyle w:val="13"/>
        <w:rPr>
          <w:rFonts w:hint="eastAsia" w:ascii="宋体" w:hAnsi="宋体" w:eastAsia="宋体" w:cs="宋体"/>
          <w:b/>
          <w:bCs/>
          <w:color w:val="auto"/>
          <w:sz w:val="28"/>
          <w:szCs w:val="28"/>
          <w:lang w:val="zh-CN"/>
        </w:rPr>
      </w:pPr>
    </w:p>
    <w:p>
      <w:pPr>
        <w:rPr>
          <w:rFonts w:hint="eastAsia" w:ascii="宋体" w:hAnsi="宋体" w:eastAsia="宋体" w:cs="宋体"/>
          <w:b/>
          <w:bCs/>
          <w:color w:val="auto"/>
          <w:sz w:val="28"/>
          <w:szCs w:val="28"/>
          <w:lang w:val="zh-CN"/>
        </w:rPr>
      </w:pPr>
    </w:p>
    <w:p>
      <w:pPr>
        <w:pStyle w:val="13"/>
        <w:rPr>
          <w:rFonts w:hint="eastAsia" w:ascii="宋体" w:hAnsi="宋体" w:eastAsia="宋体" w:cs="宋体"/>
          <w:b/>
          <w:bCs/>
          <w:color w:val="auto"/>
          <w:sz w:val="28"/>
          <w:szCs w:val="28"/>
          <w:lang w:val="zh-CN"/>
        </w:rPr>
      </w:pPr>
    </w:p>
    <w:p>
      <w:pPr>
        <w:rPr>
          <w:rFonts w:hint="eastAsia" w:ascii="宋体" w:hAnsi="宋体" w:eastAsia="宋体" w:cs="宋体"/>
          <w:b/>
          <w:bCs/>
          <w:color w:val="auto"/>
          <w:sz w:val="28"/>
          <w:szCs w:val="28"/>
          <w:lang w:val="zh-CN"/>
        </w:rPr>
      </w:pPr>
    </w:p>
    <w:p>
      <w:pPr>
        <w:pStyle w:val="13"/>
        <w:rPr>
          <w:rFonts w:hint="eastAsia" w:ascii="宋体" w:hAnsi="宋体" w:eastAsia="宋体" w:cs="宋体"/>
          <w:b/>
          <w:bCs/>
          <w:color w:val="auto"/>
          <w:sz w:val="28"/>
          <w:szCs w:val="28"/>
          <w:lang w:val="zh-CN"/>
        </w:rPr>
      </w:pPr>
    </w:p>
    <w:p>
      <w:pPr>
        <w:rPr>
          <w:rFonts w:hint="eastAsia" w:ascii="宋体" w:hAnsi="宋体" w:eastAsia="宋体" w:cs="宋体"/>
          <w:b/>
          <w:bCs/>
          <w:color w:val="auto"/>
          <w:sz w:val="28"/>
          <w:szCs w:val="28"/>
          <w:lang w:val="zh-CN"/>
        </w:rPr>
      </w:pPr>
    </w:p>
    <w:p>
      <w:pPr>
        <w:pStyle w:val="13"/>
        <w:rPr>
          <w:rFonts w:hint="eastAsia" w:ascii="宋体" w:hAnsi="宋体" w:eastAsia="宋体" w:cs="宋体"/>
          <w:b/>
          <w:bCs/>
          <w:color w:val="auto"/>
          <w:sz w:val="28"/>
          <w:szCs w:val="28"/>
          <w:lang w:val="zh-CN"/>
        </w:rPr>
      </w:pPr>
    </w:p>
    <w:p>
      <w:pPr>
        <w:rPr>
          <w:rFonts w:hint="eastAsia" w:ascii="宋体" w:hAnsi="宋体" w:eastAsia="宋体" w:cs="宋体"/>
          <w:b/>
          <w:bCs/>
          <w:color w:val="auto"/>
          <w:sz w:val="28"/>
          <w:szCs w:val="28"/>
          <w:lang w:val="zh-CN"/>
        </w:rPr>
      </w:pPr>
    </w:p>
    <w:p>
      <w:pPr>
        <w:pStyle w:val="13"/>
        <w:rPr>
          <w:rFonts w:hint="eastAsia" w:ascii="宋体" w:hAnsi="宋体" w:eastAsia="宋体" w:cs="宋体"/>
          <w:b/>
          <w:bCs/>
          <w:color w:val="auto"/>
          <w:sz w:val="28"/>
          <w:szCs w:val="28"/>
          <w:lang w:val="zh-CN"/>
        </w:rPr>
      </w:pPr>
    </w:p>
    <w:p>
      <w:pPr>
        <w:rPr>
          <w:rFonts w:hint="eastAsia" w:ascii="宋体" w:hAnsi="宋体" w:eastAsia="宋体" w:cs="宋体"/>
          <w:b/>
          <w:bCs/>
          <w:color w:val="auto"/>
          <w:sz w:val="28"/>
          <w:szCs w:val="28"/>
          <w:lang w:val="zh-CN"/>
        </w:rPr>
      </w:pPr>
    </w:p>
    <w:p>
      <w:pPr>
        <w:pStyle w:val="2"/>
        <w:rPr>
          <w:rFonts w:hint="eastAsia" w:ascii="宋体" w:hAnsi="宋体" w:eastAsia="宋体" w:cs="宋体"/>
          <w:b/>
          <w:bCs/>
          <w:color w:val="auto"/>
          <w:sz w:val="28"/>
          <w:szCs w:val="28"/>
          <w:lang w:val="zh-CN"/>
        </w:rPr>
      </w:pPr>
    </w:p>
    <w:p>
      <w:pPr>
        <w:rPr>
          <w:rFonts w:hint="eastAsia" w:ascii="宋体" w:hAnsi="宋体" w:eastAsia="宋体" w:cs="宋体"/>
          <w:b/>
          <w:bCs/>
          <w:color w:val="auto"/>
          <w:sz w:val="28"/>
          <w:szCs w:val="28"/>
          <w:lang w:val="zh-CN"/>
        </w:rPr>
      </w:pPr>
    </w:p>
    <w:p>
      <w:pPr>
        <w:pStyle w:val="2"/>
        <w:rPr>
          <w:rFonts w:hint="eastAsia" w:ascii="宋体" w:hAnsi="宋体" w:eastAsia="宋体" w:cs="宋体"/>
          <w:lang w:val="zh-CN"/>
        </w:rPr>
      </w:pPr>
    </w:p>
    <w:p>
      <w:pPr>
        <w:pStyle w:val="13"/>
        <w:rPr>
          <w:rFonts w:hint="eastAsia" w:ascii="宋体" w:hAnsi="宋体" w:eastAsia="宋体" w:cs="宋体"/>
          <w:b/>
          <w:bCs/>
          <w:color w:val="auto"/>
          <w:sz w:val="28"/>
          <w:szCs w:val="28"/>
          <w:lang w:val="zh-CN"/>
        </w:rPr>
      </w:pPr>
    </w:p>
    <w:p>
      <w:pPr>
        <w:rPr>
          <w:rFonts w:hint="eastAsia" w:ascii="宋体" w:hAnsi="宋体" w:eastAsia="宋体" w:cs="宋体"/>
          <w:color w:val="auto"/>
          <w:lang w:val="zh-CN"/>
        </w:rPr>
      </w:pPr>
    </w:p>
    <w:p>
      <w:pPr>
        <w:autoSpaceDE w:val="0"/>
        <w:autoSpaceDN w:val="0"/>
        <w:adjustRightInd w:val="0"/>
        <w:spacing w:line="360" w:lineRule="auto"/>
        <w:jc w:val="center"/>
        <w:rPr>
          <w:rFonts w:hint="eastAsia" w:ascii="宋体" w:hAnsi="宋体" w:eastAsia="宋体" w:cs="宋体"/>
          <w:b/>
          <w:bCs/>
          <w:color w:val="auto"/>
          <w:sz w:val="28"/>
          <w:szCs w:val="28"/>
          <w:lang w:val="zh-CN"/>
        </w:rPr>
      </w:pPr>
    </w:p>
    <w:p>
      <w:pPr>
        <w:autoSpaceDE w:val="0"/>
        <w:autoSpaceDN w:val="0"/>
        <w:adjustRightInd w:val="0"/>
        <w:spacing w:line="360" w:lineRule="auto"/>
        <w:jc w:val="center"/>
        <w:rPr>
          <w:rFonts w:hint="eastAsia" w:ascii="宋体" w:hAnsi="宋体" w:eastAsia="宋体" w:cs="宋体"/>
          <w:b/>
          <w:bCs/>
          <w:color w:val="auto"/>
          <w:sz w:val="28"/>
          <w:szCs w:val="28"/>
          <w:lang w:val="zh-CN"/>
        </w:rPr>
      </w:pPr>
    </w:p>
    <w:p>
      <w:pPr>
        <w:pStyle w:val="4"/>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附件1：</w:t>
      </w:r>
    </w:p>
    <w:p>
      <w:pPr>
        <w:pStyle w:val="4"/>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供应商近三年类似项目业绩一览表</w:t>
      </w:r>
    </w:p>
    <w:p>
      <w:pPr>
        <w:pStyle w:val="52"/>
        <w:rPr>
          <w:rFonts w:hint="eastAsia" w:ascii="宋体" w:hAnsi="宋体" w:eastAsia="宋体" w:cs="宋体"/>
          <w:color w:val="auto"/>
        </w:rPr>
      </w:pPr>
    </w:p>
    <w:p>
      <w:pPr>
        <w:pStyle w:val="52"/>
        <w:rPr>
          <w:rFonts w:hint="eastAsia" w:ascii="宋体" w:hAnsi="宋体" w:eastAsia="宋体" w:cs="宋体"/>
          <w:color w:val="auto"/>
          <w:sz w:val="24"/>
          <w:szCs w:val="24"/>
        </w:rPr>
      </w:pPr>
      <w:r>
        <w:rPr>
          <w:rFonts w:hint="eastAsia" w:ascii="宋体" w:hAnsi="宋体" w:eastAsia="宋体" w:cs="宋体"/>
          <w:color w:val="auto"/>
          <w:sz w:val="24"/>
          <w:szCs w:val="24"/>
        </w:rPr>
        <w:t>供应商名称：                                           单位：万元</w:t>
      </w:r>
    </w:p>
    <w:tbl>
      <w:tblPr>
        <w:tblStyle w:val="36"/>
        <w:tblW w:w="93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932"/>
        <w:gridCol w:w="2006"/>
        <w:gridCol w:w="1950"/>
        <w:gridCol w:w="1513"/>
        <w:gridCol w:w="8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06" w:type="dxa"/>
            <w:noWrap w:val="0"/>
            <w:vAlign w:val="center"/>
          </w:tcPr>
          <w:p>
            <w:pPr>
              <w:pStyle w:val="6"/>
              <w:ind w:firstLine="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年份</w:t>
            </w:r>
          </w:p>
        </w:tc>
        <w:tc>
          <w:tcPr>
            <w:tcW w:w="1932" w:type="dxa"/>
            <w:noWrap w:val="0"/>
            <w:vAlign w:val="center"/>
          </w:tcPr>
          <w:p>
            <w:pPr>
              <w:pStyle w:val="6"/>
              <w:ind w:firstLine="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用户名称</w:t>
            </w:r>
          </w:p>
        </w:tc>
        <w:tc>
          <w:tcPr>
            <w:tcW w:w="2006" w:type="dxa"/>
            <w:noWrap w:val="0"/>
            <w:vAlign w:val="center"/>
          </w:tcPr>
          <w:p>
            <w:pPr>
              <w:pStyle w:val="6"/>
              <w:ind w:firstLine="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项目名称</w:t>
            </w:r>
          </w:p>
        </w:tc>
        <w:tc>
          <w:tcPr>
            <w:tcW w:w="1950" w:type="dxa"/>
            <w:noWrap w:val="0"/>
            <w:vAlign w:val="center"/>
          </w:tcPr>
          <w:p>
            <w:pPr>
              <w:pStyle w:val="6"/>
              <w:ind w:firstLine="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合同金额</w:t>
            </w:r>
          </w:p>
        </w:tc>
        <w:tc>
          <w:tcPr>
            <w:tcW w:w="1513" w:type="dxa"/>
            <w:noWrap w:val="0"/>
            <w:vAlign w:val="center"/>
          </w:tcPr>
          <w:p>
            <w:pPr>
              <w:pStyle w:val="6"/>
              <w:ind w:firstLine="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完成质量</w:t>
            </w:r>
          </w:p>
        </w:tc>
        <w:tc>
          <w:tcPr>
            <w:tcW w:w="858" w:type="dxa"/>
            <w:noWrap w:val="0"/>
            <w:vAlign w:val="center"/>
          </w:tcPr>
          <w:p>
            <w:pPr>
              <w:pStyle w:val="6"/>
              <w:ind w:firstLine="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06" w:type="dxa"/>
            <w:noWrap w:val="0"/>
            <w:vAlign w:val="top"/>
          </w:tcPr>
          <w:p>
            <w:pPr>
              <w:pStyle w:val="6"/>
              <w:ind w:firstLine="0"/>
              <w:rPr>
                <w:rFonts w:hint="eastAsia" w:ascii="宋体" w:hAnsi="宋体" w:eastAsia="宋体" w:cs="宋体"/>
                <w:color w:val="auto"/>
                <w:sz w:val="24"/>
                <w:szCs w:val="24"/>
              </w:rPr>
            </w:pPr>
          </w:p>
        </w:tc>
        <w:tc>
          <w:tcPr>
            <w:tcW w:w="1932" w:type="dxa"/>
            <w:noWrap w:val="0"/>
            <w:vAlign w:val="top"/>
          </w:tcPr>
          <w:p>
            <w:pPr>
              <w:pStyle w:val="6"/>
              <w:ind w:firstLine="0"/>
              <w:rPr>
                <w:rFonts w:hint="eastAsia" w:ascii="宋体" w:hAnsi="宋体" w:eastAsia="宋体" w:cs="宋体"/>
                <w:color w:val="auto"/>
                <w:sz w:val="24"/>
                <w:szCs w:val="24"/>
              </w:rPr>
            </w:pPr>
          </w:p>
        </w:tc>
        <w:tc>
          <w:tcPr>
            <w:tcW w:w="2006" w:type="dxa"/>
            <w:noWrap w:val="0"/>
            <w:vAlign w:val="top"/>
          </w:tcPr>
          <w:p>
            <w:pPr>
              <w:pStyle w:val="6"/>
              <w:ind w:firstLine="0"/>
              <w:rPr>
                <w:rFonts w:hint="eastAsia" w:ascii="宋体" w:hAnsi="宋体" w:eastAsia="宋体" w:cs="宋体"/>
                <w:color w:val="auto"/>
                <w:sz w:val="24"/>
                <w:szCs w:val="24"/>
              </w:rPr>
            </w:pPr>
          </w:p>
        </w:tc>
        <w:tc>
          <w:tcPr>
            <w:tcW w:w="1950" w:type="dxa"/>
            <w:noWrap w:val="0"/>
            <w:vAlign w:val="top"/>
          </w:tcPr>
          <w:p>
            <w:pPr>
              <w:pStyle w:val="6"/>
              <w:ind w:firstLine="0"/>
              <w:rPr>
                <w:rFonts w:hint="eastAsia" w:ascii="宋体" w:hAnsi="宋体" w:eastAsia="宋体" w:cs="宋体"/>
                <w:color w:val="auto"/>
                <w:sz w:val="24"/>
                <w:szCs w:val="24"/>
              </w:rPr>
            </w:pPr>
          </w:p>
        </w:tc>
        <w:tc>
          <w:tcPr>
            <w:tcW w:w="1513" w:type="dxa"/>
            <w:noWrap w:val="0"/>
            <w:vAlign w:val="top"/>
          </w:tcPr>
          <w:p>
            <w:pPr>
              <w:pStyle w:val="6"/>
              <w:ind w:firstLine="0"/>
              <w:rPr>
                <w:rFonts w:hint="eastAsia" w:ascii="宋体" w:hAnsi="宋体" w:eastAsia="宋体" w:cs="宋体"/>
                <w:color w:val="auto"/>
                <w:sz w:val="24"/>
                <w:szCs w:val="24"/>
              </w:rPr>
            </w:pPr>
          </w:p>
        </w:tc>
        <w:tc>
          <w:tcPr>
            <w:tcW w:w="858" w:type="dxa"/>
            <w:noWrap w:val="0"/>
            <w:vAlign w:val="top"/>
          </w:tcPr>
          <w:p>
            <w:pPr>
              <w:pStyle w:val="6"/>
              <w:ind w:firstLine="0"/>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06" w:type="dxa"/>
            <w:noWrap w:val="0"/>
            <w:vAlign w:val="top"/>
          </w:tcPr>
          <w:p>
            <w:pPr>
              <w:pStyle w:val="6"/>
              <w:ind w:firstLine="0"/>
              <w:rPr>
                <w:rFonts w:hint="eastAsia" w:ascii="宋体" w:hAnsi="宋体" w:eastAsia="宋体" w:cs="宋体"/>
                <w:color w:val="auto"/>
                <w:sz w:val="24"/>
                <w:szCs w:val="24"/>
              </w:rPr>
            </w:pPr>
          </w:p>
        </w:tc>
        <w:tc>
          <w:tcPr>
            <w:tcW w:w="1932" w:type="dxa"/>
            <w:noWrap w:val="0"/>
            <w:vAlign w:val="top"/>
          </w:tcPr>
          <w:p>
            <w:pPr>
              <w:pStyle w:val="6"/>
              <w:ind w:firstLine="0"/>
              <w:rPr>
                <w:rFonts w:hint="eastAsia" w:ascii="宋体" w:hAnsi="宋体" w:eastAsia="宋体" w:cs="宋体"/>
                <w:color w:val="auto"/>
                <w:sz w:val="24"/>
                <w:szCs w:val="24"/>
              </w:rPr>
            </w:pPr>
          </w:p>
        </w:tc>
        <w:tc>
          <w:tcPr>
            <w:tcW w:w="2006" w:type="dxa"/>
            <w:noWrap w:val="0"/>
            <w:vAlign w:val="top"/>
          </w:tcPr>
          <w:p>
            <w:pPr>
              <w:pStyle w:val="6"/>
              <w:ind w:firstLine="0"/>
              <w:rPr>
                <w:rFonts w:hint="eastAsia" w:ascii="宋体" w:hAnsi="宋体" w:eastAsia="宋体" w:cs="宋体"/>
                <w:color w:val="auto"/>
                <w:sz w:val="24"/>
                <w:szCs w:val="24"/>
              </w:rPr>
            </w:pPr>
          </w:p>
        </w:tc>
        <w:tc>
          <w:tcPr>
            <w:tcW w:w="1950" w:type="dxa"/>
            <w:noWrap w:val="0"/>
            <w:vAlign w:val="top"/>
          </w:tcPr>
          <w:p>
            <w:pPr>
              <w:pStyle w:val="6"/>
              <w:ind w:firstLine="0"/>
              <w:rPr>
                <w:rFonts w:hint="eastAsia" w:ascii="宋体" w:hAnsi="宋体" w:eastAsia="宋体" w:cs="宋体"/>
                <w:color w:val="auto"/>
                <w:sz w:val="24"/>
                <w:szCs w:val="24"/>
              </w:rPr>
            </w:pPr>
          </w:p>
        </w:tc>
        <w:tc>
          <w:tcPr>
            <w:tcW w:w="1513" w:type="dxa"/>
            <w:noWrap w:val="0"/>
            <w:vAlign w:val="top"/>
          </w:tcPr>
          <w:p>
            <w:pPr>
              <w:pStyle w:val="6"/>
              <w:ind w:firstLine="0"/>
              <w:rPr>
                <w:rFonts w:hint="eastAsia" w:ascii="宋体" w:hAnsi="宋体" w:eastAsia="宋体" w:cs="宋体"/>
                <w:color w:val="auto"/>
                <w:sz w:val="24"/>
                <w:szCs w:val="24"/>
              </w:rPr>
            </w:pPr>
          </w:p>
        </w:tc>
        <w:tc>
          <w:tcPr>
            <w:tcW w:w="858" w:type="dxa"/>
            <w:noWrap w:val="0"/>
            <w:vAlign w:val="top"/>
          </w:tcPr>
          <w:p>
            <w:pPr>
              <w:pStyle w:val="6"/>
              <w:ind w:firstLine="0"/>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06" w:type="dxa"/>
            <w:noWrap w:val="0"/>
            <w:vAlign w:val="top"/>
          </w:tcPr>
          <w:p>
            <w:pPr>
              <w:pStyle w:val="6"/>
              <w:ind w:firstLine="0"/>
              <w:rPr>
                <w:rFonts w:hint="eastAsia" w:ascii="宋体" w:hAnsi="宋体" w:eastAsia="宋体" w:cs="宋体"/>
                <w:color w:val="auto"/>
                <w:sz w:val="24"/>
                <w:szCs w:val="24"/>
              </w:rPr>
            </w:pPr>
          </w:p>
        </w:tc>
        <w:tc>
          <w:tcPr>
            <w:tcW w:w="1932" w:type="dxa"/>
            <w:noWrap w:val="0"/>
            <w:vAlign w:val="top"/>
          </w:tcPr>
          <w:p>
            <w:pPr>
              <w:pStyle w:val="6"/>
              <w:ind w:firstLine="0"/>
              <w:rPr>
                <w:rFonts w:hint="eastAsia" w:ascii="宋体" w:hAnsi="宋体" w:eastAsia="宋体" w:cs="宋体"/>
                <w:color w:val="auto"/>
                <w:sz w:val="24"/>
                <w:szCs w:val="24"/>
              </w:rPr>
            </w:pPr>
          </w:p>
        </w:tc>
        <w:tc>
          <w:tcPr>
            <w:tcW w:w="2006" w:type="dxa"/>
            <w:noWrap w:val="0"/>
            <w:vAlign w:val="top"/>
          </w:tcPr>
          <w:p>
            <w:pPr>
              <w:pStyle w:val="6"/>
              <w:ind w:firstLine="0"/>
              <w:rPr>
                <w:rFonts w:hint="eastAsia" w:ascii="宋体" w:hAnsi="宋体" w:eastAsia="宋体" w:cs="宋体"/>
                <w:color w:val="auto"/>
                <w:sz w:val="24"/>
                <w:szCs w:val="24"/>
              </w:rPr>
            </w:pPr>
          </w:p>
        </w:tc>
        <w:tc>
          <w:tcPr>
            <w:tcW w:w="1950" w:type="dxa"/>
            <w:noWrap w:val="0"/>
            <w:vAlign w:val="top"/>
          </w:tcPr>
          <w:p>
            <w:pPr>
              <w:pStyle w:val="6"/>
              <w:ind w:firstLine="0"/>
              <w:rPr>
                <w:rFonts w:hint="eastAsia" w:ascii="宋体" w:hAnsi="宋体" w:eastAsia="宋体" w:cs="宋体"/>
                <w:color w:val="auto"/>
                <w:sz w:val="24"/>
                <w:szCs w:val="24"/>
              </w:rPr>
            </w:pPr>
          </w:p>
        </w:tc>
        <w:tc>
          <w:tcPr>
            <w:tcW w:w="1513" w:type="dxa"/>
            <w:noWrap w:val="0"/>
            <w:vAlign w:val="top"/>
          </w:tcPr>
          <w:p>
            <w:pPr>
              <w:pStyle w:val="6"/>
              <w:ind w:firstLine="0"/>
              <w:rPr>
                <w:rFonts w:hint="eastAsia" w:ascii="宋体" w:hAnsi="宋体" w:eastAsia="宋体" w:cs="宋体"/>
                <w:color w:val="auto"/>
                <w:sz w:val="24"/>
                <w:szCs w:val="24"/>
              </w:rPr>
            </w:pPr>
          </w:p>
        </w:tc>
        <w:tc>
          <w:tcPr>
            <w:tcW w:w="858" w:type="dxa"/>
            <w:noWrap w:val="0"/>
            <w:vAlign w:val="top"/>
          </w:tcPr>
          <w:p>
            <w:pPr>
              <w:pStyle w:val="6"/>
              <w:ind w:firstLine="0"/>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06" w:type="dxa"/>
            <w:noWrap w:val="0"/>
            <w:vAlign w:val="top"/>
          </w:tcPr>
          <w:p>
            <w:pPr>
              <w:pStyle w:val="6"/>
              <w:ind w:firstLine="0"/>
              <w:rPr>
                <w:rFonts w:hint="eastAsia" w:ascii="宋体" w:hAnsi="宋体" w:eastAsia="宋体" w:cs="宋体"/>
                <w:color w:val="auto"/>
                <w:sz w:val="24"/>
                <w:szCs w:val="24"/>
              </w:rPr>
            </w:pPr>
          </w:p>
        </w:tc>
        <w:tc>
          <w:tcPr>
            <w:tcW w:w="1932" w:type="dxa"/>
            <w:noWrap w:val="0"/>
            <w:vAlign w:val="top"/>
          </w:tcPr>
          <w:p>
            <w:pPr>
              <w:pStyle w:val="6"/>
              <w:ind w:firstLine="0"/>
              <w:rPr>
                <w:rFonts w:hint="eastAsia" w:ascii="宋体" w:hAnsi="宋体" w:eastAsia="宋体" w:cs="宋体"/>
                <w:color w:val="auto"/>
                <w:sz w:val="24"/>
                <w:szCs w:val="24"/>
              </w:rPr>
            </w:pPr>
          </w:p>
        </w:tc>
        <w:tc>
          <w:tcPr>
            <w:tcW w:w="2006" w:type="dxa"/>
            <w:noWrap w:val="0"/>
            <w:vAlign w:val="top"/>
          </w:tcPr>
          <w:p>
            <w:pPr>
              <w:pStyle w:val="6"/>
              <w:ind w:firstLine="0"/>
              <w:rPr>
                <w:rFonts w:hint="eastAsia" w:ascii="宋体" w:hAnsi="宋体" w:eastAsia="宋体" w:cs="宋体"/>
                <w:color w:val="auto"/>
                <w:sz w:val="24"/>
                <w:szCs w:val="24"/>
              </w:rPr>
            </w:pPr>
          </w:p>
        </w:tc>
        <w:tc>
          <w:tcPr>
            <w:tcW w:w="1950" w:type="dxa"/>
            <w:noWrap w:val="0"/>
            <w:vAlign w:val="top"/>
          </w:tcPr>
          <w:p>
            <w:pPr>
              <w:pStyle w:val="6"/>
              <w:ind w:firstLine="0"/>
              <w:rPr>
                <w:rFonts w:hint="eastAsia" w:ascii="宋体" w:hAnsi="宋体" w:eastAsia="宋体" w:cs="宋体"/>
                <w:color w:val="auto"/>
                <w:sz w:val="24"/>
                <w:szCs w:val="24"/>
              </w:rPr>
            </w:pPr>
          </w:p>
        </w:tc>
        <w:tc>
          <w:tcPr>
            <w:tcW w:w="1513" w:type="dxa"/>
            <w:noWrap w:val="0"/>
            <w:vAlign w:val="top"/>
          </w:tcPr>
          <w:p>
            <w:pPr>
              <w:pStyle w:val="6"/>
              <w:ind w:firstLine="0"/>
              <w:rPr>
                <w:rFonts w:hint="eastAsia" w:ascii="宋体" w:hAnsi="宋体" w:eastAsia="宋体" w:cs="宋体"/>
                <w:color w:val="auto"/>
                <w:sz w:val="24"/>
                <w:szCs w:val="24"/>
              </w:rPr>
            </w:pPr>
          </w:p>
        </w:tc>
        <w:tc>
          <w:tcPr>
            <w:tcW w:w="858" w:type="dxa"/>
            <w:noWrap w:val="0"/>
            <w:vAlign w:val="top"/>
          </w:tcPr>
          <w:p>
            <w:pPr>
              <w:pStyle w:val="6"/>
              <w:ind w:firstLine="0"/>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06" w:type="dxa"/>
            <w:noWrap w:val="0"/>
            <w:vAlign w:val="top"/>
          </w:tcPr>
          <w:p>
            <w:pPr>
              <w:pStyle w:val="6"/>
              <w:ind w:firstLine="0"/>
              <w:rPr>
                <w:rFonts w:hint="eastAsia" w:ascii="宋体" w:hAnsi="宋体" w:eastAsia="宋体" w:cs="宋体"/>
                <w:color w:val="auto"/>
                <w:sz w:val="24"/>
                <w:szCs w:val="24"/>
              </w:rPr>
            </w:pPr>
          </w:p>
        </w:tc>
        <w:tc>
          <w:tcPr>
            <w:tcW w:w="1932" w:type="dxa"/>
            <w:noWrap w:val="0"/>
            <w:vAlign w:val="top"/>
          </w:tcPr>
          <w:p>
            <w:pPr>
              <w:pStyle w:val="6"/>
              <w:ind w:firstLine="0"/>
              <w:rPr>
                <w:rFonts w:hint="eastAsia" w:ascii="宋体" w:hAnsi="宋体" w:eastAsia="宋体" w:cs="宋体"/>
                <w:color w:val="auto"/>
                <w:sz w:val="24"/>
                <w:szCs w:val="24"/>
              </w:rPr>
            </w:pPr>
          </w:p>
        </w:tc>
        <w:tc>
          <w:tcPr>
            <w:tcW w:w="2006" w:type="dxa"/>
            <w:noWrap w:val="0"/>
            <w:vAlign w:val="top"/>
          </w:tcPr>
          <w:p>
            <w:pPr>
              <w:pStyle w:val="6"/>
              <w:ind w:firstLine="0"/>
              <w:rPr>
                <w:rFonts w:hint="eastAsia" w:ascii="宋体" w:hAnsi="宋体" w:eastAsia="宋体" w:cs="宋体"/>
                <w:color w:val="auto"/>
                <w:sz w:val="24"/>
                <w:szCs w:val="24"/>
              </w:rPr>
            </w:pPr>
          </w:p>
        </w:tc>
        <w:tc>
          <w:tcPr>
            <w:tcW w:w="1950" w:type="dxa"/>
            <w:noWrap w:val="0"/>
            <w:vAlign w:val="top"/>
          </w:tcPr>
          <w:p>
            <w:pPr>
              <w:pStyle w:val="6"/>
              <w:ind w:firstLine="0"/>
              <w:rPr>
                <w:rFonts w:hint="eastAsia" w:ascii="宋体" w:hAnsi="宋体" w:eastAsia="宋体" w:cs="宋体"/>
                <w:color w:val="auto"/>
                <w:sz w:val="24"/>
                <w:szCs w:val="24"/>
              </w:rPr>
            </w:pPr>
          </w:p>
        </w:tc>
        <w:tc>
          <w:tcPr>
            <w:tcW w:w="1513" w:type="dxa"/>
            <w:noWrap w:val="0"/>
            <w:vAlign w:val="top"/>
          </w:tcPr>
          <w:p>
            <w:pPr>
              <w:pStyle w:val="6"/>
              <w:ind w:firstLine="0"/>
              <w:rPr>
                <w:rFonts w:hint="eastAsia" w:ascii="宋体" w:hAnsi="宋体" w:eastAsia="宋体" w:cs="宋体"/>
                <w:color w:val="auto"/>
                <w:sz w:val="24"/>
                <w:szCs w:val="24"/>
              </w:rPr>
            </w:pPr>
          </w:p>
        </w:tc>
        <w:tc>
          <w:tcPr>
            <w:tcW w:w="858" w:type="dxa"/>
            <w:noWrap w:val="0"/>
            <w:vAlign w:val="top"/>
          </w:tcPr>
          <w:p>
            <w:pPr>
              <w:pStyle w:val="6"/>
              <w:ind w:firstLine="0"/>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06" w:type="dxa"/>
            <w:noWrap w:val="0"/>
            <w:vAlign w:val="top"/>
          </w:tcPr>
          <w:p>
            <w:pPr>
              <w:pStyle w:val="6"/>
              <w:ind w:firstLine="0"/>
              <w:rPr>
                <w:rFonts w:hint="eastAsia" w:ascii="宋体" w:hAnsi="宋体" w:eastAsia="宋体" w:cs="宋体"/>
                <w:color w:val="auto"/>
                <w:sz w:val="24"/>
                <w:szCs w:val="24"/>
              </w:rPr>
            </w:pPr>
          </w:p>
        </w:tc>
        <w:tc>
          <w:tcPr>
            <w:tcW w:w="1932" w:type="dxa"/>
            <w:noWrap w:val="0"/>
            <w:vAlign w:val="top"/>
          </w:tcPr>
          <w:p>
            <w:pPr>
              <w:pStyle w:val="6"/>
              <w:ind w:firstLine="0"/>
              <w:rPr>
                <w:rFonts w:hint="eastAsia" w:ascii="宋体" w:hAnsi="宋体" w:eastAsia="宋体" w:cs="宋体"/>
                <w:color w:val="auto"/>
                <w:sz w:val="24"/>
                <w:szCs w:val="24"/>
              </w:rPr>
            </w:pPr>
          </w:p>
        </w:tc>
        <w:tc>
          <w:tcPr>
            <w:tcW w:w="2006" w:type="dxa"/>
            <w:noWrap w:val="0"/>
            <w:vAlign w:val="top"/>
          </w:tcPr>
          <w:p>
            <w:pPr>
              <w:pStyle w:val="6"/>
              <w:ind w:firstLine="0"/>
              <w:rPr>
                <w:rFonts w:hint="eastAsia" w:ascii="宋体" w:hAnsi="宋体" w:eastAsia="宋体" w:cs="宋体"/>
                <w:color w:val="auto"/>
                <w:sz w:val="24"/>
                <w:szCs w:val="24"/>
              </w:rPr>
            </w:pPr>
          </w:p>
        </w:tc>
        <w:tc>
          <w:tcPr>
            <w:tcW w:w="1950" w:type="dxa"/>
            <w:noWrap w:val="0"/>
            <w:vAlign w:val="top"/>
          </w:tcPr>
          <w:p>
            <w:pPr>
              <w:pStyle w:val="6"/>
              <w:ind w:firstLine="0"/>
              <w:rPr>
                <w:rFonts w:hint="eastAsia" w:ascii="宋体" w:hAnsi="宋体" w:eastAsia="宋体" w:cs="宋体"/>
                <w:color w:val="auto"/>
                <w:sz w:val="24"/>
                <w:szCs w:val="24"/>
              </w:rPr>
            </w:pPr>
          </w:p>
        </w:tc>
        <w:tc>
          <w:tcPr>
            <w:tcW w:w="1513" w:type="dxa"/>
            <w:noWrap w:val="0"/>
            <w:vAlign w:val="top"/>
          </w:tcPr>
          <w:p>
            <w:pPr>
              <w:pStyle w:val="6"/>
              <w:ind w:firstLine="0"/>
              <w:rPr>
                <w:rFonts w:hint="eastAsia" w:ascii="宋体" w:hAnsi="宋体" w:eastAsia="宋体" w:cs="宋体"/>
                <w:color w:val="auto"/>
                <w:sz w:val="24"/>
                <w:szCs w:val="24"/>
              </w:rPr>
            </w:pPr>
          </w:p>
        </w:tc>
        <w:tc>
          <w:tcPr>
            <w:tcW w:w="858" w:type="dxa"/>
            <w:noWrap w:val="0"/>
            <w:vAlign w:val="top"/>
          </w:tcPr>
          <w:p>
            <w:pPr>
              <w:pStyle w:val="6"/>
              <w:ind w:firstLine="0"/>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06" w:type="dxa"/>
            <w:noWrap w:val="0"/>
            <w:vAlign w:val="top"/>
          </w:tcPr>
          <w:p>
            <w:pPr>
              <w:pStyle w:val="6"/>
              <w:ind w:firstLine="0"/>
              <w:rPr>
                <w:rFonts w:hint="eastAsia" w:ascii="宋体" w:hAnsi="宋体" w:eastAsia="宋体" w:cs="宋体"/>
                <w:color w:val="auto"/>
                <w:sz w:val="24"/>
                <w:szCs w:val="24"/>
              </w:rPr>
            </w:pPr>
          </w:p>
        </w:tc>
        <w:tc>
          <w:tcPr>
            <w:tcW w:w="1932" w:type="dxa"/>
            <w:noWrap w:val="0"/>
            <w:vAlign w:val="top"/>
          </w:tcPr>
          <w:p>
            <w:pPr>
              <w:pStyle w:val="6"/>
              <w:ind w:firstLine="0"/>
              <w:rPr>
                <w:rFonts w:hint="eastAsia" w:ascii="宋体" w:hAnsi="宋体" w:eastAsia="宋体" w:cs="宋体"/>
                <w:color w:val="auto"/>
                <w:sz w:val="24"/>
                <w:szCs w:val="24"/>
              </w:rPr>
            </w:pPr>
          </w:p>
        </w:tc>
        <w:tc>
          <w:tcPr>
            <w:tcW w:w="2006" w:type="dxa"/>
            <w:noWrap w:val="0"/>
            <w:vAlign w:val="top"/>
          </w:tcPr>
          <w:p>
            <w:pPr>
              <w:pStyle w:val="6"/>
              <w:ind w:firstLine="0"/>
              <w:rPr>
                <w:rFonts w:hint="eastAsia" w:ascii="宋体" w:hAnsi="宋体" w:eastAsia="宋体" w:cs="宋体"/>
                <w:color w:val="auto"/>
                <w:sz w:val="24"/>
                <w:szCs w:val="24"/>
              </w:rPr>
            </w:pPr>
          </w:p>
        </w:tc>
        <w:tc>
          <w:tcPr>
            <w:tcW w:w="1950" w:type="dxa"/>
            <w:noWrap w:val="0"/>
            <w:vAlign w:val="top"/>
          </w:tcPr>
          <w:p>
            <w:pPr>
              <w:pStyle w:val="6"/>
              <w:ind w:firstLine="0"/>
              <w:rPr>
                <w:rFonts w:hint="eastAsia" w:ascii="宋体" w:hAnsi="宋体" w:eastAsia="宋体" w:cs="宋体"/>
                <w:color w:val="auto"/>
                <w:sz w:val="24"/>
                <w:szCs w:val="24"/>
              </w:rPr>
            </w:pPr>
          </w:p>
        </w:tc>
        <w:tc>
          <w:tcPr>
            <w:tcW w:w="1513" w:type="dxa"/>
            <w:noWrap w:val="0"/>
            <w:vAlign w:val="top"/>
          </w:tcPr>
          <w:p>
            <w:pPr>
              <w:pStyle w:val="6"/>
              <w:ind w:firstLine="0"/>
              <w:rPr>
                <w:rFonts w:hint="eastAsia" w:ascii="宋体" w:hAnsi="宋体" w:eastAsia="宋体" w:cs="宋体"/>
                <w:color w:val="auto"/>
                <w:sz w:val="24"/>
                <w:szCs w:val="24"/>
              </w:rPr>
            </w:pPr>
          </w:p>
        </w:tc>
        <w:tc>
          <w:tcPr>
            <w:tcW w:w="858" w:type="dxa"/>
            <w:noWrap w:val="0"/>
            <w:vAlign w:val="top"/>
          </w:tcPr>
          <w:p>
            <w:pPr>
              <w:pStyle w:val="6"/>
              <w:ind w:firstLine="0"/>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06" w:type="dxa"/>
            <w:noWrap w:val="0"/>
            <w:vAlign w:val="top"/>
          </w:tcPr>
          <w:p>
            <w:pPr>
              <w:pStyle w:val="6"/>
              <w:ind w:firstLine="0"/>
              <w:rPr>
                <w:rFonts w:hint="eastAsia" w:ascii="宋体" w:hAnsi="宋体" w:eastAsia="宋体" w:cs="宋体"/>
                <w:color w:val="auto"/>
                <w:sz w:val="24"/>
                <w:szCs w:val="24"/>
              </w:rPr>
            </w:pPr>
          </w:p>
        </w:tc>
        <w:tc>
          <w:tcPr>
            <w:tcW w:w="1932" w:type="dxa"/>
            <w:noWrap w:val="0"/>
            <w:vAlign w:val="top"/>
          </w:tcPr>
          <w:p>
            <w:pPr>
              <w:pStyle w:val="6"/>
              <w:ind w:firstLine="0"/>
              <w:rPr>
                <w:rFonts w:hint="eastAsia" w:ascii="宋体" w:hAnsi="宋体" w:eastAsia="宋体" w:cs="宋体"/>
                <w:color w:val="auto"/>
                <w:sz w:val="24"/>
                <w:szCs w:val="24"/>
              </w:rPr>
            </w:pPr>
          </w:p>
        </w:tc>
        <w:tc>
          <w:tcPr>
            <w:tcW w:w="2006" w:type="dxa"/>
            <w:noWrap w:val="0"/>
            <w:vAlign w:val="top"/>
          </w:tcPr>
          <w:p>
            <w:pPr>
              <w:pStyle w:val="6"/>
              <w:ind w:firstLine="0"/>
              <w:rPr>
                <w:rFonts w:hint="eastAsia" w:ascii="宋体" w:hAnsi="宋体" w:eastAsia="宋体" w:cs="宋体"/>
                <w:color w:val="auto"/>
                <w:sz w:val="24"/>
                <w:szCs w:val="24"/>
              </w:rPr>
            </w:pPr>
          </w:p>
        </w:tc>
        <w:tc>
          <w:tcPr>
            <w:tcW w:w="1950" w:type="dxa"/>
            <w:noWrap w:val="0"/>
            <w:vAlign w:val="top"/>
          </w:tcPr>
          <w:p>
            <w:pPr>
              <w:pStyle w:val="6"/>
              <w:ind w:firstLine="0"/>
              <w:rPr>
                <w:rFonts w:hint="eastAsia" w:ascii="宋体" w:hAnsi="宋体" w:eastAsia="宋体" w:cs="宋体"/>
                <w:color w:val="auto"/>
                <w:sz w:val="24"/>
                <w:szCs w:val="24"/>
              </w:rPr>
            </w:pPr>
          </w:p>
        </w:tc>
        <w:tc>
          <w:tcPr>
            <w:tcW w:w="1513" w:type="dxa"/>
            <w:noWrap w:val="0"/>
            <w:vAlign w:val="top"/>
          </w:tcPr>
          <w:p>
            <w:pPr>
              <w:pStyle w:val="6"/>
              <w:ind w:firstLine="0"/>
              <w:rPr>
                <w:rFonts w:hint="eastAsia" w:ascii="宋体" w:hAnsi="宋体" w:eastAsia="宋体" w:cs="宋体"/>
                <w:color w:val="auto"/>
                <w:sz w:val="24"/>
                <w:szCs w:val="24"/>
              </w:rPr>
            </w:pPr>
          </w:p>
        </w:tc>
        <w:tc>
          <w:tcPr>
            <w:tcW w:w="858" w:type="dxa"/>
            <w:noWrap w:val="0"/>
            <w:vAlign w:val="top"/>
          </w:tcPr>
          <w:p>
            <w:pPr>
              <w:pStyle w:val="6"/>
              <w:ind w:firstLine="0"/>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06" w:type="dxa"/>
            <w:noWrap w:val="0"/>
            <w:vAlign w:val="top"/>
          </w:tcPr>
          <w:p>
            <w:pPr>
              <w:pStyle w:val="6"/>
              <w:ind w:firstLine="0"/>
              <w:rPr>
                <w:rFonts w:hint="eastAsia" w:ascii="宋体" w:hAnsi="宋体" w:eastAsia="宋体" w:cs="宋体"/>
                <w:color w:val="auto"/>
                <w:sz w:val="24"/>
                <w:szCs w:val="24"/>
              </w:rPr>
            </w:pPr>
          </w:p>
        </w:tc>
        <w:tc>
          <w:tcPr>
            <w:tcW w:w="1932" w:type="dxa"/>
            <w:noWrap w:val="0"/>
            <w:vAlign w:val="top"/>
          </w:tcPr>
          <w:p>
            <w:pPr>
              <w:pStyle w:val="6"/>
              <w:ind w:firstLine="0"/>
              <w:rPr>
                <w:rFonts w:hint="eastAsia" w:ascii="宋体" w:hAnsi="宋体" w:eastAsia="宋体" w:cs="宋体"/>
                <w:color w:val="auto"/>
                <w:sz w:val="24"/>
                <w:szCs w:val="24"/>
              </w:rPr>
            </w:pPr>
          </w:p>
        </w:tc>
        <w:tc>
          <w:tcPr>
            <w:tcW w:w="2006" w:type="dxa"/>
            <w:noWrap w:val="0"/>
            <w:vAlign w:val="top"/>
          </w:tcPr>
          <w:p>
            <w:pPr>
              <w:pStyle w:val="6"/>
              <w:ind w:firstLine="0"/>
              <w:rPr>
                <w:rFonts w:hint="eastAsia" w:ascii="宋体" w:hAnsi="宋体" w:eastAsia="宋体" w:cs="宋体"/>
                <w:color w:val="auto"/>
                <w:sz w:val="24"/>
                <w:szCs w:val="24"/>
              </w:rPr>
            </w:pPr>
          </w:p>
        </w:tc>
        <w:tc>
          <w:tcPr>
            <w:tcW w:w="1950" w:type="dxa"/>
            <w:noWrap w:val="0"/>
            <w:vAlign w:val="top"/>
          </w:tcPr>
          <w:p>
            <w:pPr>
              <w:pStyle w:val="6"/>
              <w:ind w:firstLine="0"/>
              <w:rPr>
                <w:rFonts w:hint="eastAsia" w:ascii="宋体" w:hAnsi="宋体" w:eastAsia="宋体" w:cs="宋体"/>
                <w:color w:val="auto"/>
                <w:sz w:val="24"/>
                <w:szCs w:val="24"/>
              </w:rPr>
            </w:pPr>
          </w:p>
        </w:tc>
        <w:tc>
          <w:tcPr>
            <w:tcW w:w="1513" w:type="dxa"/>
            <w:noWrap w:val="0"/>
            <w:vAlign w:val="top"/>
          </w:tcPr>
          <w:p>
            <w:pPr>
              <w:pStyle w:val="6"/>
              <w:ind w:firstLine="0"/>
              <w:rPr>
                <w:rFonts w:hint="eastAsia" w:ascii="宋体" w:hAnsi="宋体" w:eastAsia="宋体" w:cs="宋体"/>
                <w:color w:val="auto"/>
                <w:sz w:val="24"/>
                <w:szCs w:val="24"/>
              </w:rPr>
            </w:pPr>
          </w:p>
        </w:tc>
        <w:tc>
          <w:tcPr>
            <w:tcW w:w="858" w:type="dxa"/>
            <w:noWrap w:val="0"/>
            <w:vAlign w:val="top"/>
          </w:tcPr>
          <w:p>
            <w:pPr>
              <w:pStyle w:val="6"/>
              <w:ind w:firstLine="0"/>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06" w:type="dxa"/>
            <w:noWrap w:val="0"/>
            <w:vAlign w:val="top"/>
          </w:tcPr>
          <w:p>
            <w:pPr>
              <w:pStyle w:val="6"/>
              <w:ind w:firstLine="0"/>
              <w:rPr>
                <w:rFonts w:hint="eastAsia" w:ascii="宋体" w:hAnsi="宋体" w:eastAsia="宋体" w:cs="宋体"/>
                <w:color w:val="auto"/>
                <w:sz w:val="24"/>
                <w:szCs w:val="24"/>
              </w:rPr>
            </w:pPr>
          </w:p>
        </w:tc>
        <w:tc>
          <w:tcPr>
            <w:tcW w:w="1932" w:type="dxa"/>
            <w:noWrap w:val="0"/>
            <w:vAlign w:val="top"/>
          </w:tcPr>
          <w:p>
            <w:pPr>
              <w:pStyle w:val="6"/>
              <w:ind w:firstLine="0"/>
              <w:rPr>
                <w:rFonts w:hint="eastAsia" w:ascii="宋体" w:hAnsi="宋体" w:eastAsia="宋体" w:cs="宋体"/>
                <w:color w:val="auto"/>
                <w:sz w:val="24"/>
                <w:szCs w:val="24"/>
              </w:rPr>
            </w:pPr>
          </w:p>
        </w:tc>
        <w:tc>
          <w:tcPr>
            <w:tcW w:w="2006" w:type="dxa"/>
            <w:noWrap w:val="0"/>
            <w:vAlign w:val="top"/>
          </w:tcPr>
          <w:p>
            <w:pPr>
              <w:pStyle w:val="6"/>
              <w:ind w:firstLine="0"/>
              <w:rPr>
                <w:rFonts w:hint="eastAsia" w:ascii="宋体" w:hAnsi="宋体" w:eastAsia="宋体" w:cs="宋体"/>
                <w:color w:val="auto"/>
                <w:sz w:val="24"/>
                <w:szCs w:val="24"/>
              </w:rPr>
            </w:pPr>
          </w:p>
        </w:tc>
        <w:tc>
          <w:tcPr>
            <w:tcW w:w="1950" w:type="dxa"/>
            <w:noWrap w:val="0"/>
            <w:vAlign w:val="top"/>
          </w:tcPr>
          <w:p>
            <w:pPr>
              <w:pStyle w:val="6"/>
              <w:ind w:firstLine="0"/>
              <w:rPr>
                <w:rFonts w:hint="eastAsia" w:ascii="宋体" w:hAnsi="宋体" w:eastAsia="宋体" w:cs="宋体"/>
                <w:color w:val="auto"/>
                <w:sz w:val="24"/>
                <w:szCs w:val="24"/>
              </w:rPr>
            </w:pPr>
          </w:p>
        </w:tc>
        <w:tc>
          <w:tcPr>
            <w:tcW w:w="1513" w:type="dxa"/>
            <w:noWrap w:val="0"/>
            <w:vAlign w:val="top"/>
          </w:tcPr>
          <w:p>
            <w:pPr>
              <w:pStyle w:val="6"/>
              <w:ind w:firstLine="0"/>
              <w:rPr>
                <w:rFonts w:hint="eastAsia" w:ascii="宋体" w:hAnsi="宋体" w:eastAsia="宋体" w:cs="宋体"/>
                <w:color w:val="auto"/>
                <w:sz w:val="24"/>
                <w:szCs w:val="24"/>
              </w:rPr>
            </w:pPr>
          </w:p>
        </w:tc>
        <w:tc>
          <w:tcPr>
            <w:tcW w:w="858" w:type="dxa"/>
            <w:noWrap w:val="0"/>
            <w:vAlign w:val="top"/>
          </w:tcPr>
          <w:p>
            <w:pPr>
              <w:pStyle w:val="6"/>
              <w:ind w:firstLine="0"/>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06" w:type="dxa"/>
            <w:noWrap w:val="0"/>
            <w:vAlign w:val="top"/>
          </w:tcPr>
          <w:p>
            <w:pPr>
              <w:pStyle w:val="6"/>
              <w:ind w:firstLine="0"/>
              <w:rPr>
                <w:rFonts w:hint="eastAsia" w:ascii="宋体" w:hAnsi="宋体" w:eastAsia="宋体" w:cs="宋体"/>
                <w:color w:val="auto"/>
                <w:sz w:val="24"/>
                <w:szCs w:val="24"/>
              </w:rPr>
            </w:pPr>
          </w:p>
        </w:tc>
        <w:tc>
          <w:tcPr>
            <w:tcW w:w="1932" w:type="dxa"/>
            <w:noWrap w:val="0"/>
            <w:vAlign w:val="top"/>
          </w:tcPr>
          <w:p>
            <w:pPr>
              <w:pStyle w:val="6"/>
              <w:ind w:firstLine="0"/>
              <w:rPr>
                <w:rFonts w:hint="eastAsia" w:ascii="宋体" w:hAnsi="宋体" w:eastAsia="宋体" w:cs="宋体"/>
                <w:color w:val="auto"/>
                <w:sz w:val="24"/>
                <w:szCs w:val="24"/>
              </w:rPr>
            </w:pPr>
          </w:p>
        </w:tc>
        <w:tc>
          <w:tcPr>
            <w:tcW w:w="2006" w:type="dxa"/>
            <w:noWrap w:val="0"/>
            <w:vAlign w:val="top"/>
          </w:tcPr>
          <w:p>
            <w:pPr>
              <w:pStyle w:val="6"/>
              <w:ind w:firstLine="0"/>
              <w:rPr>
                <w:rFonts w:hint="eastAsia" w:ascii="宋体" w:hAnsi="宋体" w:eastAsia="宋体" w:cs="宋体"/>
                <w:color w:val="auto"/>
                <w:sz w:val="24"/>
                <w:szCs w:val="24"/>
              </w:rPr>
            </w:pPr>
          </w:p>
        </w:tc>
        <w:tc>
          <w:tcPr>
            <w:tcW w:w="1950" w:type="dxa"/>
            <w:noWrap w:val="0"/>
            <w:vAlign w:val="top"/>
          </w:tcPr>
          <w:p>
            <w:pPr>
              <w:pStyle w:val="6"/>
              <w:ind w:firstLine="0"/>
              <w:rPr>
                <w:rFonts w:hint="eastAsia" w:ascii="宋体" w:hAnsi="宋体" w:eastAsia="宋体" w:cs="宋体"/>
                <w:color w:val="auto"/>
                <w:sz w:val="24"/>
                <w:szCs w:val="24"/>
              </w:rPr>
            </w:pPr>
          </w:p>
        </w:tc>
        <w:tc>
          <w:tcPr>
            <w:tcW w:w="1513" w:type="dxa"/>
            <w:noWrap w:val="0"/>
            <w:vAlign w:val="top"/>
          </w:tcPr>
          <w:p>
            <w:pPr>
              <w:pStyle w:val="6"/>
              <w:ind w:firstLine="0"/>
              <w:rPr>
                <w:rFonts w:hint="eastAsia" w:ascii="宋体" w:hAnsi="宋体" w:eastAsia="宋体" w:cs="宋体"/>
                <w:color w:val="auto"/>
                <w:sz w:val="24"/>
                <w:szCs w:val="24"/>
              </w:rPr>
            </w:pPr>
          </w:p>
        </w:tc>
        <w:tc>
          <w:tcPr>
            <w:tcW w:w="858" w:type="dxa"/>
            <w:noWrap w:val="0"/>
            <w:vAlign w:val="top"/>
          </w:tcPr>
          <w:p>
            <w:pPr>
              <w:pStyle w:val="6"/>
              <w:ind w:firstLine="0"/>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06" w:type="dxa"/>
            <w:noWrap w:val="0"/>
            <w:vAlign w:val="top"/>
          </w:tcPr>
          <w:p>
            <w:pPr>
              <w:pStyle w:val="6"/>
              <w:ind w:firstLine="0"/>
              <w:rPr>
                <w:rFonts w:hint="eastAsia" w:ascii="宋体" w:hAnsi="宋体" w:eastAsia="宋体" w:cs="宋体"/>
                <w:color w:val="auto"/>
                <w:sz w:val="24"/>
                <w:szCs w:val="24"/>
              </w:rPr>
            </w:pPr>
          </w:p>
        </w:tc>
        <w:tc>
          <w:tcPr>
            <w:tcW w:w="1932" w:type="dxa"/>
            <w:noWrap w:val="0"/>
            <w:vAlign w:val="top"/>
          </w:tcPr>
          <w:p>
            <w:pPr>
              <w:pStyle w:val="6"/>
              <w:ind w:firstLine="0"/>
              <w:rPr>
                <w:rFonts w:hint="eastAsia" w:ascii="宋体" w:hAnsi="宋体" w:eastAsia="宋体" w:cs="宋体"/>
                <w:color w:val="auto"/>
                <w:sz w:val="24"/>
                <w:szCs w:val="24"/>
              </w:rPr>
            </w:pPr>
          </w:p>
        </w:tc>
        <w:tc>
          <w:tcPr>
            <w:tcW w:w="2006" w:type="dxa"/>
            <w:noWrap w:val="0"/>
            <w:vAlign w:val="top"/>
          </w:tcPr>
          <w:p>
            <w:pPr>
              <w:pStyle w:val="6"/>
              <w:ind w:firstLine="0"/>
              <w:rPr>
                <w:rFonts w:hint="eastAsia" w:ascii="宋体" w:hAnsi="宋体" w:eastAsia="宋体" w:cs="宋体"/>
                <w:color w:val="auto"/>
                <w:sz w:val="24"/>
                <w:szCs w:val="24"/>
              </w:rPr>
            </w:pPr>
          </w:p>
        </w:tc>
        <w:tc>
          <w:tcPr>
            <w:tcW w:w="1950" w:type="dxa"/>
            <w:noWrap w:val="0"/>
            <w:vAlign w:val="top"/>
          </w:tcPr>
          <w:p>
            <w:pPr>
              <w:pStyle w:val="6"/>
              <w:ind w:firstLine="0"/>
              <w:rPr>
                <w:rFonts w:hint="eastAsia" w:ascii="宋体" w:hAnsi="宋体" w:eastAsia="宋体" w:cs="宋体"/>
                <w:color w:val="auto"/>
                <w:sz w:val="24"/>
                <w:szCs w:val="24"/>
              </w:rPr>
            </w:pPr>
          </w:p>
        </w:tc>
        <w:tc>
          <w:tcPr>
            <w:tcW w:w="1513" w:type="dxa"/>
            <w:noWrap w:val="0"/>
            <w:vAlign w:val="top"/>
          </w:tcPr>
          <w:p>
            <w:pPr>
              <w:pStyle w:val="6"/>
              <w:ind w:firstLine="0"/>
              <w:rPr>
                <w:rFonts w:hint="eastAsia" w:ascii="宋体" w:hAnsi="宋体" w:eastAsia="宋体" w:cs="宋体"/>
                <w:color w:val="auto"/>
                <w:sz w:val="24"/>
                <w:szCs w:val="24"/>
              </w:rPr>
            </w:pPr>
          </w:p>
        </w:tc>
        <w:tc>
          <w:tcPr>
            <w:tcW w:w="858" w:type="dxa"/>
            <w:noWrap w:val="0"/>
            <w:vAlign w:val="top"/>
          </w:tcPr>
          <w:p>
            <w:pPr>
              <w:pStyle w:val="6"/>
              <w:ind w:firstLine="0"/>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06" w:type="dxa"/>
            <w:noWrap w:val="0"/>
            <w:vAlign w:val="top"/>
          </w:tcPr>
          <w:p>
            <w:pPr>
              <w:pStyle w:val="6"/>
              <w:ind w:firstLine="0"/>
              <w:rPr>
                <w:rFonts w:hint="eastAsia" w:ascii="宋体" w:hAnsi="宋体" w:eastAsia="宋体" w:cs="宋体"/>
                <w:color w:val="auto"/>
                <w:sz w:val="24"/>
                <w:szCs w:val="24"/>
              </w:rPr>
            </w:pPr>
          </w:p>
        </w:tc>
        <w:tc>
          <w:tcPr>
            <w:tcW w:w="1932" w:type="dxa"/>
            <w:noWrap w:val="0"/>
            <w:vAlign w:val="top"/>
          </w:tcPr>
          <w:p>
            <w:pPr>
              <w:pStyle w:val="6"/>
              <w:ind w:firstLine="0"/>
              <w:rPr>
                <w:rFonts w:hint="eastAsia" w:ascii="宋体" w:hAnsi="宋体" w:eastAsia="宋体" w:cs="宋体"/>
                <w:color w:val="auto"/>
                <w:sz w:val="24"/>
                <w:szCs w:val="24"/>
              </w:rPr>
            </w:pPr>
          </w:p>
        </w:tc>
        <w:tc>
          <w:tcPr>
            <w:tcW w:w="2006" w:type="dxa"/>
            <w:noWrap w:val="0"/>
            <w:vAlign w:val="top"/>
          </w:tcPr>
          <w:p>
            <w:pPr>
              <w:pStyle w:val="6"/>
              <w:ind w:firstLine="0"/>
              <w:rPr>
                <w:rFonts w:hint="eastAsia" w:ascii="宋体" w:hAnsi="宋体" w:eastAsia="宋体" w:cs="宋体"/>
                <w:color w:val="auto"/>
                <w:sz w:val="24"/>
                <w:szCs w:val="24"/>
              </w:rPr>
            </w:pPr>
          </w:p>
        </w:tc>
        <w:tc>
          <w:tcPr>
            <w:tcW w:w="1950" w:type="dxa"/>
            <w:noWrap w:val="0"/>
            <w:vAlign w:val="top"/>
          </w:tcPr>
          <w:p>
            <w:pPr>
              <w:pStyle w:val="6"/>
              <w:ind w:firstLine="0"/>
              <w:rPr>
                <w:rFonts w:hint="eastAsia" w:ascii="宋体" w:hAnsi="宋体" w:eastAsia="宋体" w:cs="宋体"/>
                <w:color w:val="auto"/>
                <w:sz w:val="24"/>
                <w:szCs w:val="24"/>
              </w:rPr>
            </w:pPr>
          </w:p>
        </w:tc>
        <w:tc>
          <w:tcPr>
            <w:tcW w:w="1513" w:type="dxa"/>
            <w:noWrap w:val="0"/>
            <w:vAlign w:val="top"/>
          </w:tcPr>
          <w:p>
            <w:pPr>
              <w:pStyle w:val="6"/>
              <w:ind w:firstLine="0"/>
              <w:rPr>
                <w:rFonts w:hint="eastAsia" w:ascii="宋体" w:hAnsi="宋体" w:eastAsia="宋体" w:cs="宋体"/>
                <w:color w:val="auto"/>
                <w:sz w:val="24"/>
                <w:szCs w:val="24"/>
              </w:rPr>
            </w:pPr>
          </w:p>
        </w:tc>
        <w:tc>
          <w:tcPr>
            <w:tcW w:w="858" w:type="dxa"/>
            <w:noWrap w:val="0"/>
            <w:vAlign w:val="top"/>
          </w:tcPr>
          <w:p>
            <w:pPr>
              <w:pStyle w:val="6"/>
              <w:ind w:firstLine="0"/>
              <w:rPr>
                <w:rFonts w:hint="eastAsia" w:ascii="宋体" w:hAnsi="宋体" w:eastAsia="宋体" w:cs="宋体"/>
                <w:color w:val="auto"/>
                <w:sz w:val="24"/>
                <w:szCs w:val="24"/>
              </w:rPr>
            </w:pPr>
          </w:p>
        </w:tc>
      </w:tr>
    </w:tbl>
    <w:p>
      <w:pPr>
        <w:pStyle w:val="6"/>
        <w:rPr>
          <w:rFonts w:hint="eastAsia" w:ascii="宋体" w:hAnsi="宋体" w:eastAsia="宋体" w:cs="宋体"/>
          <w:color w:val="auto"/>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left="480" w:hanging="440" w:hangingChars="200"/>
        <w:rPr>
          <w:rFonts w:hint="eastAsia" w:ascii="宋体" w:hAnsi="宋体" w:eastAsia="宋体" w:cs="宋体"/>
          <w:color w:val="auto"/>
          <w:sz w:val="22"/>
          <w:szCs w:val="18"/>
        </w:rPr>
      </w:pPr>
      <w:r>
        <w:rPr>
          <w:rFonts w:hint="eastAsia" w:ascii="宋体" w:hAnsi="宋体" w:eastAsia="宋体" w:cs="宋体"/>
          <w:color w:val="auto"/>
          <w:sz w:val="22"/>
          <w:szCs w:val="18"/>
        </w:rPr>
        <w:t>注：1、“合同金额”需提供合同复印件。</w:t>
      </w:r>
    </w:p>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eastAsia="宋体" w:cs="宋体"/>
          <w:color w:val="auto"/>
          <w:sz w:val="22"/>
          <w:szCs w:val="18"/>
        </w:rPr>
      </w:pPr>
      <w:r>
        <w:rPr>
          <w:rFonts w:hint="eastAsia" w:ascii="宋体" w:hAnsi="宋体" w:eastAsia="宋体" w:cs="宋体"/>
          <w:color w:val="auto"/>
          <w:sz w:val="22"/>
          <w:szCs w:val="18"/>
        </w:rPr>
        <w:t xml:space="preserve">    2、供应商应如实列出以上情况，如有隐瞒，一经查实将导致其</w:t>
      </w:r>
      <w:r>
        <w:rPr>
          <w:rFonts w:hint="eastAsia" w:ascii="宋体" w:hAnsi="宋体" w:eastAsia="宋体" w:cs="宋体"/>
          <w:color w:val="auto"/>
          <w:sz w:val="22"/>
          <w:szCs w:val="18"/>
          <w:lang w:eastAsia="zh-CN"/>
        </w:rPr>
        <w:t>谈判</w:t>
      </w:r>
      <w:r>
        <w:rPr>
          <w:rFonts w:hint="eastAsia" w:ascii="宋体" w:hAnsi="宋体" w:eastAsia="宋体" w:cs="宋体"/>
          <w:color w:val="auto"/>
          <w:sz w:val="22"/>
          <w:szCs w:val="18"/>
        </w:rPr>
        <w:t>申请被拒绝。</w:t>
      </w:r>
    </w:p>
    <w:p>
      <w:pPr>
        <w:spacing w:line="400" w:lineRule="exact"/>
        <w:ind w:left="360"/>
        <w:jc w:val="center"/>
        <w:rPr>
          <w:rFonts w:hint="eastAsia" w:ascii="宋体" w:hAnsi="宋体" w:eastAsia="宋体" w:cs="宋体"/>
          <w:color w:val="auto"/>
          <w:sz w:val="24"/>
        </w:rPr>
      </w:pPr>
    </w:p>
    <w:p>
      <w:pPr>
        <w:keepNext w:val="0"/>
        <w:keepLines w:val="0"/>
        <w:pageBreakBefore w:val="0"/>
        <w:widowControl w:val="0"/>
        <w:kinsoku/>
        <w:wordWrap/>
        <w:overflowPunct/>
        <w:topLinePunct w:val="0"/>
        <w:bidi w:val="0"/>
        <w:snapToGrid/>
        <w:spacing w:line="360" w:lineRule="auto"/>
        <w:ind w:left="360"/>
        <w:jc w:val="center"/>
        <w:textAlignment w:val="auto"/>
        <w:rPr>
          <w:rFonts w:hint="eastAsia" w:ascii="宋体" w:hAnsi="宋体" w:eastAsia="宋体" w:cs="宋体"/>
          <w:color w:val="auto"/>
          <w:sz w:val="24"/>
        </w:rPr>
      </w:pPr>
    </w:p>
    <w:p>
      <w:pPr>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rPr>
        <w:t>供应商名称：         （盖章）</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8"/>
          <w:szCs w:val="28"/>
          <w:lang w:val="zh-CN" w:eastAsia="zh-CN"/>
        </w:rPr>
      </w:pPr>
      <w:r>
        <w:rPr>
          <w:rFonts w:hint="eastAsia" w:ascii="宋体" w:hAnsi="宋体" w:eastAsia="宋体" w:cs="宋体"/>
          <w:color w:val="auto"/>
          <w:sz w:val="24"/>
        </w:rPr>
        <w:t>法定代表人或授权代表（签名或盖章）</w:t>
      </w:r>
      <w:r>
        <w:rPr>
          <w:rFonts w:hint="eastAsia" w:ascii="宋体" w:hAnsi="宋体" w:eastAsia="宋体" w:cs="宋体"/>
          <w:bCs/>
          <w:color w:val="auto"/>
          <w:sz w:val="24"/>
        </w:rPr>
        <w:t>：               日期</w:t>
      </w:r>
      <w:r>
        <w:rPr>
          <w:rFonts w:hint="eastAsia" w:ascii="宋体" w:hAnsi="宋体" w:eastAsia="宋体" w:cs="宋体"/>
          <w:bCs/>
          <w:color w:val="auto"/>
          <w:sz w:val="24"/>
          <w:lang w:eastAsia="zh-CN"/>
        </w:rPr>
        <w:t>：</w:t>
      </w:r>
    </w:p>
    <w:p>
      <w:pPr>
        <w:autoSpaceDE w:val="0"/>
        <w:autoSpaceDN w:val="0"/>
        <w:adjustRightInd w:val="0"/>
        <w:spacing w:line="360" w:lineRule="auto"/>
        <w:jc w:val="center"/>
        <w:rPr>
          <w:rFonts w:hint="eastAsia" w:ascii="宋体" w:hAnsi="宋体" w:eastAsia="宋体" w:cs="宋体"/>
          <w:b/>
          <w:bCs/>
          <w:color w:val="auto"/>
          <w:sz w:val="28"/>
          <w:szCs w:val="28"/>
          <w:lang w:val="zh-CN"/>
        </w:rPr>
      </w:pPr>
    </w:p>
    <w:p>
      <w:pPr>
        <w:autoSpaceDE w:val="0"/>
        <w:autoSpaceDN w:val="0"/>
        <w:adjustRightInd w:val="0"/>
        <w:spacing w:line="360" w:lineRule="auto"/>
        <w:jc w:val="center"/>
        <w:rPr>
          <w:rFonts w:hint="eastAsia" w:ascii="宋体" w:hAnsi="宋体" w:eastAsia="宋体" w:cs="宋体"/>
          <w:b/>
          <w:bCs/>
          <w:color w:val="auto"/>
          <w:sz w:val="28"/>
          <w:szCs w:val="28"/>
          <w:lang w:val="zh-CN"/>
        </w:rPr>
      </w:pPr>
    </w:p>
    <w:p>
      <w:pPr>
        <w:pStyle w:val="4"/>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kern w:val="2"/>
          <w:sz w:val="24"/>
          <w:szCs w:val="24"/>
          <w:lang w:val="en-US" w:eastAsia="zh-CN" w:bidi="ar-SA"/>
        </w:rPr>
      </w:pPr>
      <w:bookmarkStart w:id="71" w:name="_Toc225412373"/>
      <w:bookmarkStart w:id="72" w:name="_Toc341541375"/>
      <w:bookmarkStart w:id="73" w:name="_Toc396304713"/>
      <w:bookmarkStart w:id="74" w:name="_Toc225410807"/>
      <w:bookmarkStart w:id="75" w:name="_Toc225567481"/>
      <w:bookmarkStart w:id="76" w:name="_Toc225415860"/>
      <w:bookmarkStart w:id="77" w:name="_Toc225416061"/>
      <w:bookmarkStart w:id="78" w:name="_Toc225566701"/>
      <w:bookmarkStart w:id="79" w:name="_Toc225409965"/>
      <w:bookmarkStart w:id="80" w:name="_Toc225410181"/>
      <w:bookmarkStart w:id="81" w:name="_Toc225415659"/>
      <w:bookmarkStart w:id="82" w:name="_Toc225412171"/>
      <w:bookmarkStart w:id="83" w:name="_Toc225566882"/>
      <w:r>
        <w:rPr>
          <w:rFonts w:hint="eastAsia" w:ascii="宋体" w:hAnsi="宋体" w:eastAsia="宋体" w:cs="宋体"/>
          <w:b/>
          <w:bCs/>
          <w:color w:val="auto"/>
          <w:kern w:val="2"/>
          <w:sz w:val="24"/>
          <w:szCs w:val="24"/>
          <w:lang w:val="en-US" w:eastAsia="zh-CN" w:bidi="ar-SA"/>
        </w:rPr>
        <w:t>附件2</w:t>
      </w:r>
      <w:bookmarkEnd w:id="71"/>
      <w:bookmarkEnd w:id="72"/>
      <w:bookmarkEnd w:id="73"/>
      <w:bookmarkEnd w:id="74"/>
      <w:bookmarkEnd w:id="75"/>
      <w:bookmarkEnd w:id="76"/>
      <w:bookmarkEnd w:id="77"/>
      <w:bookmarkEnd w:id="78"/>
      <w:bookmarkEnd w:id="79"/>
      <w:bookmarkEnd w:id="80"/>
      <w:bookmarkEnd w:id="81"/>
      <w:bookmarkEnd w:id="82"/>
      <w:bookmarkEnd w:id="83"/>
      <w:r>
        <w:rPr>
          <w:rFonts w:hint="eastAsia" w:ascii="宋体" w:hAnsi="宋体" w:eastAsia="宋体" w:cs="宋体"/>
          <w:b/>
          <w:bCs/>
          <w:color w:val="auto"/>
          <w:kern w:val="2"/>
          <w:sz w:val="24"/>
          <w:szCs w:val="24"/>
          <w:lang w:val="en-US" w:eastAsia="zh-CN" w:bidi="ar-SA"/>
        </w:rPr>
        <w:t>：</w:t>
      </w:r>
    </w:p>
    <w:p>
      <w:pPr>
        <w:pStyle w:val="152"/>
        <w:ind w:firstLine="0" w:firstLineChars="0"/>
        <w:jc w:val="center"/>
        <w:outlineLvl w:val="9"/>
        <w:rPr>
          <w:rFonts w:hint="eastAsia" w:ascii="宋体" w:hAnsi="宋体" w:eastAsia="宋体" w:cs="宋体"/>
          <w:color w:val="auto"/>
          <w:szCs w:val="24"/>
        </w:rPr>
      </w:pPr>
      <w:bookmarkStart w:id="84" w:name="_Toc396304714"/>
      <w:bookmarkStart w:id="85" w:name="_Toc403077652"/>
      <w:bookmarkStart w:id="86" w:name="_Toc426457710"/>
      <w:r>
        <w:rPr>
          <w:rFonts w:hint="eastAsia" w:ascii="宋体" w:hAnsi="宋体" w:eastAsia="宋体" w:cs="宋体"/>
          <w:color w:val="auto"/>
          <w:szCs w:val="24"/>
        </w:rPr>
        <w:t>（一）本项目拟投入人员汇总表</w:t>
      </w:r>
      <w:bookmarkEnd w:id="84"/>
      <w:bookmarkEnd w:id="85"/>
      <w:bookmarkEnd w:id="86"/>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1"/>
        <w:gridCol w:w="1156"/>
        <w:gridCol w:w="888"/>
        <w:gridCol w:w="975"/>
        <w:gridCol w:w="1256"/>
        <w:gridCol w:w="1331"/>
        <w:gridCol w:w="187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trPr>
        <w:tc>
          <w:tcPr>
            <w:tcW w:w="641" w:type="dxa"/>
            <w:noWrap w:val="0"/>
            <w:tcMar>
              <w:top w:w="15" w:type="dxa"/>
              <w:left w:w="15" w:type="dxa"/>
              <w:bottom w:w="0" w:type="dxa"/>
              <w:right w:w="15" w:type="dxa"/>
            </w:tcMar>
            <w:vAlign w:val="center"/>
          </w:tcPr>
          <w:p>
            <w:pPr>
              <w:pStyle w:val="153"/>
              <w:spacing w:line="400" w:lineRule="exact"/>
              <w:ind w:left="0" w:leftChars="0"/>
              <w:rPr>
                <w:rFonts w:hint="eastAsia" w:ascii="宋体" w:hAnsi="宋体" w:eastAsia="宋体" w:cs="宋体"/>
                <w:b/>
                <w:sz w:val="24"/>
                <w:szCs w:val="24"/>
              </w:rPr>
            </w:pPr>
            <w:r>
              <w:rPr>
                <w:rFonts w:hint="eastAsia" w:ascii="宋体" w:hAnsi="宋体" w:eastAsia="宋体" w:cs="宋体"/>
                <w:b/>
                <w:sz w:val="24"/>
                <w:szCs w:val="24"/>
              </w:rPr>
              <w:t>序号</w:t>
            </w:r>
          </w:p>
        </w:tc>
        <w:tc>
          <w:tcPr>
            <w:tcW w:w="1156" w:type="dxa"/>
            <w:noWrap w:val="0"/>
            <w:tcMar>
              <w:top w:w="15" w:type="dxa"/>
              <w:left w:w="15" w:type="dxa"/>
              <w:bottom w:w="0" w:type="dxa"/>
              <w:right w:w="15" w:type="dxa"/>
            </w:tcMar>
            <w:vAlign w:val="center"/>
          </w:tcPr>
          <w:p>
            <w:pPr>
              <w:pStyle w:val="153"/>
              <w:spacing w:line="400" w:lineRule="exact"/>
              <w:ind w:left="0" w:leftChars="0"/>
              <w:rPr>
                <w:rFonts w:hint="eastAsia" w:ascii="宋体" w:hAnsi="宋体" w:eastAsia="宋体" w:cs="宋体"/>
                <w:b/>
                <w:sz w:val="24"/>
                <w:szCs w:val="24"/>
              </w:rPr>
            </w:pPr>
            <w:r>
              <w:rPr>
                <w:rFonts w:hint="eastAsia" w:ascii="宋体" w:hAnsi="宋体" w:eastAsia="宋体" w:cs="宋体"/>
                <w:b/>
                <w:sz w:val="24"/>
                <w:szCs w:val="24"/>
              </w:rPr>
              <w:t>姓  名</w:t>
            </w:r>
          </w:p>
        </w:tc>
        <w:tc>
          <w:tcPr>
            <w:tcW w:w="888" w:type="dxa"/>
            <w:noWrap w:val="0"/>
            <w:tcMar>
              <w:top w:w="15" w:type="dxa"/>
              <w:left w:w="15" w:type="dxa"/>
              <w:bottom w:w="0" w:type="dxa"/>
              <w:right w:w="15" w:type="dxa"/>
            </w:tcMar>
            <w:vAlign w:val="center"/>
          </w:tcPr>
          <w:p>
            <w:pPr>
              <w:pStyle w:val="153"/>
              <w:spacing w:line="400" w:lineRule="exact"/>
              <w:ind w:left="0" w:leftChars="0"/>
              <w:rPr>
                <w:rFonts w:hint="eastAsia" w:ascii="宋体" w:hAnsi="宋体" w:eastAsia="宋体" w:cs="宋体"/>
                <w:b/>
                <w:sz w:val="24"/>
                <w:szCs w:val="24"/>
              </w:rPr>
            </w:pPr>
            <w:r>
              <w:rPr>
                <w:rFonts w:hint="eastAsia" w:ascii="宋体" w:hAnsi="宋体" w:eastAsia="宋体" w:cs="宋体"/>
                <w:b/>
                <w:sz w:val="24"/>
                <w:szCs w:val="24"/>
              </w:rPr>
              <w:t>年龄</w:t>
            </w:r>
          </w:p>
        </w:tc>
        <w:tc>
          <w:tcPr>
            <w:tcW w:w="975" w:type="dxa"/>
            <w:noWrap w:val="0"/>
            <w:tcMar>
              <w:top w:w="15" w:type="dxa"/>
              <w:left w:w="15" w:type="dxa"/>
              <w:bottom w:w="0" w:type="dxa"/>
              <w:right w:w="15" w:type="dxa"/>
            </w:tcMar>
            <w:vAlign w:val="center"/>
          </w:tcPr>
          <w:p>
            <w:pPr>
              <w:pStyle w:val="153"/>
              <w:spacing w:line="400" w:lineRule="exact"/>
              <w:ind w:left="0" w:leftChars="0"/>
              <w:rPr>
                <w:rFonts w:hint="eastAsia" w:ascii="宋体" w:hAnsi="宋体" w:eastAsia="宋体" w:cs="宋体"/>
                <w:b/>
                <w:sz w:val="24"/>
                <w:szCs w:val="24"/>
              </w:rPr>
            </w:pPr>
            <w:r>
              <w:rPr>
                <w:rFonts w:hint="eastAsia" w:ascii="宋体" w:hAnsi="宋体" w:eastAsia="宋体" w:cs="宋体"/>
                <w:b/>
                <w:sz w:val="24"/>
                <w:szCs w:val="24"/>
              </w:rPr>
              <w:t>学历</w:t>
            </w:r>
          </w:p>
        </w:tc>
        <w:tc>
          <w:tcPr>
            <w:tcW w:w="1256" w:type="dxa"/>
            <w:noWrap w:val="0"/>
            <w:tcMar>
              <w:top w:w="15" w:type="dxa"/>
              <w:left w:w="15" w:type="dxa"/>
              <w:bottom w:w="0" w:type="dxa"/>
              <w:right w:w="15" w:type="dxa"/>
            </w:tcMar>
            <w:vAlign w:val="center"/>
          </w:tcPr>
          <w:p>
            <w:pPr>
              <w:pStyle w:val="153"/>
              <w:spacing w:line="400" w:lineRule="exact"/>
              <w:ind w:left="0" w:leftChars="0"/>
              <w:rPr>
                <w:rFonts w:hint="eastAsia" w:ascii="宋体" w:hAnsi="宋体" w:eastAsia="宋体" w:cs="宋体"/>
                <w:b/>
                <w:sz w:val="24"/>
                <w:szCs w:val="24"/>
              </w:rPr>
            </w:pPr>
            <w:r>
              <w:rPr>
                <w:rFonts w:hint="eastAsia" w:ascii="宋体" w:hAnsi="宋体" w:eastAsia="宋体" w:cs="宋体"/>
                <w:b/>
                <w:sz w:val="24"/>
                <w:szCs w:val="24"/>
              </w:rPr>
              <w:t>技术</w:t>
            </w:r>
          </w:p>
          <w:p>
            <w:pPr>
              <w:pStyle w:val="153"/>
              <w:spacing w:line="400" w:lineRule="exact"/>
              <w:ind w:left="0" w:leftChars="0"/>
              <w:rPr>
                <w:rFonts w:hint="eastAsia" w:ascii="宋体" w:hAnsi="宋体" w:eastAsia="宋体" w:cs="宋体"/>
                <w:b/>
                <w:sz w:val="24"/>
                <w:szCs w:val="24"/>
              </w:rPr>
            </w:pPr>
            <w:r>
              <w:rPr>
                <w:rFonts w:hint="eastAsia" w:ascii="宋体" w:hAnsi="宋体" w:eastAsia="宋体" w:cs="宋体"/>
                <w:b/>
                <w:sz w:val="24"/>
                <w:szCs w:val="24"/>
              </w:rPr>
              <w:t>职称</w:t>
            </w:r>
          </w:p>
        </w:tc>
        <w:tc>
          <w:tcPr>
            <w:tcW w:w="1331" w:type="dxa"/>
            <w:noWrap w:val="0"/>
            <w:tcMar>
              <w:top w:w="15" w:type="dxa"/>
              <w:left w:w="15" w:type="dxa"/>
              <w:bottom w:w="0" w:type="dxa"/>
              <w:right w:w="15" w:type="dxa"/>
            </w:tcMar>
            <w:vAlign w:val="top"/>
          </w:tcPr>
          <w:p>
            <w:pPr>
              <w:pStyle w:val="153"/>
              <w:spacing w:line="400" w:lineRule="exact"/>
              <w:ind w:left="0" w:leftChars="0"/>
              <w:rPr>
                <w:rFonts w:hint="eastAsia" w:ascii="宋体" w:hAnsi="宋体" w:eastAsia="宋体" w:cs="宋体"/>
                <w:b/>
                <w:sz w:val="24"/>
                <w:szCs w:val="24"/>
              </w:rPr>
            </w:pPr>
            <w:r>
              <w:rPr>
                <w:rFonts w:hint="eastAsia" w:ascii="宋体" w:hAnsi="宋体" w:eastAsia="宋体" w:cs="宋体"/>
                <w:b/>
                <w:sz w:val="24"/>
                <w:szCs w:val="24"/>
              </w:rPr>
              <w:t>资格证</w:t>
            </w:r>
          </w:p>
          <w:p>
            <w:pPr>
              <w:pStyle w:val="153"/>
              <w:spacing w:line="400" w:lineRule="exact"/>
              <w:ind w:left="0" w:leftChars="0"/>
              <w:rPr>
                <w:rFonts w:hint="eastAsia" w:ascii="宋体" w:hAnsi="宋体" w:eastAsia="宋体" w:cs="宋体"/>
                <w:b/>
                <w:sz w:val="24"/>
                <w:szCs w:val="24"/>
              </w:rPr>
            </w:pPr>
            <w:r>
              <w:rPr>
                <w:rFonts w:hint="eastAsia" w:ascii="宋体" w:hAnsi="宋体" w:eastAsia="宋体" w:cs="宋体"/>
                <w:b/>
                <w:sz w:val="24"/>
                <w:szCs w:val="24"/>
              </w:rPr>
              <w:t>书种类</w:t>
            </w:r>
          </w:p>
        </w:tc>
        <w:tc>
          <w:tcPr>
            <w:tcW w:w="1877" w:type="dxa"/>
            <w:noWrap w:val="0"/>
            <w:tcMar>
              <w:top w:w="15" w:type="dxa"/>
              <w:left w:w="15" w:type="dxa"/>
              <w:bottom w:w="0" w:type="dxa"/>
              <w:right w:w="15" w:type="dxa"/>
            </w:tcMar>
            <w:vAlign w:val="center"/>
          </w:tcPr>
          <w:p>
            <w:pPr>
              <w:pStyle w:val="153"/>
              <w:spacing w:line="400" w:lineRule="exact"/>
              <w:ind w:left="0" w:leftChars="0"/>
              <w:rPr>
                <w:rFonts w:hint="eastAsia" w:ascii="宋体" w:hAnsi="宋体" w:eastAsia="宋体" w:cs="宋体"/>
                <w:b/>
                <w:sz w:val="24"/>
                <w:szCs w:val="24"/>
              </w:rPr>
            </w:pPr>
            <w:r>
              <w:rPr>
                <w:rFonts w:hint="eastAsia" w:ascii="宋体" w:hAnsi="宋体" w:eastAsia="宋体" w:cs="宋体"/>
                <w:b/>
                <w:sz w:val="24"/>
                <w:szCs w:val="24"/>
              </w:rPr>
              <w:t>拟担任的职务</w:t>
            </w:r>
          </w:p>
        </w:tc>
        <w:tc>
          <w:tcPr>
            <w:tcW w:w="680" w:type="dxa"/>
            <w:noWrap w:val="0"/>
            <w:tcMar>
              <w:top w:w="15" w:type="dxa"/>
              <w:left w:w="15" w:type="dxa"/>
              <w:bottom w:w="0" w:type="dxa"/>
              <w:right w:w="15" w:type="dxa"/>
            </w:tcMar>
            <w:vAlign w:val="center"/>
          </w:tcPr>
          <w:p>
            <w:pPr>
              <w:pStyle w:val="153"/>
              <w:spacing w:line="400" w:lineRule="exact"/>
              <w:ind w:left="0" w:leftChars="0"/>
              <w:rPr>
                <w:rFonts w:hint="eastAsia" w:ascii="宋体" w:hAnsi="宋体" w:eastAsia="宋体" w:cs="宋体"/>
                <w:b/>
                <w:sz w:val="24"/>
                <w:szCs w:val="24"/>
              </w:rPr>
            </w:pPr>
            <w:r>
              <w:rPr>
                <w:rFonts w:hint="eastAsia" w:ascii="宋体" w:hAnsi="宋体" w:eastAsia="宋体" w:cs="宋体"/>
                <w:b/>
                <w:sz w:val="24"/>
                <w:szCs w:val="24"/>
              </w:rPr>
              <w:t>岗位</w:t>
            </w:r>
          </w:p>
          <w:p>
            <w:pPr>
              <w:pStyle w:val="153"/>
              <w:spacing w:line="400" w:lineRule="exact"/>
              <w:ind w:left="0" w:leftChars="0"/>
              <w:rPr>
                <w:rFonts w:hint="eastAsia" w:ascii="宋体" w:hAnsi="宋体" w:eastAsia="宋体" w:cs="宋体"/>
                <w:b/>
                <w:sz w:val="24"/>
                <w:szCs w:val="24"/>
              </w:rPr>
            </w:pPr>
            <w:r>
              <w:rPr>
                <w:rFonts w:hint="eastAsia" w:ascii="宋体" w:hAnsi="宋体" w:eastAsia="宋体" w:cs="宋体"/>
                <w:b/>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41"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1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888"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975"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2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331" w:type="dxa"/>
            <w:noWrap w:val="0"/>
            <w:tcMar>
              <w:top w:w="15" w:type="dxa"/>
              <w:left w:w="15" w:type="dxa"/>
              <w:bottom w:w="0" w:type="dxa"/>
              <w:right w:w="15" w:type="dxa"/>
            </w:tcMar>
            <w:vAlign w:val="top"/>
          </w:tcPr>
          <w:p>
            <w:pPr>
              <w:pStyle w:val="153"/>
              <w:spacing w:line="400" w:lineRule="exact"/>
              <w:ind w:left="0" w:leftChars="0" w:firstLine="480" w:firstLineChars="200"/>
              <w:jc w:val="both"/>
              <w:rPr>
                <w:rFonts w:hint="eastAsia" w:ascii="宋体" w:hAnsi="宋体" w:eastAsia="宋体" w:cs="宋体"/>
                <w:sz w:val="24"/>
                <w:szCs w:val="24"/>
              </w:rPr>
            </w:pPr>
          </w:p>
        </w:tc>
        <w:tc>
          <w:tcPr>
            <w:tcW w:w="1877"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680"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41"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1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888"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975"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2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331" w:type="dxa"/>
            <w:noWrap w:val="0"/>
            <w:tcMar>
              <w:top w:w="15" w:type="dxa"/>
              <w:left w:w="15" w:type="dxa"/>
              <w:bottom w:w="0" w:type="dxa"/>
              <w:right w:w="15" w:type="dxa"/>
            </w:tcMar>
            <w:vAlign w:val="top"/>
          </w:tcPr>
          <w:p>
            <w:pPr>
              <w:pStyle w:val="153"/>
              <w:spacing w:line="400" w:lineRule="exact"/>
              <w:ind w:left="0" w:leftChars="0" w:firstLine="480" w:firstLineChars="200"/>
              <w:jc w:val="both"/>
              <w:rPr>
                <w:rFonts w:hint="eastAsia" w:ascii="宋体" w:hAnsi="宋体" w:eastAsia="宋体" w:cs="宋体"/>
                <w:sz w:val="24"/>
                <w:szCs w:val="24"/>
              </w:rPr>
            </w:pPr>
          </w:p>
        </w:tc>
        <w:tc>
          <w:tcPr>
            <w:tcW w:w="1877"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680"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41"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1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888"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975"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2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331" w:type="dxa"/>
            <w:noWrap w:val="0"/>
            <w:tcMar>
              <w:top w:w="15" w:type="dxa"/>
              <w:left w:w="15" w:type="dxa"/>
              <w:bottom w:w="0" w:type="dxa"/>
              <w:right w:w="15" w:type="dxa"/>
            </w:tcMar>
            <w:vAlign w:val="top"/>
          </w:tcPr>
          <w:p>
            <w:pPr>
              <w:pStyle w:val="153"/>
              <w:spacing w:line="400" w:lineRule="exact"/>
              <w:ind w:left="0" w:leftChars="0" w:firstLine="480" w:firstLineChars="200"/>
              <w:jc w:val="both"/>
              <w:rPr>
                <w:rFonts w:hint="eastAsia" w:ascii="宋体" w:hAnsi="宋体" w:eastAsia="宋体" w:cs="宋体"/>
                <w:sz w:val="24"/>
                <w:szCs w:val="24"/>
              </w:rPr>
            </w:pPr>
          </w:p>
        </w:tc>
        <w:tc>
          <w:tcPr>
            <w:tcW w:w="1877"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680"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41"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1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888"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975"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2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331" w:type="dxa"/>
            <w:noWrap w:val="0"/>
            <w:tcMar>
              <w:top w:w="15" w:type="dxa"/>
              <w:left w:w="15" w:type="dxa"/>
              <w:bottom w:w="0" w:type="dxa"/>
              <w:right w:w="15" w:type="dxa"/>
            </w:tcMar>
            <w:vAlign w:val="top"/>
          </w:tcPr>
          <w:p>
            <w:pPr>
              <w:pStyle w:val="153"/>
              <w:spacing w:line="400" w:lineRule="exact"/>
              <w:ind w:left="0" w:leftChars="0" w:firstLine="480" w:firstLineChars="200"/>
              <w:jc w:val="both"/>
              <w:rPr>
                <w:rFonts w:hint="eastAsia" w:ascii="宋体" w:hAnsi="宋体" w:eastAsia="宋体" w:cs="宋体"/>
                <w:sz w:val="24"/>
                <w:szCs w:val="24"/>
              </w:rPr>
            </w:pPr>
          </w:p>
        </w:tc>
        <w:tc>
          <w:tcPr>
            <w:tcW w:w="1877"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680"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41"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1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888"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975"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2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331" w:type="dxa"/>
            <w:noWrap w:val="0"/>
            <w:tcMar>
              <w:top w:w="15" w:type="dxa"/>
              <w:left w:w="15" w:type="dxa"/>
              <w:bottom w:w="0" w:type="dxa"/>
              <w:right w:w="15" w:type="dxa"/>
            </w:tcMar>
            <w:vAlign w:val="top"/>
          </w:tcPr>
          <w:p>
            <w:pPr>
              <w:pStyle w:val="153"/>
              <w:spacing w:line="400" w:lineRule="exact"/>
              <w:ind w:left="0" w:leftChars="0" w:firstLine="480" w:firstLineChars="200"/>
              <w:jc w:val="both"/>
              <w:rPr>
                <w:rFonts w:hint="eastAsia" w:ascii="宋体" w:hAnsi="宋体" w:eastAsia="宋体" w:cs="宋体"/>
                <w:sz w:val="24"/>
                <w:szCs w:val="24"/>
              </w:rPr>
            </w:pPr>
          </w:p>
        </w:tc>
        <w:tc>
          <w:tcPr>
            <w:tcW w:w="1877"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680"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41"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1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888"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975"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2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331" w:type="dxa"/>
            <w:noWrap w:val="0"/>
            <w:tcMar>
              <w:top w:w="15" w:type="dxa"/>
              <w:left w:w="15" w:type="dxa"/>
              <w:bottom w:w="0" w:type="dxa"/>
              <w:right w:w="15" w:type="dxa"/>
            </w:tcMar>
            <w:vAlign w:val="top"/>
          </w:tcPr>
          <w:p>
            <w:pPr>
              <w:pStyle w:val="153"/>
              <w:spacing w:line="400" w:lineRule="exact"/>
              <w:ind w:left="0" w:leftChars="0" w:firstLine="480" w:firstLineChars="200"/>
              <w:jc w:val="both"/>
              <w:rPr>
                <w:rFonts w:hint="eastAsia" w:ascii="宋体" w:hAnsi="宋体" w:eastAsia="宋体" w:cs="宋体"/>
                <w:sz w:val="24"/>
                <w:szCs w:val="24"/>
              </w:rPr>
            </w:pPr>
          </w:p>
        </w:tc>
        <w:tc>
          <w:tcPr>
            <w:tcW w:w="1877"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680"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41"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1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888"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975"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2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331" w:type="dxa"/>
            <w:noWrap w:val="0"/>
            <w:tcMar>
              <w:top w:w="15" w:type="dxa"/>
              <w:left w:w="15" w:type="dxa"/>
              <w:bottom w:w="0" w:type="dxa"/>
              <w:right w:w="15" w:type="dxa"/>
            </w:tcMar>
            <w:vAlign w:val="top"/>
          </w:tcPr>
          <w:p>
            <w:pPr>
              <w:pStyle w:val="153"/>
              <w:spacing w:line="400" w:lineRule="exact"/>
              <w:ind w:left="0" w:leftChars="0" w:firstLine="480" w:firstLineChars="200"/>
              <w:jc w:val="both"/>
              <w:rPr>
                <w:rFonts w:hint="eastAsia" w:ascii="宋体" w:hAnsi="宋体" w:eastAsia="宋体" w:cs="宋体"/>
                <w:sz w:val="24"/>
                <w:szCs w:val="24"/>
              </w:rPr>
            </w:pPr>
          </w:p>
        </w:tc>
        <w:tc>
          <w:tcPr>
            <w:tcW w:w="1877"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680"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41"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1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888"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975"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2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331" w:type="dxa"/>
            <w:noWrap w:val="0"/>
            <w:tcMar>
              <w:top w:w="15" w:type="dxa"/>
              <w:left w:w="15" w:type="dxa"/>
              <w:bottom w:w="0" w:type="dxa"/>
              <w:right w:w="15" w:type="dxa"/>
            </w:tcMar>
            <w:vAlign w:val="top"/>
          </w:tcPr>
          <w:p>
            <w:pPr>
              <w:pStyle w:val="153"/>
              <w:spacing w:line="400" w:lineRule="exact"/>
              <w:ind w:left="0" w:leftChars="0" w:firstLine="480" w:firstLineChars="200"/>
              <w:jc w:val="both"/>
              <w:rPr>
                <w:rFonts w:hint="eastAsia" w:ascii="宋体" w:hAnsi="宋体" w:eastAsia="宋体" w:cs="宋体"/>
                <w:sz w:val="24"/>
                <w:szCs w:val="24"/>
              </w:rPr>
            </w:pPr>
          </w:p>
        </w:tc>
        <w:tc>
          <w:tcPr>
            <w:tcW w:w="1877"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680"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41"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1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888"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975"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2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331" w:type="dxa"/>
            <w:noWrap w:val="0"/>
            <w:tcMar>
              <w:top w:w="15" w:type="dxa"/>
              <w:left w:w="15" w:type="dxa"/>
              <w:bottom w:w="0" w:type="dxa"/>
              <w:right w:w="15" w:type="dxa"/>
            </w:tcMar>
            <w:vAlign w:val="top"/>
          </w:tcPr>
          <w:p>
            <w:pPr>
              <w:pStyle w:val="153"/>
              <w:spacing w:line="400" w:lineRule="exact"/>
              <w:ind w:left="0" w:leftChars="0" w:firstLine="480" w:firstLineChars="200"/>
              <w:jc w:val="both"/>
              <w:rPr>
                <w:rFonts w:hint="eastAsia" w:ascii="宋体" w:hAnsi="宋体" w:eastAsia="宋体" w:cs="宋体"/>
                <w:sz w:val="24"/>
                <w:szCs w:val="24"/>
              </w:rPr>
            </w:pPr>
          </w:p>
        </w:tc>
        <w:tc>
          <w:tcPr>
            <w:tcW w:w="1877"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680"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41"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1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888"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975"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2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331" w:type="dxa"/>
            <w:noWrap w:val="0"/>
            <w:tcMar>
              <w:top w:w="15" w:type="dxa"/>
              <w:left w:w="15" w:type="dxa"/>
              <w:bottom w:w="0" w:type="dxa"/>
              <w:right w:w="15" w:type="dxa"/>
            </w:tcMar>
            <w:vAlign w:val="top"/>
          </w:tcPr>
          <w:p>
            <w:pPr>
              <w:pStyle w:val="153"/>
              <w:spacing w:line="400" w:lineRule="exact"/>
              <w:ind w:left="0" w:leftChars="0" w:firstLine="480" w:firstLineChars="200"/>
              <w:jc w:val="both"/>
              <w:rPr>
                <w:rFonts w:hint="eastAsia" w:ascii="宋体" w:hAnsi="宋体" w:eastAsia="宋体" w:cs="宋体"/>
                <w:sz w:val="24"/>
                <w:szCs w:val="24"/>
              </w:rPr>
            </w:pPr>
          </w:p>
        </w:tc>
        <w:tc>
          <w:tcPr>
            <w:tcW w:w="1877"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680"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41"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1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888"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975"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2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331" w:type="dxa"/>
            <w:noWrap w:val="0"/>
            <w:tcMar>
              <w:top w:w="15" w:type="dxa"/>
              <w:left w:w="15" w:type="dxa"/>
              <w:bottom w:w="0" w:type="dxa"/>
              <w:right w:w="15" w:type="dxa"/>
            </w:tcMar>
            <w:vAlign w:val="top"/>
          </w:tcPr>
          <w:p>
            <w:pPr>
              <w:pStyle w:val="153"/>
              <w:spacing w:line="400" w:lineRule="exact"/>
              <w:ind w:left="0" w:leftChars="0" w:firstLine="480" w:firstLineChars="200"/>
              <w:jc w:val="both"/>
              <w:rPr>
                <w:rFonts w:hint="eastAsia" w:ascii="宋体" w:hAnsi="宋体" w:eastAsia="宋体" w:cs="宋体"/>
                <w:sz w:val="24"/>
                <w:szCs w:val="24"/>
              </w:rPr>
            </w:pPr>
          </w:p>
        </w:tc>
        <w:tc>
          <w:tcPr>
            <w:tcW w:w="1877"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680"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41"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1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888"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975"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2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331" w:type="dxa"/>
            <w:noWrap w:val="0"/>
            <w:tcMar>
              <w:top w:w="15" w:type="dxa"/>
              <w:left w:w="15" w:type="dxa"/>
              <w:bottom w:w="0" w:type="dxa"/>
              <w:right w:w="15" w:type="dxa"/>
            </w:tcMar>
            <w:vAlign w:val="top"/>
          </w:tcPr>
          <w:p>
            <w:pPr>
              <w:pStyle w:val="153"/>
              <w:spacing w:line="400" w:lineRule="exact"/>
              <w:ind w:left="0" w:leftChars="0" w:firstLine="480" w:firstLineChars="200"/>
              <w:jc w:val="both"/>
              <w:rPr>
                <w:rFonts w:hint="eastAsia" w:ascii="宋体" w:hAnsi="宋体" w:eastAsia="宋体" w:cs="宋体"/>
                <w:sz w:val="24"/>
                <w:szCs w:val="24"/>
              </w:rPr>
            </w:pPr>
          </w:p>
        </w:tc>
        <w:tc>
          <w:tcPr>
            <w:tcW w:w="1877"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680"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41"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1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888"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975"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2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331" w:type="dxa"/>
            <w:noWrap w:val="0"/>
            <w:tcMar>
              <w:top w:w="15" w:type="dxa"/>
              <w:left w:w="15" w:type="dxa"/>
              <w:bottom w:w="0" w:type="dxa"/>
              <w:right w:w="15" w:type="dxa"/>
            </w:tcMar>
            <w:vAlign w:val="top"/>
          </w:tcPr>
          <w:p>
            <w:pPr>
              <w:pStyle w:val="153"/>
              <w:spacing w:line="400" w:lineRule="exact"/>
              <w:ind w:left="0" w:leftChars="0" w:firstLine="480" w:firstLineChars="200"/>
              <w:jc w:val="both"/>
              <w:rPr>
                <w:rFonts w:hint="eastAsia" w:ascii="宋体" w:hAnsi="宋体" w:eastAsia="宋体" w:cs="宋体"/>
                <w:sz w:val="24"/>
                <w:szCs w:val="24"/>
              </w:rPr>
            </w:pPr>
          </w:p>
        </w:tc>
        <w:tc>
          <w:tcPr>
            <w:tcW w:w="1877"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680"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41"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1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888"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975"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2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331" w:type="dxa"/>
            <w:noWrap w:val="0"/>
            <w:tcMar>
              <w:top w:w="15" w:type="dxa"/>
              <w:left w:w="15" w:type="dxa"/>
              <w:bottom w:w="0" w:type="dxa"/>
              <w:right w:w="15" w:type="dxa"/>
            </w:tcMar>
            <w:vAlign w:val="top"/>
          </w:tcPr>
          <w:p>
            <w:pPr>
              <w:pStyle w:val="153"/>
              <w:spacing w:line="400" w:lineRule="exact"/>
              <w:ind w:left="0" w:leftChars="0" w:firstLine="480" w:firstLineChars="200"/>
              <w:jc w:val="both"/>
              <w:rPr>
                <w:rFonts w:hint="eastAsia" w:ascii="宋体" w:hAnsi="宋体" w:eastAsia="宋体" w:cs="宋体"/>
                <w:sz w:val="24"/>
                <w:szCs w:val="24"/>
              </w:rPr>
            </w:pPr>
          </w:p>
        </w:tc>
        <w:tc>
          <w:tcPr>
            <w:tcW w:w="1877"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680"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41"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1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888"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975"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2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331" w:type="dxa"/>
            <w:noWrap w:val="0"/>
            <w:tcMar>
              <w:top w:w="15" w:type="dxa"/>
              <w:left w:w="15" w:type="dxa"/>
              <w:bottom w:w="0" w:type="dxa"/>
              <w:right w:w="15" w:type="dxa"/>
            </w:tcMar>
            <w:vAlign w:val="top"/>
          </w:tcPr>
          <w:p>
            <w:pPr>
              <w:pStyle w:val="153"/>
              <w:spacing w:line="400" w:lineRule="exact"/>
              <w:ind w:left="0" w:leftChars="0" w:firstLine="480" w:firstLineChars="200"/>
              <w:jc w:val="both"/>
              <w:rPr>
                <w:rFonts w:hint="eastAsia" w:ascii="宋体" w:hAnsi="宋体" w:eastAsia="宋体" w:cs="宋体"/>
                <w:sz w:val="24"/>
                <w:szCs w:val="24"/>
              </w:rPr>
            </w:pPr>
          </w:p>
        </w:tc>
        <w:tc>
          <w:tcPr>
            <w:tcW w:w="1877"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680"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41"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1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888"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975"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2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331" w:type="dxa"/>
            <w:noWrap w:val="0"/>
            <w:tcMar>
              <w:top w:w="15" w:type="dxa"/>
              <w:left w:w="15" w:type="dxa"/>
              <w:bottom w:w="0" w:type="dxa"/>
              <w:right w:w="15" w:type="dxa"/>
            </w:tcMar>
            <w:vAlign w:val="top"/>
          </w:tcPr>
          <w:p>
            <w:pPr>
              <w:pStyle w:val="153"/>
              <w:spacing w:line="400" w:lineRule="exact"/>
              <w:ind w:left="0" w:leftChars="0" w:firstLine="480" w:firstLineChars="200"/>
              <w:jc w:val="both"/>
              <w:rPr>
                <w:rFonts w:hint="eastAsia" w:ascii="宋体" w:hAnsi="宋体" w:eastAsia="宋体" w:cs="宋体"/>
                <w:sz w:val="24"/>
                <w:szCs w:val="24"/>
              </w:rPr>
            </w:pPr>
          </w:p>
        </w:tc>
        <w:tc>
          <w:tcPr>
            <w:tcW w:w="1877"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680"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41"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1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888"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975"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2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331" w:type="dxa"/>
            <w:noWrap w:val="0"/>
            <w:tcMar>
              <w:top w:w="15" w:type="dxa"/>
              <w:left w:w="15" w:type="dxa"/>
              <w:bottom w:w="0" w:type="dxa"/>
              <w:right w:w="15" w:type="dxa"/>
            </w:tcMar>
            <w:vAlign w:val="top"/>
          </w:tcPr>
          <w:p>
            <w:pPr>
              <w:pStyle w:val="153"/>
              <w:spacing w:line="400" w:lineRule="exact"/>
              <w:ind w:left="0" w:leftChars="0" w:firstLine="480" w:firstLineChars="200"/>
              <w:jc w:val="both"/>
              <w:rPr>
                <w:rFonts w:hint="eastAsia" w:ascii="宋体" w:hAnsi="宋体" w:eastAsia="宋体" w:cs="宋体"/>
                <w:sz w:val="24"/>
                <w:szCs w:val="24"/>
              </w:rPr>
            </w:pPr>
          </w:p>
        </w:tc>
        <w:tc>
          <w:tcPr>
            <w:tcW w:w="1877"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680"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41"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1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888"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975"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2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331" w:type="dxa"/>
            <w:noWrap w:val="0"/>
            <w:tcMar>
              <w:top w:w="15" w:type="dxa"/>
              <w:left w:w="15" w:type="dxa"/>
              <w:bottom w:w="0" w:type="dxa"/>
              <w:right w:w="15" w:type="dxa"/>
            </w:tcMar>
            <w:vAlign w:val="top"/>
          </w:tcPr>
          <w:p>
            <w:pPr>
              <w:pStyle w:val="153"/>
              <w:spacing w:line="400" w:lineRule="exact"/>
              <w:ind w:left="0" w:leftChars="0" w:firstLine="480" w:firstLineChars="200"/>
              <w:jc w:val="both"/>
              <w:rPr>
                <w:rFonts w:hint="eastAsia" w:ascii="宋体" w:hAnsi="宋体" w:eastAsia="宋体" w:cs="宋体"/>
                <w:sz w:val="24"/>
                <w:szCs w:val="24"/>
              </w:rPr>
            </w:pPr>
          </w:p>
        </w:tc>
        <w:tc>
          <w:tcPr>
            <w:tcW w:w="1877"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680"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41"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1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888"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975"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2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331" w:type="dxa"/>
            <w:noWrap w:val="0"/>
            <w:tcMar>
              <w:top w:w="15" w:type="dxa"/>
              <w:left w:w="15" w:type="dxa"/>
              <w:bottom w:w="0" w:type="dxa"/>
              <w:right w:w="15" w:type="dxa"/>
            </w:tcMar>
            <w:vAlign w:val="top"/>
          </w:tcPr>
          <w:p>
            <w:pPr>
              <w:pStyle w:val="153"/>
              <w:spacing w:line="400" w:lineRule="exact"/>
              <w:ind w:left="0" w:leftChars="0" w:firstLine="480" w:firstLineChars="200"/>
              <w:jc w:val="both"/>
              <w:rPr>
                <w:rFonts w:hint="eastAsia" w:ascii="宋体" w:hAnsi="宋体" w:eastAsia="宋体" w:cs="宋体"/>
                <w:sz w:val="24"/>
                <w:szCs w:val="24"/>
              </w:rPr>
            </w:pPr>
          </w:p>
        </w:tc>
        <w:tc>
          <w:tcPr>
            <w:tcW w:w="1877"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680"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41"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1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888"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975"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2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331" w:type="dxa"/>
            <w:noWrap w:val="0"/>
            <w:tcMar>
              <w:top w:w="15" w:type="dxa"/>
              <w:left w:w="15" w:type="dxa"/>
              <w:bottom w:w="0" w:type="dxa"/>
              <w:right w:w="15" w:type="dxa"/>
            </w:tcMar>
            <w:vAlign w:val="top"/>
          </w:tcPr>
          <w:p>
            <w:pPr>
              <w:pStyle w:val="153"/>
              <w:spacing w:line="400" w:lineRule="exact"/>
              <w:ind w:left="0" w:leftChars="0" w:firstLine="480" w:firstLineChars="200"/>
              <w:jc w:val="both"/>
              <w:rPr>
                <w:rFonts w:hint="eastAsia" w:ascii="宋体" w:hAnsi="宋体" w:eastAsia="宋体" w:cs="宋体"/>
                <w:sz w:val="24"/>
                <w:szCs w:val="24"/>
              </w:rPr>
            </w:pPr>
          </w:p>
        </w:tc>
        <w:tc>
          <w:tcPr>
            <w:tcW w:w="1877"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680"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41"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1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888"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975"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256"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1331" w:type="dxa"/>
            <w:noWrap w:val="0"/>
            <w:tcMar>
              <w:top w:w="15" w:type="dxa"/>
              <w:left w:w="15" w:type="dxa"/>
              <w:bottom w:w="0" w:type="dxa"/>
              <w:right w:w="15" w:type="dxa"/>
            </w:tcMar>
            <w:vAlign w:val="top"/>
          </w:tcPr>
          <w:p>
            <w:pPr>
              <w:pStyle w:val="153"/>
              <w:spacing w:line="400" w:lineRule="exact"/>
              <w:ind w:left="0" w:leftChars="0" w:firstLine="480" w:firstLineChars="200"/>
              <w:jc w:val="both"/>
              <w:rPr>
                <w:rFonts w:hint="eastAsia" w:ascii="宋体" w:hAnsi="宋体" w:eastAsia="宋体" w:cs="宋体"/>
                <w:sz w:val="24"/>
                <w:szCs w:val="24"/>
              </w:rPr>
            </w:pPr>
          </w:p>
        </w:tc>
        <w:tc>
          <w:tcPr>
            <w:tcW w:w="1877"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c>
          <w:tcPr>
            <w:tcW w:w="680" w:type="dxa"/>
            <w:noWrap w:val="0"/>
            <w:tcMar>
              <w:top w:w="15" w:type="dxa"/>
              <w:left w:w="15" w:type="dxa"/>
              <w:bottom w:w="0" w:type="dxa"/>
              <w:right w:w="15" w:type="dxa"/>
            </w:tcMar>
            <w:vAlign w:val="bottom"/>
          </w:tcPr>
          <w:p>
            <w:pPr>
              <w:pStyle w:val="153"/>
              <w:spacing w:line="400" w:lineRule="exact"/>
              <w:ind w:left="0" w:leftChars="0" w:firstLine="480" w:firstLineChars="200"/>
              <w:jc w:val="both"/>
              <w:rPr>
                <w:rFonts w:hint="eastAsia" w:ascii="宋体" w:hAnsi="宋体" w:eastAsia="宋体" w:cs="宋体"/>
                <w:sz w:val="24"/>
                <w:szCs w:val="24"/>
              </w:rPr>
            </w:pPr>
          </w:p>
        </w:tc>
      </w:tr>
    </w:tbl>
    <w:p>
      <w:pPr>
        <w:pStyle w:val="49"/>
        <w:keepNext w:val="0"/>
        <w:keepLines w:val="0"/>
        <w:pageBreakBefore w:val="0"/>
        <w:widowControl w:val="0"/>
        <w:kinsoku/>
        <w:wordWrap/>
        <w:overflowPunct/>
        <w:topLinePunct w:val="0"/>
        <w:autoSpaceDE/>
        <w:autoSpaceDN/>
        <w:bidi w:val="0"/>
        <w:spacing w:line="400" w:lineRule="exact"/>
        <w:ind w:firstLine="840" w:firstLineChars="400"/>
        <w:textAlignment w:val="auto"/>
        <w:rPr>
          <w:rFonts w:hint="eastAsia" w:ascii="宋体" w:hAnsi="宋体" w:eastAsia="宋体" w:cs="宋体"/>
          <w:b/>
          <w:bCs/>
          <w:color w:val="auto"/>
          <w:sz w:val="21"/>
          <w:szCs w:val="21"/>
          <w:lang w:val="zh-CN"/>
        </w:rPr>
      </w:pPr>
      <w:r>
        <w:rPr>
          <w:rFonts w:hint="eastAsia" w:ascii="宋体" w:hAnsi="宋体" w:eastAsia="宋体" w:cs="宋体"/>
          <w:color w:val="auto"/>
          <w:sz w:val="21"/>
          <w:szCs w:val="21"/>
        </w:rPr>
        <w:t>注：</w:t>
      </w:r>
      <w:r>
        <w:rPr>
          <w:rFonts w:hint="eastAsia" w:ascii="宋体" w:hAnsi="宋体" w:eastAsia="宋体" w:cs="宋体"/>
          <w:color w:val="auto"/>
          <w:sz w:val="21"/>
          <w:szCs w:val="21"/>
          <w:lang w:val="en-US" w:eastAsia="zh-CN"/>
        </w:rPr>
        <w:t>表中所填写人员内容需附相关人员证书。</w:t>
      </w:r>
    </w:p>
    <w:p>
      <w:pPr>
        <w:pStyle w:val="2"/>
        <w:rPr>
          <w:rFonts w:hint="eastAsia" w:ascii="宋体" w:hAnsi="宋体" w:eastAsia="宋体" w:cs="宋体"/>
          <w:b/>
          <w:bCs/>
          <w:color w:val="auto"/>
          <w:sz w:val="28"/>
          <w:szCs w:val="28"/>
          <w:lang w:val="zh-CN"/>
        </w:rPr>
      </w:pPr>
    </w:p>
    <w:p>
      <w:pPr>
        <w:rPr>
          <w:rFonts w:hint="eastAsia" w:ascii="宋体" w:hAnsi="宋体" w:eastAsia="宋体" w:cs="宋体"/>
          <w:b/>
          <w:bCs/>
          <w:color w:val="auto"/>
          <w:sz w:val="28"/>
          <w:szCs w:val="28"/>
          <w:lang w:val="zh-CN"/>
        </w:rPr>
      </w:pPr>
    </w:p>
    <w:p>
      <w:pPr>
        <w:pStyle w:val="2"/>
        <w:rPr>
          <w:rFonts w:hint="eastAsia" w:ascii="宋体" w:hAnsi="宋体" w:eastAsia="宋体" w:cs="宋体"/>
          <w:b/>
          <w:bCs/>
          <w:color w:val="auto"/>
          <w:sz w:val="28"/>
          <w:szCs w:val="28"/>
          <w:lang w:val="zh-CN"/>
        </w:rPr>
      </w:pPr>
    </w:p>
    <w:p>
      <w:pPr>
        <w:rPr>
          <w:rFonts w:hint="eastAsia" w:ascii="宋体" w:hAnsi="宋体" w:eastAsia="宋体" w:cs="宋体"/>
          <w:b/>
          <w:bCs/>
          <w:color w:val="auto"/>
          <w:sz w:val="28"/>
          <w:szCs w:val="28"/>
          <w:lang w:val="zh-CN"/>
        </w:rPr>
      </w:pPr>
    </w:p>
    <w:p>
      <w:pPr>
        <w:pStyle w:val="2"/>
        <w:rPr>
          <w:rFonts w:hint="eastAsia" w:ascii="宋体" w:hAnsi="宋体" w:eastAsia="宋体" w:cs="宋体"/>
          <w:lang w:val="zh-CN"/>
        </w:rPr>
      </w:pPr>
    </w:p>
    <w:p>
      <w:pPr>
        <w:rPr>
          <w:rFonts w:hint="eastAsia" w:ascii="宋体" w:hAnsi="宋体" w:eastAsia="宋体" w:cs="宋体"/>
          <w:lang w:val="zh-CN"/>
        </w:rPr>
      </w:pPr>
    </w:p>
    <w:p>
      <w:pPr>
        <w:pStyle w:val="4"/>
        <w:keepNext/>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Cs w:val="28"/>
          <w:lang w:val="en-US" w:eastAsia="zh-CN"/>
        </w:rPr>
        <w:t xml:space="preserve">第六部分 </w:t>
      </w:r>
      <w:r>
        <w:rPr>
          <w:rFonts w:hint="eastAsia" w:ascii="宋体" w:hAnsi="宋体" w:eastAsia="宋体" w:cs="宋体"/>
          <w:b/>
          <w:bCs/>
          <w:color w:val="auto"/>
          <w:szCs w:val="28"/>
          <w:lang w:val="zh-CN"/>
        </w:rPr>
        <w:t>供应商</w:t>
      </w:r>
      <w:r>
        <w:rPr>
          <w:rFonts w:hint="eastAsia" w:ascii="宋体" w:hAnsi="宋体" w:eastAsia="宋体" w:cs="宋体"/>
          <w:b/>
          <w:bCs/>
          <w:color w:val="auto"/>
          <w:szCs w:val="28"/>
          <w:lang w:val="en-US" w:eastAsia="zh-CN"/>
        </w:rPr>
        <w:t>承诺书</w:t>
      </w:r>
    </w:p>
    <w:p>
      <w:pPr>
        <w:autoSpaceDE w:val="0"/>
        <w:autoSpaceDN w:val="0"/>
        <w:adjustRightInd w:val="0"/>
        <w:spacing w:line="560" w:lineRule="exact"/>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6.1 </w:t>
      </w:r>
      <w:r>
        <w:rPr>
          <w:rFonts w:hint="eastAsia" w:ascii="宋体" w:hAnsi="宋体" w:eastAsia="宋体" w:cs="宋体"/>
          <w:b/>
          <w:bCs/>
          <w:color w:val="auto"/>
          <w:sz w:val="24"/>
          <w:szCs w:val="24"/>
          <w:lang w:val="zh-CN"/>
        </w:rPr>
        <w:t>政府采购供应商拒绝政府采购领域商业贿赂承诺书</w:t>
      </w:r>
    </w:p>
    <w:p>
      <w:p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为响应党中央、国务院关于治理政府采购领域商业贿赂行为的号召，我单位在此庄严承诺：</w:t>
      </w:r>
    </w:p>
    <w:p>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在参与政府采购活动中遵纪守法、诚信经营、公平竞标。</w:t>
      </w:r>
    </w:p>
    <w:p>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不向采购人、采购代理机构和政府采购评审专家进行任何形式的商业贿赂以谋取交易机会。</w:t>
      </w:r>
    </w:p>
    <w:p>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不向采购代理机构和采购人提供虚假资质文件或采用虚假应标方式参与政府采购市场竞争并谋取</w:t>
      </w:r>
      <w:r>
        <w:rPr>
          <w:rFonts w:hint="eastAsia" w:ascii="宋体" w:hAnsi="宋体" w:eastAsia="宋体" w:cs="宋体"/>
          <w:color w:val="auto"/>
          <w:kern w:val="0"/>
          <w:sz w:val="24"/>
          <w:szCs w:val="24"/>
          <w:lang w:val="en-US" w:eastAsia="zh-CN"/>
        </w:rPr>
        <w:t>中标</w:t>
      </w:r>
      <w:r>
        <w:rPr>
          <w:rFonts w:hint="eastAsia" w:ascii="宋体" w:hAnsi="宋体" w:eastAsia="宋体" w:cs="宋体"/>
          <w:color w:val="auto"/>
          <w:kern w:val="0"/>
          <w:sz w:val="24"/>
          <w:szCs w:val="24"/>
        </w:rPr>
        <w:t>、成交。</w:t>
      </w:r>
    </w:p>
    <w:p>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不采取“围标、陪标”等商业欺诈手段获得政府采购</w:t>
      </w:r>
      <w:r>
        <w:rPr>
          <w:rFonts w:hint="eastAsia" w:ascii="宋体" w:hAnsi="宋体" w:eastAsia="宋体" w:cs="宋体"/>
          <w:color w:val="auto"/>
          <w:kern w:val="0"/>
          <w:sz w:val="24"/>
          <w:szCs w:val="24"/>
          <w:lang w:val="en-US" w:eastAsia="zh-CN"/>
        </w:rPr>
        <w:t>订</w:t>
      </w:r>
      <w:r>
        <w:rPr>
          <w:rFonts w:hint="eastAsia" w:ascii="宋体" w:hAnsi="宋体" w:eastAsia="宋体" w:cs="宋体"/>
          <w:color w:val="auto"/>
          <w:kern w:val="0"/>
          <w:sz w:val="24"/>
          <w:szCs w:val="24"/>
        </w:rPr>
        <w:t>单。</w:t>
      </w:r>
    </w:p>
    <w:p>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不采取不正当手段低毁、排挤其他供应商。</w:t>
      </w:r>
    </w:p>
    <w:p>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不在提供商品和服务时“偷梁换柱、以次充好”损害采购人的合法权益。</w:t>
      </w:r>
    </w:p>
    <w:p>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不与采购人、采购代理机构、政府采购评审专家或其它供应商恶意串通，进行质疑和投诉，维护政府采购市场秩序。</w:t>
      </w:r>
    </w:p>
    <w:p>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尊重和接受政府采购监督管理部门的监督和采购代理机构的招标要求，承担因违约行为给采购人造成的损失。</w:t>
      </w:r>
    </w:p>
    <w:p>
      <w:pPr>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9、不发生其他有悖于政府采购公开、公平、公正和诚信原则的行为。</w:t>
      </w:r>
    </w:p>
    <w:p>
      <w:pPr>
        <w:pStyle w:val="117"/>
        <w:spacing w:line="520" w:lineRule="exact"/>
        <w:ind w:left="200" w:firstLine="0" w:firstLineChars="0"/>
        <w:rPr>
          <w:rFonts w:hint="eastAsia" w:ascii="宋体" w:hAnsi="宋体" w:eastAsia="宋体" w:cs="宋体"/>
          <w:color w:val="auto"/>
          <w:sz w:val="24"/>
          <w:szCs w:val="24"/>
        </w:rPr>
      </w:pPr>
    </w:p>
    <w:p>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承诺单位：                  （公      章）</w:t>
      </w:r>
    </w:p>
    <w:p>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法定代表人或授权代表：      （签字或盖章）</w:t>
      </w:r>
    </w:p>
    <w:p>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    址：                               </w:t>
      </w:r>
    </w:p>
    <w:p>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邮    编：                               </w:t>
      </w:r>
    </w:p>
    <w:p>
      <w:pPr>
        <w:widowControl/>
        <w:tabs>
          <w:tab w:val="left" w:pos="2394"/>
        </w:tabs>
        <w:spacing w:line="520" w:lineRule="exact"/>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电    话</w:t>
      </w:r>
      <w:r>
        <w:rPr>
          <w:rFonts w:hint="eastAsia" w:ascii="宋体" w:hAnsi="宋体" w:eastAsia="宋体" w:cs="宋体"/>
          <w:color w:val="auto"/>
          <w:kern w:val="0"/>
          <w:sz w:val="24"/>
          <w:szCs w:val="24"/>
          <w:lang w:eastAsia="zh-CN"/>
        </w:rPr>
        <w:t>：</w:t>
      </w:r>
    </w:p>
    <w:p>
      <w:pPr>
        <w:widowControl/>
        <w:tabs>
          <w:tab w:val="left" w:pos="2394"/>
        </w:tabs>
        <w:spacing w:line="52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日    期：</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60" w:lineRule="exact"/>
        <w:jc w:val="both"/>
        <w:textAlignment w:val="auto"/>
        <w:rPr>
          <w:rFonts w:hint="eastAsia" w:ascii="宋体" w:hAnsi="宋体" w:eastAsia="宋体" w:cs="宋体"/>
          <w:b/>
          <w:bCs/>
          <w:color w:val="auto"/>
          <w:sz w:val="24"/>
          <w:szCs w:val="24"/>
          <w:lang w:val="en-US" w:eastAsia="zh-CN"/>
        </w:rPr>
      </w:pPr>
    </w:p>
    <w:p>
      <w:pPr>
        <w:pStyle w:val="13"/>
        <w:rPr>
          <w:rFonts w:hint="eastAsia" w:ascii="宋体" w:hAnsi="宋体" w:eastAsia="宋体" w:cs="宋体"/>
          <w:color w:val="auto"/>
          <w:lang w:val="en-US" w:eastAsia="zh-CN"/>
        </w:rPr>
      </w:pPr>
    </w:p>
    <w:p>
      <w:pPr>
        <w:pStyle w:val="4"/>
        <w:keepNext/>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en-US" w:eastAsia="zh-CN" w:bidi="ar-SA"/>
        </w:rPr>
        <w:t>6.2</w:t>
      </w:r>
      <w:r>
        <w:rPr>
          <w:rFonts w:hint="eastAsia" w:ascii="宋体" w:hAnsi="宋体" w:eastAsia="宋体" w:cs="宋体"/>
          <w:b/>
          <w:bCs/>
          <w:color w:val="auto"/>
          <w:kern w:val="2"/>
          <w:sz w:val="24"/>
          <w:szCs w:val="24"/>
          <w:lang w:val="zh-CN" w:eastAsia="zh-CN" w:bidi="ar-SA"/>
        </w:rPr>
        <w:t>供应商书面声明</w:t>
      </w:r>
    </w:p>
    <w:p>
      <w:pPr>
        <w:autoSpaceDE w:val="0"/>
        <w:autoSpaceDN w:val="0"/>
        <w:adjustRightInd w:val="0"/>
        <w:spacing w:line="360" w:lineRule="auto"/>
        <w:jc w:val="center"/>
        <w:rPr>
          <w:rFonts w:hint="eastAsia" w:ascii="宋体" w:hAnsi="宋体" w:eastAsia="宋体" w:cs="宋体"/>
          <w:b/>
          <w:bCs/>
          <w:color w:val="auto"/>
          <w:sz w:val="28"/>
          <w:szCs w:val="28"/>
          <w:lang w:val="zh-CN"/>
        </w:rPr>
      </w:pPr>
    </w:p>
    <w:p>
      <w:pPr>
        <w:pStyle w:val="16"/>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泾阳县政府采购中心</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作为参加贵单位组织的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的供应商，本公司郑重承诺：</w:t>
      </w:r>
    </w:p>
    <w:p>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1、在参加本项目</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之前不存在被依法禁止经营行为、财产被接管或冻结的情况，如有隐瞒实情，愿承担一切责任及后果。</w:t>
      </w:r>
    </w:p>
    <w:p>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2、近三年受到有关行政主管部门的行政处理、不良行为记录为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次（没有填零），如有隐瞒实情，愿承担一切责任及后果。</w:t>
      </w:r>
    </w:p>
    <w:p>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3、参加本次</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提交的所有资质证明文件及业绩证明文件是真实的、有效的，如有隐瞒实情，愿承担一切责任及后果。</w:t>
      </w:r>
    </w:p>
    <w:p>
      <w:pPr>
        <w:keepNext w:val="0"/>
        <w:keepLines w:val="0"/>
        <w:pageBreakBefore w:val="0"/>
        <w:widowControl w:val="0"/>
        <w:kinsoku/>
        <w:wordWrap/>
        <w:overflowPunct/>
        <w:topLinePunct w:val="0"/>
        <w:autoSpaceDE w:val="0"/>
        <w:autoSpaceDN w:val="0"/>
        <w:bidi w:val="0"/>
        <w:adjustRightInd w:val="0"/>
        <w:spacing w:line="560" w:lineRule="exact"/>
        <w:ind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bidi w:val="0"/>
        <w:adjustRightInd w:val="0"/>
        <w:snapToGrid w:val="0"/>
        <w:spacing w:line="56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供应商（单位公章）：                             </w:t>
      </w:r>
    </w:p>
    <w:p>
      <w:pPr>
        <w:keepNext w:val="0"/>
        <w:keepLines w:val="0"/>
        <w:pageBreakBefore w:val="0"/>
        <w:widowControl w:val="0"/>
        <w:kinsoku/>
        <w:wordWrap/>
        <w:overflowPunct/>
        <w:topLinePunct w:val="0"/>
        <w:bidi w:val="0"/>
        <w:adjustRightInd w:val="0"/>
        <w:snapToGrid w:val="0"/>
        <w:spacing w:line="56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委托代理人（签字或盖章）：</w:t>
      </w:r>
    </w:p>
    <w:p>
      <w:pPr>
        <w:keepNext w:val="0"/>
        <w:keepLines w:val="0"/>
        <w:pageBreakBefore w:val="0"/>
        <w:widowControl w:val="0"/>
        <w:kinsoku/>
        <w:wordWrap/>
        <w:overflowPunct/>
        <w:topLinePunct w:val="0"/>
        <w:bidi w:val="0"/>
        <w:adjustRightInd w:val="0"/>
        <w:snapToGrid w:val="0"/>
        <w:spacing w:line="560" w:lineRule="exact"/>
        <w:ind w:firstLine="240" w:firstLineChars="1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lang w:val="en-US" w:eastAsia="zh-CN"/>
        </w:rPr>
        <w:t>日</w:t>
      </w:r>
    </w:p>
    <w:p>
      <w:pPr>
        <w:pStyle w:val="16"/>
        <w:rPr>
          <w:rFonts w:hint="eastAsia" w:ascii="宋体" w:hAnsi="宋体" w:eastAsia="宋体" w:cs="宋体"/>
          <w:color w:val="auto"/>
          <w:sz w:val="24"/>
          <w:szCs w:val="24"/>
          <w:u w:val="single"/>
        </w:rPr>
      </w:pPr>
    </w:p>
    <w:p>
      <w:pPr>
        <w:rPr>
          <w:rFonts w:hint="eastAsia" w:ascii="宋体" w:hAnsi="宋体" w:eastAsia="宋体" w:cs="宋体"/>
          <w:color w:val="auto"/>
          <w:highlight w:val="yellow"/>
          <w:u w:val="none"/>
          <w:lang w:val="en-US" w:eastAsia="zh-CN"/>
        </w:rPr>
        <w:sectPr>
          <w:headerReference r:id="rId19"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pPr>
        <w:pStyle w:val="4"/>
        <w:keepNext/>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auto"/>
          <w:szCs w:val="28"/>
          <w:lang w:val="zh-CN"/>
        </w:rPr>
      </w:pPr>
      <w:r>
        <w:rPr>
          <w:rFonts w:hint="eastAsia" w:ascii="宋体" w:hAnsi="宋体" w:eastAsia="宋体" w:cs="宋体"/>
          <w:b/>
          <w:bCs/>
          <w:color w:val="auto"/>
          <w:szCs w:val="28"/>
          <w:lang w:val="en-US" w:eastAsia="zh-CN"/>
        </w:rPr>
        <w:t xml:space="preserve">第七部分 </w:t>
      </w:r>
      <w:r>
        <w:rPr>
          <w:rFonts w:hint="eastAsia" w:ascii="宋体" w:hAnsi="宋体" w:eastAsia="宋体" w:cs="宋体"/>
          <w:b/>
          <w:bCs/>
          <w:color w:val="auto"/>
          <w:szCs w:val="28"/>
          <w:lang w:val="zh-CN"/>
        </w:rPr>
        <w:t>供应商资质证明文件</w:t>
      </w:r>
    </w:p>
    <w:p>
      <w:pPr>
        <w:pStyle w:val="87"/>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1、谈判供应商基本情况表；（详见附件3）</w:t>
      </w:r>
    </w:p>
    <w:p>
      <w:pPr>
        <w:pStyle w:val="87"/>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、基本资格条件：符合《中华人民共和国政府采购法》第二十二条的规定：</w:t>
      </w:r>
    </w:p>
    <w:p>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具有独立承担民事责任能力的法人、其他组织或自然人，并出具合法有效的营业执照或事业单位法人证书等国家规定的相关证明，自然人参与的提供其身份证明；</w:t>
      </w:r>
    </w:p>
    <w:p>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lang w:val="zh-CN"/>
        </w:rPr>
        <w:t>财务状况报告：提供具有财务审计资质单位出具的</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zh-CN"/>
        </w:rPr>
        <w:t>年度财务报告（</w:t>
      </w:r>
      <w:r>
        <w:rPr>
          <w:rFonts w:hint="eastAsia" w:ascii="宋体" w:hAnsi="宋体" w:eastAsia="宋体" w:cs="宋体"/>
          <w:color w:val="auto"/>
          <w:sz w:val="24"/>
          <w:szCs w:val="24"/>
          <w:highlight w:val="none"/>
          <w:lang w:val="zh-CN"/>
        </w:rPr>
        <w:t>包括审计报告、资产负债表、利润表、现金流量表</w:t>
      </w:r>
      <w:r>
        <w:rPr>
          <w:rFonts w:hint="eastAsia" w:ascii="宋体" w:hAnsi="宋体" w:eastAsia="宋体" w:cs="宋体"/>
          <w:color w:val="auto"/>
          <w:sz w:val="24"/>
          <w:szCs w:val="24"/>
          <w:highlight w:val="none"/>
          <w:lang w:val="en-US" w:eastAsia="zh-CN"/>
        </w:rPr>
        <w:t>及会计报表</w:t>
      </w:r>
      <w:r>
        <w:rPr>
          <w:rFonts w:hint="eastAsia" w:ascii="宋体" w:hAnsi="宋体" w:eastAsia="宋体" w:cs="宋体"/>
          <w:color w:val="auto"/>
          <w:sz w:val="24"/>
          <w:szCs w:val="24"/>
          <w:highlight w:val="none"/>
          <w:lang w:val="zh-CN"/>
        </w:rPr>
        <w:t>附注，</w:t>
      </w:r>
      <w:r>
        <w:rPr>
          <w:rFonts w:hint="eastAsia" w:ascii="宋体" w:hAnsi="宋体" w:eastAsia="宋体" w:cs="宋体"/>
          <w:color w:val="auto"/>
          <w:sz w:val="24"/>
          <w:szCs w:val="24"/>
          <w:lang w:val="zh-CN"/>
        </w:rPr>
        <w:t>成立时间至开标时间不足一年的可提供成立后任意时段的资产负债表）或开标前六个月内其基本账户银行出具的资信证明（附开户许可证）或政府采购信用担保机构出具的投标担保函；</w:t>
      </w:r>
    </w:p>
    <w:p>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税收缴纳证明：提供开标前六个月内</w:t>
      </w:r>
      <w:r>
        <w:rPr>
          <w:rFonts w:hint="eastAsia" w:ascii="宋体" w:hAnsi="宋体" w:eastAsia="宋体" w:cs="宋体"/>
          <w:color w:val="auto"/>
          <w:sz w:val="24"/>
          <w:szCs w:val="24"/>
        </w:rPr>
        <w:t>任意</w:t>
      </w:r>
      <w:r>
        <w:rPr>
          <w:rFonts w:hint="eastAsia" w:ascii="宋体" w:hAnsi="宋体" w:eastAsia="宋体" w:cs="宋体"/>
          <w:color w:val="auto"/>
          <w:sz w:val="24"/>
          <w:szCs w:val="24"/>
          <w:lang w:val="zh-CN"/>
        </w:rPr>
        <w:t>一个月已缴纳完税凭证或税务机关开具的完税证明（任意税种）；依法免税的应提供相关文件证明；</w:t>
      </w:r>
      <w:r>
        <w:rPr>
          <w:rFonts w:hint="eastAsia" w:ascii="宋体" w:hAnsi="宋体" w:eastAsia="宋体" w:cs="宋体"/>
          <w:color w:val="auto"/>
          <w:sz w:val="24"/>
          <w:szCs w:val="24"/>
          <w:lang w:val="en-US" w:eastAsia="zh-CN"/>
        </w:rPr>
        <w:t xml:space="preserve"> </w:t>
      </w:r>
    </w:p>
    <w:p>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社会保障资金缴纳证明：提供开标前六个月内任意一个月已缴纳的社会保障资金缴存单据或社保机构开具的社会保险参保缴费情况证明（依法不需要缴纳社会保障资金的投标人应提供相关证明）；</w:t>
      </w:r>
    </w:p>
    <w:p>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具备履行合同所必需的设备和专业技术能力的证明材料(由供应商根据项目需求提供说明材料或者承诺)；（格式自拟）</w:t>
      </w:r>
    </w:p>
    <w:p>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提供参加政府采购活动前三年内在经营活动中没有重大违法记录的书面声明；（格式自拟）</w:t>
      </w:r>
    </w:p>
    <w:p>
      <w:pPr>
        <w:pStyle w:val="87"/>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lang w:val="en-US" w:eastAsia="zh-CN"/>
        </w:rPr>
        <w:t>3、特定资格条件：</w:t>
      </w:r>
    </w:p>
    <w:p>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应授权合法的人员参加谈判全过程，其中法定代表人直接参加谈判的，须出具法定代表人身份证明及法人身份证原件及复印件，法定代表人授权代表参加谈判的，须出具法定代表人授权书及授权代表身份证原件及复印件；</w:t>
      </w:r>
      <w:r>
        <w:rPr>
          <w:rFonts w:hint="eastAsia" w:ascii="宋体" w:hAnsi="宋体" w:eastAsia="宋体" w:cs="宋体"/>
          <w:b/>
          <w:bCs/>
          <w:color w:val="auto"/>
          <w:sz w:val="24"/>
          <w:szCs w:val="24"/>
          <w:lang w:val="en-US" w:eastAsia="zh-CN"/>
        </w:rPr>
        <w:t>（详见附件4）</w:t>
      </w:r>
    </w:p>
    <w:p>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（2）供应商不得为列入信用中国(www.creditchina.gov.cn)记录失信被执行人或重大税收违法案件当事人名单或中国政府采购网(www.ccgp.gov.cn)的政府采购严重违法失信行为记录名单；</w:t>
      </w:r>
    </w:p>
    <w:p>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（3）与招标人存在利害关系可能影响招标公正性的单位，不得参加投标、单位负责人为同一人或存在控股、管理关系的不同单位，不得参加同一标段投标，否则，相关投标均无效</w:t>
      </w:r>
      <w:r>
        <w:rPr>
          <w:rFonts w:hint="eastAsia" w:ascii="宋体" w:hAnsi="宋体" w:eastAsia="宋体" w:cs="宋体"/>
          <w:color w:val="auto"/>
          <w:sz w:val="24"/>
          <w:szCs w:val="24"/>
          <w:highlight w:val="none"/>
          <w:lang w:val="en-US" w:eastAsia="zh-CN"/>
        </w:rPr>
        <w:t>；</w:t>
      </w:r>
      <w:r>
        <w:rPr>
          <w:rFonts w:hint="eastAsia" w:ascii="宋体" w:hAnsi="宋体" w:eastAsia="宋体" w:cs="宋体"/>
          <w:b/>
          <w:bCs/>
          <w:color w:val="auto"/>
          <w:sz w:val="24"/>
          <w:szCs w:val="24"/>
          <w:lang w:val="en-US" w:eastAsia="zh-CN"/>
        </w:rPr>
        <w:t>（详见附件5）</w:t>
      </w:r>
    </w:p>
    <w:p>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（3）本项目不允许联合体谈判</w:t>
      </w:r>
      <w:r>
        <w:rPr>
          <w:rFonts w:hint="eastAsia" w:ascii="宋体" w:hAnsi="宋体" w:eastAsia="宋体" w:cs="宋体"/>
          <w:color w:val="auto"/>
          <w:sz w:val="24"/>
          <w:szCs w:val="24"/>
          <w:highlight w:val="none"/>
          <w:lang w:val="en-US" w:eastAsia="zh-CN"/>
        </w:rPr>
        <w:t>。</w:t>
      </w:r>
      <w:r>
        <w:rPr>
          <w:rFonts w:hint="eastAsia" w:ascii="宋体" w:hAnsi="宋体" w:eastAsia="宋体" w:cs="宋体"/>
          <w:b/>
          <w:bCs/>
          <w:color w:val="auto"/>
          <w:sz w:val="24"/>
          <w:szCs w:val="24"/>
          <w:lang w:val="en-US" w:eastAsia="zh-CN"/>
        </w:rPr>
        <w:t>（详见附件6）</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注：供应商按以上序号顺序提供相关资格证明文件的复印件或扫描件，并逐页加盖单位公章。</w:t>
      </w:r>
    </w:p>
    <w:p>
      <w:pPr>
        <w:pStyle w:val="16"/>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pStyle w:val="2"/>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pStyle w:val="2"/>
        <w:rPr>
          <w:rFonts w:hint="eastAsia" w:ascii="宋体" w:hAnsi="宋体" w:eastAsia="宋体" w:cs="宋体"/>
          <w:color w:val="auto"/>
          <w:lang w:val="en-US" w:eastAsia="zh-CN"/>
        </w:rPr>
      </w:pPr>
    </w:p>
    <w:p>
      <w:pPr>
        <w:rPr>
          <w:rFonts w:hint="eastAsia" w:ascii="宋体" w:hAnsi="宋体" w:eastAsia="宋体" w:cs="宋体"/>
          <w:lang w:val="en-US" w:eastAsia="zh-CN"/>
        </w:rPr>
      </w:pPr>
    </w:p>
    <w:p>
      <w:pPr>
        <w:pStyle w:val="16"/>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pStyle w:val="16"/>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pStyle w:val="16"/>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pStyle w:val="16"/>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pStyle w:val="16"/>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pStyle w:val="16"/>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pStyle w:val="16"/>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pStyle w:val="4"/>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附件3：</w:t>
      </w:r>
    </w:p>
    <w:p>
      <w:pPr>
        <w:pStyle w:val="4"/>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谈判供应商基本情况表</w:t>
      </w:r>
    </w:p>
    <w:tbl>
      <w:tblPr>
        <w:tblStyle w:val="36"/>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697"/>
        <w:gridCol w:w="1117"/>
        <w:gridCol w:w="1333"/>
        <w:gridCol w:w="1250"/>
        <w:gridCol w:w="1484"/>
        <w:gridCol w:w="1023"/>
        <w:gridCol w:w="116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62" w:hRule="atLeast"/>
        </w:trPr>
        <w:tc>
          <w:tcPr>
            <w:tcW w:w="1697" w:type="dxa"/>
            <w:tcBorders>
              <w:top w:val="single" w:color="auto" w:sz="12" w:space="0"/>
              <w:left w:val="single" w:color="auto" w:sz="12"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供应商 名称</w:t>
            </w:r>
          </w:p>
        </w:tc>
        <w:tc>
          <w:tcPr>
            <w:tcW w:w="7370" w:type="dxa"/>
            <w:gridSpan w:val="6"/>
            <w:tcBorders>
              <w:top w:val="single" w:color="auto" w:sz="12" w:space="0"/>
              <w:left w:val="single" w:color="auto" w:sz="6" w:space="0"/>
              <w:bottom w:val="single" w:color="auto" w:sz="6" w:space="0"/>
              <w:right w:val="single" w:color="auto" w:sz="12"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3700" w:type="dxa"/>
            <w:gridSpan w:val="3"/>
            <w:tcBorders>
              <w:top w:val="single" w:color="auto" w:sz="6" w:space="0"/>
              <w:left w:val="single" w:color="auto" w:sz="6"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697" w:type="dxa"/>
            <w:vMerge w:val="restart"/>
            <w:tcBorders>
              <w:top w:val="single" w:color="auto" w:sz="6" w:space="0"/>
              <w:left w:val="single" w:color="auto" w:sz="12"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p>
        </w:tc>
        <w:tc>
          <w:tcPr>
            <w:tcW w:w="1117" w:type="dxa"/>
            <w:tcBorders>
              <w:top w:val="single" w:color="auto" w:sz="6" w:space="0"/>
              <w:left w:val="single" w:color="auto" w:sz="6"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69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117" w:type="dxa"/>
            <w:tcBorders>
              <w:top w:val="single" w:color="auto" w:sz="6" w:space="0"/>
              <w:left w:val="single" w:color="auto" w:sz="6"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网址</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680"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单位性质</w:t>
            </w:r>
          </w:p>
        </w:tc>
        <w:tc>
          <w:tcPr>
            <w:tcW w:w="7370" w:type="dxa"/>
            <w:gridSpan w:val="6"/>
            <w:tcBorders>
              <w:top w:val="single" w:color="auto" w:sz="6" w:space="0"/>
              <w:left w:val="single" w:color="auto" w:sz="6" w:space="0"/>
              <w:bottom w:val="single" w:color="auto" w:sz="6" w:space="0"/>
              <w:right w:val="single" w:color="auto" w:sz="12"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c>
          <w:tcPr>
            <w:tcW w:w="1117" w:type="dxa"/>
            <w:tcBorders>
              <w:top w:val="single" w:color="auto" w:sz="6" w:space="0"/>
              <w:left w:val="single" w:color="auto" w:sz="6"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333" w:type="dxa"/>
            <w:tcBorders>
              <w:top w:val="single" w:color="auto" w:sz="6" w:space="0"/>
              <w:left w:val="single" w:color="auto" w:sz="6"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tcBorders>
              <w:top w:val="single" w:color="auto" w:sz="6" w:space="0"/>
              <w:left w:val="single" w:color="auto" w:sz="6"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技术职称</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023" w:type="dxa"/>
            <w:tcBorders>
              <w:top w:val="single" w:color="auto" w:sz="6" w:space="0"/>
              <w:left w:val="single" w:color="auto" w:sz="6"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1163" w:type="dxa"/>
            <w:tcBorders>
              <w:top w:val="single" w:color="auto" w:sz="6" w:space="0"/>
              <w:left w:val="single" w:color="auto" w:sz="6" w:space="0"/>
              <w:bottom w:val="single" w:color="auto" w:sz="6" w:space="0"/>
              <w:right w:val="single" w:color="auto" w:sz="12"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b/>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技术负责人</w:t>
            </w:r>
          </w:p>
        </w:tc>
        <w:tc>
          <w:tcPr>
            <w:tcW w:w="1117" w:type="dxa"/>
            <w:tcBorders>
              <w:top w:val="single" w:color="auto" w:sz="6" w:space="0"/>
              <w:left w:val="single" w:color="auto" w:sz="6" w:space="0"/>
              <w:bottom w:val="single" w:color="auto" w:sz="4"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333" w:type="dxa"/>
            <w:tcBorders>
              <w:top w:val="single" w:color="auto" w:sz="6" w:space="0"/>
              <w:left w:val="single" w:color="auto" w:sz="6" w:space="0"/>
              <w:bottom w:val="single" w:color="auto" w:sz="4"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tcBorders>
              <w:top w:val="single" w:color="auto" w:sz="6" w:space="0"/>
              <w:left w:val="single" w:color="auto" w:sz="6" w:space="0"/>
              <w:bottom w:val="single" w:color="auto" w:sz="4"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技术职称</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023" w:type="dxa"/>
            <w:tcBorders>
              <w:top w:val="single" w:color="auto" w:sz="6" w:space="0"/>
              <w:left w:val="single" w:color="auto" w:sz="6"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1163" w:type="dxa"/>
            <w:tcBorders>
              <w:top w:val="single" w:color="auto" w:sz="6" w:space="0"/>
              <w:left w:val="single" w:color="auto" w:sz="6" w:space="0"/>
              <w:bottom w:val="single" w:color="auto" w:sz="6" w:space="0"/>
              <w:right w:val="single" w:color="auto" w:sz="12"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b/>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697" w:type="dxa"/>
            <w:tcBorders>
              <w:top w:val="single" w:color="auto" w:sz="6" w:space="0"/>
              <w:left w:val="single" w:color="auto" w:sz="12" w:space="0"/>
              <w:bottom w:val="single" w:color="auto" w:sz="6" w:space="0"/>
              <w:right w:val="single" w:color="auto" w:sz="4"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注册资金</w:t>
            </w:r>
          </w:p>
        </w:tc>
        <w:tc>
          <w:tcPr>
            <w:tcW w:w="2450" w:type="dxa"/>
            <w:gridSpan w:val="2"/>
            <w:tcBorders>
              <w:top w:val="single" w:color="auto" w:sz="4" w:space="0"/>
              <w:left w:val="single" w:color="auto" w:sz="4" w:space="0"/>
              <w:bottom w:val="single" w:color="auto" w:sz="4" w:space="0"/>
              <w:right w:val="single" w:color="auto" w:sz="4" w:space="0"/>
            </w:tcBorders>
            <w:noWrap w:val="0"/>
            <w:vAlign w:val="center"/>
          </w:tcPr>
          <w:p>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成立时间</w:t>
            </w:r>
          </w:p>
        </w:tc>
        <w:tc>
          <w:tcPr>
            <w:tcW w:w="3670" w:type="dxa"/>
            <w:gridSpan w:val="3"/>
            <w:tcBorders>
              <w:top w:val="single" w:color="auto" w:sz="6" w:space="0"/>
              <w:left w:val="single" w:color="auto" w:sz="4" w:space="0"/>
              <w:right w:val="single" w:color="auto" w:sz="12"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vMerge w:val="restart"/>
            <w:tcBorders>
              <w:top w:val="single" w:color="auto" w:sz="6" w:space="0"/>
              <w:left w:val="single" w:color="auto" w:sz="6" w:space="0"/>
              <w:right w:val="single" w:color="auto" w:sz="6" w:space="0"/>
            </w:tcBorders>
            <w:noWrap w:val="0"/>
            <w:vAlign w:val="center"/>
          </w:tcPr>
          <w:p>
            <w:pPr>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职工总数  XX人</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生产工人</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基本银行账号</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vMerge w:val="continue"/>
            <w:tcBorders>
              <w:left w:val="single" w:color="auto" w:sz="6" w:space="0"/>
              <w:bottom w:val="single" w:color="auto" w:sz="6" w:space="0"/>
              <w:right w:val="single" w:color="auto" w:sz="6" w:space="0"/>
            </w:tcBorders>
            <w:noWrap w:val="0"/>
            <w:vAlign w:val="center"/>
          </w:tcPr>
          <w:p>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技术人员</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22" w:hRule="atLeast"/>
        </w:trPr>
        <w:tc>
          <w:tcPr>
            <w:tcW w:w="1697" w:type="dxa"/>
            <w:tcBorders>
              <w:top w:val="single" w:color="auto" w:sz="6" w:space="0"/>
              <w:left w:val="single" w:color="auto" w:sz="12" w:space="0"/>
              <w:bottom w:val="single" w:color="auto" w:sz="6" w:space="0"/>
              <w:right w:val="single" w:color="auto" w:sz="4"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7370" w:type="dxa"/>
            <w:gridSpan w:val="6"/>
            <w:tcBorders>
              <w:top w:val="single" w:color="auto" w:sz="4" w:space="0"/>
              <w:left w:val="single" w:color="auto" w:sz="4" w:space="0"/>
              <w:bottom w:val="single" w:color="auto" w:sz="4" w:space="0"/>
              <w:right w:val="single" w:color="auto" w:sz="12" w:space="0"/>
            </w:tcBorders>
            <w:noWrap w:val="0"/>
            <w:vAlign w:val="center"/>
          </w:tcPr>
          <w:p>
            <w:pPr>
              <w:kinsoku/>
              <w:wordWrap/>
              <w:overflowPunct/>
              <w:topLinePunct w:val="0"/>
              <w:autoSpaceDE w:val="0"/>
              <w:autoSpaceDN w:val="0"/>
              <w:bidi w:val="0"/>
              <w:adjustRightInd w:val="0"/>
              <w:spacing w:line="360" w:lineRule="auto"/>
              <w:rPr>
                <w:rFonts w:hint="eastAsia" w:ascii="宋体" w:hAnsi="宋体" w:eastAsia="宋体" w:cs="宋体"/>
                <w:b/>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1394" w:hRule="atLeast"/>
        </w:trPr>
        <w:tc>
          <w:tcPr>
            <w:tcW w:w="1697" w:type="dxa"/>
            <w:tcBorders>
              <w:top w:val="single" w:color="auto" w:sz="6" w:space="0"/>
              <w:left w:val="single" w:color="auto" w:sz="12" w:space="0"/>
              <w:bottom w:val="single" w:color="auto" w:sz="12" w:space="0"/>
              <w:right w:val="single" w:color="auto" w:sz="6" w:space="0"/>
            </w:tcBorders>
            <w:noWrap w:val="0"/>
            <w:vAlign w:val="center"/>
          </w:tcPr>
          <w:p>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7370" w:type="dxa"/>
            <w:gridSpan w:val="6"/>
            <w:tcBorders>
              <w:top w:val="single" w:color="auto" w:sz="6" w:space="0"/>
              <w:left w:val="single" w:color="auto" w:sz="6" w:space="0"/>
              <w:bottom w:val="single" w:color="auto" w:sz="12" w:space="0"/>
              <w:right w:val="single" w:color="auto" w:sz="12" w:space="0"/>
            </w:tcBorders>
            <w:noWrap w:val="0"/>
            <w:vAlign w:val="top"/>
          </w:tcPr>
          <w:p>
            <w:pPr>
              <w:kinsoku/>
              <w:wordWrap/>
              <w:overflowPunct/>
              <w:topLinePunct w:val="0"/>
              <w:autoSpaceDE w:val="0"/>
              <w:autoSpaceDN w:val="0"/>
              <w:bidi w:val="0"/>
              <w:adjustRightInd w:val="0"/>
              <w:spacing w:line="360" w:lineRule="auto"/>
              <w:jc w:val="left"/>
              <w:rPr>
                <w:rFonts w:hint="eastAsia" w:ascii="宋体" w:hAnsi="宋体" w:eastAsia="宋体" w:cs="宋体"/>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spacing w:before="157" w:beforeLines="50"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rPr>
        <w:t>供应商名称：         （盖章）</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8"/>
          <w:szCs w:val="28"/>
          <w:lang w:val="zh-CN" w:eastAsia="zh-CN"/>
        </w:rPr>
      </w:pPr>
      <w:r>
        <w:rPr>
          <w:rFonts w:hint="eastAsia" w:ascii="宋体" w:hAnsi="宋体" w:eastAsia="宋体" w:cs="宋体"/>
          <w:color w:val="auto"/>
          <w:sz w:val="24"/>
        </w:rPr>
        <w:t>法定代表人或授权代表（签名或盖章）</w:t>
      </w:r>
      <w:r>
        <w:rPr>
          <w:rFonts w:hint="eastAsia" w:ascii="宋体" w:hAnsi="宋体" w:eastAsia="宋体" w:cs="宋体"/>
          <w:bCs/>
          <w:color w:val="auto"/>
          <w:sz w:val="24"/>
        </w:rPr>
        <w:t>：               日期</w:t>
      </w:r>
      <w:r>
        <w:rPr>
          <w:rFonts w:hint="eastAsia" w:ascii="宋体" w:hAnsi="宋体" w:eastAsia="宋体" w:cs="宋体"/>
          <w:bCs/>
          <w:color w:val="auto"/>
          <w:sz w:val="24"/>
          <w:lang w:eastAsia="zh-CN"/>
        </w:rPr>
        <w:t>：</w:t>
      </w:r>
    </w:p>
    <w:p>
      <w:pPr>
        <w:pStyle w:val="6"/>
        <w:rPr>
          <w:rFonts w:hint="eastAsia" w:ascii="宋体" w:hAnsi="宋体" w:eastAsia="宋体" w:cs="宋体"/>
          <w:color w:val="auto"/>
          <w:lang w:val="en-US" w:eastAsia="zh-CN"/>
        </w:rPr>
      </w:pPr>
    </w:p>
    <w:p>
      <w:pPr>
        <w:pStyle w:val="6"/>
        <w:rPr>
          <w:rFonts w:hint="eastAsia" w:ascii="宋体" w:hAnsi="宋体" w:eastAsia="宋体" w:cs="宋体"/>
          <w:b/>
          <w:bCs/>
          <w:color w:val="auto"/>
          <w:kern w:val="0"/>
          <w:sz w:val="28"/>
          <w:szCs w:val="28"/>
          <w:lang w:val="en-US" w:eastAsia="zh-CN"/>
        </w:rPr>
      </w:pPr>
    </w:p>
    <w:p>
      <w:pPr>
        <w:pStyle w:val="4"/>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附件4：</w:t>
      </w:r>
    </w:p>
    <w:p>
      <w:pPr>
        <w:pStyle w:val="4"/>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法定代表人直接参加谈判的，须出具法定代表人身份证明及法人身份证原件及复印件，法定代表人授权代表参加谈判的，须出具法定代表人授权书及授权代表身份证原件及复印件；</w:t>
      </w:r>
    </w:p>
    <w:p>
      <w:pPr>
        <w:autoSpaceDE w:val="0"/>
        <w:autoSpaceDN w:val="0"/>
        <w:adjustRightInd w:val="0"/>
        <w:spacing w:line="288" w:lineRule="auto"/>
        <w:jc w:val="center"/>
        <w:rPr>
          <w:rFonts w:hint="eastAsia" w:ascii="宋体" w:hAnsi="宋体" w:eastAsia="宋体" w:cs="宋体"/>
          <w:color w:val="auto"/>
          <w:lang w:val="zh-CN"/>
        </w:rPr>
      </w:pPr>
      <w:r>
        <w:rPr>
          <w:rFonts w:hint="eastAsia" w:ascii="宋体" w:hAnsi="宋体" w:eastAsia="宋体" w:cs="宋体"/>
          <w:b/>
          <w:color w:val="auto"/>
          <w:sz w:val="28"/>
          <w:szCs w:val="28"/>
          <w:lang w:val="en-US" w:eastAsia="zh-CN"/>
        </w:rPr>
        <w:t xml:space="preserve">4.1 </w:t>
      </w:r>
      <w:r>
        <w:rPr>
          <w:rFonts w:hint="eastAsia" w:ascii="宋体" w:hAnsi="宋体" w:eastAsia="宋体" w:cs="宋体"/>
          <w:b/>
          <w:color w:val="auto"/>
          <w:sz w:val="28"/>
          <w:szCs w:val="28"/>
        </w:rPr>
        <w:t>法定代表人身份证明</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945"/>
        <w:gridCol w:w="1965"/>
        <w:gridCol w:w="1336"/>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736" w:type="dxa"/>
            <w:gridSpan w:val="5"/>
            <w:noWrap w:val="0"/>
            <w:vAlign w:val="top"/>
          </w:tcPr>
          <w:p>
            <w:pPr>
              <w:autoSpaceDE w:val="0"/>
              <w:autoSpaceDN w:val="0"/>
              <w:adjustRightInd w:val="0"/>
              <w:spacing w:line="400" w:lineRule="exact"/>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致：泾阳县政府采购中心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restart"/>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p>
          <w:p>
            <w:pPr>
              <w:autoSpaceDE w:val="0"/>
              <w:autoSpaceDN w:val="0"/>
              <w:adjustRightInd w:val="0"/>
              <w:spacing w:line="400" w:lineRule="exact"/>
              <w:jc w:val="center"/>
              <w:rPr>
                <w:rFonts w:hint="eastAsia" w:ascii="宋体" w:hAnsi="宋体" w:eastAsia="宋体" w:cs="宋体"/>
                <w:color w:val="auto"/>
                <w:kern w:val="0"/>
                <w:sz w:val="24"/>
                <w:szCs w:val="24"/>
              </w:rPr>
            </w:pPr>
          </w:p>
          <w:p>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w:t>
            </w:r>
          </w:p>
          <w:p>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业</w:t>
            </w:r>
          </w:p>
          <w:p>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w:t>
            </w:r>
          </w:p>
          <w:p>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w:t>
            </w:r>
          </w:p>
        </w:tc>
        <w:tc>
          <w:tcPr>
            <w:tcW w:w="1945" w:type="dxa"/>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企 业 名 称 </w:t>
            </w:r>
          </w:p>
        </w:tc>
        <w:tc>
          <w:tcPr>
            <w:tcW w:w="5676" w:type="dxa"/>
            <w:gridSpan w:val="3"/>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continue"/>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p>
        </w:tc>
        <w:tc>
          <w:tcPr>
            <w:tcW w:w="1945" w:type="dxa"/>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 定 地 址</w:t>
            </w:r>
          </w:p>
        </w:tc>
        <w:tc>
          <w:tcPr>
            <w:tcW w:w="5676" w:type="dxa"/>
            <w:gridSpan w:val="3"/>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continue"/>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p>
        </w:tc>
        <w:tc>
          <w:tcPr>
            <w:tcW w:w="1945" w:type="dxa"/>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邮 政 编 码</w:t>
            </w:r>
          </w:p>
        </w:tc>
        <w:tc>
          <w:tcPr>
            <w:tcW w:w="5676" w:type="dxa"/>
            <w:gridSpan w:val="3"/>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continue"/>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p>
        </w:tc>
        <w:tc>
          <w:tcPr>
            <w:tcW w:w="1945" w:type="dxa"/>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网       址</w:t>
            </w:r>
          </w:p>
        </w:tc>
        <w:tc>
          <w:tcPr>
            <w:tcW w:w="5676" w:type="dxa"/>
            <w:gridSpan w:val="3"/>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continue"/>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p>
        </w:tc>
        <w:tc>
          <w:tcPr>
            <w:tcW w:w="1945" w:type="dxa"/>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工商登记机关</w:t>
            </w:r>
          </w:p>
        </w:tc>
        <w:tc>
          <w:tcPr>
            <w:tcW w:w="5676" w:type="dxa"/>
            <w:gridSpan w:val="3"/>
            <w:noWrap w:val="0"/>
            <w:vAlign w:val="center"/>
          </w:tcPr>
          <w:p>
            <w:pPr>
              <w:autoSpaceDE w:val="0"/>
              <w:autoSpaceDN w:val="0"/>
              <w:adjustRightInd w:val="0"/>
              <w:spacing w:line="400" w:lineRule="exact"/>
              <w:ind w:firstLine="2400" w:firstLineChars="100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continue"/>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p>
        </w:tc>
        <w:tc>
          <w:tcPr>
            <w:tcW w:w="1945" w:type="dxa"/>
            <w:vMerge w:val="restart"/>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税务登记机关</w:t>
            </w:r>
          </w:p>
        </w:tc>
        <w:tc>
          <w:tcPr>
            <w:tcW w:w="5676" w:type="dxa"/>
            <w:gridSpan w:val="3"/>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（国税）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continue"/>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p>
        </w:tc>
        <w:tc>
          <w:tcPr>
            <w:tcW w:w="1945" w:type="dxa"/>
            <w:vMerge w:val="continue"/>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p>
        </w:tc>
        <w:tc>
          <w:tcPr>
            <w:tcW w:w="5676" w:type="dxa"/>
            <w:gridSpan w:val="3"/>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15" w:type="dxa"/>
            <w:vMerge w:val="restart"/>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w:t>
            </w:r>
          </w:p>
          <w:p>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定</w:t>
            </w:r>
          </w:p>
          <w:p>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代</w:t>
            </w:r>
          </w:p>
          <w:p>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表</w:t>
            </w:r>
          </w:p>
          <w:p>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w:t>
            </w:r>
          </w:p>
        </w:tc>
        <w:tc>
          <w:tcPr>
            <w:tcW w:w="1945" w:type="dxa"/>
            <w:noWrap w:val="0"/>
            <w:vAlign w:val="center"/>
          </w:tcPr>
          <w:p>
            <w:pPr>
              <w:autoSpaceDE w:val="0"/>
              <w:autoSpaceDN w:val="0"/>
              <w:adjustRightInd w:val="0"/>
              <w:spacing w:line="400" w:lineRule="exact"/>
              <w:ind w:firstLine="240" w:firstLineChars="10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    名</w:t>
            </w:r>
          </w:p>
        </w:tc>
        <w:tc>
          <w:tcPr>
            <w:tcW w:w="1965" w:type="dxa"/>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p>
        </w:tc>
        <w:tc>
          <w:tcPr>
            <w:tcW w:w="1336" w:type="dxa"/>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性    别</w:t>
            </w:r>
          </w:p>
        </w:tc>
        <w:tc>
          <w:tcPr>
            <w:tcW w:w="2375" w:type="dxa"/>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15" w:type="dxa"/>
            <w:vMerge w:val="continue"/>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p>
        </w:tc>
        <w:tc>
          <w:tcPr>
            <w:tcW w:w="1945" w:type="dxa"/>
            <w:noWrap w:val="0"/>
            <w:vAlign w:val="center"/>
          </w:tcPr>
          <w:p>
            <w:pPr>
              <w:autoSpaceDE w:val="0"/>
              <w:autoSpaceDN w:val="0"/>
              <w:adjustRightInd w:val="0"/>
              <w:spacing w:line="400" w:lineRule="exact"/>
              <w:ind w:firstLine="240" w:firstLineChars="10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职    务</w:t>
            </w:r>
          </w:p>
        </w:tc>
        <w:tc>
          <w:tcPr>
            <w:tcW w:w="1965" w:type="dxa"/>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p>
        </w:tc>
        <w:tc>
          <w:tcPr>
            <w:tcW w:w="1336" w:type="dxa"/>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联系电话</w:t>
            </w:r>
          </w:p>
        </w:tc>
        <w:tc>
          <w:tcPr>
            <w:tcW w:w="2375" w:type="dxa"/>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115" w:type="dxa"/>
            <w:vMerge w:val="continue"/>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p>
        </w:tc>
        <w:tc>
          <w:tcPr>
            <w:tcW w:w="1945" w:type="dxa"/>
            <w:noWrap w:val="0"/>
            <w:vAlign w:val="center"/>
          </w:tcPr>
          <w:p>
            <w:pPr>
              <w:autoSpaceDE w:val="0"/>
              <w:autoSpaceDN w:val="0"/>
              <w:adjustRightInd w:val="0"/>
              <w:spacing w:line="400" w:lineRule="exact"/>
              <w:ind w:firstLine="240" w:firstLineChars="10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传    真</w:t>
            </w:r>
          </w:p>
        </w:tc>
        <w:tc>
          <w:tcPr>
            <w:tcW w:w="5676" w:type="dxa"/>
            <w:gridSpan w:val="3"/>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1115" w:type="dxa"/>
            <w:vMerge w:val="restart"/>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法定代表人身份证复印件（正反面）</w:t>
            </w:r>
          </w:p>
        </w:tc>
        <w:tc>
          <w:tcPr>
            <w:tcW w:w="3910" w:type="dxa"/>
            <w:gridSpan w:val="2"/>
            <w:vMerge w:val="restart"/>
            <w:noWrap w:val="0"/>
            <w:vAlign w:val="center"/>
          </w:tcPr>
          <w:p>
            <w:pPr>
              <w:autoSpaceDE w:val="0"/>
              <w:autoSpaceDN w:val="0"/>
              <w:adjustRightInd w:val="0"/>
              <w:spacing w:line="400" w:lineRule="exact"/>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二代身份证正、反两面都需复印</w:t>
            </w:r>
          </w:p>
        </w:tc>
        <w:tc>
          <w:tcPr>
            <w:tcW w:w="3711" w:type="dxa"/>
            <w:gridSpan w:val="2"/>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p>
          <w:p>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（法定代表人签字</w:t>
            </w:r>
            <w:r>
              <w:rPr>
                <w:rFonts w:hint="eastAsia" w:ascii="宋体" w:hAnsi="宋体" w:eastAsia="宋体" w:cs="宋体"/>
                <w:color w:val="auto"/>
                <w:kern w:val="0"/>
                <w:sz w:val="24"/>
                <w:szCs w:val="24"/>
                <w:lang w:val="en-US" w:eastAsia="zh-CN"/>
              </w:rPr>
              <w:t>或盖章</w:t>
            </w:r>
            <w:r>
              <w:rPr>
                <w:rFonts w:hint="eastAsia" w:ascii="宋体" w:hAnsi="宋体" w:eastAsia="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1115" w:type="dxa"/>
            <w:vMerge w:val="continue"/>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p>
        </w:tc>
        <w:tc>
          <w:tcPr>
            <w:tcW w:w="3910" w:type="dxa"/>
            <w:gridSpan w:val="2"/>
            <w:vMerge w:val="continue"/>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p>
        </w:tc>
        <w:tc>
          <w:tcPr>
            <w:tcW w:w="3711" w:type="dxa"/>
            <w:gridSpan w:val="2"/>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rPr>
            </w:pPr>
          </w:p>
          <w:p>
            <w:pPr>
              <w:autoSpaceDE w:val="0"/>
              <w:autoSpaceDN w:val="0"/>
              <w:adjustRightInd w:val="0"/>
              <w:spacing w:line="400" w:lineRule="exact"/>
              <w:jc w:val="center"/>
              <w:rPr>
                <w:rFonts w:hint="eastAsia" w:ascii="宋体" w:hAnsi="宋体" w:eastAsia="宋体" w:cs="宋体"/>
                <w:color w:val="auto"/>
                <w:kern w:val="0"/>
                <w:sz w:val="24"/>
                <w:szCs w:val="24"/>
              </w:rPr>
            </w:pPr>
          </w:p>
          <w:p>
            <w:pPr>
              <w:autoSpaceDE w:val="0"/>
              <w:autoSpaceDN w:val="0"/>
              <w:adjustRightInd w:val="0"/>
              <w:spacing w:line="400" w:lineRule="exact"/>
              <w:jc w:val="center"/>
              <w:rPr>
                <w:rFonts w:hint="eastAsia" w:ascii="宋体" w:hAnsi="宋体" w:eastAsia="宋体" w:cs="宋体"/>
                <w:color w:val="auto"/>
                <w:kern w:val="0"/>
                <w:sz w:val="24"/>
                <w:szCs w:val="24"/>
              </w:rPr>
            </w:pPr>
          </w:p>
          <w:p>
            <w:pPr>
              <w:autoSpaceDE w:val="0"/>
              <w:autoSpaceDN w:val="0"/>
              <w:adjustRightInd w:val="0"/>
              <w:spacing w:line="400" w:lineRule="exact"/>
              <w:ind w:firstLine="120" w:firstLineChars="5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（企业公章）</w:t>
            </w:r>
          </w:p>
          <w:p>
            <w:pPr>
              <w:autoSpaceDE w:val="0"/>
              <w:autoSpaceDN w:val="0"/>
              <w:adjustRightIn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pPr>
              <w:autoSpaceDE w:val="0"/>
              <w:autoSpaceDN w:val="0"/>
              <w:adjustRightInd w:val="0"/>
              <w:spacing w:line="400" w:lineRule="exact"/>
              <w:ind w:firstLine="1440" w:firstLineChars="60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  月  日</w:t>
            </w:r>
          </w:p>
        </w:tc>
      </w:tr>
    </w:tbl>
    <w:p>
      <w:pPr>
        <w:autoSpaceDE w:val="0"/>
        <w:autoSpaceDN w:val="0"/>
        <w:adjustRightInd w:val="0"/>
        <w:spacing w:line="288" w:lineRule="auto"/>
        <w:jc w:val="center"/>
        <w:rPr>
          <w:rFonts w:hint="eastAsia" w:ascii="宋体" w:hAnsi="宋体" w:eastAsia="宋体" w:cs="宋体"/>
          <w:b/>
          <w:bCs/>
          <w:color w:val="auto"/>
          <w:sz w:val="28"/>
          <w:szCs w:val="28"/>
          <w:lang w:val="en-US" w:eastAsia="zh-CN"/>
        </w:rPr>
      </w:pPr>
    </w:p>
    <w:p>
      <w:pPr>
        <w:autoSpaceDE w:val="0"/>
        <w:autoSpaceDN w:val="0"/>
        <w:adjustRightInd w:val="0"/>
        <w:spacing w:line="288" w:lineRule="auto"/>
        <w:jc w:val="center"/>
        <w:rPr>
          <w:rFonts w:hint="eastAsia" w:ascii="宋体" w:hAnsi="宋体" w:eastAsia="宋体" w:cs="宋体"/>
          <w:b/>
          <w:bCs/>
          <w:color w:val="auto"/>
          <w:sz w:val="28"/>
          <w:szCs w:val="28"/>
          <w:lang w:val="en-US" w:eastAsia="zh-CN"/>
        </w:rPr>
      </w:pPr>
    </w:p>
    <w:p>
      <w:pPr>
        <w:autoSpaceDE w:val="0"/>
        <w:autoSpaceDN w:val="0"/>
        <w:adjustRightInd w:val="0"/>
        <w:spacing w:line="288" w:lineRule="auto"/>
        <w:jc w:val="center"/>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4.</w:t>
      </w:r>
      <w:r>
        <w:rPr>
          <w:rFonts w:hint="eastAsia" w:ascii="宋体" w:hAnsi="宋体" w:eastAsia="宋体" w:cs="宋体"/>
          <w:b/>
          <w:color w:val="auto"/>
          <w:sz w:val="28"/>
          <w:szCs w:val="28"/>
          <w:lang w:val="zh-CN" w:eastAsia="zh-CN"/>
        </w:rPr>
        <w:t>2</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val="zh-CN" w:eastAsia="zh-CN"/>
        </w:rPr>
        <w:t>法定代表人授权委托书</w:t>
      </w:r>
    </w:p>
    <w:p>
      <w:pPr>
        <w:autoSpaceDE w:val="0"/>
        <w:autoSpaceDN w:val="0"/>
        <w:adjustRightInd w:val="0"/>
        <w:spacing w:line="500" w:lineRule="exact"/>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泾阳县政府采购中心</w:t>
      </w:r>
      <w:r>
        <w:rPr>
          <w:rFonts w:hint="eastAsia" w:ascii="宋体" w:hAnsi="宋体" w:eastAsia="宋体" w:cs="宋体"/>
          <w:color w:val="auto"/>
          <w:sz w:val="24"/>
          <w:szCs w:val="24"/>
        </w:rPr>
        <w:t>：</w:t>
      </w:r>
    </w:p>
    <w:p>
      <w:pPr>
        <w:autoSpaceDE w:val="0"/>
        <w:autoSpaceDN w:val="0"/>
        <w:adjustRightInd w:val="0"/>
        <w:spacing w:line="500" w:lineRule="exact"/>
        <w:ind w:firstLine="640"/>
        <w:rPr>
          <w:rFonts w:hint="eastAsia" w:ascii="宋体" w:hAnsi="宋体" w:eastAsia="宋体" w:cs="宋体"/>
          <w:color w:val="auto"/>
          <w:sz w:val="24"/>
          <w:szCs w:val="24"/>
        </w:rPr>
      </w:pPr>
      <w:r>
        <w:rPr>
          <w:rFonts w:hint="eastAsia" w:ascii="宋体" w:hAnsi="宋体" w:eastAsia="宋体" w:cs="宋体"/>
          <w:color w:val="auto"/>
          <w:sz w:val="24"/>
          <w:szCs w:val="24"/>
          <w:lang w:val="zh-CN"/>
        </w:rPr>
        <w:t>注册于</w:t>
      </w:r>
      <w:r>
        <w:rPr>
          <w:rFonts w:hint="eastAsia" w:ascii="宋体" w:hAnsi="宋体" w:eastAsia="宋体" w:cs="宋体"/>
          <w:color w:val="auto"/>
          <w:sz w:val="24"/>
          <w:szCs w:val="24"/>
          <w:u w:val="single"/>
          <w:lang w:val="zh-CN"/>
        </w:rPr>
        <w:t>（工商行政管理局名称）</w:t>
      </w:r>
      <w:r>
        <w:rPr>
          <w:rFonts w:hint="eastAsia" w:ascii="宋体" w:hAnsi="宋体" w:eastAsia="宋体" w:cs="宋体"/>
          <w:color w:val="auto"/>
          <w:sz w:val="24"/>
          <w:szCs w:val="24"/>
          <w:lang w:val="zh-CN"/>
        </w:rPr>
        <w:t>之</w:t>
      </w:r>
      <w:r>
        <w:rPr>
          <w:rFonts w:hint="eastAsia" w:ascii="宋体" w:hAnsi="宋体" w:eastAsia="宋体" w:cs="宋体"/>
          <w:color w:val="auto"/>
          <w:sz w:val="24"/>
          <w:szCs w:val="24"/>
          <w:u w:val="single"/>
          <w:lang w:val="zh-CN"/>
        </w:rPr>
        <w:t>（供应商全称）</w:t>
      </w:r>
      <w:r>
        <w:rPr>
          <w:rFonts w:hint="eastAsia" w:ascii="宋体" w:hAnsi="宋体" w:eastAsia="宋体" w:cs="宋体"/>
          <w:color w:val="auto"/>
          <w:sz w:val="24"/>
          <w:szCs w:val="24"/>
          <w:lang w:val="zh-CN"/>
        </w:rPr>
        <w:t>法人代表</w:t>
      </w:r>
      <w:r>
        <w:rPr>
          <w:rFonts w:hint="eastAsia" w:ascii="宋体" w:hAnsi="宋体" w:eastAsia="宋体" w:cs="宋体"/>
          <w:color w:val="auto"/>
          <w:sz w:val="24"/>
          <w:szCs w:val="24"/>
          <w:u w:val="single"/>
          <w:lang w:val="zh-CN"/>
        </w:rPr>
        <w:t>（姓名、职务）</w:t>
      </w:r>
      <w:r>
        <w:rPr>
          <w:rFonts w:hint="eastAsia" w:ascii="宋体" w:hAnsi="宋体" w:eastAsia="宋体" w:cs="宋体"/>
          <w:color w:val="auto"/>
          <w:sz w:val="24"/>
          <w:szCs w:val="24"/>
          <w:lang w:val="zh-CN"/>
        </w:rPr>
        <w:t>授权</w:t>
      </w:r>
      <w:r>
        <w:rPr>
          <w:rFonts w:hint="eastAsia" w:ascii="宋体" w:hAnsi="宋体" w:eastAsia="宋体" w:cs="宋体"/>
          <w:color w:val="auto"/>
          <w:sz w:val="24"/>
          <w:szCs w:val="24"/>
          <w:u w:val="single"/>
          <w:lang w:val="zh-CN"/>
        </w:rPr>
        <w:t>（被授权人姓名、职务）</w:t>
      </w:r>
      <w:r>
        <w:rPr>
          <w:rFonts w:hint="eastAsia" w:ascii="宋体" w:hAnsi="宋体" w:eastAsia="宋体" w:cs="宋体"/>
          <w:color w:val="auto"/>
          <w:sz w:val="24"/>
          <w:szCs w:val="24"/>
          <w:lang w:val="zh-CN"/>
        </w:rPr>
        <w:t>为本公司的合法代理人，就</w:t>
      </w:r>
      <w:r>
        <w:rPr>
          <w:rFonts w:hint="eastAsia" w:ascii="宋体" w:hAnsi="宋体" w:eastAsia="宋体" w:cs="宋体"/>
          <w:color w:val="auto"/>
          <w:sz w:val="24"/>
          <w:szCs w:val="24"/>
          <w:u w:val="single"/>
          <w:lang w:val="zh-CN"/>
        </w:rPr>
        <w:t>（项目名称）</w:t>
      </w:r>
      <w:r>
        <w:rPr>
          <w:rFonts w:hint="eastAsia" w:ascii="宋体" w:hAnsi="宋体" w:eastAsia="宋体" w:cs="宋体"/>
          <w:color w:val="auto"/>
          <w:sz w:val="24"/>
          <w:szCs w:val="24"/>
          <w:lang w:val="zh-CN"/>
        </w:rPr>
        <w:t>的谈判及合同的执行和完成，以本公司的名义处理一切与之有关的事宜。</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委托期限：</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500" w:lineRule="exact"/>
        <w:ind w:firstLine="720" w:firstLineChars="3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代理人无转委托权。</w:t>
      </w:r>
    </w:p>
    <w:p>
      <w:pPr>
        <w:pStyle w:val="35"/>
        <w:rPr>
          <w:rFonts w:hint="eastAsia" w:ascii="宋体" w:hAnsi="宋体" w:eastAsia="宋体" w:cs="宋体"/>
          <w:color w:val="auto"/>
          <w:sz w:val="13"/>
          <w:szCs w:val="4"/>
          <w:lang w:val="zh-CN"/>
        </w:rPr>
      </w:pPr>
    </w:p>
    <w:p>
      <w:pPr>
        <w:autoSpaceDE w:val="0"/>
        <w:autoSpaceDN w:val="0"/>
        <w:adjustRightInd w:val="0"/>
        <w:spacing w:line="50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lang w:val="zh-CN"/>
        </w:rPr>
        <w:t>附：全权代表姓名：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autoSpaceDE w:val="0"/>
        <w:autoSpaceDN w:val="0"/>
        <w:adjustRightInd w:val="0"/>
        <w:spacing w:line="500" w:lineRule="exact"/>
        <w:ind w:firstLine="630"/>
        <w:rPr>
          <w:rFonts w:hint="eastAsia" w:ascii="宋体" w:hAnsi="宋体" w:eastAsia="宋体" w:cs="宋体"/>
          <w:color w:val="auto"/>
          <w:sz w:val="24"/>
          <w:szCs w:val="24"/>
          <w:u w:val="single"/>
        </w:rPr>
      </w:pPr>
      <w:r>
        <w:rPr>
          <w:rFonts w:hint="eastAsia" w:ascii="宋体" w:hAnsi="宋体" w:eastAsia="宋体" w:cs="宋体"/>
          <w:color w:val="auto"/>
          <w:sz w:val="24"/>
          <w:szCs w:val="24"/>
          <w:lang w:val="zh-CN"/>
        </w:rPr>
        <w:t>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autoSpaceDE w:val="0"/>
        <w:autoSpaceDN w:val="0"/>
        <w:adjustRightInd w:val="0"/>
        <w:spacing w:line="500" w:lineRule="exact"/>
        <w:ind w:firstLine="630"/>
        <w:rPr>
          <w:rFonts w:hint="eastAsia" w:ascii="宋体" w:hAnsi="宋体" w:eastAsia="宋体" w:cs="宋体"/>
          <w:color w:val="auto"/>
          <w:sz w:val="24"/>
          <w:szCs w:val="24"/>
        </w:rPr>
      </w:pPr>
      <w:r>
        <w:rPr>
          <w:rFonts w:hint="eastAsia" w:ascii="宋体" w:hAnsi="宋体" w:eastAsia="宋体" w:cs="宋体"/>
          <w:color w:val="auto"/>
          <w:sz w:val="24"/>
          <w:szCs w:val="24"/>
          <w:lang w:val="zh-CN"/>
        </w:rPr>
        <w:t>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autoSpaceDE w:val="0"/>
        <w:autoSpaceDN w:val="0"/>
        <w:adjustRightInd w:val="0"/>
        <w:spacing w:line="500" w:lineRule="exact"/>
        <w:ind w:firstLine="630"/>
        <w:rPr>
          <w:rFonts w:hint="eastAsia" w:ascii="宋体" w:hAnsi="宋体" w:eastAsia="宋体" w:cs="宋体"/>
          <w:color w:val="auto"/>
          <w:sz w:val="24"/>
          <w:szCs w:val="24"/>
          <w:u w:val="single"/>
        </w:rPr>
      </w:pPr>
      <w:r>
        <w:rPr>
          <w:rFonts w:hint="eastAsia" w:ascii="宋体" w:hAnsi="宋体" w:eastAsia="宋体" w:cs="宋体"/>
          <w:color w:val="auto"/>
          <w:sz w:val="24"/>
          <w:szCs w:val="24"/>
          <w:lang w:val="zh-CN"/>
        </w:rPr>
        <w:t>通讯地址：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autoSpaceDE w:val="0"/>
        <w:autoSpaceDN w:val="0"/>
        <w:adjustRightInd w:val="0"/>
        <w:spacing w:line="500" w:lineRule="exact"/>
        <w:ind w:firstLine="630"/>
        <w:rPr>
          <w:rFonts w:hint="eastAsia" w:ascii="宋体" w:hAnsi="宋体" w:eastAsia="宋体" w:cs="宋体"/>
          <w:color w:val="auto"/>
          <w:sz w:val="24"/>
          <w:szCs w:val="24"/>
          <w:u w:val="single"/>
        </w:rPr>
      </w:pPr>
      <w:r>
        <w:rPr>
          <w:rFonts w:hint="eastAsia" w:ascii="宋体" w:hAnsi="宋体" w:eastAsia="宋体" w:cs="宋体"/>
          <w:color w:val="auto"/>
          <w:sz w:val="24"/>
          <w:szCs w:val="24"/>
          <w:lang w:val="zh-CN"/>
        </w:rPr>
        <w:t>邮政编码：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autoSpaceDE w:val="0"/>
        <w:autoSpaceDN w:val="0"/>
        <w:adjustRightInd w:val="0"/>
        <w:spacing w:line="500" w:lineRule="exact"/>
        <w:ind w:firstLine="630"/>
        <w:rPr>
          <w:rFonts w:hint="eastAsia" w:ascii="宋体" w:hAnsi="宋体" w:eastAsia="宋体" w:cs="宋体"/>
          <w:color w:val="auto"/>
          <w:sz w:val="24"/>
          <w:szCs w:val="24"/>
          <w:u w:val="single"/>
        </w:rPr>
      </w:pPr>
      <w:r>
        <w:rPr>
          <w:rFonts w:hint="eastAsia" w:ascii="宋体" w:hAnsi="宋体" w:eastAsia="宋体" w:cs="宋体"/>
          <w:color w:val="auto"/>
          <w:sz w:val="24"/>
          <w:szCs w:val="24"/>
          <w:lang w:val="zh-CN"/>
        </w:rPr>
        <w:t>电</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pPr>
        <w:autoSpaceDE w:val="0"/>
        <w:autoSpaceDN w:val="0"/>
        <w:adjustRightInd w:val="0"/>
        <w:spacing w:line="500" w:lineRule="exact"/>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法定代表人</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授权代表身份证复印件（正反面）</w:t>
      </w:r>
    </w:p>
    <w:tbl>
      <w:tblPr>
        <w:tblStyle w:val="36"/>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99" w:hRule="atLeast"/>
        </w:trPr>
        <w:tc>
          <w:tcPr>
            <w:tcW w:w="4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8"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法定代表人身份证复印件</w:t>
            </w:r>
          </w:p>
        </w:tc>
        <w:tc>
          <w:tcPr>
            <w:tcW w:w="388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48"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授权代表身份证复印件</w:t>
            </w:r>
          </w:p>
        </w:tc>
      </w:tr>
    </w:tbl>
    <w:p>
      <w:pPr>
        <w:autoSpaceDE w:val="0"/>
        <w:autoSpaceDN w:val="0"/>
        <w:adjustRightInd w:val="0"/>
        <w:spacing w:line="56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供应商名称（公章）：           法定代表人（</w:t>
      </w:r>
      <w:r>
        <w:rPr>
          <w:rFonts w:hint="eastAsia" w:ascii="宋体" w:hAnsi="宋体" w:eastAsia="宋体" w:cs="宋体"/>
          <w:color w:val="auto"/>
          <w:kern w:val="0"/>
          <w:sz w:val="24"/>
          <w:szCs w:val="24"/>
        </w:rPr>
        <w:t>签字</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 xml:space="preserve"> </w:t>
      </w:r>
    </w:p>
    <w:p>
      <w:pPr>
        <w:autoSpaceDE w:val="0"/>
        <w:autoSpaceDN w:val="0"/>
        <w:adjustRightInd w:val="0"/>
        <w:spacing w:line="56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被授权人（</w:t>
      </w:r>
      <w:r>
        <w:rPr>
          <w:rFonts w:hint="eastAsia" w:ascii="宋体" w:hAnsi="宋体" w:eastAsia="宋体" w:cs="宋体"/>
          <w:color w:val="auto"/>
          <w:sz w:val="24"/>
          <w:szCs w:val="24"/>
          <w:lang w:val="en-US" w:eastAsia="zh-CN"/>
        </w:rPr>
        <w:t>签字</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授权日期：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年   月   日</w:t>
      </w:r>
    </w:p>
    <w:p>
      <w:pPr>
        <w:autoSpaceDE w:val="0"/>
        <w:autoSpaceDN w:val="0"/>
        <w:adjustRightInd w:val="0"/>
        <w:spacing w:line="560" w:lineRule="exact"/>
        <w:ind w:firstLine="720" w:firstLineChars="300"/>
        <w:rPr>
          <w:rFonts w:hint="eastAsia" w:ascii="宋体" w:hAnsi="宋体" w:eastAsia="宋体" w:cs="宋体"/>
          <w:b/>
          <w:bCs/>
          <w:color w:val="auto"/>
          <w:sz w:val="22"/>
          <w:szCs w:val="18"/>
          <w:lang w:val="zh-CN"/>
        </w:rPr>
      </w:pPr>
      <w:r>
        <w:rPr>
          <w:rFonts w:hint="eastAsia" w:ascii="宋体" w:hAnsi="宋体" w:eastAsia="宋体" w:cs="宋体"/>
          <w:color w:val="auto"/>
          <w:sz w:val="24"/>
          <w:szCs w:val="24"/>
          <w:lang w:val="zh-CN"/>
        </w:rPr>
        <w:t>本授权有效期：</w:t>
      </w:r>
      <w:r>
        <w:rPr>
          <w:rFonts w:hint="eastAsia" w:ascii="宋体" w:hAnsi="宋体" w:eastAsia="宋体" w:cs="宋体"/>
          <w:color w:val="auto"/>
          <w:sz w:val="24"/>
          <w:szCs w:val="24"/>
        </w:rPr>
        <w:t>自本委托书签署之日起至投标有效期满。</w:t>
      </w:r>
    </w:p>
    <w:p>
      <w:pPr>
        <w:snapToGrid w:val="0"/>
        <w:spacing w:line="400" w:lineRule="exact"/>
        <w:rPr>
          <w:rFonts w:hint="eastAsia" w:ascii="宋体" w:hAnsi="宋体" w:eastAsia="宋体" w:cs="宋体"/>
          <w:b/>
          <w:bCs/>
          <w:color w:val="auto"/>
          <w:sz w:val="22"/>
          <w:szCs w:val="18"/>
          <w:lang w:val="zh-CN"/>
        </w:rPr>
      </w:pPr>
    </w:p>
    <w:p>
      <w:pPr>
        <w:snapToGrid w:val="0"/>
        <w:spacing w:line="400" w:lineRule="exact"/>
        <w:ind w:firstLine="883" w:firstLineChars="400"/>
        <w:rPr>
          <w:rFonts w:hint="eastAsia" w:ascii="宋体" w:hAnsi="宋体" w:eastAsia="宋体" w:cs="宋体"/>
          <w:b/>
          <w:color w:val="auto"/>
          <w:sz w:val="22"/>
          <w:szCs w:val="18"/>
          <w:lang w:val="zh-CN"/>
        </w:rPr>
      </w:pPr>
      <w:r>
        <w:rPr>
          <w:rFonts w:hint="eastAsia" w:ascii="宋体" w:hAnsi="宋体" w:eastAsia="宋体" w:cs="宋体"/>
          <w:b/>
          <w:bCs/>
          <w:color w:val="auto"/>
          <w:sz w:val="22"/>
          <w:szCs w:val="18"/>
          <w:lang w:val="zh-CN"/>
        </w:rPr>
        <w:t>注：</w:t>
      </w:r>
      <w:r>
        <w:rPr>
          <w:rFonts w:hint="eastAsia" w:ascii="宋体" w:hAnsi="宋体" w:eastAsia="宋体" w:cs="宋体"/>
          <w:b/>
          <w:color w:val="auto"/>
          <w:sz w:val="22"/>
          <w:szCs w:val="18"/>
        </w:rPr>
        <w:t>法定代表人直接参与，可不填</w:t>
      </w:r>
      <w:r>
        <w:rPr>
          <w:rFonts w:hint="eastAsia" w:ascii="宋体" w:hAnsi="宋体" w:eastAsia="宋体" w:cs="宋体"/>
          <w:b/>
          <w:color w:val="auto"/>
          <w:sz w:val="22"/>
          <w:szCs w:val="18"/>
          <w:lang w:val="zh-CN"/>
        </w:rPr>
        <w:t>法定代表人授权委托书。</w:t>
      </w:r>
    </w:p>
    <w:p>
      <w:pPr>
        <w:pStyle w:val="16"/>
        <w:rPr>
          <w:rFonts w:hint="eastAsia" w:ascii="宋体" w:hAnsi="宋体" w:eastAsia="宋体" w:cs="宋体"/>
          <w:color w:val="auto"/>
          <w:lang w:val="zh-CN"/>
        </w:rPr>
      </w:pPr>
    </w:p>
    <w:p>
      <w:pPr>
        <w:rPr>
          <w:rFonts w:hint="eastAsia" w:ascii="宋体" w:hAnsi="宋体" w:eastAsia="宋体" w:cs="宋体"/>
          <w:color w:val="auto"/>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附件5：</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与招标人存在利害关系可能影响招标公正性的单位，不得参加投标、单位负责人为同一人或存在控股、管理关系的不同单位，不得参加同一标段投标，否则，相关投标均无效。</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60" w:lineRule="exact"/>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b/>
          <w:bCs/>
          <w:color w:val="auto"/>
          <w:sz w:val="24"/>
          <w:szCs w:val="24"/>
          <w:lang w:val="zh-CN" w:eastAsia="zh-CN"/>
        </w:rPr>
        <w:t>供应商企业关系关联承诺书</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、供应商在本项目投标中，不存在与其它供应商负责人为同一人，有控股、管理等关联关系承诺：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.1管理关系说明：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我单位管理的具有独立法人的下属单位有</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我单位的上级管理单位有</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.2股权关系说明：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我单位控股的单位有</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我单位被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单位控股。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.3单位负责人：</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（是或否，没有填否） 为采购项目提供整体设计、规范编制或者项目管理、监理、检测等服务的供应商。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、其他与本项目有关的利害关系说明：</w:t>
      </w:r>
      <w:r>
        <w:rPr>
          <w:rFonts w:hint="eastAsia" w:ascii="宋体" w:hAnsi="宋体" w:eastAsia="宋体" w:cs="宋体"/>
          <w:color w:val="auto"/>
          <w:sz w:val="24"/>
          <w:szCs w:val="24"/>
          <w:u w:val="single"/>
        </w:rPr>
        <w:t xml:space="preserve">                               </w:t>
      </w:r>
    </w:p>
    <w:p>
      <w:pPr>
        <w:pStyle w:val="16"/>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我单位承诺以上说明真实有效，无虚假内容或隐瞒。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p>
    <w:p>
      <w:pPr>
        <w:pStyle w:val="1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00" w:firstLineChars="10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供应商名称</w:t>
      </w: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00" w:firstLineChars="10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法定代表人或被授权人</w:t>
      </w: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日      期：      年   月    日</w:t>
      </w:r>
    </w:p>
    <w:p>
      <w:pPr>
        <w:rPr>
          <w:rFonts w:hint="eastAsia" w:ascii="宋体" w:hAnsi="宋体" w:eastAsia="宋体" w:cs="宋体"/>
          <w:color w:val="auto"/>
          <w:lang w:val="zh-CN"/>
        </w:rPr>
      </w:pPr>
    </w:p>
    <w:p>
      <w:pPr>
        <w:pStyle w:val="6"/>
        <w:ind w:firstLine="0"/>
        <w:jc w:val="center"/>
        <w:rPr>
          <w:rFonts w:hint="eastAsia" w:ascii="宋体" w:hAnsi="宋体" w:eastAsia="宋体" w:cs="宋体"/>
          <w:b/>
          <w:color w:val="auto"/>
          <w:sz w:val="28"/>
          <w:szCs w:val="28"/>
          <w:lang w:val="en-US" w:eastAsia="zh-CN"/>
        </w:rPr>
      </w:pPr>
    </w:p>
    <w:p>
      <w:pPr>
        <w:pStyle w:val="6"/>
        <w:ind w:firstLine="0"/>
        <w:jc w:val="center"/>
        <w:rPr>
          <w:rFonts w:hint="eastAsia" w:ascii="宋体" w:hAnsi="宋体" w:eastAsia="宋体" w:cs="宋体"/>
          <w:b/>
          <w:color w:val="auto"/>
          <w:sz w:val="28"/>
          <w:szCs w:val="28"/>
          <w:lang w:val="en-US" w:eastAsia="zh-CN"/>
        </w:rPr>
      </w:pPr>
    </w:p>
    <w:p>
      <w:pPr>
        <w:pStyle w:val="4"/>
        <w:spacing w:line="400" w:lineRule="exact"/>
        <w:rPr>
          <w:rFonts w:hint="eastAsia" w:ascii="宋体" w:hAnsi="宋体" w:eastAsia="宋体" w:cs="宋体"/>
          <w:b/>
          <w:bCs/>
          <w:color w:val="auto"/>
          <w:kern w:val="0"/>
          <w:szCs w:val="28"/>
        </w:rPr>
      </w:pPr>
      <w:r>
        <w:rPr>
          <w:rFonts w:hint="eastAsia" w:ascii="宋体" w:hAnsi="宋体" w:eastAsia="宋体" w:cs="宋体"/>
          <w:b/>
          <w:bCs/>
          <w:color w:val="auto"/>
          <w:kern w:val="0"/>
          <w:szCs w:val="28"/>
        </w:rPr>
        <w:t>附件</w:t>
      </w:r>
      <w:r>
        <w:rPr>
          <w:rFonts w:hint="eastAsia" w:ascii="宋体" w:hAnsi="宋体" w:eastAsia="宋体" w:cs="宋体"/>
          <w:b/>
          <w:bCs/>
          <w:color w:val="auto"/>
          <w:kern w:val="0"/>
          <w:szCs w:val="28"/>
          <w:lang w:val="en-US" w:eastAsia="zh-CN"/>
        </w:rPr>
        <w:t>6</w:t>
      </w:r>
      <w:r>
        <w:rPr>
          <w:rFonts w:hint="eastAsia" w:ascii="宋体" w:hAnsi="宋体" w:eastAsia="宋体" w:cs="宋体"/>
          <w:b/>
          <w:bCs/>
          <w:color w:val="auto"/>
          <w:kern w:val="0"/>
          <w:szCs w:val="28"/>
        </w:rPr>
        <w:t>：</w:t>
      </w:r>
    </w:p>
    <w:p>
      <w:pPr>
        <w:pStyle w:val="6"/>
        <w:ind w:firstLine="0"/>
        <w:jc w:val="center"/>
        <w:rPr>
          <w:rFonts w:hint="eastAsia" w:ascii="宋体" w:hAnsi="宋体" w:eastAsia="宋体" w:cs="宋体"/>
          <w:color w:val="auto"/>
          <w:sz w:val="28"/>
          <w:szCs w:val="28"/>
        </w:rPr>
      </w:pPr>
      <w:r>
        <w:rPr>
          <w:rFonts w:hint="eastAsia" w:ascii="宋体" w:hAnsi="宋体" w:eastAsia="宋体" w:cs="宋体"/>
          <w:b/>
          <w:color w:val="auto"/>
          <w:sz w:val="28"/>
          <w:szCs w:val="28"/>
        </w:rPr>
        <w:t>非联合体投标声明</w:t>
      </w:r>
    </w:p>
    <w:p>
      <w:pPr>
        <w:pStyle w:val="154"/>
        <w:spacing w:before="0" w:beforeAutospacing="0" w:after="0" w:afterAutospacing="0" w:line="432"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w:t>
      </w:r>
      <w:r>
        <w:rPr>
          <w:rFonts w:hint="eastAsia" w:ascii="宋体" w:hAnsi="宋体" w:eastAsia="宋体" w:cs="宋体"/>
          <w:color w:val="auto"/>
          <w:sz w:val="24"/>
          <w:szCs w:val="24"/>
          <w:u w:val="none"/>
        </w:rPr>
        <w:t>(采购人)</w:t>
      </w:r>
      <w:r>
        <w:rPr>
          <w:rFonts w:hint="eastAsia" w:ascii="宋体" w:hAnsi="宋体" w:eastAsia="宋体" w:cs="宋体"/>
          <w:b/>
          <w:color w:val="auto"/>
          <w:sz w:val="24"/>
          <w:szCs w:val="24"/>
        </w:rPr>
        <w:t>：</w:t>
      </w:r>
    </w:p>
    <w:p>
      <w:pPr>
        <w:pStyle w:val="154"/>
        <w:spacing w:before="0" w:beforeAutospacing="0" w:after="0" w:afterAutospacing="0" w:line="43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本公司就参加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工作，作出郑重声明：</w:t>
      </w:r>
    </w:p>
    <w:p>
      <w:pPr>
        <w:pStyle w:val="154"/>
        <w:spacing w:before="0" w:beforeAutospacing="0" w:after="0" w:afterAutospacing="0" w:line="43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本公司保证投标报名材料及其后提供的一切材料都是真实的。</w:t>
      </w:r>
    </w:p>
    <w:p>
      <w:pPr>
        <w:pStyle w:val="154"/>
        <w:spacing w:before="0" w:beforeAutospacing="0" w:after="0" w:afterAutospacing="0" w:line="43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本公司保证在本项目投标中不与其他单位围标、串标，不出让投标资格，不向采购人或</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小组成员行贿。</w:t>
      </w:r>
    </w:p>
    <w:p>
      <w:pPr>
        <w:pStyle w:val="154"/>
        <w:spacing w:before="0" w:beforeAutospacing="0" w:after="0" w:afterAutospacing="0" w:line="43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公司没有处于被责令停业的状态；没有处于被建设行政主管部门取消投标资格的处罚期内；没有处于财产被接管、冻结、破产的状态；本公司没有在投标报名截止时间前三年内被人民法院判决犯有行贿罪的记录。</w:t>
      </w:r>
    </w:p>
    <w:p>
      <w:pPr>
        <w:pStyle w:val="154"/>
        <w:spacing w:before="0" w:beforeAutospacing="0" w:after="0" w:afterAutospacing="0" w:line="43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本公司保证本项目并非联合体投标，本项目由本公司独立承担。本公司违反上述保证，或本声明陈述与事实不符，经查实，本公司愿意接受公开通报，承担由此带来的法律后果。</w:t>
      </w:r>
    </w:p>
    <w:p>
      <w:pPr>
        <w:pStyle w:val="154"/>
        <w:spacing w:before="0" w:beforeAutospacing="0" w:after="0" w:afterAutospacing="0" w:line="43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pPr>
        <w:pStyle w:val="155"/>
        <w:spacing w:before="0" w:beforeAutospacing="0" w:after="0" w:afterAutospacing="0" w:line="432" w:lineRule="auto"/>
        <w:ind w:right="1449" w:firstLine="2160" w:firstLineChars="900"/>
        <w:rPr>
          <w:rFonts w:hint="eastAsia" w:ascii="宋体" w:hAnsi="宋体" w:eastAsia="宋体" w:cs="宋体"/>
          <w:color w:val="auto"/>
          <w:sz w:val="24"/>
          <w:szCs w:val="24"/>
        </w:rPr>
      </w:pPr>
    </w:p>
    <w:p>
      <w:pPr>
        <w:pStyle w:val="155"/>
        <w:spacing w:before="0" w:beforeAutospacing="0" w:after="0" w:afterAutospacing="0" w:line="432" w:lineRule="auto"/>
        <w:ind w:right="1449" w:firstLine="2160" w:firstLineChars="900"/>
        <w:rPr>
          <w:rFonts w:hint="eastAsia" w:ascii="宋体" w:hAnsi="宋体" w:eastAsia="宋体" w:cs="宋体"/>
          <w:color w:val="auto"/>
          <w:sz w:val="24"/>
          <w:szCs w:val="24"/>
        </w:rPr>
      </w:pPr>
    </w:p>
    <w:p>
      <w:pPr>
        <w:pStyle w:val="155"/>
        <w:spacing w:before="0" w:beforeAutospacing="0" w:after="0" w:afterAutospacing="0" w:line="432" w:lineRule="auto"/>
        <w:ind w:right="1449"/>
        <w:rPr>
          <w:rFonts w:hint="eastAsia" w:ascii="宋体" w:hAnsi="宋体" w:eastAsia="宋体" w:cs="宋体"/>
          <w:color w:val="auto"/>
          <w:sz w:val="24"/>
          <w:szCs w:val="24"/>
        </w:rPr>
      </w:pPr>
    </w:p>
    <w:p>
      <w:pPr>
        <w:pStyle w:val="155"/>
        <w:spacing w:before="0" w:beforeAutospacing="0" w:after="0" w:afterAutospacing="0" w:line="432" w:lineRule="auto"/>
        <w:ind w:right="87" w:firstLine="3360" w:firstLineChars="140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声明企业：</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(企业公章)</w:t>
      </w:r>
    </w:p>
    <w:p>
      <w:pPr>
        <w:pStyle w:val="155"/>
        <w:tabs>
          <w:tab w:val="left" w:pos="7770"/>
        </w:tabs>
        <w:spacing w:before="0" w:beforeAutospacing="0" w:after="0" w:afterAutospacing="0" w:line="432" w:lineRule="auto"/>
        <w:ind w:right="-113" w:firstLine="4320" w:firstLineChars="18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法定代表人或授权委托人签字：</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 xml:space="preserve">      </w:t>
      </w:r>
    </w:p>
    <w:p>
      <w:pPr>
        <w:pStyle w:val="16"/>
        <w:ind w:firstLine="4320" w:firstLineChars="1800"/>
        <w:rPr>
          <w:rFonts w:hint="eastAsia" w:ascii="宋体" w:hAnsi="宋体" w:eastAsia="宋体" w:cs="宋体"/>
          <w:b w:val="0"/>
          <w:bCs w:val="0"/>
          <w:color w:val="auto"/>
          <w:sz w:val="24"/>
          <w:szCs w:val="18"/>
          <w:lang w:val="zh-CN"/>
        </w:rPr>
      </w:pPr>
      <w:r>
        <w:rPr>
          <w:rFonts w:hint="eastAsia" w:ascii="宋体" w:hAnsi="宋体" w:eastAsia="宋体" w:cs="宋体"/>
          <w:b w:val="0"/>
          <w:bCs w:val="0"/>
          <w:color w:val="auto"/>
          <w:sz w:val="24"/>
          <w:szCs w:val="24"/>
        </w:rPr>
        <w:t>日     期：     年   月    日</w:t>
      </w:r>
    </w:p>
    <w:p>
      <w:pPr>
        <w:pStyle w:val="4"/>
        <w:keepNext/>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auto"/>
          <w:szCs w:val="28"/>
          <w:lang w:val="en-US" w:eastAsia="zh-CN"/>
        </w:rPr>
      </w:pPr>
    </w:p>
    <w:p>
      <w:pPr>
        <w:rPr>
          <w:rFonts w:hint="eastAsia" w:ascii="宋体" w:hAnsi="宋体" w:eastAsia="宋体" w:cs="宋体"/>
          <w:b/>
          <w:bCs/>
          <w:color w:val="auto"/>
          <w:szCs w:val="28"/>
          <w:lang w:val="en-US" w:eastAsia="zh-CN"/>
        </w:rPr>
      </w:pPr>
    </w:p>
    <w:p>
      <w:pPr>
        <w:pStyle w:val="2"/>
        <w:rPr>
          <w:rFonts w:hint="eastAsia" w:ascii="宋体" w:hAnsi="宋体" w:eastAsia="宋体" w:cs="宋体"/>
          <w:lang w:val="en-US" w:eastAsia="zh-CN"/>
        </w:rPr>
      </w:pPr>
    </w:p>
    <w:p>
      <w:pPr>
        <w:rPr>
          <w:rFonts w:hint="eastAsia" w:ascii="宋体" w:hAnsi="宋体" w:eastAsia="宋体" w:cs="宋体"/>
          <w:b/>
          <w:bCs/>
          <w:color w:val="auto"/>
          <w:szCs w:val="28"/>
          <w:lang w:val="en-US" w:eastAsia="zh-CN"/>
        </w:rPr>
      </w:pPr>
    </w:p>
    <w:p>
      <w:pPr>
        <w:pStyle w:val="2"/>
        <w:rPr>
          <w:rFonts w:hint="eastAsia" w:ascii="宋体" w:hAnsi="宋体" w:eastAsia="宋体" w:cs="宋体"/>
          <w:b/>
          <w:bCs/>
          <w:color w:val="auto"/>
          <w:szCs w:val="28"/>
          <w:lang w:val="en-US" w:eastAsia="zh-CN"/>
        </w:rPr>
      </w:pPr>
    </w:p>
    <w:p>
      <w:pPr>
        <w:rPr>
          <w:rFonts w:hint="eastAsia" w:ascii="宋体" w:hAnsi="宋体" w:eastAsia="宋体" w:cs="宋体"/>
          <w:lang w:val="en-US" w:eastAsia="zh-CN"/>
        </w:rPr>
      </w:pPr>
    </w:p>
    <w:p>
      <w:pPr>
        <w:pStyle w:val="4"/>
        <w:keepNext/>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auto"/>
          <w:szCs w:val="28"/>
          <w:lang w:val="zh-CN" w:eastAsia="zh-CN"/>
        </w:rPr>
      </w:pPr>
      <w:r>
        <w:rPr>
          <w:rFonts w:hint="eastAsia" w:ascii="宋体" w:hAnsi="宋体" w:eastAsia="宋体" w:cs="宋体"/>
          <w:b/>
          <w:bCs/>
          <w:color w:val="auto"/>
          <w:szCs w:val="28"/>
          <w:lang w:val="zh-CN" w:eastAsia="zh-CN"/>
        </w:rPr>
        <w:t>第</w:t>
      </w:r>
      <w:r>
        <w:rPr>
          <w:rFonts w:hint="eastAsia" w:ascii="宋体" w:hAnsi="宋体" w:eastAsia="宋体" w:cs="宋体"/>
          <w:b/>
          <w:bCs/>
          <w:color w:val="auto"/>
          <w:szCs w:val="28"/>
          <w:lang w:val="en-US" w:eastAsia="zh-CN"/>
        </w:rPr>
        <w:t>八</w:t>
      </w:r>
      <w:r>
        <w:rPr>
          <w:rFonts w:hint="eastAsia" w:ascii="宋体" w:hAnsi="宋体" w:eastAsia="宋体" w:cs="宋体"/>
          <w:b/>
          <w:bCs/>
          <w:color w:val="auto"/>
          <w:szCs w:val="28"/>
          <w:lang w:val="zh-CN" w:eastAsia="zh-CN"/>
        </w:rPr>
        <w:t>部分</w:t>
      </w:r>
      <w:r>
        <w:rPr>
          <w:rFonts w:hint="eastAsia" w:ascii="宋体" w:hAnsi="宋体" w:eastAsia="宋体" w:cs="宋体"/>
          <w:b/>
          <w:bCs/>
          <w:color w:val="auto"/>
          <w:szCs w:val="28"/>
          <w:lang w:val="en-US" w:eastAsia="zh-CN"/>
        </w:rPr>
        <w:t xml:space="preserve"> </w:t>
      </w:r>
      <w:r>
        <w:rPr>
          <w:rFonts w:hint="eastAsia" w:ascii="宋体" w:hAnsi="宋体" w:eastAsia="宋体" w:cs="宋体"/>
          <w:b/>
          <w:bCs/>
          <w:color w:val="auto"/>
          <w:szCs w:val="28"/>
          <w:lang w:val="zh-CN" w:eastAsia="zh-CN"/>
        </w:rPr>
        <w:t>提供政府采购政策证明材料</w:t>
      </w:r>
    </w:p>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8.1</w:t>
      </w:r>
      <w:r>
        <w:rPr>
          <w:rFonts w:hint="eastAsia" w:ascii="宋体" w:hAnsi="宋体" w:eastAsia="宋体" w:cs="宋体"/>
          <w:b/>
          <w:color w:val="auto"/>
          <w:sz w:val="24"/>
          <w:szCs w:val="24"/>
        </w:rPr>
        <w:t>中小企业声明函</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lang w:val="en-US" w:eastAsia="zh-CN"/>
        </w:rPr>
        <w:t>服务</w:t>
      </w:r>
      <w:r>
        <w:rPr>
          <w:rFonts w:hint="eastAsia" w:ascii="宋体" w:hAnsi="宋体" w:eastAsia="宋体" w:cs="宋体"/>
          <w:b/>
          <w:color w:val="auto"/>
          <w:sz w:val="24"/>
          <w:szCs w:val="24"/>
          <w:lang w:val="zh-CN"/>
        </w:rPr>
        <w:t>）</w:t>
      </w:r>
    </w:p>
    <w:p>
      <w:pPr>
        <w:autoSpaceDE w:val="0"/>
        <w:autoSpaceDN w:val="0"/>
        <w:adjustRightInd w:val="0"/>
        <w:jc w:val="left"/>
        <w:rPr>
          <w:rFonts w:hint="eastAsia" w:ascii="宋体" w:hAnsi="宋体" w:eastAsia="宋体" w:cs="宋体"/>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i w:val="0"/>
          <w:iCs w:val="0"/>
          <w:color w:val="auto"/>
          <w:sz w:val="24"/>
          <w:szCs w:val="24"/>
          <w:highlight w:val="none"/>
          <w:u w:val="single"/>
        </w:rPr>
        <w:t>（单位名称）</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rPr>
        <w:t>（项目名称）</w:t>
      </w:r>
      <w:r>
        <w:rPr>
          <w:rFonts w:hint="eastAsia" w:ascii="宋体" w:hAnsi="宋体" w:eastAsia="宋体" w:cs="宋体"/>
          <w:i w:val="0"/>
          <w:iCs w:val="0"/>
          <w:color w:val="auto"/>
          <w:sz w:val="24"/>
          <w:szCs w:val="24"/>
          <w:highlight w:val="none"/>
        </w:rPr>
        <w:t>采购活动，工程的施工单位全部为符合政策要求的中小企业（或者：服务全部由符合政策要求的中小企业承接）。 相关企业（ 含联合体中的中小企业、 签订分包意向协议的中小企业）的具体情况如下：</w:t>
      </w:r>
    </w:p>
    <w:p>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1. </w:t>
      </w:r>
      <w:r>
        <w:rPr>
          <w:rFonts w:hint="eastAsia" w:ascii="宋体" w:hAnsi="宋体" w:eastAsia="宋体" w:cs="宋体"/>
          <w:i w:val="0"/>
          <w:iCs w:val="0"/>
          <w:color w:val="auto"/>
          <w:sz w:val="24"/>
          <w:szCs w:val="24"/>
          <w:highlight w:val="none"/>
          <w:u w:val="single"/>
        </w:rPr>
        <w:t>（标的名称）</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z w:val="24"/>
          <w:szCs w:val="24"/>
          <w:highlight w:val="none"/>
          <w:u w:val="single"/>
          <w:lang w:val="en-US" w:eastAsia="zh-CN"/>
        </w:rPr>
        <w:t>采购文件</w:t>
      </w:r>
      <w:r>
        <w:rPr>
          <w:rFonts w:hint="eastAsia" w:ascii="宋体" w:hAnsi="宋体" w:eastAsia="宋体" w:cs="宋体"/>
          <w:i w:val="0"/>
          <w:iCs w:val="0"/>
          <w:color w:val="auto"/>
          <w:sz w:val="24"/>
          <w:szCs w:val="24"/>
          <w:highlight w:val="none"/>
          <w:u w:val="single"/>
        </w:rPr>
        <w:t>中明确的所属行业）</w:t>
      </w:r>
      <w:r>
        <w:rPr>
          <w:rFonts w:hint="eastAsia" w:ascii="宋体" w:hAnsi="宋体" w:eastAsia="宋体" w:cs="宋体"/>
          <w:i w:val="0"/>
          <w:iCs w:val="0"/>
          <w:color w:val="auto"/>
          <w:sz w:val="24"/>
          <w:szCs w:val="24"/>
          <w:highlight w:val="none"/>
        </w:rPr>
        <w:t>；承建（承接）企业为</w:t>
      </w:r>
      <w:r>
        <w:rPr>
          <w:rFonts w:hint="eastAsia" w:ascii="宋体" w:hAnsi="宋体" w:eastAsia="宋体" w:cs="宋体"/>
          <w:i w:val="0"/>
          <w:iCs w:val="0"/>
          <w:color w:val="auto"/>
          <w:sz w:val="24"/>
          <w:szCs w:val="24"/>
          <w:highlight w:val="none"/>
          <w:u w:val="single"/>
        </w:rPr>
        <w:t>（企业名称）</w:t>
      </w:r>
      <w:r>
        <w:rPr>
          <w:rFonts w:hint="eastAsia" w:ascii="宋体" w:hAnsi="宋体" w:eastAsia="宋体" w:cs="宋体"/>
          <w:i w:val="0"/>
          <w:iCs w:val="0"/>
          <w:color w:val="auto"/>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人，营业收入为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w:t>
      </w:r>
      <w:r>
        <w:rPr>
          <w:rFonts w:hint="eastAsia" w:ascii="宋体" w:hAnsi="宋体" w:eastAsia="宋体" w:cs="宋体"/>
          <w:i w:val="0"/>
          <w:iCs w:val="0"/>
          <w:color w:val="auto"/>
          <w:sz w:val="24"/>
          <w:szCs w:val="24"/>
          <w:highlight w:val="none"/>
          <w:vertAlign w:val="superscript"/>
        </w:rPr>
        <w:t>1</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（中型企业、小型企业、微型企业）</w:t>
      </w:r>
      <w:r>
        <w:rPr>
          <w:rFonts w:hint="eastAsia" w:ascii="宋体" w:hAnsi="宋体" w:eastAsia="宋体" w:cs="宋体"/>
          <w:i w:val="0"/>
          <w:iCs w:val="0"/>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2. </w:t>
      </w:r>
      <w:r>
        <w:rPr>
          <w:rFonts w:hint="eastAsia" w:ascii="宋体" w:hAnsi="宋体" w:eastAsia="宋体" w:cs="宋体"/>
          <w:i w:val="0"/>
          <w:iCs w:val="0"/>
          <w:color w:val="auto"/>
          <w:sz w:val="24"/>
          <w:szCs w:val="24"/>
          <w:highlight w:val="none"/>
          <w:u w:val="single"/>
        </w:rPr>
        <w:t xml:space="preserve">（标的名称） </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z w:val="24"/>
          <w:szCs w:val="24"/>
          <w:highlight w:val="none"/>
          <w:u w:val="single"/>
          <w:lang w:val="en-US" w:eastAsia="zh-CN"/>
        </w:rPr>
        <w:t>采购文件</w:t>
      </w:r>
      <w:r>
        <w:rPr>
          <w:rFonts w:hint="eastAsia" w:ascii="宋体" w:hAnsi="宋体" w:eastAsia="宋体" w:cs="宋体"/>
          <w:i w:val="0"/>
          <w:iCs w:val="0"/>
          <w:color w:val="auto"/>
          <w:sz w:val="24"/>
          <w:szCs w:val="24"/>
          <w:highlight w:val="none"/>
          <w:u w:val="single"/>
        </w:rPr>
        <w:t>中明确的所属行业）</w:t>
      </w:r>
      <w:r>
        <w:rPr>
          <w:rFonts w:hint="eastAsia" w:ascii="宋体" w:hAnsi="宋体" w:eastAsia="宋体" w:cs="宋体"/>
          <w:i w:val="0"/>
          <w:iCs w:val="0"/>
          <w:color w:val="auto"/>
          <w:sz w:val="24"/>
          <w:szCs w:val="24"/>
          <w:highlight w:val="none"/>
        </w:rPr>
        <w:t>；承建（承接）企业为</w:t>
      </w:r>
      <w:r>
        <w:rPr>
          <w:rFonts w:hint="eastAsia" w:ascii="宋体" w:hAnsi="宋体" w:eastAsia="宋体" w:cs="宋体"/>
          <w:i w:val="0"/>
          <w:iCs w:val="0"/>
          <w:color w:val="auto"/>
          <w:sz w:val="24"/>
          <w:szCs w:val="24"/>
          <w:highlight w:val="none"/>
          <w:u w:val="single"/>
        </w:rPr>
        <w:t>（企业名称）</w:t>
      </w:r>
      <w:r>
        <w:rPr>
          <w:rFonts w:hint="eastAsia" w:ascii="宋体" w:hAnsi="宋体" w:eastAsia="宋体" w:cs="宋体"/>
          <w:i w:val="0"/>
          <w:iCs w:val="0"/>
          <w:color w:val="auto"/>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人，营业收入为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万元，属于</w:t>
      </w:r>
      <w:r>
        <w:rPr>
          <w:rFonts w:hint="eastAsia" w:ascii="宋体" w:hAnsi="宋体" w:eastAsia="宋体" w:cs="宋体"/>
          <w:i w:val="0"/>
          <w:iCs w:val="0"/>
          <w:color w:val="auto"/>
          <w:sz w:val="24"/>
          <w:szCs w:val="24"/>
          <w:highlight w:val="none"/>
          <w:u w:val="single"/>
        </w:rPr>
        <w:t>（中型企业、小型企业、微型企业）</w:t>
      </w:r>
      <w:r>
        <w:rPr>
          <w:rFonts w:hint="eastAsia" w:ascii="宋体" w:hAnsi="宋体" w:eastAsia="宋体" w:cs="宋体"/>
          <w:i w:val="0"/>
          <w:iCs w:val="0"/>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本企业对上述声明内容的真实性负责。如有虚假，将依法承担相应责任。</w:t>
      </w:r>
    </w:p>
    <w:p>
      <w:pPr>
        <w:spacing w:line="360" w:lineRule="auto"/>
        <w:rPr>
          <w:rFonts w:hint="eastAsia" w:ascii="宋体" w:hAnsi="宋体" w:eastAsia="宋体" w:cs="宋体"/>
          <w:color w:val="auto"/>
          <w:sz w:val="24"/>
          <w:szCs w:val="24"/>
        </w:rPr>
      </w:pPr>
    </w:p>
    <w:p>
      <w:pPr>
        <w:adjustRightInd w:val="0"/>
        <w:snapToGrid w:val="0"/>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pPr>
        <w:adjustRightInd w:val="0"/>
        <w:snapToGrid w:val="0"/>
        <w:spacing w:line="360" w:lineRule="auto"/>
        <w:ind w:firstLine="5520" w:firstLineChars="2300"/>
        <w:rPr>
          <w:rFonts w:hint="eastAsia" w:ascii="宋体" w:hAnsi="宋体" w:eastAsia="宋体" w:cs="宋体"/>
          <w:color w:val="auto"/>
          <w:lang w:eastAsia="zh-CN"/>
        </w:rPr>
      </w:pPr>
      <w:r>
        <w:rPr>
          <w:rFonts w:hint="eastAsia" w:ascii="宋体" w:hAnsi="宋体" w:eastAsia="宋体" w:cs="宋体"/>
          <w:color w:val="auto"/>
          <w:sz w:val="24"/>
          <w:szCs w:val="24"/>
        </w:rPr>
        <w:t>日期：</w:t>
      </w:r>
    </w:p>
    <w:p>
      <w:pPr>
        <w:pStyle w:val="5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备注：</w:t>
      </w:r>
    </w:p>
    <w:p>
      <w:pPr>
        <w:pStyle w:val="5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1、</w:t>
      </w:r>
      <w:r>
        <w:rPr>
          <w:rFonts w:hint="eastAsia" w:ascii="宋体" w:hAnsi="宋体" w:eastAsia="宋体" w:cs="宋体"/>
          <w:color w:val="auto"/>
          <w:sz w:val="24"/>
          <w:szCs w:val="22"/>
        </w:rPr>
        <w:t>填写前请认真阅读《工业和信息化部　国家统计局　国家发展和改革委员会　财政部关于印发中小企业划型标准规定的通知》(工信部联企业〔2011〕300号)和《财政部</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工业和信息化部关于印发〈政府</w:t>
      </w:r>
      <w:r>
        <w:rPr>
          <w:rFonts w:hint="eastAsia" w:ascii="宋体" w:hAnsi="宋体" w:eastAsia="宋体" w:cs="宋体"/>
          <w:color w:val="auto"/>
          <w:sz w:val="24"/>
          <w:szCs w:val="22"/>
          <w:lang w:eastAsia="zh-CN"/>
        </w:rPr>
        <w:t>采购</w:t>
      </w:r>
      <w:r>
        <w:rPr>
          <w:rFonts w:hint="eastAsia" w:ascii="宋体" w:hAnsi="宋体" w:eastAsia="宋体" w:cs="宋体"/>
          <w:color w:val="auto"/>
          <w:sz w:val="24"/>
          <w:szCs w:val="22"/>
        </w:rPr>
        <w:t>促进中小企业发展</w:t>
      </w:r>
      <w:r>
        <w:rPr>
          <w:rFonts w:hint="eastAsia" w:ascii="宋体" w:hAnsi="宋体" w:eastAsia="宋体" w:cs="宋体"/>
          <w:color w:val="auto"/>
          <w:sz w:val="24"/>
          <w:szCs w:val="22"/>
          <w:lang w:eastAsia="zh-CN"/>
        </w:rPr>
        <w:t>管理</w:t>
      </w:r>
      <w:r>
        <w:rPr>
          <w:rFonts w:hint="eastAsia" w:ascii="宋体" w:hAnsi="宋体" w:eastAsia="宋体" w:cs="宋体"/>
          <w:color w:val="auto"/>
          <w:sz w:val="24"/>
          <w:szCs w:val="22"/>
        </w:rPr>
        <w:t>办法〉的通知》(财库〔20</w:t>
      </w:r>
      <w:r>
        <w:rPr>
          <w:rFonts w:hint="eastAsia" w:ascii="宋体" w:hAnsi="宋体" w:eastAsia="宋体" w:cs="宋体"/>
          <w:color w:val="auto"/>
          <w:sz w:val="24"/>
          <w:szCs w:val="22"/>
          <w:lang w:val="en-US" w:eastAsia="zh-CN"/>
        </w:rPr>
        <w:t>20</w:t>
      </w: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46</w:t>
      </w:r>
      <w:r>
        <w:rPr>
          <w:rFonts w:hint="eastAsia" w:ascii="宋体" w:hAnsi="宋体" w:eastAsia="宋体" w:cs="宋体"/>
          <w:color w:val="auto"/>
          <w:sz w:val="24"/>
          <w:szCs w:val="22"/>
        </w:rPr>
        <w:t>号)相关规定。</w:t>
      </w:r>
    </w:p>
    <w:p>
      <w:pPr>
        <w:pStyle w:val="5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2、</w:t>
      </w:r>
      <w:r>
        <w:rPr>
          <w:rFonts w:hint="eastAsia" w:ascii="宋体" w:hAnsi="宋体" w:eastAsia="宋体" w:cs="宋体"/>
          <w:color w:val="auto"/>
          <w:sz w:val="24"/>
          <w:szCs w:val="22"/>
        </w:rPr>
        <w:t>从业人员、营业收入、资产总额填报上一年度数据，无上一年度数据的新成立企业可不填报。</w:t>
      </w:r>
    </w:p>
    <w:p>
      <w:pPr>
        <w:pStyle w:val="5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2"/>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附：《中小企业划型标准规定》各行业划型标准</w:t>
      </w:r>
    </w:p>
    <w:p>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（一）农、林、牧、渔业。营业收入20000万元以下的为中小微型企业。其中， 营业收入500万元及以上的为中型企业，营业收入50万元及以上的为小型企业，营业收入50万元以下的为微型企业。</w:t>
      </w:r>
    </w:p>
    <w:p>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（二）工业。从业人员1000人以下或营业收入40000万元以下的为中小微型企 业。其中，从业人员300人及以上，且营业收入2000万元及以上的为中型企业；从业人员20人及以上，且营业收入300万元及以上的为小型企业；从业人员20人以下或营业收入300万元以下的为微型企业。</w:t>
      </w:r>
    </w:p>
    <w:p>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（五）零售业。从业人员300人以下或营业收入20000万元以下的为中小微型企 业。其中，从业人员50人及以上，且营业收入500万元及以上的为中型企业；从业人员10人及以上，且营业收入100万元及以上的为小型企业；从业人员10人以下或营业收入100万元以下的为微型企业。</w:t>
      </w:r>
    </w:p>
    <w:p>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（六）交通运输业。从业人员1000人以下或营业收入30000万元以下的为中小微型企业。其中，从业人员300人及以上，且营业收入3000万元及以上的为中型企业； 从业人员20人及以上，且营业收入200万元及以上的为小型企业；从业人员20人以下或营业收入200万元以下的为微型企业。</w:t>
      </w:r>
    </w:p>
    <w:p>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（七）仓储业。从业人员200人以下或营业收入30000万元以下的为中小微型企 业。其中，从业人员100人及以上，且营业收入1000万元及以上的为中型企业；从业人员20人及以上，且营业收入100万元及以上的为小型企业；从业人员20人以下或营业收入100万元以下的为微型企业。</w:t>
      </w:r>
    </w:p>
    <w:p>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（九）住宿业。从业人员300人以下或营业收入10000万元以下的为中小微型企 业。其中，从业人员100人及以上，且营业收入2000万元及以上的为中型企业；从业人员10人及以上，且营业收入100万元及以上的为小型企业；从业人员10人以下或营业收入100万元以下的为微型企业。</w:t>
      </w:r>
    </w:p>
    <w:p>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（十）餐饮业。从业人员300人以下或营业收入10000万元以下的为中小微型企 业。其中，从业人员100人及以上，且营业收入2000万元及以上的为中型企业；从业人员10人及以上，且营业收入100万元及以上的为小型企业；从业人员10人以下或营业收入100万元以下的为微型企业。</w:t>
      </w:r>
    </w:p>
    <w:p>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（十一）信息传输业。从业人员2000人以下或营业收入100000万元以下的为中 小微型企业。其中，从业人员100人及以上，且营业收入1000万元及以上的为中型企业；从业人员10人及以上，且营业收入100万元及以上的为小型企业；从业人员10人以下或营业收入100万元以下的为微型企业。</w:t>
      </w:r>
    </w:p>
    <w:p>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（十二）软件和信息技术服务业。从业人员300人以下或营业收入10000万元以 下的为中小微型企业。其中，从业人员100人及以上，且营业收入1000万元及以上的为中型企业；从业人员10人及以上，且营业收入50万元及以上的为小型企业；从业 人员10人以下或营业收入50万元以下的为微型企业。</w:t>
      </w:r>
    </w:p>
    <w:p>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w:t>
      </w:r>
    </w:p>
    <w:p>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（十四）物业管理。从业人员1000人以下或营业收入5000万元以下的为中小微 型企业。其中，从业人员300人及以上，且营业收入1000万元及以上的为中型企业； 从业人员100人及以上，且营业收入500万元及以上的为小型企业；从业人员100人以下或营业收入500万元以下的为微型企业。</w:t>
      </w:r>
    </w:p>
    <w:p>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5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keepNext/>
        <w:spacing w:line="400" w:lineRule="exact"/>
        <w:jc w:val="center"/>
        <w:outlineLvl w:val="1"/>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en-US" w:eastAsia="zh-CN"/>
        </w:rPr>
        <w:t>8.2</w:t>
      </w:r>
      <w:r>
        <w:rPr>
          <w:rFonts w:hint="eastAsia" w:ascii="宋体" w:hAnsi="宋体" w:eastAsia="宋体" w:cs="宋体"/>
          <w:b/>
          <w:bCs/>
          <w:color w:val="auto"/>
          <w:kern w:val="0"/>
          <w:sz w:val="24"/>
          <w:szCs w:val="24"/>
          <w:lang w:val="zh-CN"/>
        </w:rPr>
        <w:t>监狱企业证明文件（若有）</w:t>
      </w:r>
    </w:p>
    <w:p>
      <w:pPr>
        <w:spacing w:line="520" w:lineRule="exact"/>
        <w:jc w:val="center"/>
        <w:rPr>
          <w:rFonts w:hint="eastAsia" w:ascii="宋体" w:hAnsi="宋体" w:eastAsia="宋体" w:cs="宋体"/>
          <w:color w:val="auto"/>
          <w:sz w:val="24"/>
          <w:szCs w:val="24"/>
        </w:rPr>
      </w:pPr>
    </w:p>
    <w:p>
      <w:pPr>
        <w:spacing w:line="5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监狱企业参加政府采购活动时，应当提供由省级以上监狱管理局、戒毒管理局（含新疆生产建设兵团）出具的属于监狱企业的证明文件</w:t>
      </w:r>
      <w:r>
        <w:rPr>
          <w:rFonts w:hint="eastAsia" w:ascii="宋体" w:hAnsi="宋体" w:eastAsia="宋体" w:cs="宋体"/>
          <w:color w:val="auto"/>
          <w:sz w:val="24"/>
          <w:lang w:eastAsia="zh-CN"/>
        </w:rPr>
        <w:t>。</w:t>
      </w:r>
    </w:p>
    <w:p>
      <w:pPr>
        <w:pStyle w:val="52"/>
        <w:rPr>
          <w:rFonts w:hint="eastAsia" w:ascii="宋体" w:hAnsi="宋体" w:eastAsia="宋体" w:cs="宋体"/>
          <w:color w:val="auto"/>
        </w:rPr>
      </w:pPr>
    </w:p>
    <w:p>
      <w:pPr>
        <w:pStyle w:val="52"/>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pStyle w:val="52"/>
        <w:ind w:left="0" w:leftChars="0" w:firstLine="0" w:firstLineChars="0"/>
        <w:rPr>
          <w:rFonts w:hint="eastAsia" w:ascii="宋体" w:hAnsi="宋体" w:eastAsia="宋体" w:cs="宋体"/>
          <w:color w:val="auto"/>
        </w:rPr>
      </w:pPr>
    </w:p>
    <w:p>
      <w:pPr>
        <w:keepNext/>
        <w:spacing w:line="400" w:lineRule="exact"/>
        <w:jc w:val="center"/>
        <w:outlineLvl w:val="1"/>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en-US" w:eastAsia="zh-CN"/>
        </w:rPr>
        <w:t>8.3</w:t>
      </w:r>
      <w:r>
        <w:rPr>
          <w:rFonts w:hint="eastAsia" w:ascii="宋体" w:hAnsi="宋体" w:eastAsia="宋体" w:cs="宋体"/>
          <w:b/>
          <w:bCs/>
          <w:color w:val="auto"/>
          <w:kern w:val="0"/>
          <w:sz w:val="24"/>
          <w:szCs w:val="24"/>
          <w:lang w:val="zh-CN"/>
        </w:rPr>
        <w:t>残疾人福利性单位证明文件（若有）</w:t>
      </w:r>
    </w:p>
    <w:p>
      <w:pPr>
        <w:spacing w:line="588"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泾阳县政府采购中心：</w:t>
      </w:r>
    </w:p>
    <w:p>
      <w:pPr>
        <w:spacing w:line="588"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pPr>
        <w:spacing w:line="588" w:lineRule="exact"/>
        <w:ind w:firstLine="480" w:firstLineChars="200"/>
        <w:rPr>
          <w:rFonts w:hint="eastAsia" w:ascii="宋体" w:hAnsi="宋体" w:eastAsia="宋体" w:cs="宋体"/>
          <w:color w:val="auto"/>
          <w:sz w:val="24"/>
          <w:szCs w:val="24"/>
        </w:rPr>
      </w:pPr>
    </w:p>
    <w:p>
      <w:pPr>
        <w:spacing w:line="588" w:lineRule="exact"/>
        <w:ind w:firstLine="480" w:firstLineChars="200"/>
        <w:rPr>
          <w:rFonts w:hint="eastAsia" w:ascii="宋体" w:hAnsi="宋体" w:eastAsia="宋体" w:cs="宋体"/>
          <w:color w:val="auto"/>
          <w:sz w:val="24"/>
          <w:szCs w:val="24"/>
        </w:rPr>
      </w:pPr>
    </w:p>
    <w:p>
      <w:pPr>
        <w:tabs>
          <w:tab w:val="left" w:pos="4860"/>
        </w:tabs>
        <w:spacing w:line="588" w:lineRule="exact"/>
        <w:ind w:right="1560"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单位名称（盖章）：</w:t>
      </w:r>
    </w:p>
    <w:p>
      <w:pPr>
        <w:tabs>
          <w:tab w:val="left" w:pos="4860"/>
        </w:tabs>
        <w:spacing w:line="588" w:lineRule="exact"/>
        <w:ind w:right="1560"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  期：</w:t>
      </w:r>
    </w:p>
    <w:p>
      <w:pPr>
        <w:tabs>
          <w:tab w:val="left" w:pos="4860"/>
        </w:tabs>
        <w:spacing w:line="588" w:lineRule="exact"/>
        <w:ind w:right="1560" w:firstLine="480" w:firstLineChars="200"/>
        <w:jc w:val="center"/>
        <w:rPr>
          <w:rFonts w:hint="eastAsia" w:ascii="宋体" w:hAnsi="宋体" w:eastAsia="宋体" w:cs="宋体"/>
          <w:color w:val="auto"/>
          <w:sz w:val="24"/>
          <w:szCs w:val="24"/>
        </w:rPr>
      </w:pPr>
    </w:p>
    <w:p>
      <w:pPr>
        <w:spacing w:line="360" w:lineRule="auto"/>
        <w:ind w:firstLine="442" w:firstLineChars="200"/>
        <w:rPr>
          <w:rFonts w:hint="eastAsia" w:ascii="宋体" w:hAnsi="宋体" w:eastAsia="宋体" w:cs="宋体"/>
          <w:color w:val="auto"/>
        </w:rPr>
      </w:pPr>
      <w:r>
        <w:rPr>
          <w:rFonts w:hint="eastAsia" w:ascii="宋体" w:hAnsi="宋体" w:eastAsia="宋体" w:cs="宋体"/>
          <w:b/>
          <w:color w:val="auto"/>
          <w:sz w:val="22"/>
        </w:rPr>
        <w:t>注：残疾人福利性单位的应填写。</w:t>
      </w:r>
    </w:p>
    <w:p>
      <w:pPr>
        <w:autoSpaceDE w:val="0"/>
        <w:autoSpaceDN w:val="0"/>
        <w:adjustRightInd w:val="0"/>
        <w:spacing w:line="560" w:lineRule="exact"/>
        <w:ind w:left="2520"/>
        <w:rPr>
          <w:rFonts w:hint="eastAsia" w:ascii="宋体" w:hAnsi="宋体" w:eastAsia="宋体" w:cs="宋体"/>
          <w:b/>
          <w:bCs/>
          <w:color w:val="auto"/>
          <w:sz w:val="30"/>
          <w:szCs w:val="30"/>
        </w:rPr>
      </w:pPr>
    </w:p>
    <w:p>
      <w:pPr>
        <w:pStyle w:val="49"/>
        <w:rPr>
          <w:rFonts w:hint="eastAsia" w:ascii="宋体" w:hAnsi="宋体" w:eastAsia="宋体" w:cs="宋体"/>
          <w:b/>
          <w:bCs/>
          <w:color w:val="auto"/>
          <w:kern w:val="0"/>
          <w:szCs w:val="28"/>
        </w:rPr>
      </w:pPr>
    </w:p>
    <w:p>
      <w:pPr>
        <w:pStyle w:val="49"/>
        <w:rPr>
          <w:rFonts w:hint="eastAsia" w:ascii="宋体" w:hAnsi="宋体" w:eastAsia="宋体" w:cs="宋体"/>
          <w:b/>
          <w:bCs/>
          <w:color w:val="auto"/>
          <w:kern w:val="0"/>
          <w:szCs w:val="28"/>
        </w:rPr>
      </w:pPr>
    </w:p>
    <w:p>
      <w:pPr>
        <w:pStyle w:val="49"/>
        <w:rPr>
          <w:rFonts w:hint="eastAsia" w:ascii="宋体" w:hAnsi="宋体" w:eastAsia="宋体" w:cs="宋体"/>
          <w:b/>
          <w:bCs/>
          <w:color w:val="auto"/>
          <w:kern w:val="0"/>
          <w:szCs w:val="28"/>
        </w:rPr>
      </w:pPr>
    </w:p>
    <w:p>
      <w:pPr>
        <w:pStyle w:val="49"/>
        <w:rPr>
          <w:rFonts w:hint="eastAsia" w:ascii="宋体" w:hAnsi="宋体" w:eastAsia="宋体" w:cs="宋体"/>
          <w:b/>
          <w:bCs/>
          <w:color w:val="auto"/>
          <w:kern w:val="0"/>
          <w:szCs w:val="28"/>
        </w:rPr>
      </w:pPr>
    </w:p>
    <w:p>
      <w:pPr>
        <w:pStyle w:val="2"/>
        <w:rPr>
          <w:rFonts w:hint="eastAsia" w:ascii="宋体" w:hAnsi="宋体" w:eastAsia="宋体" w:cs="宋体"/>
        </w:rPr>
      </w:pPr>
    </w:p>
    <w:p>
      <w:pPr>
        <w:pStyle w:val="52"/>
        <w:ind w:left="0" w:leftChars="0" w:firstLine="0" w:firstLineChars="0"/>
        <w:rPr>
          <w:rFonts w:hint="eastAsia" w:ascii="宋体" w:hAnsi="宋体" w:eastAsia="宋体" w:cs="宋体"/>
          <w:color w:val="auto"/>
        </w:rPr>
      </w:pPr>
    </w:p>
    <w:p>
      <w:pPr>
        <w:keepNext/>
        <w:spacing w:line="400" w:lineRule="exact"/>
        <w:jc w:val="center"/>
        <w:outlineLvl w:val="1"/>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en-US" w:eastAsia="zh-CN"/>
        </w:rPr>
        <w:t>8.4</w:t>
      </w:r>
      <w:r>
        <w:rPr>
          <w:rFonts w:hint="eastAsia" w:ascii="宋体" w:hAnsi="宋体" w:eastAsia="宋体" w:cs="宋体"/>
          <w:b/>
          <w:bCs/>
          <w:color w:val="auto"/>
          <w:kern w:val="0"/>
          <w:sz w:val="24"/>
          <w:szCs w:val="24"/>
          <w:lang w:val="zh-CN"/>
        </w:rPr>
        <w:t>节能、环保设备（产品）认证证书（若有）</w:t>
      </w:r>
    </w:p>
    <w:p>
      <w:pPr>
        <w:spacing w:line="520" w:lineRule="exact"/>
        <w:jc w:val="center"/>
        <w:rPr>
          <w:rFonts w:hint="eastAsia" w:ascii="宋体" w:hAnsi="宋体" w:eastAsia="宋体" w:cs="宋体"/>
          <w:color w:val="auto"/>
          <w:sz w:val="28"/>
          <w:szCs w:val="28"/>
        </w:rPr>
      </w:pPr>
    </w:p>
    <w:p>
      <w:pPr>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（注：参与</w:t>
      </w:r>
      <w:r>
        <w:rPr>
          <w:rFonts w:hint="eastAsia" w:ascii="宋体" w:hAnsi="宋体" w:eastAsia="宋体" w:cs="宋体"/>
          <w:color w:val="auto"/>
          <w:sz w:val="24"/>
          <w:szCs w:val="24"/>
          <w:lang w:val="en-US" w:eastAsia="zh-CN"/>
        </w:rPr>
        <w:t>单一来源采购</w:t>
      </w:r>
      <w:r>
        <w:rPr>
          <w:rFonts w:hint="eastAsia" w:ascii="宋体" w:hAnsi="宋体" w:eastAsia="宋体" w:cs="宋体"/>
          <w:color w:val="auto"/>
          <w:sz w:val="24"/>
          <w:szCs w:val="24"/>
        </w:rPr>
        <w:t>的供应商具有节能、环保产品的应提供。）</w:t>
      </w:r>
    </w:p>
    <w:p>
      <w:pPr>
        <w:pStyle w:val="2"/>
        <w:rPr>
          <w:rFonts w:hint="eastAsia" w:ascii="宋体" w:hAnsi="宋体" w:eastAsia="宋体" w:cs="宋体"/>
        </w:rPr>
      </w:pPr>
    </w:p>
    <w:p>
      <w:pPr>
        <w:autoSpaceDE w:val="0"/>
        <w:autoSpaceDN w:val="0"/>
        <w:adjustRightInd w:val="0"/>
        <w:spacing w:line="560" w:lineRule="exact"/>
        <w:ind w:left="2520"/>
        <w:rPr>
          <w:rFonts w:hint="eastAsia" w:ascii="宋体" w:hAnsi="宋体" w:eastAsia="宋体" w:cs="宋体"/>
          <w:b/>
          <w:bCs/>
          <w:color w:val="auto"/>
          <w:sz w:val="30"/>
          <w:szCs w:val="30"/>
        </w:rPr>
      </w:pPr>
    </w:p>
    <w:p>
      <w:pPr>
        <w:pStyle w:val="4"/>
        <w:keepNext/>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auto"/>
          <w:szCs w:val="28"/>
          <w:lang w:val="en-US" w:eastAsia="zh-CN"/>
        </w:rPr>
      </w:pPr>
      <w:r>
        <w:rPr>
          <w:rFonts w:hint="eastAsia" w:ascii="宋体" w:hAnsi="宋体" w:eastAsia="宋体" w:cs="宋体"/>
          <w:b/>
          <w:bCs/>
          <w:color w:val="auto"/>
          <w:szCs w:val="28"/>
          <w:lang w:val="en-US" w:eastAsia="zh-CN"/>
        </w:rPr>
        <w:t>第九部分 其他资料</w:t>
      </w:r>
    </w:p>
    <w:p>
      <w:pPr>
        <w:pStyle w:val="16"/>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基本存款账户开户许可证（基本账户信息表）。</w:t>
      </w:r>
    </w:p>
    <w:p>
      <w:pPr>
        <w:pStyle w:val="16"/>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w:t>
      </w:r>
      <w:r>
        <w:rPr>
          <w:rFonts w:hint="eastAsia" w:ascii="宋体" w:hAnsi="宋体" w:eastAsia="宋体" w:cs="宋体"/>
          <w:color w:val="auto"/>
          <w:sz w:val="24"/>
          <w:szCs w:val="24"/>
          <w:lang w:eastAsia="zh-CN"/>
        </w:rPr>
        <w:t>单一来源文件</w:t>
      </w:r>
      <w:r>
        <w:rPr>
          <w:rFonts w:hint="eastAsia" w:ascii="宋体" w:hAnsi="宋体" w:eastAsia="宋体" w:cs="宋体"/>
          <w:color w:val="auto"/>
          <w:sz w:val="24"/>
          <w:szCs w:val="24"/>
        </w:rPr>
        <w:t>要求，供应商认为有必要说明的其他内容。</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、其他可以证明供应商实力的文件。</w:t>
      </w:r>
    </w:p>
    <w:p>
      <w:pPr>
        <w:pStyle w:val="34"/>
        <w:numPr>
          <w:ilvl w:val="0"/>
          <w:numId w:val="0"/>
        </w:numPr>
        <w:rPr>
          <w:rFonts w:hint="eastAsia" w:ascii="宋体" w:hAnsi="宋体" w:eastAsia="宋体" w:cs="宋体"/>
          <w:color w:val="auto"/>
          <w:lang w:val="en-US" w:eastAsia="zh-CN"/>
        </w:rPr>
      </w:pPr>
    </w:p>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6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auto"/>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24"/>
      <w:tabs>
        <w:tab w:val="right" w:pos="9135"/>
        <w:tab w:val="clear" w:pos="8306"/>
      </w:tabs>
      <w:ind w:right="-65"/>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066" w:firstLineChars="22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pPr>
      <w:pStyle w:val="24"/>
      <w:tabs>
        <w:tab w:val="right" w:pos="9135"/>
        <w:tab w:val="clear" w:pos="8306"/>
      </w:tabs>
      <w:ind w:right="-6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480"/>
        <w:tab w:val="clear" w:pos="8306"/>
      </w:tabs>
      <w:jc w:val="both"/>
      <w:rPr>
        <w:rFonts w:hint="default"/>
        <w:lang w:val="en-US"/>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w:t>
    </w:r>
    <w:r>
      <w:rPr>
        <w:sz w:val="18"/>
        <w:szCs w:val="18"/>
      </w:rPr>
      <mc:AlternateContent>
        <mc:Choice Requires="wps">
          <w:drawing>
            <wp:anchor distT="0" distB="0" distL="114300" distR="114300" simplePos="0" relativeHeight="251663360"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3360;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QC4YnUAAAACAEAAA8AAAAAAAAAAQAgAAAAIgAAAGRycy9k&#10;b3ducmV2LnhtbFBLAQIUABQAAAAIAIdO4kCnM+XtzQEAAKkDAAAOAAAAAAAAAAEAIAAAACMBAABk&#10;cnMvZTJvRG9jLnhtbFBLBQYAAAAABgAGAFkBAABiBQ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233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233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QC4YnUAAAACAEAAA8AAAAAAAAAAQAgAAAAIgAAAGRycy9k&#10;b3ducmV2LnhtbFBLAQIUABQAAAAIAIdO4kBAlEQlzQEAAKkDAAAOAAAAAAAAAAEAIAAAACMBAABk&#10;cnMvZTJvRG9jLnhtbFBLBQYAAAAABgAGAFkBAABiBQ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131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131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QC4YnUAAAACAEAAA8AAAAAAAAAAQAgAAAAIgAAAGRycy9k&#10;b3ducmV2LnhtbFBLAQIUABQAAAAIAIdO4kAoetenzQEAAKkDAAAOAAAAAAAAAAEAIAAAACMBAABk&#10;cnMvZTJvRG9jLnhtbFBLBQYAAAAABgAGAFkBAABiBQ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0288" behindDoc="0" locked="0" layoutInCell="1" allowOverlap="1">
              <wp:simplePos x="0" y="0"/>
              <wp:positionH relativeFrom="margin">
                <wp:posOffset>2948305</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32.15pt;margin-top:0pt;height:144pt;width:144pt;mso-position-horizontal-relative:margin;mso-wrap-style:none;z-index:251660288;mso-width-relative:page;mso-height-relative:page;" filled="f" stroked="f" coordsize="21600,21600" o:gfxdata="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jwXT7UAAAACAEAAA8AAAAAAAAAAQAgAAAAIgAAAGRycy9k&#10;b3ducmV2LnhtbFBLAQIUABQAAAAIAIdO4kDP3XZvzQEAAKkDAAAOAAAAAAAAAAEAIAAAACMBAABk&#10;cnMvZTJvRG9jLnhtbFBLBQYAAAAABgAGAFkBAABiBQ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rFonts w:hint="eastAsia"/>
        <w:sz w:val="18"/>
        <w:szCs w:val="18"/>
        <w:lang w:eastAsia="zh-CN"/>
      </w:rPr>
      <w:tab/>
    </w:r>
    <w:r>
      <w:rPr>
        <w:rFonts w:hint="eastAsia"/>
        <w:sz w:val="18"/>
        <w:szCs w:val="18"/>
        <w:lang w:val="en-US"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100" w:lineRule="atLeast"/>
      <w:jc w:val="center"/>
      <w:rPr>
        <w:rFonts w:hint="eastAsia"/>
        <w:lang w:eastAsia="zh-CN"/>
      </w:rPr>
    </w:pPr>
    <w:r>
      <w:rPr>
        <w:rFonts w:hint="eastAsia" w:ascii="宋体" w:hAnsi="宋体" w:eastAsia="宋体" w:cs="宋体"/>
      </w:rPr>
      <w:t>项目编号：ZFCG-泾阳县-2023-00009                    泾阳县县委、政府两院光纤使用费项目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ascii="宋体"/>
        <w:b/>
        <w:bCs/>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100" w:lineRule="atLeast"/>
      <w:jc w:val="center"/>
      <w:rPr>
        <w:rFonts w:hint="eastAsia" w:ascii="宋体" w:hAnsi="宋体" w:eastAsia="宋体" w:cs="宋体"/>
        <w:b/>
        <w:bCs/>
        <w:iCs/>
        <w:lang w:eastAsia="zh-CN"/>
      </w:rPr>
    </w:pPr>
    <w:r>
      <w:rPr>
        <w:rFonts w:hint="eastAsia" w:ascii="宋体" w:hAnsi="宋体" w:eastAsia="宋体" w:cs="宋体"/>
      </w:rPr>
      <w:t>项目编号：ZFCG-泾阳县-2023-00009</w:t>
    </w:r>
    <w:r>
      <w:rPr>
        <w:rFonts w:hint="eastAsia" w:ascii="宋体" w:hAnsi="宋体" w:cs="宋体"/>
        <w:lang w:val="en-US" w:eastAsia="zh-CN"/>
      </w:rPr>
      <w:t xml:space="preserve">                    泾阳县县委、政府两院光纤使用费项目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100" w:lineRule="atLeast"/>
      <w:jc w:val="center"/>
    </w:pPr>
    <w:r>
      <w:rPr>
        <w:rFonts w:hint="eastAsia" w:ascii="宋体" w:hAnsi="宋体" w:eastAsia="宋体" w:cs="宋体"/>
      </w:rPr>
      <w:t>项目编号：ZFCG-泾阳县-2023-00009</w:t>
    </w:r>
    <w:r>
      <w:rPr>
        <w:rFonts w:hint="eastAsia" w:ascii="宋体" w:hAnsi="宋体" w:cs="宋体"/>
        <w:lang w:val="en-US" w:eastAsia="zh-CN"/>
      </w:rPr>
      <w:t xml:space="preserve">                    泾阳县县委、政府两院光纤使用费项目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100" w:lineRule="atLeast"/>
      <w:jc w:val="center"/>
      <w:rPr>
        <w:rFonts w:ascii="仿宋" w:hAnsi="仿宋" w:eastAsia="仿宋"/>
        <w:b/>
        <w:bCs/>
        <w:iCs/>
      </w:rPr>
    </w:pPr>
    <w:r>
      <w:rPr>
        <w:rFonts w:hint="eastAsia" w:ascii="宋体" w:hAnsi="宋体" w:eastAsia="宋体" w:cs="宋体"/>
      </w:rPr>
      <w:t>项目编号：ZFCG-泾阳县-2023-00009</w:t>
    </w:r>
    <w:r>
      <w:rPr>
        <w:rFonts w:hint="eastAsia" w:ascii="宋体" w:hAnsi="宋体" w:cs="宋体"/>
        <w:lang w:val="en-US" w:eastAsia="zh-CN"/>
      </w:rPr>
      <w:t xml:space="preserve">                    泾阳县县委、政府两院光纤使用费项目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100" w:lineRule="atLeast"/>
      <w:jc w:val="center"/>
      <w:rPr>
        <w:rFonts w:ascii="仿宋" w:hAnsi="仿宋" w:eastAsia="仿宋"/>
        <w:b/>
        <w:bCs/>
        <w:iCs/>
      </w:rPr>
    </w:pPr>
    <w:r>
      <w:rPr>
        <w:rFonts w:hint="eastAsia" w:ascii="宋体" w:hAnsi="宋体" w:eastAsia="宋体" w:cs="宋体"/>
      </w:rPr>
      <w:t>项目编号：ZFCG-泾阳县-2023-00009</w:t>
    </w:r>
    <w:r>
      <w:rPr>
        <w:rFonts w:hint="eastAsia" w:ascii="宋体" w:hAnsi="宋体" w:cs="宋体"/>
        <w:lang w:val="en-US" w:eastAsia="zh-CN"/>
      </w:rPr>
      <w:t xml:space="preserve">                    泾阳县县委、政府两院光纤使用费项目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7DD56"/>
    <w:multiLevelType w:val="singleLevel"/>
    <w:tmpl w:val="B807DD56"/>
    <w:lvl w:ilvl="0" w:tentative="0">
      <w:start w:val="1"/>
      <w:numFmt w:val="decimal"/>
      <w:suff w:val="nothing"/>
      <w:lvlText w:val="%1、"/>
      <w:lvlJc w:val="left"/>
      <w:pPr>
        <w:ind w:left="210"/>
      </w:pPr>
    </w:lvl>
  </w:abstractNum>
  <w:abstractNum w:abstractNumId="1">
    <w:nsid w:val="E407AC31"/>
    <w:multiLevelType w:val="singleLevel"/>
    <w:tmpl w:val="E407AC31"/>
    <w:lvl w:ilvl="0" w:tentative="0">
      <w:start w:val="3"/>
      <w:numFmt w:val="upperLetter"/>
      <w:suff w:val="nothing"/>
      <w:lvlText w:val="%1、"/>
      <w:lvlJc w:val="left"/>
    </w:lvl>
  </w:abstractNum>
  <w:abstractNum w:abstractNumId="2">
    <w:nsid w:val="FE9D9E2D"/>
    <w:multiLevelType w:val="singleLevel"/>
    <w:tmpl w:val="FE9D9E2D"/>
    <w:lvl w:ilvl="0" w:tentative="0">
      <w:start w:val="1"/>
      <w:numFmt w:val="decimal"/>
      <w:suff w:val="nothing"/>
      <w:lvlText w:val="%1、"/>
      <w:lvlJc w:val="left"/>
      <w:pPr>
        <w:ind w:left="210"/>
      </w:pPr>
      <w:rPr>
        <w:rFonts w:hint="default"/>
        <w:b/>
        <w:bCs/>
      </w:rPr>
    </w:lvl>
  </w:abstractNum>
  <w:abstractNum w:abstractNumId="3">
    <w:nsid w:val="2BA6A28D"/>
    <w:multiLevelType w:val="singleLevel"/>
    <w:tmpl w:val="2BA6A28D"/>
    <w:lvl w:ilvl="0" w:tentative="0">
      <w:start w:val="1"/>
      <w:numFmt w:val="decimal"/>
      <w:suff w:val="nothing"/>
      <w:lvlText w:val="%1、"/>
      <w:lvlJc w:val="left"/>
    </w:lvl>
  </w:abstractNum>
  <w:abstractNum w:abstractNumId="4">
    <w:nsid w:val="3DE55990"/>
    <w:multiLevelType w:val="singleLevel"/>
    <w:tmpl w:val="3DE55990"/>
    <w:lvl w:ilvl="0" w:tentative="0">
      <w:start w:val="10"/>
      <w:numFmt w:val="decimal"/>
      <w:suff w:val="nothing"/>
      <w:lvlText w:val="%1、"/>
      <w:lvlJc w:val="left"/>
    </w:lvl>
  </w:abstractNum>
  <w:abstractNum w:abstractNumId="5">
    <w:nsid w:val="4E55BE5D"/>
    <w:multiLevelType w:val="singleLevel"/>
    <w:tmpl w:val="4E55BE5D"/>
    <w:lvl w:ilvl="0" w:tentative="0">
      <w:start w:val="3"/>
      <w:numFmt w:val="chineseCounting"/>
      <w:suff w:val="nothing"/>
      <w:lvlText w:val="%1、"/>
      <w:lvlJc w:val="left"/>
      <w:rPr>
        <w:rFonts w:hint="eastAsia"/>
      </w:rPr>
    </w:lvl>
  </w:abstractNum>
  <w:abstractNum w:abstractNumId="6">
    <w:nsid w:val="56650600"/>
    <w:multiLevelType w:val="singleLevel"/>
    <w:tmpl w:val="56650600"/>
    <w:lvl w:ilvl="0" w:tentative="0">
      <w:start w:val="1"/>
      <w:numFmt w:val="decimal"/>
      <w:suff w:val="nothing"/>
      <w:lvlText w:val="%1、"/>
      <w:lvlJc w:val="left"/>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NTVlOTg5NWQ4MmIyNjc5MzdjMDY1OTljOGQ4YWEifQ=="/>
  </w:docVars>
  <w:rsids>
    <w:rsidRoot w:val="00AF7032"/>
    <w:rsid w:val="00002082"/>
    <w:rsid w:val="00002415"/>
    <w:rsid w:val="00005936"/>
    <w:rsid w:val="00005C9D"/>
    <w:rsid w:val="000072CF"/>
    <w:rsid w:val="00010847"/>
    <w:rsid w:val="00011C1D"/>
    <w:rsid w:val="00012265"/>
    <w:rsid w:val="000126E0"/>
    <w:rsid w:val="00015A2B"/>
    <w:rsid w:val="000169B2"/>
    <w:rsid w:val="00017B40"/>
    <w:rsid w:val="0002051E"/>
    <w:rsid w:val="000224F5"/>
    <w:rsid w:val="000246B1"/>
    <w:rsid w:val="00025AB7"/>
    <w:rsid w:val="00030A37"/>
    <w:rsid w:val="0003191A"/>
    <w:rsid w:val="00032033"/>
    <w:rsid w:val="000333D3"/>
    <w:rsid w:val="00035A02"/>
    <w:rsid w:val="00040727"/>
    <w:rsid w:val="00040B71"/>
    <w:rsid w:val="00041A78"/>
    <w:rsid w:val="0004320A"/>
    <w:rsid w:val="00043FD9"/>
    <w:rsid w:val="00044112"/>
    <w:rsid w:val="00045317"/>
    <w:rsid w:val="000459D4"/>
    <w:rsid w:val="00045BD4"/>
    <w:rsid w:val="000468ED"/>
    <w:rsid w:val="0004767C"/>
    <w:rsid w:val="000530F3"/>
    <w:rsid w:val="00053B9E"/>
    <w:rsid w:val="00055378"/>
    <w:rsid w:val="00055A76"/>
    <w:rsid w:val="00064E85"/>
    <w:rsid w:val="000671E1"/>
    <w:rsid w:val="00070C79"/>
    <w:rsid w:val="00071475"/>
    <w:rsid w:val="0007459A"/>
    <w:rsid w:val="00074C03"/>
    <w:rsid w:val="00075479"/>
    <w:rsid w:val="00077E8A"/>
    <w:rsid w:val="00082634"/>
    <w:rsid w:val="00083291"/>
    <w:rsid w:val="00083C78"/>
    <w:rsid w:val="00084442"/>
    <w:rsid w:val="0009325C"/>
    <w:rsid w:val="0009348E"/>
    <w:rsid w:val="00093572"/>
    <w:rsid w:val="00093A93"/>
    <w:rsid w:val="00095FC9"/>
    <w:rsid w:val="000A138F"/>
    <w:rsid w:val="000A1BAC"/>
    <w:rsid w:val="000A2B04"/>
    <w:rsid w:val="000A41EA"/>
    <w:rsid w:val="000A48D7"/>
    <w:rsid w:val="000A677E"/>
    <w:rsid w:val="000B0DDD"/>
    <w:rsid w:val="000B5D53"/>
    <w:rsid w:val="000B6887"/>
    <w:rsid w:val="000B724B"/>
    <w:rsid w:val="000C06B0"/>
    <w:rsid w:val="000C07E3"/>
    <w:rsid w:val="000C0D27"/>
    <w:rsid w:val="000C4415"/>
    <w:rsid w:val="000C5E84"/>
    <w:rsid w:val="000D3948"/>
    <w:rsid w:val="000D5DDA"/>
    <w:rsid w:val="000D6550"/>
    <w:rsid w:val="000D6BD8"/>
    <w:rsid w:val="000E2FFA"/>
    <w:rsid w:val="000E361A"/>
    <w:rsid w:val="000E3DC9"/>
    <w:rsid w:val="000E59FD"/>
    <w:rsid w:val="000E6228"/>
    <w:rsid w:val="000E6D2D"/>
    <w:rsid w:val="000E76E4"/>
    <w:rsid w:val="000F0D15"/>
    <w:rsid w:val="000F1D56"/>
    <w:rsid w:val="000F441B"/>
    <w:rsid w:val="000F6C6D"/>
    <w:rsid w:val="000F6EDE"/>
    <w:rsid w:val="000F72A8"/>
    <w:rsid w:val="001004B7"/>
    <w:rsid w:val="00102146"/>
    <w:rsid w:val="001035A1"/>
    <w:rsid w:val="00103B71"/>
    <w:rsid w:val="00103E26"/>
    <w:rsid w:val="00105186"/>
    <w:rsid w:val="00105A1D"/>
    <w:rsid w:val="00105ABF"/>
    <w:rsid w:val="001067C6"/>
    <w:rsid w:val="00106C53"/>
    <w:rsid w:val="001072D5"/>
    <w:rsid w:val="001105A6"/>
    <w:rsid w:val="00110A4F"/>
    <w:rsid w:val="0011202A"/>
    <w:rsid w:val="00113D2E"/>
    <w:rsid w:val="0011475D"/>
    <w:rsid w:val="00115266"/>
    <w:rsid w:val="001163E5"/>
    <w:rsid w:val="001213EB"/>
    <w:rsid w:val="0012297F"/>
    <w:rsid w:val="0012548F"/>
    <w:rsid w:val="001254A6"/>
    <w:rsid w:val="00126169"/>
    <w:rsid w:val="0012658C"/>
    <w:rsid w:val="001268BB"/>
    <w:rsid w:val="00134C63"/>
    <w:rsid w:val="00135A73"/>
    <w:rsid w:val="00136679"/>
    <w:rsid w:val="0013708B"/>
    <w:rsid w:val="001378FA"/>
    <w:rsid w:val="001405BE"/>
    <w:rsid w:val="0014192C"/>
    <w:rsid w:val="00141A55"/>
    <w:rsid w:val="00141C57"/>
    <w:rsid w:val="00141FF0"/>
    <w:rsid w:val="00143963"/>
    <w:rsid w:val="00144D56"/>
    <w:rsid w:val="001477D9"/>
    <w:rsid w:val="00150743"/>
    <w:rsid w:val="00152EAA"/>
    <w:rsid w:val="00153340"/>
    <w:rsid w:val="00154781"/>
    <w:rsid w:val="00154885"/>
    <w:rsid w:val="00154E32"/>
    <w:rsid w:val="00155883"/>
    <w:rsid w:val="00155A12"/>
    <w:rsid w:val="001560DB"/>
    <w:rsid w:val="00157555"/>
    <w:rsid w:val="001615C5"/>
    <w:rsid w:val="00163CB7"/>
    <w:rsid w:val="00163DAC"/>
    <w:rsid w:val="00165D7C"/>
    <w:rsid w:val="00166581"/>
    <w:rsid w:val="00166874"/>
    <w:rsid w:val="00170DEA"/>
    <w:rsid w:val="00170E44"/>
    <w:rsid w:val="00171185"/>
    <w:rsid w:val="001714A6"/>
    <w:rsid w:val="001721BB"/>
    <w:rsid w:val="001726A8"/>
    <w:rsid w:val="00173436"/>
    <w:rsid w:val="00173664"/>
    <w:rsid w:val="001744BE"/>
    <w:rsid w:val="0017467F"/>
    <w:rsid w:val="00177672"/>
    <w:rsid w:val="00181543"/>
    <w:rsid w:val="00183D46"/>
    <w:rsid w:val="0018405A"/>
    <w:rsid w:val="00186867"/>
    <w:rsid w:val="00186BB2"/>
    <w:rsid w:val="001900C9"/>
    <w:rsid w:val="001920AB"/>
    <w:rsid w:val="0019280B"/>
    <w:rsid w:val="00195BC5"/>
    <w:rsid w:val="001A4555"/>
    <w:rsid w:val="001A5EB8"/>
    <w:rsid w:val="001A7A12"/>
    <w:rsid w:val="001B04F5"/>
    <w:rsid w:val="001B15C5"/>
    <w:rsid w:val="001B35E2"/>
    <w:rsid w:val="001B377D"/>
    <w:rsid w:val="001B4584"/>
    <w:rsid w:val="001B45ED"/>
    <w:rsid w:val="001B4E18"/>
    <w:rsid w:val="001B56E5"/>
    <w:rsid w:val="001B7387"/>
    <w:rsid w:val="001C1E52"/>
    <w:rsid w:val="001C2365"/>
    <w:rsid w:val="001C2A9C"/>
    <w:rsid w:val="001C43E7"/>
    <w:rsid w:val="001C4D04"/>
    <w:rsid w:val="001C6156"/>
    <w:rsid w:val="001C66A2"/>
    <w:rsid w:val="001D204D"/>
    <w:rsid w:val="001D5F0D"/>
    <w:rsid w:val="001D64A0"/>
    <w:rsid w:val="001D6D11"/>
    <w:rsid w:val="001D72AB"/>
    <w:rsid w:val="001E0640"/>
    <w:rsid w:val="001E0784"/>
    <w:rsid w:val="001E1D5E"/>
    <w:rsid w:val="001E3E03"/>
    <w:rsid w:val="001E3EF8"/>
    <w:rsid w:val="001E456B"/>
    <w:rsid w:val="001E4B10"/>
    <w:rsid w:val="001F07D0"/>
    <w:rsid w:val="001F082A"/>
    <w:rsid w:val="001F0913"/>
    <w:rsid w:val="001F0CA9"/>
    <w:rsid w:val="001F3D73"/>
    <w:rsid w:val="001F5855"/>
    <w:rsid w:val="001F6CB3"/>
    <w:rsid w:val="00201148"/>
    <w:rsid w:val="00202413"/>
    <w:rsid w:val="00203E84"/>
    <w:rsid w:val="002040BE"/>
    <w:rsid w:val="00205BFA"/>
    <w:rsid w:val="0020729D"/>
    <w:rsid w:val="002110B4"/>
    <w:rsid w:val="002114D1"/>
    <w:rsid w:val="00211D96"/>
    <w:rsid w:val="00217065"/>
    <w:rsid w:val="0021747B"/>
    <w:rsid w:val="00221F84"/>
    <w:rsid w:val="00223601"/>
    <w:rsid w:val="002252DC"/>
    <w:rsid w:val="00227C56"/>
    <w:rsid w:val="0023030C"/>
    <w:rsid w:val="0023048D"/>
    <w:rsid w:val="00230B14"/>
    <w:rsid w:val="0023396B"/>
    <w:rsid w:val="00234950"/>
    <w:rsid w:val="0023569D"/>
    <w:rsid w:val="00236DE4"/>
    <w:rsid w:val="002427BB"/>
    <w:rsid w:val="002430B3"/>
    <w:rsid w:val="0024320F"/>
    <w:rsid w:val="002437D2"/>
    <w:rsid w:val="002451B8"/>
    <w:rsid w:val="002467D6"/>
    <w:rsid w:val="00250413"/>
    <w:rsid w:val="0025138E"/>
    <w:rsid w:val="00253A2F"/>
    <w:rsid w:val="0025491A"/>
    <w:rsid w:val="002552A8"/>
    <w:rsid w:val="00255643"/>
    <w:rsid w:val="00256CA1"/>
    <w:rsid w:val="00256EE9"/>
    <w:rsid w:val="00256FF8"/>
    <w:rsid w:val="00260761"/>
    <w:rsid w:val="002608C1"/>
    <w:rsid w:val="00260F58"/>
    <w:rsid w:val="002626FB"/>
    <w:rsid w:val="002630E7"/>
    <w:rsid w:val="002637BE"/>
    <w:rsid w:val="00264377"/>
    <w:rsid w:val="0026651C"/>
    <w:rsid w:val="00266EDB"/>
    <w:rsid w:val="002670EF"/>
    <w:rsid w:val="00267768"/>
    <w:rsid w:val="00267DE8"/>
    <w:rsid w:val="00270243"/>
    <w:rsid w:val="00270763"/>
    <w:rsid w:val="002722E8"/>
    <w:rsid w:val="002742B6"/>
    <w:rsid w:val="0027517B"/>
    <w:rsid w:val="00275DB6"/>
    <w:rsid w:val="00277227"/>
    <w:rsid w:val="002775B4"/>
    <w:rsid w:val="0027781D"/>
    <w:rsid w:val="002779FF"/>
    <w:rsid w:val="00281921"/>
    <w:rsid w:val="00283837"/>
    <w:rsid w:val="0028537E"/>
    <w:rsid w:val="0028547F"/>
    <w:rsid w:val="0028691C"/>
    <w:rsid w:val="00291EE5"/>
    <w:rsid w:val="00294B5D"/>
    <w:rsid w:val="00295C0B"/>
    <w:rsid w:val="002A135F"/>
    <w:rsid w:val="002A1A17"/>
    <w:rsid w:val="002A1F94"/>
    <w:rsid w:val="002A26F0"/>
    <w:rsid w:val="002A48E1"/>
    <w:rsid w:val="002A5A8E"/>
    <w:rsid w:val="002A7770"/>
    <w:rsid w:val="002B0704"/>
    <w:rsid w:val="002B1C26"/>
    <w:rsid w:val="002B215D"/>
    <w:rsid w:val="002B433F"/>
    <w:rsid w:val="002B5708"/>
    <w:rsid w:val="002C2B5B"/>
    <w:rsid w:val="002C3CF1"/>
    <w:rsid w:val="002C412E"/>
    <w:rsid w:val="002C587F"/>
    <w:rsid w:val="002C72E2"/>
    <w:rsid w:val="002D101E"/>
    <w:rsid w:val="002D1744"/>
    <w:rsid w:val="002D25D7"/>
    <w:rsid w:val="002D2DC4"/>
    <w:rsid w:val="002D3376"/>
    <w:rsid w:val="002D3C31"/>
    <w:rsid w:val="002D6432"/>
    <w:rsid w:val="002D64D9"/>
    <w:rsid w:val="002E0586"/>
    <w:rsid w:val="002E1258"/>
    <w:rsid w:val="002E30BB"/>
    <w:rsid w:val="002E33CC"/>
    <w:rsid w:val="002E388A"/>
    <w:rsid w:val="002E4F44"/>
    <w:rsid w:val="002E4FC1"/>
    <w:rsid w:val="002E6F47"/>
    <w:rsid w:val="002F27B9"/>
    <w:rsid w:val="002F48FF"/>
    <w:rsid w:val="00302C50"/>
    <w:rsid w:val="003039C4"/>
    <w:rsid w:val="00303B84"/>
    <w:rsid w:val="00303DA7"/>
    <w:rsid w:val="003044B5"/>
    <w:rsid w:val="00304CFB"/>
    <w:rsid w:val="003074CF"/>
    <w:rsid w:val="00307529"/>
    <w:rsid w:val="00311931"/>
    <w:rsid w:val="00311A32"/>
    <w:rsid w:val="00315645"/>
    <w:rsid w:val="00317F13"/>
    <w:rsid w:val="00321D3B"/>
    <w:rsid w:val="00323212"/>
    <w:rsid w:val="003236EA"/>
    <w:rsid w:val="00323D53"/>
    <w:rsid w:val="003243B7"/>
    <w:rsid w:val="00324A81"/>
    <w:rsid w:val="00324C9F"/>
    <w:rsid w:val="00331F40"/>
    <w:rsid w:val="0033248E"/>
    <w:rsid w:val="003324EB"/>
    <w:rsid w:val="00332F45"/>
    <w:rsid w:val="00333F98"/>
    <w:rsid w:val="003340C6"/>
    <w:rsid w:val="00335141"/>
    <w:rsid w:val="00335C1C"/>
    <w:rsid w:val="003405B4"/>
    <w:rsid w:val="003412F6"/>
    <w:rsid w:val="00344DF7"/>
    <w:rsid w:val="00344E5F"/>
    <w:rsid w:val="003503B2"/>
    <w:rsid w:val="003505FC"/>
    <w:rsid w:val="00350814"/>
    <w:rsid w:val="003534C3"/>
    <w:rsid w:val="0035393A"/>
    <w:rsid w:val="00353CD1"/>
    <w:rsid w:val="00356A62"/>
    <w:rsid w:val="00356BF7"/>
    <w:rsid w:val="00360E0C"/>
    <w:rsid w:val="003624DB"/>
    <w:rsid w:val="00362A4B"/>
    <w:rsid w:val="003640D3"/>
    <w:rsid w:val="00364411"/>
    <w:rsid w:val="0036462B"/>
    <w:rsid w:val="0036717A"/>
    <w:rsid w:val="00367937"/>
    <w:rsid w:val="003712EB"/>
    <w:rsid w:val="003729CC"/>
    <w:rsid w:val="00372B57"/>
    <w:rsid w:val="003735D4"/>
    <w:rsid w:val="003735E0"/>
    <w:rsid w:val="00373DF9"/>
    <w:rsid w:val="0037424E"/>
    <w:rsid w:val="00374B72"/>
    <w:rsid w:val="00375CEA"/>
    <w:rsid w:val="00376CB8"/>
    <w:rsid w:val="0037701C"/>
    <w:rsid w:val="00377356"/>
    <w:rsid w:val="00381736"/>
    <w:rsid w:val="00382796"/>
    <w:rsid w:val="00383EAF"/>
    <w:rsid w:val="003840BD"/>
    <w:rsid w:val="003841CA"/>
    <w:rsid w:val="00384514"/>
    <w:rsid w:val="00384996"/>
    <w:rsid w:val="00384CC9"/>
    <w:rsid w:val="00387BB9"/>
    <w:rsid w:val="00387C8B"/>
    <w:rsid w:val="00391469"/>
    <w:rsid w:val="00392427"/>
    <w:rsid w:val="003928BC"/>
    <w:rsid w:val="0039370A"/>
    <w:rsid w:val="0039407E"/>
    <w:rsid w:val="00394BEF"/>
    <w:rsid w:val="00395B68"/>
    <w:rsid w:val="00396437"/>
    <w:rsid w:val="00396D7C"/>
    <w:rsid w:val="003A035C"/>
    <w:rsid w:val="003A1594"/>
    <w:rsid w:val="003A229B"/>
    <w:rsid w:val="003A4942"/>
    <w:rsid w:val="003A632F"/>
    <w:rsid w:val="003A69BE"/>
    <w:rsid w:val="003B08CF"/>
    <w:rsid w:val="003B212A"/>
    <w:rsid w:val="003B3871"/>
    <w:rsid w:val="003B5EFD"/>
    <w:rsid w:val="003B714C"/>
    <w:rsid w:val="003C083B"/>
    <w:rsid w:val="003C314A"/>
    <w:rsid w:val="003C3DF8"/>
    <w:rsid w:val="003C3E18"/>
    <w:rsid w:val="003C4F16"/>
    <w:rsid w:val="003D0954"/>
    <w:rsid w:val="003D1FD9"/>
    <w:rsid w:val="003D292A"/>
    <w:rsid w:val="003D2A24"/>
    <w:rsid w:val="003D2A81"/>
    <w:rsid w:val="003D4A34"/>
    <w:rsid w:val="003D56AA"/>
    <w:rsid w:val="003D58DC"/>
    <w:rsid w:val="003D6281"/>
    <w:rsid w:val="003E0030"/>
    <w:rsid w:val="003E0200"/>
    <w:rsid w:val="003E0220"/>
    <w:rsid w:val="003E0847"/>
    <w:rsid w:val="003E0C0F"/>
    <w:rsid w:val="003E3186"/>
    <w:rsid w:val="003E3E5F"/>
    <w:rsid w:val="003E46D1"/>
    <w:rsid w:val="003E7798"/>
    <w:rsid w:val="003F04DD"/>
    <w:rsid w:val="003F09FC"/>
    <w:rsid w:val="003F1B20"/>
    <w:rsid w:val="003F1BC3"/>
    <w:rsid w:val="003F23C8"/>
    <w:rsid w:val="003F465F"/>
    <w:rsid w:val="004035AC"/>
    <w:rsid w:val="00406E67"/>
    <w:rsid w:val="0040756D"/>
    <w:rsid w:val="00411CE5"/>
    <w:rsid w:val="00411D84"/>
    <w:rsid w:val="00412521"/>
    <w:rsid w:val="004132BF"/>
    <w:rsid w:val="00413CFB"/>
    <w:rsid w:val="004150B7"/>
    <w:rsid w:val="0041590C"/>
    <w:rsid w:val="004163DE"/>
    <w:rsid w:val="00425E73"/>
    <w:rsid w:val="004279DE"/>
    <w:rsid w:val="00427A8D"/>
    <w:rsid w:val="00431A22"/>
    <w:rsid w:val="00431AD1"/>
    <w:rsid w:val="00431F92"/>
    <w:rsid w:val="004332F3"/>
    <w:rsid w:val="00433768"/>
    <w:rsid w:val="00435065"/>
    <w:rsid w:val="00435286"/>
    <w:rsid w:val="00440D0D"/>
    <w:rsid w:val="004423D0"/>
    <w:rsid w:val="004462F7"/>
    <w:rsid w:val="00446E51"/>
    <w:rsid w:val="00447312"/>
    <w:rsid w:val="00447968"/>
    <w:rsid w:val="00447AFB"/>
    <w:rsid w:val="00452FC4"/>
    <w:rsid w:val="0045350F"/>
    <w:rsid w:val="00453D40"/>
    <w:rsid w:val="00455A99"/>
    <w:rsid w:val="00455CB3"/>
    <w:rsid w:val="00460D00"/>
    <w:rsid w:val="0046194D"/>
    <w:rsid w:val="00466857"/>
    <w:rsid w:val="00467125"/>
    <w:rsid w:val="00470730"/>
    <w:rsid w:val="00470843"/>
    <w:rsid w:val="00470E12"/>
    <w:rsid w:val="00471114"/>
    <w:rsid w:val="00471382"/>
    <w:rsid w:val="00472C0F"/>
    <w:rsid w:val="00474426"/>
    <w:rsid w:val="0047444C"/>
    <w:rsid w:val="0047449F"/>
    <w:rsid w:val="004745E2"/>
    <w:rsid w:val="004745ED"/>
    <w:rsid w:val="00475700"/>
    <w:rsid w:val="00475C50"/>
    <w:rsid w:val="00475E03"/>
    <w:rsid w:val="004764D6"/>
    <w:rsid w:val="00476E47"/>
    <w:rsid w:val="004770F5"/>
    <w:rsid w:val="0047760D"/>
    <w:rsid w:val="00477B49"/>
    <w:rsid w:val="00480295"/>
    <w:rsid w:val="00480610"/>
    <w:rsid w:val="00481416"/>
    <w:rsid w:val="0048144C"/>
    <w:rsid w:val="00491E9B"/>
    <w:rsid w:val="0049243F"/>
    <w:rsid w:val="0049284F"/>
    <w:rsid w:val="00492B9F"/>
    <w:rsid w:val="00493ADE"/>
    <w:rsid w:val="00493C05"/>
    <w:rsid w:val="00496347"/>
    <w:rsid w:val="00497C87"/>
    <w:rsid w:val="00497D09"/>
    <w:rsid w:val="004A043A"/>
    <w:rsid w:val="004A16AB"/>
    <w:rsid w:val="004A2D41"/>
    <w:rsid w:val="004A5412"/>
    <w:rsid w:val="004A57E0"/>
    <w:rsid w:val="004A629D"/>
    <w:rsid w:val="004B1732"/>
    <w:rsid w:val="004B396B"/>
    <w:rsid w:val="004B41C5"/>
    <w:rsid w:val="004B5ED3"/>
    <w:rsid w:val="004B65CF"/>
    <w:rsid w:val="004C008D"/>
    <w:rsid w:val="004C1D03"/>
    <w:rsid w:val="004C22F8"/>
    <w:rsid w:val="004C2759"/>
    <w:rsid w:val="004C43D2"/>
    <w:rsid w:val="004C5858"/>
    <w:rsid w:val="004C5F30"/>
    <w:rsid w:val="004D0E8B"/>
    <w:rsid w:val="004D1106"/>
    <w:rsid w:val="004D13ED"/>
    <w:rsid w:val="004D1E5A"/>
    <w:rsid w:val="004D2599"/>
    <w:rsid w:val="004D2969"/>
    <w:rsid w:val="004D378F"/>
    <w:rsid w:val="004D5B0A"/>
    <w:rsid w:val="004E054A"/>
    <w:rsid w:val="004E0659"/>
    <w:rsid w:val="004E0804"/>
    <w:rsid w:val="004E158D"/>
    <w:rsid w:val="004E22C7"/>
    <w:rsid w:val="004E2CF6"/>
    <w:rsid w:val="004E2DE2"/>
    <w:rsid w:val="004E322A"/>
    <w:rsid w:val="004E33B4"/>
    <w:rsid w:val="004E67BF"/>
    <w:rsid w:val="004E67FA"/>
    <w:rsid w:val="004E68C9"/>
    <w:rsid w:val="004E784C"/>
    <w:rsid w:val="004E7BB3"/>
    <w:rsid w:val="004E7F44"/>
    <w:rsid w:val="004F0BC3"/>
    <w:rsid w:val="004F2C06"/>
    <w:rsid w:val="004F673F"/>
    <w:rsid w:val="00500F13"/>
    <w:rsid w:val="0050147E"/>
    <w:rsid w:val="00503A47"/>
    <w:rsid w:val="00504129"/>
    <w:rsid w:val="00507B60"/>
    <w:rsid w:val="005117BF"/>
    <w:rsid w:val="00513B00"/>
    <w:rsid w:val="00514427"/>
    <w:rsid w:val="005165D8"/>
    <w:rsid w:val="00517522"/>
    <w:rsid w:val="00517C5F"/>
    <w:rsid w:val="0052010E"/>
    <w:rsid w:val="0052123A"/>
    <w:rsid w:val="00522288"/>
    <w:rsid w:val="005224CD"/>
    <w:rsid w:val="005225E5"/>
    <w:rsid w:val="00523464"/>
    <w:rsid w:val="005239FC"/>
    <w:rsid w:val="00523FDB"/>
    <w:rsid w:val="005241AD"/>
    <w:rsid w:val="005244F4"/>
    <w:rsid w:val="0052781F"/>
    <w:rsid w:val="00530004"/>
    <w:rsid w:val="00530DC9"/>
    <w:rsid w:val="005328BF"/>
    <w:rsid w:val="005328E0"/>
    <w:rsid w:val="00533515"/>
    <w:rsid w:val="005348E1"/>
    <w:rsid w:val="00536980"/>
    <w:rsid w:val="005377A9"/>
    <w:rsid w:val="005405E3"/>
    <w:rsid w:val="0054070D"/>
    <w:rsid w:val="00540B99"/>
    <w:rsid w:val="00540B9D"/>
    <w:rsid w:val="005417D5"/>
    <w:rsid w:val="00542795"/>
    <w:rsid w:val="005431BF"/>
    <w:rsid w:val="005444BC"/>
    <w:rsid w:val="0054491F"/>
    <w:rsid w:val="00544DF5"/>
    <w:rsid w:val="0054734D"/>
    <w:rsid w:val="00550B80"/>
    <w:rsid w:val="005523CE"/>
    <w:rsid w:val="00553A9C"/>
    <w:rsid w:val="00555944"/>
    <w:rsid w:val="0055658D"/>
    <w:rsid w:val="00556655"/>
    <w:rsid w:val="00557550"/>
    <w:rsid w:val="005605F5"/>
    <w:rsid w:val="00561950"/>
    <w:rsid w:val="0056225D"/>
    <w:rsid w:val="005641C1"/>
    <w:rsid w:val="00565682"/>
    <w:rsid w:val="005669F0"/>
    <w:rsid w:val="00567E42"/>
    <w:rsid w:val="005706D9"/>
    <w:rsid w:val="0057125D"/>
    <w:rsid w:val="005732F7"/>
    <w:rsid w:val="0057354B"/>
    <w:rsid w:val="005739C3"/>
    <w:rsid w:val="00573E6A"/>
    <w:rsid w:val="005748E0"/>
    <w:rsid w:val="00576B34"/>
    <w:rsid w:val="005774A7"/>
    <w:rsid w:val="00581E85"/>
    <w:rsid w:val="00582116"/>
    <w:rsid w:val="00582CB2"/>
    <w:rsid w:val="005846FE"/>
    <w:rsid w:val="00584831"/>
    <w:rsid w:val="00584D47"/>
    <w:rsid w:val="00584D94"/>
    <w:rsid w:val="005855BF"/>
    <w:rsid w:val="005859F8"/>
    <w:rsid w:val="0058716E"/>
    <w:rsid w:val="005877E2"/>
    <w:rsid w:val="00587DB6"/>
    <w:rsid w:val="005903F5"/>
    <w:rsid w:val="00592347"/>
    <w:rsid w:val="0059380C"/>
    <w:rsid w:val="00595B75"/>
    <w:rsid w:val="00597F9A"/>
    <w:rsid w:val="005A1429"/>
    <w:rsid w:val="005A35DF"/>
    <w:rsid w:val="005A609B"/>
    <w:rsid w:val="005A6E6F"/>
    <w:rsid w:val="005B106C"/>
    <w:rsid w:val="005B26A3"/>
    <w:rsid w:val="005B275F"/>
    <w:rsid w:val="005B5F24"/>
    <w:rsid w:val="005B6A74"/>
    <w:rsid w:val="005C263D"/>
    <w:rsid w:val="005C305F"/>
    <w:rsid w:val="005C5F6A"/>
    <w:rsid w:val="005D112A"/>
    <w:rsid w:val="005D2084"/>
    <w:rsid w:val="005D2B81"/>
    <w:rsid w:val="005D2BA1"/>
    <w:rsid w:val="005D57AF"/>
    <w:rsid w:val="005D6535"/>
    <w:rsid w:val="005D6B43"/>
    <w:rsid w:val="005D6DC7"/>
    <w:rsid w:val="005E0246"/>
    <w:rsid w:val="005E32CB"/>
    <w:rsid w:val="005E3905"/>
    <w:rsid w:val="005E6610"/>
    <w:rsid w:val="005E73D2"/>
    <w:rsid w:val="005E7E54"/>
    <w:rsid w:val="005F1632"/>
    <w:rsid w:val="005F1B2A"/>
    <w:rsid w:val="005F333E"/>
    <w:rsid w:val="005F390A"/>
    <w:rsid w:val="005F63CA"/>
    <w:rsid w:val="005F6919"/>
    <w:rsid w:val="0060112D"/>
    <w:rsid w:val="00602891"/>
    <w:rsid w:val="00604F16"/>
    <w:rsid w:val="00606411"/>
    <w:rsid w:val="006113C1"/>
    <w:rsid w:val="006137F4"/>
    <w:rsid w:val="006138C1"/>
    <w:rsid w:val="006146C5"/>
    <w:rsid w:val="0061660D"/>
    <w:rsid w:val="0061773F"/>
    <w:rsid w:val="00620CE9"/>
    <w:rsid w:val="00623E70"/>
    <w:rsid w:val="00624945"/>
    <w:rsid w:val="006249F4"/>
    <w:rsid w:val="0062680D"/>
    <w:rsid w:val="00641552"/>
    <w:rsid w:val="006450EC"/>
    <w:rsid w:val="006472A6"/>
    <w:rsid w:val="00647880"/>
    <w:rsid w:val="006510D4"/>
    <w:rsid w:val="0065639F"/>
    <w:rsid w:val="00657CB1"/>
    <w:rsid w:val="0066023B"/>
    <w:rsid w:val="00660CE3"/>
    <w:rsid w:val="006614CA"/>
    <w:rsid w:val="00664032"/>
    <w:rsid w:val="006642FF"/>
    <w:rsid w:val="00673652"/>
    <w:rsid w:val="00675317"/>
    <w:rsid w:val="0067594E"/>
    <w:rsid w:val="00675E03"/>
    <w:rsid w:val="00676806"/>
    <w:rsid w:val="006774E4"/>
    <w:rsid w:val="00682727"/>
    <w:rsid w:val="00687191"/>
    <w:rsid w:val="00687E84"/>
    <w:rsid w:val="00690081"/>
    <w:rsid w:val="006900BF"/>
    <w:rsid w:val="0069117F"/>
    <w:rsid w:val="00691DA1"/>
    <w:rsid w:val="006929C0"/>
    <w:rsid w:val="006948DF"/>
    <w:rsid w:val="00694EEC"/>
    <w:rsid w:val="00696404"/>
    <w:rsid w:val="00697883"/>
    <w:rsid w:val="00697C01"/>
    <w:rsid w:val="006A1DD5"/>
    <w:rsid w:val="006A1EF4"/>
    <w:rsid w:val="006A223F"/>
    <w:rsid w:val="006A4020"/>
    <w:rsid w:val="006A6E58"/>
    <w:rsid w:val="006B0022"/>
    <w:rsid w:val="006B0E5A"/>
    <w:rsid w:val="006B38B4"/>
    <w:rsid w:val="006B4EF7"/>
    <w:rsid w:val="006C1A67"/>
    <w:rsid w:val="006C4BED"/>
    <w:rsid w:val="006C593B"/>
    <w:rsid w:val="006D0C57"/>
    <w:rsid w:val="006D3AAB"/>
    <w:rsid w:val="006D51A6"/>
    <w:rsid w:val="006E1140"/>
    <w:rsid w:val="006E1365"/>
    <w:rsid w:val="006E18D8"/>
    <w:rsid w:val="006E2BBF"/>
    <w:rsid w:val="006E3150"/>
    <w:rsid w:val="006E5FB3"/>
    <w:rsid w:val="006E5FDA"/>
    <w:rsid w:val="006E6359"/>
    <w:rsid w:val="006E6C23"/>
    <w:rsid w:val="006E7917"/>
    <w:rsid w:val="006F04E9"/>
    <w:rsid w:val="006F2175"/>
    <w:rsid w:val="006F2F95"/>
    <w:rsid w:val="006F3E16"/>
    <w:rsid w:val="006F630B"/>
    <w:rsid w:val="006F7C6E"/>
    <w:rsid w:val="0070050B"/>
    <w:rsid w:val="007012E6"/>
    <w:rsid w:val="00705BCF"/>
    <w:rsid w:val="00706E1D"/>
    <w:rsid w:val="00710635"/>
    <w:rsid w:val="00711DE4"/>
    <w:rsid w:val="007123C4"/>
    <w:rsid w:val="007159E8"/>
    <w:rsid w:val="00716EC6"/>
    <w:rsid w:val="00717540"/>
    <w:rsid w:val="007202C1"/>
    <w:rsid w:val="00720AE7"/>
    <w:rsid w:val="00721DB4"/>
    <w:rsid w:val="007221FC"/>
    <w:rsid w:val="00722332"/>
    <w:rsid w:val="00723E45"/>
    <w:rsid w:val="00725BBA"/>
    <w:rsid w:val="00726AAC"/>
    <w:rsid w:val="0073125C"/>
    <w:rsid w:val="0073360F"/>
    <w:rsid w:val="00736051"/>
    <w:rsid w:val="0074085C"/>
    <w:rsid w:val="00741C13"/>
    <w:rsid w:val="0074366B"/>
    <w:rsid w:val="007437D2"/>
    <w:rsid w:val="0074500F"/>
    <w:rsid w:val="00745217"/>
    <w:rsid w:val="00746F98"/>
    <w:rsid w:val="00747739"/>
    <w:rsid w:val="00750707"/>
    <w:rsid w:val="00753BEE"/>
    <w:rsid w:val="0075586A"/>
    <w:rsid w:val="007561F1"/>
    <w:rsid w:val="00756FE2"/>
    <w:rsid w:val="00757012"/>
    <w:rsid w:val="007573A2"/>
    <w:rsid w:val="00757C7E"/>
    <w:rsid w:val="00757DAD"/>
    <w:rsid w:val="00764926"/>
    <w:rsid w:val="00764C65"/>
    <w:rsid w:val="00767B25"/>
    <w:rsid w:val="00771A04"/>
    <w:rsid w:val="0077369F"/>
    <w:rsid w:val="00773968"/>
    <w:rsid w:val="00774928"/>
    <w:rsid w:val="00774BA8"/>
    <w:rsid w:val="007750D1"/>
    <w:rsid w:val="00776176"/>
    <w:rsid w:val="00780533"/>
    <w:rsid w:val="00780C8B"/>
    <w:rsid w:val="00782A51"/>
    <w:rsid w:val="00782EBE"/>
    <w:rsid w:val="007859C5"/>
    <w:rsid w:val="007873D7"/>
    <w:rsid w:val="00790DD2"/>
    <w:rsid w:val="00791DB3"/>
    <w:rsid w:val="007927AA"/>
    <w:rsid w:val="00792DE2"/>
    <w:rsid w:val="00792E07"/>
    <w:rsid w:val="0079485E"/>
    <w:rsid w:val="00795C9D"/>
    <w:rsid w:val="00796A53"/>
    <w:rsid w:val="007A1D8D"/>
    <w:rsid w:val="007A522A"/>
    <w:rsid w:val="007A5ACD"/>
    <w:rsid w:val="007A61C6"/>
    <w:rsid w:val="007B048E"/>
    <w:rsid w:val="007B07E5"/>
    <w:rsid w:val="007B1F53"/>
    <w:rsid w:val="007B20DF"/>
    <w:rsid w:val="007B2D90"/>
    <w:rsid w:val="007B4A3D"/>
    <w:rsid w:val="007B6ADB"/>
    <w:rsid w:val="007B70CF"/>
    <w:rsid w:val="007B7EDD"/>
    <w:rsid w:val="007C0180"/>
    <w:rsid w:val="007C03C4"/>
    <w:rsid w:val="007C0F6E"/>
    <w:rsid w:val="007C131B"/>
    <w:rsid w:val="007C157C"/>
    <w:rsid w:val="007C32F2"/>
    <w:rsid w:val="007C39C0"/>
    <w:rsid w:val="007C4039"/>
    <w:rsid w:val="007C41F8"/>
    <w:rsid w:val="007C434D"/>
    <w:rsid w:val="007C4928"/>
    <w:rsid w:val="007C4BA8"/>
    <w:rsid w:val="007C5D3E"/>
    <w:rsid w:val="007C6C79"/>
    <w:rsid w:val="007C70B8"/>
    <w:rsid w:val="007C7710"/>
    <w:rsid w:val="007D07B6"/>
    <w:rsid w:val="007D0C40"/>
    <w:rsid w:val="007D1A4E"/>
    <w:rsid w:val="007D1B00"/>
    <w:rsid w:val="007D283D"/>
    <w:rsid w:val="007D2D85"/>
    <w:rsid w:val="007D30B8"/>
    <w:rsid w:val="007D34D2"/>
    <w:rsid w:val="007D48D3"/>
    <w:rsid w:val="007D6327"/>
    <w:rsid w:val="007E4281"/>
    <w:rsid w:val="007E4E49"/>
    <w:rsid w:val="007E4F85"/>
    <w:rsid w:val="007E5229"/>
    <w:rsid w:val="007E5CDC"/>
    <w:rsid w:val="007E5D75"/>
    <w:rsid w:val="007E5DBD"/>
    <w:rsid w:val="007E65EF"/>
    <w:rsid w:val="007E6C6C"/>
    <w:rsid w:val="007F0537"/>
    <w:rsid w:val="007F0CDE"/>
    <w:rsid w:val="007F1365"/>
    <w:rsid w:val="007F1A40"/>
    <w:rsid w:val="007F37AA"/>
    <w:rsid w:val="007F3B4B"/>
    <w:rsid w:val="007F450A"/>
    <w:rsid w:val="007F67D0"/>
    <w:rsid w:val="007F72D3"/>
    <w:rsid w:val="007F7FBC"/>
    <w:rsid w:val="00801186"/>
    <w:rsid w:val="0080144C"/>
    <w:rsid w:val="00801C3D"/>
    <w:rsid w:val="00802CFB"/>
    <w:rsid w:val="0080520F"/>
    <w:rsid w:val="0080610D"/>
    <w:rsid w:val="00807CF6"/>
    <w:rsid w:val="008108CB"/>
    <w:rsid w:val="00816590"/>
    <w:rsid w:val="00816F5E"/>
    <w:rsid w:val="0081752C"/>
    <w:rsid w:val="00820DCE"/>
    <w:rsid w:val="00820F5C"/>
    <w:rsid w:val="00826F9E"/>
    <w:rsid w:val="008270B0"/>
    <w:rsid w:val="008318EE"/>
    <w:rsid w:val="00832159"/>
    <w:rsid w:val="00834CE0"/>
    <w:rsid w:val="00834D0B"/>
    <w:rsid w:val="00834FB2"/>
    <w:rsid w:val="00837701"/>
    <w:rsid w:val="00837F27"/>
    <w:rsid w:val="00840463"/>
    <w:rsid w:val="00841FA6"/>
    <w:rsid w:val="00842365"/>
    <w:rsid w:val="00842512"/>
    <w:rsid w:val="0084283D"/>
    <w:rsid w:val="008434B8"/>
    <w:rsid w:val="008448C4"/>
    <w:rsid w:val="00846F2B"/>
    <w:rsid w:val="0084739C"/>
    <w:rsid w:val="00850EDB"/>
    <w:rsid w:val="00852C8A"/>
    <w:rsid w:val="008549E0"/>
    <w:rsid w:val="00854EFA"/>
    <w:rsid w:val="00856DFF"/>
    <w:rsid w:val="00860088"/>
    <w:rsid w:val="00860E16"/>
    <w:rsid w:val="008627FE"/>
    <w:rsid w:val="00862812"/>
    <w:rsid w:val="00865243"/>
    <w:rsid w:val="008666B9"/>
    <w:rsid w:val="00872B22"/>
    <w:rsid w:val="00874A7D"/>
    <w:rsid w:val="00874ABB"/>
    <w:rsid w:val="00874E6F"/>
    <w:rsid w:val="00875E29"/>
    <w:rsid w:val="0088521A"/>
    <w:rsid w:val="008858C1"/>
    <w:rsid w:val="00885ECF"/>
    <w:rsid w:val="00886014"/>
    <w:rsid w:val="00887E2E"/>
    <w:rsid w:val="00890184"/>
    <w:rsid w:val="00890404"/>
    <w:rsid w:val="00890869"/>
    <w:rsid w:val="00890C43"/>
    <w:rsid w:val="00890CE3"/>
    <w:rsid w:val="00890F6C"/>
    <w:rsid w:val="00893040"/>
    <w:rsid w:val="00893C47"/>
    <w:rsid w:val="00894E1F"/>
    <w:rsid w:val="00895C64"/>
    <w:rsid w:val="00895F6F"/>
    <w:rsid w:val="0089634B"/>
    <w:rsid w:val="00897279"/>
    <w:rsid w:val="008A08AA"/>
    <w:rsid w:val="008A0BCB"/>
    <w:rsid w:val="008A146C"/>
    <w:rsid w:val="008A28C5"/>
    <w:rsid w:val="008A3219"/>
    <w:rsid w:val="008A33F5"/>
    <w:rsid w:val="008A4028"/>
    <w:rsid w:val="008A6439"/>
    <w:rsid w:val="008A6C41"/>
    <w:rsid w:val="008B06AF"/>
    <w:rsid w:val="008B1904"/>
    <w:rsid w:val="008B422F"/>
    <w:rsid w:val="008B4A84"/>
    <w:rsid w:val="008B4BC8"/>
    <w:rsid w:val="008B5028"/>
    <w:rsid w:val="008B54BE"/>
    <w:rsid w:val="008B5FFC"/>
    <w:rsid w:val="008B717A"/>
    <w:rsid w:val="008C2381"/>
    <w:rsid w:val="008C276D"/>
    <w:rsid w:val="008C30AB"/>
    <w:rsid w:val="008C360E"/>
    <w:rsid w:val="008C3CA0"/>
    <w:rsid w:val="008C3EBC"/>
    <w:rsid w:val="008C476E"/>
    <w:rsid w:val="008C6083"/>
    <w:rsid w:val="008C766B"/>
    <w:rsid w:val="008C7E8D"/>
    <w:rsid w:val="008D0504"/>
    <w:rsid w:val="008D1984"/>
    <w:rsid w:val="008D2202"/>
    <w:rsid w:val="008D57E7"/>
    <w:rsid w:val="008D5974"/>
    <w:rsid w:val="008D5FDB"/>
    <w:rsid w:val="008D7BE6"/>
    <w:rsid w:val="008E15BC"/>
    <w:rsid w:val="008E27EE"/>
    <w:rsid w:val="008E4095"/>
    <w:rsid w:val="008E41AC"/>
    <w:rsid w:val="008E597F"/>
    <w:rsid w:val="008E624B"/>
    <w:rsid w:val="008F14DB"/>
    <w:rsid w:val="008F4994"/>
    <w:rsid w:val="008F4E99"/>
    <w:rsid w:val="008F5C53"/>
    <w:rsid w:val="008F6212"/>
    <w:rsid w:val="009059F7"/>
    <w:rsid w:val="009074EB"/>
    <w:rsid w:val="00911AD1"/>
    <w:rsid w:val="00911D51"/>
    <w:rsid w:val="00912A4B"/>
    <w:rsid w:val="0091302C"/>
    <w:rsid w:val="0091455F"/>
    <w:rsid w:val="00914CB0"/>
    <w:rsid w:val="009172D4"/>
    <w:rsid w:val="009210FF"/>
    <w:rsid w:val="0092174A"/>
    <w:rsid w:val="00921BD9"/>
    <w:rsid w:val="00922029"/>
    <w:rsid w:val="009250A4"/>
    <w:rsid w:val="00926463"/>
    <w:rsid w:val="00926BBB"/>
    <w:rsid w:val="00927D2B"/>
    <w:rsid w:val="0093022D"/>
    <w:rsid w:val="009304ED"/>
    <w:rsid w:val="00931F47"/>
    <w:rsid w:val="00932315"/>
    <w:rsid w:val="00933813"/>
    <w:rsid w:val="009362CB"/>
    <w:rsid w:val="009368DE"/>
    <w:rsid w:val="00936D0A"/>
    <w:rsid w:val="009371FE"/>
    <w:rsid w:val="009379C9"/>
    <w:rsid w:val="009404AE"/>
    <w:rsid w:val="00943B36"/>
    <w:rsid w:val="0094443E"/>
    <w:rsid w:val="00945221"/>
    <w:rsid w:val="00952591"/>
    <w:rsid w:val="00952812"/>
    <w:rsid w:val="00953B40"/>
    <w:rsid w:val="00953E2B"/>
    <w:rsid w:val="00960E82"/>
    <w:rsid w:val="009610D8"/>
    <w:rsid w:val="009624B8"/>
    <w:rsid w:val="00963F7E"/>
    <w:rsid w:val="00967F77"/>
    <w:rsid w:val="00970211"/>
    <w:rsid w:val="009707AB"/>
    <w:rsid w:val="009714B0"/>
    <w:rsid w:val="00971814"/>
    <w:rsid w:val="00973F37"/>
    <w:rsid w:val="0097453C"/>
    <w:rsid w:val="00975076"/>
    <w:rsid w:val="00976E25"/>
    <w:rsid w:val="00977BC8"/>
    <w:rsid w:val="00977C90"/>
    <w:rsid w:val="0098118A"/>
    <w:rsid w:val="00982062"/>
    <w:rsid w:val="0098237C"/>
    <w:rsid w:val="00982CBD"/>
    <w:rsid w:val="00982DE2"/>
    <w:rsid w:val="00982F9F"/>
    <w:rsid w:val="00983EFD"/>
    <w:rsid w:val="00983FFD"/>
    <w:rsid w:val="00985AEC"/>
    <w:rsid w:val="00991E86"/>
    <w:rsid w:val="00992A06"/>
    <w:rsid w:val="009959F7"/>
    <w:rsid w:val="0099620C"/>
    <w:rsid w:val="0099732B"/>
    <w:rsid w:val="009A1C6A"/>
    <w:rsid w:val="009A3A17"/>
    <w:rsid w:val="009A3BC7"/>
    <w:rsid w:val="009A408E"/>
    <w:rsid w:val="009A5EAF"/>
    <w:rsid w:val="009A65C8"/>
    <w:rsid w:val="009B0538"/>
    <w:rsid w:val="009B2281"/>
    <w:rsid w:val="009B22A2"/>
    <w:rsid w:val="009B23EF"/>
    <w:rsid w:val="009B24C8"/>
    <w:rsid w:val="009B5127"/>
    <w:rsid w:val="009B744E"/>
    <w:rsid w:val="009C19A1"/>
    <w:rsid w:val="009C1D04"/>
    <w:rsid w:val="009C49EA"/>
    <w:rsid w:val="009C4B9C"/>
    <w:rsid w:val="009D0709"/>
    <w:rsid w:val="009D0B04"/>
    <w:rsid w:val="009D15AB"/>
    <w:rsid w:val="009D2048"/>
    <w:rsid w:val="009D20BA"/>
    <w:rsid w:val="009D21FE"/>
    <w:rsid w:val="009D246D"/>
    <w:rsid w:val="009D332E"/>
    <w:rsid w:val="009D3BFF"/>
    <w:rsid w:val="009D3DD0"/>
    <w:rsid w:val="009D4F41"/>
    <w:rsid w:val="009D51A3"/>
    <w:rsid w:val="009D5B57"/>
    <w:rsid w:val="009D7EF5"/>
    <w:rsid w:val="009E1398"/>
    <w:rsid w:val="009E1A15"/>
    <w:rsid w:val="009E1D53"/>
    <w:rsid w:val="009E2187"/>
    <w:rsid w:val="009E2785"/>
    <w:rsid w:val="009E31C0"/>
    <w:rsid w:val="009E32D2"/>
    <w:rsid w:val="009E370D"/>
    <w:rsid w:val="009E3EEB"/>
    <w:rsid w:val="009E4230"/>
    <w:rsid w:val="009E5738"/>
    <w:rsid w:val="009E6AD2"/>
    <w:rsid w:val="009F0C3C"/>
    <w:rsid w:val="009F1E03"/>
    <w:rsid w:val="009F1EA3"/>
    <w:rsid w:val="009F1F3B"/>
    <w:rsid w:val="009F25E0"/>
    <w:rsid w:val="009F43D2"/>
    <w:rsid w:val="009F4922"/>
    <w:rsid w:val="009F7BCA"/>
    <w:rsid w:val="00A00232"/>
    <w:rsid w:val="00A012D2"/>
    <w:rsid w:val="00A03198"/>
    <w:rsid w:val="00A0607A"/>
    <w:rsid w:val="00A06722"/>
    <w:rsid w:val="00A072B2"/>
    <w:rsid w:val="00A078C5"/>
    <w:rsid w:val="00A07AF2"/>
    <w:rsid w:val="00A116B7"/>
    <w:rsid w:val="00A12682"/>
    <w:rsid w:val="00A12A72"/>
    <w:rsid w:val="00A156C8"/>
    <w:rsid w:val="00A15CCF"/>
    <w:rsid w:val="00A16253"/>
    <w:rsid w:val="00A16D40"/>
    <w:rsid w:val="00A17CF0"/>
    <w:rsid w:val="00A20741"/>
    <w:rsid w:val="00A2171A"/>
    <w:rsid w:val="00A225FB"/>
    <w:rsid w:val="00A2331C"/>
    <w:rsid w:val="00A23C3A"/>
    <w:rsid w:val="00A248CF"/>
    <w:rsid w:val="00A265A9"/>
    <w:rsid w:val="00A30D15"/>
    <w:rsid w:val="00A32BCF"/>
    <w:rsid w:val="00A33C25"/>
    <w:rsid w:val="00A35712"/>
    <w:rsid w:val="00A35AC0"/>
    <w:rsid w:val="00A35B61"/>
    <w:rsid w:val="00A375B5"/>
    <w:rsid w:val="00A40527"/>
    <w:rsid w:val="00A40CB9"/>
    <w:rsid w:val="00A4121C"/>
    <w:rsid w:val="00A41811"/>
    <w:rsid w:val="00A43A11"/>
    <w:rsid w:val="00A43A6E"/>
    <w:rsid w:val="00A43FCD"/>
    <w:rsid w:val="00A44132"/>
    <w:rsid w:val="00A45424"/>
    <w:rsid w:val="00A47344"/>
    <w:rsid w:val="00A50204"/>
    <w:rsid w:val="00A51BD5"/>
    <w:rsid w:val="00A5477A"/>
    <w:rsid w:val="00A557A8"/>
    <w:rsid w:val="00A56F6D"/>
    <w:rsid w:val="00A57438"/>
    <w:rsid w:val="00A60009"/>
    <w:rsid w:val="00A65D8F"/>
    <w:rsid w:val="00A66932"/>
    <w:rsid w:val="00A66B10"/>
    <w:rsid w:val="00A6740E"/>
    <w:rsid w:val="00A67BE3"/>
    <w:rsid w:val="00A703A4"/>
    <w:rsid w:val="00A7053C"/>
    <w:rsid w:val="00A70979"/>
    <w:rsid w:val="00A724DA"/>
    <w:rsid w:val="00A72F87"/>
    <w:rsid w:val="00A751E7"/>
    <w:rsid w:val="00A75414"/>
    <w:rsid w:val="00A76FC0"/>
    <w:rsid w:val="00A77F36"/>
    <w:rsid w:val="00A77FA5"/>
    <w:rsid w:val="00A8013F"/>
    <w:rsid w:val="00A80DEB"/>
    <w:rsid w:val="00A80E3B"/>
    <w:rsid w:val="00A827A7"/>
    <w:rsid w:val="00A84560"/>
    <w:rsid w:val="00A84EB2"/>
    <w:rsid w:val="00A85E87"/>
    <w:rsid w:val="00A87522"/>
    <w:rsid w:val="00A934E5"/>
    <w:rsid w:val="00A9457D"/>
    <w:rsid w:val="00A955C0"/>
    <w:rsid w:val="00A95970"/>
    <w:rsid w:val="00A96974"/>
    <w:rsid w:val="00A96CA3"/>
    <w:rsid w:val="00AA1EBE"/>
    <w:rsid w:val="00AA229D"/>
    <w:rsid w:val="00AA3686"/>
    <w:rsid w:val="00AA3C84"/>
    <w:rsid w:val="00AA4825"/>
    <w:rsid w:val="00AA4D7F"/>
    <w:rsid w:val="00AB0D98"/>
    <w:rsid w:val="00AB377F"/>
    <w:rsid w:val="00AC01F3"/>
    <w:rsid w:val="00AC07B8"/>
    <w:rsid w:val="00AC252C"/>
    <w:rsid w:val="00AC2C4F"/>
    <w:rsid w:val="00AC4BAC"/>
    <w:rsid w:val="00AC5DE9"/>
    <w:rsid w:val="00AC64B2"/>
    <w:rsid w:val="00AC6537"/>
    <w:rsid w:val="00AD06D8"/>
    <w:rsid w:val="00AD1D25"/>
    <w:rsid w:val="00AD2EDC"/>
    <w:rsid w:val="00AD324B"/>
    <w:rsid w:val="00AD3DFC"/>
    <w:rsid w:val="00AD47DF"/>
    <w:rsid w:val="00AD5899"/>
    <w:rsid w:val="00AD676F"/>
    <w:rsid w:val="00AD70A3"/>
    <w:rsid w:val="00AE02A6"/>
    <w:rsid w:val="00AE1321"/>
    <w:rsid w:val="00AE295A"/>
    <w:rsid w:val="00AE6552"/>
    <w:rsid w:val="00AE762A"/>
    <w:rsid w:val="00AF02FA"/>
    <w:rsid w:val="00AF0D3D"/>
    <w:rsid w:val="00AF3851"/>
    <w:rsid w:val="00AF496D"/>
    <w:rsid w:val="00AF56B1"/>
    <w:rsid w:val="00AF679F"/>
    <w:rsid w:val="00AF7032"/>
    <w:rsid w:val="00B01780"/>
    <w:rsid w:val="00B05681"/>
    <w:rsid w:val="00B0742B"/>
    <w:rsid w:val="00B078EA"/>
    <w:rsid w:val="00B12E28"/>
    <w:rsid w:val="00B1320E"/>
    <w:rsid w:val="00B1421B"/>
    <w:rsid w:val="00B154E8"/>
    <w:rsid w:val="00B20DDA"/>
    <w:rsid w:val="00B22714"/>
    <w:rsid w:val="00B23597"/>
    <w:rsid w:val="00B239AD"/>
    <w:rsid w:val="00B306B7"/>
    <w:rsid w:val="00B32240"/>
    <w:rsid w:val="00B33E17"/>
    <w:rsid w:val="00B34768"/>
    <w:rsid w:val="00B34B2D"/>
    <w:rsid w:val="00B350D7"/>
    <w:rsid w:val="00B35455"/>
    <w:rsid w:val="00B36CAD"/>
    <w:rsid w:val="00B377B0"/>
    <w:rsid w:val="00B406BC"/>
    <w:rsid w:val="00B40795"/>
    <w:rsid w:val="00B40DD6"/>
    <w:rsid w:val="00B42B80"/>
    <w:rsid w:val="00B42DF5"/>
    <w:rsid w:val="00B44DA1"/>
    <w:rsid w:val="00B44E6F"/>
    <w:rsid w:val="00B460AD"/>
    <w:rsid w:val="00B50FE3"/>
    <w:rsid w:val="00B5247D"/>
    <w:rsid w:val="00B5289A"/>
    <w:rsid w:val="00B53406"/>
    <w:rsid w:val="00B541BB"/>
    <w:rsid w:val="00B563B4"/>
    <w:rsid w:val="00B606CA"/>
    <w:rsid w:val="00B618E9"/>
    <w:rsid w:val="00B621E4"/>
    <w:rsid w:val="00B62ABC"/>
    <w:rsid w:val="00B63DA1"/>
    <w:rsid w:val="00B63DBC"/>
    <w:rsid w:val="00B67DB6"/>
    <w:rsid w:val="00B70DA4"/>
    <w:rsid w:val="00B71E65"/>
    <w:rsid w:val="00B73827"/>
    <w:rsid w:val="00B74957"/>
    <w:rsid w:val="00B75226"/>
    <w:rsid w:val="00B757FD"/>
    <w:rsid w:val="00B76928"/>
    <w:rsid w:val="00B779B0"/>
    <w:rsid w:val="00B802EA"/>
    <w:rsid w:val="00B802F9"/>
    <w:rsid w:val="00B808E3"/>
    <w:rsid w:val="00B822BE"/>
    <w:rsid w:val="00B82550"/>
    <w:rsid w:val="00B84555"/>
    <w:rsid w:val="00B85531"/>
    <w:rsid w:val="00B86F8C"/>
    <w:rsid w:val="00B87027"/>
    <w:rsid w:val="00B9003C"/>
    <w:rsid w:val="00B90892"/>
    <w:rsid w:val="00B91A26"/>
    <w:rsid w:val="00B949D4"/>
    <w:rsid w:val="00B94EF2"/>
    <w:rsid w:val="00B95A5F"/>
    <w:rsid w:val="00B97280"/>
    <w:rsid w:val="00B974AC"/>
    <w:rsid w:val="00B97CC7"/>
    <w:rsid w:val="00BA0973"/>
    <w:rsid w:val="00BA103F"/>
    <w:rsid w:val="00BA1DE4"/>
    <w:rsid w:val="00BA590B"/>
    <w:rsid w:val="00BA64FD"/>
    <w:rsid w:val="00BA74C4"/>
    <w:rsid w:val="00BB0618"/>
    <w:rsid w:val="00BB106D"/>
    <w:rsid w:val="00BB1F1A"/>
    <w:rsid w:val="00BB24C8"/>
    <w:rsid w:val="00BB2524"/>
    <w:rsid w:val="00BB297E"/>
    <w:rsid w:val="00BB2C28"/>
    <w:rsid w:val="00BB65A3"/>
    <w:rsid w:val="00BB6D33"/>
    <w:rsid w:val="00BB6EFB"/>
    <w:rsid w:val="00BB7147"/>
    <w:rsid w:val="00BB771F"/>
    <w:rsid w:val="00BC005D"/>
    <w:rsid w:val="00BC0C8D"/>
    <w:rsid w:val="00BC0D04"/>
    <w:rsid w:val="00BC2098"/>
    <w:rsid w:val="00BC4C7A"/>
    <w:rsid w:val="00BC602E"/>
    <w:rsid w:val="00BC683A"/>
    <w:rsid w:val="00BC701B"/>
    <w:rsid w:val="00BC7BBE"/>
    <w:rsid w:val="00BC7E33"/>
    <w:rsid w:val="00BC7F44"/>
    <w:rsid w:val="00BD141C"/>
    <w:rsid w:val="00BD6FF9"/>
    <w:rsid w:val="00BE0B6B"/>
    <w:rsid w:val="00BE522E"/>
    <w:rsid w:val="00BE6464"/>
    <w:rsid w:val="00BE6A10"/>
    <w:rsid w:val="00BE78E5"/>
    <w:rsid w:val="00BE7CB5"/>
    <w:rsid w:val="00BF1229"/>
    <w:rsid w:val="00BF1876"/>
    <w:rsid w:val="00BF2CED"/>
    <w:rsid w:val="00BF3692"/>
    <w:rsid w:val="00BF3E6D"/>
    <w:rsid w:val="00BF4803"/>
    <w:rsid w:val="00BF63A9"/>
    <w:rsid w:val="00C017A3"/>
    <w:rsid w:val="00C01801"/>
    <w:rsid w:val="00C01899"/>
    <w:rsid w:val="00C019FF"/>
    <w:rsid w:val="00C035CD"/>
    <w:rsid w:val="00C05013"/>
    <w:rsid w:val="00C06668"/>
    <w:rsid w:val="00C07FE9"/>
    <w:rsid w:val="00C10730"/>
    <w:rsid w:val="00C12168"/>
    <w:rsid w:val="00C1411B"/>
    <w:rsid w:val="00C16AFE"/>
    <w:rsid w:val="00C16E66"/>
    <w:rsid w:val="00C205BF"/>
    <w:rsid w:val="00C22D1B"/>
    <w:rsid w:val="00C248B3"/>
    <w:rsid w:val="00C248D7"/>
    <w:rsid w:val="00C26ACB"/>
    <w:rsid w:val="00C27726"/>
    <w:rsid w:val="00C27F4F"/>
    <w:rsid w:val="00C30526"/>
    <w:rsid w:val="00C30EE9"/>
    <w:rsid w:val="00C3173E"/>
    <w:rsid w:val="00C31F17"/>
    <w:rsid w:val="00C32F59"/>
    <w:rsid w:val="00C36129"/>
    <w:rsid w:val="00C373CF"/>
    <w:rsid w:val="00C37769"/>
    <w:rsid w:val="00C37DE5"/>
    <w:rsid w:val="00C41016"/>
    <w:rsid w:val="00C4180F"/>
    <w:rsid w:val="00C425DD"/>
    <w:rsid w:val="00C42FC4"/>
    <w:rsid w:val="00C4498D"/>
    <w:rsid w:val="00C44C31"/>
    <w:rsid w:val="00C46A0F"/>
    <w:rsid w:val="00C5383E"/>
    <w:rsid w:val="00C540F9"/>
    <w:rsid w:val="00C54A62"/>
    <w:rsid w:val="00C54D1A"/>
    <w:rsid w:val="00C607A6"/>
    <w:rsid w:val="00C60B40"/>
    <w:rsid w:val="00C612D3"/>
    <w:rsid w:val="00C630EC"/>
    <w:rsid w:val="00C657B2"/>
    <w:rsid w:val="00C65D48"/>
    <w:rsid w:val="00C7073C"/>
    <w:rsid w:val="00C71AE3"/>
    <w:rsid w:val="00C71D2B"/>
    <w:rsid w:val="00C726BD"/>
    <w:rsid w:val="00C730B0"/>
    <w:rsid w:val="00C73800"/>
    <w:rsid w:val="00C75746"/>
    <w:rsid w:val="00C76309"/>
    <w:rsid w:val="00C7641E"/>
    <w:rsid w:val="00C769D1"/>
    <w:rsid w:val="00C77472"/>
    <w:rsid w:val="00C77865"/>
    <w:rsid w:val="00C77AE2"/>
    <w:rsid w:val="00C81584"/>
    <w:rsid w:val="00C84990"/>
    <w:rsid w:val="00C84D46"/>
    <w:rsid w:val="00C84F54"/>
    <w:rsid w:val="00C8556F"/>
    <w:rsid w:val="00C85961"/>
    <w:rsid w:val="00C85B57"/>
    <w:rsid w:val="00C86703"/>
    <w:rsid w:val="00C87E7E"/>
    <w:rsid w:val="00C90767"/>
    <w:rsid w:val="00C914A5"/>
    <w:rsid w:val="00C9364E"/>
    <w:rsid w:val="00C94E6D"/>
    <w:rsid w:val="00CA1790"/>
    <w:rsid w:val="00CA23A8"/>
    <w:rsid w:val="00CA2647"/>
    <w:rsid w:val="00CA2BBE"/>
    <w:rsid w:val="00CA3175"/>
    <w:rsid w:val="00CA3816"/>
    <w:rsid w:val="00CA3B5C"/>
    <w:rsid w:val="00CA4F35"/>
    <w:rsid w:val="00CB1318"/>
    <w:rsid w:val="00CB27FA"/>
    <w:rsid w:val="00CB2977"/>
    <w:rsid w:val="00CB29B8"/>
    <w:rsid w:val="00CB2E14"/>
    <w:rsid w:val="00CB3AFE"/>
    <w:rsid w:val="00CB6A4A"/>
    <w:rsid w:val="00CB6DE3"/>
    <w:rsid w:val="00CC076C"/>
    <w:rsid w:val="00CC09E0"/>
    <w:rsid w:val="00CC2C54"/>
    <w:rsid w:val="00CC3B25"/>
    <w:rsid w:val="00CC553B"/>
    <w:rsid w:val="00CC5FED"/>
    <w:rsid w:val="00CC6AFA"/>
    <w:rsid w:val="00CC7E2C"/>
    <w:rsid w:val="00CD00C2"/>
    <w:rsid w:val="00CD0E05"/>
    <w:rsid w:val="00CD1438"/>
    <w:rsid w:val="00CD2E73"/>
    <w:rsid w:val="00CD7610"/>
    <w:rsid w:val="00CE00ED"/>
    <w:rsid w:val="00CE0DE9"/>
    <w:rsid w:val="00CE0EEB"/>
    <w:rsid w:val="00CE15AD"/>
    <w:rsid w:val="00CE36FC"/>
    <w:rsid w:val="00CE4915"/>
    <w:rsid w:val="00CE781C"/>
    <w:rsid w:val="00CF1F08"/>
    <w:rsid w:val="00CF2316"/>
    <w:rsid w:val="00CF23B1"/>
    <w:rsid w:val="00CF2DAC"/>
    <w:rsid w:val="00CF5B23"/>
    <w:rsid w:val="00CF67BB"/>
    <w:rsid w:val="00D0050C"/>
    <w:rsid w:val="00D02B27"/>
    <w:rsid w:val="00D034FA"/>
    <w:rsid w:val="00D03A05"/>
    <w:rsid w:val="00D044FA"/>
    <w:rsid w:val="00D048DA"/>
    <w:rsid w:val="00D053A6"/>
    <w:rsid w:val="00D11682"/>
    <w:rsid w:val="00D17B1E"/>
    <w:rsid w:val="00D17D1A"/>
    <w:rsid w:val="00D205B2"/>
    <w:rsid w:val="00D22267"/>
    <w:rsid w:val="00D238A3"/>
    <w:rsid w:val="00D23D63"/>
    <w:rsid w:val="00D2493A"/>
    <w:rsid w:val="00D24E4C"/>
    <w:rsid w:val="00D24FB8"/>
    <w:rsid w:val="00D25AC3"/>
    <w:rsid w:val="00D26E9F"/>
    <w:rsid w:val="00D27EFD"/>
    <w:rsid w:val="00D33861"/>
    <w:rsid w:val="00D3459A"/>
    <w:rsid w:val="00D34686"/>
    <w:rsid w:val="00D34BF5"/>
    <w:rsid w:val="00D34F38"/>
    <w:rsid w:val="00D352A8"/>
    <w:rsid w:val="00D35ED0"/>
    <w:rsid w:val="00D37533"/>
    <w:rsid w:val="00D378A0"/>
    <w:rsid w:val="00D37E68"/>
    <w:rsid w:val="00D4048E"/>
    <w:rsid w:val="00D41828"/>
    <w:rsid w:val="00D42DA8"/>
    <w:rsid w:val="00D43B3E"/>
    <w:rsid w:val="00D44593"/>
    <w:rsid w:val="00D449EE"/>
    <w:rsid w:val="00D45E13"/>
    <w:rsid w:val="00D47595"/>
    <w:rsid w:val="00D50AB4"/>
    <w:rsid w:val="00D50D9B"/>
    <w:rsid w:val="00D5105B"/>
    <w:rsid w:val="00D52530"/>
    <w:rsid w:val="00D52E17"/>
    <w:rsid w:val="00D53EAA"/>
    <w:rsid w:val="00D54B9D"/>
    <w:rsid w:val="00D57295"/>
    <w:rsid w:val="00D572DB"/>
    <w:rsid w:val="00D57688"/>
    <w:rsid w:val="00D579B8"/>
    <w:rsid w:val="00D57B14"/>
    <w:rsid w:val="00D60E12"/>
    <w:rsid w:val="00D61229"/>
    <w:rsid w:val="00D627B3"/>
    <w:rsid w:val="00D661BB"/>
    <w:rsid w:val="00D71740"/>
    <w:rsid w:val="00D717E6"/>
    <w:rsid w:val="00D728D7"/>
    <w:rsid w:val="00D72FB5"/>
    <w:rsid w:val="00D7300E"/>
    <w:rsid w:val="00D74142"/>
    <w:rsid w:val="00D77173"/>
    <w:rsid w:val="00D779CB"/>
    <w:rsid w:val="00D80EBE"/>
    <w:rsid w:val="00D815AE"/>
    <w:rsid w:val="00D8171C"/>
    <w:rsid w:val="00D8199F"/>
    <w:rsid w:val="00D846A6"/>
    <w:rsid w:val="00D87E0E"/>
    <w:rsid w:val="00D945BF"/>
    <w:rsid w:val="00D94B3B"/>
    <w:rsid w:val="00D962EF"/>
    <w:rsid w:val="00D973D5"/>
    <w:rsid w:val="00D97B92"/>
    <w:rsid w:val="00DB2515"/>
    <w:rsid w:val="00DB3CF8"/>
    <w:rsid w:val="00DC103D"/>
    <w:rsid w:val="00DC26E9"/>
    <w:rsid w:val="00DC66D5"/>
    <w:rsid w:val="00DC70A8"/>
    <w:rsid w:val="00DC7B63"/>
    <w:rsid w:val="00DC7E65"/>
    <w:rsid w:val="00DD0229"/>
    <w:rsid w:val="00DD0397"/>
    <w:rsid w:val="00DD1627"/>
    <w:rsid w:val="00DD2961"/>
    <w:rsid w:val="00DD2DE1"/>
    <w:rsid w:val="00DD40A5"/>
    <w:rsid w:val="00DD5349"/>
    <w:rsid w:val="00DD72AE"/>
    <w:rsid w:val="00DD74A5"/>
    <w:rsid w:val="00DE03DF"/>
    <w:rsid w:val="00DE2140"/>
    <w:rsid w:val="00DE2E60"/>
    <w:rsid w:val="00DE40DD"/>
    <w:rsid w:val="00DE4B2A"/>
    <w:rsid w:val="00DE7304"/>
    <w:rsid w:val="00DF0061"/>
    <w:rsid w:val="00DF0299"/>
    <w:rsid w:val="00DF0D4D"/>
    <w:rsid w:val="00DF3A7A"/>
    <w:rsid w:val="00DF6DA3"/>
    <w:rsid w:val="00E031F5"/>
    <w:rsid w:val="00E051AD"/>
    <w:rsid w:val="00E06662"/>
    <w:rsid w:val="00E07DF8"/>
    <w:rsid w:val="00E13C24"/>
    <w:rsid w:val="00E15441"/>
    <w:rsid w:val="00E15DAD"/>
    <w:rsid w:val="00E16813"/>
    <w:rsid w:val="00E1732C"/>
    <w:rsid w:val="00E17A1E"/>
    <w:rsid w:val="00E20AB3"/>
    <w:rsid w:val="00E21BAC"/>
    <w:rsid w:val="00E24C85"/>
    <w:rsid w:val="00E25831"/>
    <w:rsid w:val="00E2612B"/>
    <w:rsid w:val="00E26BF9"/>
    <w:rsid w:val="00E26E9E"/>
    <w:rsid w:val="00E306F1"/>
    <w:rsid w:val="00E3096E"/>
    <w:rsid w:val="00E319E0"/>
    <w:rsid w:val="00E32798"/>
    <w:rsid w:val="00E343EB"/>
    <w:rsid w:val="00E345F1"/>
    <w:rsid w:val="00E349CF"/>
    <w:rsid w:val="00E3594F"/>
    <w:rsid w:val="00E35F51"/>
    <w:rsid w:val="00E4027A"/>
    <w:rsid w:val="00E41702"/>
    <w:rsid w:val="00E42BBB"/>
    <w:rsid w:val="00E47627"/>
    <w:rsid w:val="00E530F9"/>
    <w:rsid w:val="00E5373F"/>
    <w:rsid w:val="00E537A0"/>
    <w:rsid w:val="00E538BB"/>
    <w:rsid w:val="00E54C76"/>
    <w:rsid w:val="00E5599F"/>
    <w:rsid w:val="00E55FF6"/>
    <w:rsid w:val="00E56AF8"/>
    <w:rsid w:val="00E57233"/>
    <w:rsid w:val="00E6286F"/>
    <w:rsid w:val="00E63DB8"/>
    <w:rsid w:val="00E64255"/>
    <w:rsid w:val="00E64D97"/>
    <w:rsid w:val="00E6530D"/>
    <w:rsid w:val="00E653B8"/>
    <w:rsid w:val="00E66182"/>
    <w:rsid w:val="00E66A0A"/>
    <w:rsid w:val="00E675A5"/>
    <w:rsid w:val="00E70562"/>
    <w:rsid w:val="00E73372"/>
    <w:rsid w:val="00E73C77"/>
    <w:rsid w:val="00E76D2A"/>
    <w:rsid w:val="00E77162"/>
    <w:rsid w:val="00E77CEE"/>
    <w:rsid w:val="00E80574"/>
    <w:rsid w:val="00E83CC8"/>
    <w:rsid w:val="00E859E0"/>
    <w:rsid w:val="00E85BD0"/>
    <w:rsid w:val="00E861CE"/>
    <w:rsid w:val="00E862EB"/>
    <w:rsid w:val="00E86330"/>
    <w:rsid w:val="00E868CA"/>
    <w:rsid w:val="00E86C27"/>
    <w:rsid w:val="00E87435"/>
    <w:rsid w:val="00E92439"/>
    <w:rsid w:val="00E94E80"/>
    <w:rsid w:val="00E9501E"/>
    <w:rsid w:val="00E95CE9"/>
    <w:rsid w:val="00EA080F"/>
    <w:rsid w:val="00EA1265"/>
    <w:rsid w:val="00EA2BF0"/>
    <w:rsid w:val="00EA2E40"/>
    <w:rsid w:val="00EA3FFA"/>
    <w:rsid w:val="00EA4386"/>
    <w:rsid w:val="00EA71EE"/>
    <w:rsid w:val="00EB05FA"/>
    <w:rsid w:val="00EB0A7B"/>
    <w:rsid w:val="00EB114E"/>
    <w:rsid w:val="00EB2B20"/>
    <w:rsid w:val="00EB3B8D"/>
    <w:rsid w:val="00EB4DEB"/>
    <w:rsid w:val="00EB6501"/>
    <w:rsid w:val="00EC041A"/>
    <w:rsid w:val="00EC213C"/>
    <w:rsid w:val="00EC3469"/>
    <w:rsid w:val="00EC4036"/>
    <w:rsid w:val="00EC7DBC"/>
    <w:rsid w:val="00ED1EEA"/>
    <w:rsid w:val="00ED5139"/>
    <w:rsid w:val="00EE01D8"/>
    <w:rsid w:val="00EE183D"/>
    <w:rsid w:val="00EE1B40"/>
    <w:rsid w:val="00EE291A"/>
    <w:rsid w:val="00EE2C20"/>
    <w:rsid w:val="00EE413D"/>
    <w:rsid w:val="00EE4FA7"/>
    <w:rsid w:val="00EE5850"/>
    <w:rsid w:val="00EF0561"/>
    <w:rsid w:val="00EF0A80"/>
    <w:rsid w:val="00EF191F"/>
    <w:rsid w:val="00EF2033"/>
    <w:rsid w:val="00EF252B"/>
    <w:rsid w:val="00EF4657"/>
    <w:rsid w:val="00EF5353"/>
    <w:rsid w:val="00EF658B"/>
    <w:rsid w:val="00EF783C"/>
    <w:rsid w:val="00F00F44"/>
    <w:rsid w:val="00F013FA"/>
    <w:rsid w:val="00F020A3"/>
    <w:rsid w:val="00F02BB4"/>
    <w:rsid w:val="00F031A4"/>
    <w:rsid w:val="00F03CEC"/>
    <w:rsid w:val="00F041A2"/>
    <w:rsid w:val="00F107C1"/>
    <w:rsid w:val="00F11B2B"/>
    <w:rsid w:val="00F126B8"/>
    <w:rsid w:val="00F13359"/>
    <w:rsid w:val="00F13E45"/>
    <w:rsid w:val="00F16DA3"/>
    <w:rsid w:val="00F20099"/>
    <w:rsid w:val="00F2183F"/>
    <w:rsid w:val="00F241EF"/>
    <w:rsid w:val="00F262D7"/>
    <w:rsid w:val="00F27D44"/>
    <w:rsid w:val="00F30369"/>
    <w:rsid w:val="00F3039B"/>
    <w:rsid w:val="00F305BA"/>
    <w:rsid w:val="00F36703"/>
    <w:rsid w:val="00F36BA2"/>
    <w:rsid w:val="00F36F38"/>
    <w:rsid w:val="00F3700D"/>
    <w:rsid w:val="00F37770"/>
    <w:rsid w:val="00F42384"/>
    <w:rsid w:val="00F429BB"/>
    <w:rsid w:val="00F42A76"/>
    <w:rsid w:val="00F4643C"/>
    <w:rsid w:val="00F47197"/>
    <w:rsid w:val="00F517A9"/>
    <w:rsid w:val="00F53705"/>
    <w:rsid w:val="00F540FA"/>
    <w:rsid w:val="00F5643C"/>
    <w:rsid w:val="00F60C24"/>
    <w:rsid w:val="00F6274A"/>
    <w:rsid w:val="00F62CF2"/>
    <w:rsid w:val="00F6494A"/>
    <w:rsid w:val="00F65D0E"/>
    <w:rsid w:val="00F7144A"/>
    <w:rsid w:val="00F74AC6"/>
    <w:rsid w:val="00F7691E"/>
    <w:rsid w:val="00F76D18"/>
    <w:rsid w:val="00F83776"/>
    <w:rsid w:val="00F86FCC"/>
    <w:rsid w:val="00F90433"/>
    <w:rsid w:val="00F91ACD"/>
    <w:rsid w:val="00F91D27"/>
    <w:rsid w:val="00F91EBB"/>
    <w:rsid w:val="00F931EF"/>
    <w:rsid w:val="00F94B75"/>
    <w:rsid w:val="00F951EE"/>
    <w:rsid w:val="00F95EAF"/>
    <w:rsid w:val="00F970E4"/>
    <w:rsid w:val="00FA30E7"/>
    <w:rsid w:val="00FA36E9"/>
    <w:rsid w:val="00FA4277"/>
    <w:rsid w:val="00FA557A"/>
    <w:rsid w:val="00FA5DC5"/>
    <w:rsid w:val="00FA5DDA"/>
    <w:rsid w:val="00FA6A19"/>
    <w:rsid w:val="00FA731C"/>
    <w:rsid w:val="00FB1B8D"/>
    <w:rsid w:val="00FB6C63"/>
    <w:rsid w:val="00FC05C6"/>
    <w:rsid w:val="00FC24DE"/>
    <w:rsid w:val="00FC42FA"/>
    <w:rsid w:val="00FC494B"/>
    <w:rsid w:val="00FC5C92"/>
    <w:rsid w:val="00FC5EEB"/>
    <w:rsid w:val="00FC605E"/>
    <w:rsid w:val="00FC7733"/>
    <w:rsid w:val="00FD152D"/>
    <w:rsid w:val="00FD323C"/>
    <w:rsid w:val="00FD3512"/>
    <w:rsid w:val="00FD4F13"/>
    <w:rsid w:val="00FD6EFA"/>
    <w:rsid w:val="00FE06AD"/>
    <w:rsid w:val="00FE25BC"/>
    <w:rsid w:val="00FE2F18"/>
    <w:rsid w:val="00FE3874"/>
    <w:rsid w:val="00FE3B2E"/>
    <w:rsid w:val="00FE5336"/>
    <w:rsid w:val="00FE61EB"/>
    <w:rsid w:val="00FE6C9C"/>
    <w:rsid w:val="00FE6DD6"/>
    <w:rsid w:val="00FE768A"/>
    <w:rsid w:val="00FF0C5A"/>
    <w:rsid w:val="00FF0DB0"/>
    <w:rsid w:val="00FF13FC"/>
    <w:rsid w:val="00FF1ACA"/>
    <w:rsid w:val="00FF41DE"/>
    <w:rsid w:val="00FF52B2"/>
    <w:rsid w:val="00FF7304"/>
    <w:rsid w:val="012A3CE6"/>
    <w:rsid w:val="0159716B"/>
    <w:rsid w:val="01713E8F"/>
    <w:rsid w:val="01745EE6"/>
    <w:rsid w:val="01FE4437"/>
    <w:rsid w:val="026B3A80"/>
    <w:rsid w:val="02A91B01"/>
    <w:rsid w:val="02B258C5"/>
    <w:rsid w:val="02F646C8"/>
    <w:rsid w:val="03313C1D"/>
    <w:rsid w:val="03C814FD"/>
    <w:rsid w:val="0417467E"/>
    <w:rsid w:val="041B6087"/>
    <w:rsid w:val="041F4312"/>
    <w:rsid w:val="042D79C2"/>
    <w:rsid w:val="043C03B6"/>
    <w:rsid w:val="0444340A"/>
    <w:rsid w:val="05114CBF"/>
    <w:rsid w:val="051270D7"/>
    <w:rsid w:val="05894266"/>
    <w:rsid w:val="05C5666D"/>
    <w:rsid w:val="062446D5"/>
    <w:rsid w:val="064B3BE4"/>
    <w:rsid w:val="06B258F2"/>
    <w:rsid w:val="06B5568B"/>
    <w:rsid w:val="06E14F8A"/>
    <w:rsid w:val="06F10BAA"/>
    <w:rsid w:val="073A6BC6"/>
    <w:rsid w:val="07782CB2"/>
    <w:rsid w:val="079006E8"/>
    <w:rsid w:val="07A4303C"/>
    <w:rsid w:val="07C83718"/>
    <w:rsid w:val="07CA08DA"/>
    <w:rsid w:val="086B023F"/>
    <w:rsid w:val="086F1828"/>
    <w:rsid w:val="0870040F"/>
    <w:rsid w:val="088929EC"/>
    <w:rsid w:val="090148AB"/>
    <w:rsid w:val="091D4A28"/>
    <w:rsid w:val="09C23FE3"/>
    <w:rsid w:val="0A242FFF"/>
    <w:rsid w:val="0A823E92"/>
    <w:rsid w:val="0AC47253"/>
    <w:rsid w:val="0ACF19BE"/>
    <w:rsid w:val="0ADC1D1C"/>
    <w:rsid w:val="0AF14F38"/>
    <w:rsid w:val="0AF5493A"/>
    <w:rsid w:val="0B1B457B"/>
    <w:rsid w:val="0B6D6DD0"/>
    <w:rsid w:val="0B8C1D04"/>
    <w:rsid w:val="0CDF4EE6"/>
    <w:rsid w:val="0D19707A"/>
    <w:rsid w:val="0D485073"/>
    <w:rsid w:val="0D965E14"/>
    <w:rsid w:val="0D971FFF"/>
    <w:rsid w:val="0D985588"/>
    <w:rsid w:val="0DAC4DE7"/>
    <w:rsid w:val="0DD93C67"/>
    <w:rsid w:val="0E1C7748"/>
    <w:rsid w:val="0E6E3D94"/>
    <w:rsid w:val="0E9B5CB3"/>
    <w:rsid w:val="0EB463A0"/>
    <w:rsid w:val="0F127DBC"/>
    <w:rsid w:val="0F3D5D2B"/>
    <w:rsid w:val="0FB3499A"/>
    <w:rsid w:val="0FC45779"/>
    <w:rsid w:val="100E3CDE"/>
    <w:rsid w:val="102862AB"/>
    <w:rsid w:val="10582A82"/>
    <w:rsid w:val="10B416EE"/>
    <w:rsid w:val="10D6580D"/>
    <w:rsid w:val="11285AF8"/>
    <w:rsid w:val="116F4196"/>
    <w:rsid w:val="11CD7202"/>
    <w:rsid w:val="11FF21E6"/>
    <w:rsid w:val="12326B43"/>
    <w:rsid w:val="124D09DB"/>
    <w:rsid w:val="13072660"/>
    <w:rsid w:val="13412665"/>
    <w:rsid w:val="139F6AD3"/>
    <w:rsid w:val="1402609A"/>
    <w:rsid w:val="142E021C"/>
    <w:rsid w:val="14644194"/>
    <w:rsid w:val="148556DC"/>
    <w:rsid w:val="14A24168"/>
    <w:rsid w:val="14B0689D"/>
    <w:rsid w:val="15025589"/>
    <w:rsid w:val="15802558"/>
    <w:rsid w:val="15D062EC"/>
    <w:rsid w:val="160721A3"/>
    <w:rsid w:val="16184405"/>
    <w:rsid w:val="1657518C"/>
    <w:rsid w:val="16596262"/>
    <w:rsid w:val="16732ABD"/>
    <w:rsid w:val="170E6F2D"/>
    <w:rsid w:val="17271EE3"/>
    <w:rsid w:val="1754248F"/>
    <w:rsid w:val="175F5CA8"/>
    <w:rsid w:val="184E50A0"/>
    <w:rsid w:val="186216FF"/>
    <w:rsid w:val="18700684"/>
    <w:rsid w:val="187E0558"/>
    <w:rsid w:val="18C119AD"/>
    <w:rsid w:val="197217FF"/>
    <w:rsid w:val="199E1D2C"/>
    <w:rsid w:val="19CF7EC7"/>
    <w:rsid w:val="19E44197"/>
    <w:rsid w:val="19EB3A98"/>
    <w:rsid w:val="19EF3DBB"/>
    <w:rsid w:val="19FB66F5"/>
    <w:rsid w:val="1A2378FA"/>
    <w:rsid w:val="1A307DEB"/>
    <w:rsid w:val="1A7A062D"/>
    <w:rsid w:val="1AC90C79"/>
    <w:rsid w:val="1B0D2108"/>
    <w:rsid w:val="1B1438B4"/>
    <w:rsid w:val="1B293C37"/>
    <w:rsid w:val="1BB2064E"/>
    <w:rsid w:val="1C7A3233"/>
    <w:rsid w:val="1C965749"/>
    <w:rsid w:val="1D9A06B0"/>
    <w:rsid w:val="1DBB7F40"/>
    <w:rsid w:val="1E3A5472"/>
    <w:rsid w:val="1EA747EE"/>
    <w:rsid w:val="1EDC0F97"/>
    <w:rsid w:val="1EEC3EB6"/>
    <w:rsid w:val="1F26778D"/>
    <w:rsid w:val="1F9B0BF8"/>
    <w:rsid w:val="1FD90A6B"/>
    <w:rsid w:val="20181E20"/>
    <w:rsid w:val="201D300B"/>
    <w:rsid w:val="20263C24"/>
    <w:rsid w:val="20934A1D"/>
    <w:rsid w:val="21176D6E"/>
    <w:rsid w:val="218C384B"/>
    <w:rsid w:val="226715E5"/>
    <w:rsid w:val="22682ED4"/>
    <w:rsid w:val="226F3182"/>
    <w:rsid w:val="23122FE5"/>
    <w:rsid w:val="232C3785"/>
    <w:rsid w:val="23300BC5"/>
    <w:rsid w:val="23390502"/>
    <w:rsid w:val="24605FFA"/>
    <w:rsid w:val="24A0493A"/>
    <w:rsid w:val="255F1C12"/>
    <w:rsid w:val="259A6176"/>
    <w:rsid w:val="263A0DBE"/>
    <w:rsid w:val="2644477A"/>
    <w:rsid w:val="26B93B86"/>
    <w:rsid w:val="26CB06DA"/>
    <w:rsid w:val="27303A23"/>
    <w:rsid w:val="275D2C3D"/>
    <w:rsid w:val="27BF720F"/>
    <w:rsid w:val="27C71297"/>
    <w:rsid w:val="284202E2"/>
    <w:rsid w:val="285D5757"/>
    <w:rsid w:val="28702875"/>
    <w:rsid w:val="287F7A45"/>
    <w:rsid w:val="288E7FFE"/>
    <w:rsid w:val="289128C5"/>
    <w:rsid w:val="28936C56"/>
    <w:rsid w:val="2962650F"/>
    <w:rsid w:val="2965244F"/>
    <w:rsid w:val="296C51FC"/>
    <w:rsid w:val="297211E0"/>
    <w:rsid w:val="29BD29EF"/>
    <w:rsid w:val="29E225F8"/>
    <w:rsid w:val="29F3493D"/>
    <w:rsid w:val="2A097F2C"/>
    <w:rsid w:val="2A13632A"/>
    <w:rsid w:val="2A2D2BA8"/>
    <w:rsid w:val="2A3F16A4"/>
    <w:rsid w:val="2A50238C"/>
    <w:rsid w:val="2A6130F9"/>
    <w:rsid w:val="2A8A5477"/>
    <w:rsid w:val="2B7729A9"/>
    <w:rsid w:val="2C6A4F6A"/>
    <w:rsid w:val="2CDB4730"/>
    <w:rsid w:val="2D3F3425"/>
    <w:rsid w:val="2D5033F0"/>
    <w:rsid w:val="2D8F7B63"/>
    <w:rsid w:val="2DFD5AD3"/>
    <w:rsid w:val="2DFD6B18"/>
    <w:rsid w:val="2E05430D"/>
    <w:rsid w:val="2E1859E5"/>
    <w:rsid w:val="2E430131"/>
    <w:rsid w:val="2E5210EC"/>
    <w:rsid w:val="2E5B07AB"/>
    <w:rsid w:val="2E6743B8"/>
    <w:rsid w:val="2E6A2DC2"/>
    <w:rsid w:val="2EF064BE"/>
    <w:rsid w:val="2F3204AF"/>
    <w:rsid w:val="2F9A050E"/>
    <w:rsid w:val="30117F8B"/>
    <w:rsid w:val="3038011D"/>
    <w:rsid w:val="30880C87"/>
    <w:rsid w:val="308C6C41"/>
    <w:rsid w:val="31224929"/>
    <w:rsid w:val="312569BD"/>
    <w:rsid w:val="31870AE7"/>
    <w:rsid w:val="31C71EA3"/>
    <w:rsid w:val="31CA6DFB"/>
    <w:rsid w:val="324A7F75"/>
    <w:rsid w:val="32AD7D50"/>
    <w:rsid w:val="32D4181D"/>
    <w:rsid w:val="333244AD"/>
    <w:rsid w:val="33371D5C"/>
    <w:rsid w:val="33913825"/>
    <w:rsid w:val="34222055"/>
    <w:rsid w:val="34480488"/>
    <w:rsid w:val="344E2455"/>
    <w:rsid w:val="346203EF"/>
    <w:rsid w:val="35817E56"/>
    <w:rsid w:val="358276DA"/>
    <w:rsid w:val="35F94460"/>
    <w:rsid w:val="36196EE3"/>
    <w:rsid w:val="36540977"/>
    <w:rsid w:val="36555758"/>
    <w:rsid w:val="366963CA"/>
    <w:rsid w:val="366A0A08"/>
    <w:rsid w:val="36B6367D"/>
    <w:rsid w:val="36E42DAC"/>
    <w:rsid w:val="36EE237E"/>
    <w:rsid w:val="36F67C9D"/>
    <w:rsid w:val="37410F05"/>
    <w:rsid w:val="375E11B3"/>
    <w:rsid w:val="37C47A65"/>
    <w:rsid w:val="37CC7A14"/>
    <w:rsid w:val="37F721DA"/>
    <w:rsid w:val="37F7529C"/>
    <w:rsid w:val="384F7AFB"/>
    <w:rsid w:val="38511947"/>
    <w:rsid w:val="38B37F59"/>
    <w:rsid w:val="38C97FF7"/>
    <w:rsid w:val="38FD0155"/>
    <w:rsid w:val="39230A59"/>
    <w:rsid w:val="392E439F"/>
    <w:rsid w:val="393E343F"/>
    <w:rsid w:val="397A1D7B"/>
    <w:rsid w:val="398850DE"/>
    <w:rsid w:val="3A314013"/>
    <w:rsid w:val="3A40547A"/>
    <w:rsid w:val="3A782AD9"/>
    <w:rsid w:val="3A9B2E8A"/>
    <w:rsid w:val="3ABC49A5"/>
    <w:rsid w:val="3B04426E"/>
    <w:rsid w:val="3B1D301A"/>
    <w:rsid w:val="3BB149C3"/>
    <w:rsid w:val="3C830040"/>
    <w:rsid w:val="3CB07B7D"/>
    <w:rsid w:val="3CD07E3A"/>
    <w:rsid w:val="3CD94684"/>
    <w:rsid w:val="3D155AFC"/>
    <w:rsid w:val="3D1F3A14"/>
    <w:rsid w:val="3D200A41"/>
    <w:rsid w:val="3D9214CE"/>
    <w:rsid w:val="3DDF3E65"/>
    <w:rsid w:val="3F502FB9"/>
    <w:rsid w:val="3F5F5F83"/>
    <w:rsid w:val="3FC63BD0"/>
    <w:rsid w:val="3FCF563B"/>
    <w:rsid w:val="40F16909"/>
    <w:rsid w:val="41982A2A"/>
    <w:rsid w:val="41C37CE9"/>
    <w:rsid w:val="41CD3CC6"/>
    <w:rsid w:val="41DD19CA"/>
    <w:rsid w:val="41F12259"/>
    <w:rsid w:val="42277F9A"/>
    <w:rsid w:val="42C228C8"/>
    <w:rsid w:val="42EF410D"/>
    <w:rsid w:val="42F36E1E"/>
    <w:rsid w:val="43121F6B"/>
    <w:rsid w:val="4314696F"/>
    <w:rsid w:val="435823F0"/>
    <w:rsid w:val="435A7E53"/>
    <w:rsid w:val="437473DB"/>
    <w:rsid w:val="437C397B"/>
    <w:rsid w:val="43C13A38"/>
    <w:rsid w:val="43E22F2B"/>
    <w:rsid w:val="43EE1010"/>
    <w:rsid w:val="44116024"/>
    <w:rsid w:val="452D466E"/>
    <w:rsid w:val="463A697F"/>
    <w:rsid w:val="468F43E8"/>
    <w:rsid w:val="46B05FBF"/>
    <w:rsid w:val="470E1780"/>
    <w:rsid w:val="476D0782"/>
    <w:rsid w:val="478248DA"/>
    <w:rsid w:val="479357BC"/>
    <w:rsid w:val="47B52DEE"/>
    <w:rsid w:val="489B0094"/>
    <w:rsid w:val="492331F4"/>
    <w:rsid w:val="496E5FA9"/>
    <w:rsid w:val="4A6A1B72"/>
    <w:rsid w:val="4A952924"/>
    <w:rsid w:val="4AB7670F"/>
    <w:rsid w:val="4B035D90"/>
    <w:rsid w:val="4B183987"/>
    <w:rsid w:val="4B764485"/>
    <w:rsid w:val="4BCD2CFE"/>
    <w:rsid w:val="4C141988"/>
    <w:rsid w:val="4C520360"/>
    <w:rsid w:val="4CC4190A"/>
    <w:rsid w:val="4D137AEF"/>
    <w:rsid w:val="4D572235"/>
    <w:rsid w:val="4DFC0E9E"/>
    <w:rsid w:val="4E52662D"/>
    <w:rsid w:val="4E9D1D67"/>
    <w:rsid w:val="4EDA0A91"/>
    <w:rsid w:val="4EF43D32"/>
    <w:rsid w:val="4F0D2BAF"/>
    <w:rsid w:val="4F3810D9"/>
    <w:rsid w:val="4F953106"/>
    <w:rsid w:val="4FE43BE8"/>
    <w:rsid w:val="502533DF"/>
    <w:rsid w:val="50C30CAF"/>
    <w:rsid w:val="512064B6"/>
    <w:rsid w:val="51683911"/>
    <w:rsid w:val="516C3C72"/>
    <w:rsid w:val="51B272DD"/>
    <w:rsid w:val="51D11B69"/>
    <w:rsid w:val="52062768"/>
    <w:rsid w:val="52522DCC"/>
    <w:rsid w:val="525248B6"/>
    <w:rsid w:val="526E379C"/>
    <w:rsid w:val="52CD7259"/>
    <w:rsid w:val="52DF7CE2"/>
    <w:rsid w:val="53056701"/>
    <w:rsid w:val="53AE72B4"/>
    <w:rsid w:val="53DF3426"/>
    <w:rsid w:val="53E94F5A"/>
    <w:rsid w:val="53EF5A87"/>
    <w:rsid w:val="542A605F"/>
    <w:rsid w:val="546B242A"/>
    <w:rsid w:val="54985237"/>
    <w:rsid w:val="54A11E85"/>
    <w:rsid w:val="558D7048"/>
    <w:rsid w:val="559C3737"/>
    <w:rsid w:val="55A24610"/>
    <w:rsid w:val="55B20B19"/>
    <w:rsid w:val="55C53DB0"/>
    <w:rsid w:val="55DD22CB"/>
    <w:rsid w:val="55E23235"/>
    <w:rsid w:val="55F160F6"/>
    <w:rsid w:val="564B6B67"/>
    <w:rsid w:val="56CE6A63"/>
    <w:rsid w:val="56E64B85"/>
    <w:rsid w:val="57EB7BED"/>
    <w:rsid w:val="585F7AFF"/>
    <w:rsid w:val="593252E4"/>
    <w:rsid w:val="59690389"/>
    <w:rsid w:val="59807F66"/>
    <w:rsid w:val="59E808DC"/>
    <w:rsid w:val="5A2860FD"/>
    <w:rsid w:val="5A4D198C"/>
    <w:rsid w:val="5ACC1FD7"/>
    <w:rsid w:val="5AE10810"/>
    <w:rsid w:val="5B001A05"/>
    <w:rsid w:val="5B066902"/>
    <w:rsid w:val="5B3255D3"/>
    <w:rsid w:val="5B97255D"/>
    <w:rsid w:val="5BA3321B"/>
    <w:rsid w:val="5BBC002E"/>
    <w:rsid w:val="5C86273B"/>
    <w:rsid w:val="5C8A4E1B"/>
    <w:rsid w:val="5CB545BF"/>
    <w:rsid w:val="5CEA6D6B"/>
    <w:rsid w:val="5D03647F"/>
    <w:rsid w:val="5D0A0E22"/>
    <w:rsid w:val="5D55019E"/>
    <w:rsid w:val="5D775FC9"/>
    <w:rsid w:val="5DC868D7"/>
    <w:rsid w:val="5DCD254B"/>
    <w:rsid w:val="5DCF023F"/>
    <w:rsid w:val="5E53044A"/>
    <w:rsid w:val="5E856373"/>
    <w:rsid w:val="5ECD7B7A"/>
    <w:rsid w:val="5F5E66CD"/>
    <w:rsid w:val="5F6915A6"/>
    <w:rsid w:val="5FC5782B"/>
    <w:rsid w:val="60002155"/>
    <w:rsid w:val="60822E4F"/>
    <w:rsid w:val="60ED6FEA"/>
    <w:rsid w:val="6112353F"/>
    <w:rsid w:val="611D34B6"/>
    <w:rsid w:val="6161661E"/>
    <w:rsid w:val="617D69D7"/>
    <w:rsid w:val="61BA574D"/>
    <w:rsid w:val="61C3512C"/>
    <w:rsid w:val="61DD03B3"/>
    <w:rsid w:val="61F70D99"/>
    <w:rsid w:val="62250155"/>
    <w:rsid w:val="62306FBF"/>
    <w:rsid w:val="62335D39"/>
    <w:rsid w:val="626B200B"/>
    <w:rsid w:val="62B56083"/>
    <w:rsid w:val="63427C35"/>
    <w:rsid w:val="63496E02"/>
    <w:rsid w:val="63527926"/>
    <w:rsid w:val="639908CC"/>
    <w:rsid w:val="63BD394B"/>
    <w:rsid w:val="63CB261F"/>
    <w:rsid w:val="64533922"/>
    <w:rsid w:val="64745988"/>
    <w:rsid w:val="64DA35A9"/>
    <w:rsid w:val="65D87056"/>
    <w:rsid w:val="660716F6"/>
    <w:rsid w:val="667C5310"/>
    <w:rsid w:val="6697321F"/>
    <w:rsid w:val="66C22666"/>
    <w:rsid w:val="675D3FEF"/>
    <w:rsid w:val="67803AE3"/>
    <w:rsid w:val="67C50F24"/>
    <w:rsid w:val="67F500C6"/>
    <w:rsid w:val="680B350F"/>
    <w:rsid w:val="682C57A5"/>
    <w:rsid w:val="6832167E"/>
    <w:rsid w:val="683354A3"/>
    <w:rsid w:val="68700039"/>
    <w:rsid w:val="68A01D1C"/>
    <w:rsid w:val="68A234DF"/>
    <w:rsid w:val="6901408C"/>
    <w:rsid w:val="69A96B00"/>
    <w:rsid w:val="69EF1F65"/>
    <w:rsid w:val="6A0D63C4"/>
    <w:rsid w:val="6A1A6E5F"/>
    <w:rsid w:val="6A447F58"/>
    <w:rsid w:val="6A47013E"/>
    <w:rsid w:val="6A806889"/>
    <w:rsid w:val="6AA42500"/>
    <w:rsid w:val="6ABF6769"/>
    <w:rsid w:val="6AD7534E"/>
    <w:rsid w:val="6BA222EA"/>
    <w:rsid w:val="6BC96E53"/>
    <w:rsid w:val="6C4312E7"/>
    <w:rsid w:val="6CA53DFF"/>
    <w:rsid w:val="6D74572C"/>
    <w:rsid w:val="6DAC440C"/>
    <w:rsid w:val="6DBF6490"/>
    <w:rsid w:val="6DE86E15"/>
    <w:rsid w:val="6DED2E55"/>
    <w:rsid w:val="6E3A4339"/>
    <w:rsid w:val="6E41376D"/>
    <w:rsid w:val="6EA0573A"/>
    <w:rsid w:val="6F1C0F24"/>
    <w:rsid w:val="6FA01D37"/>
    <w:rsid w:val="6FA35752"/>
    <w:rsid w:val="6FFD5FA0"/>
    <w:rsid w:val="705F6A24"/>
    <w:rsid w:val="71000C9C"/>
    <w:rsid w:val="710D0ECB"/>
    <w:rsid w:val="71240691"/>
    <w:rsid w:val="721F1602"/>
    <w:rsid w:val="72281225"/>
    <w:rsid w:val="72C7472E"/>
    <w:rsid w:val="73286B40"/>
    <w:rsid w:val="737A7695"/>
    <w:rsid w:val="73E90234"/>
    <w:rsid w:val="740A5BE8"/>
    <w:rsid w:val="74854658"/>
    <w:rsid w:val="74B05252"/>
    <w:rsid w:val="74CA31DB"/>
    <w:rsid w:val="75722A40"/>
    <w:rsid w:val="75F22C6F"/>
    <w:rsid w:val="75FE7091"/>
    <w:rsid w:val="76016200"/>
    <w:rsid w:val="760472A6"/>
    <w:rsid w:val="76A26232"/>
    <w:rsid w:val="76DA1864"/>
    <w:rsid w:val="770C267B"/>
    <w:rsid w:val="774700DE"/>
    <w:rsid w:val="774C3C09"/>
    <w:rsid w:val="77746257"/>
    <w:rsid w:val="78356C05"/>
    <w:rsid w:val="783A4F8D"/>
    <w:rsid w:val="786605DE"/>
    <w:rsid w:val="787C3EEC"/>
    <w:rsid w:val="78BE7535"/>
    <w:rsid w:val="78EF120E"/>
    <w:rsid w:val="79297266"/>
    <w:rsid w:val="79A202F8"/>
    <w:rsid w:val="79EE5408"/>
    <w:rsid w:val="7A1216AE"/>
    <w:rsid w:val="7A181B71"/>
    <w:rsid w:val="7A6B663C"/>
    <w:rsid w:val="7A6C49DC"/>
    <w:rsid w:val="7AB250CE"/>
    <w:rsid w:val="7ABD008D"/>
    <w:rsid w:val="7B312A5B"/>
    <w:rsid w:val="7B942659"/>
    <w:rsid w:val="7BD8797B"/>
    <w:rsid w:val="7C244A7D"/>
    <w:rsid w:val="7C2F6CBD"/>
    <w:rsid w:val="7D0B7AD6"/>
    <w:rsid w:val="7D1B3DE1"/>
    <w:rsid w:val="7D374B5B"/>
    <w:rsid w:val="7D6734F0"/>
    <w:rsid w:val="7D7955D6"/>
    <w:rsid w:val="7D800E59"/>
    <w:rsid w:val="7DBB29EE"/>
    <w:rsid w:val="7DDB1943"/>
    <w:rsid w:val="7E6079FB"/>
    <w:rsid w:val="7F431CAA"/>
    <w:rsid w:val="7F97608A"/>
    <w:rsid w:val="7FAA39F7"/>
    <w:rsid w:val="7FCC69B4"/>
    <w:rsid w:val="7FF654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0" w:semiHidden="0"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3"/>
    <w:qFormat/>
    <w:uiPriority w:val="0"/>
    <w:pPr>
      <w:keepNext/>
      <w:jc w:val="center"/>
      <w:outlineLvl w:val="0"/>
    </w:pPr>
    <w:rPr>
      <w:rFonts w:ascii="黑体" w:eastAsia="黑体"/>
      <w:sz w:val="28"/>
    </w:rPr>
  </w:style>
  <w:style w:type="paragraph" w:styleId="4">
    <w:name w:val="heading 2"/>
    <w:basedOn w:val="1"/>
    <w:next w:val="1"/>
    <w:link w:val="54"/>
    <w:qFormat/>
    <w:uiPriority w:val="0"/>
    <w:pPr>
      <w:keepNext/>
      <w:spacing w:line="720" w:lineRule="exact"/>
      <w:outlineLvl w:val="1"/>
    </w:pPr>
    <w:rPr>
      <w:rFonts w:ascii="黑体" w:hAnsi="Copperplate Gothic Bold" w:eastAsia="楷体_GB2312"/>
      <w:sz w:val="28"/>
    </w:rPr>
  </w:style>
  <w:style w:type="paragraph" w:styleId="5">
    <w:name w:val="heading 3"/>
    <w:basedOn w:val="1"/>
    <w:next w:val="6"/>
    <w:link w:val="55"/>
    <w:qFormat/>
    <w:uiPriority w:val="0"/>
    <w:pPr>
      <w:keepNext/>
      <w:spacing w:line="320" w:lineRule="exact"/>
      <w:outlineLvl w:val="2"/>
    </w:pPr>
    <w:rPr>
      <w:rFonts w:ascii="楷体_GB2312" w:eastAsia="楷体_GB2312"/>
      <w:sz w:val="32"/>
    </w:rPr>
  </w:style>
  <w:style w:type="paragraph" w:styleId="2">
    <w:name w:val="heading 4"/>
    <w:basedOn w:val="1"/>
    <w:next w:val="1"/>
    <w:link w:val="56"/>
    <w:qFormat/>
    <w:uiPriority w:val="99"/>
    <w:pPr>
      <w:keepNext/>
      <w:spacing w:line="600" w:lineRule="exact"/>
      <w:jc w:val="center"/>
      <w:outlineLvl w:val="3"/>
    </w:pPr>
    <w:rPr>
      <w:rFonts w:ascii="楷体_GB2312" w:eastAsia="楷体_GB2312"/>
      <w:sz w:val="32"/>
    </w:rPr>
  </w:style>
  <w:style w:type="paragraph" w:styleId="7">
    <w:name w:val="heading 5"/>
    <w:basedOn w:val="1"/>
    <w:next w:val="1"/>
    <w:link w:val="57"/>
    <w:qFormat/>
    <w:uiPriority w:val="99"/>
    <w:pPr>
      <w:keepNext/>
      <w:keepLines/>
      <w:spacing w:before="280" w:after="290" w:line="376" w:lineRule="auto"/>
      <w:outlineLvl w:val="4"/>
    </w:pPr>
    <w:rPr>
      <w:b/>
      <w:bCs/>
      <w:sz w:val="28"/>
      <w:szCs w:val="28"/>
    </w:rPr>
  </w:style>
  <w:style w:type="paragraph" w:styleId="8">
    <w:name w:val="heading 6"/>
    <w:basedOn w:val="1"/>
    <w:next w:val="1"/>
    <w:link w:val="58"/>
    <w:qFormat/>
    <w:uiPriority w:val="99"/>
    <w:pPr>
      <w:keepNext/>
      <w:keepLines/>
      <w:widowControl/>
      <w:spacing w:before="240" w:after="64" w:line="320" w:lineRule="auto"/>
      <w:jc w:val="left"/>
      <w:outlineLvl w:val="5"/>
    </w:pPr>
    <w:rPr>
      <w:rFonts w:ascii="Arial" w:hAnsi="Arial" w:eastAsia="黑体"/>
      <w:b/>
      <w:bCs/>
      <w:kern w:val="0"/>
      <w:sz w:val="24"/>
      <w:szCs w:val="24"/>
    </w:rPr>
  </w:style>
  <w:style w:type="paragraph" w:styleId="9">
    <w:name w:val="heading 7"/>
    <w:basedOn w:val="1"/>
    <w:next w:val="1"/>
    <w:link w:val="59"/>
    <w:qFormat/>
    <w:uiPriority w:val="99"/>
    <w:pPr>
      <w:keepNext/>
      <w:keepLines/>
      <w:widowControl/>
      <w:spacing w:before="240" w:after="64" w:line="320" w:lineRule="auto"/>
      <w:jc w:val="left"/>
      <w:outlineLvl w:val="6"/>
    </w:pPr>
    <w:rPr>
      <w:b/>
      <w:bCs/>
      <w:kern w:val="0"/>
      <w:sz w:val="24"/>
      <w:szCs w:val="24"/>
    </w:rPr>
  </w:style>
  <w:style w:type="paragraph" w:styleId="10">
    <w:name w:val="heading 8"/>
    <w:basedOn w:val="1"/>
    <w:next w:val="1"/>
    <w:link w:val="60"/>
    <w:qFormat/>
    <w:uiPriority w:val="99"/>
    <w:pPr>
      <w:keepNext/>
      <w:keepLines/>
      <w:widowControl/>
      <w:spacing w:before="240" w:after="64" w:line="320" w:lineRule="auto"/>
      <w:jc w:val="left"/>
      <w:outlineLvl w:val="7"/>
    </w:pPr>
    <w:rPr>
      <w:rFonts w:ascii="Arial" w:hAnsi="Arial" w:eastAsia="黑体"/>
      <w:kern w:val="0"/>
      <w:sz w:val="24"/>
      <w:szCs w:val="24"/>
    </w:rPr>
  </w:style>
  <w:style w:type="paragraph" w:styleId="11">
    <w:name w:val="heading 9"/>
    <w:basedOn w:val="1"/>
    <w:next w:val="1"/>
    <w:link w:val="61"/>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97"/>
    <w:qFormat/>
    <w:uiPriority w:val="0"/>
    <w:pPr>
      <w:ind w:firstLine="420"/>
    </w:pPr>
  </w:style>
  <w:style w:type="paragraph" w:styleId="12">
    <w:name w:val="Document Map"/>
    <w:basedOn w:val="1"/>
    <w:link w:val="62"/>
    <w:qFormat/>
    <w:uiPriority w:val="99"/>
    <w:pPr>
      <w:shd w:val="clear" w:color="auto" w:fill="000080"/>
    </w:pPr>
  </w:style>
  <w:style w:type="paragraph" w:styleId="13">
    <w:name w:val="toa heading"/>
    <w:basedOn w:val="1"/>
    <w:next w:val="1"/>
    <w:qFormat/>
    <w:locked/>
    <w:uiPriority w:val="0"/>
    <w:pPr>
      <w:spacing w:before="120"/>
    </w:pPr>
    <w:rPr>
      <w:rFonts w:ascii="Arial" w:hAnsi="Arial"/>
      <w:sz w:val="24"/>
      <w:szCs w:val="20"/>
    </w:rPr>
  </w:style>
  <w:style w:type="paragraph" w:styleId="14">
    <w:name w:val="annotation text"/>
    <w:basedOn w:val="1"/>
    <w:link w:val="63"/>
    <w:qFormat/>
    <w:uiPriority w:val="99"/>
    <w:pPr>
      <w:jc w:val="left"/>
    </w:pPr>
  </w:style>
  <w:style w:type="paragraph" w:styleId="15">
    <w:name w:val="Body Text 3"/>
    <w:basedOn w:val="1"/>
    <w:link w:val="64"/>
    <w:qFormat/>
    <w:uiPriority w:val="99"/>
    <w:pPr>
      <w:jc w:val="center"/>
    </w:pPr>
    <w:rPr>
      <w:b/>
      <w:spacing w:val="-20"/>
      <w:w w:val="110"/>
      <w:sz w:val="52"/>
    </w:rPr>
  </w:style>
  <w:style w:type="paragraph" w:styleId="16">
    <w:name w:val="Body Text"/>
    <w:basedOn w:val="1"/>
    <w:next w:val="1"/>
    <w:link w:val="65"/>
    <w:qFormat/>
    <w:uiPriority w:val="99"/>
    <w:pPr>
      <w:jc w:val="left"/>
    </w:pPr>
    <w:rPr>
      <w:rFonts w:ascii="Copperplate Gothic Bold" w:hAnsi="Copperplate Gothic Bold"/>
      <w:sz w:val="28"/>
    </w:rPr>
  </w:style>
  <w:style w:type="paragraph" w:styleId="17">
    <w:name w:val="Body Text Indent"/>
    <w:basedOn w:val="1"/>
    <w:link w:val="66"/>
    <w:qFormat/>
    <w:uiPriority w:val="99"/>
    <w:pPr>
      <w:spacing w:line="640" w:lineRule="exact"/>
      <w:ind w:firstLine="585"/>
    </w:pPr>
    <w:rPr>
      <w:rFonts w:ascii="楷体_GB2312" w:eastAsia="楷体_GB2312"/>
      <w:sz w:val="32"/>
    </w:rPr>
  </w:style>
  <w:style w:type="paragraph" w:styleId="18">
    <w:name w:val="Block Text"/>
    <w:basedOn w:val="1"/>
    <w:qFormat/>
    <w:uiPriority w:val="99"/>
    <w:pPr>
      <w:adjustRightInd w:val="0"/>
      <w:ind w:left="420" w:right="33"/>
      <w:jc w:val="left"/>
      <w:textAlignment w:val="baseline"/>
    </w:pPr>
    <w:rPr>
      <w:kern w:val="0"/>
      <w:sz w:val="24"/>
    </w:rPr>
  </w:style>
  <w:style w:type="paragraph" w:styleId="19">
    <w:name w:val="toc 3"/>
    <w:basedOn w:val="1"/>
    <w:next w:val="1"/>
    <w:qFormat/>
    <w:uiPriority w:val="99"/>
    <w:pPr>
      <w:ind w:left="840" w:leftChars="400"/>
    </w:pPr>
    <w:rPr>
      <w:szCs w:val="24"/>
    </w:rPr>
  </w:style>
  <w:style w:type="paragraph" w:styleId="20">
    <w:name w:val="Plain Text"/>
    <w:basedOn w:val="1"/>
    <w:link w:val="67"/>
    <w:qFormat/>
    <w:uiPriority w:val="99"/>
    <w:rPr>
      <w:rFonts w:ascii="宋体" w:hAnsi="Courier New"/>
    </w:rPr>
  </w:style>
  <w:style w:type="paragraph" w:styleId="21">
    <w:name w:val="Date"/>
    <w:basedOn w:val="1"/>
    <w:next w:val="1"/>
    <w:link w:val="68"/>
    <w:qFormat/>
    <w:uiPriority w:val="99"/>
    <w:rPr>
      <w:rFonts w:ascii="Copperplate Gothic Bold" w:hAnsi="Copperplate Gothic Bold"/>
      <w:sz w:val="32"/>
    </w:rPr>
  </w:style>
  <w:style w:type="paragraph" w:styleId="22">
    <w:name w:val="Body Text Indent 2"/>
    <w:basedOn w:val="1"/>
    <w:link w:val="69"/>
    <w:qFormat/>
    <w:uiPriority w:val="99"/>
    <w:pPr>
      <w:spacing w:line="640" w:lineRule="exact"/>
      <w:ind w:firstLine="645"/>
    </w:pPr>
    <w:rPr>
      <w:rFonts w:ascii="楷体_GB2312" w:eastAsia="楷体_GB2312"/>
      <w:sz w:val="32"/>
    </w:rPr>
  </w:style>
  <w:style w:type="paragraph" w:styleId="23">
    <w:name w:val="Balloon Text"/>
    <w:basedOn w:val="1"/>
    <w:link w:val="70"/>
    <w:qFormat/>
    <w:uiPriority w:val="99"/>
    <w:rPr>
      <w:sz w:val="18"/>
      <w:szCs w:val="18"/>
    </w:rPr>
  </w:style>
  <w:style w:type="paragraph" w:styleId="24">
    <w:name w:val="footer"/>
    <w:basedOn w:val="1"/>
    <w:link w:val="71"/>
    <w:qFormat/>
    <w:uiPriority w:val="99"/>
    <w:pPr>
      <w:tabs>
        <w:tab w:val="center" w:pos="4153"/>
        <w:tab w:val="right" w:pos="8306"/>
      </w:tabs>
      <w:snapToGrid w:val="0"/>
      <w:jc w:val="left"/>
    </w:pPr>
    <w:rPr>
      <w:sz w:val="18"/>
      <w:szCs w:val="18"/>
    </w:rPr>
  </w:style>
  <w:style w:type="paragraph" w:styleId="25">
    <w:name w:val="header"/>
    <w:basedOn w:val="1"/>
    <w:link w:val="72"/>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spacing w:line="720" w:lineRule="auto"/>
    </w:pPr>
    <w:rPr>
      <w:szCs w:val="24"/>
    </w:rPr>
  </w:style>
  <w:style w:type="paragraph" w:styleId="27">
    <w:name w:val="Body Text Indent 3"/>
    <w:basedOn w:val="1"/>
    <w:link w:val="73"/>
    <w:qFormat/>
    <w:uiPriority w:val="99"/>
    <w:pPr>
      <w:ind w:firstLine="645"/>
    </w:pPr>
    <w:rPr>
      <w:rFonts w:ascii="宋体" w:hAnsi="Copperplate Gothic Bold"/>
      <w:sz w:val="28"/>
    </w:rPr>
  </w:style>
  <w:style w:type="paragraph" w:styleId="28">
    <w:name w:val="toc 2"/>
    <w:basedOn w:val="1"/>
    <w:next w:val="1"/>
    <w:qFormat/>
    <w:uiPriority w:val="99"/>
    <w:pPr>
      <w:ind w:left="420" w:leftChars="200"/>
    </w:pPr>
    <w:rPr>
      <w:szCs w:val="24"/>
    </w:rPr>
  </w:style>
  <w:style w:type="paragraph" w:styleId="29">
    <w:name w:val="Body Text 2"/>
    <w:basedOn w:val="1"/>
    <w:link w:val="74"/>
    <w:qFormat/>
    <w:uiPriority w:val="99"/>
    <w:rPr>
      <w:rFonts w:ascii="楷体_GB2312" w:hAnsi="Copperplate Gothic Bold" w:eastAsia="楷体_GB2312"/>
      <w:sz w:val="28"/>
    </w:rPr>
  </w:style>
  <w:style w:type="paragraph" w:styleId="30">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1">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index 1"/>
    <w:basedOn w:val="1"/>
    <w:next w:val="1"/>
    <w:qFormat/>
    <w:locked/>
    <w:uiPriority w:val="0"/>
  </w:style>
  <w:style w:type="paragraph" w:styleId="33">
    <w:name w:val="Title"/>
    <w:basedOn w:val="1"/>
    <w:link w:val="75"/>
    <w:qFormat/>
    <w:uiPriority w:val="99"/>
    <w:pPr>
      <w:adjustRightInd w:val="0"/>
      <w:spacing w:before="240" w:after="60" w:line="312" w:lineRule="atLeast"/>
      <w:jc w:val="center"/>
      <w:textAlignment w:val="baseline"/>
      <w:outlineLvl w:val="0"/>
    </w:pPr>
    <w:rPr>
      <w:rFonts w:ascii="Arial" w:hAnsi="Arial" w:eastAsia="楷体_GB2312" w:cs="Arial"/>
      <w:b/>
      <w:kern w:val="0"/>
      <w:sz w:val="32"/>
      <w:szCs w:val="32"/>
    </w:rPr>
  </w:style>
  <w:style w:type="paragraph" w:styleId="34">
    <w:name w:val="Body Text First Indent"/>
    <w:basedOn w:val="16"/>
    <w:qFormat/>
    <w:locked/>
    <w:uiPriority w:val="0"/>
    <w:pPr>
      <w:adjustRightInd w:val="0"/>
      <w:spacing w:after="0"/>
      <w:ind w:firstLine="420"/>
      <w:jc w:val="left"/>
      <w:textAlignment w:val="baseline"/>
    </w:pPr>
    <w:rPr>
      <w:kern w:val="0"/>
    </w:rPr>
  </w:style>
  <w:style w:type="paragraph" w:styleId="35">
    <w:name w:val="Body Text First Indent 2"/>
    <w:basedOn w:val="17"/>
    <w:qFormat/>
    <w:locked/>
    <w:uiPriority w:val="99"/>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99"/>
    <w:rPr>
      <w:rFonts w:cs="Times New Roman"/>
      <w:b/>
    </w:rPr>
  </w:style>
  <w:style w:type="character" w:styleId="40">
    <w:name w:val="page number"/>
    <w:basedOn w:val="38"/>
    <w:qFormat/>
    <w:uiPriority w:val="99"/>
    <w:rPr>
      <w:rFonts w:cs="Times New Roman"/>
    </w:rPr>
  </w:style>
  <w:style w:type="character" w:styleId="41">
    <w:name w:val="FollowedHyperlink"/>
    <w:basedOn w:val="38"/>
    <w:qFormat/>
    <w:uiPriority w:val="99"/>
    <w:rPr>
      <w:rFonts w:cs="Times New Roman"/>
      <w:color w:val="800080"/>
      <w:u w:val="single"/>
    </w:rPr>
  </w:style>
  <w:style w:type="character" w:styleId="42">
    <w:name w:val="Emphasis"/>
    <w:basedOn w:val="38"/>
    <w:qFormat/>
    <w:uiPriority w:val="99"/>
    <w:rPr>
      <w:rFonts w:cs="Times New Roman"/>
      <w:i/>
      <w:iCs/>
    </w:rPr>
  </w:style>
  <w:style w:type="character" w:styleId="43">
    <w:name w:val="HTML Definition"/>
    <w:basedOn w:val="38"/>
    <w:semiHidden/>
    <w:unhideWhenUsed/>
    <w:qFormat/>
    <w:locked/>
    <w:uiPriority w:val="99"/>
    <w:rPr>
      <w:i/>
    </w:rPr>
  </w:style>
  <w:style w:type="character" w:styleId="44">
    <w:name w:val="Hyperlink"/>
    <w:basedOn w:val="38"/>
    <w:qFormat/>
    <w:uiPriority w:val="99"/>
    <w:rPr>
      <w:rFonts w:cs="Times New Roman"/>
      <w:color w:val="0000FF"/>
      <w:u w:val="single"/>
    </w:rPr>
  </w:style>
  <w:style w:type="character" w:styleId="45">
    <w:name w:val="HTML Code"/>
    <w:basedOn w:val="38"/>
    <w:semiHidden/>
    <w:unhideWhenUsed/>
    <w:qFormat/>
    <w:locked/>
    <w:uiPriority w:val="99"/>
    <w:rPr>
      <w:rFonts w:hint="default" w:ascii="Consolas" w:hAnsi="Consolas" w:eastAsia="Consolas" w:cs="Consolas"/>
      <w:color w:val="C7254E"/>
      <w:sz w:val="21"/>
      <w:szCs w:val="21"/>
      <w:shd w:val="clear" w:fill="F9F2F4"/>
    </w:rPr>
  </w:style>
  <w:style w:type="character" w:styleId="46">
    <w:name w:val="annotation reference"/>
    <w:basedOn w:val="38"/>
    <w:qFormat/>
    <w:uiPriority w:val="99"/>
    <w:rPr>
      <w:rFonts w:cs="Times New Roman"/>
      <w:sz w:val="21"/>
    </w:rPr>
  </w:style>
  <w:style w:type="character" w:styleId="47">
    <w:name w:val="HTML Keyboard"/>
    <w:basedOn w:val="38"/>
    <w:semiHidden/>
    <w:unhideWhenUsed/>
    <w:qFormat/>
    <w:locked/>
    <w:uiPriority w:val="99"/>
    <w:rPr>
      <w:rFonts w:hint="default" w:ascii="Consolas" w:hAnsi="Consolas" w:eastAsia="Consolas" w:cs="Consolas"/>
      <w:color w:val="FFFFFF"/>
      <w:sz w:val="21"/>
      <w:szCs w:val="21"/>
      <w:shd w:val="clear" w:fill="333333"/>
    </w:rPr>
  </w:style>
  <w:style w:type="character" w:styleId="48">
    <w:name w:val="HTML Sample"/>
    <w:basedOn w:val="38"/>
    <w:semiHidden/>
    <w:unhideWhenUsed/>
    <w:qFormat/>
    <w:locked/>
    <w:uiPriority w:val="99"/>
    <w:rPr>
      <w:rFonts w:ascii="Consolas" w:hAnsi="Consolas" w:eastAsia="Consolas" w:cs="Consolas"/>
      <w:sz w:val="21"/>
      <w:szCs w:val="21"/>
    </w:rPr>
  </w:style>
  <w:style w:type="paragraph" w:customStyle="1" w:styleId="49">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1">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2">
    <w:name w:val="列出段落1"/>
    <w:basedOn w:val="1"/>
    <w:qFormat/>
    <w:uiPriority w:val="99"/>
    <w:pPr>
      <w:ind w:firstLine="420" w:firstLineChars="200"/>
    </w:pPr>
  </w:style>
  <w:style w:type="character" w:customStyle="1" w:styleId="53">
    <w:name w:val="标题 1 Char"/>
    <w:basedOn w:val="38"/>
    <w:link w:val="3"/>
    <w:qFormat/>
    <w:locked/>
    <w:uiPriority w:val="0"/>
    <w:rPr>
      <w:rFonts w:ascii="黑体" w:hAnsi="Times New Roman" w:eastAsia="黑体" w:cs="Times New Roman"/>
      <w:sz w:val="20"/>
      <w:szCs w:val="20"/>
    </w:rPr>
  </w:style>
  <w:style w:type="character" w:customStyle="1" w:styleId="54">
    <w:name w:val="标题 2 Char"/>
    <w:basedOn w:val="38"/>
    <w:link w:val="4"/>
    <w:qFormat/>
    <w:locked/>
    <w:uiPriority w:val="0"/>
    <w:rPr>
      <w:rFonts w:ascii="黑体" w:hAnsi="Copperplate Gothic Bold" w:eastAsia="楷体_GB2312" w:cs="Times New Roman"/>
      <w:sz w:val="20"/>
      <w:szCs w:val="20"/>
    </w:rPr>
  </w:style>
  <w:style w:type="character" w:customStyle="1" w:styleId="55">
    <w:name w:val="标题 3 Char"/>
    <w:basedOn w:val="38"/>
    <w:link w:val="5"/>
    <w:qFormat/>
    <w:locked/>
    <w:uiPriority w:val="0"/>
    <w:rPr>
      <w:rFonts w:ascii="楷体_GB2312" w:hAnsi="Times New Roman" w:eastAsia="楷体_GB2312" w:cs="Times New Roman"/>
      <w:sz w:val="20"/>
      <w:szCs w:val="20"/>
    </w:rPr>
  </w:style>
  <w:style w:type="character" w:customStyle="1" w:styleId="56">
    <w:name w:val="标题 4 Char"/>
    <w:basedOn w:val="38"/>
    <w:link w:val="2"/>
    <w:qFormat/>
    <w:locked/>
    <w:uiPriority w:val="99"/>
    <w:rPr>
      <w:rFonts w:ascii="楷体_GB2312" w:hAnsi="Times New Roman" w:eastAsia="楷体_GB2312" w:cs="Times New Roman"/>
      <w:sz w:val="20"/>
      <w:szCs w:val="20"/>
    </w:rPr>
  </w:style>
  <w:style w:type="character" w:customStyle="1" w:styleId="57">
    <w:name w:val="标题 5 Char"/>
    <w:basedOn w:val="38"/>
    <w:link w:val="7"/>
    <w:qFormat/>
    <w:locked/>
    <w:uiPriority w:val="99"/>
    <w:rPr>
      <w:rFonts w:cs="Times New Roman"/>
      <w:b/>
      <w:bCs/>
      <w:kern w:val="2"/>
      <w:sz w:val="28"/>
      <w:szCs w:val="28"/>
    </w:rPr>
  </w:style>
  <w:style w:type="character" w:customStyle="1" w:styleId="58">
    <w:name w:val="标题 6 Char"/>
    <w:basedOn w:val="38"/>
    <w:link w:val="8"/>
    <w:qFormat/>
    <w:locked/>
    <w:uiPriority w:val="99"/>
    <w:rPr>
      <w:rFonts w:ascii="Arial" w:hAnsi="Arial" w:eastAsia="黑体" w:cs="Times New Roman"/>
      <w:b/>
      <w:bCs/>
      <w:sz w:val="24"/>
      <w:szCs w:val="24"/>
    </w:rPr>
  </w:style>
  <w:style w:type="character" w:customStyle="1" w:styleId="59">
    <w:name w:val="标题 7 Char"/>
    <w:basedOn w:val="38"/>
    <w:link w:val="9"/>
    <w:qFormat/>
    <w:locked/>
    <w:uiPriority w:val="99"/>
    <w:rPr>
      <w:rFonts w:cs="Times New Roman"/>
      <w:b/>
      <w:bCs/>
      <w:sz w:val="24"/>
      <w:szCs w:val="24"/>
    </w:rPr>
  </w:style>
  <w:style w:type="character" w:customStyle="1" w:styleId="60">
    <w:name w:val="标题 8 Char"/>
    <w:basedOn w:val="38"/>
    <w:link w:val="10"/>
    <w:qFormat/>
    <w:locked/>
    <w:uiPriority w:val="99"/>
    <w:rPr>
      <w:rFonts w:ascii="Arial" w:hAnsi="Arial" w:eastAsia="黑体" w:cs="Times New Roman"/>
      <w:sz w:val="24"/>
      <w:szCs w:val="24"/>
    </w:rPr>
  </w:style>
  <w:style w:type="character" w:customStyle="1" w:styleId="61">
    <w:name w:val="标题 9 Char"/>
    <w:basedOn w:val="38"/>
    <w:link w:val="11"/>
    <w:qFormat/>
    <w:locked/>
    <w:uiPriority w:val="99"/>
    <w:rPr>
      <w:rFonts w:ascii="Arial" w:hAnsi="Arial" w:eastAsia="黑体" w:cs="Times New Roman"/>
      <w:sz w:val="21"/>
      <w:szCs w:val="21"/>
    </w:rPr>
  </w:style>
  <w:style w:type="character" w:customStyle="1" w:styleId="62">
    <w:name w:val="文档结构图 Char"/>
    <w:basedOn w:val="38"/>
    <w:link w:val="12"/>
    <w:semiHidden/>
    <w:qFormat/>
    <w:locked/>
    <w:uiPriority w:val="99"/>
    <w:rPr>
      <w:rFonts w:ascii="Times New Roman" w:hAnsi="Times New Roman" w:eastAsia="宋体" w:cs="Times New Roman"/>
      <w:sz w:val="20"/>
      <w:szCs w:val="20"/>
      <w:shd w:val="clear" w:color="auto" w:fill="000080"/>
    </w:rPr>
  </w:style>
  <w:style w:type="character" w:customStyle="1" w:styleId="63">
    <w:name w:val="批注文字 Char"/>
    <w:basedOn w:val="38"/>
    <w:link w:val="14"/>
    <w:semiHidden/>
    <w:qFormat/>
    <w:locked/>
    <w:uiPriority w:val="99"/>
    <w:rPr>
      <w:rFonts w:ascii="Times New Roman" w:hAnsi="Times New Roman" w:eastAsia="宋体" w:cs="Times New Roman"/>
      <w:sz w:val="20"/>
      <w:szCs w:val="20"/>
    </w:rPr>
  </w:style>
  <w:style w:type="character" w:customStyle="1" w:styleId="64">
    <w:name w:val="正文文本 3 Char"/>
    <w:basedOn w:val="38"/>
    <w:link w:val="15"/>
    <w:qFormat/>
    <w:locked/>
    <w:uiPriority w:val="99"/>
    <w:rPr>
      <w:rFonts w:ascii="Times New Roman" w:hAnsi="Times New Roman" w:eastAsia="宋体" w:cs="Times New Roman"/>
      <w:b/>
      <w:spacing w:val="-20"/>
      <w:w w:val="110"/>
      <w:sz w:val="20"/>
      <w:szCs w:val="20"/>
    </w:rPr>
  </w:style>
  <w:style w:type="character" w:customStyle="1" w:styleId="65">
    <w:name w:val="正文文本 Char"/>
    <w:basedOn w:val="38"/>
    <w:link w:val="16"/>
    <w:qFormat/>
    <w:locked/>
    <w:uiPriority w:val="99"/>
    <w:rPr>
      <w:rFonts w:ascii="Copperplate Gothic Bold" w:hAnsi="Copperplate Gothic Bold" w:eastAsia="宋体" w:cs="Times New Roman"/>
      <w:sz w:val="20"/>
      <w:szCs w:val="20"/>
    </w:rPr>
  </w:style>
  <w:style w:type="character" w:customStyle="1" w:styleId="66">
    <w:name w:val="正文文本缩进 Char"/>
    <w:basedOn w:val="38"/>
    <w:link w:val="17"/>
    <w:qFormat/>
    <w:locked/>
    <w:uiPriority w:val="99"/>
    <w:rPr>
      <w:rFonts w:ascii="楷体_GB2312" w:hAnsi="Times New Roman" w:eastAsia="楷体_GB2312" w:cs="Times New Roman"/>
      <w:sz w:val="20"/>
      <w:szCs w:val="20"/>
    </w:rPr>
  </w:style>
  <w:style w:type="character" w:customStyle="1" w:styleId="67">
    <w:name w:val="纯文本 Char"/>
    <w:basedOn w:val="38"/>
    <w:link w:val="20"/>
    <w:qFormat/>
    <w:locked/>
    <w:uiPriority w:val="99"/>
    <w:rPr>
      <w:rFonts w:ascii="宋体" w:hAnsi="Courier New" w:eastAsia="宋体" w:cs="Times New Roman"/>
      <w:sz w:val="20"/>
      <w:szCs w:val="20"/>
    </w:rPr>
  </w:style>
  <w:style w:type="character" w:customStyle="1" w:styleId="68">
    <w:name w:val="日期 Char"/>
    <w:basedOn w:val="38"/>
    <w:link w:val="21"/>
    <w:qFormat/>
    <w:locked/>
    <w:uiPriority w:val="99"/>
    <w:rPr>
      <w:rFonts w:ascii="Copperplate Gothic Bold" w:hAnsi="Copperplate Gothic Bold" w:eastAsia="宋体" w:cs="Times New Roman"/>
      <w:sz w:val="20"/>
      <w:szCs w:val="20"/>
    </w:rPr>
  </w:style>
  <w:style w:type="character" w:customStyle="1" w:styleId="69">
    <w:name w:val="正文文本缩进 2 Char"/>
    <w:basedOn w:val="38"/>
    <w:link w:val="22"/>
    <w:qFormat/>
    <w:locked/>
    <w:uiPriority w:val="99"/>
    <w:rPr>
      <w:rFonts w:ascii="楷体_GB2312" w:hAnsi="Times New Roman" w:eastAsia="楷体_GB2312" w:cs="Times New Roman"/>
      <w:sz w:val="20"/>
      <w:szCs w:val="20"/>
    </w:rPr>
  </w:style>
  <w:style w:type="character" w:customStyle="1" w:styleId="70">
    <w:name w:val="批注框文本 Char"/>
    <w:basedOn w:val="38"/>
    <w:link w:val="23"/>
    <w:semiHidden/>
    <w:qFormat/>
    <w:locked/>
    <w:uiPriority w:val="99"/>
    <w:rPr>
      <w:rFonts w:ascii="Times New Roman" w:hAnsi="Times New Roman" w:eastAsia="宋体" w:cs="Times New Roman"/>
      <w:sz w:val="18"/>
      <w:szCs w:val="18"/>
    </w:rPr>
  </w:style>
  <w:style w:type="character" w:customStyle="1" w:styleId="71">
    <w:name w:val="页脚 Char"/>
    <w:basedOn w:val="38"/>
    <w:link w:val="24"/>
    <w:qFormat/>
    <w:locked/>
    <w:uiPriority w:val="99"/>
    <w:rPr>
      <w:rFonts w:cs="Times New Roman"/>
      <w:sz w:val="18"/>
      <w:szCs w:val="18"/>
    </w:rPr>
  </w:style>
  <w:style w:type="character" w:customStyle="1" w:styleId="72">
    <w:name w:val="页眉 Char"/>
    <w:basedOn w:val="38"/>
    <w:link w:val="25"/>
    <w:qFormat/>
    <w:locked/>
    <w:uiPriority w:val="99"/>
    <w:rPr>
      <w:rFonts w:cs="Times New Roman"/>
      <w:sz w:val="18"/>
      <w:szCs w:val="18"/>
    </w:rPr>
  </w:style>
  <w:style w:type="character" w:customStyle="1" w:styleId="73">
    <w:name w:val="正文文本缩进 3 Char"/>
    <w:basedOn w:val="38"/>
    <w:link w:val="27"/>
    <w:qFormat/>
    <w:locked/>
    <w:uiPriority w:val="99"/>
    <w:rPr>
      <w:rFonts w:ascii="宋体" w:hAnsi="Copperplate Gothic Bold" w:eastAsia="宋体" w:cs="Times New Roman"/>
      <w:sz w:val="20"/>
      <w:szCs w:val="20"/>
    </w:rPr>
  </w:style>
  <w:style w:type="character" w:customStyle="1" w:styleId="74">
    <w:name w:val="正文文本 2 Char"/>
    <w:basedOn w:val="38"/>
    <w:link w:val="29"/>
    <w:qFormat/>
    <w:locked/>
    <w:uiPriority w:val="99"/>
    <w:rPr>
      <w:rFonts w:ascii="楷体_GB2312" w:hAnsi="Copperplate Gothic Bold" w:eastAsia="楷体_GB2312" w:cs="Times New Roman"/>
      <w:sz w:val="20"/>
      <w:szCs w:val="20"/>
    </w:rPr>
  </w:style>
  <w:style w:type="character" w:customStyle="1" w:styleId="75">
    <w:name w:val="标题 Char"/>
    <w:basedOn w:val="38"/>
    <w:link w:val="33"/>
    <w:qFormat/>
    <w:locked/>
    <w:uiPriority w:val="99"/>
    <w:rPr>
      <w:rFonts w:ascii="Arial" w:hAnsi="Arial" w:eastAsia="楷体_GB2312" w:cs="Arial"/>
      <w:b/>
      <w:sz w:val="32"/>
      <w:szCs w:val="32"/>
    </w:rPr>
  </w:style>
  <w:style w:type="paragraph" w:customStyle="1" w:styleId="76">
    <w:name w:val="缺省文本"/>
    <w:basedOn w:val="1"/>
    <w:qFormat/>
    <w:uiPriority w:val="99"/>
    <w:pPr>
      <w:autoSpaceDE w:val="0"/>
      <w:autoSpaceDN w:val="0"/>
      <w:adjustRightInd w:val="0"/>
      <w:jc w:val="left"/>
    </w:pPr>
    <w:rPr>
      <w:kern w:val="0"/>
      <w:sz w:val="24"/>
    </w:rPr>
  </w:style>
  <w:style w:type="paragraph" w:customStyle="1" w:styleId="77">
    <w:name w:val="??¨???¨????ì?¨¨??¨?o??????ì?¨¨?"/>
    <w:basedOn w:val="1"/>
    <w:qFormat/>
    <w:uiPriority w:val="99"/>
    <w:pPr>
      <w:autoSpaceDE w:val="0"/>
      <w:autoSpaceDN w:val="0"/>
      <w:adjustRightInd w:val="0"/>
      <w:jc w:val="left"/>
    </w:pPr>
    <w:rPr>
      <w:kern w:val="0"/>
      <w:sz w:val="24"/>
    </w:rPr>
  </w:style>
  <w:style w:type="paragraph" w:customStyle="1" w:styleId="78">
    <w:name w:val="?§?§?¨¤?§o????¨¤?"/>
    <w:basedOn w:val="1"/>
    <w:qFormat/>
    <w:uiPriority w:val="99"/>
    <w:pPr>
      <w:autoSpaceDE w:val="0"/>
      <w:autoSpaceDN w:val="0"/>
      <w:adjustRightInd w:val="0"/>
      <w:jc w:val="left"/>
    </w:pPr>
    <w:rPr>
      <w:kern w:val="0"/>
      <w:sz w:val="24"/>
    </w:rPr>
  </w:style>
  <w:style w:type="paragraph" w:customStyle="1" w:styleId="79">
    <w:name w:val="正文段"/>
    <w:basedOn w:val="1"/>
    <w:qFormat/>
    <w:uiPriority w:val="99"/>
    <w:pPr>
      <w:adjustRightInd w:val="0"/>
      <w:snapToGrid w:val="0"/>
      <w:spacing w:line="360" w:lineRule="auto"/>
    </w:pPr>
    <w:rPr>
      <w:rFonts w:eastAsia="仿宋_GB2312"/>
      <w:spacing w:val="-8"/>
      <w:sz w:val="24"/>
    </w:rPr>
  </w:style>
  <w:style w:type="paragraph" w:customStyle="1" w:styleId="80">
    <w:name w:val="Char"/>
    <w:basedOn w:val="1"/>
    <w:qFormat/>
    <w:uiPriority w:val="99"/>
    <w:rPr>
      <w:rFonts w:ascii="Tahoma" w:hAnsi="Tahoma"/>
      <w:sz w:val="24"/>
    </w:rPr>
  </w:style>
  <w:style w:type="paragraph" w:customStyle="1" w:styleId="81">
    <w:name w:val="Char Char Char"/>
    <w:basedOn w:val="1"/>
    <w:qFormat/>
    <w:uiPriority w:val="99"/>
  </w:style>
  <w:style w:type="paragraph" w:customStyle="1" w:styleId="82">
    <w:name w:val="Char Char Char Char"/>
    <w:basedOn w:val="1"/>
    <w:qFormat/>
    <w:uiPriority w:val="99"/>
    <w:pPr>
      <w:widowControl/>
      <w:spacing w:after="160" w:line="240" w:lineRule="exact"/>
      <w:jc w:val="center"/>
    </w:pPr>
    <w:rPr>
      <w:rFonts w:ascii="宋体" w:hAnsi="宋体"/>
      <w:b/>
      <w:kern w:val="0"/>
      <w:sz w:val="28"/>
      <w:szCs w:val="28"/>
      <w:lang w:eastAsia="en-US"/>
    </w:rPr>
  </w:style>
  <w:style w:type="paragraph" w:customStyle="1" w:styleId="83">
    <w:name w:val="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84">
    <w:name w:val="文档正文"/>
    <w:basedOn w:val="1"/>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85">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86">
    <w:name w:val="图"/>
    <w:basedOn w:val="1"/>
    <w:next w:val="84"/>
    <w:qFormat/>
    <w:uiPriority w:val="99"/>
    <w:pPr>
      <w:tabs>
        <w:tab w:val="left" w:pos="1755"/>
      </w:tabs>
      <w:adjustRightInd w:val="0"/>
      <w:spacing w:before="60" w:after="60" w:line="360" w:lineRule="atLeast"/>
      <w:ind w:left="1755" w:hanging="1125"/>
      <w:jc w:val="center"/>
      <w:textAlignment w:val="baseline"/>
    </w:pPr>
    <w:rPr>
      <w:rFonts w:eastAsia="黑体"/>
      <w:b/>
      <w:kern w:val="0"/>
      <w:sz w:val="24"/>
    </w:rPr>
  </w:style>
  <w:style w:type="paragraph" w:customStyle="1" w:styleId="87">
    <w:name w:val="Char1"/>
    <w:basedOn w:val="1"/>
    <w:qFormat/>
    <w:uiPriority w:val="0"/>
    <w:pPr>
      <w:tabs>
        <w:tab w:val="left" w:pos="360"/>
      </w:tabs>
    </w:pPr>
    <w:rPr>
      <w:sz w:val="24"/>
      <w:szCs w:val="24"/>
    </w:rPr>
  </w:style>
  <w:style w:type="paragraph" w:customStyle="1" w:styleId="88">
    <w:name w:val="Char1 Char Char Char"/>
    <w:basedOn w:val="1"/>
    <w:qFormat/>
    <w:uiPriority w:val="99"/>
    <w:rPr>
      <w:rFonts w:ascii="Tahoma" w:hAnsi="Tahoma"/>
      <w:szCs w:val="24"/>
    </w:rPr>
  </w:style>
  <w:style w:type="paragraph" w:customStyle="1" w:styleId="89">
    <w:name w:val="1册标题2"/>
    <w:basedOn w:val="1"/>
    <w:next w:val="1"/>
    <w:qFormat/>
    <w:uiPriority w:val="99"/>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90">
    <w:name w:val="Char Char Char Char1"/>
    <w:basedOn w:val="1"/>
    <w:qFormat/>
    <w:uiPriority w:val="99"/>
    <w:pPr>
      <w:tabs>
        <w:tab w:val="left" w:pos="360"/>
      </w:tabs>
    </w:pPr>
    <w:rPr>
      <w:sz w:val="24"/>
      <w:szCs w:val="24"/>
    </w:rPr>
  </w:style>
  <w:style w:type="paragraph" w:customStyle="1" w:styleId="91">
    <w:name w:val="pa-11"/>
    <w:basedOn w:val="1"/>
    <w:qFormat/>
    <w:uiPriority w:val="99"/>
    <w:pPr>
      <w:widowControl/>
      <w:spacing w:line="400" w:lineRule="atLeast"/>
      <w:jc w:val="center"/>
    </w:pPr>
    <w:rPr>
      <w:rFonts w:ascii="宋体" w:hAnsi="宋体" w:cs="宋体"/>
      <w:kern w:val="0"/>
      <w:sz w:val="24"/>
      <w:szCs w:val="24"/>
    </w:rPr>
  </w:style>
  <w:style w:type="paragraph" w:customStyle="1" w:styleId="92">
    <w:name w:val="正文基本样式"/>
    <w:basedOn w:val="1"/>
    <w:qFormat/>
    <w:uiPriority w:val="99"/>
    <w:pPr>
      <w:spacing w:line="336" w:lineRule="auto"/>
      <w:ind w:firstLine="580"/>
    </w:pPr>
    <w:rPr>
      <w:rFonts w:eastAsia="仿宋_GB2312" w:cs="宋体"/>
      <w:sz w:val="28"/>
    </w:rPr>
  </w:style>
  <w:style w:type="character" w:customStyle="1" w:styleId="93">
    <w:name w:val="base"/>
    <w:basedOn w:val="38"/>
    <w:qFormat/>
    <w:uiPriority w:val="99"/>
    <w:rPr>
      <w:rFonts w:cs="Times New Roman"/>
    </w:rPr>
  </w:style>
  <w:style w:type="character" w:customStyle="1" w:styleId="94">
    <w:name w:val="unnamed11"/>
    <w:basedOn w:val="38"/>
    <w:qFormat/>
    <w:uiPriority w:val="99"/>
    <w:rPr>
      <w:rFonts w:cs="Times New Roman"/>
    </w:rPr>
  </w:style>
  <w:style w:type="character" w:customStyle="1" w:styleId="95">
    <w:name w:val="style4"/>
    <w:basedOn w:val="38"/>
    <w:qFormat/>
    <w:uiPriority w:val="99"/>
    <w:rPr>
      <w:rFonts w:ascii="Arial" w:hAnsi="Arial" w:cs="Arial"/>
      <w:sz w:val="20"/>
      <w:szCs w:val="20"/>
    </w:rPr>
  </w:style>
  <w:style w:type="character" w:customStyle="1" w:styleId="96">
    <w:name w:val="Char Char3"/>
    <w:basedOn w:val="38"/>
    <w:qFormat/>
    <w:uiPriority w:val="99"/>
    <w:rPr>
      <w:rFonts w:eastAsia="宋体" w:cs="Times New Roman"/>
      <w:kern w:val="2"/>
      <w:sz w:val="18"/>
      <w:lang w:val="en-US" w:eastAsia="zh-CN" w:bidi="ar-SA"/>
    </w:rPr>
  </w:style>
  <w:style w:type="character" w:customStyle="1" w:styleId="97">
    <w:name w:val="正文缩进 Char"/>
    <w:basedOn w:val="38"/>
    <w:link w:val="6"/>
    <w:qFormat/>
    <w:locked/>
    <w:uiPriority w:val="0"/>
    <w:rPr>
      <w:rFonts w:ascii="Times New Roman" w:hAnsi="Times New Roman" w:eastAsia="宋体" w:cs="Times New Roman"/>
      <w:sz w:val="20"/>
      <w:szCs w:val="20"/>
    </w:rPr>
  </w:style>
  <w:style w:type="character" w:customStyle="1" w:styleId="98">
    <w:name w:val="hui3"/>
    <w:basedOn w:val="38"/>
    <w:qFormat/>
    <w:uiPriority w:val="99"/>
    <w:rPr>
      <w:rFonts w:cs="Times New Roman"/>
      <w:color w:val="333333"/>
    </w:rPr>
  </w:style>
  <w:style w:type="paragraph" w:customStyle="1" w:styleId="99">
    <w:name w:val="List Paragraph1"/>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00">
    <w:name w:val="Blockquote Char Char"/>
    <w:link w:val="101"/>
    <w:qFormat/>
    <w:locked/>
    <w:uiPriority w:val="99"/>
    <w:rPr>
      <w:sz w:val="24"/>
    </w:rPr>
  </w:style>
  <w:style w:type="paragraph" w:customStyle="1" w:styleId="101">
    <w:name w:val="Blockquote"/>
    <w:basedOn w:val="1"/>
    <w:link w:val="100"/>
    <w:qFormat/>
    <w:uiPriority w:val="99"/>
    <w:pPr>
      <w:autoSpaceDE w:val="0"/>
      <w:autoSpaceDN w:val="0"/>
      <w:adjustRightInd w:val="0"/>
      <w:spacing w:before="100" w:after="100"/>
      <w:ind w:left="360" w:right="360"/>
      <w:jc w:val="left"/>
    </w:pPr>
    <w:rPr>
      <w:kern w:val="0"/>
      <w:sz w:val="24"/>
    </w:rPr>
  </w:style>
  <w:style w:type="character" w:customStyle="1" w:styleId="102">
    <w:name w:val="rili11"/>
    <w:qFormat/>
    <w:uiPriority w:val="99"/>
    <w:rPr>
      <w:sz w:val="21"/>
    </w:rPr>
  </w:style>
  <w:style w:type="character" w:customStyle="1" w:styleId="103">
    <w:name w:val="Char Char Char Char Char Char Char Char Char"/>
    <w:qFormat/>
    <w:uiPriority w:val="99"/>
    <w:rPr>
      <w:sz w:val="18"/>
    </w:rPr>
  </w:style>
  <w:style w:type="paragraph" w:customStyle="1" w:styleId="104">
    <w:name w:val="Char2"/>
    <w:basedOn w:val="1"/>
    <w:qFormat/>
    <w:uiPriority w:val="99"/>
    <w:pPr>
      <w:widowControl/>
      <w:spacing w:after="160" w:line="240" w:lineRule="exact"/>
      <w:jc w:val="left"/>
    </w:pPr>
    <w:rPr>
      <w:szCs w:val="24"/>
    </w:rPr>
  </w:style>
  <w:style w:type="paragraph" w:customStyle="1" w:styleId="105">
    <w:name w:val="表格文字"/>
    <w:basedOn w:val="1"/>
    <w:qFormat/>
    <w:uiPriority w:val="99"/>
    <w:pPr>
      <w:adjustRightInd w:val="0"/>
      <w:spacing w:line="420" w:lineRule="atLeast"/>
      <w:jc w:val="left"/>
      <w:textAlignment w:val="baseline"/>
    </w:pPr>
    <w:rPr>
      <w:kern w:val="0"/>
    </w:rPr>
  </w:style>
  <w:style w:type="paragraph" w:customStyle="1" w:styleId="106">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07">
    <w:name w:val="Char Char1"/>
    <w:basedOn w:val="1"/>
    <w:qFormat/>
    <w:uiPriority w:val="99"/>
    <w:pPr>
      <w:adjustRightInd w:val="0"/>
      <w:spacing w:line="440" w:lineRule="exact"/>
    </w:pPr>
    <w:rPr>
      <w:rFonts w:ascii="宋体"/>
      <w:kern w:val="0"/>
      <w:sz w:val="28"/>
      <w:szCs w:val="27"/>
    </w:rPr>
  </w:style>
  <w:style w:type="paragraph" w:customStyle="1" w:styleId="108">
    <w:name w:val="Char Char1 Char Char Char Char Char Char Char 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09">
    <w:name w:val="Char Char1 Char Char Char Char Char Char Char Char Char Char Char Char Char1"/>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10">
    <w:name w:val="Char Char Char1"/>
    <w:basedOn w:val="1"/>
    <w:qFormat/>
    <w:uiPriority w:val="99"/>
    <w:pPr>
      <w:widowControl/>
      <w:spacing w:after="160" w:line="240" w:lineRule="exact"/>
      <w:jc w:val="left"/>
    </w:pPr>
    <w:rPr>
      <w:szCs w:val="24"/>
    </w:rPr>
  </w:style>
  <w:style w:type="paragraph" w:customStyle="1" w:styleId="111">
    <w:name w:val="Char Char Char Char Char Char Char"/>
    <w:basedOn w:val="1"/>
    <w:qFormat/>
    <w:uiPriority w:val="99"/>
    <w:rPr>
      <w:rFonts w:ascii="Tahoma" w:hAnsi="Tahoma"/>
      <w:sz w:val="24"/>
    </w:rPr>
  </w:style>
  <w:style w:type="paragraph" w:customStyle="1" w:styleId="112">
    <w:name w:val="Char Char Char Char Char Char Char1"/>
    <w:basedOn w:val="1"/>
    <w:qFormat/>
    <w:uiPriority w:val="99"/>
    <w:rPr>
      <w:rFonts w:ascii="Tahoma" w:hAnsi="Tahoma"/>
      <w:sz w:val="24"/>
      <w:szCs w:val="24"/>
    </w:rPr>
  </w:style>
  <w:style w:type="paragraph" w:customStyle="1" w:styleId="113">
    <w:name w:val="目录"/>
    <w:basedOn w:val="1"/>
    <w:qFormat/>
    <w:uiPriority w:val="99"/>
    <w:pPr>
      <w:widowControl/>
      <w:jc w:val="center"/>
    </w:pPr>
    <w:rPr>
      <w:rFonts w:ascii="宋体"/>
      <w:b/>
      <w:kern w:val="0"/>
      <w:sz w:val="36"/>
    </w:rPr>
  </w:style>
  <w:style w:type="paragraph" w:customStyle="1" w:styleId="114">
    <w:name w:val="Revision1"/>
    <w:hidden/>
    <w:semiHidden/>
    <w:qFormat/>
    <w:uiPriority w:val="99"/>
    <w:rPr>
      <w:rFonts w:ascii="Times New Roman" w:hAnsi="Times New Roman" w:eastAsia="宋体" w:cs="Times New Roman"/>
      <w:kern w:val="2"/>
      <w:sz w:val="21"/>
      <w:szCs w:val="24"/>
      <w:lang w:val="en-US" w:eastAsia="zh-CN" w:bidi="ar-SA"/>
    </w:rPr>
  </w:style>
  <w:style w:type="paragraph" w:customStyle="1" w:styleId="115">
    <w:name w:val="Char Char Char Char2"/>
    <w:basedOn w:val="1"/>
    <w:qFormat/>
    <w:uiPriority w:val="99"/>
    <w:pPr>
      <w:widowControl/>
      <w:spacing w:after="160" w:line="240" w:lineRule="exact"/>
      <w:jc w:val="left"/>
    </w:pPr>
    <w:rPr>
      <w:szCs w:val="24"/>
    </w:rPr>
  </w:style>
  <w:style w:type="character" w:customStyle="1" w:styleId="116">
    <w:name w:val="列出段落 Char"/>
    <w:link w:val="117"/>
    <w:qFormat/>
    <w:uiPriority w:val="0"/>
    <w:rPr>
      <w:szCs w:val="24"/>
    </w:rPr>
  </w:style>
  <w:style w:type="paragraph" w:styleId="117">
    <w:name w:val="List Paragraph"/>
    <w:basedOn w:val="1"/>
    <w:link w:val="116"/>
    <w:qFormat/>
    <w:uiPriority w:val="0"/>
    <w:pPr>
      <w:ind w:firstLine="420" w:firstLineChars="200"/>
    </w:pPr>
    <w:rPr>
      <w:szCs w:val="24"/>
    </w:rPr>
  </w:style>
  <w:style w:type="paragraph" w:customStyle="1" w:styleId="118">
    <w:name w:val="表格"/>
    <w:basedOn w:val="1"/>
    <w:qFormat/>
    <w:uiPriority w:val="0"/>
    <w:pPr>
      <w:spacing w:line="400" w:lineRule="exact"/>
    </w:pPr>
    <w:rPr>
      <w:sz w:val="24"/>
      <w:szCs w:val="24"/>
    </w:rPr>
  </w:style>
  <w:style w:type="character" w:customStyle="1" w:styleId="119">
    <w:name w:val="font51"/>
    <w:basedOn w:val="38"/>
    <w:qFormat/>
    <w:uiPriority w:val="0"/>
    <w:rPr>
      <w:rFonts w:hint="eastAsia" w:ascii="宋体" w:hAnsi="宋体" w:eastAsia="宋体" w:cs="宋体"/>
      <w:color w:val="000000"/>
      <w:sz w:val="24"/>
      <w:szCs w:val="24"/>
    </w:rPr>
  </w:style>
  <w:style w:type="paragraph" w:customStyle="1" w:styleId="12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1">
    <w:name w:val="font11"/>
    <w:basedOn w:val="38"/>
    <w:qFormat/>
    <w:uiPriority w:val="0"/>
    <w:rPr>
      <w:rFonts w:hint="eastAsia" w:ascii="宋体" w:hAnsi="宋体" w:eastAsia="宋体" w:cs="宋体"/>
      <w:b/>
      <w:color w:val="FF0000"/>
      <w:sz w:val="20"/>
      <w:szCs w:val="20"/>
      <w:u w:val="none"/>
    </w:rPr>
  </w:style>
  <w:style w:type="character" w:customStyle="1" w:styleId="122">
    <w:name w:val="font21"/>
    <w:basedOn w:val="38"/>
    <w:qFormat/>
    <w:uiPriority w:val="0"/>
    <w:rPr>
      <w:rFonts w:hint="eastAsia" w:ascii="宋体" w:hAnsi="宋体" w:eastAsia="宋体" w:cs="宋体"/>
      <w:color w:val="000000"/>
      <w:sz w:val="20"/>
      <w:szCs w:val="20"/>
      <w:u w:val="none"/>
    </w:rPr>
  </w:style>
  <w:style w:type="character" w:customStyle="1" w:styleId="123">
    <w:name w:val="font01"/>
    <w:basedOn w:val="38"/>
    <w:qFormat/>
    <w:uiPriority w:val="0"/>
    <w:rPr>
      <w:rFonts w:hint="eastAsia" w:ascii="宋体" w:hAnsi="宋体" w:eastAsia="宋体" w:cs="宋体"/>
      <w:b/>
      <w:color w:val="000000"/>
      <w:sz w:val="20"/>
      <w:szCs w:val="20"/>
      <w:u w:val="none"/>
    </w:rPr>
  </w:style>
  <w:style w:type="paragraph" w:customStyle="1" w:styleId="124">
    <w:name w:val="样式 首行缩进:  2 字符"/>
    <w:basedOn w:val="1"/>
    <w:qFormat/>
    <w:uiPriority w:val="0"/>
    <w:pPr>
      <w:spacing w:line="400" w:lineRule="exact"/>
      <w:ind w:firstLine="200" w:firstLineChars="200"/>
    </w:pPr>
    <w:rPr>
      <w:rFonts w:cs="宋体"/>
      <w:sz w:val="24"/>
    </w:rPr>
  </w:style>
  <w:style w:type="character" w:customStyle="1" w:styleId="125">
    <w:name w:val="font41"/>
    <w:basedOn w:val="38"/>
    <w:qFormat/>
    <w:uiPriority w:val="0"/>
    <w:rPr>
      <w:rFonts w:hint="default" w:ascii="等线" w:hAnsi="等线" w:eastAsia="等线" w:cs="等线"/>
      <w:color w:val="000000"/>
      <w:sz w:val="22"/>
      <w:szCs w:val="22"/>
      <w:u w:val="none"/>
    </w:rPr>
  </w:style>
  <w:style w:type="paragraph" w:customStyle="1" w:styleId="126">
    <w:name w:val="tit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7">
    <w:name w:val="p15"/>
    <w:basedOn w:val="1"/>
    <w:qFormat/>
    <w:uiPriority w:val="0"/>
    <w:pPr>
      <w:widowControl/>
      <w:spacing w:line="360" w:lineRule="auto"/>
      <w:jc w:val="left"/>
    </w:pPr>
    <w:rPr>
      <w:kern w:val="0"/>
      <w:sz w:val="24"/>
    </w:rPr>
  </w:style>
  <w:style w:type="character" w:customStyle="1" w:styleId="128">
    <w:name w:val="NormalCharacter"/>
    <w:link w:val="129"/>
    <w:semiHidden/>
    <w:qFormat/>
    <w:locked/>
    <w:uiPriority w:val="99"/>
    <w:rPr>
      <w:kern w:val="0"/>
      <w:sz w:val="24"/>
      <w:szCs w:val="20"/>
    </w:rPr>
  </w:style>
  <w:style w:type="paragraph" w:customStyle="1" w:styleId="129">
    <w:name w:val="UserStyle_85"/>
    <w:basedOn w:val="1"/>
    <w:link w:val="128"/>
    <w:qFormat/>
    <w:uiPriority w:val="99"/>
    <w:pPr>
      <w:spacing w:after="160" w:line="240" w:lineRule="exact"/>
    </w:pPr>
    <w:rPr>
      <w:kern w:val="0"/>
      <w:sz w:val="24"/>
      <w:szCs w:val="20"/>
    </w:rPr>
  </w:style>
  <w:style w:type="paragraph" w:customStyle="1" w:styleId="130">
    <w:name w:val="Normal_36_0"/>
    <w:qFormat/>
    <w:uiPriority w:val="99"/>
    <w:pPr>
      <w:spacing w:before="120" w:after="240"/>
      <w:jc w:val="both"/>
    </w:pPr>
    <w:rPr>
      <w:rFonts w:ascii="Calibri" w:hAnsi="Calibri" w:eastAsia="宋体" w:cs="Times New Roman"/>
      <w:sz w:val="22"/>
      <w:szCs w:val="22"/>
      <w:lang w:val="en-US" w:eastAsia="en-US" w:bidi="ar-SA"/>
    </w:rPr>
  </w:style>
  <w:style w:type="paragraph" w:customStyle="1" w:styleId="131">
    <w:name w:val="Normal_37_0"/>
    <w:qFormat/>
    <w:uiPriority w:val="99"/>
    <w:pPr>
      <w:spacing w:before="120" w:after="240"/>
      <w:jc w:val="both"/>
    </w:pPr>
    <w:rPr>
      <w:rFonts w:ascii="Calibri" w:hAnsi="Calibri" w:eastAsia="宋体" w:cs="Times New Roman"/>
      <w:sz w:val="22"/>
      <w:szCs w:val="22"/>
      <w:lang w:val="en-US" w:eastAsia="en-US" w:bidi="ar-SA"/>
    </w:rPr>
  </w:style>
  <w:style w:type="paragraph" w:customStyle="1" w:styleId="132">
    <w:name w:val="标书正文"/>
    <w:basedOn w:val="1"/>
    <w:qFormat/>
    <w:uiPriority w:val="0"/>
    <w:pPr>
      <w:tabs>
        <w:tab w:val="left" w:pos="600"/>
      </w:tabs>
      <w:snapToGrid w:val="0"/>
      <w:spacing w:line="480" w:lineRule="atLeast"/>
      <w:jc w:val="center"/>
    </w:pPr>
    <w:rPr>
      <w:rFonts w:eastAsia="黑体"/>
      <w:b/>
      <w:sz w:val="30"/>
      <w:szCs w:val="20"/>
    </w:rPr>
  </w:style>
  <w:style w:type="paragraph" w:customStyle="1" w:styleId="133">
    <w:name w:val="表注1"/>
    <w:basedOn w:val="1"/>
    <w:qFormat/>
    <w:uiPriority w:val="0"/>
    <w:pPr>
      <w:adjustRightInd w:val="0"/>
      <w:snapToGrid w:val="0"/>
      <w:spacing w:before="156" w:beforeLines="50" w:line="300" w:lineRule="auto"/>
      <w:ind w:left="350" w:hanging="350" w:hangingChars="350"/>
    </w:pPr>
    <w:rPr>
      <w:rFonts w:eastAsia="仿宋_GB2312"/>
      <w:bCs/>
      <w:color w:val="000000"/>
      <w:szCs w:val="24"/>
    </w:rPr>
  </w:style>
  <w:style w:type="character" w:customStyle="1" w:styleId="134">
    <w:name w:val="phone"/>
    <w:basedOn w:val="38"/>
    <w:qFormat/>
    <w:uiPriority w:val="0"/>
    <w:rPr>
      <w:color w:val="FF8833"/>
      <w:sz w:val="18"/>
      <w:szCs w:val="18"/>
    </w:rPr>
  </w:style>
  <w:style w:type="character" w:customStyle="1" w:styleId="135">
    <w:name w:val="proollist"/>
    <w:basedOn w:val="38"/>
    <w:qFormat/>
    <w:uiPriority w:val="0"/>
  </w:style>
  <w:style w:type="character" w:customStyle="1" w:styleId="136">
    <w:name w:val="number"/>
    <w:basedOn w:val="38"/>
    <w:qFormat/>
    <w:uiPriority w:val="0"/>
    <w:rPr>
      <w:color w:val="FF8833"/>
      <w:sz w:val="18"/>
      <w:szCs w:val="18"/>
    </w:rPr>
  </w:style>
  <w:style w:type="character" w:customStyle="1" w:styleId="137">
    <w:name w:val="stclosebtn"/>
    <w:basedOn w:val="38"/>
    <w:qFormat/>
    <w:uiPriority w:val="0"/>
  </w:style>
  <w:style w:type="character" w:customStyle="1" w:styleId="138">
    <w:name w:val="beforeinfotext"/>
    <w:basedOn w:val="38"/>
    <w:qFormat/>
    <w:uiPriority w:val="0"/>
    <w:rPr>
      <w:color w:val="666666"/>
    </w:rPr>
  </w:style>
  <w:style w:type="character" w:customStyle="1" w:styleId="139">
    <w:name w:val="indent"/>
    <w:basedOn w:val="38"/>
    <w:qFormat/>
    <w:uiPriority w:val="0"/>
  </w:style>
  <w:style w:type="character" w:customStyle="1" w:styleId="140">
    <w:name w:val="hover3"/>
    <w:basedOn w:val="38"/>
    <w:qFormat/>
    <w:uiPriority w:val="0"/>
    <w:rPr>
      <w:shd w:val="clear" w:fill="EEEEEE"/>
    </w:rPr>
  </w:style>
  <w:style w:type="character" w:customStyle="1" w:styleId="141">
    <w:name w:val="old"/>
    <w:basedOn w:val="38"/>
    <w:qFormat/>
    <w:uiPriority w:val="0"/>
    <w:rPr>
      <w:color w:val="999999"/>
    </w:rPr>
  </w:style>
  <w:style w:type="character" w:customStyle="1" w:styleId="142">
    <w:name w:val="glyphicon4"/>
    <w:basedOn w:val="38"/>
    <w:qFormat/>
    <w:uiPriority w:val="0"/>
  </w:style>
  <w:style w:type="character" w:customStyle="1" w:styleId="143">
    <w:name w:val="hour_am"/>
    <w:basedOn w:val="38"/>
    <w:qFormat/>
    <w:uiPriority w:val="0"/>
  </w:style>
  <w:style w:type="character" w:customStyle="1" w:styleId="144">
    <w:name w:val="hour_pm"/>
    <w:basedOn w:val="38"/>
    <w:qFormat/>
    <w:uiPriority w:val="0"/>
  </w:style>
  <w:style w:type="character" w:customStyle="1" w:styleId="145">
    <w:name w:val="button"/>
    <w:basedOn w:val="38"/>
    <w:qFormat/>
    <w:uiPriority w:val="0"/>
  </w:style>
  <w:style w:type="character" w:customStyle="1" w:styleId="146">
    <w:name w:val="tmpztreemove_arrow"/>
    <w:basedOn w:val="38"/>
    <w:qFormat/>
    <w:uiPriority w:val="0"/>
    <w:rPr>
      <w:shd w:val="clear" w:fill="FFFFFF"/>
    </w:rPr>
  </w:style>
  <w:style w:type="paragraph" w:customStyle="1" w:styleId="147">
    <w:name w:val="正文空2格  1."/>
    <w:basedOn w:val="1"/>
    <w:qFormat/>
    <w:uiPriority w:val="0"/>
    <w:pPr>
      <w:keepNext w:val="0"/>
      <w:keepLines w:val="0"/>
      <w:widowControl w:val="0"/>
      <w:suppressLineNumbers w:val="0"/>
      <w:adjustRightInd w:val="0"/>
      <w:spacing w:before="0" w:beforeAutospacing="0" w:after="0" w:afterAutospacing="0" w:line="360" w:lineRule="auto"/>
      <w:ind w:left="0" w:right="0" w:firstLine="480" w:firstLineChars="200"/>
      <w:jc w:val="both"/>
    </w:pPr>
    <w:rPr>
      <w:rFonts w:hint="eastAsia" w:ascii="宋体" w:hAnsi="Times New Roman" w:eastAsia="仿宋" w:cs="宋体"/>
      <w:kern w:val="0"/>
      <w:sz w:val="28"/>
      <w:szCs w:val="20"/>
      <w:lang w:val="en-US" w:eastAsia="zh-CN" w:bidi="ar-SA"/>
    </w:rPr>
  </w:style>
  <w:style w:type="paragraph" w:customStyle="1" w:styleId="148">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49">
    <w:name w:val="my正文"/>
    <w:basedOn w:val="1"/>
    <w:qFormat/>
    <w:uiPriority w:val="0"/>
    <w:pPr>
      <w:spacing w:line="360" w:lineRule="auto"/>
      <w:ind w:firstLine="480" w:firstLineChars="200"/>
    </w:pPr>
    <w:rPr>
      <w:rFonts w:ascii="仿宋_GB2312" w:eastAsia="仿宋_GB2312"/>
      <w:sz w:val="24"/>
    </w:rPr>
  </w:style>
  <w:style w:type="paragraph" w:customStyle="1" w:styleId="150">
    <w:name w:val="Table Paragraph"/>
    <w:basedOn w:val="1"/>
    <w:qFormat/>
    <w:uiPriority w:val="1"/>
    <w:rPr>
      <w:rFonts w:ascii="宋体" w:hAnsi="宋体" w:eastAsia="宋体" w:cs="宋体"/>
    </w:rPr>
  </w:style>
  <w:style w:type="paragraph" w:customStyle="1" w:styleId="151">
    <w:name w:val="样式6"/>
    <w:basedOn w:val="1"/>
    <w:qFormat/>
    <w:uiPriority w:val="99"/>
    <w:pPr>
      <w:topLinePunct/>
      <w:spacing w:before="160" w:after="60"/>
      <w:jc w:val="center"/>
    </w:pPr>
    <w:rPr>
      <w:rFonts w:ascii="Times New Roman" w:hAnsi="Times New Roman" w:eastAsia="黑体" w:cs="Times New Roman"/>
      <w:szCs w:val="21"/>
    </w:rPr>
  </w:style>
  <w:style w:type="paragraph" w:customStyle="1" w:styleId="152">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153">
    <w:name w:val="表格文字中"/>
    <w:basedOn w:val="1"/>
    <w:qFormat/>
    <w:uiPriority w:val="0"/>
    <w:pPr>
      <w:adjustRightInd w:val="0"/>
      <w:snapToGrid w:val="0"/>
      <w:ind w:left="22" w:leftChars="8"/>
      <w:jc w:val="center"/>
    </w:pPr>
    <w:rPr>
      <w:rFonts w:ascii="宋体"/>
      <w:kern w:val="0"/>
      <w:szCs w:val="24"/>
    </w:rPr>
  </w:style>
  <w:style w:type="paragraph" w:customStyle="1" w:styleId="154">
    <w:name w:val="a"/>
    <w:basedOn w:val="1"/>
    <w:qFormat/>
    <w:uiPriority w:val="0"/>
    <w:pPr>
      <w:widowControl/>
      <w:spacing w:before="100" w:beforeAutospacing="1" w:after="100" w:afterAutospacing="1"/>
      <w:jc w:val="left"/>
    </w:pPr>
    <w:rPr>
      <w:rFonts w:ascii="宋体" w:cs="宋体"/>
      <w:kern w:val="0"/>
    </w:rPr>
  </w:style>
  <w:style w:type="paragraph" w:customStyle="1" w:styleId="155">
    <w:name w:val="a0"/>
    <w:basedOn w:val="1"/>
    <w:qFormat/>
    <w:uiPriority w:val="0"/>
    <w:pPr>
      <w:widowControl/>
      <w:spacing w:before="100" w:beforeAutospacing="1" w:after="100" w:afterAutospacing="1"/>
      <w:jc w:val="left"/>
    </w:pPr>
    <w:rPr>
      <w:rFonts w:asci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A8C56-56B8-4650-81B4-34FD7A2E23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26939</Words>
  <Characters>28497</Characters>
  <Lines>257</Lines>
  <Paragraphs>72</Paragraphs>
  <TotalTime>37</TotalTime>
  <ScaleCrop>false</ScaleCrop>
  <LinksUpToDate>false</LinksUpToDate>
  <CharactersWithSpaces>31468</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2017-10-30T07:32:00Z</dcterms:created>
  <dc:creator>Administrator</dc:creator>
  <cp:lastModifiedBy>0.0</cp:lastModifiedBy>
  <cp:lastPrinted>2023-11-14T01:40:00Z</cp:lastPrinted>
  <dcterms:modified xsi:type="dcterms:W3CDTF">2023-11-15T02:40:02Z</dcterms:modified>
  <dc:title>_                                    招标编号：ZD0814-013Z</dc:title>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AB46210AEECC4F9495631FC4AB63EE0F</vt:lpwstr>
  </property>
</Properties>
</file>