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乾县二中操场塑化地面塌陷维修改造项目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乾县二中操场塑化地面塌陷维修改造项目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2023年07月31日 15时00分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项目编号：SXDZZ（2023）152号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项目名称：乾县二中操场塑化地面塌陷维修改造项目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预算金额：1,711,619.87元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合同包1(乾县二中操场塑化地面塌陷维修改造项目):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合同包预算金额：1,711,619.87元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合同包最高限价：1,711,619.87元</w:t>
      </w:r>
    </w:p>
    <w:tbl>
      <w:tblPr>
        <w:tblStyle w:val="5"/>
        <w:tblW w:w="8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9"/>
        <w:gridCol w:w="1422"/>
        <w:gridCol w:w="1989"/>
        <w:gridCol w:w="702"/>
        <w:gridCol w:w="98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blHeader/>
        </w:trPr>
        <w:tc>
          <w:tcPr>
            <w:tcW w:w="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3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室外体育和娱乐设施工程施工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乾县第二中学操场塑化地面塌陷维修改造项目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1,711,619.87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1,711,619.87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合同履行期限：自合同签订之日起45个日历天（具体服务起止日期可随合同签订时间相应顺延）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合同包1(乾县二中操场塑化地面塌陷维修改造项目)落实政府采购政策需满足的资格要求如下: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合同包1(乾县二中操场塑化地面塌陷维修改造项目)特定资格要求如下: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企业资质：投标人须具备建设行政主管部门颁发的市政公用工程施工总承包三级及以上资质，具备有效的安全生产许可证；4、拟派注册建造师：须具有市政公用工程专业二级及以上注册建造师执业资格，具有有效的安全生产考核合格证书（B级），且无在建项目；5、书面声明：出具参加本次采购活动前三年内在经营活动中没有重大违法记录的书面声明;6、财务状况报告：提供2022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2023年07月18日 至 2023年07月24日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2023年07月31日 15时00分00秒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2023年07月31日 15时00分00秒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乾县第二中学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乾县城关镇西大街80号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lang w:val="en-US" w:eastAsia="zh-CN"/>
        </w:rPr>
        <w:t>13992079291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2023年7月15日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07065D44"/>
    <w:rsid w:val="30CA6B5D"/>
    <w:rsid w:val="43CD0FC5"/>
    <w:rsid w:val="7F2D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2215</Words>
  <Characters>2593</Characters>
  <Lines>0</Lines>
  <Paragraphs>0</Paragraphs>
  <TotalTime>2</TotalTime>
  <ScaleCrop>false</ScaleCrop>
  <LinksUpToDate>false</LinksUpToDate>
  <CharactersWithSpaces>2674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2023-07-15T03:03:00Z</dcterms:created>
  <dc:creator>Administrator</dc:creator>
  <cp:lastModifiedBy>敏敏</cp:lastModifiedBy>
  <dcterms:modified xsi:type="dcterms:W3CDTF">2023-07-17T07:02:04Z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41879DD95E974B0E96053263262BB2C6_12</vt:lpwstr>
  </property>
</Properties>
</file>