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 w:hAnsi="仿宋" w:eastAsia="仿宋" w:cs="仿宋"/>
          <w:b/>
          <w:color w:val="auto"/>
          <w:sz w:val="36"/>
          <w:szCs w:val="36"/>
          <w:highlight w:val="none"/>
        </w:rPr>
      </w:pPr>
    </w:p>
    <w:p>
      <w:pPr>
        <w:spacing w:line="560" w:lineRule="exact"/>
        <w:rPr>
          <w:rFonts w:hint="eastAsia" w:ascii="仿宋" w:hAnsi="仿宋" w:eastAsia="仿宋" w:cs="仿宋"/>
          <w:color w:val="auto"/>
          <w:sz w:val="36"/>
          <w:highlight w:val="none"/>
        </w:rPr>
      </w:pPr>
      <w:r>
        <w:rPr>
          <w:rFonts w:hint="eastAsia" w:ascii="仿宋" w:hAnsi="仿宋" w:eastAsia="仿宋" w:cs="仿宋"/>
          <w:color w:val="auto"/>
          <w:sz w:val="36"/>
          <w:highlight w:val="none"/>
        </w:rPr>
        <w:pict>
          <v:shape id="_x0000_s2050" o:spid="_x0000_s2050" o:spt="202" type="#_x0000_t202" style="position:absolute;left:0pt;margin-left:326.15pt;margin-top:-20.4pt;height:29.15pt;width:117.7pt;z-index:251668480;mso-width-relative:page;mso-height-relative:page;" fillcolor="#FFFFFF" filled="t" stroked="t" coordsize="21600,21600">
            <v:path/>
            <v:fill on="t" color2="#FFFFFF" focussize="0,0"/>
            <v:stroke color="#000000"/>
            <v:imagedata o:title=""/>
            <o:lock v:ext="edit" aspectratio="f"/>
            <v:textbox>
              <w:txbxContent>
                <w:p>
                  <w:pPr>
                    <w:jc w:val="center"/>
                    <w:rPr>
                      <w:rFonts w:hint="eastAsia" w:ascii="仿宋" w:hAnsi="仿宋" w:eastAsia="仿宋" w:cs="仿宋"/>
                      <w:sz w:val="32"/>
                      <w:szCs w:val="28"/>
                      <w:lang w:eastAsia="zh-CN"/>
                    </w:rPr>
                  </w:pPr>
                  <w:r>
                    <w:rPr>
                      <w:rFonts w:hint="eastAsia" w:ascii="仿宋" w:hAnsi="仿宋" w:eastAsia="仿宋" w:cs="仿宋"/>
                      <w:b/>
                      <w:bCs/>
                      <w:sz w:val="32"/>
                      <w:szCs w:val="28"/>
                      <w:lang w:eastAsia="zh-CN"/>
                    </w:rPr>
                    <w:t>政府采购项目</w:t>
                  </w:r>
                </w:p>
              </w:txbxContent>
            </v:textbox>
          </v:shape>
        </w:pict>
      </w:r>
    </w:p>
    <w:p>
      <w:pPr>
        <w:spacing w:line="560" w:lineRule="exact"/>
        <w:ind w:left="-240" w:leftChars="-100" w:firstLine="239" w:firstLineChars="66"/>
        <w:rPr>
          <w:rFonts w:hint="eastAsia" w:ascii="仿宋" w:hAnsi="仿宋" w:eastAsia="仿宋" w:cs="仿宋"/>
          <w:b/>
          <w:color w:val="auto"/>
          <w:sz w:val="15"/>
          <w:szCs w:val="15"/>
          <w:highlight w:val="none"/>
          <w:lang w:eastAsia="zh-CN"/>
        </w:rPr>
      </w:pPr>
      <w:r>
        <w:rPr>
          <w:rFonts w:hint="eastAsia" w:ascii="仿宋" w:hAnsi="仿宋" w:eastAsia="仿宋" w:cs="仿宋"/>
          <w:b/>
          <w:color w:val="auto"/>
          <w:sz w:val="36"/>
          <w:szCs w:val="36"/>
          <w:highlight w:val="none"/>
        </w:rPr>
        <w:t>文件编号:</w:t>
      </w:r>
      <w:r>
        <w:rPr>
          <w:rFonts w:hint="eastAsia" w:ascii="仿宋" w:hAnsi="仿宋" w:eastAsia="仿宋" w:cs="仿宋"/>
          <w:b/>
          <w:color w:val="auto"/>
          <w:sz w:val="36"/>
          <w:szCs w:val="36"/>
          <w:highlight w:val="none"/>
          <w:lang w:eastAsia="zh-CN"/>
        </w:rPr>
        <w:t>HZGH-2023-026</w:t>
      </w:r>
    </w:p>
    <w:p>
      <w:pPr>
        <w:widowControl/>
        <w:wordWrap w:val="0"/>
        <w:spacing w:line="560" w:lineRule="exact"/>
        <w:rPr>
          <w:rFonts w:hint="eastAsia" w:ascii="仿宋" w:hAnsi="仿宋" w:eastAsia="仿宋" w:cs="仿宋"/>
          <w:b/>
          <w:bCs/>
          <w:color w:val="auto"/>
          <w:spacing w:val="20"/>
          <w:kern w:val="0"/>
          <w:sz w:val="84"/>
          <w:szCs w:val="84"/>
          <w:highlight w:val="none"/>
        </w:rPr>
      </w:pPr>
    </w:p>
    <w:p>
      <w:pPr>
        <w:widowControl/>
        <w:spacing w:line="560" w:lineRule="exact"/>
        <w:jc w:val="both"/>
        <w:rPr>
          <w:rFonts w:hint="eastAsia" w:ascii="仿宋" w:hAnsi="仿宋" w:eastAsia="仿宋" w:cs="仿宋"/>
          <w:b/>
          <w:color w:val="auto"/>
          <w:sz w:val="52"/>
          <w:szCs w:val="52"/>
          <w:highlight w:val="none"/>
        </w:rPr>
      </w:pPr>
    </w:p>
    <w:p>
      <w:pPr>
        <w:spacing w:line="360" w:lineRule="auto"/>
        <w:jc w:val="center"/>
        <w:rPr>
          <w:rFonts w:hint="eastAsia" w:ascii="仿宋" w:hAnsi="仿宋" w:eastAsia="仿宋" w:cs="仿宋"/>
          <w:b/>
          <w:color w:val="auto"/>
          <w:sz w:val="40"/>
          <w:szCs w:val="40"/>
          <w:highlight w:val="none"/>
          <w:shd w:val="clear" w:color="auto" w:fill="FFFFFF"/>
        </w:rPr>
      </w:pPr>
      <w:r>
        <w:rPr>
          <w:rFonts w:hint="eastAsia" w:ascii="仿宋" w:hAnsi="仿宋" w:eastAsia="仿宋" w:cs="仿宋"/>
          <w:b/>
          <w:bCs/>
          <w:color w:val="auto"/>
          <w:sz w:val="52"/>
          <w:szCs w:val="52"/>
          <w:highlight w:val="none"/>
          <w:lang w:eastAsia="zh-CN"/>
        </w:rPr>
        <w:t>长武县彭公中心幼儿园部室提升改造设施设备采购项目</w:t>
      </w:r>
    </w:p>
    <w:p>
      <w:pPr>
        <w:spacing w:beforeLines="50" w:line="560" w:lineRule="exact"/>
        <w:jc w:val="center"/>
        <w:rPr>
          <w:rFonts w:hint="eastAsia" w:ascii="仿宋" w:hAnsi="仿宋" w:eastAsia="仿宋" w:cs="仿宋"/>
          <w:b/>
          <w:bCs/>
          <w:color w:val="auto"/>
          <w:spacing w:val="20"/>
          <w:kern w:val="0"/>
          <w:sz w:val="72"/>
          <w:szCs w:val="72"/>
          <w:highlight w:val="none"/>
        </w:rPr>
      </w:pPr>
    </w:p>
    <w:p>
      <w:pPr>
        <w:spacing w:beforeLines="50" w:line="560" w:lineRule="exact"/>
        <w:jc w:val="center"/>
        <w:rPr>
          <w:rFonts w:hint="eastAsia" w:ascii="仿宋" w:hAnsi="仿宋" w:eastAsia="仿宋" w:cs="仿宋"/>
          <w:b/>
          <w:bCs/>
          <w:color w:val="auto"/>
          <w:spacing w:val="20"/>
          <w:kern w:val="0"/>
          <w:sz w:val="72"/>
          <w:szCs w:val="72"/>
          <w:highlight w:val="none"/>
        </w:rPr>
      </w:pPr>
      <w:r>
        <w:rPr>
          <w:rFonts w:hint="eastAsia" w:ascii="仿宋" w:hAnsi="仿宋" w:eastAsia="仿宋" w:cs="仿宋"/>
          <w:b/>
          <w:bCs/>
          <w:color w:val="auto"/>
          <w:spacing w:val="20"/>
          <w:kern w:val="0"/>
          <w:sz w:val="72"/>
          <w:szCs w:val="72"/>
          <w:highlight w:val="none"/>
        </w:rPr>
        <w:t>公开招标文件</w:t>
      </w:r>
    </w:p>
    <w:p>
      <w:pPr>
        <w:spacing w:beforeLines="70" w:line="560" w:lineRule="exact"/>
        <w:rPr>
          <w:rFonts w:hint="eastAsia" w:ascii="仿宋" w:hAnsi="仿宋" w:eastAsia="仿宋" w:cs="仿宋"/>
          <w:b/>
          <w:bCs/>
          <w:color w:val="auto"/>
          <w:sz w:val="32"/>
          <w:szCs w:val="32"/>
          <w:highlight w:val="none"/>
        </w:rPr>
      </w:pPr>
    </w:p>
    <w:p>
      <w:pPr>
        <w:spacing w:beforeLines="70" w:line="560" w:lineRule="exact"/>
        <w:rPr>
          <w:rFonts w:hint="eastAsia" w:ascii="仿宋" w:hAnsi="仿宋" w:eastAsia="仿宋" w:cs="仿宋"/>
          <w:b/>
          <w:bCs/>
          <w:color w:val="auto"/>
          <w:sz w:val="32"/>
          <w:szCs w:val="32"/>
          <w:highlight w:val="none"/>
        </w:rPr>
      </w:pPr>
      <w:r>
        <w:rPr>
          <w:rFonts w:hint="eastAsia" w:ascii="仿宋" w:hAnsi="仿宋" w:eastAsia="仿宋" w:cs="仿宋"/>
          <w:b/>
          <w:color w:val="auto"/>
          <w:sz w:val="32"/>
          <w:szCs w:val="32"/>
          <w:highlight w:val="none"/>
          <w:shd w:val="clear" w:color="auto" w:fill="FFFFFF"/>
          <w:lang w:eastAsia="zh-CN"/>
        </w:rPr>
        <w:drawing>
          <wp:anchor distT="0" distB="0" distL="114300" distR="114300" simplePos="0" relativeHeight="251663360" behindDoc="1" locked="0" layoutInCell="1" allowOverlap="1">
            <wp:simplePos x="0" y="0"/>
            <wp:positionH relativeFrom="column">
              <wp:posOffset>2034540</wp:posOffset>
            </wp:positionH>
            <wp:positionV relativeFrom="paragraph">
              <wp:posOffset>123190</wp:posOffset>
            </wp:positionV>
            <wp:extent cx="1466215" cy="1390650"/>
            <wp:effectExtent l="0" t="0" r="12065" b="0"/>
            <wp:wrapTight wrapText="bothSides">
              <wp:wrapPolygon>
                <wp:start x="0" y="0"/>
                <wp:lineTo x="0" y="21304"/>
                <wp:lineTo x="21329" y="21304"/>
                <wp:lineTo x="21329" y="0"/>
                <wp:lineTo x="0" y="0"/>
              </wp:wrapPolygon>
            </wp:wrapTight>
            <wp:docPr id="1" name="图片 1" descr="d53eb5700307075d23daf00df32f9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53eb5700307075d23daf00df32f9f8"/>
                    <pic:cNvPicPr>
                      <a:picLocks noChangeAspect="1"/>
                    </pic:cNvPicPr>
                  </pic:nvPicPr>
                  <pic:blipFill>
                    <a:blip r:embed="rId37"/>
                    <a:stretch>
                      <a:fillRect/>
                    </a:stretch>
                  </pic:blipFill>
                  <pic:spPr>
                    <a:xfrm>
                      <a:off x="0" y="0"/>
                      <a:ext cx="1466215" cy="1390650"/>
                    </a:xfrm>
                    <a:prstGeom prst="rect">
                      <a:avLst/>
                    </a:prstGeom>
                  </pic:spPr>
                </pic:pic>
              </a:graphicData>
            </a:graphic>
          </wp:anchor>
        </w:drawing>
      </w:r>
    </w:p>
    <w:p>
      <w:pPr>
        <w:spacing w:beforeLines="70" w:line="560" w:lineRule="exact"/>
        <w:ind w:firstLine="2570" w:firstLineChars="800"/>
        <w:rPr>
          <w:rFonts w:hint="eastAsia" w:ascii="仿宋" w:hAnsi="仿宋" w:eastAsia="仿宋" w:cs="仿宋"/>
          <w:b/>
          <w:bCs/>
          <w:color w:val="auto"/>
          <w:sz w:val="32"/>
          <w:szCs w:val="32"/>
          <w:highlight w:val="none"/>
          <w:lang w:eastAsia="zh-CN"/>
        </w:rPr>
      </w:pPr>
    </w:p>
    <w:p>
      <w:pPr>
        <w:spacing w:beforeLines="70" w:line="560" w:lineRule="exact"/>
        <w:ind w:firstLine="2570" w:firstLineChars="800"/>
        <w:rPr>
          <w:rFonts w:hint="eastAsia" w:ascii="仿宋" w:hAnsi="仿宋" w:eastAsia="仿宋" w:cs="仿宋"/>
          <w:b/>
          <w:bCs/>
          <w:color w:val="auto"/>
          <w:sz w:val="32"/>
          <w:szCs w:val="32"/>
          <w:highlight w:val="none"/>
          <w:lang w:eastAsia="zh-CN"/>
        </w:rPr>
      </w:pPr>
    </w:p>
    <w:p>
      <w:pPr>
        <w:spacing w:beforeLines="70" w:line="560" w:lineRule="exact"/>
        <w:ind w:firstLine="2570" w:firstLineChars="800"/>
        <w:rPr>
          <w:rFonts w:hint="eastAsia" w:ascii="仿宋" w:hAnsi="仿宋" w:eastAsia="仿宋" w:cs="仿宋"/>
          <w:b/>
          <w:bCs/>
          <w:color w:val="auto"/>
          <w:sz w:val="32"/>
          <w:szCs w:val="32"/>
          <w:highlight w:val="none"/>
          <w:lang w:eastAsia="zh-CN"/>
        </w:rPr>
      </w:pPr>
    </w:p>
    <w:p>
      <w:pPr>
        <w:pStyle w:val="17"/>
        <w:rPr>
          <w:rFonts w:hint="eastAsia" w:ascii="仿宋" w:hAnsi="仿宋" w:eastAsia="仿宋" w:cs="仿宋"/>
          <w:color w:val="auto"/>
          <w:highlight w:val="none"/>
          <w:lang w:eastAsia="zh-CN"/>
        </w:rPr>
      </w:pPr>
    </w:p>
    <w:p>
      <w:pPr>
        <w:pStyle w:val="11"/>
        <w:keepNext w:val="0"/>
        <w:keepLines w:val="0"/>
        <w:pageBreakBefore w:val="0"/>
        <w:widowControl w:val="0"/>
        <w:kinsoku/>
        <w:wordWrap/>
        <w:overflowPunct/>
        <w:topLinePunct w:val="0"/>
        <w:autoSpaceDE/>
        <w:autoSpaceDN/>
        <w:bidi w:val="0"/>
        <w:adjustRightInd/>
        <w:snapToGrid/>
        <w:spacing w:line="640" w:lineRule="exact"/>
        <w:ind w:left="0" w:leftChars="0" w:firstLine="1446" w:firstLineChars="450"/>
        <w:jc w:val="both"/>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val="en-US" w:eastAsia="zh-CN"/>
        </w:rPr>
        <w:t>采购</w:t>
      </w:r>
      <w:r>
        <w:rPr>
          <w:rFonts w:hint="eastAsia" w:ascii="仿宋" w:hAnsi="仿宋" w:eastAsia="仿宋" w:cs="仿宋"/>
          <w:b/>
          <w:bCs/>
          <w:color w:val="auto"/>
          <w:sz w:val="32"/>
          <w:szCs w:val="32"/>
          <w:highlight w:val="none"/>
          <w:lang w:eastAsia="zh-CN"/>
        </w:rPr>
        <w:t>人：长武县教育局（长武县彭公中心幼儿园）</w:t>
      </w:r>
    </w:p>
    <w:p>
      <w:pPr>
        <w:pStyle w:val="11"/>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highlight w:val="none"/>
          <w:lang w:eastAsia="zh-CN"/>
        </w:rPr>
      </w:pPr>
      <w:r>
        <w:rPr>
          <w:rFonts w:hint="eastAsia" w:ascii="仿宋" w:hAnsi="仿宋" w:eastAsia="仿宋" w:cs="仿宋"/>
          <w:b/>
          <w:bCs/>
          <w:color w:val="auto"/>
          <w:sz w:val="32"/>
          <w:szCs w:val="32"/>
          <w:highlight w:val="none"/>
          <w:lang w:eastAsia="zh-CN"/>
        </w:rPr>
        <w:t>采购代理机构：华招广和项目管理有限公司</w:t>
      </w:r>
    </w:p>
    <w:p>
      <w:pPr>
        <w:spacing w:beforeLines="70" w:line="560" w:lineRule="exact"/>
        <w:ind w:firstLine="3213" w:firstLineChars="10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二零</w:t>
      </w:r>
      <w:r>
        <w:rPr>
          <w:rFonts w:hint="eastAsia" w:ascii="仿宋" w:hAnsi="仿宋" w:eastAsia="仿宋" w:cs="仿宋"/>
          <w:b/>
          <w:bCs/>
          <w:color w:val="auto"/>
          <w:sz w:val="32"/>
          <w:szCs w:val="32"/>
          <w:highlight w:val="none"/>
          <w:lang w:val="en-US" w:eastAsia="zh-CN"/>
        </w:rPr>
        <w:t>二三</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rPr>
        <w:t>月</w:t>
      </w:r>
    </w:p>
    <w:p>
      <w:pPr>
        <w:rPr>
          <w:rFonts w:hint="eastAsia" w:ascii="仿宋" w:hAnsi="仿宋" w:eastAsia="仿宋" w:cs="仿宋"/>
          <w:color w:val="auto"/>
          <w:sz w:val="48"/>
          <w:szCs w:val="48"/>
          <w:highlight w:val="none"/>
          <w:lang w:val="zh-CN"/>
        </w:rPr>
        <w:sectPr>
          <w:headerReference r:id="rId5" w:type="first"/>
          <w:footerReference r:id="rId8" w:type="first"/>
          <w:headerReference r:id="rId3" w:type="default"/>
          <w:footerReference r:id="rId6" w:type="default"/>
          <w:headerReference r:id="rId4" w:type="even"/>
          <w:footerReference r:id="rId7" w:type="even"/>
          <w:pgSz w:w="11905" w:h="16840"/>
          <w:pgMar w:top="1417" w:right="1417" w:bottom="1417" w:left="1417" w:header="935" w:footer="771" w:gutter="0"/>
          <w:pgNumType w:fmt="decimal" w:start="1"/>
          <w:cols w:space="0" w:num="1"/>
          <w:titlePg/>
          <w:rtlGutter w:val="0"/>
          <w:docGrid w:linePitch="312" w:charSpace="0"/>
        </w:sectPr>
      </w:pPr>
      <w:r>
        <w:rPr>
          <w:rFonts w:hint="eastAsia" w:ascii="仿宋" w:hAnsi="仿宋" w:eastAsia="仿宋" w:cs="仿宋"/>
          <w:color w:val="auto"/>
          <w:sz w:val="48"/>
          <w:szCs w:val="48"/>
          <w:highlight w:val="none"/>
          <w:lang w:val="zh-CN"/>
        </w:rPr>
        <w:br w:type="page"/>
      </w:r>
    </w:p>
    <w:p>
      <w:pPr>
        <w:jc w:val="center"/>
        <w:rPr>
          <w:rFonts w:hint="eastAsia" w:ascii="仿宋" w:hAnsi="仿宋" w:eastAsia="仿宋" w:cs="仿宋"/>
          <w:color w:val="auto"/>
          <w:sz w:val="48"/>
          <w:szCs w:val="48"/>
          <w:highlight w:val="none"/>
          <w:lang w:val="zh-CN"/>
        </w:rPr>
      </w:pPr>
    </w:p>
    <w:p>
      <w:pPr>
        <w:jc w:val="center"/>
        <w:rPr>
          <w:rFonts w:hint="eastAsia" w:ascii="仿宋" w:hAnsi="仿宋" w:eastAsia="仿宋" w:cs="仿宋"/>
          <w:b/>
          <w:color w:val="auto"/>
          <w:spacing w:val="140"/>
          <w:sz w:val="52"/>
          <w:szCs w:val="52"/>
          <w:highlight w:val="none"/>
          <w:u w:val="double"/>
        </w:rPr>
      </w:pPr>
      <w:r>
        <w:rPr>
          <w:rFonts w:hint="eastAsia" w:ascii="仿宋" w:hAnsi="仿宋" w:eastAsia="仿宋" w:cs="仿宋"/>
          <w:b/>
          <w:color w:val="auto"/>
          <w:spacing w:val="140"/>
          <w:sz w:val="52"/>
          <w:szCs w:val="52"/>
          <w:highlight w:val="none"/>
          <w:u w:val="double"/>
        </w:rPr>
        <w:t>特别提示</w:t>
      </w:r>
    </w:p>
    <w:p>
      <w:pPr>
        <w:ind w:firstLine="422"/>
        <w:rPr>
          <w:rFonts w:hint="eastAsia" w:ascii="仿宋" w:hAnsi="仿宋" w:eastAsia="仿宋" w:cs="仿宋"/>
          <w:b/>
          <w:color w:val="auto"/>
          <w:sz w:val="21"/>
          <w:szCs w:val="21"/>
          <w:highlight w:val="none"/>
        </w:rPr>
      </w:pPr>
    </w:p>
    <w:p>
      <w:pPr>
        <w:spacing w:line="560" w:lineRule="exact"/>
        <w:ind w:firstLine="422"/>
        <w:rPr>
          <w:rFonts w:hint="eastAsia" w:ascii="仿宋" w:hAnsi="仿宋" w:eastAsia="仿宋" w:cs="仿宋"/>
          <w:b/>
          <w:color w:val="auto"/>
          <w:szCs w:val="24"/>
          <w:highlight w:val="none"/>
        </w:rPr>
      </w:pPr>
    </w:p>
    <w:p>
      <w:pPr>
        <w:spacing w:line="560" w:lineRule="exact"/>
        <w:ind w:left="0" w:leftChars="0" w:firstLine="0" w:firstLineChars="0"/>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各投标人</w:t>
      </w:r>
      <w:r>
        <w:rPr>
          <w:rFonts w:hint="eastAsia" w:ascii="仿宋" w:hAnsi="仿宋" w:eastAsia="仿宋" w:cs="仿宋"/>
          <w:color w:val="auto"/>
          <w:szCs w:val="24"/>
          <w:highlight w:val="none"/>
        </w:rPr>
        <w:t>：在此我们特别善意地提醒您注意！</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1、请您仔细地阅读招标文件并正确理解招标文件中各项具体要求。</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2、请您严格按照招标文件载明的投标文件格式要求编制投标文件。</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3、请您按照招标文件要求密封投标文件。</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4、请您明确标记投标文件的正本、副本。</w:t>
      </w:r>
    </w:p>
    <w:p>
      <w:pPr>
        <w:tabs>
          <w:tab w:val="left" w:pos="1064"/>
        </w:tabs>
        <w:spacing w:line="560" w:lineRule="exact"/>
        <w:ind w:firstLine="422"/>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lang w:val="en-US" w:eastAsia="zh-CN"/>
        </w:rPr>
        <w:t>5</w:t>
      </w:r>
      <w:r>
        <w:rPr>
          <w:rFonts w:hint="eastAsia" w:ascii="仿宋" w:hAnsi="仿宋" w:eastAsia="仿宋" w:cs="仿宋"/>
          <w:b/>
          <w:bCs/>
          <w:color w:val="auto"/>
          <w:szCs w:val="24"/>
          <w:highlight w:val="none"/>
        </w:rPr>
        <w:t>、如在投标文件递交截止时间前放弃本次投标，请以书面形式发出弃标函。</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、请您于</w:t>
      </w:r>
      <w:r>
        <w:rPr>
          <w:rFonts w:hint="eastAsia" w:ascii="仿宋" w:hAnsi="仿宋" w:eastAsia="仿宋" w:cs="仿宋"/>
          <w:color w:val="auto"/>
          <w:szCs w:val="24"/>
          <w:highlight w:val="none"/>
          <w:lang w:eastAsia="zh-CN"/>
        </w:rPr>
        <w:t>202</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eastAsia="zh-CN"/>
        </w:rPr>
        <w:t>年</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19</w:t>
      </w:r>
      <w:r>
        <w:rPr>
          <w:rFonts w:hint="eastAsia" w:ascii="仿宋" w:hAnsi="仿宋" w:eastAsia="仿宋" w:cs="仿宋"/>
          <w:color w:val="auto"/>
          <w:szCs w:val="24"/>
          <w:highlight w:val="none"/>
          <w:lang w:eastAsia="zh-CN"/>
        </w:rPr>
        <w:t>日</w:t>
      </w:r>
      <w:r>
        <w:rPr>
          <w:rFonts w:hint="eastAsia" w:ascii="仿宋" w:hAnsi="仿宋" w:eastAsia="仿宋" w:cs="仿宋"/>
          <w:color w:val="auto"/>
          <w:szCs w:val="24"/>
          <w:highlight w:val="none"/>
          <w:lang w:val="en-US" w:eastAsia="zh-CN"/>
        </w:rPr>
        <w:t>14</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eastAsia="zh-CN"/>
        </w:rPr>
        <w:t>0</w:t>
      </w:r>
      <w:r>
        <w:rPr>
          <w:rFonts w:hint="eastAsia" w:ascii="仿宋" w:hAnsi="仿宋" w:eastAsia="仿宋" w:cs="仿宋"/>
          <w:color w:val="auto"/>
          <w:szCs w:val="24"/>
          <w:highlight w:val="none"/>
        </w:rPr>
        <w:t>前，准时到</w:t>
      </w:r>
      <w:r>
        <w:rPr>
          <w:rFonts w:hint="eastAsia" w:ascii="仿宋" w:hAnsi="仿宋" w:eastAsia="仿宋" w:cs="仿宋"/>
          <w:color w:val="auto"/>
          <w:szCs w:val="24"/>
          <w:highlight w:val="none"/>
          <w:lang w:eastAsia="zh-CN"/>
        </w:rPr>
        <w:t>华招广和项目管理有限公司</w:t>
      </w:r>
      <w:r>
        <w:rPr>
          <w:rFonts w:hint="eastAsia" w:ascii="仿宋" w:hAnsi="仿宋" w:eastAsia="仿宋" w:cs="仿宋"/>
          <w:color w:val="auto"/>
          <w:szCs w:val="24"/>
          <w:highlight w:val="none"/>
        </w:rPr>
        <w:t>会议室（西安市朱雀大街南段1号汇成天玺C座18层1818室）递交投标文件并参加开标会议，避免迟误。</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、请您到达开标会议地点后及时到签到处签字登记。</w:t>
      </w:r>
    </w:p>
    <w:p>
      <w:pPr>
        <w:tabs>
          <w:tab w:val="left" w:pos="1064"/>
        </w:tabs>
        <w:spacing w:line="560" w:lineRule="exact"/>
        <w:ind w:firstLine="420"/>
        <w:rPr>
          <w:rFonts w:hint="eastAsia" w:ascii="仿宋" w:hAnsi="仿宋" w:eastAsia="仿宋" w:cs="仿宋"/>
          <w:color w:val="auto"/>
          <w:highlight w:val="none"/>
        </w:rPr>
      </w:pP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请</w:t>
      </w:r>
      <w:r>
        <w:rPr>
          <w:rFonts w:hint="eastAsia" w:ascii="仿宋" w:hAnsi="仿宋" w:eastAsia="仿宋" w:cs="仿宋"/>
          <w:b/>
          <w:bCs/>
          <w:color w:val="auto"/>
          <w:sz w:val="24"/>
          <w:szCs w:val="24"/>
          <w:highlight w:val="none"/>
          <w:lang w:eastAsia="zh-CN"/>
        </w:rPr>
        <w:t>您</w:t>
      </w:r>
      <w:r>
        <w:rPr>
          <w:rFonts w:hint="eastAsia" w:ascii="仿宋" w:hAnsi="仿宋" w:eastAsia="仿宋" w:cs="仿宋"/>
          <w:b/>
          <w:bCs/>
          <w:color w:val="auto"/>
          <w:sz w:val="24"/>
          <w:szCs w:val="24"/>
          <w:highlight w:val="none"/>
        </w:rPr>
        <w:t>按照《陕西省财政厅关于政府采购</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注册登记有关事项的通知》中的要求，通过陕西省政府采购网（http://www.ccgp-shaanxi.gov.cn/）注册登记加入陕西省政府采购</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库</w:t>
      </w:r>
      <w:r>
        <w:rPr>
          <w:rFonts w:hint="eastAsia" w:ascii="仿宋" w:hAnsi="仿宋" w:eastAsia="仿宋" w:cs="仿宋"/>
          <w:b/>
          <w:bCs/>
          <w:color w:val="auto"/>
          <w:sz w:val="24"/>
          <w:szCs w:val="24"/>
          <w:highlight w:val="none"/>
          <w:lang w:eastAsia="zh-CN"/>
        </w:rPr>
        <w:t>，并接受财政部门的监督管理。</w:t>
      </w:r>
    </w:p>
    <w:p>
      <w:pPr>
        <w:tabs>
          <w:tab w:val="left" w:pos="1064"/>
        </w:tabs>
        <w:spacing w:line="560" w:lineRule="exact"/>
        <w:ind w:firstLine="420"/>
        <w:rPr>
          <w:rFonts w:hint="eastAsia" w:ascii="仿宋" w:hAnsi="仿宋" w:eastAsia="仿宋" w:cs="仿宋"/>
          <w:color w:val="auto"/>
          <w:sz w:val="21"/>
          <w:szCs w:val="21"/>
          <w:highlight w:val="none"/>
        </w:rPr>
      </w:pPr>
      <w:r>
        <w:rPr>
          <w:rFonts w:hint="eastAsia" w:ascii="仿宋" w:hAnsi="仿宋" w:eastAsia="仿宋" w:cs="仿宋"/>
          <w:color w:val="auto"/>
          <w:szCs w:val="24"/>
          <w:highlight w:val="none"/>
        </w:rPr>
        <w:t>谨记上述提示，将有助您顺利地参加投标。若有什么需要帮助，请您与我们的工作人员联系，我们将竭诚为您服务。</w:t>
      </w:r>
    </w:p>
    <w:p>
      <w:pPr>
        <w:rPr>
          <w:rFonts w:hint="eastAsia" w:ascii="仿宋" w:hAnsi="仿宋" w:eastAsia="仿宋" w:cs="仿宋"/>
          <w:color w:val="auto"/>
          <w:sz w:val="48"/>
          <w:szCs w:val="48"/>
          <w:highlight w:val="none"/>
          <w:lang w:val="zh-CN"/>
        </w:rPr>
      </w:pPr>
    </w:p>
    <w:p>
      <w:pPr>
        <w:pStyle w:val="37"/>
        <w:spacing w:before="0" w:line="560" w:lineRule="exact"/>
        <w:jc w:val="center"/>
        <w:rPr>
          <w:rFonts w:hint="eastAsia" w:ascii="仿宋" w:hAnsi="仿宋" w:eastAsia="仿宋" w:cs="仿宋"/>
          <w:color w:val="auto"/>
          <w:sz w:val="48"/>
          <w:szCs w:val="48"/>
          <w:highlight w:val="none"/>
          <w:lang w:val="zh-CN"/>
        </w:rPr>
        <w:sectPr>
          <w:headerReference r:id="rId9" w:type="first"/>
          <w:footerReference r:id="rId11" w:type="first"/>
          <w:footerReference r:id="rId10" w:type="default"/>
          <w:pgSz w:w="11905" w:h="16840"/>
          <w:pgMar w:top="1417" w:right="1417" w:bottom="1417" w:left="1417" w:header="935" w:footer="771" w:gutter="0"/>
          <w:pgNumType w:fmt="decimal" w:start="1"/>
          <w:cols w:space="0" w:num="1"/>
          <w:titlePg/>
          <w:rtlGutter w:val="0"/>
          <w:docGrid w:linePitch="312" w:charSpace="0"/>
        </w:sectPr>
      </w:pPr>
    </w:p>
    <w:p>
      <w:pPr>
        <w:pStyle w:val="37"/>
        <w:spacing w:before="0" w:line="560" w:lineRule="exact"/>
        <w:jc w:val="center"/>
        <w:rPr>
          <w:rFonts w:hint="eastAsia" w:ascii="仿宋" w:hAnsi="仿宋" w:eastAsia="仿宋" w:cs="仿宋"/>
          <w:color w:val="auto"/>
          <w:sz w:val="48"/>
          <w:szCs w:val="48"/>
          <w:highlight w:val="none"/>
          <w:lang w:val="zh-CN"/>
        </w:rPr>
      </w:pPr>
      <w:r>
        <w:rPr>
          <w:rFonts w:hint="eastAsia" w:ascii="仿宋" w:hAnsi="仿宋" w:eastAsia="仿宋" w:cs="仿宋"/>
          <w:color w:val="auto"/>
          <w:sz w:val="48"/>
          <w:szCs w:val="48"/>
          <w:highlight w:val="none"/>
          <w:lang w:val="zh-CN"/>
        </w:rPr>
        <w:t>目 录</w:t>
      </w:r>
    </w:p>
    <w:p>
      <w:pPr>
        <w:spacing w:line="560" w:lineRule="exact"/>
        <w:rPr>
          <w:rFonts w:hint="eastAsia" w:ascii="仿宋" w:hAnsi="仿宋" w:eastAsia="仿宋" w:cs="仿宋"/>
          <w:color w:val="auto"/>
          <w:highlight w:val="none"/>
          <w:lang w:val="zh-CN"/>
        </w:rPr>
      </w:pPr>
    </w:p>
    <w:p>
      <w:pPr>
        <w:pStyle w:val="17"/>
        <w:tabs>
          <w:tab w:val="right" w:leader="dot" w:pos="9070"/>
        </w:tabs>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TOC \o "1-3" \h \z \u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"_Toc22111"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第一章  招标公告</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_Toc22111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"_Toc30520"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第二章  投标人须知</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_Toc30520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9</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8"/>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"_Toc28725"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一、投标人须知前附表</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_Toc28725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9</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8"/>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"_Toc1429"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二、项目说明</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_Toc1429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15</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8"/>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"_Toc19356"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三、招标文件</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_Toc19356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15</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8"/>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"_Toc4480"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四、投标文件</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_Toc4480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16</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8"/>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"_Toc14492"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五、投标担保</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_Toc14492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22</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8"/>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"_Toc22244"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六、投标</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_Toc22244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22</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8"/>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"_Toc1895"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七、开标、资格审查、评标和定标</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_Toc1895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23</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8"/>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"_Toc16697"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八、合同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_Toc16697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35</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8"/>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"_Toc10597"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九、合同的履约验收</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_Toc10597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36</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8"/>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"_Toc2283"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十、招标服务费</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_Toc2283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36</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8"/>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"_Toc22375"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0"/>
          <w:sz w:val="24"/>
          <w:highlight w:val="none"/>
        </w:rPr>
        <w:t>十一、重新组织采购活动</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_Toc22375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36</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8"/>
        <w:tabs>
          <w:tab w:val="right" w:leader="dot" w:pos="9070"/>
        </w:tabs>
        <w:spacing w:line="560" w:lineRule="exact"/>
        <w:ind w:left="480"/>
        <w:rPr>
          <w:rFonts w:hint="eastAsia" w:ascii="仿宋" w:hAnsi="仿宋" w:eastAsia="仿宋" w:cs="仿宋"/>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"_Toc17723"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十二、询问、质疑与投诉</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_Toc17723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37</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8"/>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"_Toc20119"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十</w:t>
      </w:r>
      <w:r>
        <w:rPr>
          <w:rFonts w:hint="eastAsia" w:ascii="仿宋" w:hAnsi="仿宋" w:eastAsia="仿宋" w:cs="仿宋"/>
          <w:color w:val="auto"/>
          <w:kern w:val="0"/>
          <w:sz w:val="24"/>
          <w:highlight w:val="none"/>
          <w:lang w:val="en-US" w:eastAsia="zh-CN"/>
        </w:rPr>
        <w:t>三</w:t>
      </w:r>
      <w:r>
        <w:rPr>
          <w:rFonts w:hint="eastAsia" w:ascii="仿宋" w:hAnsi="仿宋" w:eastAsia="仿宋" w:cs="仿宋"/>
          <w:color w:val="auto"/>
          <w:kern w:val="0"/>
          <w:sz w:val="24"/>
          <w:highlight w:val="none"/>
        </w:rPr>
        <w:t>、拒绝商业贿赂</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_Toc20119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38</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"_Toc24042"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第三章  采购内容及技术要求</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_Toc24042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39</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"_Toc492"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第四章  商务要求</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_Toc492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39</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"_Toc25447"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第五章  合同条款</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_Toc25447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74</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rPr>
          <w:rFonts w:hint="eastAsia" w:ascii="仿宋" w:hAnsi="仿宋" w:eastAsia="仿宋" w:cs="仿宋"/>
          <w:color w:val="auto"/>
          <w:sz w:val="24"/>
          <w:highlight w:val="none"/>
        </w:rPr>
        <w:sectPr>
          <w:headerReference r:id="rId12" w:type="first"/>
          <w:footerReference r:id="rId14" w:type="first"/>
          <w:footerReference r:id="rId13" w:type="default"/>
          <w:pgSz w:w="11905" w:h="16840"/>
          <w:pgMar w:top="1417" w:right="1417" w:bottom="1417" w:left="1417" w:header="935" w:footer="771" w:gutter="0"/>
          <w:pgNumType w:fmt="decimal" w:start="1"/>
          <w:cols w:space="0" w:num="1"/>
          <w:titlePg/>
          <w:rtlGutter w:val="0"/>
          <w:docGrid w:linePitch="312" w:charSpace="0"/>
        </w:sect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"_Toc19489"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 xml:space="preserve">第六章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投标文件格式</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_Toc19489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86</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3"/>
        <w:numPr>
          <w:ilvl w:val="0"/>
          <w:numId w:val="2"/>
        </w:numPr>
        <w:spacing w:line="560" w:lineRule="exact"/>
        <w:jc w:val="center"/>
        <w:rPr>
          <w:rFonts w:hint="eastAsia" w:ascii="仿宋" w:hAnsi="仿宋" w:eastAsia="仿宋" w:cs="仿宋"/>
          <w:color w:val="auto"/>
          <w:highlight w:val="none"/>
        </w:rPr>
      </w:pPr>
      <w:r>
        <w:rPr>
          <w:rFonts w:hint="eastAsia" w:ascii="仿宋" w:hAnsi="仿宋" w:eastAsia="仿宋" w:cs="仿宋"/>
          <w:color w:val="auto"/>
          <w:sz w:val="24"/>
          <w:szCs w:val="24"/>
          <w:highlight w:val="none"/>
        </w:rPr>
        <w:fldChar w:fldCharType="end"/>
      </w:r>
      <w:bookmarkStart w:id="0" w:name="_Toc458617452"/>
      <w:bookmarkStart w:id="1" w:name="_Toc19866"/>
      <w:bookmarkStart w:id="2" w:name="_Toc30185"/>
      <w:bookmarkStart w:id="3" w:name="_Toc458617729"/>
      <w:bookmarkStart w:id="4" w:name="_Toc22111"/>
      <w:r>
        <w:rPr>
          <w:rFonts w:hint="eastAsia" w:ascii="仿宋" w:hAnsi="仿宋" w:eastAsia="仿宋" w:cs="仿宋"/>
          <w:color w:val="auto"/>
          <w:highlight w:val="none"/>
        </w:rPr>
        <w:t xml:space="preserve"> 招标公告</w:t>
      </w:r>
      <w:bookmarkEnd w:id="0"/>
      <w:bookmarkEnd w:id="1"/>
      <w:bookmarkEnd w:id="2"/>
      <w:bookmarkEnd w:id="3"/>
      <w:bookmarkEnd w:id="4"/>
    </w:p>
    <w:p>
      <w:pPr>
        <w:pStyle w:val="8"/>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left="0" w:right="0"/>
        <w:textAlignment w:val="auto"/>
        <w:rPr>
          <w:rFonts w:hint="eastAsia" w:ascii="仿宋" w:hAnsi="仿宋" w:eastAsia="仿宋" w:cs="仿宋"/>
          <w:color w:val="auto"/>
          <w:sz w:val="24"/>
          <w:szCs w:val="24"/>
          <w:highlight w:val="none"/>
        </w:rPr>
      </w:pPr>
      <w:r>
        <w:rPr>
          <w:rStyle w:val="27"/>
          <w:rFonts w:hint="eastAsia" w:ascii="仿宋" w:hAnsi="仿宋" w:eastAsia="仿宋" w:cs="仿宋"/>
          <w:b/>
          <w:bCs/>
          <w:color w:val="auto"/>
          <w:sz w:val="24"/>
          <w:szCs w:val="24"/>
          <w:highlight w:val="none"/>
        </w:rPr>
        <w:t xml:space="preserve">项目概况 </w:t>
      </w:r>
    </w:p>
    <w:p>
      <w:pPr>
        <w:pStyle w:val="20"/>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长武县彭公中心幼儿园部室提升改造设施设备采购项目</w:t>
      </w:r>
      <w:r>
        <w:rPr>
          <w:rFonts w:hint="eastAsia" w:ascii="仿宋" w:hAnsi="仿宋" w:eastAsia="仿宋" w:cs="仿宋"/>
          <w:color w:val="auto"/>
          <w:sz w:val="24"/>
          <w:szCs w:val="24"/>
          <w:highlight w:val="none"/>
        </w:rPr>
        <w:t>招标项目的潜在投标人应在西安市朱雀大街南段1号汇成天玺C座18层1812室获取招标文件，并于 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 xml:space="preserve">日 14时30分 （北京时间）前递交投标文件。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7"/>
          <w:rFonts w:hint="eastAsia" w:ascii="仿宋" w:hAnsi="仿宋" w:eastAsia="仿宋" w:cs="仿宋"/>
          <w:b/>
          <w:bCs/>
          <w:color w:val="auto"/>
          <w:sz w:val="24"/>
          <w:szCs w:val="24"/>
          <w:highlight w:val="none"/>
        </w:rPr>
        <w:t>一、项目基本情况</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HZGH-2023-026</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长武县彭公中心幼儿园部室提升改造设施设备采购项目</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w:t>
      </w:r>
      <w:r>
        <w:rPr>
          <w:rFonts w:hint="eastAsia" w:ascii="仿宋" w:hAnsi="仿宋" w:eastAsia="仿宋" w:cs="仿宋"/>
          <w:color w:val="auto"/>
          <w:sz w:val="24"/>
          <w:szCs w:val="24"/>
          <w:highlight w:val="none"/>
          <w:lang w:eastAsia="zh-CN"/>
        </w:rPr>
        <w:t>714811.26</w:t>
      </w:r>
      <w:r>
        <w:rPr>
          <w:rFonts w:hint="eastAsia" w:ascii="仿宋" w:hAnsi="仿宋" w:eastAsia="仿宋" w:cs="仿宋"/>
          <w:color w:val="auto"/>
          <w:sz w:val="24"/>
          <w:szCs w:val="24"/>
          <w:highlight w:val="none"/>
        </w:rPr>
        <w:t>元</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合同包1(</w:t>
      </w:r>
      <w:r>
        <w:rPr>
          <w:rFonts w:hint="eastAsia" w:ascii="仿宋" w:hAnsi="仿宋" w:eastAsia="仿宋" w:cs="仿宋"/>
          <w:i w:val="0"/>
          <w:iCs w:val="0"/>
          <w:caps w:val="0"/>
          <w:color w:val="auto"/>
          <w:spacing w:val="0"/>
          <w:sz w:val="24"/>
          <w:szCs w:val="24"/>
          <w:highlight w:val="none"/>
          <w:shd w:val="clear" w:fill="FFFFFF"/>
          <w:lang w:eastAsia="zh-CN"/>
        </w:rPr>
        <w:t>长武县彭公中心幼儿园部室提升改造设施设备采购项目</w:t>
      </w:r>
      <w:r>
        <w:rPr>
          <w:rFonts w:hint="eastAsia" w:ascii="仿宋" w:hAnsi="仿宋" w:eastAsia="仿宋" w:cs="仿宋"/>
          <w:i w:val="0"/>
          <w:iCs w:val="0"/>
          <w:caps w:val="0"/>
          <w:color w:val="auto"/>
          <w:spacing w:val="0"/>
          <w:sz w:val="24"/>
          <w:szCs w:val="24"/>
          <w:highlight w:val="none"/>
          <w:shd w:val="clear" w:fill="FFFFFF"/>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240" w:firstLineChars="10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合同包预算金额：</w:t>
      </w:r>
      <w:r>
        <w:rPr>
          <w:rFonts w:hint="eastAsia" w:ascii="仿宋" w:hAnsi="仿宋" w:eastAsia="仿宋" w:cs="仿宋"/>
          <w:i w:val="0"/>
          <w:iCs w:val="0"/>
          <w:caps w:val="0"/>
          <w:color w:val="auto"/>
          <w:spacing w:val="0"/>
          <w:sz w:val="24"/>
          <w:szCs w:val="24"/>
          <w:highlight w:val="none"/>
          <w:shd w:val="clear" w:fill="FFFFFF"/>
          <w:lang w:eastAsia="zh-CN"/>
        </w:rPr>
        <w:t>714811.26</w:t>
      </w:r>
      <w:r>
        <w:rPr>
          <w:rFonts w:hint="eastAsia" w:ascii="仿宋" w:hAnsi="仿宋" w:eastAsia="仿宋" w:cs="仿宋"/>
          <w:i w:val="0"/>
          <w:iCs w:val="0"/>
          <w:caps w:val="0"/>
          <w:color w:val="auto"/>
          <w:spacing w:val="0"/>
          <w:sz w:val="24"/>
          <w:szCs w:val="24"/>
          <w:highlight w:val="none"/>
          <w:shd w:val="clear" w:fill="FFFFFF"/>
        </w:rPr>
        <w:t>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240" w:firstLineChars="10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合同包最高限价：</w:t>
      </w:r>
      <w:r>
        <w:rPr>
          <w:rFonts w:hint="eastAsia" w:ascii="仿宋" w:hAnsi="仿宋" w:eastAsia="仿宋" w:cs="仿宋"/>
          <w:i w:val="0"/>
          <w:iCs w:val="0"/>
          <w:caps w:val="0"/>
          <w:color w:val="auto"/>
          <w:spacing w:val="0"/>
          <w:sz w:val="24"/>
          <w:szCs w:val="24"/>
          <w:highlight w:val="none"/>
          <w:shd w:val="clear" w:fill="FFFFFF"/>
          <w:lang w:eastAsia="zh-CN"/>
        </w:rPr>
        <w:t>714811.26</w:t>
      </w:r>
      <w:r>
        <w:rPr>
          <w:rFonts w:hint="eastAsia" w:ascii="仿宋" w:hAnsi="仿宋" w:eastAsia="仿宋" w:cs="仿宋"/>
          <w:i w:val="0"/>
          <w:iCs w:val="0"/>
          <w:caps w:val="0"/>
          <w:color w:val="auto"/>
          <w:spacing w:val="0"/>
          <w:sz w:val="24"/>
          <w:szCs w:val="24"/>
          <w:highlight w:val="none"/>
          <w:shd w:val="clear" w:fill="FFFFFF"/>
        </w:rPr>
        <w:t>元</w:t>
      </w:r>
    </w:p>
    <w:tbl>
      <w:tblPr>
        <w:tblStyle w:val="2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26"/>
        <w:gridCol w:w="790"/>
        <w:gridCol w:w="3095"/>
        <w:gridCol w:w="885"/>
        <w:gridCol w:w="1049"/>
        <w:gridCol w:w="1383"/>
        <w:gridCol w:w="13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9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品目号</w:t>
            </w:r>
          </w:p>
        </w:tc>
        <w:tc>
          <w:tcPr>
            <w:tcW w:w="42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品目名称</w:t>
            </w:r>
          </w:p>
        </w:tc>
        <w:tc>
          <w:tcPr>
            <w:tcW w:w="166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采购标的</w:t>
            </w:r>
          </w:p>
        </w:tc>
        <w:tc>
          <w:tcPr>
            <w:tcW w:w="47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数量（单位）</w:t>
            </w:r>
          </w:p>
        </w:tc>
        <w:tc>
          <w:tcPr>
            <w:tcW w:w="56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技术规格、参数及要求</w:t>
            </w:r>
          </w:p>
        </w:tc>
        <w:tc>
          <w:tcPr>
            <w:tcW w:w="74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品目预算(元)</w:t>
            </w:r>
          </w:p>
        </w:tc>
        <w:tc>
          <w:tcPr>
            <w:tcW w:w="74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9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1-1</w:t>
            </w:r>
          </w:p>
        </w:tc>
        <w:tc>
          <w:tcPr>
            <w:tcW w:w="42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其他办公设备</w:t>
            </w:r>
          </w:p>
        </w:tc>
        <w:tc>
          <w:tcPr>
            <w:tcW w:w="166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长武县彭公中心幼儿园部室提升改造设施设备采购项目</w:t>
            </w:r>
          </w:p>
        </w:tc>
        <w:tc>
          <w:tcPr>
            <w:tcW w:w="47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1(批)</w:t>
            </w:r>
          </w:p>
        </w:tc>
        <w:tc>
          <w:tcPr>
            <w:tcW w:w="56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详见采购文件</w:t>
            </w:r>
          </w:p>
        </w:tc>
        <w:tc>
          <w:tcPr>
            <w:tcW w:w="74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714811.26</w:t>
            </w:r>
          </w:p>
        </w:tc>
        <w:tc>
          <w:tcPr>
            <w:tcW w:w="74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714811.26</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本合同包不接受联合体投标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合同履行期限：无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7"/>
          <w:rFonts w:hint="eastAsia" w:ascii="仿宋" w:hAnsi="仿宋" w:eastAsia="仿宋" w:cs="仿宋"/>
          <w:b/>
          <w:bCs/>
          <w:color w:val="auto"/>
          <w:sz w:val="24"/>
          <w:szCs w:val="24"/>
          <w:highlight w:val="none"/>
        </w:rPr>
        <w:t>二、申请人的资格要求：</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2.落实政府采购政策需满足的资格要求： </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（1）、《政府采购促进中小企业发展管理办法》的通知--财库[2020]46号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（2）、陕西省财政厅关于印发《陕西省中小企业政府采购信用融资办法》--(陕财办采[2018]23号)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《陕西省财政厅关于加快推进我省中小企业政府采购信用融资工作的通知》（陕财办采〔2020〕15号）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（4）、财政部司法部关于政府采购支持监狱企业发展有关问题的通知--财库〔2014〕68号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（5）、《国务院办公厅关于建立政府强制采购节能产品制度的通知》--国办发〔2007〕51号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（6）、《节能产品政府采购实施意见》（财库[2004]185号）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（7）、《环境标志产品政府采购实施的意见》（财库[2006]90号）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（8）、《财政部发展改革委生态环境部市场监督总局关于调整优化节能产品、环境标志产品政府采购执行机制的通知》--（财库[2019]9号） </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（9）、《市场监督总局关于发布参与实施政府采购节能产品、环境标志产品认证机构名录的公告》--2019年第16号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（10）、《财政部民政部中国残疾人联合会关于促进残疾人就业政府采购政策的通知》--（财库〔2017〕141号）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（11）、《财政部国务院扶贫办关于运用政府采购政策支持脱贫攻坚的通知》（财库〔2019〕27号）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（12）、《关于进一步加强政府绿色采购有关问题的通知》（陕财办采〔2021〕29号）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（13）、其他需要落实的政府采购政策。</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合同包1(</w:t>
      </w:r>
      <w:r>
        <w:rPr>
          <w:rFonts w:hint="eastAsia" w:ascii="仿宋" w:hAnsi="仿宋" w:eastAsia="仿宋" w:cs="仿宋"/>
          <w:color w:val="auto"/>
          <w:sz w:val="24"/>
          <w:szCs w:val="24"/>
          <w:highlight w:val="none"/>
          <w:lang w:eastAsia="zh-CN"/>
        </w:rPr>
        <w:t>长武县彭公中心幼儿园部室提升改造设施设备采购项目</w:t>
      </w:r>
      <w:r>
        <w:rPr>
          <w:rFonts w:hint="eastAsia" w:ascii="仿宋" w:hAnsi="仿宋" w:eastAsia="仿宋" w:cs="仿宋"/>
          <w:color w:val="auto"/>
          <w:sz w:val="24"/>
          <w:szCs w:val="24"/>
          <w:highlight w:val="none"/>
        </w:rPr>
        <w:t>)特定资格要求如下: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80" w:right="0"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（1）基本资格条件：符合《中华人民共和国政府采购法》第二十二条的规定：</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482" w:right="0"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1、具有独立承担民事责任能力的法人、其他组织或自然人，并出具合法有效的营</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482" w:right="0"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业执照或事业单位法人证书等国家规定的相关证明，自然人参与的提供其身份证明。</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2、财务状况报告：提供具有财务审计资质单位出具的</w:t>
      </w:r>
      <w:r>
        <w:rPr>
          <w:rFonts w:hint="eastAsia" w:ascii="仿宋" w:hAnsi="仿宋" w:eastAsia="仿宋" w:cs="仿宋"/>
          <w:color w:val="auto"/>
          <w:sz w:val="24"/>
          <w:szCs w:val="24"/>
          <w:highlight w:val="none"/>
          <w:lang w:eastAsia="zh-CN"/>
        </w:rPr>
        <w:t>2021年度或2022年度</w:t>
      </w:r>
      <w:r>
        <w:rPr>
          <w:rFonts w:hint="eastAsia" w:ascii="仿宋" w:hAnsi="仿宋" w:eastAsia="仿宋" w:cs="仿宋"/>
          <w:color w:val="auto"/>
          <w:sz w:val="24"/>
          <w:szCs w:val="24"/>
          <w:highlight w:val="none"/>
        </w:rPr>
        <w:t>财务报告（成立时间至开标时间不足一年的可提供成立后任意时段的资产负债表）或开标前六个月内其基本账户银行出具的资信证明（附开户许可证或基本账户证明）或政府采购信用担保机构出具的投标担保函。</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3、税收缴纳证明：</w:t>
      </w:r>
      <w:r>
        <w:rPr>
          <w:rFonts w:hint="eastAsia" w:ascii="仿宋" w:hAnsi="仿宋" w:eastAsia="仿宋" w:cs="仿宋"/>
          <w:color w:val="auto"/>
          <w:sz w:val="24"/>
          <w:szCs w:val="24"/>
          <w:highlight w:val="none"/>
          <w:lang w:eastAsia="zh-CN"/>
        </w:rPr>
        <w:t>提供2022年1月1日至今任意一个月已缴纳的纳税证明或完税证明（包含增值税、企业所得税、营业税至少一种）；（依法免税的投标人应提供相关文件证明）</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4、社会保障资金缴纳证明：</w:t>
      </w:r>
      <w:r>
        <w:rPr>
          <w:rFonts w:hint="eastAsia" w:ascii="仿宋" w:hAnsi="仿宋" w:eastAsia="仿宋" w:cs="仿宋"/>
          <w:color w:val="auto"/>
          <w:sz w:val="24"/>
          <w:szCs w:val="24"/>
          <w:highlight w:val="none"/>
          <w:lang w:eastAsia="zh-CN"/>
        </w:rPr>
        <w:t>提供2022年1月1日至今任意一个月的社保缴费凭据或社保机构开具的社会保险参保缴费情况证明</w:t>
      </w:r>
      <w:r>
        <w:rPr>
          <w:rFonts w:hint="eastAsia" w:ascii="仿宋" w:hAnsi="仿宋" w:eastAsia="仿宋" w:cs="仿宋"/>
          <w:color w:val="auto"/>
          <w:sz w:val="24"/>
          <w:szCs w:val="24"/>
          <w:highlight w:val="none"/>
        </w:rPr>
        <w:t>；（依法不需要缴纳社会保障资金的投标人应提供相关证明）。</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5、提供具有履行本合同所必需的设备和专业技术能力的说明及承诺；（格式自拟，加盖投标人公章）</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6、提供参加政府采购活动前三年内在经营活动中没有重大违法记录的书面声明。（格式自拟，加盖投标人公章）</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（2）、特定资格条件：</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2、被授权人参与投标时需提供法定代表人或负责人授权委托书（附法定代表人或负责人及被授权人身份证复印件）；（被授权人须提供身份证原件，身份证原件可由本人持有）</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、单位负责人为同一人或者存在直接控股、管理关系的不同投标人，不得参加同一合同项下的政府采购活动；（提供书面承诺函，格式自拟加盖投标人公章）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、本项目不接受联合体投标。</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7"/>
          <w:rFonts w:hint="eastAsia" w:ascii="仿宋" w:hAnsi="仿宋" w:eastAsia="仿宋" w:cs="仿宋"/>
          <w:b/>
          <w:bCs/>
          <w:color w:val="auto"/>
          <w:sz w:val="24"/>
          <w:szCs w:val="24"/>
          <w:highlight w:val="none"/>
        </w:rPr>
        <w:t>三、获取招标文件</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28</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日，每天上午09:00:00 至 12:00:00 ，下午 14:00:00 至 17:00:00 （北京时间,法定节假日除外）</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地点：西安市朱雀大街南段1号汇成天玺C座18层1812室</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方式：现场获取</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 xml:space="preserve">元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7"/>
          <w:rFonts w:hint="eastAsia" w:ascii="仿宋" w:hAnsi="仿宋" w:eastAsia="仿宋" w:cs="仿宋"/>
          <w:b/>
          <w:bCs/>
          <w:color w:val="auto"/>
          <w:sz w:val="24"/>
          <w:szCs w:val="24"/>
          <w:highlight w:val="none"/>
        </w:rPr>
        <w:t>四、提交投标文件截止时间、开标时间和地点</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日14时30分00秒（北京时间）</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提交投标文件</w:t>
      </w:r>
      <w:r>
        <w:rPr>
          <w:rFonts w:hint="eastAsia" w:ascii="仿宋" w:hAnsi="仿宋" w:eastAsia="仿宋" w:cs="仿宋"/>
          <w:color w:val="auto"/>
          <w:sz w:val="24"/>
          <w:szCs w:val="24"/>
          <w:highlight w:val="none"/>
        </w:rPr>
        <w:t xml:space="preserve">地点：西安市朱雀大街南段1号汇成天玺C座18层1818室 </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bookmarkStart w:id="249" w:name="_GoBack"/>
      <w:bookmarkEnd w:id="249"/>
      <w:r>
        <w:rPr>
          <w:rFonts w:hint="eastAsia" w:ascii="仿宋" w:hAnsi="仿宋" w:eastAsia="仿宋" w:cs="仿宋"/>
          <w:color w:val="auto"/>
          <w:sz w:val="24"/>
          <w:szCs w:val="24"/>
          <w:highlight w:val="none"/>
        </w:rPr>
        <w:t>开标地点：西安市朱雀大街南段1号汇成天玺C座18层1818室</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7"/>
          <w:rFonts w:hint="eastAsia" w:ascii="仿宋" w:hAnsi="仿宋" w:eastAsia="仿宋" w:cs="仿宋"/>
          <w:b/>
          <w:bCs/>
          <w:color w:val="auto"/>
          <w:sz w:val="24"/>
          <w:szCs w:val="24"/>
          <w:highlight w:val="none"/>
        </w:rPr>
        <w:t>五、公告期限</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7"/>
          <w:rFonts w:hint="eastAsia" w:ascii="仿宋" w:hAnsi="仿宋" w:eastAsia="仿宋" w:cs="仿宋"/>
          <w:b/>
          <w:bCs/>
          <w:color w:val="auto"/>
          <w:sz w:val="24"/>
          <w:szCs w:val="24"/>
          <w:highlight w:val="none"/>
        </w:rPr>
        <w:t>六、其他补充事宜</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both"/>
        <w:textAlignment w:val="auto"/>
        <w:rPr>
          <w:rFonts w:hint="eastAsia" w:ascii="仿宋" w:hAnsi="仿宋" w:eastAsia="仿宋" w:cs="仿宋"/>
          <w:color w:val="auto"/>
          <w:sz w:val="22"/>
          <w:szCs w:val="22"/>
          <w:highlight w:val="none"/>
        </w:rPr>
      </w:pPr>
      <w:r>
        <w:rPr>
          <w:rStyle w:val="27"/>
          <w:rFonts w:hint="eastAsia" w:ascii="仿宋" w:hAnsi="仿宋" w:eastAsia="仿宋" w:cs="仿宋"/>
          <w:b/>
          <w:bCs/>
          <w:i w:val="0"/>
          <w:iCs w:val="0"/>
          <w:caps w:val="0"/>
          <w:color w:val="auto"/>
          <w:spacing w:val="0"/>
          <w:kern w:val="0"/>
          <w:sz w:val="24"/>
          <w:szCs w:val="24"/>
          <w:highlight w:val="none"/>
          <w:shd w:val="clear" w:color="auto" w:fill="FFFFFF"/>
          <w:lang w:val="en-US" w:eastAsia="zh-CN" w:bidi="ar"/>
        </w:rPr>
        <w:t>注：获取招标文件时（9：00—12：00，14：00--17：00（节假日除外））请携带有效的单位介绍信及被介绍人身份证复印件，加盖投标人公章（鲜章）,可自带 U 盘拷贝电子文件（本项目仅支持现场报名获取，谢绝邮寄）。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7"/>
          <w:rFonts w:hint="eastAsia" w:ascii="仿宋" w:hAnsi="仿宋" w:eastAsia="仿宋" w:cs="仿宋"/>
          <w:b/>
          <w:bCs/>
          <w:color w:val="auto"/>
          <w:sz w:val="24"/>
          <w:szCs w:val="24"/>
          <w:highlight w:val="none"/>
        </w:rPr>
        <w:t>七、对本次招标提出询问，请按以下方式联系。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长武县教育局（长武县彭公中心幼儿园）</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eastAsia="zh-CN"/>
        </w:rPr>
        <w:t>长武县彭公镇街道</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029-34331011</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名称：华招广和项目管理有限公司</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地址：西安市朱雀大街南段1号汇成天玺C座18层</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联系方式：029-87592321</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3.项目联系方式 </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eastAsia="zh-CN"/>
        </w:rPr>
        <w:t>党工</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电话：029-87592321</w:t>
      </w:r>
    </w:p>
    <w:p>
      <w:pPr>
        <w:pStyle w:val="2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b/>
          <w:bCs/>
          <w:color w:val="auto"/>
          <w:kern w:val="0"/>
          <w:sz w:val="24"/>
          <w:szCs w:val="22"/>
          <w:highlight w:val="none"/>
          <w:lang w:val="en-US" w:eastAsia="zh-CN" w:bidi="ar-SA"/>
        </w:rPr>
      </w:pPr>
      <w:r>
        <w:rPr>
          <w:rFonts w:hint="eastAsia" w:ascii="仿宋" w:hAnsi="仿宋" w:eastAsia="仿宋" w:cs="仿宋"/>
          <w:b/>
          <w:color w:val="auto"/>
          <w:highlight w:val="none"/>
        </w:rPr>
        <w:pict>
          <v:shape id="Text Box 2" o:spid="_x0000_s2051" o:spt="202" type="#_x0000_t202" style="position:absolute;left:0pt;margin-left:-20.9pt;margin-top:19.85pt;height:69.8pt;width:462.95pt;mso-wrap-distance-bottom:0pt;mso-wrap-distance-left:9pt;mso-wrap-distance-right:9pt;mso-wrap-distance-top:0pt;z-index:251660288;mso-width-relative:page;mso-height-relative:page;" fillcolor="#FFFFFF" filled="t" stroked="t" coordsize="21600,21600" o:gfxdata="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iQsT9kAAAAKAQAADwAAAAAAAAABACAAAAAiAAAAZHJzL2Rvd25yZXYueG1sUEsB&#10;AhQAFAAAAAgAh07iQJdzfR30AQAADwQAAA4AAAAAAAAAAQAgAAAAKAEAAGRycy9lMm9Eb2MueG1s&#10;UEsFBgAAAAAGAAYAWQEAAI4FAAAAAA==&#10;">
            <v:path/>
            <v:fill on="t" color2="#FFFFFF" focussize="0,0"/>
            <v:stroke color="#000000" joinstyle="miter"/>
            <v:imagedata o:title=""/>
            <o:lock v:ext="edit" aspectratio="f"/>
            <v:textbox>
              <w:txbxContent>
                <w:p>
                  <w:pPr>
                    <w:spacing w:line="560" w:lineRule="exact"/>
                    <w:rPr>
                      <w:rFonts w:hint="eastAsia" w:ascii="仿宋" w:hAnsi="仿宋" w:eastAsia="仿宋" w:cs="仿宋"/>
                      <w:b/>
                      <w:bCs w:val="0"/>
                      <w:sz w:val="24"/>
                      <w:szCs w:val="24"/>
                    </w:rPr>
                  </w:pPr>
                  <w:r>
                    <w:rPr>
                      <w:rFonts w:hint="eastAsia" w:ascii="仿宋" w:hAnsi="仿宋" w:eastAsia="仿宋" w:cs="仿宋"/>
                      <w:b/>
                      <w:bCs w:val="0"/>
                      <w:sz w:val="24"/>
                      <w:szCs w:val="24"/>
                    </w:rPr>
                    <w:t>温馨提示：购买招标文件后，请仔细阅读，特别注意粗体及划线部分，如有疑问请来电咨询。</w:t>
                  </w:r>
                </w:p>
              </w:txbxContent>
            </v:textbox>
            <w10:wrap type="square"/>
          </v:shape>
        </w:pict>
      </w:r>
    </w:p>
    <w:p>
      <w:pPr>
        <w:pStyle w:val="11"/>
        <w:rPr>
          <w:rFonts w:hint="eastAsia" w:ascii="仿宋" w:hAnsi="仿宋" w:eastAsia="仿宋" w:cs="仿宋"/>
          <w:color w:val="auto"/>
          <w:highlight w:val="none"/>
        </w:rPr>
      </w:pPr>
    </w:p>
    <w:p>
      <w:pPr>
        <w:rPr>
          <w:rFonts w:hint="eastAsia" w:ascii="仿宋" w:hAnsi="仿宋" w:eastAsia="仿宋" w:cs="仿宋"/>
          <w:color w:val="auto"/>
          <w:sz w:val="44"/>
          <w:szCs w:val="44"/>
          <w:highlight w:val="none"/>
        </w:rPr>
      </w:pPr>
      <w:bookmarkStart w:id="5" w:name="_Toc458617730"/>
      <w:bookmarkStart w:id="6" w:name="_Toc458617453"/>
      <w:bookmarkStart w:id="7" w:name="_Toc30520"/>
      <w:r>
        <w:rPr>
          <w:rFonts w:hint="eastAsia" w:ascii="仿宋" w:hAnsi="仿宋" w:eastAsia="仿宋" w:cs="仿宋"/>
          <w:color w:val="auto"/>
          <w:sz w:val="44"/>
          <w:szCs w:val="44"/>
          <w:highlight w:val="none"/>
        </w:rPr>
        <w:br w:type="page"/>
      </w:r>
    </w:p>
    <w:p>
      <w:pPr>
        <w:pStyle w:val="3"/>
        <w:bidi w:val="0"/>
        <w:spacing w:line="360" w:lineRule="auto"/>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第二章  投标人须知</w:t>
      </w:r>
      <w:bookmarkEnd w:id="5"/>
      <w:bookmarkEnd w:id="6"/>
      <w:bookmarkEnd w:id="7"/>
    </w:p>
    <w:p>
      <w:pPr>
        <w:pStyle w:val="4"/>
        <w:spacing w:line="360" w:lineRule="auto"/>
        <w:jc w:val="center"/>
        <w:rPr>
          <w:rFonts w:hint="eastAsia" w:ascii="仿宋" w:hAnsi="仿宋" w:eastAsia="仿宋" w:cs="仿宋"/>
          <w:color w:val="auto"/>
          <w:sz w:val="15"/>
          <w:szCs w:val="15"/>
          <w:highlight w:val="none"/>
        </w:rPr>
      </w:pPr>
      <w:bookmarkStart w:id="8" w:name="_Toc28725"/>
      <w:bookmarkStart w:id="9" w:name="_Toc458617731"/>
      <w:bookmarkStart w:id="10" w:name="_Toc458617454"/>
      <w:r>
        <w:rPr>
          <w:rFonts w:hint="eastAsia" w:ascii="仿宋" w:hAnsi="仿宋" w:eastAsia="仿宋" w:cs="仿宋"/>
          <w:color w:val="auto"/>
          <w:sz w:val="28"/>
          <w:szCs w:val="28"/>
          <w:highlight w:val="none"/>
        </w:rPr>
        <w:t>一、投标人须知前附表</w:t>
      </w:r>
      <w:bookmarkEnd w:id="8"/>
      <w:bookmarkEnd w:id="9"/>
      <w:bookmarkEnd w:id="10"/>
    </w:p>
    <w:tbl>
      <w:tblPr>
        <w:tblStyle w:val="24"/>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11"/>
        <w:gridCol w:w="6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09"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2411"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条款名称</w:t>
            </w:r>
          </w:p>
        </w:tc>
        <w:tc>
          <w:tcPr>
            <w:tcW w:w="6336"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采购人</w:t>
            </w:r>
          </w:p>
        </w:tc>
        <w:tc>
          <w:tcPr>
            <w:tcW w:w="633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名    称：</w:t>
            </w:r>
            <w:r>
              <w:rPr>
                <w:rFonts w:hint="eastAsia" w:ascii="仿宋" w:hAnsi="仿宋" w:eastAsia="仿宋" w:cs="仿宋"/>
                <w:color w:val="auto"/>
                <w:szCs w:val="24"/>
                <w:highlight w:val="none"/>
                <w:lang w:eastAsia="zh-CN"/>
              </w:rPr>
              <w:t>长武县教育局（长武县彭公中心幼儿园）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地    址：</w:t>
            </w:r>
            <w:r>
              <w:rPr>
                <w:rFonts w:hint="eastAsia" w:ascii="仿宋" w:hAnsi="仿宋" w:eastAsia="仿宋" w:cs="仿宋"/>
                <w:color w:val="auto"/>
                <w:szCs w:val="24"/>
                <w:highlight w:val="none"/>
                <w:lang w:eastAsia="zh-CN"/>
              </w:rPr>
              <w:t>长武县彭公镇街道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rPr>
              <w:t>联系方式：</w:t>
            </w:r>
            <w:r>
              <w:rPr>
                <w:rFonts w:hint="eastAsia" w:ascii="仿宋" w:hAnsi="仿宋" w:eastAsia="仿宋" w:cs="仿宋"/>
                <w:color w:val="auto"/>
                <w:szCs w:val="24"/>
                <w:highlight w:val="none"/>
                <w:lang w:eastAsia="zh-CN"/>
              </w:rPr>
              <w:t>029-34331011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2</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采购代理机构</w:t>
            </w:r>
          </w:p>
        </w:tc>
        <w:tc>
          <w:tcPr>
            <w:tcW w:w="6336" w:type="dxa"/>
          </w:tcPr>
          <w:p>
            <w:pPr>
              <w:spacing w:line="560" w:lineRule="exact"/>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名  称：</w:t>
            </w:r>
            <w:r>
              <w:rPr>
                <w:rFonts w:hint="eastAsia" w:ascii="仿宋" w:hAnsi="仿宋" w:eastAsia="仿宋" w:cs="仿宋"/>
                <w:color w:val="auto"/>
                <w:szCs w:val="24"/>
                <w:highlight w:val="none"/>
                <w:lang w:eastAsia="zh-CN"/>
              </w:rPr>
              <w:t>华招广和项目管理有限公司</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地  址：西安市朱雀大街南段1号汇成天玺C座18层</w:t>
            </w:r>
          </w:p>
          <w:p>
            <w:pPr>
              <w:spacing w:line="560" w:lineRule="exact"/>
              <w:rPr>
                <w:rFonts w:hint="eastAsia" w:ascii="仿宋" w:hAnsi="仿宋" w:eastAsia="仿宋" w:cs="仿宋"/>
                <w:color w:val="auto"/>
                <w:szCs w:val="24"/>
                <w:highlight w:val="none"/>
                <w:u w:val="wavyHeavy" w:color="FF0000"/>
                <w:lang w:eastAsia="zh-CN"/>
              </w:rPr>
            </w:pPr>
            <w:r>
              <w:rPr>
                <w:rFonts w:hint="eastAsia" w:ascii="仿宋" w:hAnsi="仿宋" w:eastAsia="仿宋" w:cs="仿宋"/>
                <w:color w:val="auto"/>
                <w:szCs w:val="24"/>
                <w:highlight w:val="none"/>
              </w:rPr>
              <w:t>联系人：</w:t>
            </w:r>
            <w:r>
              <w:rPr>
                <w:rFonts w:hint="eastAsia" w:ascii="仿宋" w:hAnsi="仿宋" w:eastAsia="仿宋" w:cs="仿宋"/>
                <w:color w:val="auto"/>
                <w:szCs w:val="24"/>
                <w:highlight w:val="none"/>
                <w:lang w:eastAsia="zh-CN"/>
              </w:rPr>
              <w:t>党工</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联系方式：029-87592321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监督管理机构</w:t>
            </w:r>
          </w:p>
        </w:tc>
        <w:tc>
          <w:tcPr>
            <w:tcW w:w="6336" w:type="dxa"/>
          </w:tcPr>
          <w:p>
            <w:pPr>
              <w:spacing w:line="560" w:lineRule="exact"/>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长武县财政局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4</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项目名称</w:t>
            </w:r>
          </w:p>
        </w:tc>
        <w:tc>
          <w:tcPr>
            <w:tcW w:w="6336" w:type="dxa"/>
          </w:tcPr>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lang w:eastAsia="zh-CN"/>
              </w:rPr>
              <w:t>长武县彭公中心幼儿园部室提升改造设施设备采购项目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5</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项目编号</w:t>
            </w:r>
          </w:p>
        </w:tc>
        <w:tc>
          <w:tcPr>
            <w:tcW w:w="6336" w:type="dxa"/>
          </w:tcPr>
          <w:p>
            <w:pPr>
              <w:spacing w:line="560" w:lineRule="exact"/>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HZGH-2023-026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6</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资金性质</w:t>
            </w:r>
          </w:p>
        </w:tc>
        <w:tc>
          <w:tcPr>
            <w:tcW w:w="6336" w:type="dxa"/>
          </w:tcPr>
          <w:p>
            <w:pPr>
              <w:spacing w:line="560" w:lineRule="exact"/>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财政划拨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7</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项目预算</w:t>
            </w:r>
          </w:p>
        </w:tc>
        <w:tc>
          <w:tcPr>
            <w:tcW w:w="6336" w:type="dxa"/>
          </w:tcPr>
          <w:p>
            <w:pPr>
              <w:spacing w:line="560" w:lineRule="exact"/>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714811.26元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8</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项目用途</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长武县彭公镇中心幼儿园部室提升改造设施设备采购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9</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采购内容和要求</w:t>
            </w:r>
          </w:p>
        </w:tc>
        <w:tc>
          <w:tcPr>
            <w:tcW w:w="6336" w:type="dxa"/>
            <w:vAlign w:val="top"/>
          </w:tcPr>
          <w:p>
            <w:pPr>
              <w:pStyle w:val="38"/>
              <w:spacing w:line="560" w:lineRule="exact"/>
              <w:ind w:firstLine="0" w:firstLineChars="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长武县彭公镇中心幼儿园部室提升改造设施设备采购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10</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投标人</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响应</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"http://baike.baidu.com/view/8707.htm" \t "_blank"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招标</w:t>
            </w:r>
            <w:r>
              <w:rPr>
                <w:rFonts w:hint="eastAsia" w:ascii="仿宋" w:hAnsi="仿宋" w:eastAsia="仿宋" w:cs="仿宋"/>
                <w:color w:val="auto"/>
                <w:szCs w:val="24"/>
                <w:highlight w:val="none"/>
              </w:rPr>
              <w:fldChar w:fldCharType="end"/>
            </w:r>
            <w:r>
              <w:rPr>
                <w:rFonts w:hint="eastAsia" w:ascii="仿宋" w:hAnsi="仿宋" w:eastAsia="仿宋" w:cs="仿宋"/>
                <w:color w:val="auto"/>
                <w:szCs w:val="24"/>
                <w:highlight w:val="none"/>
              </w:rPr>
              <w:t>并且符合招标文件规定资格条件和参加投标竞争的法人或其他组织。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1</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投标人资格要求</w:t>
            </w:r>
          </w:p>
        </w:tc>
        <w:tc>
          <w:tcPr>
            <w:tcW w:w="6336" w:type="dxa"/>
          </w:tcPr>
          <w:p>
            <w:pPr>
              <w:pStyle w:val="38"/>
              <w:wordWrap w:val="0"/>
              <w:topLinePunct/>
              <w:spacing w:line="520" w:lineRule="exact"/>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（1）基本资格条件：符合《中华人民共和国政府采购法》第二十二条的规定：</w:t>
            </w:r>
          </w:p>
          <w:p>
            <w:pPr>
              <w:pStyle w:val="38"/>
              <w:wordWrap w:val="0"/>
              <w:topLinePunct/>
              <w:spacing w:line="5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1、具有独立承担民事责任能力的法人、其他组织或自然人，并出具合法有效的营业执照或事业单位法人证书等国家规定的相关证明，自然人参与的提供其身份证明。  </w:t>
            </w:r>
          </w:p>
          <w:p>
            <w:pPr>
              <w:pStyle w:val="38"/>
              <w:wordWrap w:val="0"/>
              <w:topLinePunct/>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财务状况报告：提供具有财务审计资质单位出具的2021年度或2022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8"/>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3、税收缴纳证明：</w:t>
            </w:r>
            <w:r>
              <w:rPr>
                <w:rFonts w:hint="eastAsia" w:ascii="仿宋" w:hAnsi="仿宋" w:eastAsia="仿宋" w:cs="仿宋"/>
                <w:color w:val="auto"/>
                <w:sz w:val="24"/>
                <w:highlight w:val="none"/>
                <w:lang w:eastAsia="zh-CN"/>
              </w:rPr>
              <w:t>提供2022年1月1日至今任意一个月已缴纳的纳税证明或完税证明（包含增值税、企业所得税、营业税至少一种）；（依法免税的投标人应提供相关文件证明）</w:t>
            </w:r>
            <w:r>
              <w:rPr>
                <w:rFonts w:hint="eastAsia" w:ascii="仿宋" w:hAnsi="仿宋" w:eastAsia="仿宋" w:cs="仿宋"/>
                <w:color w:val="auto"/>
                <w:sz w:val="24"/>
                <w:highlight w:val="none"/>
              </w:rPr>
              <w:t>。</w:t>
            </w:r>
          </w:p>
          <w:p>
            <w:pPr>
              <w:pStyle w:val="38"/>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4、社会保障资金缴纳证明：</w:t>
            </w:r>
            <w:r>
              <w:rPr>
                <w:rFonts w:hint="eastAsia" w:ascii="仿宋" w:hAnsi="仿宋" w:eastAsia="仿宋" w:cs="仿宋"/>
                <w:color w:val="auto"/>
                <w:sz w:val="24"/>
                <w:highlight w:val="none"/>
                <w:lang w:eastAsia="zh-CN"/>
              </w:rPr>
              <w:t>提供2022年1月1日至今任意一个月的社保缴费凭据或社保机构开具的社会保险参保缴费情况证明</w:t>
            </w:r>
            <w:r>
              <w:rPr>
                <w:rFonts w:hint="eastAsia" w:ascii="仿宋" w:hAnsi="仿宋" w:eastAsia="仿宋" w:cs="仿宋"/>
                <w:color w:val="auto"/>
                <w:sz w:val="24"/>
                <w:highlight w:val="none"/>
              </w:rPr>
              <w:t xml:space="preserve">；（依法不需要缴纳社会保障资金的投标人应提供相关证明）。 </w:t>
            </w:r>
          </w:p>
          <w:p>
            <w:pPr>
              <w:pStyle w:val="38"/>
              <w:wordWrap w:val="0"/>
              <w:topLinePunct/>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5、提供具有履行本合同所必需的设备和专业技术能力的说明及承诺；（格式自拟，加盖投标人公章）</w:t>
            </w:r>
          </w:p>
          <w:p>
            <w:pPr>
              <w:pStyle w:val="38"/>
              <w:wordWrap w:val="0"/>
              <w:topLinePunct/>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6、提供参加政府采购活动前三年内在经营活动中没有重大违法记录的书面声明。（格式自拟，加盖投标人公章）</w:t>
            </w:r>
          </w:p>
          <w:p>
            <w:pPr>
              <w:pStyle w:val="38"/>
              <w:wordWrap w:val="0"/>
              <w:topLinePunct/>
              <w:spacing w:line="5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（2）、特定资格条件：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2、被授权人参与投标时需提供法定代表人或负责人授权委托书（附法定代表人或负责人及被授权人身份证复印件）；（被授权人须提供身份证原件，身份证原件可由本人持有）</w:t>
            </w:r>
          </w:p>
          <w:p>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3、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r>
              <w:rPr>
                <w:rFonts w:hint="eastAsia" w:ascii="仿宋" w:hAnsi="仿宋" w:eastAsia="仿宋" w:cs="仿宋"/>
                <w:color w:val="auto"/>
                <w:szCs w:val="24"/>
                <w:highlight w:val="none"/>
                <w:lang w:eastAsia="zh-CN"/>
              </w:rPr>
              <w:t>。</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、单位负责人为同一人或者存在直接控股、管理关系的不同投标人，不得参加同一合同项下的政府采购活动；（提供书面承诺函，格式自拟加盖投标人公章）</w:t>
            </w:r>
            <w:r>
              <w:rPr>
                <w:rFonts w:hint="eastAsia" w:ascii="仿宋" w:hAnsi="仿宋" w:eastAsia="仿宋" w:cs="仿宋"/>
                <w:color w:val="auto"/>
                <w:szCs w:val="24"/>
                <w:highlight w:val="none"/>
                <w:lang w:eastAsia="zh-CN"/>
              </w:rPr>
              <w:t>。</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2</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交货期、交货地点</w:t>
            </w:r>
          </w:p>
        </w:tc>
        <w:tc>
          <w:tcPr>
            <w:tcW w:w="6336" w:type="dxa"/>
            <w:vAlign w:val="top"/>
          </w:tcPr>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Cs w:val="24"/>
                <w:highlight w:val="none"/>
              </w:rPr>
              <w:t>交 货 期：</w:t>
            </w:r>
            <w:r>
              <w:rPr>
                <w:rFonts w:hint="eastAsia" w:ascii="仿宋" w:hAnsi="仿宋" w:eastAsia="仿宋" w:cs="仿宋"/>
                <w:color w:val="auto"/>
                <w:szCs w:val="24"/>
                <w:highlight w:val="none"/>
                <w:lang w:eastAsia="zh-CN"/>
              </w:rPr>
              <w:t>自合同签订之日起30个日历日内交付完毕</w:t>
            </w:r>
            <w:r>
              <w:rPr>
                <w:rFonts w:hint="eastAsia" w:ascii="仿宋" w:hAnsi="仿宋" w:eastAsia="仿宋" w:cs="仿宋"/>
                <w:color w:val="auto"/>
                <w:szCs w:val="24"/>
                <w:highlight w:val="none"/>
              </w:rPr>
              <w:t>。</w:t>
            </w:r>
          </w:p>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交货地点：</w:t>
            </w:r>
            <w:r>
              <w:rPr>
                <w:rFonts w:hint="eastAsia" w:ascii="仿宋" w:hAnsi="仿宋" w:eastAsia="仿宋" w:cs="仿宋"/>
                <w:color w:val="auto"/>
                <w:szCs w:val="24"/>
                <w:highlight w:val="none"/>
                <w:lang w:eastAsia="zh-CN"/>
              </w:rPr>
              <w:t>长武县教育局</w:t>
            </w:r>
            <w:r>
              <w:rPr>
                <w:rFonts w:hint="eastAsia" w:ascii="仿宋" w:hAnsi="仿宋" w:eastAsia="仿宋" w:cs="仿宋"/>
                <w:color w:val="auto"/>
                <w:szCs w:val="24"/>
                <w:highlight w:val="none"/>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3</w:t>
            </w:r>
          </w:p>
        </w:tc>
        <w:tc>
          <w:tcPr>
            <w:tcW w:w="2411" w:type="dxa"/>
            <w:vAlign w:val="center"/>
          </w:tcPr>
          <w:p>
            <w:pPr>
              <w:spacing w:line="560" w:lineRule="exact"/>
              <w:jc w:val="center"/>
              <w:rPr>
                <w:rFonts w:hint="eastAsia" w:ascii="仿宋" w:hAnsi="仿宋" w:eastAsia="仿宋" w:cs="仿宋"/>
                <w:color w:val="auto"/>
                <w:kern w:val="2"/>
                <w:sz w:val="24"/>
                <w:szCs w:val="24"/>
                <w:highlight w:val="none"/>
                <w:u w:val="wavyHeavy" w:color="5B9BD5" w:themeColor="accent1"/>
                <w:lang w:val="en-US" w:eastAsia="zh-CN" w:bidi="ar-SA"/>
              </w:rPr>
            </w:pPr>
            <w:r>
              <w:rPr>
                <w:rFonts w:hint="eastAsia" w:ascii="仿宋" w:hAnsi="仿宋" w:eastAsia="仿宋" w:cs="仿宋"/>
                <w:color w:val="auto"/>
                <w:szCs w:val="24"/>
                <w:highlight w:val="none"/>
              </w:rPr>
              <w:t>招标文件发售</w:t>
            </w:r>
          </w:p>
        </w:tc>
        <w:tc>
          <w:tcPr>
            <w:tcW w:w="6336" w:type="dxa"/>
            <w:vAlign w:val="top"/>
          </w:tcPr>
          <w:p>
            <w:pPr>
              <w:pStyle w:val="39"/>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发售时间：20</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28</w:t>
            </w:r>
            <w:r>
              <w:rPr>
                <w:rFonts w:hint="eastAsia" w:ascii="仿宋" w:hAnsi="仿宋" w:eastAsia="仿宋" w:cs="仿宋"/>
                <w:color w:val="auto"/>
                <w:sz w:val="24"/>
                <w:szCs w:val="24"/>
                <w:highlight w:val="none"/>
              </w:rPr>
              <w:t>日至20</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日上午9:00-12:00，下午2:00-5:</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时止（节假日除外）。</w:t>
            </w:r>
          </w:p>
          <w:p>
            <w:pPr>
              <w:pStyle w:val="39"/>
              <w:spacing w:line="56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发售地点：</w:t>
            </w:r>
            <w:r>
              <w:rPr>
                <w:rFonts w:hint="eastAsia" w:ascii="仿宋" w:hAnsi="仿宋" w:eastAsia="仿宋" w:cs="仿宋"/>
                <w:color w:val="auto"/>
                <w:sz w:val="24"/>
                <w:szCs w:val="24"/>
                <w:highlight w:val="none"/>
                <w:lang w:eastAsia="zh-CN"/>
              </w:rPr>
              <w:t>华招广和项目管理有限公司</w:t>
            </w:r>
            <w:r>
              <w:rPr>
                <w:rFonts w:hint="eastAsia" w:ascii="仿宋" w:hAnsi="仿宋" w:eastAsia="仿宋" w:cs="仿宋"/>
                <w:color w:val="auto"/>
                <w:sz w:val="24"/>
                <w:szCs w:val="24"/>
                <w:highlight w:val="none"/>
              </w:rPr>
              <w:t>招标部（西安市朱雀大街南段1号汇成天玺C座18层1812室）。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4</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联合体投标</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5</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现场勘查、标前答疑会</w:t>
            </w:r>
          </w:p>
        </w:tc>
        <w:tc>
          <w:tcPr>
            <w:tcW w:w="6336" w:type="dxa"/>
            <w:vAlign w:val="center"/>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不统一组织。投标人认为有必要可自行勘查，并承担所有费用及风险。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6</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投标人对招标文件提出质疑的时间</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投标人认为招标文件使自己的权益受到损害的，在收到采购文件之日起七个工作日内以书面形式向采购代理机构提出质疑，逾期提出的无效，因此带来的一切不利后果由投标人自负。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7</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构成招标文件的其他文件</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8</w:t>
            </w:r>
          </w:p>
        </w:tc>
        <w:tc>
          <w:tcPr>
            <w:tcW w:w="2411" w:type="dxa"/>
            <w:vAlign w:val="center"/>
          </w:tcPr>
          <w:p>
            <w:pPr>
              <w:pStyle w:val="39"/>
              <w:spacing w:line="560" w:lineRule="exact"/>
              <w:rPr>
                <w:rFonts w:hint="eastAsia" w:ascii="仿宋" w:hAnsi="仿宋" w:eastAsia="仿宋" w:cs="仿宋"/>
                <w:color w:val="auto"/>
                <w:sz w:val="24"/>
                <w:szCs w:val="24"/>
                <w:highlight w:val="none"/>
                <w:u w:val="wavyHeavy" w:color="FF0000"/>
              </w:rPr>
            </w:pPr>
          </w:p>
          <w:p>
            <w:pPr>
              <w:pStyle w:val="39"/>
              <w:spacing w:line="560" w:lineRule="exac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sz w:val="24"/>
                <w:szCs w:val="24"/>
                <w:highlight w:val="none"/>
              </w:rPr>
              <w:t>投标文件递交截止时间及开标时间和地点</w:t>
            </w:r>
          </w:p>
        </w:tc>
        <w:tc>
          <w:tcPr>
            <w:tcW w:w="6336" w:type="dxa"/>
            <w:vAlign w:val="top"/>
          </w:tcPr>
          <w:p>
            <w:pPr>
              <w:pStyle w:val="39"/>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1、投标文件递交截止时间：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lang w:eastAsia="zh-CN"/>
              </w:rPr>
              <w:t>日14:</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rPr>
              <w:t xml:space="preserve"> </w:t>
            </w:r>
          </w:p>
          <w:p>
            <w:pPr>
              <w:pStyle w:val="39"/>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2、投标地点：</w:t>
            </w:r>
            <w:r>
              <w:rPr>
                <w:rFonts w:hint="eastAsia" w:ascii="仿宋" w:hAnsi="仿宋" w:eastAsia="仿宋" w:cs="仿宋"/>
                <w:color w:val="auto"/>
                <w:sz w:val="24"/>
                <w:szCs w:val="24"/>
                <w:highlight w:val="none"/>
                <w:lang w:eastAsia="zh-CN"/>
              </w:rPr>
              <w:t>华招广和项目管理有限公司</w:t>
            </w:r>
            <w:r>
              <w:rPr>
                <w:rFonts w:hint="eastAsia" w:ascii="仿宋" w:hAnsi="仿宋" w:eastAsia="仿宋" w:cs="仿宋"/>
                <w:color w:val="auto"/>
                <w:sz w:val="24"/>
                <w:szCs w:val="24"/>
                <w:highlight w:val="none"/>
              </w:rPr>
              <w:t>会议室（西安市朱雀大街南段1号汇成天玺C座18层1818室）</w:t>
            </w:r>
          </w:p>
          <w:p>
            <w:pPr>
              <w:pStyle w:val="38"/>
              <w:spacing w:line="560" w:lineRule="exact"/>
              <w:ind w:firstLine="0" w:firstLineChars="0"/>
              <w:rPr>
                <w:rFonts w:hint="eastAsia" w:ascii="仿宋" w:hAnsi="仿宋" w:eastAsia="仿宋" w:cs="仿宋"/>
                <w:b/>
                <w:color w:val="auto"/>
                <w:sz w:val="18"/>
                <w:szCs w:val="18"/>
                <w:highlight w:val="none"/>
                <w:lang w:eastAsia="zh-CN"/>
              </w:rPr>
            </w:pPr>
            <w:r>
              <w:rPr>
                <w:rFonts w:hint="eastAsia" w:ascii="仿宋" w:hAnsi="仿宋" w:eastAsia="仿宋" w:cs="仿宋"/>
                <w:color w:val="auto"/>
                <w:sz w:val="24"/>
                <w:szCs w:val="24"/>
                <w:highlight w:val="none"/>
              </w:rPr>
              <w:t>3、开标时间：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lang w:eastAsia="zh-CN"/>
              </w:rPr>
              <w:t>日14:</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0</w:t>
            </w:r>
          </w:p>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4、开标地点：</w:t>
            </w:r>
            <w:r>
              <w:rPr>
                <w:rFonts w:hint="eastAsia" w:ascii="仿宋" w:hAnsi="仿宋" w:eastAsia="仿宋" w:cs="仿宋"/>
                <w:color w:val="auto"/>
                <w:szCs w:val="24"/>
                <w:highlight w:val="none"/>
                <w:lang w:eastAsia="zh-CN"/>
              </w:rPr>
              <w:t>华招广和项目管理有限公司</w:t>
            </w:r>
            <w:r>
              <w:rPr>
                <w:rFonts w:hint="eastAsia" w:ascii="仿宋" w:hAnsi="仿宋" w:eastAsia="仿宋" w:cs="仿宋"/>
                <w:color w:val="auto"/>
                <w:szCs w:val="24"/>
                <w:highlight w:val="none"/>
              </w:rPr>
              <w:t>会议室（西安市朱雀大街南段1号汇成天玺C座18层1818室）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9</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投标有效期</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20</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投标担保</w:t>
            </w:r>
          </w:p>
        </w:tc>
        <w:tc>
          <w:tcPr>
            <w:tcW w:w="6336" w:type="dxa"/>
            <w:vAlign w:val="top"/>
          </w:tcPr>
          <w:p>
            <w:pPr>
              <w:pStyle w:val="11"/>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1</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汇款账户</w:t>
            </w:r>
          </w:p>
        </w:tc>
        <w:tc>
          <w:tcPr>
            <w:tcW w:w="6336" w:type="dxa"/>
            <w:vAlign w:val="top"/>
          </w:tcPr>
          <w:p>
            <w:pPr>
              <w:pStyle w:val="38"/>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中国</w:t>
            </w:r>
            <w:r>
              <w:rPr>
                <w:rFonts w:hint="eastAsia" w:ascii="仿宋" w:hAnsi="仿宋" w:eastAsia="仿宋" w:cs="仿宋"/>
                <w:color w:val="auto"/>
                <w:sz w:val="24"/>
                <w:szCs w:val="24"/>
                <w:highlight w:val="none"/>
                <w:lang w:eastAsia="zh-CN"/>
              </w:rPr>
              <w:t>建设</w:t>
            </w:r>
            <w:r>
              <w:rPr>
                <w:rFonts w:hint="eastAsia" w:ascii="仿宋" w:hAnsi="仿宋" w:eastAsia="仿宋" w:cs="仿宋"/>
                <w:color w:val="auto"/>
                <w:sz w:val="24"/>
                <w:szCs w:val="24"/>
                <w:highlight w:val="none"/>
              </w:rPr>
              <w:t>银行：</w:t>
            </w:r>
            <w:r>
              <w:rPr>
                <w:rFonts w:hint="eastAsia" w:ascii="仿宋" w:hAnsi="仿宋" w:eastAsia="仿宋" w:cs="仿宋"/>
                <w:b w:val="0"/>
                <w:bCs w:val="0"/>
                <w:color w:val="auto"/>
                <w:sz w:val="24"/>
                <w:szCs w:val="24"/>
                <w:highlight w:val="none"/>
              </w:rPr>
              <w:t>招标服务费</w:t>
            </w:r>
            <w:r>
              <w:rPr>
                <w:rFonts w:hint="eastAsia" w:ascii="仿宋" w:hAnsi="仿宋" w:eastAsia="仿宋" w:cs="仿宋"/>
                <w:color w:val="auto"/>
                <w:sz w:val="24"/>
                <w:szCs w:val="24"/>
                <w:highlight w:val="none"/>
                <w:lang w:eastAsia="zh-CN"/>
              </w:rPr>
              <w:t>（交纳账户）</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华招广和项目管理有限公司</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lang w:eastAsia="zh-CN"/>
              </w:rPr>
              <w:t>中国建设银行股份有限公司西安金泰假日花城支行</w:t>
            </w:r>
          </w:p>
          <w:p>
            <w:pPr>
              <w:pStyle w:val="38"/>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帐  号：</w:t>
            </w:r>
            <w:r>
              <w:rPr>
                <w:rFonts w:hint="eastAsia" w:ascii="仿宋" w:hAnsi="仿宋" w:eastAsia="仿宋" w:cs="仿宋"/>
                <w:color w:val="auto"/>
                <w:sz w:val="24"/>
                <w:szCs w:val="24"/>
                <w:highlight w:val="none"/>
                <w:lang w:val="en-US" w:eastAsia="zh-CN"/>
              </w:rPr>
              <w:t>6105 0186 5800 0000 0059</w:t>
            </w:r>
          </w:p>
          <w:p>
            <w:pPr>
              <w:pStyle w:val="38"/>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p>
          <w:p>
            <w:pPr>
              <w:pStyle w:val="38"/>
              <w:spacing w:line="560" w:lineRule="exact"/>
              <w:ind w:firstLine="0" w:firstLineChars="0"/>
              <w:rPr>
                <w:rFonts w:hint="eastAsia" w:ascii="仿宋" w:hAnsi="仿宋" w:eastAsia="仿宋" w:cs="仿宋"/>
                <w:color w:val="auto"/>
                <w:sz w:val="24"/>
                <w:szCs w:val="24"/>
                <w:highlight w:val="none"/>
                <w:lang w:val="en-US" w:eastAsia="zh-CN" w:bidi="ar-SA"/>
              </w:rPr>
            </w:pPr>
            <w:r>
              <w:rPr>
                <w:rFonts w:hint="eastAsia" w:ascii="仿宋" w:hAnsi="仿宋" w:eastAsia="仿宋" w:cs="仿宋"/>
                <w:b/>
                <w:color w:val="auto"/>
                <w:sz w:val="24"/>
                <w:szCs w:val="24"/>
                <w:highlight w:val="none"/>
              </w:rPr>
              <w:t>注:招标服务费通过对公账户以转账形式交纳。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2</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备选投标方案</w:t>
            </w:r>
          </w:p>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和报价</w:t>
            </w:r>
          </w:p>
        </w:tc>
        <w:tc>
          <w:tcPr>
            <w:tcW w:w="6336" w:type="dxa"/>
            <w:vAlign w:val="center"/>
          </w:tcPr>
          <w:p>
            <w:pPr>
              <w:tabs>
                <w:tab w:val="left" w:pos="7013"/>
              </w:tabs>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3</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盖章签字</w:t>
            </w:r>
          </w:p>
        </w:tc>
        <w:tc>
          <w:tcPr>
            <w:tcW w:w="6336" w:type="dxa"/>
            <w:vAlign w:val="center"/>
          </w:tcPr>
          <w:p>
            <w:pPr>
              <w:tabs>
                <w:tab w:val="left" w:pos="7013"/>
              </w:tabs>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人必须按照招标文件的规定和要求在投标文件中指定的页面落款处加盖公章（鲜章）并由法定代表人或被授权人签字（或盖章），否则将作为无效投标处理。招标文件凡是要求法定代表人签字或盖章之处，非法人单位的负责人均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4</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投标文件数量、装订</w:t>
            </w:r>
          </w:p>
        </w:tc>
        <w:tc>
          <w:tcPr>
            <w:tcW w:w="6336" w:type="dxa"/>
            <w:vAlign w:val="center"/>
          </w:tcPr>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eastAsia="zh-CN"/>
              </w:rPr>
              <w:t>密封要求：</w:t>
            </w:r>
            <w:r>
              <w:rPr>
                <w:rFonts w:hint="eastAsia" w:ascii="仿宋" w:hAnsi="仿宋" w:eastAsia="仿宋" w:cs="仿宋"/>
                <w:color w:val="auto"/>
                <w:szCs w:val="24"/>
                <w:highlight w:val="none"/>
              </w:rPr>
              <w:t>投标时，投标人应自行将投标文件密封完好（封袋不得有破损）。标袋上应写明项目名称、项目编号、投标人名称及“正本”、“副本”、“开标一览表”字样，并在密封条接缝处加盖单位公章（鲜章）和法定代表人或被授权人签字(或盖章）；</w:t>
            </w:r>
          </w:p>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eastAsia="zh-CN"/>
              </w:rPr>
              <w:t>装订要求：</w:t>
            </w:r>
            <w:r>
              <w:rPr>
                <w:rFonts w:hint="eastAsia" w:ascii="仿宋" w:hAnsi="仿宋" w:eastAsia="仿宋" w:cs="仿宋"/>
                <w:color w:val="auto"/>
                <w:szCs w:val="24"/>
                <w:highlight w:val="none"/>
              </w:rPr>
              <w:t>投标文件一律采用书籍（胶装）方式装订</w:t>
            </w:r>
            <w:r>
              <w:rPr>
                <w:rFonts w:hint="eastAsia" w:ascii="仿宋" w:hAnsi="仿宋" w:eastAsia="仿宋" w:cs="仿宋"/>
                <w:color w:val="auto"/>
                <w:szCs w:val="24"/>
                <w:highlight w:val="none"/>
                <w:lang w:eastAsia="zh-CN"/>
              </w:rPr>
              <w:t>，在投标文件书脊处写明项目名称、项目编号及投标人名称</w:t>
            </w:r>
            <w:r>
              <w:rPr>
                <w:rFonts w:hint="eastAsia" w:ascii="仿宋" w:hAnsi="仿宋" w:eastAsia="仿宋" w:cs="仿宋"/>
                <w:color w:val="auto"/>
                <w:szCs w:val="24"/>
                <w:highlight w:val="none"/>
              </w:rPr>
              <w:t>。投标文件正本一份，副本四份，电子</w:t>
            </w:r>
            <w:r>
              <w:rPr>
                <w:rFonts w:hint="eastAsia" w:ascii="仿宋" w:hAnsi="仿宋" w:eastAsia="仿宋" w:cs="仿宋"/>
                <w:color w:val="auto"/>
                <w:szCs w:val="24"/>
                <w:highlight w:val="none"/>
                <w:lang w:val="en-US" w:eastAsia="zh-CN"/>
              </w:rPr>
              <w:t>文件</w:t>
            </w:r>
            <w:r>
              <w:rPr>
                <w:rFonts w:hint="eastAsia" w:ascii="仿宋" w:hAnsi="仿宋" w:eastAsia="仿宋" w:cs="仿宋"/>
                <w:color w:val="auto"/>
                <w:szCs w:val="24"/>
                <w:highlight w:val="none"/>
              </w:rPr>
              <w:t>一份（</w:t>
            </w:r>
            <w:r>
              <w:rPr>
                <w:rFonts w:hint="eastAsia" w:ascii="仿宋" w:hAnsi="仿宋" w:eastAsia="仿宋" w:cs="仿宋"/>
                <w:color w:val="auto"/>
                <w:szCs w:val="24"/>
                <w:highlight w:val="none"/>
                <w:lang w:eastAsia="zh-CN"/>
              </w:rPr>
              <w:t>用</w:t>
            </w:r>
            <w:r>
              <w:rPr>
                <w:rFonts w:hint="eastAsia" w:ascii="仿宋" w:hAnsi="仿宋" w:eastAsia="仿宋" w:cs="仿宋"/>
                <w:color w:val="auto"/>
                <w:szCs w:val="24"/>
                <w:highlight w:val="none"/>
              </w:rPr>
              <w:t>U盘或移动硬盘</w:t>
            </w:r>
            <w:r>
              <w:rPr>
                <w:rFonts w:hint="eastAsia" w:ascii="仿宋" w:hAnsi="仿宋" w:eastAsia="仿宋" w:cs="仿宋"/>
                <w:color w:val="auto"/>
                <w:szCs w:val="24"/>
                <w:highlight w:val="none"/>
                <w:lang w:eastAsia="zh-CN"/>
              </w:rPr>
              <w:t>拷贝</w:t>
            </w:r>
            <w:r>
              <w:rPr>
                <w:rFonts w:hint="eastAsia" w:ascii="仿宋" w:hAnsi="仿宋" w:eastAsia="仿宋" w:cs="仿宋"/>
                <w:color w:val="auto"/>
                <w:szCs w:val="24"/>
                <w:highlight w:val="none"/>
              </w:rPr>
              <w:t>），电子版投标文件提供投标文件正本的word版本及PDF版本（PDF文件为完整签字、盖章的正本扫描件）</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“开标一览表”一份。纸质投标文件均须A4纸打印</w:t>
            </w:r>
            <w:r>
              <w:rPr>
                <w:rFonts w:hint="eastAsia" w:ascii="仿宋" w:hAnsi="仿宋" w:eastAsia="仿宋" w:cs="仿宋"/>
                <w:color w:val="auto"/>
                <w:szCs w:val="24"/>
                <w:highlight w:val="none"/>
                <w:lang w:eastAsia="zh-CN"/>
              </w:rPr>
              <w:t>（提倡双面打印）</w:t>
            </w:r>
            <w:r>
              <w:rPr>
                <w:rFonts w:hint="eastAsia" w:ascii="仿宋" w:hAnsi="仿宋" w:eastAsia="仿宋" w:cs="仿宋"/>
                <w:color w:val="auto"/>
                <w:szCs w:val="24"/>
                <w:highlight w:val="none"/>
              </w:rPr>
              <w:t>，分别各自装订成册并编制目录和页码。电子</w:t>
            </w:r>
            <w:r>
              <w:rPr>
                <w:rFonts w:hint="eastAsia" w:ascii="仿宋" w:hAnsi="仿宋" w:eastAsia="仿宋" w:cs="仿宋"/>
                <w:color w:val="auto"/>
                <w:szCs w:val="24"/>
                <w:highlight w:val="none"/>
                <w:lang w:eastAsia="zh-CN"/>
              </w:rPr>
              <w:t>文件</w:t>
            </w:r>
            <w:r>
              <w:rPr>
                <w:rFonts w:hint="eastAsia" w:ascii="仿宋" w:hAnsi="仿宋" w:eastAsia="仿宋" w:cs="仿宋"/>
                <w:color w:val="auto"/>
                <w:szCs w:val="24"/>
                <w:highlight w:val="none"/>
              </w:rPr>
              <w:t>放置“开标一览表”标袋内。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5</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投标报价</w:t>
            </w:r>
          </w:p>
        </w:tc>
        <w:tc>
          <w:tcPr>
            <w:tcW w:w="6336" w:type="dxa"/>
            <w:vAlign w:val="center"/>
          </w:tcPr>
          <w:p>
            <w:pPr>
              <w:pStyle w:val="39"/>
              <w:spacing w:line="56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2"/>
                <w:sz w:val="24"/>
                <w:szCs w:val="24"/>
                <w:highlight w:val="none"/>
              </w:rPr>
              <w:t>本项目属于交钥匙项目，投标报价=设备价（含税）</w:t>
            </w:r>
            <w:r>
              <w:rPr>
                <w:rFonts w:hint="eastAsia" w:ascii="仿宋" w:hAnsi="仿宋" w:eastAsia="仿宋" w:cs="仿宋"/>
                <w:color w:val="auto"/>
                <w:kern w:val="2"/>
                <w:sz w:val="24"/>
                <w:szCs w:val="24"/>
                <w:highlight w:val="none"/>
                <w:lang w:val="en-US" w:eastAsia="zh-CN"/>
              </w:rPr>
              <w:t>+</w:t>
            </w:r>
            <w:r>
              <w:rPr>
                <w:rFonts w:hint="eastAsia" w:ascii="仿宋" w:hAnsi="仿宋" w:eastAsia="仿宋" w:cs="仿宋"/>
                <w:color w:val="auto"/>
                <w:kern w:val="2"/>
                <w:sz w:val="24"/>
                <w:szCs w:val="24"/>
                <w:highlight w:val="none"/>
              </w:rPr>
              <w:t>运输费+安装费+调试费+培训费+产品辅材费+售后服务费+保险费+</w:t>
            </w:r>
            <w:r>
              <w:rPr>
                <w:rFonts w:hint="eastAsia" w:ascii="仿宋" w:hAnsi="仿宋" w:eastAsia="仿宋" w:cs="仿宋"/>
                <w:color w:val="auto"/>
                <w:kern w:val="2"/>
                <w:sz w:val="24"/>
                <w:szCs w:val="24"/>
                <w:highlight w:val="none"/>
                <w:lang w:val="en-US" w:eastAsia="zh-CN"/>
              </w:rPr>
              <w:t>施工费+</w:t>
            </w:r>
            <w:r>
              <w:rPr>
                <w:rFonts w:hint="eastAsia" w:ascii="仿宋" w:hAnsi="仿宋" w:eastAsia="仿宋" w:cs="仿宋"/>
                <w:color w:val="auto"/>
                <w:kern w:val="2"/>
                <w:sz w:val="24"/>
                <w:szCs w:val="24"/>
                <w:highlight w:val="none"/>
              </w:rPr>
              <w:t>相关伴随费用等。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6</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评标办法及标准</w:t>
            </w:r>
          </w:p>
        </w:tc>
        <w:tc>
          <w:tcPr>
            <w:tcW w:w="6336" w:type="dxa"/>
            <w:vAlign w:val="center"/>
          </w:tcPr>
          <w:p>
            <w:pPr>
              <w:pStyle w:val="39"/>
              <w:spacing w:line="56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详见招标文件第二章。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7</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其它事项</w:t>
            </w:r>
          </w:p>
        </w:tc>
        <w:tc>
          <w:tcPr>
            <w:tcW w:w="6336" w:type="dxa"/>
            <w:vAlign w:val="center"/>
          </w:tcPr>
          <w:p>
            <w:pPr>
              <w:adjustRightInd w:val="0"/>
              <w:snapToGrid w:val="0"/>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本次采购、投标报价、评审和合同授予均以项目为单位，投标人必须就一个完整项目进行响应。中标投标人与采购人在中标通知书发出</w:t>
            </w:r>
            <w:r>
              <w:rPr>
                <w:rFonts w:hint="eastAsia" w:ascii="仿宋" w:hAnsi="仿宋" w:eastAsia="仿宋" w:cs="仿宋"/>
                <w:color w:val="auto"/>
                <w:szCs w:val="24"/>
                <w:highlight w:val="none"/>
                <w:lang w:val="en-US" w:eastAsia="zh-CN"/>
              </w:rPr>
              <w:t>25</w:t>
            </w:r>
            <w:r>
              <w:rPr>
                <w:rFonts w:hint="eastAsia" w:ascii="仿宋" w:hAnsi="仿宋" w:eastAsia="仿宋" w:cs="仿宋"/>
                <w:color w:val="auto"/>
                <w:szCs w:val="24"/>
                <w:highlight w:val="none"/>
              </w:rPr>
              <w:t>天内签订合同，不及时签订视为自动放弃。非经采购人同意，本项目不允许中标后另行转包或者分包。</w:t>
            </w:r>
            <w:r>
              <w:rPr>
                <w:rFonts w:hint="eastAsia" w:ascii="仿宋" w:hAnsi="仿宋" w:eastAsia="仿宋" w:cs="仿宋"/>
                <w:color w:val="auto"/>
                <w:kern w:val="0"/>
                <w:szCs w:val="24"/>
                <w:highlight w:val="none"/>
              </w:rPr>
              <w:t>中标人无正当理由不得放弃中标。</w:t>
            </w:r>
            <w:r>
              <w:rPr>
                <w:rFonts w:hint="eastAsia" w:ascii="仿宋" w:hAnsi="仿宋" w:eastAsia="仿宋" w:cs="仿宋"/>
                <w:color w:val="auto"/>
                <w:szCs w:val="24"/>
                <w:highlight w:val="none"/>
              </w:rPr>
              <w:t>因自身原因拒绝签订政府采购合同的或者未按合同约定进行履约的，中标人不得参加对该项目重新开展的招标活动。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Cs w:val="24"/>
                <w:highlight w:val="none"/>
              </w:rPr>
            </w:pPr>
            <w:r>
              <w:rPr>
                <w:rFonts w:hint="eastAsia" w:ascii="仿宋" w:hAnsi="仿宋" w:eastAsia="仿宋" w:cs="仿宋"/>
                <w:color w:val="auto"/>
                <w:sz w:val="24"/>
                <w:highlight w:val="none"/>
                <w:lang w:val="en-US" w:eastAsia="zh-CN"/>
              </w:rPr>
              <w:t>28</w:t>
            </w:r>
          </w:p>
        </w:tc>
        <w:tc>
          <w:tcPr>
            <w:tcW w:w="241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Cs w:val="24"/>
                <w:highlight w:val="none"/>
              </w:rPr>
            </w:pPr>
            <w:r>
              <w:rPr>
                <w:rFonts w:hint="eastAsia" w:ascii="仿宋" w:hAnsi="仿宋" w:eastAsia="仿宋" w:cs="仿宋"/>
                <w:color w:val="auto"/>
                <w:sz w:val="24"/>
                <w:highlight w:val="none"/>
                <w:lang w:val="en-US" w:eastAsia="zh-CN"/>
              </w:rPr>
              <w:t>本项目是否专门面向中小企业</w:t>
            </w:r>
          </w:p>
        </w:tc>
        <w:tc>
          <w:tcPr>
            <w:tcW w:w="6336" w:type="dxa"/>
            <w:vAlign w:val="center"/>
          </w:tcPr>
          <w:p>
            <w:pPr>
              <w:pStyle w:val="39"/>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9</w:t>
            </w:r>
          </w:p>
        </w:tc>
        <w:tc>
          <w:tcPr>
            <w:tcW w:w="2411" w:type="dxa"/>
            <w:vAlign w:val="center"/>
          </w:tcPr>
          <w:p>
            <w:pPr>
              <w:spacing w:line="560" w:lineRule="exact"/>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本项目所属行业</w:t>
            </w:r>
          </w:p>
        </w:tc>
        <w:tc>
          <w:tcPr>
            <w:tcW w:w="6336" w:type="dxa"/>
            <w:vAlign w:val="center"/>
          </w:tcPr>
          <w:p>
            <w:pPr>
              <w:adjustRightInd w:val="0"/>
              <w:snapToGrid w:val="0"/>
              <w:spacing w:line="560" w:lineRule="exact"/>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工业</w:t>
            </w:r>
          </w:p>
        </w:tc>
      </w:tr>
    </w:tbl>
    <w:p>
      <w:pPr>
        <w:pStyle w:val="4"/>
        <w:spacing w:line="56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br w:type="page"/>
      </w:r>
    </w:p>
    <w:p>
      <w:pPr>
        <w:pStyle w:val="4"/>
        <w:spacing w:line="560" w:lineRule="exact"/>
        <w:rPr>
          <w:rFonts w:hint="eastAsia" w:ascii="仿宋" w:hAnsi="仿宋" w:eastAsia="仿宋" w:cs="仿宋"/>
          <w:color w:val="auto"/>
          <w:kern w:val="0"/>
          <w:sz w:val="28"/>
          <w:szCs w:val="28"/>
          <w:highlight w:val="none"/>
        </w:rPr>
      </w:pPr>
      <w:bookmarkStart w:id="11" w:name="_Toc1429"/>
      <w:r>
        <w:rPr>
          <w:rFonts w:hint="eastAsia" w:ascii="仿宋" w:hAnsi="仿宋" w:eastAsia="仿宋" w:cs="仿宋"/>
          <w:color w:val="auto"/>
          <w:kern w:val="0"/>
          <w:sz w:val="28"/>
          <w:szCs w:val="28"/>
          <w:highlight w:val="none"/>
        </w:rPr>
        <w:t>二、项目说明</w:t>
      </w:r>
      <w:bookmarkEnd w:id="11"/>
    </w:p>
    <w:p>
      <w:pPr>
        <w:spacing w:line="560" w:lineRule="exact"/>
        <w:ind w:firstLine="57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1、本项目说明详见投标人须知前附表。</w:t>
      </w:r>
      <w:bookmarkStart w:id="12" w:name="_Toc458617455"/>
      <w:bookmarkStart w:id="13" w:name="_Toc458617732"/>
    </w:p>
    <w:p>
      <w:pPr>
        <w:spacing w:line="560" w:lineRule="exact"/>
        <w:ind w:firstLine="57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2、本项目按照《中华人民共和国政府采购法》等有关法律、行政法规和部门规章，通过公开招标方式择优选定中标人。</w:t>
      </w:r>
    </w:p>
    <w:bookmarkEnd w:id="12"/>
    <w:bookmarkEnd w:id="13"/>
    <w:p>
      <w:pPr>
        <w:pStyle w:val="4"/>
        <w:spacing w:line="560" w:lineRule="exact"/>
        <w:rPr>
          <w:rFonts w:hint="eastAsia" w:ascii="仿宋" w:hAnsi="仿宋" w:eastAsia="仿宋" w:cs="仿宋"/>
          <w:color w:val="auto"/>
          <w:kern w:val="0"/>
          <w:sz w:val="28"/>
          <w:szCs w:val="28"/>
          <w:highlight w:val="none"/>
        </w:rPr>
      </w:pPr>
      <w:bookmarkStart w:id="14" w:name="_Toc19356"/>
      <w:bookmarkStart w:id="15" w:name="_Toc458617456"/>
      <w:bookmarkStart w:id="16" w:name="_Toc458617733"/>
      <w:r>
        <w:rPr>
          <w:rFonts w:hint="eastAsia" w:ascii="仿宋" w:hAnsi="仿宋" w:eastAsia="仿宋" w:cs="仿宋"/>
          <w:color w:val="auto"/>
          <w:kern w:val="0"/>
          <w:sz w:val="28"/>
          <w:szCs w:val="28"/>
          <w:highlight w:val="none"/>
        </w:rPr>
        <w:t>三、招标文件</w:t>
      </w:r>
      <w:bookmarkEnd w:id="14"/>
      <w:bookmarkEnd w:id="15"/>
      <w:bookmarkEnd w:id="16"/>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1、招标文件购买：投标人须经过正常渠道购买招标文件，且投标人名称与登记领取招标文件的单位名称一致，否则将作为无效投标处理。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2、招标文件的组成：包括目录中所列的前五章。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3、投标人应认真审阅和充分理解招标文件所有的事项、格式、条款和规范要求等，在投标文件中对招标文件的各方面都做出实质性的响应，按照招标文件的要求提交全部资料。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4、招标文件的澄清或修改：</w:t>
      </w:r>
    </w:p>
    <w:p>
      <w:pPr>
        <w:spacing w:line="560" w:lineRule="exact"/>
        <w:ind w:firstLine="480" w:firstLineChars="200"/>
        <w:rPr>
          <w:rFonts w:hint="eastAsia" w:ascii="仿宋" w:hAnsi="仿宋" w:eastAsia="仿宋" w:cs="仿宋"/>
          <w:b/>
          <w:color w:val="auto"/>
          <w:kern w:val="0"/>
          <w:sz w:val="18"/>
          <w:szCs w:val="18"/>
          <w:highlight w:val="none"/>
          <w:u w:color="FF0000"/>
        </w:rPr>
      </w:pPr>
      <w:bookmarkStart w:id="17" w:name="_Toc458617734"/>
      <w:bookmarkStart w:id="18" w:name="_Toc458617457"/>
      <w:r>
        <w:rPr>
          <w:rFonts w:hint="eastAsia" w:ascii="仿宋" w:hAnsi="仿宋" w:eastAsia="仿宋" w:cs="仿宋"/>
          <w:color w:val="auto"/>
          <w:szCs w:val="24"/>
          <w:highlight w:val="none"/>
        </w:rPr>
        <w:t>4-1、采购人或采购代理机构可以以书面形式对招标文件进行必要的澄清或修改，但不得改变采购标的和资格条件，并在原信息发布媒体上发布变更公告。澄清或修改的内容均为招标文件的组成部分，并对采购人及投标人起约束作用。澄清或修改的内容可能影响投标文件编制的，都将于提交投标文件截止时间15日前以书面形通知所有获取招标文件的潜在投标人；不足15日的，采购人或者采购代理机构应当顺延提交投标文件的截止时间。</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-2、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5、投标人若对招标文件有任何疑问，可以以书面形式向采购代理机构提出询问。</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6、投标人认为招标文件使自己的权益受到损害的，在收到采购文件之日</w:t>
      </w:r>
      <w:r>
        <w:rPr>
          <w:rFonts w:hint="eastAsia" w:ascii="仿宋" w:hAnsi="仿宋" w:eastAsia="仿宋" w:cs="仿宋"/>
          <w:color w:val="auto"/>
          <w:kern w:val="0"/>
          <w:szCs w:val="24"/>
          <w:highlight w:val="none"/>
        </w:rPr>
        <w:t>起七个工作日内</w:t>
      </w:r>
      <w:r>
        <w:rPr>
          <w:rFonts w:hint="eastAsia" w:ascii="仿宋" w:hAnsi="仿宋" w:eastAsia="仿宋" w:cs="仿宋"/>
          <w:color w:val="auto"/>
          <w:szCs w:val="24"/>
          <w:highlight w:val="none"/>
        </w:rPr>
        <w:t>以书面形式向采购代理机构提出质疑，逾期提出的无效，</w:t>
      </w:r>
      <w:bookmarkStart w:id="19" w:name="OLE_LINK6"/>
      <w:r>
        <w:rPr>
          <w:rFonts w:hint="eastAsia" w:ascii="仿宋" w:hAnsi="仿宋" w:eastAsia="仿宋" w:cs="仿宋"/>
          <w:color w:val="auto"/>
          <w:szCs w:val="24"/>
          <w:highlight w:val="none"/>
        </w:rPr>
        <w:t>因此带来的一切不利后果由投标人自负。</w:t>
      </w:r>
      <w:bookmarkEnd w:id="19"/>
    </w:p>
    <w:p>
      <w:pPr>
        <w:kinsoku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7、在投标截止时间前，根据招标工作进展实际情况，采购人可酌情延长提交投标文件的截止时间，若延长将另行以书面形式通知各投标人并在原信息发布媒体上发布变更公告。</w:t>
      </w:r>
      <w:bookmarkStart w:id="20" w:name="OLE_LINK7"/>
      <w:r>
        <w:rPr>
          <w:rFonts w:hint="eastAsia" w:ascii="仿宋" w:hAnsi="仿宋" w:eastAsia="仿宋" w:cs="仿宋"/>
          <w:color w:val="auto"/>
          <w:szCs w:val="24"/>
          <w:highlight w:val="none"/>
        </w:rPr>
        <w:t>采购代理机构和投标人的权利和义务将受到新的截止期的约束。</w:t>
      </w:r>
    </w:p>
    <w:bookmarkEnd w:id="20"/>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8、投标人必须从采购代理机构购买招标文件，投标人自行转让或复制招标文件视为无效。招标文件售后不退，仅作为本次招标使用。</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9、如发现招标文件内容与现行法律法规不相符的情况，以现行法律法规为准。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10、现场勘查、标前答疑会：见须知前附表。</w:t>
      </w:r>
    </w:p>
    <w:p>
      <w:pPr>
        <w:pStyle w:val="4"/>
        <w:spacing w:line="560" w:lineRule="exact"/>
        <w:rPr>
          <w:rFonts w:hint="eastAsia" w:ascii="仿宋" w:hAnsi="仿宋" w:eastAsia="仿宋" w:cs="仿宋"/>
          <w:color w:val="auto"/>
          <w:kern w:val="0"/>
          <w:sz w:val="28"/>
          <w:szCs w:val="28"/>
          <w:highlight w:val="none"/>
        </w:rPr>
      </w:pPr>
      <w:bookmarkStart w:id="21" w:name="_Toc4480"/>
      <w:r>
        <w:rPr>
          <w:rFonts w:hint="eastAsia" w:ascii="仿宋" w:hAnsi="仿宋" w:eastAsia="仿宋" w:cs="仿宋"/>
          <w:color w:val="auto"/>
          <w:kern w:val="0"/>
          <w:sz w:val="28"/>
          <w:szCs w:val="28"/>
          <w:highlight w:val="none"/>
        </w:rPr>
        <w:t>四、投标文件</w:t>
      </w:r>
      <w:bookmarkEnd w:id="17"/>
      <w:bookmarkEnd w:id="18"/>
      <w:bookmarkEnd w:id="21"/>
    </w:p>
    <w:p>
      <w:pPr>
        <w:spacing w:line="560" w:lineRule="exact"/>
        <w:rPr>
          <w:rFonts w:hint="eastAsia" w:ascii="仿宋" w:hAnsi="仿宋" w:eastAsia="仿宋" w:cs="仿宋"/>
          <w:color w:val="auto"/>
          <w:highlight w:val="none"/>
        </w:rPr>
      </w:pPr>
      <w:r>
        <w:rPr>
          <w:rFonts w:hint="eastAsia" w:ascii="仿宋" w:hAnsi="仿宋" w:eastAsia="仿宋" w:cs="仿宋"/>
          <w:color w:val="auto"/>
          <w:highlight w:val="none"/>
        </w:rPr>
        <w:t>1、投标人资格要求</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（1）基本资格条件：符合《中华人民共和国政府采购法》第二十二条的规定：</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 xml:space="preserve">1、具有独立承担民事责任能力的法人、其他组织或自然人，并出具合法有效的营业执照或事业单位法人证书等国家规定的相关证明，自然人参与的提供其身份证明。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2、财务状况报告：提供具有财务审计资质单位出具的</w:t>
      </w:r>
      <w:r>
        <w:rPr>
          <w:rFonts w:hint="eastAsia" w:ascii="仿宋" w:hAnsi="仿宋" w:eastAsia="仿宋" w:cs="仿宋"/>
          <w:color w:val="auto"/>
          <w:sz w:val="24"/>
          <w:szCs w:val="24"/>
          <w:highlight w:val="none"/>
          <w:lang w:val="en-US" w:eastAsia="zh-CN"/>
        </w:rPr>
        <w:t>2021年度或2022年度</w:t>
      </w:r>
      <w:r>
        <w:rPr>
          <w:rFonts w:hint="eastAsia" w:ascii="仿宋" w:hAnsi="仿宋" w:eastAsia="仿宋" w:cs="仿宋"/>
          <w:color w:val="auto"/>
          <w:szCs w:val="24"/>
          <w:highlight w:val="none"/>
        </w:rPr>
        <w:t>财务报告（成立时间至开标时间不足一年的可提供成立后任意时段的资产负债表）或开标前六个月内其基本账户银行出具的资信证明（附开户许可证或基本账户证明）或政府采购信用担保机构出具的投标担保函。</w:t>
      </w:r>
    </w:p>
    <w:p>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3、税收缴纳证明：</w:t>
      </w:r>
      <w:r>
        <w:rPr>
          <w:rFonts w:hint="eastAsia" w:ascii="仿宋" w:hAnsi="仿宋" w:eastAsia="仿宋" w:cs="仿宋"/>
          <w:color w:val="auto"/>
          <w:sz w:val="24"/>
          <w:highlight w:val="none"/>
          <w:lang w:eastAsia="zh-CN"/>
        </w:rPr>
        <w:t>提供2022年1月1日至今任意一个月已缴纳的纳税证明或完税证明（包含增值税、企业所得税、营业税至少一种）；（依法免税的投标人应提供相关文件证明）</w:t>
      </w:r>
      <w:r>
        <w:rPr>
          <w:rFonts w:hint="eastAsia" w:ascii="仿宋" w:hAnsi="仿宋" w:eastAsia="仿宋" w:cs="仿宋"/>
          <w:color w:val="auto"/>
          <w:sz w:val="24"/>
          <w:highlight w:val="none"/>
        </w:rPr>
        <w:t>。</w:t>
      </w:r>
    </w:p>
    <w:p>
      <w:pPr>
        <w:pStyle w:val="38"/>
        <w:keepNext w:val="0"/>
        <w:keepLines w:val="0"/>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4、社会保障资金缴纳证明：</w:t>
      </w:r>
      <w:r>
        <w:rPr>
          <w:rFonts w:hint="eastAsia" w:ascii="仿宋" w:hAnsi="仿宋" w:eastAsia="仿宋" w:cs="仿宋"/>
          <w:color w:val="auto"/>
          <w:sz w:val="24"/>
          <w:highlight w:val="none"/>
          <w:lang w:eastAsia="zh-CN"/>
        </w:rPr>
        <w:t>提供2022年1月1日至今任意一个月的社保缴费凭据或社保机构开具的社会保险参保缴费情况证明</w:t>
      </w:r>
      <w:r>
        <w:rPr>
          <w:rFonts w:hint="eastAsia" w:ascii="仿宋" w:hAnsi="仿宋" w:eastAsia="仿宋" w:cs="仿宋"/>
          <w:color w:val="auto"/>
          <w:sz w:val="24"/>
          <w:highlight w:val="none"/>
        </w:rPr>
        <w:t xml:space="preserve">；（依法不需要缴纳社会保障资金的投标人应提供相关证明）。 </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5、提供具有履行本合同所必需的设备和专业技术能力的说明及承诺；（格式自拟，加盖投标人公章）</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6、提供参加政府采购活动前三年内在经营活动中没有重大违法记录的书面声明。（格式自拟，加盖投标人公章）</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（2）、特定资格条件：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2、被授权人参与投标时需提供法定代表人或负责人授权委托书（附法定代表人或负责人及被授权人身份证复印件）；（被授权人须提供身份证原件，身份证原件可由本人持有）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2-3</w:t>
      </w:r>
      <w:r>
        <w:rPr>
          <w:rFonts w:hint="eastAsia" w:ascii="仿宋" w:hAnsi="仿宋" w:eastAsia="仿宋" w:cs="仿宋"/>
          <w:color w:val="auto"/>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2-4</w:t>
      </w:r>
      <w:r>
        <w:rPr>
          <w:rFonts w:hint="eastAsia" w:ascii="仿宋" w:hAnsi="仿宋" w:eastAsia="仿宋" w:cs="仿宋"/>
          <w:color w:val="auto"/>
          <w:szCs w:val="24"/>
          <w:highlight w:val="none"/>
        </w:rPr>
        <w:t>、单位负责人为同一人或者存在直接控股、管理关系的不同投标人，不得参加同一合同项下的政府采购活动；（提供书面承诺函，格式自拟加盖投标人公章）</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2-5</w:t>
      </w:r>
      <w:r>
        <w:rPr>
          <w:rFonts w:hint="eastAsia" w:ascii="仿宋" w:hAnsi="仿宋" w:eastAsia="仿宋" w:cs="仿宋"/>
          <w:color w:val="auto"/>
          <w:szCs w:val="24"/>
          <w:highlight w:val="none"/>
        </w:rPr>
        <w:t>、本项目不接受联合体投标。</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2、合格投标人</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依照《中华人民共和国公司法》合法注册的法人或其他组织、符合《中华人民共和国政府采购法》</w:t>
      </w:r>
      <w:bookmarkStart w:id="22" w:name="OLE_LINK8"/>
      <w:r>
        <w:rPr>
          <w:rFonts w:hint="eastAsia" w:ascii="仿宋" w:hAnsi="仿宋" w:eastAsia="仿宋" w:cs="仿宋"/>
          <w:color w:val="auto"/>
          <w:szCs w:val="24"/>
          <w:highlight w:val="none"/>
        </w:rPr>
        <w:t>及其实施条例等有关法律法规的规定</w:t>
      </w:r>
      <w:bookmarkEnd w:id="22"/>
      <w:r>
        <w:rPr>
          <w:rFonts w:hint="eastAsia" w:ascii="仿宋" w:hAnsi="仿宋" w:eastAsia="仿宋" w:cs="仿宋"/>
          <w:color w:val="auto"/>
          <w:szCs w:val="24"/>
          <w:highlight w:val="none"/>
        </w:rPr>
        <w:t>并满足本项目资格条件。不符合上述规定的投标人，投标无效。</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3、投标人信用信息：</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3-1、采购人或采购代理机构将于本项目投标截止日在‘信用中国’网站、‘中国政府采购网’网站等渠道对供应商进行信用记录查询，查询的信用记录将进行打印存档</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 xml:space="preserve">凡被列入失信被执行人、重大税收违法案件当事人名单、政府采购严重违法失信行为记录名单的，视为存在不良信用记录，参与本项目的将被拒绝。 </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、特别说明：</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（1）投标人如在中标通知书发出前出现违法失信行为，采购人仍有权利提请评标委员会取消其中标资格；</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（2）投标人在投标文件中已出具的信用查询结果并不能取代采购人或采购代理机构在评标前进行复查。</w:t>
      </w:r>
    </w:p>
    <w:p>
      <w:pPr>
        <w:spacing w:line="560" w:lineRule="exact"/>
        <w:ind w:firstLine="240" w:firstLineChars="1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 xml:space="preserve">4、投标文件的组成 </w:t>
      </w:r>
    </w:p>
    <w:p>
      <w:pPr>
        <w:spacing w:line="560" w:lineRule="exact"/>
        <w:ind w:firstLine="240" w:firstLineChars="1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4-1、投标函（格式）</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4-2、开标一览表（格式）</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4-3、投标分项报价表（格式）</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4-4、</w:t>
      </w:r>
      <w:r>
        <w:rPr>
          <w:rFonts w:hint="eastAsia" w:ascii="仿宋" w:hAnsi="仿宋" w:eastAsia="仿宋" w:cs="仿宋"/>
          <w:color w:val="auto"/>
          <w:szCs w:val="24"/>
          <w:highlight w:val="none"/>
        </w:rPr>
        <w:t>选配件报价表（格式，若有）</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、货物说明一览表（格式）</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、技术响应及偏离表（格式）</w:t>
      </w:r>
    </w:p>
    <w:p>
      <w:pPr>
        <w:spacing w:line="560" w:lineRule="exact"/>
        <w:ind w:firstLine="240" w:firstLineChars="1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4-</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、商务响应及偏离表（格式）</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r>
        <w:rPr>
          <w:rFonts w:hint="eastAsia" w:ascii="仿宋" w:hAnsi="仿宋" w:eastAsia="仿宋" w:cs="仿宋"/>
          <w:color w:val="auto"/>
          <w:kern w:val="0"/>
          <w:szCs w:val="24"/>
          <w:highlight w:val="none"/>
          <w:lang w:val="en-US" w:eastAsia="zh-CN"/>
        </w:rPr>
        <w:t>8</w:t>
      </w:r>
      <w:r>
        <w:rPr>
          <w:rFonts w:hint="eastAsia" w:ascii="仿宋" w:hAnsi="仿宋" w:eastAsia="仿宋" w:cs="仿宋"/>
          <w:color w:val="auto"/>
          <w:kern w:val="0"/>
          <w:szCs w:val="24"/>
          <w:highlight w:val="none"/>
        </w:rPr>
        <w:t>、资格证明文件</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r>
        <w:rPr>
          <w:rFonts w:hint="eastAsia" w:ascii="仿宋" w:hAnsi="仿宋" w:eastAsia="仿宋" w:cs="仿宋"/>
          <w:color w:val="auto"/>
          <w:kern w:val="0"/>
          <w:szCs w:val="24"/>
          <w:highlight w:val="none"/>
          <w:lang w:val="en-US" w:eastAsia="zh-CN"/>
        </w:rPr>
        <w:t>9</w:t>
      </w:r>
      <w:r>
        <w:rPr>
          <w:rFonts w:hint="eastAsia" w:ascii="仿宋" w:hAnsi="仿宋" w:eastAsia="仿宋" w:cs="仿宋"/>
          <w:color w:val="auto"/>
          <w:kern w:val="0"/>
          <w:szCs w:val="24"/>
          <w:highlight w:val="none"/>
        </w:rPr>
        <w:t>、</w:t>
      </w:r>
      <w:r>
        <w:rPr>
          <w:rFonts w:hint="eastAsia" w:ascii="仿宋" w:hAnsi="仿宋" w:eastAsia="仿宋" w:cs="仿宋"/>
          <w:color w:val="auto"/>
          <w:kern w:val="0"/>
          <w:szCs w:val="24"/>
          <w:highlight w:val="none"/>
          <w:lang w:eastAsia="zh-CN"/>
        </w:rPr>
        <w:t>2020年1月1日</w:t>
      </w:r>
      <w:r>
        <w:rPr>
          <w:rFonts w:hint="eastAsia" w:ascii="仿宋" w:hAnsi="仿宋" w:eastAsia="仿宋" w:cs="仿宋"/>
          <w:color w:val="auto"/>
          <w:kern w:val="0"/>
          <w:szCs w:val="24"/>
          <w:highlight w:val="none"/>
        </w:rPr>
        <w:t>至今</w:t>
      </w:r>
      <w:r>
        <w:rPr>
          <w:rFonts w:hint="eastAsia" w:ascii="仿宋" w:hAnsi="仿宋" w:eastAsia="仿宋" w:cs="仿宋"/>
          <w:color w:val="auto"/>
          <w:kern w:val="0"/>
          <w:szCs w:val="24"/>
          <w:highlight w:val="none"/>
          <w:lang w:eastAsia="zh-CN"/>
        </w:rPr>
        <w:t>类似项目业绩</w:t>
      </w:r>
      <w:r>
        <w:rPr>
          <w:rFonts w:hint="eastAsia" w:ascii="仿宋" w:hAnsi="仿宋" w:eastAsia="仿宋" w:cs="仿宋"/>
          <w:color w:val="auto"/>
          <w:kern w:val="0"/>
          <w:szCs w:val="24"/>
          <w:highlight w:val="none"/>
        </w:rPr>
        <w:t>（以合同为准</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复印件加盖公章</w:t>
      </w:r>
      <w:r>
        <w:rPr>
          <w:rFonts w:hint="eastAsia" w:ascii="仿宋" w:hAnsi="仿宋" w:eastAsia="仿宋" w:cs="仿宋"/>
          <w:color w:val="auto"/>
          <w:kern w:val="0"/>
          <w:szCs w:val="24"/>
          <w:highlight w:val="none"/>
        </w:rPr>
        <w:t>）</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0</w:t>
      </w:r>
      <w:r>
        <w:rPr>
          <w:rFonts w:hint="eastAsia" w:ascii="仿宋" w:hAnsi="仿宋" w:eastAsia="仿宋" w:cs="仿宋"/>
          <w:color w:val="auto"/>
          <w:kern w:val="0"/>
          <w:szCs w:val="24"/>
          <w:highlight w:val="none"/>
        </w:rPr>
        <w:t>、产品的合法渠道证明文件</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1</w:t>
      </w:r>
      <w:r>
        <w:rPr>
          <w:rFonts w:hint="eastAsia" w:ascii="仿宋" w:hAnsi="仿宋" w:eastAsia="仿宋" w:cs="仿宋"/>
          <w:color w:val="auto"/>
          <w:kern w:val="0"/>
          <w:szCs w:val="24"/>
          <w:highlight w:val="none"/>
        </w:rPr>
        <w:t>、项目实施方案</w:t>
      </w:r>
    </w:p>
    <w:p>
      <w:pPr>
        <w:spacing w:line="560" w:lineRule="exact"/>
        <w:ind w:firstLine="240" w:firstLineChars="100"/>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2</w:t>
      </w:r>
      <w:r>
        <w:rPr>
          <w:rFonts w:hint="eastAsia" w:ascii="仿宋" w:hAnsi="仿宋" w:eastAsia="仿宋" w:cs="仿宋"/>
          <w:color w:val="auto"/>
          <w:kern w:val="0"/>
          <w:szCs w:val="24"/>
          <w:highlight w:val="none"/>
        </w:rPr>
        <w:t>、</w:t>
      </w:r>
      <w:r>
        <w:rPr>
          <w:rFonts w:hint="eastAsia" w:ascii="仿宋" w:hAnsi="仿宋" w:eastAsia="仿宋" w:cs="仿宋"/>
          <w:color w:val="auto"/>
          <w:kern w:val="0"/>
          <w:szCs w:val="24"/>
          <w:highlight w:val="none"/>
          <w:lang w:val="en-US" w:eastAsia="zh-CN"/>
        </w:rPr>
        <w:t>安装施工</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4-13、</w:t>
      </w:r>
      <w:r>
        <w:rPr>
          <w:rFonts w:hint="eastAsia" w:ascii="仿宋" w:hAnsi="仿宋" w:eastAsia="仿宋" w:cs="仿宋"/>
          <w:color w:val="auto"/>
          <w:kern w:val="0"/>
          <w:szCs w:val="24"/>
          <w:highlight w:val="none"/>
        </w:rPr>
        <w:t>产品的技术文件</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4</w:t>
      </w:r>
      <w:r>
        <w:rPr>
          <w:rFonts w:hint="eastAsia" w:ascii="仿宋" w:hAnsi="仿宋" w:eastAsia="仿宋" w:cs="仿宋"/>
          <w:color w:val="auto"/>
          <w:kern w:val="0"/>
          <w:szCs w:val="24"/>
          <w:highlight w:val="none"/>
        </w:rPr>
        <w:t>、质量保证</w:t>
      </w:r>
    </w:p>
    <w:p>
      <w:pPr>
        <w:spacing w:line="560" w:lineRule="exact"/>
        <w:ind w:firstLine="240" w:firstLineChars="100"/>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5</w:t>
      </w:r>
      <w:r>
        <w:rPr>
          <w:rFonts w:hint="eastAsia" w:ascii="仿宋" w:hAnsi="仿宋" w:eastAsia="仿宋" w:cs="仿宋"/>
          <w:color w:val="auto"/>
          <w:kern w:val="0"/>
          <w:szCs w:val="24"/>
          <w:highlight w:val="none"/>
        </w:rPr>
        <w:t>、售后服务</w:t>
      </w:r>
      <w:r>
        <w:rPr>
          <w:rFonts w:hint="eastAsia" w:ascii="仿宋" w:hAnsi="仿宋" w:eastAsia="仿宋" w:cs="仿宋"/>
          <w:color w:val="auto"/>
          <w:kern w:val="0"/>
          <w:szCs w:val="24"/>
          <w:highlight w:val="none"/>
          <w:lang w:eastAsia="zh-CN"/>
        </w:rPr>
        <w:t>及培训计划</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6</w:t>
      </w:r>
      <w:r>
        <w:rPr>
          <w:rFonts w:hint="eastAsia" w:ascii="仿宋" w:hAnsi="仿宋" w:eastAsia="仿宋" w:cs="仿宋"/>
          <w:color w:val="auto"/>
          <w:kern w:val="0"/>
          <w:szCs w:val="24"/>
          <w:highlight w:val="none"/>
        </w:rPr>
        <w:t>、招标文件要求的其他证明资料及投标人认为需要提供的资料。</w:t>
      </w:r>
    </w:p>
    <w:p>
      <w:pPr>
        <w:spacing w:line="560" w:lineRule="exact"/>
        <w:ind w:firstLine="240" w:firstLineChars="1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5、投标文件编写说明</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5-1、投标文件</w:t>
      </w:r>
      <w:r>
        <w:rPr>
          <w:rFonts w:hint="eastAsia" w:ascii="仿宋" w:hAnsi="仿宋" w:eastAsia="仿宋" w:cs="仿宋"/>
          <w:color w:val="auto"/>
          <w:kern w:val="0"/>
          <w:szCs w:val="24"/>
          <w:highlight w:val="none"/>
        </w:rPr>
        <w:t>格式：投标文件应当按照招标文件给定的格式和要求编制，格式之外的可自行编写。</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-2、投标人必须按照招标文件的规定和要求在投标文件中指定的页面落款处加盖公章（鲜章）并由法定代表人或被授权人签字（或盖章），否则将作为无效投标处理。招标文件凡是要求法定代表人签字或盖章之处，非法人单位的负责人均参照执行。</w:t>
      </w:r>
    </w:p>
    <w:p>
      <w:pPr>
        <w:spacing w:line="560" w:lineRule="exact"/>
        <w:ind w:firstLine="240" w:firstLineChars="100"/>
        <w:rPr>
          <w:rFonts w:hint="eastAsia" w:ascii="仿宋" w:hAnsi="仿宋" w:eastAsia="仿宋" w:cs="仿宋"/>
          <w:color w:val="auto"/>
          <w:highlight w:val="none"/>
        </w:rPr>
      </w:pPr>
      <w:r>
        <w:rPr>
          <w:rFonts w:hint="eastAsia" w:ascii="仿宋" w:hAnsi="仿宋" w:eastAsia="仿宋" w:cs="仿宋"/>
          <w:color w:val="auto"/>
          <w:szCs w:val="24"/>
          <w:highlight w:val="none"/>
        </w:rPr>
        <w:t>5-3、投标文件正本中的法人授权书须为原件，其它资质证明文件为复印件加盖投标人公章（鲜章）。副本可以是正本的复印件。如果正本与副本不一致，以正本为准。</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5-4、投标文件的正本和副本均需打印或用不褪色、不变质的墨水书写。</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5-5、投标文件因书写潦草、内容表达不清、印章或证明材料内容模糊难辨等导致的不利后果由投标人自行承担。</w:t>
      </w:r>
    </w:p>
    <w:p>
      <w:pPr>
        <w:spacing w:line="560" w:lineRule="exact"/>
        <w:ind w:firstLine="240" w:firstLineChars="1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5-6、投标文件电子版内容须与投标文件纸质版正本中的内容一致。</w:t>
      </w:r>
    </w:p>
    <w:p>
      <w:pPr>
        <w:spacing w:line="560" w:lineRule="exact"/>
        <w:ind w:firstLine="232" w:firstLineChars="100"/>
        <w:rPr>
          <w:rFonts w:hint="eastAsia" w:ascii="仿宋" w:hAnsi="仿宋" w:eastAsia="仿宋" w:cs="仿宋"/>
          <w:color w:val="auto"/>
          <w:szCs w:val="24"/>
          <w:highlight w:val="none"/>
        </w:rPr>
      </w:pPr>
      <w:r>
        <w:rPr>
          <w:rFonts w:hint="eastAsia" w:ascii="仿宋" w:hAnsi="仿宋" w:eastAsia="仿宋" w:cs="仿宋"/>
          <w:color w:val="auto"/>
          <w:spacing w:val="-4"/>
          <w:szCs w:val="24"/>
          <w:highlight w:val="none"/>
        </w:rPr>
        <w:t>5-7、“开标一览表”为在开标会议上唱标的内</w:t>
      </w:r>
      <w:r>
        <w:rPr>
          <w:rFonts w:hint="eastAsia" w:ascii="仿宋" w:hAnsi="仿宋" w:eastAsia="仿宋" w:cs="仿宋"/>
          <w:color w:val="auto"/>
          <w:szCs w:val="24"/>
          <w:highlight w:val="none"/>
        </w:rPr>
        <w:t>容，按格式要求填写，并单独密封提交，同时应保证“开标一览表”在投标文件正、副本中仍有且一致。如果不一致，以唱标内容为准。</w:t>
      </w:r>
    </w:p>
    <w:p>
      <w:pPr>
        <w:spacing w:line="560" w:lineRule="exact"/>
        <w:ind w:firstLine="240" w:firstLineChars="1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5-8、</w:t>
      </w:r>
      <w:r>
        <w:rPr>
          <w:rFonts w:hint="eastAsia" w:ascii="仿宋" w:hAnsi="仿宋" w:eastAsia="仿宋" w:cs="仿宋"/>
          <w:color w:val="auto"/>
          <w:szCs w:val="24"/>
          <w:highlight w:val="none"/>
        </w:rPr>
        <w:t>开标一览表</w:t>
      </w:r>
      <w:r>
        <w:rPr>
          <w:rFonts w:hint="eastAsia" w:ascii="仿宋" w:hAnsi="仿宋" w:eastAsia="仿宋" w:cs="仿宋"/>
          <w:color w:val="auto"/>
          <w:szCs w:val="24"/>
          <w:highlight w:val="none"/>
          <w:lang w:eastAsia="zh-CN"/>
        </w:rPr>
        <w:t>必须由法定代表人或被授权人签字并加盖投标人公章，否则将</w:t>
      </w:r>
      <w:r>
        <w:rPr>
          <w:rFonts w:hint="eastAsia" w:ascii="仿宋" w:hAnsi="仿宋" w:eastAsia="仿宋" w:cs="仿宋"/>
          <w:color w:val="auto"/>
          <w:szCs w:val="24"/>
          <w:highlight w:val="none"/>
          <w:lang w:val="en-US" w:eastAsia="zh-CN"/>
        </w:rPr>
        <w:t>作为无效投标处理</w:t>
      </w:r>
      <w:r>
        <w:rPr>
          <w:rFonts w:hint="eastAsia" w:ascii="仿宋" w:hAnsi="仿宋" w:eastAsia="仿宋" w:cs="仿宋"/>
          <w:color w:val="auto"/>
          <w:szCs w:val="24"/>
          <w:highlight w:val="none"/>
          <w:lang w:eastAsia="zh-CN"/>
        </w:rPr>
        <w:t>。</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6、投标文件的装订及密封</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eastAsia="zh-CN"/>
        </w:rPr>
        <w:t>密封要求：</w:t>
      </w:r>
      <w:r>
        <w:rPr>
          <w:rFonts w:hint="eastAsia" w:ascii="仿宋" w:hAnsi="仿宋" w:eastAsia="仿宋" w:cs="仿宋"/>
          <w:color w:val="auto"/>
          <w:szCs w:val="24"/>
          <w:highlight w:val="none"/>
        </w:rPr>
        <w:t>投标时，投标人应自行将投标文件密封完好（封袋不得有破损）。标袋上应写明项目名称、项目编号、投标人名称及“正本”、“副本”、“开标一览表”字样，并在密封条接缝处加盖单位公章（鲜章）和法定代表人或被授权人签字(或盖章）；</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eastAsia="zh-CN"/>
        </w:rPr>
        <w:t>装订要求：</w:t>
      </w:r>
      <w:r>
        <w:rPr>
          <w:rFonts w:hint="eastAsia" w:ascii="仿宋" w:hAnsi="仿宋" w:eastAsia="仿宋" w:cs="仿宋"/>
          <w:color w:val="auto"/>
          <w:szCs w:val="24"/>
          <w:highlight w:val="none"/>
        </w:rPr>
        <w:t>投标文件一律采用书籍（胶装）方式装订</w:t>
      </w:r>
      <w:r>
        <w:rPr>
          <w:rFonts w:hint="eastAsia" w:ascii="仿宋" w:hAnsi="仿宋" w:eastAsia="仿宋" w:cs="仿宋"/>
          <w:color w:val="auto"/>
          <w:szCs w:val="24"/>
          <w:highlight w:val="none"/>
          <w:lang w:eastAsia="zh-CN"/>
        </w:rPr>
        <w:t>，在投标文件书脊处必须写明项目名称、项目编号及投标人名称</w:t>
      </w:r>
      <w:r>
        <w:rPr>
          <w:rFonts w:hint="eastAsia" w:ascii="仿宋" w:hAnsi="仿宋" w:eastAsia="仿宋" w:cs="仿宋"/>
          <w:color w:val="auto"/>
          <w:szCs w:val="24"/>
          <w:highlight w:val="none"/>
        </w:rPr>
        <w:t>。投标文件正本一份，副本四份</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电子文件一份（</w:t>
      </w:r>
      <w:r>
        <w:rPr>
          <w:rFonts w:hint="eastAsia" w:ascii="仿宋" w:hAnsi="仿宋" w:eastAsia="仿宋" w:cs="仿宋"/>
          <w:color w:val="auto"/>
          <w:szCs w:val="24"/>
          <w:highlight w:val="none"/>
          <w:lang w:eastAsia="zh-CN"/>
        </w:rPr>
        <w:t>用</w:t>
      </w:r>
      <w:r>
        <w:rPr>
          <w:rFonts w:hint="eastAsia" w:ascii="仿宋" w:hAnsi="仿宋" w:eastAsia="仿宋" w:cs="仿宋"/>
          <w:color w:val="auto"/>
          <w:szCs w:val="24"/>
          <w:highlight w:val="none"/>
        </w:rPr>
        <w:t>U盘或移动硬盘</w:t>
      </w:r>
      <w:r>
        <w:rPr>
          <w:rFonts w:hint="eastAsia" w:ascii="仿宋" w:hAnsi="仿宋" w:eastAsia="仿宋" w:cs="仿宋"/>
          <w:color w:val="auto"/>
          <w:szCs w:val="24"/>
          <w:highlight w:val="none"/>
          <w:lang w:eastAsia="zh-CN"/>
        </w:rPr>
        <w:t>拷贝</w:t>
      </w:r>
      <w:r>
        <w:rPr>
          <w:rFonts w:hint="eastAsia" w:ascii="仿宋" w:hAnsi="仿宋" w:eastAsia="仿宋" w:cs="仿宋"/>
          <w:color w:val="auto"/>
          <w:szCs w:val="24"/>
          <w:highlight w:val="none"/>
        </w:rPr>
        <w:t>，谢绝光盘），电子版投标文件提供投标文件正本的word版本及PDF版本（PDF文件为完整签字、盖章的正本扫描件），“开标一览表”一份。纸质投标文件均须A4纸打印</w:t>
      </w:r>
      <w:r>
        <w:rPr>
          <w:rFonts w:hint="eastAsia" w:ascii="仿宋" w:hAnsi="仿宋" w:eastAsia="仿宋" w:cs="仿宋"/>
          <w:color w:val="auto"/>
          <w:szCs w:val="24"/>
          <w:highlight w:val="none"/>
          <w:lang w:eastAsia="zh-CN"/>
        </w:rPr>
        <w:t>（提倡双面打印）</w:t>
      </w:r>
      <w:r>
        <w:rPr>
          <w:rFonts w:hint="eastAsia" w:ascii="仿宋" w:hAnsi="仿宋" w:eastAsia="仿宋" w:cs="仿宋"/>
          <w:color w:val="auto"/>
          <w:szCs w:val="24"/>
          <w:highlight w:val="none"/>
        </w:rPr>
        <w:t>，分别各自装订成册并编制目录和页码</w:t>
      </w:r>
      <w:r>
        <w:rPr>
          <w:rFonts w:hint="eastAsia" w:ascii="仿宋" w:hAnsi="仿宋" w:eastAsia="仿宋" w:cs="仿宋"/>
          <w:color w:val="auto"/>
          <w:szCs w:val="24"/>
          <w:highlight w:val="none"/>
          <w:lang w:eastAsia="zh-CN"/>
        </w:rPr>
        <w:t>，产品彩页、厂家授权等证明材料原件除外</w:t>
      </w:r>
      <w:r>
        <w:rPr>
          <w:rFonts w:hint="eastAsia" w:ascii="仿宋" w:hAnsi="仿宋" w:eastAsia="仿宋" w:cs="仿宋"/>
          <w:color w:val="auto"/>
          <w:szCs w:val="24"/>
          <w:highlight w:val="none"/>
        </w:rPr>
        <w:t>。电子版放置“开标一览表”标袋内。</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7、投标文件的计量单位</w:t>
      </w:r>
    </w:p>
    <w:p>
      <w:pPr>
        <w:spacing w:line="560" w:lineRule="exact"/>
        <w:ind w:firstLine="480" w:firstLineChars="2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投标文件中所使用的计量单位，除有特殊要求外，均采用国家法定计量单位。</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bCs/>
          <w:color w:val="auto"/>
          <w:szCs w:val="24"/>
          <w:highlight w:val="none"/>
        </w:rPr>
        <w:t>8、投标报价</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8-1、投标货币：人民币      单位:元（保留小数点后两位）。</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8-2、投标</w:t>
      </w:r>
      <w:bookmarkStart w:id="23" w:name="OLE_LINK11"/>
      <w:r>
        <w:rPr>
          <w:rFonts w:hint="eastAsia" w:ascii="仿宋" w:hAnsi="仿宋" w:eastAsia="仿宋" w:cs="仿宋"/>
          <w:color w:val="auto"/>
          <w:szCs w:val="24"/>
          <w:highlight w:val="none"/>
        </w:rPr>
        <w:t>报价是指产品到达使用地点，达到正常使用条件下的所有费用，包括产品的报价及所发生的运杂费（含保险）、现场安装调试费及按现行税收政策征收的一切税费等。以招标文件的内容和要求作为投标依据。</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8-3、本项目为交钥匙项目，投标报价=设备价（含税）</w:t>
      </w:r>
      <w:r>
        <w:rPr>
          <w:rFonts w:hint="eastAsia" w:ascii="仿宋" w:hAnsi="仿宋" w:eastAsia="仿宋" w:cs="仿宋"/>
          <w:b w:val="0"/>
          <w:bCs w:val="0"/>
          <w:color w:val="auto"/>
          <w:kern w:val="2"/>
          <w:sz w:val="24"/>
          <w:szCs w:val="24"/>
          <w:highlight w:val="none"/>
          <w:lang w:val="en-US" w:eastAsia="zh-CN"/>
        </w:rPr>
        <w:t>+</w:t>
      </w:r>
      <w:r>
        <w:rPr>
          <w:rFonts w:hint="eastAsia" w:ascii="仿宋" w:hAnsi="仿宋" w:eastAsia="仿宋" w:cs="仿宋"/>
          <w:b/>
          <w:color w:val="auto"/>
          <w:szCs w:val="24"/>
          <w:highlight w:val="none"/>
        </w:rPr>
        <w:t>运输费+安装费+调试费+培训费+产品辅材费+售后服务费+保险费+</w:t>
      </w:r>
      <w:r>
        <w:rPr>
          <w:rFonts w:hint="eastAsia" w:ascii="仿宋" w:hAnsi="仿宋" w:eastAsia="仿宋" w:cs="仿宋"/>
          <w:b/>
          <w:color w:val="auto"/>
          <w:szCs w:val="24"/>
          <w:highlight w:val="none"/>
          <w:lang w:val="en-US" w:eastAsia="zh-CN"/>
        </w:rPr>
        <w:t>施工费+</w:t>
      </w:r>
      <w:r>
        <w:rPr>
          <w:rFonts w:hint="eastAsia" w:ascii="仿宋" w:hAnsi="仿宋" w:eastAsia="仿宋" w:cs="仿宋"/>
          <w:b/>
          <w:color w:val="auto"/>
          <w:szCs w:val="24"/>
          <w:highlight w:val="none"/>
        </w:rPr>
        <w:t>相关伴随费用等。</w:t>
      </w:r>
    </w:p>
    <w:bookmarkEnd w:id="23"/>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8-4、投标人须对《采购内容及技术要求》中任何货物需求和服务要求进行完整报价，采购代理机构拒绝只对部分货物和服务进行报价的投标。投标人应在投标文件中的投标报价表上标明对本次招标拟提供货物和服务的单价及总价。任何有选择的报价将不予接受，每项货物和服务只允许有一个报价，并且在合同履行过程中是固定不变的。</w:t>
      </w:r>
    </w:p>
    <w:p>
      <w:pPr>
        <w:spacing w:line="560" w:lineRule="exact"/>
        <w:ind w:firstLine="588" w:firstLineChars="245"/>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8-5、</w:t>
      </w:r>
      <w:r>
        <w:rPr>
          <w:rFonts w:hint="eastAsia" w:ascii="仿宋" w:hAnsi="仿宋" w:eastAsia="仿宋" w:cs="仿宋"/>
          <w:color w:val="auto"/>
          <w:szCs w:val="24"/>
          <w:highlight w:val="none"/>
        </w:rPr>
        <w:t>不接受超过招标文件中规定的预算金额或者最高限价的报价、可变动性报价、赠送及“零”报价，</w:t>
      </w:r>
      <w:r>
        <w:rPr>
          <w:rFonts w:hint="eastAsia" w:ascii="仿宋" w:hAnsi="仿宋" w:eastAsia="仿宋" w:cs="仿宋"/>
          <w:b/>
          <w:bCs/>
          <w:color w:val="auto"/>
          <w:szCs w:val="24"/>
          <w:highlight w:val="none"/>
        </w:rPr>
        <w:t>否则视为无效投标</w:t>
      </w:r>
      <w:r>
        <w:rPr>
          <w:rFonts w:hint="eastAsia" w:ascii="仿宋" w:hAnsi="仿宋" w:eastAsia="仿宋" w:cs="仿宋"/>
          <w:color w:val="auto"/>
          <w:szCs w:val="24"/>
          <w:highlight w:val="none"/>
        </w:rPr>
        <w:t>。</w:t>
      </w:r>
    </w:p>
    <w:p>
      <w:pPr>
        <w:spacing w:line="560" w:lineRule="exact"/>
        <w:ind w:firstLine="588" w:firstLineChars="245"/>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8-</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、投标人要按所报产品分项报价表内容填写货物品名、单价及总价、制造厂家等内容，并由法人代表或被授权人签署。投标分项报价表上的价格应按下列要求分项填写：</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（1）所投货物的设备价</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（2）备品备件价（根据招标文件要求和货物技术状况列出质量保证期内需要的备品备件清单和价格）</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（3）专用工具价（如果需要使用）</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（4）安装调试费用</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（5）货物运至指定地点的运输（含保险）费用</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（6）售后服务费</w:t>
      </w:r>
    </w:p>
    <w:p>
      <w:pPr>
        <w:spacing w:line="560" w:lineRule="exact"/>
        <w:ind w:firstLine="470" w:firstLineChars="196"/>
        <w:rPr>
          <w:rFonts w:hint="eastAsia" w:ascii="仿宋" w:hAnsi="仿宋" w:eastAsia="仿宋" w:cs="仿宋"/>
          <w:color w:val="auto"/>
          <w:highlight w:val="none"/>
        </w:rPr>
      </w:pPr>
      <w:r>
        <w:rPr>
          <w:rFonts w:hint="eastAsia" w:ascii="仿宋" w:hAnsi="仿宋" w:eastAsia="仿宋" w:cs="仿宋"/>
          <w:color w:val="auto"/>
          <w:szCs w:val="24"/>
          <w:highlight w:val="none"/>
        </w:rPr>
        <w:t>（7）培训费</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（8）招标文件要求的所有伴随服务的费用</w:t>
      </w:r>
      <w:r>
        <w:rPr>
          <w:rFonts w:hint="eastAsia" w:ascii="仿宋" w:hAnsi="仿宋" w:eastAsia="仿宋" w:cs="仿宋"/>
          <w:color w:val="auto"/>
          <w:szCs w:val="24"/>
          <w:highlight w:val="none"/>
        </w:rPr>
        <w:tab/>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（9）所有根据合同或其它原因应由投标人支付的税款和其它应交纳的费用都要包括在投标人提交的投标价格中。</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、投标人所报的投标价在合同执行过程中是固定不变的，不得以任何理由予以变更。任何包含价格调整要求的投标，将被认为是非响应性投标而予以拒绝。</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w:t>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、选配件是投标产品的附件，仅作为采购人后期选择购买，其报价不包含在本次投标总价内。</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9、对投标人的其他要求：</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9-1、投标人不得以他人名义投标和串通投标。</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9-2、必须根据招标文件要求进行生产、供货等。</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9-3、非经采购人同意，不得将本项目内容进行分包实施，一经发现，立即取消其中标资格，并承担由此引起的一切经济损失；经采购人同意，中标人可以依法采取分包方式履行合同。分包部分为中标项目的部分非主体、非关键性工作。</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9-4、接受采购人委托的相关单位对货物内容、质量、进度、实施方案、价款支付与结算审核等的监督和管理。</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9-5、投标人应保证在本项目使用的任何产品和服务的任何一部分，不会产生因第三方提出的侵犯其专利权、商标权、著作权或其它知识产权而引起的法律和经济纠纷，由此引起的纠纷，由投标人承担所有相关责任。</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9-6、采购人享有在本项目实施过程中产生的知识成果及知识产权。投标人如欲在项目实施过程中采用自有知识成果，需在投标文件中声明，并提供相关知识产权证明文件。使用该知识成果后，投标人须提供开发接口和开发手册等技术文档，并承诺提供无限期技术支持，采购人享有永久使用权。如采用投标人所不拥有的知识产权，则在投标报价中必须包含合法获得该知识产权的相关费用。</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9-7、投标人不能以“赠送”、“赠予”等任何名义提供货物和服务以规避招标文件的约束。否则，将作为无效投标处理。投标人的行为将作为以不正当手段排挤其他投标人认定。</w:t>
      </w:r>
      <w:bookmarkStart w:id="24" w:name="_Toc458617458"/>
      <w:bookmarkStart w:id="25" w:name="_Toc458617735"/>
    </w:p>
    <w:p>
      <w:pPr>
        <w:pStyle w:val="4"/>
        <w:spacing w:line="560" w:lineRule="exact"/>
        <w:rPr>
          <w:rFonts w:hint="eastAsia" w:ascii="仿宋" w:hAnsi="仿宋" w:eastAsia="仿宋" w:cs="仿宋"/>
          <w:color w:val="auto"/>
          <w:kern w:val="0"/>
          <w:sz w:val="28"/>
          <w:szCs w:val="28"/>
          <w:highlight w:val="none"/>
        </w:rPr>
      </w:pPr>
      <w:bookmarkStart w:id="26" w:name="_Toc14492"/>
      <w:r>
        <w:rPr>
          <w:rFonts w:hint="eastAsia" w:ascii="仿宋" w:hAnsi="仿宋" w:eastAsia="仿宋" w:cs="仿宋"/>
          <w:color w:val="auto"/>
          <w:kern w:val="0"/>
          <w:sz w:val="28"/>
          <w:szCs w:val="28"/>
          <w:highlight w:val="none"/>
        </w:rPr>
        <w:t>五、投标担保</w:t>
      </w:r>
      <w:bookmarkEnd w:id="24"/>
      <w:bookmarkEnd w:id="25"/>
      <w:bookmarkEnd w:id="26"/>
    </w:p>
    <w:p>
      <w:pPr>
        <w:spacing w:line="560" w:lineRule="exact"/>
        <w:ind w:left="1294" w:leftChars="239" w:hanging="720" w:hangingChars="300"/>
        <w:rPr>
          <w:rFonts w:hint="eastAsia" w:ascii="仿宋" w:hAnsi="仿宋" w:eastAsia="仿宋" w:cs="仿宋"/>
          <w:color w:val="auto"/>
          <w:szCs w:val="24"/>
          <w:highlight w:val="none"/>
          <w:u w:val="none"/>
          <w:lang w:val="en-US" w:eastAsia="zh-CN"/>
        </w:rPr>
      </w:pPr>
      <w:r>
        <w:rPr>
          <w:rFonts w:hint="eastAsia" w:ascii="仿宋" w:hAnsi="仿宋" w:eastAsia="仿宋" w:cs="仿宋"/>
          <w:color w:val="auto"/>
          <w:szCs w:val="24"/>
          <w:highlight w:val="none"/>
          <w:u w:val="none"/>
          <w:lang w:val="en-US" w:eastAsia="zh-CN"/>
        </w:rPr>
        <w:t>无</w:t>
      </w:r>
    </w:p>
    <w:p>
      <w:pPr>
        <w:pStyle w:val="4"/>
        <w:spacing w:line="560" w:lineRule="exact"/>
        <w:rPr>
          <w:rFonts w:hint="eastAsia" w:ascii="仿宋" w:hAnsi="仿宋" w:eastAsia="仿宋" w:cs="仿宋"/>
          <w:color w:val="auto"/>
          <w:kern w:val="0"/>
          <w:sz w:val="28"/>
          <w:szCs w:val="28"/>
          <w:highlight w:val="none"/>
        </w:rPr>
      </w:pPr>
      <w:bookmarkStart w:id="27" w:name="_Toc458617459"/>
      <w:bookmarkStart w:id="28" w:name="_Toc458617736"/>
      <w:bookmarkStart w:id="29" w:name="_Toc22244"/>
      <w:r>
        <w:rPr>
          <w:rFonts w:hint="eastAsia" w:ascii="仿宋" w:hAnsi="仿宋" w:eastAsia="仿宋" w:cs="仿宋"/>
          <w:color w:val="auto"/>
          <w:kern w:val="0"/>
          <w:sz w:val="28"/>
          <w:szCs w:val="28"/>
          <w:highlight w:val="none"/>
        </w:rPr>
        <w:t>六、投标</w:t>
      </w:r>
      <w:bookmarkEnd w:id="27"/>
      <w:bookmarkEnd w:id="28"/>
      <w:bookmarkEnd w:id="29"/>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1、投标文件、必备资质文件的提交：</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1-1、投标人应在投标截止时间前将投标文件密封送达投标地点；</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1-2、逾期送达或者未按照招标文件要求密封的投标文件，将被拒收；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1-3、逾期送达的必备资质文件，将被拒收；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1-4、本次招标不接受邮寄的投标文件、必备资质文件。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2、投标文件的补充、修改与撤回：</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-1、投标人在提交投标文件以后到投标截止时间之前,可以书面形式补充、修改或撤回已提交的投标文件，并以书面形式通知采购代理机构。补充、修改的内容应当按招标文件要求密封、签署、盖章，并作为投标文件的组成部分；补充、修改的内容与相应文件不一致的，以补充、修改的内容为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2-2、投标人提出修改要求的，须在投标截止时间前密封送到采购代理机构，并在封面上加注“修改”字样。</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-3、投标人提出撤标要求的，须在投标截止时间前以书面形式（经由法定代表人或被授权人签字）通知采购代理机构。如采取传真形式撤回投标，随后必须补充有法定代表人或被授权人签署的要求撤回投标的正式文件。采购代理机构摄像留存后，将要“撤回”的投标文件（包含纸质及电子版）退还投标人，投标人签字确认领取。</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2-4、投标截止时间之后，投标人不得补充、修改投标文件。</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2-5、在投标截止时间至投标有效期满之前，投标人不得撤回其投标文件</w:t>
      </w:r>
      <w:r>
        <w:rPr>
          <w:rFonts w:hint="eastAsia" w:ascii="仿宋" w:hAnsi="仿宋" w:eastAsia="仿宋" w:cs="仿宋"/>
          <w:color w:val="auto"/>
          <w:szCs w:val="24"/>
          <w:highlight w:val="none"/>
          <w:lang w:eastAsia="zh-CN"/>
        </w:rPr>
        <w:t>。</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3、投标有效期：</w:t>
      </w:r>
    </w:p>
    <w:p>
      <w:pPr>
        <w:pStyle w:val="38"/>
        <w:spacing w:line="560" w:lineRule="exact"/>
        <w:ind w:firstLine="464"/>
        <w:rPr>
          <w:rFonts w:hint="eastAsia" w:ascii="仿宋" w:hAnsi="仿宋" w:eastAsia="仿宋" w:cs="仿宋"/>
          <w:color w:val="auto"/>
          <w:kern w:val="2"/>
          <w:sz w:val="24"/>
          <w:szCs w:val="24"/>
          <w:highlight w:val="none"/>
        </w:rPr>
      </w:pPr>
      <w:r>
        <w:rPr>
          <w:rFonts w:hint="eastAsia" w:ascii="仿宋" w:hAnsi="仿宋" w:eastAsia="仿宋" w:cs="仿宋"/>
          <w:color w:val="auto"/>
          <w:spacing w:val="-4"/>
          <w:sz w:val="24"/>
          <w:szCs w:val="24"/>
          <w:highlight w:val="none"/>
        </w:rPr>
        <w:t>3-1、自提交投标文件的截止之日起90个日历日。</w:t>
      </w:r>
      <w:bookmarkStart w:id="30" w:name="OLE_LINK15"/>
      <w:r>
        <w:rPr>
          <w:rFonts w:hint="eastAsia" w:ascii="仿宋" w:hAnsi="仿宋" w:eastAsia="仿宋" w:cs="仿宋"/>
          <w:color w:val="auto"/>
          <w:spacing w:val="-4"/>
          <w:sz w:val="24"/>
          <w:szCs w:val="24"/>
          <w:highlight w:val="none"/>
        </w:rPr>
        <w:t>投标人投标有效期短于招标文件规定</w:t>
      </w:r>
      <w:r>
        <w:rPr>
          <w:rFonts w:hint="eastAsia" w:ascii="仿宋" w:hAnsi="仿宋" w:eastAsia="仿宋" w:cs="仿宋"/>
          <w:color w:val="auto"/>
          <w:kern w:val="2"/>
          <w:sz w:val="24"/>
          <w:szCs w:val="24"/>
          <w:highlight w:val="none"/>
        </w:rPr>
        <w:t>的投标有效期，按无效投标处理。中标单位的投标有效期延长至合同执行完毕。</w:t>
      </w:r>
    </w:p>
    <w:p>
      <w:pPr>
        <w:pStyle w:val="38"/>
        <w:spacing w:line="56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3-2、在原投标有效期结束前，采购代理机构可要求投标人延长投标有效期。拒绝延长投标有效期的投标人不得参与该项目后续采购活动。同意延长投标有效期的投标人不得修改投标文件的实质性内容。</w:t>
      </w:r>
      <w:bookmarkEnd w:id="30"/>
      <w:bookmarkStart w:id="31" w:name="_Toc458617737"/>
      <w:bookmarkStart w:id="32" w:name="_Toc458617460"/>
    </w:p>
    <w:p>
      <w:pPr>
        <w:pStyle w:val="38"/>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sz w:val="24"/>
          <w:szCs w:val="24"/>
          <w:highlight w:val="none"/>
        </w:rPr>
        <w:t>4、投标人</w:t>
      </w:r>
      <w:r>
        <w:rPr>
          <w:rFonts w:hint="eastAsia" w:ascii="仿宋" w:hAnsi="仿宋" w:eastAsia="仿宋" w:cs="仿宋"/>
          <w:color w:val="auto"/>
          <w:kern w:val="2"/>
          <w:sz w:val="24"/>
          <w:szCs w:val="24"/>
          <w:highlight w:val="none"/>
        </w:rPr>
        <w:t>有下列情形之一的，属于恶意串通，对其依照《中华人民共和国政府采购法》第七十七条第一款的规定追究法律责任，投标无效：</w:t>
      </w:r>
    </w:p>
    <w:p>
      <w:pPr>
        <w:pStyle w:val="38"/>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4-1、投标人直接或者间接从采购人或采购代理机构处获得其他投标人的相关情况并修改其投标文件；</w:t>
      </w:r>
    </w:p>
    <w:p>
      <w:pPr>
        <w:pStyle w:val="38"/>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4-2、投标人按照采购人或采购代理机构的授意撤换、修改投标文件；</w:t>
      </w:r>
    </w:p>
    <w:p>
      <w:pPr>
        <w:pStyle w:val="38"/>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4-3、投标人之间协商报价、技术方案等投标文件的实质性内容；</w:t>
      </w:r>
    </w:p>
    <w:p>
      <w:pPr>
        <w:pStyle w:val="38"/>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4-4、属于同一集团、协会、商会等组织成员的投标人按照该组织要求协同参加政府采购活动；</w:t>
      </w:r>
    </w:p>
    <w:p>
      <w:pPr>
        <w:pStyle w:val="38"/>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4-5、投标人之间事先约定由某一特定投标人中标；</w:t>
      </w:r>
    </w:p>
    <w:p>
      <w:pPr>
        <w:pStyle w:val="38"/>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4-6、投标人之间商定部分投标人放弃参加政府采购活动或放弃中标；</w:t>
      </w:r>
    </w:p>
    <w:p>
      <w:pPr>
        <w:pStyle w:val="38"/>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4-7、投标人相互之间，为谋求特定投标人中标或排斥其他投标人的其他串通行为。</w:t>
      </w:r>
    </w:p>
    <w:p>
      <w:pPr>
        <w:pStyle w:val="38"/>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5、有下列情形之一的，视为投标人串通投标，其投标无效：</w:t>
      </w:r>
    </w:p>
    <w:p>
      <w:pPr>
        <w:pStyle w:val="38"/>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5-1、不同投标人的投标文件由同一单位或者个人编制；</w:t>
      </w:r>
    </w:p>
    <w:p>
      <w:pPr>
        <w:pStyle w:val="38"/>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5-2、不同投标人委托同一单位或者个人办理投标事宜；</w:t>
      </w:r>
    </w:p>
    <w:p>
      <w:pPr>
        <w:pStyle w:val="38"/>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5-3、不同投标人的投标文件载明的项目管理成员或者联系人为同一人；</w:t>
      </w:r>
    </w:p>
    <w:p>
      <w:pPr>
        <w:pStyle w:val="38"/>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5-4、不同投标人的投标文件异常一致或者投标报价呈现规律性差异；</w:t>
      </w:r>
    </w:p>
    <w:p>
      <w:pPr>
        <w:pStyle w:val="38"/>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5-5、不同投标人的投标文件相互混装；</w:t>
      </w:r>
    </w:p>
    <w:p>
      <w:pPr>
        <w:pStyle w:val="4"/>
        <w:spacing w:line="560" w:lineRule="exact"/>
        <w:rPr>
          <w:rFonts w:hint="eastAsia" w:ascii="仿宋" w:hAnsi="仿宋" w:eastAsia="仿宋" w:cs="仿宋"/>
          <w:color w:val="auto"/>
          <w:kern w:val="0"/>
          <w:sz w:val="28"/>
          <w:szCs w:val="28"/>
          <w:highlight w:val="none"/>
        </w:rPr>
      </w:pPr>
      <w:bookmarkStart w:id="33" w:name="_Toc1895"/>
      <w:r>
        <w:rPr>
          <w:rFonts w:hint="eastAsia" w:ascii="仿宋" w:hAnsi="仿宋" w:eastAsia="仿宋" w:cs="仿宋"/>
          <w:color w:val="auto"/>
          <w:kern w:val="0"/>
          <w:sz w:val="28"/>
          <w:szCs w:val="28"/>
          <w:highlight w:val="none"/>
        </w:rPr>
        <w:t>七、开标、资格审查、评标和定标</w:t>
      </w:r>
      <w:bookmarkEnd w:id="31"/>
      <w:bookmarkEnd w:id="32"/>
      <w:bookmarkEnd w:id="33"/>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bCs/>
          <w:color w:val="auto"/>
          <w:szCs w:val="24"/>
          <w:highlight w:val="none"/>
        </w:rPr>
        <w:t>1、开标</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1-1、采购代理机构按招标文件规定的时间和地点组织开标。</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1-2、所有参会人员应签名报到，以证明其出席。投标人未参加开标的，视同认可开标结果。</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1-3、开标会议由采购代理机构主持。主持人宣读开标会议开始，宣读会场纪律，宣布参加会议的投标人名单。</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1-4、由监标人查验投标人的法定代表人授权书及被授权人身份证原件（法定代表人亲自参加时提供法定代表人身份证明书及法定代表人身份证原件），查验完毕后，签字确认并宣布检查结果。</w:t>
      </w:r>
      <w:r>
        <w:rPr>
          <w:rFonts w:hint="eastAsia" w:ascii="仿宋" w:hAnsi="仿宋" w:eastAsia="仿宋" w:cs="仿宋"/>
          <w:b/>
          <w:bCs/>
          <w:color w:val="auto"/>
          <w:szCs w:val="24"/>
          <w:highlight w:val="none"/>
          <w:lang w:val="en-US" w:eastAsia="zh-CN"/>
        </w:rPr>
        <w:t>未通过审查的将作为无效响应处理。</w:t>
      </w:r>
    </w:p>
    <w:p>
      <w:pPr>
        <w:spacing w:line="560" w:lineRule="exact"/>
        <w:ind w:firstLine="480" w:firstLineChars="200"/>
        <w:rPr>
          <w:rFonts w:hint="eastAsia" w:ascii="仿宋" w:hAnsi="仿宋" w:eastAsia="仿宋" w:cs="仿宋"/>
          <w:strike w:val="0"/>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、投标人的法定代表人或被授权人与监标人当众检查所有投标文件的密封情况，签字确认并宣读检查结果。</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采购代理机构依照提交的“开标一览表”的摆放顺序当众拆封，宣读投标人名称、投标价格和投标文件的其它主要内容并做记录。投标人确认无误后，由投标人的法定代表人或被授权人及监标人签字确认唱标内容。如投标人对宣读的“开标一览表”上的内容有异议，应在获得主持人同意后当场提出，如属于宣读错误，经现场监督人员核实后，当场予以更正。</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、主持人宣布开标会议结束，所有投标人离场。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、采购代理机构对开标过程进行全程录音录像，并存档备查。</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采购代理机构对开标过程进行文字记录，由参加开标的各投标人代表和相关工作人员签字确认，并存档备查。投标人代表对开标过程和开标记录有疑义的，以及认为采购人、采购代理机构相关工作人员有需要回避的情形的，应当场提出询问或回避申请。</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2、资格审查</w:t>
      </w:r>
    </w:p>
    <w:p>
      <w:pPr>
        <w:spacing w:line="560" w:lineRule="exact"/>
        <w:ind w:firstLine="482" w:firstLineChars="200"/>
        <w:rPr>
          <w:rFonts w:hint="eastAsia" w:ascii="仿宋" w:hAnsi="仿宋" w:eastAsia="仿宋" w:cs="仿宋"/>
          <w:bCs/>
          <w:color w:val="auto"/>
          <w:szCs w:val="24"/>
          <w:highlight w:val="none"/>
          <w:lang w:eastAsia="zh-CN"/>
        </w:rPr>
      </w:pPr>
      <w:r>
        <w:rPr>
          <w:rFonts w:hint="eastAsia" w:ascii="仿宋" w:hAnsi="仿宋" w:eastAsia="仿宋" w:cs="仿宋"/>
          <w:b/>
          <w:bCs/>
          <w:color w:val="auto"/>
          <w:szCs w:val="24"/>
          <w:highlight w:val="none"/>
        </w:rPr>
        <w:t>开标结束后，由采购人依法对投标人的资格进行审查，审查合格的投标人方可进入评标阶段，缺项或一项不符合要求即不合格，不合格的投标人其投标无效。资格证明文件须装订在每份</w:t>
      </w:r>
      <w:r>
        <w:rPr>
          <w:rFonts w:hint="eastAsia" w:ascii="仿宋" w:hAnsi="仿宋" w:eastAsia="仿宋" w:cs="仿宋"/>
          <w:b/>
          <w:bCs/>
          <w:color w:val="auto"/>
          <w:szCs w:val="24"/>
          <w:highlight w:val="none"/>
          <w:lang w:val="en-US" w:eastAsia="zh-CN"/>
        </w:rPr>
        <w:t>投标</w:t>
      </w:r>
      <w:r>
        <w:rPr>
          <w:rFonts w:hint="eastAsia" w:ascii="仿宋" w:hAnsi="仿宋" w:eastAsia="仿宋" w:cs="仿宋"/>
          <w:b/>
          <w:bCs/>
          <w:color w:val="auto"/>
          <w:szCs w:val="24"/>
          <w:highlight w:val="none"/>
        </w:rPr>
        <w:t>文件中。资格审查以</w:t>
      </w:r>
      <w:r>
        <w:rPr>
          <w:rFonts w:hint="eastAsia" w:ascii="仿宋" w:hAnsi="仿宋" w:eastAsia="仿宋" w:cs="仿宋"/>
          <w:b/>
          <w:bCs/>
          <w:color w:val="auto"/>
          <w:szCs w:val="24"/>
          <w:highlight w:val="none"/>
          <w:lang w:val="en-US" w:eastAsia="zh-CN"/>
        </w:rPr>
        <w:t>磋投标</w:t>
      </w:r>
      <w:r>
        <w:rPr>
          <w:rFonts w:hint="eastAsia" w:ascii="仿宋" w:hAnsi="仿宋" w:eastAsia="仿宋" w:cs="仿宋"/>
          <w:b/>
          <w:bCs/>
          <w:color w:val="auto"/>
          <w:szCs w:val="24"/>
          <w:highlight w:val="none"/>
        </w:rPr>
        <w:t>文件“正本”为准</w:t>
      </w:r>
      <w:r>
        <w:rPr>
          <w:rFonts w:hint="eastAsia" w:ascii="仿宋" w:hAnsi="仿宋" w:eastAsia="仿宋" w:cs="仿宋"/>
          <w:b/>
          <w:bCs/>
          <w:color w:val="auto"/>
          <w:szCs w:val="24"/>
          <w:highlight w:val="none"/>
          <w:lang w:eastAsia="zh-CN"/>
        </w:rPr>
        <w:t>。</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（1）基本资格条件：符合《中华人民共和国政府采购法》第二十二条的规定：</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 xml:space="preserve">1、具有独立承担民事责任能力的法人、其他组织或自然人，并出具合法有效的营业执照或事业单位法人证书等国家规定的相关证明，自然人参与的提供其身份证明。 </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2、财务状况报告：提供具有财务审计资质单位出具的</w:t>
      </w:r>
      <w:r>
        <w:rPr>
          <w:rFonts w:hint="eastAsia" w:ascii="仿宋" w:hAnsi="仿宋" w:eastAsia="仿宋" w:cs="仿宋"/>
          <w:b w:val="0"/>
          <w:bCs/>
          <w:color w:val="auto"/>
          <w:szCs w:val="24"/>
          <w:highlight w:val="none"/>
          <w:lang w:val="en-US" w:eastAsia="zh-CN"/>
        </w:rPr>
        <w:t>2021年度或2022年度</w:t>
      </w:r>
      <w:r>
        <w:rPr>
          <w:rFonts w:hint="eastAsia" w:ascii="仿宋" w:hAnsi="仿宋" w:eastAsia="仿宋" w:cs="仿宋"/>
          <w:b w:val="0"/>
          <w:bCs/>
          <w:color w:val="auto"/>
          <w:szCs w:val="24"/>
          <w:highlight w:val="none"/>
        </w:rPr>
        <w:t>财务报告（成立时间至开标时间不足一年的可提供成立后任意时段的资产负债表）或开标前六个月内其基本账户银行出具的资信证明（附开户许可证或基本账户证明）或政府采购信用担保机构出具的投标担保函。</w:t>
      </w:r>
    </w:p>
    <w:p>
      <w:pPr>
        <w:pStyle w:val="38"/>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3、税收缴纳证明：</w:t>
      </w:r>
      <w:r>
        <w:rPr>
          <w:rFonts w:hint="eastAsia" w:ascii="仿宋" w:hAnsi="仿宋" w:eastAsia="仿宋" w:cs="仿宋"/>
          <w:color w:val="auto"/>
          <w:sz w:val="24"/>
          <w:highlight w:val="none"/>
          <w:lang w:eastAsia="zh-CN"/>
        </w:rPr>
        <w:t>提供2022年1月1日至今任意一个月已缴纳的纳税证明或完税证明（包含增值税、企业所得税、营业税至少一种）；（依法免税的投标人应提供相关文件证明）</w:t>
      </w:r>
      <w:r>
        <w:rPr>
          <w:rFonts w:hint="eastAsia" w:ascii="仿宋" w:hAnsi="仿宋" w:eastAsia="仿宋" w:cs="仿宋"/>
          <w:color w:val="auto"/>
          <w:sz w:val="24"/>
          <w:highlight w:val="none"/>
        </w:rPr>
        <w:t>。</w:t>
      </w:r>
    </w:p>
    <w:p>
      <w:pPr>
        <w:pStyle w:val="38"/>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color w:val="auto"/>
          <w:sz w:val="24"/>
          <w:highlight w:val="none"/>
        </w:rPr>
        <w:t>4、社会保障资金缴纳证明：</w:t>
      </w:r>
      <w:r>
        <w:rPr>
          <w:rFonts w:hint="eastAsia" w:ascii="仿宋" w:hAnsi="仿宋" w:eastAsia="仿宋" w:cs="仿宋"/>
          <w:color w:val="auto"/>
          <w:sz w:val="24"/>
          <w:highlight w:val="none"/>
          <w:lang w:eastAsia="zh-CN"/>
        </w:rPr>
        <w:t>提供2022年1月1日至今任意一个月的社保缴费凭据或社保机构开具的社会保险参保缴费情况证明</w:t>
      </w:r>
      <w:r>
        <w:rPr>
          <w:rFonts w:hint="eastAsia" w:ascii="仿宋" w:hAnsi="仿宋" w:eastAsia="仿宋" w:cs="仿宋"/>
          <w:color w:val="auto"/>
          <w:sz w:val="24"/>
          <w:highlight w:val="none"/>
        </w:rPr>
        <w:t>；（依法不需要缴纳社会保障资金的投标人应提供相关证明）。</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lang w:eastAsia="zh-CN"/>
        </w:rPr>
      </w:pPr>
      <w:r>
        <w:rPr>
          <w:rFonts w:hint="eastAsia" w:ascii="仿宋" w:hAnsi="仿宋" w:eastAsia="仿宋" w:cs="仿宋"/>
          <w:b w:val="0"/>
          <w:bCs/>
          <w:color w:val="auto"/>
          <w:szCs w:val="24"/>
          <w:highlight w:val="none"/>
        </w:rPr>
        <w:t>5、提供具有履行本合同所必需的设备和专业技术能力的说明及承诺；（格式自拟，加盖投标人公章）</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6、提供参加政府采购活动前三年内在经营活动中没有重大违法记录的书面声明。（格式自拟，加盖投标人公章）</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（2）、特定资格条件：</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auto"/>
          <w:sz w:val="24"/>
          <w:highlight w:val="none"/>
        </w:rPr>
      </w:pPr>
      <w:r>
        <w:rPr>
          <w:rFonts w:hint="eastAsia" w:ascii="仿宋" w:hAnsi="仿宋" w:eastAsia="仿宋" w:cs="仿宋"/>
          <w:b w:val="0"/>
          <w:bCs/>
          <w:color w:val="auto"/>
          <w:szCs w:val="24"/>
          <w:highlight w:val="none"/>
        </w:rPr>
        <w:t>2、被授权人参与投标时需提供法定代表人或负责人授权委托书（附法定代表人或负责人及被授权人身份证复印件）；（被授权人须提供身份证原件，身份证原件可由本人持有）</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3</w:t>
      </w:r>
      <w:r>
        <w:rPr>
          <w:rFonts w:hint="eastAsia" w:ascii="仿宋" w:hAnsi="仿宋" w:eastAsia="仿宋" w:cs="仿宋"/>
          <w:b w:val="0"/>
          <w:bCs/>
          <w:color w:val="auto"/>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4</w:t>
      </w:r>
      <w:r>
        <w:rPr>
          <w:rFonts w:hint="eastAsia" w:ascii="仿宋" w:hAnsi="仿宋" w:eastAsia="仿宋" w:cs="仿宋"/>
          <w:b w:val="0"/>
          <w:bCs/>
          <w:color w:val="auto"/>
          <w:szCs w:val="24"/>
          <w:highlight w:val="none"/>
        </w:rPr>
        <w:t>、单位负责人为同一人或者存在直接控股、管理关系的不同投标人，不得参加同一合同项下的政府采购活动；（提供书面承诺函，格式自拟加盖投标人公章）</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3、评标</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3-1、</w:t>
      </w:r>
      <w:r>
        <w:rPr>
          <w:rFonts w:hint="eastAsia" w:ascii="仿宋" w:hAnsi="仿宋" w:eastAsia="仿宋" w:cs="仿宋"/>
          <w:bCs/>
          <w:color w:val="auto"/>
          <w:szCs w:val="24"/>
          <w:highlight w:val="none"/>
        </w:rPr>
        <w:t>评标委员会</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（1）采购代理机构根据《中华人民共和国政府采购法》及其实施条例、《政府采购货物和服务招标投标管理办法》（财政部令第87号）等规定，依法组建评标委员会。</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（2）采购人派代表进入评标委员会时，须向采购代理机构出具授权函。</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（3）评标委员会应推荐一名评审专家担任评审组长，并由评审组长牵头组织该项目评审工作，采购人代表不得担任评审组长。</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（4）评标委员会成员不得参加开标活动。</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（5）评标委员会成员应当遵守并履行下列职责义务：</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a、遵纪守法，客观、公正、认真负责地履行职责，根据招标文件规定的评标程序、评标方法和评标标准审查投标文件；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b、符合性审查、评价投标文件是否符合招标文件的商务、技术等实质性要求；</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c、要求投标人对投标文件有关事项作出澄清或者说明；</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d、对投标文件进行比较和评价；</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e、确定中标候选人名单，以及根据采购人委托直接确定中标人；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f、向采购人、采购代理机构或者有关部门报告评标中发现的违法行为；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g、对评标过程及各投标人的商业机密予以保密；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h、配合采购人、采购代理机构答复各投标人提出的质疑；</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i、配合各部门的投诉处理和监督检查工作。</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3-2、在政府采购活动中，采购人员及相关人员（包括评标委员会）与投标人有下列利害关系之一的，应当回避：</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（1）参加采购活动前3年内与投标人存在劳动关系；</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（2）参加采购活动前3年内担任投标人的董事、监事；</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（3）参加采购活动前3年内是投标人的控股股东或者实际控制人；</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（4）与投标人的法定代表人或者负责人有夫妻、直系血亲、三代以内旁系血亲或者近姻亲关系；</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（5）与投标人有其他可能影响政府采购活动公平、公正进行的关系。</w:t>
      </w:r>
    </w:p>
    <w:p>
      <w:pPr>
        <w:spacing w:line="560" w:lineRule="exact"/>
        <w:ind w:firstLine="480" w:firstLineChars="200"/>
        <w:rPr>
          <w:rFonts w:hint="eastAsia" w:ascii="仿宋" w:hAnsi="仿宋" w:eastAsia="仿宋" w:cs="仿宋"/>
          <w:bCs/>
          <w:color w:val="auto"/>
          <w:szCs w:val="24"/>
          <w:highlight w:val="none"/>
          <w:lang w:val="en-US" w:eastAsia="zh-CN"/>
        </w:rPr>
      </w:pPr>
      <w:r>
        <w:rPr>
          <w:rFonts w:hint="eastAsia" w:ascii="仿宋" w:hAnsi="仿宋" w:eastAsia="仿宋" w:cs="仿宋"/>
          <w:bCs/>
          <w:color w:val="auto"/>
          <w:szCs w:val="24"/>
          <w:highlight w:val="none"/>
          <w:lang w:val="en-US" w:eastAsia="zh-CN"/>
        </w:rPr>
        <w:t>3-3、采购人、采购代理机构应当采取必要的措施，保证评标在严格保密的情况下进行。除采购人代表、评标现场组织人员外，采购人的其他工作人员以及与评标工作无关的人员不得进入评标现场。</w:t>
      </w:r>
    </w:p>
    <w:p>
      <w:pPr>
        <w:spacing w:line="560" w:lineRule="exact"/>
        <w:ind w:firstLine="480" w:firstLineChars="200"/>
        <w:rPr>
          <w:rFonts w:hint="eastAsia" w:ascii="仿宋" w:hAnsi="仿宋" w:eastAsia="仿宋" w:cs="仿宋"/>
          <w:bCs/>
          <w:color w:val="auto"/>
          <w:szCs w:val="24"/>
          <w:highlight w:val="none"/>
          <w:lang w:val="en-US" w:eastAsia="zh-CN"/>
        </w:rPr>
      </w:pPr>
      <w:r>
        <w:rPr>
          <w:rFonts w:hint="eastAsia" w:ascii="仿宋" w:hAnsi="仿宋" w:eastAsia="仿宋" w:cs="仿宋"/>
          <w:bCs/>
          <w:color w:val="auto"/>
          <w:szCs w:val="24"/>
          <w:highlight w:val="none"/>
          <w:lang w:val="en-US" w:eastAsia="zh-CN"/>
        </w:rPr>
        <w:t>3-4、有关人员对评标情况以及在评标过程中获悉的国家秘密、商业秘密负有保密责任。</w:t>
      </w:r>
    </w:p>
    <w:p>
      <w:pPr>
        <w:spacing w:line="56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3-</w:t>
      </w:r>
      <w:r>
        <w:rPr>
          <w:rFonts w:hint="eastAsia" w:ascii="仿宋" w:hAnsi="仿宋" w:eastAsia="仿宋" w:cs="仿宋"/>
          <w:bCs/>
          <w:color w:val="auto"/>
          <w:szCs w:val="24"/>
          <w:highlight w:val="none"/>
          <w:lang w:val="en-US" w:eastAsia="zh-CN"/>
        </w:rPr>
        <w:t>5</w:t>
      </w:r>
      <w:r>
        <w:rPr>
          <w:rFonts w:hint="eastAsia" w:ascii="仿宋" w:hAnsi="仿宋" w:eastAsia="仿宋" w:cs="仿宋"/>
          <w:bCs/>
          <w:color w:val="auto"/>
          <w:szCs w:val="24"/>
          <w:highlight w:val="none"/>
        </w:rPr>
        <w:t>、评标原则：</w:t>
      </w:r>
      <w:r>
        <w:rPr>
          <w:rFonts w:hint="eastAsia" w:ascii="仿宋" w:hAnsi="仿宋" w:eastAsia="仿宋" w:cs="仿宋"/>
          <w:color w:val="auto"/>
          <w:szCs w:val="24"/>
          <w:highlight w:val="none"/>
        </w:rPr>
        <w:t>坚持公平、公正、科学、择优原则，禁止不正当竞争。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bCs/>
          <w:color w:val="auto"/>
          <w:szCs w:val="24"/>
          <w:highlight w:val="none"/>
        </w:rPr>
        <w:t>3-</w:t>
      </w:r>
      <w:r>
        <w:rPr>
          <w:rFonts w:hint="eastAsia" w:ascii="仿宋" w:hAnsi="仿宋" w:eastAsia="仿宋" w:cs="仿宋"/>
          <w:bCs/>
          <w:color w:val="auto"/>
          <w:szCs w:val="24"/>
          <w:highlight w:val="none"/>
          <w:lang w:val="en-US" w:eastAsia="zh-CN"/>
        </w:rPr>
        <w:t>6</w:t>
      </w:r>
      <w:r>
        <w:rPr>
          <w:rFonts w:hint="eastAsia" w:ascii="仿宋" w:hAnsi="仿宋" w:eastAsia="仿宋" w:cs="仿宋"/>
          <w:bCs/>
          <w:color w:val="auto"/>
          <w:szCs w:val="24"/>
          <w:highlight w:val="none"/>
        </w:rPr>
        <w:t>、评标办法</w:t>
      </w:r>
      <w:r>
        <w:rPr>
          <w:rFonts w:hint="eastAsia" w:ascii="仿宋" w:hAnsi="仿宋" w:eastAsia="仿宋" w:cs="仿宋"/>
          <w:color w:val="auto"/>
          <w:szCs w:val="24"/>
          <w:highlight w:val="none"/>
        </w:rPr>
        <w:t>：本次招标采用综合评分法（详见本节评分标准）。</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3-</w:t>
      </w:r>
      <w:r>
        <w:rPr>
          <w:rFonts w:hint="eastAsia" w:ascii="仿宋" w:hAnsi="仿宋" w:eastAsia="仿宋" w:cs="仿宋"/>
          <w:b/>
          <w:color w:val="auto"/>
          <w:szCs w:val="24"/>
          <w:highlight w:val="none"/>
          <w:lang w:val="en-US" w:eastAsia="zh-CN"/>
        </w:rPr>
        <w:t>7</w:t>
      </w:r>
      <w:r>
        <w:rPr>
          <w:rFonts w:hint="eastAsia" w:ascii="仿宋" w:hAnsi="仿宋" w:eastAsia="仿宋" w:cs="仿宋"/>
          <w:b/>
          <w:color w:val="auto"/>
          <w:szCs w:val="24"/>
          <w:highlight w:val="none"/>
        </w:rPr>
        <w:t>、评标工作程序：</w:t>
      </w:r>
      <w:r>
        <w:rPr>
          <w:rFonts w:hint="eastAsia" w:ascii="仿宋" w:hAnsi="仿宋" w:eastAsia="仿宋" w:cs="仿宋"/>
          <w:color w:val="auto"/>
          <w:szCs w:val="24"/>
          <w:highlight w:val="none"/>
        </w:rPr>
        <w:t>符合性审查、澄清、评价、推荐中标候选人的工作程序进行评标。</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-1、投标文件符合性审查</w:t>
      </w:r>
    </w:p>
    <w:p>
      <w:pPr>
        <w:spacing w:line="560" w:lineRule="exact"/>
        <w:ind w:firstLine="720" w:firstLineChars="300"/>
        <w:rPr>
          <w:rFonts w:hint="eastAsia" w:ascii="仿宋" w:hAnsi="仿宋" w:eastAsia="仿宋" w:cs="仿宋"/>
          <w:color w:val="auto"/>
          <w:szCs w:val="24"/>
          <w:highlight w:val="none"/>
        </w:rPr>
      </w:pPr>
      <w:r>
        <w:rPr>
          <w:rFonts w:hint="eastAsia" w:ascii="仿宋" w:hAnsi="仿宋" w:eastAsia="仿宋" w:cs="仿宋"/>
          <w:color w:val="auto"/>
          <w:szCs w:val="24"/>
          <w:highlight w:val="none"/>
        </w:rPr>
        <w:t>依据招标文件的规定，对资格合格者投标文件的完整性、有效性和对招标文件的响应程度进行审查，以确定是否对招标文件的实质性内容做出响应，包含但不限于以下内容，未通过审查的按无效投标处理：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（1）投标人名称与购买招标文件的单位名称</w:t>
      </w:r>
      <w:r>
        <w:rPr>
          <w:rFonts w:hint="eastAsia" w:ascii="仿宋" w:hAnsi="仿宋" w:eastAsia="仿宋" w:cs="仿宋"/>
          <w:color w:val="auto"/>
          <w:szCs w:val="24"/>
          <w:highlight w:val="none"/>
          <w:lang w:eastAsia="zh-CN"/>
        </w:rPr>
        <w:t>不</w:t>
      </w:r>
      <w:r>
        <w:rPr>
          <w:rFonts w:hint="eastAsia" w:ascii="仿宋" w:hAnsi="仿宋" w:eastAsia="仿宋" w:cs="仿宋"/>
          <w:color w:val="auto"/>
          <w:szCs w:val="24"/>
          <w:highlight w:val="none"/>
        </w:rPr>
        <w:t>一致；</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）投标文件</w:t>
      </w:r>
      <w:r>
        <w:rPr>
          <w:rFonts w:hint="eastAsia" w:ascii="仿宋" w:hAnsi="仿宋" w:eastAsia="仿宋" w:cs="仿宋"/>
          <w:color w:val="auto"/>
          <w:szCs w:val="24"/>
          <w:highlight w:val="none"/>
          <w:lang w:eastAsia="zh-CN"/>
        </w:rPr>
        <w:t>未</w:t>
      </w:r>
      <w:r>
        <w:rPr>
          <w:rFonts w:hint="eastAsia" w:ascii="仿宋" w:hAnsi="仿宋" w:eastAsia="仿宋" w:cs="仿宋"/>
          <w:color w:val="auto"/>
          <w:szCs w:val="24"/>
          <w:highlight w:val="none"/>
        </w:rPr>
        <w:t>按照招标文件的要求盖章签字；</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）投标文件</w:t>
      </w:r>
      <w:r>
        <w:rPr>
          <w:rFonts w:hint="eastAsia" w:ascii="仿宋" w:hAnsi="仿宋" w:eastAsia="仿宋" w:cs="仿宋"/>
          <w:color w:val="auto"/>
          <w:szCs w:val="24"/>
          <w:highlight w:val="none"/>
          <w:lang w:eastAsia="zh-CN"/>
        </w:rPr>
        <w:t>不</w:t>
      </w:r>
      <w:r>
        <w:rPr>
          <w:rFonts w:hint="eastAsia" w:ascii="仿宋" w:hAnsi="仿宋" w:eastAsia="仿宋" w:cs="仿宋"/>
          <w:color w:val="auto"/>
          <w:szCs w:val="24"/>
          <w:highlight w:val="none"/>
        </w:rPr>
        <w:t>符合招标文件要求的数量；</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）针对同一项目提交两份或多份内容不同的投标文件，未书面声明哪一份是有效的或出现选择性报价的；</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 xml:space="preserve">）投标报价超过采购预算；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）投标有效期</w:t>
      </w:r>
      <w:r>
        <w:rPr>
          <w:rFonts w:hint="eastAsia" w:ascii="仿宋" w:hAnsi="仿宋" w:eastAsia="仿宋" w:cs="仿宋"/>
          <w:color w:val="auto"/>
          <w:szCs w:val="24"/>
          <w:highlight w:val="none"/>
          <w:lang w:eastAsia="zh-CN"/>
        </w:rPr>
        <w:t>不</w:t>
      </w:r>
      <w:r>
        <w:rPr>
          <w:rFonts w:hint="eastAsia" w:ascii="仿宋" w:hAnsi="仿宋" w:eastAsia="仿宋" w:cs="仿宋"/>
          <w:color w:val="auto"/>
          <w:szCs w:val="24"/>
          <w:highlight w:val="none"/>
        </w:rPr>
        <w:t>符合招标文件的要求；</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（7）未对招标文件商务要求作出明确且实质性响应。</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Cs w:val="24"/>
          <w:highlight w:val="none"/>
        </w:rPr>
        <w:t xml:space="preserve"> 3-</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-2、投标文件的澄清：</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在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被授权人签字。投标人的澄清、说明或者补正不得超出投标文件的范围或者改变投标文件的实质性内容。</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Cs w:val="24"/>
          <w:highlight w:val="none"/>
        </w:rPr>
        <w:t>（2）书写错误的评审标准：</w:t>
      </w:r>
    </w:p>
    <w:p>
      <w:pPr>
        <w:overflowPunct w:val="0"/>
        <w:adjustRightInd w:val="0"/>
        <w:snapToGrid w:val="0"/>
        <w:spacing w:line="560" w:lineRule="exact"/>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rPr>
        <w:t>评标委员会在评标过程中，发现投标文件出现下列情况之一者，按以下原则修正：</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a、</w:t>
      </w:r>
      <w:r>
        <w:rPr>
          <w:rFonts w:hint="eastAsia" w:ascii="仿宋" w:hAnsi="仿宋" w:eastAsia="仿宋" w:cs="仿宋"/>
          <w:color w:val="auto"/>
          <w:szCs w:val="24"/>
          <w:highlight w:val="none"/>
        </w:rPr>
        <w:t>投标文件有关内容与“开标一览表”不一致的，以“开标一览表”为准</w:t>
      </w:r>
      <w:r>
        <w:rPr>
          <w:rFonts w:hint="eastAsia" w:ascii="仿宋" w:hAnsi="仿宋" w:eastAsia="仿宋" w:cs="仿宋"/>
          <w:color w:val="auto"/>
          <w:highlight w:val="none"/>
        </w:rPr>
        <w:t>；</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b、</w:t>
      </w:r>
      <w:r>
        <w:rPr>
          <w:rFonts w:hint="eastAsia" w:ascii="仿宋" w:hAnsi="仿宋" w:eastAsia="仿宋" w:cs="仿宋"/>
          <w:color w:val="auto"/>
          <w:szCs w:val="24"/>
          <w:highlight w:val="none"/>
        </w:rPr>
        <w:t>大写金额与小写金额不一致的，以大写金额为准</w:t>
      </w:r>
      <w:r>
        <w:rPr>
          <w:rFonts w:hint="eastAsia" w:ascii="仿宋" w:hAnsi="仿宋" w:eastAsia="仿宋" w:cs="仿宋"/>
          <w:color w:val="auto"/>
          <w:highlight w:val="none"/>
        </w:rPr>
        <w:t>；</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c、单价金额小数点或者百分比有明显错位的，以“</w:t>
      </w:r>
      <w:r>
        <w:rPr>
          <w:rFonts w:hint="eastAsia" w:ascii="仿宋" w:hAnsi="仿宋" w:eastAsia="仿宋" w:cs="仿宋"/>
          <w:color w:val="auto"/>
          <w:szCs w:val="24"/>
          <w:highlight w:val="none"/>
        </w:rPr>
        <w:t>开标一览表</w:t>
      </w:r>
      <w:r>
        <w:rPr>
          <w:rFonts w:hint="eastAsia" w:ascii="仿宋" w:hAnsi="仿宋" w:eastAsia="仿宋" w:cs="仿宋"/>
          <w:color w:val="auto"/>
          <w:highlight w:val="none"/>
        </w:rPr>
        <w:t>”的总价为准，并修改单价；</w:t>
      </w:r>
    </w:p>
    <w:p>
      <w:pPr>
        <w:overflowPunct w:val="0"/>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highlight w:val="none"/>
        </w:rPr>
        <w:t>d、总价金额与按</w:t>
      </w:r>
      <w:r>
        <w:rPr>
          <w:rFonts w:hint="eastAsia" w:ascii="仿宋" w:hAnsi="仿宋" w:eastAsia="仿宋" w:cs="仿宋"/>
          <w:color w:val="auto"/>
          <w:szCs w:val="24"/>
          <w:highlight w:val="none"/>
        </w:rPr>
        <w:t>单价汇总金额不一致的，以单价乘以数量的计算结果为准</w:t>
      </w:r>
      <w:r>
        <w:rPr>
          <w:rFonts w:hint="eastAsia" w:ascii="仿宋" w:hAnsi="仿宋" w:eastAsia="仿宋" w:cs="仿宋"/>
          <w:color w:val="auto"/>
          <w:highlight w:val="none"/>
        </w:rPr>
        <w:t>；</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e、</w:t>
      </w:r>
      <w:r>
        <w:rPr>
          <w:rFonts w:hint="eastAsia" w:ascii="仿宋" w:hAnsi="仿宋" w:eastAsia="仿宋" w:cs="仿宋"/>
          <w:color w:val="auto"/>
          <w:szCs w:val="24"/>
          <w:highlight w:val="none"/>
        </w:rPr>
        <w:t>投标文件图表与文字不符时，以文字为准</w:t>
      </w:r>
      <w:r>
        <w:rPr>
          <w:rFonts w:hint="eastAsia" w:ascii="仿宋" w:hAnsi="仿宋" w:eastAsia="仿宋" w:cs="仿宋"/>
          <w:color w:val="auto"/>
          <w:highlight w:val="none"/>
        </w:rPr>
        <w:t>；</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Cs w:val="24"/>
          <w:highlight w:val="none"/>
        </w:rPr>
        <w:t>f、投标文件正本与副本不符时，以正本为准；</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g、对不同文字文本投标文件的解释发生异议的，以中文文本为准；</w:t>
      </w:r>
    </w:p>
    <w:p>
      <w:pPr>
        <w:overflowPunct w:val="0"/>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highlight w:val="none"/>
        </w:rPr>
        <w:t>h、</w:t>
      </w:r>
      <w:r>
        <w:rPr>
          <w:rFonts w:hint="eastAsia" w:ascii="仿宋" w:hAnsi="仿宋" w:eastAsia="仿宋" w:cs="仿宋"/>
          <w:color w:val="auto"/>
          <w:szCs w:val="24"/>
          <w:highlight w:val="none"/>
        </w:rPr>
        <w:t>多处内容交叉不符时，以评标委员会评审结果为准。</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注：按上述方法修正的内容（其中，同时出现上述a至d两种以上不一致的，按上述规定的顺序修正），经投标人确认后产生约束力，投标人不确认的，其投标无效。</w:t>
      </w:r>
    </w:p>
    <w:p>
      <w:pPr>
        <w:spacing w:line="560" w:lineRule="exact"/>
        <w:ind w:firstLine="465"/>
        <w:rPr>
          <w:rFonts w:hint="eastAsia" w:ascii="仿宋" w:hAnsi="仿宋" w:eastAsia="仿宋" w:cs="仿宋"/>
          <w:color w:val="auto"/>
          <w:szCs w:val="24"/>
          <w:highlight w:val="none"/>
        </w:rPr>
      </w:pPr>
      <w:r>
        <w:rPr>
          <w:rFonts w:hint="eastAsia" w:ascii="仿宋" w:hAnsi="仿宋" w:eastAsia="仿宋" w:cs="仿宋"/>
          <w:color w:val="auto"/>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560" w:lineRule="exact"/>
        <w:ind w:firstLine="465"/>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-3、评价：</w:t>
      </w:r>
    </w:p>
    <w:p>
      <w:pPr>
        <w:spacing w:line="560" w:lineRule="exact"/>
        <w:ind w:firstLine="465"/>
        <w:rPr>
          <w:rFonts w:hint="eastAsia" w:ascii="仿宋" w:hAnsi="仿宋" w:eastAsia="仿宋" w:cs="仿宋"/>
          <w:color w:val="auto"/>
          <w:szCs w:val="24"/>
          <w:highlight w:val="none"/>
        </w:rPr>
      </w:pPr>
      <w:r>
        <w:rPr>
          <w:rFonts w:hint="eastAsia" w:ascii="仿宋" w:hAnsi="仿宋" w:eastAsia="仿宋" w:cs="仿宋"/>
          <w:color w:val="auto"/>
          <w:szCs w:val="24"/>
          <w:highlight w:val="none"/>
        </w:rPr>
        <w:t>（1）评标委员会评审投标文件符合性只根据投标文件本身的内容，而不寻求其他外部证据。</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Cs w:val="24"/>
          <w:highlight w:val="none"/>
        </w:rPr>
        <w:t>（2）</w:t>
      </w:r>
      <w:r>
        <w:rPr>
          <w:rFonts w:hint="eastAsia" w:ascii="仿宋" w:hAnsi="仿宋" w:eastAsia="仿宋" w:cs="仿宋"/>
          <w:color w:val="auto"/>
          <w:highlight w:val="none"/>
        </w:rPr>
        <w:t>评标采取逐项分步评审方式，每一步评审不符合者，不进入下一步评审，全部评审合格的投标人进行最后的综合评审和打分，按最后得分由高向低排序，推荐中标候选人。</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（3）其他需说明的情况：</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a、对于投标文件中不构成实质性偏差的小的不正规、不一致或不规则，采购人可以接受，但这种接受不能损害或影响任何投标人的相对排序；</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highlight w:val="none"/>
        </w:rPr>
        <w:t>b、最低报价不是中标的唯一条件；</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c、如果投标实质上没有响应招标文件的要求，其投标将被拒绝，投标人不得通过修正或撤消不合要求的偏离或保留从而使其投标成为实质上响应的投标。</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d、</w:t>
      </w:r>
      <w:r>
        <w:rPr>
          <w:rFonts w:hint="eastAsia" w:ascii="仿宋" w:hAnsi="仿宋" w:eastAsia="仿宋" w:cs="仿宋"/>
          <w:color w:val="auto"/>
          <w:szCs w:val="24"/>
          <w:highlight w:val="none"/>
        </w:rPr>
        <w:t>无论投标的结果如何，投标期间一切费用自理。</w:t>
      </w:r>
    </w:p>
    <w:p>
      <w:pPr>
        <w:spacing w:line="560" w:lineRule="exact"/>
        <w:ind w:firstLine="600" w:firstLineChars="249"/>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3-</w:t>
      </w:r>
      <w:r>
        <w:rPr>
          <w:rFonts w:hint="eastAsia" w:ascii="仿宋" w:hAnsi="仿宋" w:eastAsia="仿宋" w:cs="仿宋"/>
          <w:b/>
          <w:color w:val="auto"/>
          <w:szCs w:val="24"/>
          <w:highlight w:val="none"/>
          <w:lang w:val="en-US" w:eastAsia="zh-CN"/>
        </w:rPr>
        <w:t>8</w:t>
      </w:r>
      <w:r>
        <w:rPr>
          <w:rFonts w:hint="eastAsia" w:ascii="仿宋" w:hAnsi="仿宋" w:eastAsia="仿宋" w:cs="仿宋"/>
          <w:b/>
          <w:color w:val="auto"/>
          <w:szCs w:val="24"/>
          <w:highlight w:val="none"/>
        </w:rPr>
        <w:t>、评分标准：</w:t>
      </w:r>
    </w:p>
    <w:tbl>
      <w:tblPr>
        <w:tblStyle w:val="24"/>
        <w:tblW w:w="10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66"/>
        <w:gridCol w:w="8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ind w:right="-108" w:rightChars="-45"/>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报价</w:t>
            </w:r>
          </w:p>
        </w:tc>
        <w:tc>
          <w:tcPr>
            <w:tcW w:w="766" w:type="dxa"/>
            <w:vAlign w:val="center"/>
          </w:tcPr>
          <w:p>
            <w:pPr>
              <w:shd w:val="clear"/>
              <w:spacing w:line="560" w:lineRule="exact"/>
              <w:ind w:left="-134" w:leftChars="-56" w:right="-108" w:rightChars="-45"/>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30分</w:t>
            </w:r>
          </w:p>
        </w:tc>
        <w:tc>
          <w:tcPr>
            <w:tcW w:w="8084" w:type="dxa"/>
            <w:vAlign w:val="center"/>
          </w:tcPr>
          <w:p>
            <w:pPr>
              <w:pStyle w:val="40"/>
              <w:shd w:val="clear"/>
              <w:spacing w:line="560" w:lineRule="exact"/>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按照财政部《政府采购货物和服务招标投标管理办法》（财政部令第87号）的有关规定：</w:t>
            </w:r>
            <w:r>
              <w:rPr>
                <w:rFonts w:hint="eastAsia" w:ascii="仿宋" w:hAnsi="仿宋" w:eastAsia="仿宋" w:cs="仿宋"/>
                <w:color w:val="auto"/>
                <w:kern w:val="2"/>
                <w:sz w:val="24"/>
                <w:szCs w:val="24"/>
                <w:highlight w:val="none"/>
              </w:rPr>
              <w:t>价格分采用低价优先法计算，即满足招标文件要求且投标价格最低的投标报价为评标基准价，其价格分为满分。其他投标人的价格分统一按照下列公式计算：</w:t>
            </w:r>
          </w:p>
          <w:p>
            <w:pPr>
              <w:widowControl/>
              <w:shd w:val="clear"/>
              <w:spacing w:line="560" w:lineRule="exact"/>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投标报价得分=（评标基准价/投标报价）×价格权值×100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技术</w:t>
            </w:r>
          </w:p>
          <w:p>
            <w:pPr>
              <w:shd w:val="clear"/>
              <w:spacing w:line="56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响应</w:t>
            </w:r>
          </w:p>
        </w:tc>
        <w:tc>
          <w:tcPr>
            <w:tcW w:w="766" w:type="dxa"/>
            <w:vAlign w:val="center"/>
          </w:tcPr>
          <w:p>
            <w:pPr>
              <w:shd w:val="clear"/>
              <w:spacing w:line="56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32</w:t>
            </w:r>
            <w:r>
              <w:rPr>
                <w:rFonts w:hint="eastAsia" w:ascii="仿宋" w:hAnsi="仿宋" w:eastAsia="仿宋" w:cs="仿宋"/>
                <w:color w:val="auto"/>
                <w:kern w:val="0"/>
                <w:szCs w:val="24"/>
                <w:highlight w:val="none"/>
              </w:rPr>
              <w:t>分</w:t>
            </w:r>
          </w:p>
        </w:tc>
        <w:tc>
          <w:tcPr>
            <w:tcW w:w="8084" w:type="dxa"/>
          </w:tcPr>
          <w:p>
            <w:pPr>
              <w:widowControl/>
              <w:numPr>
                <w:ilvl w:val="0"/>
                <w:numId w:val="3"/>
              </w:numPr>
              <w:shd w:val="clear"/>
              <w:spacing w:line="560" w:lineRule="exact"/>
              <w:jc w:val="left"/>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投标人所投产品的技术参数和性能要求完全满足招标文件要求的得</w:t>
            </w:r>
            <w:r>
              <w:rPr>
                <w:rFonts w:hint="eastAsia" w:ascii="仿宋" w:hAnsi="仿宋" w:eastAsia="仿宋" w:cs="仿宋"/>
                <w:color w:val="auto"/>
                <w:szCs w:val="24"/>
                <w:highlight w:val="none"/>
                <w:lang w:val="en-US" w:eastAsia="zh-CN"/>
              </w:rPr>
              <w:t>12</w:t>
            </w:r>
            <w:r>
              <w:rPr>
                <w:rFonts w:hint="eastAsia" w:ascii="仿宋" w:hAnsi="仿宋" w:eastAsia="仿宋" w:cs="仿宋"/>
                <w:color w:val="auto"/>
                <w:szCs w:val="24"/>
                <w:highlight w:val="none"/>
              </w:rPr>
              <w:t>分</w:t>
            </w:r>
            <w:r>
              <w:rPr>
                <w:rFonts w:hint="eastAsia" w:ascii="仿宋" w:hAnsi="仿宋" w:eastAsia="仿宋" w:cs="仿宋"/>
                <w:color w:val="auto"/>
                <w:szCs w:val="24"/>
                <w:highlight w:val="none"/>
                <w:lang w:eastAsia="zh-CN"/>
              </w:rPr>
              <w:t>，参数每负偏离一项扣</w:t>
            </w: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lang w:eastAsia="zh-CN"/>
              </w:rPr>
              <w:t>分，扣完为止；</w:t>
            </w:r>
          </w:p>
          <w:p>
            <w:pPr>
              <w:widowControl/>
              <w:numPr>
                <w:ilvl w:val="0"/>
                <w:numId w:val="0"/>
              </w:numPr>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2、产品有详细的使用说明介绍，技术指标满足</w:t>
            </w:r>
            <w:r>
              <w:rPr>
                <w:rFonts w:hint="eastAsia" w:ascii="仿宋" w:hAnsi="仿宋" w:eastAsia="仿宋" w:cs="仿宋"/>
                <w:color w:val="auto"/>
                <w:szCs w:val="24"/>
                <w:highlight w:val="none"/>
                <w:lang w:val="en-US" w:eastAsia="zh-CN"/>
              </w:rPr>
              <w:t>招标</w:t>
            </w:r>
            <w:r>
              <w:rPr>
                <w:rFonts w:hint="eastAsia" w:ascii="仿宋" w:hAnsi="仿宋" w:eastAsia="仿宋" w:cs="仿宋"/>
                <w:color w:val="auto"/>
                <w:szCs w:val="24"/>
                <w:highlight w:val="none"/>
              </w:rPr>
              <w:t>文件要求及用户实际使用需求且技术资料齐全，并能提供生产厂家出具的、响应的功能证明材料（包括但不限于检测报告、官网和功能截图、彩页、说明书等相关资料），</w:t>
            </w:r>
            <w:r>
              <w:rPr>
                <w:rFonts w:hint="eastAsia" w:ascii="仿宋" w:hAnsi="仿宋" w:eastAsia="仿宋" w:cs="仿宋"/>
                <w:color w:val="auto"/>
                <w:szCs w:val="24"/>
                <w:highlight w:val="none"/>
                <w:lang w:val="en-US" w:eastAsia="zh-CN"/>
              </w:rPr>
              <w:t>每提供一项证明材料得1分，最多得5分</w:t>
            </w:r>
            <w:r>
              <w:rPr>
                <w:rFonts w:hint="eastAsia" w:ascii="仿宋" w:hAnsi="仿宋" w:eastAsia="仿宋" w:cs="仿宋"/>
                <w:color w:val="auto"/>
                <w:szCs w:val="24"/>
                <w:highlight w:val="none"/>
              </w:rPr>
              <w:t>；</w:t>
            </w:r>
          </w:p>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、项目实施方案：项目组织实施计划完整可行，资金等保障措施可靠，能够保证按期供货，具有明确的项目组织机构及实施方案，评标委员会从以下方面进行比较后赋分。（1</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分）</w:t>
            </w:r>
          </w:p>
          <w:p>
            <w:pPr>
              <w:widowControl/>
              <w:shd w:val="clear"/>
              <w:spacing w:line="560" w:lineRule="exact"/>
              <w:jc w:val="left"/>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（1）、备货、供货进度及保证措施</w:t>
            </w:r>
            <w:r>
              <w:rPr>
                <w:rFonts w:hint="eastAsia" w:ascii="仿宋" w:hAnsi="仿宋" w:eastAsia="仿宋" w:cs="仿宋"/>
                <w:color w:val="auto"/>
                <w:szCs w:val="24"/>
                <w:highlight w:val="none"/>
                <w:lang w:val="en-US" w:eastAsia="zh-CN"/>
              </w:rPr>
              <w:t>详细完整</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根据响应程度计</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0</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分，未提供不得分</w:t>
            </w:r>
            <w:r>
              <w:rPr>
                <w:rFonts w:hint="eastAsia" w:ascii="仿宋" w:hAnsi="仿宋" w:eastAsia="仿宋" w:cs="仿宋"/>
                <w:color w:val="auto"/>
                <w:szCs w:val="24"/>
                <w:highlight w:val="none"/>
                <w:lang w:eastAsia="zh-CN"/>
              </w:rPr>
              <w:t>；</w:t>
            </w:r>
          </w:p>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（2）、拟投入本项目的</w:t>
            </w:r>
            <w:r>
              <w:rPr>
                <w:rFonts w:hint="eastAsia" w:ascii="仿宋" w:hAnsi="仿宋" w:eastAsia="仿宋" w:cs="仿宋"/>
                <w:color w:val="auto"/>
                <w:szCs w:val="24"/>
                <w:highlight w:val="none"/>
                <w:lang w:eastAsia="zh-CN"/>
              </w:rPr>
              <w:t>技术、管理</w:t>
            </w:r>
            <w:r>
              <w:rPr>
                <w:rFonts w:hint="eastAsia" w:ascii="仿宋" w:hAnsi="仿宋" w:eastAsia="仿宋" w:cs="仿宋"/>
                <w:color w:val="auto"/>
                <w:szCs w:val="24"/>
                <w:highlight w:val="none"/>
              </w:rPr>
              <w:t>人员安排及责任制度</w:t>
            </w:r>
            <w:r>
              <w:rPr>
                <w:rFonts w:hint="eastAsia" w:ascii="仿宋" w:hAnsi="仿宋" w:eastAsia="仿宋" w:cs="仿宋"/>
                <w:color w:val="auto"/>
                <w:szCs w:val="24"/>
                <w:highlight w:val="none"/>
                <w:lang w:eastAsia="zh-CN"/>
              </w:rPr>
              <w:t>合理全面，</w:t>
            </w:r>
            <w:r>
              <w:rPr>
                <w:rFonts w:hint="eastAsia" w:ascii="仿宋" w:hAnsi="仿宋" w:eastAsia="仿宋" w:cs="仿宋"/>
                <w:color w:val="auto"/>
                <w:szCs w:val="24"/>
                <w:highlight w:val="none"/>
                <w:lang w:val="en-US" w:eastAsia="zh-CN"/>
              </w:rPr>
              <w:t>根据响应程度计</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0</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分，未提供不得分</w:t>
            </w:r>
            <w:r>
              <w:rPr>
                <w:rFonts w:hint="eastAsia" w:ascii="仿宋" w:hAnsi="仿宋" w:eastAsia="仿宋" w:cs="仿宋"/>
                <w:color w:val="auto"/>
                <w:szCs w:val="24"/>
                <w:highlight w:val="none"/>
                <w:lang w:eastAsia="zh-CN"/>
              </w:rPr>
              <w:t>；</w:t>
            </w:r>
          </w:p>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（3）、安装、检测、调试措施</w:t>
            </w:r>
            <w:r>
              <w:rPr>
                <w:rFonts w:hint="eastAsia" w:ascii="仿宋" w:hAnsi="仿宋" w:eastAsia="仿宋" w:cs="仿宋"/>
                <w:color w:val="auto"/>
                <w:szCs w:val="24"/>
                <w:highlight w:val="none"/>
                <w:lang w:val="en-US" w:eastAsia="zh-CN"/>
              </w:rPr>
              <w:t>完整详细</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根据响应程度计</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0</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分，未提供不得分</w:t>
            </w:r>
            <w:r>
              <w:rPr>
                <w:rFonts w:hint="eastAsia" w:ascii="仿宋" w:hAnsi="仿宋" w:eastAsia="仿宋" w:cs="仿宋"/>
                <w:color w:val="auto"/>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安装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kern w:val="0"/>
                <w:szCs w:val="24"/>
                <w:highlight w:val="none"/>
              </w:rPr>
            </w:pPr>
            <w:r>
              <w:rPr>
                <w:rFonts w:hint="eastAsia" w:ascii="仿宋" w:hAnsi="仿宋" w:eastAsia="仿宋" w:cs="仿宋"/>
                <w:sz w:val="24"/>
                <w:highlight w:val="none"/>
                <w:lang w:val="en-US" w:eastAsia="zh-CN"/>
              </w:rPr>
              <w:t>施工</w:t>
            </w:r>
          </w:p>
        </w:tc>
        <w:tc>
          <w:tcPr>
            <w:tcW w:w="76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sz w:val="24"/>
                <w:highlight w:val="none"/>
                <w:lang w:val="en-US" w:eastAsia="zh-CN"/>
              </w:rPr>
              <w:t>10分</w:t>
            </w:r>
          </w:p>
        </w:tc>
        <w:tc>
          <w:tcPr>
            <w:tcW w:w="8084"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Cs w:val="24"/>
                <w:highlight w:val="none"/>
              </w:rPr>
            </w:pPr>
            <w:r>
              <w:rPr>
                <w:rFonts w:hint="eastAsia" w:ascii="仿宋" w:hAnsi="仿宋" w:eastAsia="仿宋" w:cs="仿宋"/>
                <w:sz w:val="24"/>
                <w:highlight w:val="none"/>
                <w:lang w:val="en-US" w:eastAsia="zh-CN"/>
              </w:rPr>
              <w:t>1、确保工程质量的技术组织措施计0-2分；</w:t>
            </w:r>
            <w:r>
              <w:rPr>
                <w:rFonts w:hint="eastAsia" w:ascii="仿宋" w:hAnsi="仿宋" w:eastAsia="仿宋" w:cs="仿宋"/>
                <w:sz w:val="24"/>
                <w:highlight w:val="none"/>
                <w:lang w:val="en-US" w:eastAsia="zh-CN"/>
              </w:rPr>
              <w:br w:type="textWrapping"/>
            </w:r>
            <w:r>
              <w:rPr>
                <w:rFonts w:hint="eastAsia" w:ascii="仿宋" w:hAnsi="仿宋" w:eastAsia="仿宋" w:cs="仿宋"/>
                <w:sz w:val="24"/>
                <w:highlight w:val="none"/>
                <w:lang w:val="en-US" w:eastAsia="zh-CN"/>
              </w:rPr>
              <w:t>2、确保文明施工的技术组织措施及环境保护措施计0-3分；</w:t>
            </w:r>
            <w:r>
              <w:rPr>
                <w:rFonts w:hint="eastAsia" w:ascii="仿宋" w:hAnsi="仿宋" w:eastAsia="仿宋" w:cs="仿宋"/>
                <w:sz w:val="24"/>
                <w:highlight w:val="none"/>
                <w:lang w:val="en-US" w:eastAsia="zh-CN"/>
              </w:rPr>
              <w:br w:type="textWrapping"/>
            </w:r>
            <w:r>
              <w:rPr>
                <w:rFonts w:hint="eastAsia" w:ascii="仿宋" w:hAnsi="仿宋" w:eastAsia="仿宋" w:cs="仿宋"/>
                <w:sz w:val="24"/>
                <w:highlight w:val="none"/>
                <w:lang w:val="en-US" w:eastAsia="zh-CN"/>
              </w:rPr>
              <w:t>3、确保安全生产的技术组织措施计0-2分；</w:t>
            </w:r>
            <w:r>
              <w:rPr>
                <w:rFonts w:hint="eastAsia" w:ascii="仿宋" w:hAnsi="仿宋" w:eastAsia="仿宋" w:cs="仿宋"/>
                <w:sz w:val="24"/>
                <w:highlight w:val="none"/>
                <w:lang w:val="en-US" w:eastAsia="zh-CN"/>
              </w:rPr>
              <w:br w:type="textWrapping"/>
            </w:r>
            <w:r>
              <w:rPr>
                <w:rFonts w:hint="eastAsia" w:ascii="仿宋" w:hAnsi="仿宋" w:eastAsia="仿宋" w:cs="仿宋"/>
                <w:sz w:val="24"/>
                <w:highlight w:val="none"/>
                <w:lang w:val="en-US" w:eastAsia="zh-CN"/>
              </w:rPr>
              <w:t>4、确保工期的技术组织措施计0-3分；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ind w:right="-95"/>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质量</w:t>
            </w:r>
          </w:p>
          <w:p>
            <w:pPr>
              <w:shd w:val="clear"/>
              <w:spacing w:line="560" w:lineRule="exact"/>
              <w:ind w:right="-95"/>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保证</w:t>
            </w:r>
          </w:p>
        </w:tc>
        <w:tc>
          <w:tcPr>
            <w:tcW w:w="766" w:type="dxa"/>
            <w:vAlign w:val="center"/>
          </w:tcPr>
          <w:p>
            <w:pPr>
              <w:shd w:val="clear"/>
              <w:spacing w:line="560" w:lineRule="exact"/>
              <w:ind w:right="-95"/>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8</w:t>
            </w:r>
            <w:r>
              <w:rPr>
                <w:rFonts w:hint="eastAsia" w:ascii="仿宋" w:hAnsi="仿宋" w:eastAsia="仿宋" w:cs="仿宋"/>
                <w:color w:val="auto"/>
                <w:kern w:val="0"/>
                <w:szCs w:val="24"/>
                <w:highlight w:val="none"/>
              </w:rPr>
              <w:t>分</w:t>
            </w:r>
          </w:p>
        </w:tc>
        <w:tc>
          <w:tcPr>
            <w:tcW w:w="8084" w:type="dxa"/>
            <w:vAlign w:val="center"/>
          </w:tcPr>
          <w:p>
            <w:pPr>
              <w:pStyle w:val="40"/>
              <w:shd w:val="clear"/>
              <w:spacing w:line="560" w:lineRule="exact"/>
              <w:ind w:firstLine="24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 w:val="24"/>
                <w:szCs w:val="32"/>
                <w:highlight w:val="none"/>
              </w:rPr>
              <w:t>所投产品制造厂家有可靠、完善的管理制度；有具体可行的质量保证承诺，保证使用单位能熟练操作维护和正常使用，需提供相应的证明文件，</w:t>
            </w:r>
            <w:r>
              <w:rPr>
                <w:rFonts w:hint="eastAsia" w:ascii="仿宋" w:hAnsi="仿宋" w:eastAsia="仿宋" w:cs="仿宋"/>
                <w:color w:val="auto"/>
                <w:kern w:val="0"/>
                <w:sz w:val="24"/>
                <w:szCs w:val="32"/>
                <w:highlight w:val="none"/>
                <w:lang w:val="en-US" w:eastAsia="zh-CN"/>
              </w:rPr>
              <w:t>全面得</w:t>
            </w:r>
            <w:r>
              <w:rPr>
                <w:rFonts w:hint="eastAsia" w:ascii="仿宋" w:hAnsi="仿宋" w:eastAsia="仿宋" w:cs="仿宋"/>
                <w:color w:val="auto"/>
                <w:kern w:val="0"/>
                <w:sz w:val="24"/>
                <w:szCs w:val="32"/>
                <w:highlight w:val="none"/>
                <w:lang w:eastAsia="zh-CN"/>
              </w:rPr>
              <w:t>（</w:t>
            </w:r>
            <w:r>
              <w:rPr>
                <w:rFonts w:hint="eastAsia" w:ascii="仿宋" w:hAnsi="仿宋" w:eastAsia="仿宋" w:cs="仿宋"/>
                <w:color w:val="auto"/>
                <w:kern w:val="0"/>
                <w:sz w:val="24"/>
                <w:szCs w:val="32"/>
                <w:highlight w:val="none"/>
                <w:lang w:val="en-US" w:eastAsia="zh-CN"/>
              </w:rPr>
              <w:t>5</w:t>
            </w:r>
            <w:r>
              <w:rPr>
                <w:rFonts w:hint="eastAsia" w:ascii="仿宋" w:hAnsi="仿宋" w:eastAsia="仿宋" w:cs="仿宋"/>
                <w:color w:val="auto"/>
                <w:kern w:val="0"/>
                <w:sz w:val="24"/>
                <w:szCs w:val="32"/>
                <w:highlight w:val="none"/>
                <w:lang w:eastAsia="zh-CN"/>
              </w:rPr>
              <w:t>-</w:t>
            </w:r>
            <w:r>
              <w:rPr>
                <w:rFonts w:hint="eastAsia" w:ascii="仿宋" w:hAnsi="仿宋" w:eastAsia="仿宋" w:cs="仿宋"/>
                <w:color w:val="auto"/>
                <w:kern w:val="0"/>
                <w:sz w:val="24"/>
                <w:szCs w:val="32"/>
                <w:highlight w:val="none"/>
                <w:lang w:val="en-US" w:eastAsia="zh-CN"/>
              </w:rPr>
              <w:t>8</w:t>
            </w:r>
            <w:r>
              <w:rPr>
                <w:rFonts w:hint="eastAsia" w:ascii="仿宋" w:hAnsi="仿宋" w:eastAsia="仿宋" w:cs="仿宋"/>
                <w:color w:val="auto"/>
                <w:kern w:val="0"/>
                <w:sz w:val="24"/>
                <w:szCs w:val="32"/>
                <w:highlight w:val="none"/>
                <w:lang w:eastAsia="zh-CN"/>
              </w:rPr>
              <w:t>]分，</w:t>
            </w:r>
            <w:r>
              <w:rPr>
                <w:rFonts w:hint="eastAsia" w:ascii="仿宋" w:hAnsi="仿宋" w:eastAsia="仿宋" w:cs="仿宋"/>
                <w:color w:val="auto"/>
                <w:kern w:val="0"/>
                <w:sz w:val="24"/>
                <w:szCs w:val="32"/>
                <w:highlight w:val="none"/>
                <w:lang w:val="en-US" w:eastAsia="zh-CN"/>
              </w:rPr>
              <w:t>较为全面得（3</w:t>
            </w:r>
            <w:r>
              <w:rPr>
                <w:rFonts w:hint="eastAsia" w:ascii="仿宋" w:hAnsi="仿宋" w:eastAsia="仿宋" w:cs="仿宋"/>
                <w:color w:val="auto"/>
                <w:kern w:val="0"/>
                <w:sz w:val="24"/>
                <w:szCs w:val="32"/>
                <w:highlight w:val="none"/>
                <w:lang w:eastAsia="zh-CN"/>
              </w:rPr>
              <w:t>-</w:t>
            </w:r>
            <w:r>
              <w:rPr>
                <w:rFonts w:hint="eastAsia" w:ascii="仿宋" w:hAnsi="仿宋" w:eastAsia="仿宋" w:cs="仿宋"/>
                <w:color w:val="auto"/>
                <w:kern w:val="0"/>
                <w:sz w:val="24"/>
                <w:szCs w:val="32"/>
                <w:highlight w:val="none"/>
                <w:lang w:val="en-US" w:eastAsia="zh-CN"/>
              </w:rPr>
              <w:t>5</w:t>
            </w:r>
            <w:r>
              <w:rPr>
                <w:rFonts w:hint="eastAsia" w:ascii="仿宋" w:hAnsi="仿宋" w:eastAsia="仿宋" w:cs="仿宋"/>
                <w:color w:val="auto"/>
                <w:kern w:val="0"/>
                <w:sz w:val="24"/>
                <w:szCs w:val="32"/>
                <w:highlight w:val="none"/>
                <w:lang w:eastAsia="zh-CN"/>
              </w:rPr>
              <w:t>]分，</w:t>
            </w:r>
            <w:r>
              <w:rPr>
                <w:rFonts w:hint="eastAsia" w:ascii="仿宋" w:hAnsi="仿宋" w:eastAsia="仿宋" w:cs="仿宋"/>
                <w:color w:val="auto"/>
                <w:kern w:val="0"/>
                <w:sz w:val="24"/>
                <w:szCs w:val="32"/>
                <w:highlight w:val="none"/>
                <w:lang w:val="en-US" w:eastAsia="zh-CN"/>
              </w:rPr>
              <w:t>一般得[1-3]分，未提供不得分</w:t>
            </w:r>
            <w:r>
              <w:rPr>
                <w:rFonts w:hint="eastAsia" w:ascii="仿宋" w:hAnsi="仿宋" w:eastAsia="仿宋" w:cs="仿宋"/>
                <w:color w:val="auto"/>
                <w:kern w:val="0"/>
                <w:sz w:val="24"/>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pageBreakBefore w:val="0"/>
              <w:shd w:val="clear"/>
              <w:bidi w:val="0"/>
              <w:spacing w:line="560" w:lineRule="exact"/>
              <w:jc w:val="center"/>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产品</w:t>
            </w:r>
          </w:p>
          <w:p>
            <w:pPr>
              <w:pageBreakBefore w:val="0"/>
              <w:shd w:val="clear"/>
              <w:bidi w:val="0"/>
              <w:spacing w:line="560" w:lineRule="exact"/>
              <w:jc w:val="center"/>
              <w:textAlignment w:val="auto"/>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渠道</w:t>
            </w:r>
          </w:p>
        </w:tc>
        <w:tc>
          <w:tcPr>
            <w:tcW w:w="766" w:type="dxa"/>
            <w:vAlign w:val="center"/>
          </w:tcPr>
          <w:p>
            <w:pPr>
              <w:pageBreakBefore w:val="0"/>
              <w:shd w:val="clear"/>
              <w:bidi w:val="0"/>
              <w:spacing w:line="560" w:lineRule="exact"/>
              <w:jc w:val="center"/>
              <w:textAlignment w:val="auto"/>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分</w:t>
            </w:r>
          </w:p>
        </w:tc>
        <w:tc>
          <w:tcPr>
            <w:tcW w:w="8084" w:type="dxa"/>
            <w:vAlign w:val="center"/>
          </w:tcPr>
          <w:p>
            <w:pPr>
              <w:shd w:val="clea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能提供所投产品的合法来源渠道证明文件（包括但不限于产品制造商授权、销售协议、代理协议等），根据</w:t>
            </w:r>
            <w:r>
              <w:rPr>
                <w:rFonts w:hint="eastAsia" w:ascii="仿宋" w:hAnsi="仿宋" w:eastAsia="仿宋" w:cs="仿宋"/>
                <w:color w:val="auto"/>
                <w:szCs w:val="24"/>
                <w:highlight w:val="none"/>
                <w:lang w:eastAsia="zh-CN"/>
              </w:rPr>
              <w:t>多寡</w:t>
            </w:r>
            <w:r>
              <w:rPr>
                <w:rFonts w:hint="eastAsia" w:ascii="仿宋" w:hAnsi="仿宋" w:eastAsia="仿宋" w:cs="仿宋"/>
                <w:color w:val="auto"/>
                <w:szCs w:val="24"/>
                <w:highlight w:val="none"/>
              </w:rPr>
              <w:t>程度计0-</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shd w:val="clear" w:color="auto" w:fill="FFFFFF"/>
            <w:vAlign w:val="center"/>
          </w:tcPr>
          <w:p>
            <w:pPr>
              <w:widowControl/>
              <w:shd w:val="clear"/>
              <w:spacing w:line="560" w:lineRule="exact"/>
              <w:ind w:right="-95"/>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业绩</w:t>
            </w:r>
          </w:p>
        </w:tc>
        <w:tc>
          <w:tcPr>
            <w:tcW w:w="766" w:type="dxa"/>
            <w:shd w:val="clear" w:color="auto" w:fill="FFFFFF"/>
            <w:vAlign w:val="center"/>
          </w:tcPr>
          <w:p>
            <w:pPr>
              <w:widowControl/>
              <w:shd w:val="clear"/>
              <w:spacing w:line="560" w:lineRule="exact"/>
              <w:ind w:right="-95"/>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3</w:t>
            </w:r>
            <w:r>
              <w:rPr>
                <w:rFonts w:hint="eastAsia" w:ascii="仿宋" w:hAnsi="仿宋" w:eastAsia="仿宋" w:cs="仿宋"/>
                <w:color w:val="auto"/>
                <w:kern w:val="0"/>
                <w:szCs w:val="24"/>
                <w:highlight w:val="none"/>
              </w:rPr>
              <w:t>分</w:t>
            </w:r>
          </w:p>
        </w:tc>
        <w:tc>
          <w:tcPr>
            <w:tcW w:w="8084" w:type="dxa"/>
            <w:shd w:val="clear" w:color="auto" w:fill="FFFFFF"/>
            <w:vAlign w:val="center"/>
          </w:tcPr>
          <w:p>
            <w:pPr>
              <w:shd w:val="clea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以合同复印件形式提供投标人</w:t>
            </w:r>
            <w:r>
              <w:rPr>
                <w:rFonts w:hint="eastAsia" w:ascii="仿宋" w:hAnsi="仿宋" w:eastAsia="仿宋" w:cs="仿宋"/>
                <w:color w:val="auto"/>
                <w:kern w:val="0"/>
                <w:szCs w:val="24"/>
                <w:highlight w:val="none"/>
                <w:lang w:eastAsia="zh-CN"/>
              </w:rPr>
              <w:t>2020年1月1日</w:t>
            </w:r>
            <w:r>
              <w:rPr>
                <w:rFonts w:hint="eastAsia" w:ascii="仿宋" w:hAnsi="仿宋" w:eastAsia="仿宋" w:cs="仿宋"/>
                <w:color w:val="auto"/>
                <w:kern w:val="0"/>
                <w:szCs w:val="24"/>
                <w:highlight w:val="none"/>
              </w:rPr>
              <w:t>至今</w:t>
            </w:r>
            <w:r>
              <w:rPr>
                <w:rFonts w:hint="eastAsia" w:ascii="仿宋" w:hAnsi="仿宋" w:eastAsia="仿宋" w:cs="仿宋"/>
                <w:color w:val="auto"/>
                <w:kern w:val="0"/>
                <w:szCs w:val="24"/>
                <w:highlight w:val="none"/>
                <w:lang w:eastAsia="zh-CN"/>
              </w:rPr>
              <w:t>类似项目业绩</w:t>
            </w:r>
            <w:r>
              <w:rPr>
                <w:rFonts w:hint="eastAsia" w:ascii="仿宋" w:hAnsi="仿宋" w:eastAsia="仿宋" w:cs="仿宋"/>
                <w:color w:val="auto"/>
                <w:kern w:val="0"/>
                <w:szCs w:val="24"/>
                <w:highlight w:val="none"/>
              </w:rPr>
              <w:t>，每份计1分，计满</w:t>
            </w:r>
            <w:r>
              <w:rPr>
                <w:rFonts w:hint="eastAsia" w:ascii="仿宋" w:hAnsi="仿宋" w:eastAsia="仿宋" w:cs="仿宋"/>
                <w:color w:val="auto"/>
                <w:kern w:val="0"/>
                <w:szCs w:val="24"/>
                <w:highlight w:val="none"/>
                <w:lang w:val="en-US" w:eastAsia="zh-CN"/>
              </w:rPr>
              <w:t>3</w:t>
            </w:r>
            <w:r>
              <w:rPr>
                <w:rFonts w:hint="eastAsia" w:ascii="仿宋" w:hAnsi="仿宋" w:eastAsia="仿宋" w:cs="仿宋"/>
                <w:color w:val="auto"/>
                <w:kern w:val="0"/>
                <w:szCs w:val="24"/>
                <w:highlight w:val="none"/>
              </w:rPr>
              <w:t>分为止。</w:t>
            </w:r>
          </w:p>
          <w:p>
            <w:pPr>
              <w:shd w:val="clea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注：投标人需提供采购合同（含首页、采购设备品牌型号页、配置清单页、签字盖章页）复印件，否则业绩不予认可。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rPr>
              <w:t>售后服务</w:t>
            </w:r>
            <w:r>
              <w:rPr>
                <w:rFonts w:hint="eastAsia" w:ascii="仿宋" w:hAnsi="仿宋" w:eastAsia="仿宋" w:cs="仿宋"/>
                <w:color w:val="auto"/>
                <w:kern w:val="0"/>
                <w:szCs w:val="24"/>
                <w:highlight w:val="none"/>
                <w:lang w:val="en-US" w:eastAsia="zh-CN"/>
              </w:rPr>
              <w:t>及培训计划</w:t>
            </w:r>
          </w:p>
        </w:tc>
        <w:tc>
          <w:tcPr>
            <w:tcW w:w="766" w:type="dxa"/>
            <w:vAlign w:val="center"/>
          </w:tcPr>
          <w:p>
            <w:pPr>
              <w:shd w:val="clear"/>
              <w:spacing w:line="56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13</w:t>
            </w:r>
            <w:r>
              <w:rPr>
                <w:rFonts w:hint="eastAsia" w:ascii="仿宋" w:hAnsi="仿宋" w:eastAsia="仿宋" w:cs="仿宋"/>
                <w:color w:val="auto"/>
                <w:kern w:val="0"/>
                <w:szCs w:val="24"/>
                <w:highlight w:val="none"/>
              </w:rPr>
              <w:t>分</w:t>
            </w:r>
          </w:p>
        </w:tc>
        <w:tc>
          <w:tcPr>
            <w:tcW w:w="8084" w:type="dxa"/>
            <w:vAlign w:val="center"/>
          </w:tcPr>
          <w:p>
            <w:pPr>
              <w:shd w:val="clea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1、售后服务方案详细、具体、可行（包括投标人售后服务网点的设定、拟投入售后服务人员配置情况、项目交付用户后出现故障响应时间等）</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全面</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较为全面（2</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一般[1-2]分，未提供不得分</w:t>
            </w:r>
            <w:r>
              <w:rPr>
                <w:rFonts w:hint="eastAsia" w:ascii="仿宋" w:hAnsi="仿宋" w:eastAsia="仿宋" w:cs="仿宋"/>
                <w:color w:val="auto"/>
                <w:szCs w:val="24"/>
                <w:highlight w:val="none"/>
              </w:rPr>
              <w:t>；</w:t>
            </w:r>
          </w:p>
          <w:p>
            <w:pPr>
              <w:shd w:val="clea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、提供详尽的培训方案及培训计划，并列出培训的具体内容及方式，确保使用人员能够独立操作，并进行简单故障排查处理</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全面</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较为全面（2</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一般[1-2]分，未提供不得分</w:t>
            </w:r>
            <w:r>
              <w:rPr>
                <w:rFonts w:hint="eastAsia" w:ascii="仿宋" w:hAnsi="仿宋" w:eastAsia="仿宋" w:cs="仿宋"/>
                <w:color w:val="auto"/>
                <w:szCs w:val="24"/>
                <w:highlight w:val="none"/>
              </w:rPr>
              <w:t>。</w:t>
            </w:r>
          </w:p>
        </w:tc>
      </w:tr>
    </w:tbl>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注：1）评委打分超过得分界限或未按本方法赋分时，该评委的打分按废票处理。</w:t>
      </w:r>
    </w:p>
    <w:p>
      <w:pPr>
        <w:numPr>
          <w:ilvl w:val="0"/>
          <w:numId w:val="4"/>
        </w:num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各种计算数字均保留两位小数，第三位“四舍五入”。 </w:t>
      </w:r>
    </w:p>
    <w:p>
      <w:pPr>
        <w:spacing w:line="560" w:lineRule="exact"/>
        <w:ind w:firstLine="482" w:firstLineChars="200"/>
        <w:rPr>
          <w:rFonts w:hint="eastAsia" w:ascii="仿宋" w:hAnsi="仿宋" w:eastAsia="仿宋" w:cs="仿宋"/>
          <w:color w:val="auto"/>
          <w:szCs w:val="24"/>
          <w:highlight w:val="none"/>
        </w:rPr>
      </w:pPr>
      <w:r>
        <w:rPr>
          <w:rFonts w:hint="eastAsia" w:ascii="仿宋" w:hAnsi="仿宋" w:eastAsia="仿宋" w:cs="仿宋"/>
          <w:b/>
          <w:bCs/>
          <w:color w:val="auto"/>
          <w:szCs w:val="24"/>
          <w:highlight w:val="none"/>
        </w:rPr>
        <w:t>3）特殊情况处理</w:t>
      </w:r>
      <w:r>
        <w:rPr>
          <w:rFonts w:hint="eastAsia" w:ascii="仿宋" w:hAnsi="仿宋" w:eastAsia="仿宋" w:cs="仿宋"/>
          <w:color w:val="auto"/>
          <w:szCs w:val="24"/>
          <w:highlight w:val="none"/>
        </w:rPr>
        <w:t>：</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a、当投标人某评分项出现未报、漏报或零报价时，该分项得零分，并不参与投标报价分的计算。</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b、相同品牌产品</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提供相同品牌产品且通过资格审查、符合性审查的不同投标人参加同一合同项下投标的，按一家投标人计算，评审后得分最高的同品牌投标人获得中标人推荐资格；评审得分相同的，投标报价得分高者获得中标人推荐资格，若投标报价得分相同，技术得分高者获得中标人推荐资格，若上述两项得分相同，则由全体评标委员会成员无记名投票，得票高者获得中标人推荐资格，其他同品牌投标人不作为中标候选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非单一产品采购项目，多家投标人提供的核心产品品牌相同的，按照前款规定处理。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c、若出现综合得分相同时，投标报价得分高者为第一中标候选人，若投标报价得分相同，技术得分高者为第一中标候选人，若上述两项得分相同，则由全体评标委员会成员无记名投票，得票高者为第一中标候选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d、评标过程中，若出现本评标方法以外的特殊情况时，将暂停评标，待评委商榷后再进行复会。</w:t>
      </w:r>
    </w:p>
    <w:p>
      <w:pPr>
        <w:spacing w:line="560" w:lineRule="exact"/>
        <w:ind w:firstLine="600" w:firstLineChars="249"/>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3-</w:t>
      </w:r>
      <w:r>
        <w:rPr>
          <w:rFonts w:hint="eastAsia" w:ascii="仿宋" w:hAnsi="仿宋" w:eastAsia="仿宋" w:cs="仿宋"/>
          <w:b/>
          <w:bCs/>
          <w:color w:val="auto"/>
          <w:szCs w:val="24"/>
          <w:highlight w:val="none"/>
          <w:lang w:val="en-US" w:eastAsia="zh-CN"/>
        </w:rPr>
        <w:t>9</w:t>
      </w:r>
      <w:r>
        <w:rPr>
          <w:rFonts w:hint="eastAsia" w:ascii="仿宋" w:hAnsi="仿宋" w:eastAsia="仿宋" w:cs="仿宋"/>
          <w:b/>
          <w:bCs/>
          <w:color w:val="auto"/>
          <w:szCs w:val="24"/>
          <w:highlight w:val="none"/>
        </w:rPr>
        <w:t>、政府采购政策评分标准</w:t>
      </w:r>
    </w:p>
    <w:p>
      <w:pPr>
        <w:spacing w:line="560" w:lineRule="exact"/>
        <w:ind w:firstLine="597" w:firstLineChars="249"/>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-1、小微企业的价格评分标准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（1）根据《政府采购促进中小企业发展管理办法》（财库【2020】46号）的办法</w:t>
      </w:r>
      <w:r>
        <w:rPr>
          <w:rFonts w:hint="eastAsia" w:ascii="仿宋" w:hAnsi="仿宋" w:eastAsia="仿宋" w:cs="仿宋"/>
          <w:color w:val="auto"/>
          <w:szCs w:val="24"/>
          <w:highlight w:val="none"/>
          <w:lang w:eastAsia="zh-CN"/>
        </w:rPr>
        <w:t>及</w:t>
      </w:r>
      <w:bookmarkStart w:id="34" w:name="_Toc14639"/>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关于进一步加大政府采购支持中小企业力度的通知</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（财库</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2022</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19号）</w:t>
      </w:r>
      <w:bookmarkEnd w:id="34"/>
      <w:r>
        <w:rPr>
          <w:rFonts w:hint="eastAsia" w:ascii="仿宋" w:hAnsi="仿宋" w:eastAsia="仿宋" w:cs="仿宋"/>
          <w:color w:val="auto"/>
          <w:szCs w:val="24"/>
          <w:highlight w:val="none"/>
          <w:lang w:val="en-US" w:eastAsia="zh-CN"/>
        </w:rPr>
        <w:t>的通知</w:t>
      </w:r>
      <w:r>
        <w:rPr>
          <w:rFonts w:hint="eastAsia" w:ascii="仿宋" w:hAnsi="仿宋" w:eastAsia="仿宋" w:cs="仿宋"/>
          <w:color w:val="auto"/>
          <w:szCs w:val="24"/>
          <w:highlight w:val="none"/>
        </w:rPr>
        <w:t>，对于</w:t>
      </w:r>
      <w:r>
        <w:rPr>
          <w:rFonts w:hint="eastAsia" w:ascii="仿宋" w:hAnsi="仿宋" w:eastAsia="仿宋" w:cs="仿宋"/>
          <w:color w:val="auto"/>
          <w:szCs w:val="24"/>
          <w:highlight w:val="none"/>
          <w:lang w:val="en-US" w:eastAsia="zh-CN"/>
        </w:rPr>
        <w:t>非</w:t>
      </w:r>
      <w:r>
        <w:rPr>
          <w:rFonts w:hint="eastAsia" w:ascii="仿宋" w:hAnsi="仿宋" w:eastAsia="仿宋" w:cs="仿宋"/>
          <w:color w:val="auto"/>
          <w:szCs w:val="24"/>
          <w:highlight w:val="none"/>
        </w:rPr>
        <w:t>专门面向中小企业采购的项目或者采购包,对小型、微型企业产品的价格给予</w:t>
      </w:r>
      <w:r>
        <w:rPr>
          <w:rFonts w:hint="eastAsia" w:ascii="仿宋" w:hAnsi="仿宋" w:eastAsia="仿宋" w:cs="仿宋"/>
          <w:color w:val="auto"/>
          <w:szCs w:val="24"/>
          <w:highlight w:val="none"/>
          <w:lang w:val="en-US" w:eastAsia="zh-CN"/>
        </w:rPr>
        <w:t>10</w:t>
      </w:r>
      <w:r>
        <w:rPr>
          <w:rFonts w:hint="eastAsia" w:ascii="仿宋" w:hAnsi="仿宋" w:eastAsia="仿宋" w:cs="仿宋"/>
          <w:color w:val="auto"/>
          <w:szCs w:val="24"/>
          <w:highlight w:val="none"/>
        </w:rPr>
        <w:t>%的扣除，用扣除后的价格参与评审，其评</w:t>
      </w:r>
      <w:r>
        <w:rPr>
          <w:rFonts w:hint="eastAsia" w:ascii="仿宋" w:hAnsi="仿宋" w:eastAsia="仿宋" w:cs="仿宋"/>
          <w:color w:val="auto"/>
          <w:szCs w:val="24"/>
          <w:highlight w:val="none"/>
          <w:lang w:val="en-US" w:eastAsia="zh-CN"/>
        </w:rPr>
        <w:t>审</w:t>
      </w:r>
      <w:r>
        <w:rPr>
          <w:rFonts w:hint="eastAsia" w:ascii="仿宋" w:hAnsi="仿宋" w:eastAsia="仿宋" w:cs="仿宋"/>
          <w:color w:val="auto"/>
          <w:szCs w:val="24"/>
          <w:highlight w:val="none"/>
        </w:rPr>
        <w:t>价=</w:t>
      </w:r>
      <w:r>
        <w:rPr>
          <w:rFonts w:hint="eastAsia" w:ascii="仿宋" w:hAnsi="仿宋" w:eastAsia="仿宋" w:cs="仿宋"/>
          <w:color w:val="auto"/>
          <w:szCs w:val="24"/>
          <w:highlight w:val="none"/>
          <w:lang w:val="en-US" w:eastAsia="zh-CN"/>
        </w:rPr>
        <w:t>投标</w:t>
      </w:r>
      <w:r>
        <w:rPr>
          <w:rFonts w:hint="eastAsia" w:ascii="仿宋" w:hAnsi="仿宋" w:eastAsia="仿宋" w:cs="仿宋"/>
          <w:color w:val="auto"/>
          <w:szCs w:val="24"/>
          <w:highlight w:val="none"/>
        </w:rPr>
        <w:t>报价*（1-</w:t>
      </w:r>
      <w:r>
        <w:rPr>
          <w:rFonts w:hint="eastAsia" w:ascii="仿宋" w:hAnsi="仿宋" w:eastAsia="仿宋" w:cs="仿宋"/>
          <w:color w:val="auto"/>
          <w:szCs w:val="24"/>
          <w:highlight w:val="none"/>
          <w:lang w:val="en-US" w:eastAsia="zh-CN"/>
        </w:rPr>
        <w:t>10</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（2）联合体共同参加非专门面向中小企业的政府采购活动，联合协议中约定，小型和微型企业的协议合同金额占到联合体协议合同金额的30%以上的，可给予联合体</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%的价格扣除，用扣除后的价格参与评审，其评</w:t>
      </w:r>
      <w:r>
        <w:rPr>
          <w:rFonts w:hint="eastAsia" w:ascii="仿宋" w:hAnsi="仿宋" w:eastAsia="仿宋" w:cs="仿宋"/>
          <w:color w:val="auto"/>
          <w:szCs w:val="24"/>
          <w:highlight w:val="none"/>
          <w:lang w:val="en-US" w:eastAsia="zh-CN"/>
        </w:rPr>
        <w:t>审</w:t>
      </w:r>
      <w:r>
        <w:rPr>
          <w:rFonts w:hint="eastAsia" w:ascii="仿宋" w:hAnsi="仿宋" w:eastAsia="仿宋" w:cs="仿宋"/>
          <w:color w:val="auto"/>
          <w:szCs w:val="24"/>
          <w:highlight w:val="none"/>
        </w:rPr>
        <w:t>价=</w:t>
      </w:r>
      <w:r>
        <w:rPr>
          <w:rFonts w:hint="eastAsia" w:ascii="仿宋" w:hAnsi="仿宋" w:eastAsia="仿宋" w:cs="仿宋"/>
          <w:color w:val="auto"/>
          <w:szCs w:val="24"/>
          <w:highlight w:val="none"/>
          <w:lang w:val="en-US" w:eastAsia="zh-CN"/>
        </w:rPr>
        <w:t>投标</w:t>
      </w:r>
      <w:r>
        <w:rPr>
          <w:rFonts w:hint="eastAsia" w:ascii="仿宋" w:hAnsi="仿宋" w:eastAsia="仿宋" w:cs="仿宋"/>
          <w:color w:val="auto"/>
          <w:szCs w:val="24"/>
          <w:highlight w:val="none"/>
        </w:rPr>
        <w:t>报价*（1-</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）参加本项目的小微企业须提供《</w:t>
      </w:r>
      <w:r>
        <w:rPr>
          <w:rFonts w:hint="eastAsia" w:ascii="仿宋" w:hAnsi="仿宋" w:eastAsia="仿宋" w:cs="仿宋"/>
          <w:color w:val="auto"/>
          <w:szCs w:val="24"/>
          <w:highlight w:val="none"/>
          <w:lang w:eastAsia="zh-CN"/>
        </w:rPr>
        <w:t>中小</w:t>
      </w:r>
      <w:r>
        <w:rPr>
          <w:rFonts w:hint="eastAsia" w:ascii="仿宋" w:hAnsi="仿宋" w:eastAsia="仿宋" w:cs="仿宋"/>
          <w:color w:val="auto"/>
          <w:szCs w:val="24"/>
          <w:highlight w:val="none"/>
        </w:rPr>
        <w:t>企业声明函》，未提供的不视为小微企业。本项目提供的货物不包括使用大型企业注册商标的货物，小型、微型企业提供中型企业制造的货物的，视同为中型企业。投标人须做出承诺，保证真实性，如有虚假，将依法承担相应责任。</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）小微企业按</w:t>
      </w:r>
      <w:r>
        <w:rPr>
          <w:rFonts w:hint="eastAsia" w:ascii="仿宋" w:hAnsi="仿宋" w:eastAsia="仿宋" w:cs="仿宋"/>
          <w:color w:val="auto"/>
          <w:szCs w:val="24"/>
          <w:highlight w:val="none"/>
          <w:lang w:eastAsia="zh-CN"/>
        </w:rPr>
        <w:t>《政府采购促进中小企业发展管理办法》的通知--财库[2020]46号</w:t>
      </w:r>
      <w:r>
        <w:rPr>
          <w:rFonts w:hint="eastAsia" w:ascii="仿宋" w:hAnsi="仿宋" w:eastAsia="仿宋" w:cs="仿宋"/>
          <w:color w:val="auto"/>
          <w:szCs w:val="24"/>
          <w:highlight w:val="none"/>
        </w:rPr>
        <w:t>和《工业和信息化部、国家统计局、国家发展和改革委员会、财政部关于印发&lt;中小企业划型标准规定&gt;的通知》（工信部联企业【2011】300号）文件规定标准确认。</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-2、监狱企业的价格评分标准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（1）在政府采购活动中，监狱企业视同小型、微型企业，享受预留份额、评审中价格扣除等政府采购促进中小企业发展的政府采购政策。对监狱企业产品的价格给予</w:t>
      </w:r>
      <w:r>
        <w:rPr>
          <w:rFonts w:hint="eastAsia" w:ascii="仿宋" w:hAnsi="仿宋" w:eastAsia="仿宋" w:cs="仿宋"/>
          <w:color w:val="auto"/>
          <w:szCs w:val="24"/>
          <w:highlight w:val="none"/>
          <w:lang w:val="en-US" w:eastAsia="zh-CN"/>
        </w:rPr>
        <w:t>10</w:t>
      </w:r>
      <w:r>
        <w:rPr>
          <w:rFonts w:hint="eastAsia" w:ascii="仿宋" w:hAnsi="仿宋" w:eastAsia="仿宋" w:cs="仿宋"/>
          <w:color w:val="auto"/>
          <w:szCs w:val="24"/>
          <w:highlight w:val="none"/>
        </w:rPr>
        <w:t>%的扣除，用扣除后的价格参与评审，其评</w:t>
      </w:r>
      <w:r>
        <w:rPr>
          <w:rFonts w:hint="eastAsia" w:ascii="仿宋" w:hAnsi="仿宋" w:eastAsia="仿宋" w:cs="仿宋"/>
          <w:color w:val="auto"/>
          <w:szCs w:val="24"/>
          <w:highlight w:val="none"/>
          <w:lang w:val="en-US" w:eastAsia="zh-CN"/>
        </w:rPr>
        <w:t>审</w:t>
      </w:r>
      <w:r>
        <w:rPr>
          <w:rFonts w:hint="eastAsia" w:ascii="仿宋" w:hAnsi="仿宋" w:eastAsia="仿宋" w:cs="仿宋"/>
          <w:color w:val="auto"/>
          <w:szCs w:val="24"/>
          <w:highlight w:val="none"/>
        </w:rPr>
        <w:t>价=</w:t>
      </w:r>
      <w:r>
        <w:rPr>
          <w:rFonts w:hint="eastAsia" w:ascii="仿宋" w:hAnsi="仿宋" w:eastAsia="仿宋" w:cs="仿宋"/>
          <w:color w:val="auto"/>
          <w:szCs w:val="24"/>
          <w:highlight w:val="none"/>
          <w:lang w:val="en-US" w:eastAsia="zh-CN"/>
        </w:rPr>
        <w:t>投标</w:t>
      </w:r>
      <w:r>
        <w:rPr>
          <w:rFonts w:hint="eastAsia" w:ascii="仿宋" w:hAnsi="仿宋" w:eastAsia="仿宋" w:cs="仿宋"/>
          <w:color w:val="auto"/>
          <w:szCs w:val="24"/>
          <w:highlight w:val="none"/>
        </w:rPr>
        <w:t>报价*（1-</w:t>
      </w:r>
      <w:r>
        <w:rPr>
          <w:rFonts w:hint="eastAsia" w:ascii="仿宋" w:hAnsi="仿宋" w:eastAsia="仿宋" w:cs="仿宋"/>
          <w:color w:val="auto"/>
          <w:szCs w:val="24"/>
          <w:highlight w:val="none"/>
          <w:lang w:val="en-US" w:eastAsia="zh-CN"/>
        </w:rPr>
        <w:t>10</w:t>
      </w:r>
      <w:r>
        <w:rPr>
          <w:rFonts w:hint="eastAsia" w:ascii="仿宋" w:hAnsi="仿宋" w:eastAsia="仿宋" w:cs="仿宋"/>
          <w:color w:val="auto"/>
          <w:szCs w:val="24"/>
          <w:highlight w:val="none"/>
        </w:rPr>
        <w:t>%）。</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（2）监狱企业</w:t>
      </w:r>
      <w:r>
        <w:rPr>
          <w:rFonts w:hint="eastAsia" w:ascii="仿宋" w:hAnsi="仿宋" w:eastAsia="仿宋" w:cs="仿宋"/>
          <w:color w:val="auto"/>
          <w:kern w:val="0"/>
          <w:szCs w:val="24"/>
          <w:highlight w:val="none"/>
        </w:rPr>
        <w:t xml:space="preserve">属于小型、微型企业的，不重复享受政策。 </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（3）监狱企业参加政府采购活动时，应当提供由省级以上监狱管理局、戒毒管理局（含新疆生产建设兵团）出具的属于监狱企业的证明文件。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（4）监狱企业按《财政部、司法部关于政府采购支持监狱企业发展有关问题的通知》（财库〔2014〕68号）文件规定标准执行。</w:t>
      </w:r>
    </w:p>
    <w:p>
      <w:pPr>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-3、残疾人福利性单位的价格评分标准</w:t>
      </w:r>
    </w:p>
    <w:p>
      <w:pPr>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szCs w:val="24"/>
          <w:highlight w:val="none"/>
        </w:rPr>
        <w:t>（1）在政府采购活动中，残疾人福利性单位视同小型、微型企业，享受预留份额、评审中价格扣除等政府采购促进中小企业发展的政府采购政策。对残疾人福利性单位产品的价格给予</w:t>
      </w:r>
      <w:r>
        <w:rPr>
          <w:rFonts w:hint="eastAsia" w:ascii="仿宋" w:hAnsi="仿宋" w:eastAsia="仿宋" w:cs="仿宋"/>
          <w:color w:val="auto"/>
          <w:szCs w:val="24"/>
          <w:highlight w:val="none"/>
          <w:lang w:val="en-US" w:eastAsia="zh-CN"/>
        </w:rPr>
        <w:t>10</w:t>
      </w:r>
      <w:r>
        <w:rPr>
          <w:rFonts w:hint="eastAsia" w:ascii="仿宋" w:hAnsi="仿宋" w:eastAsia="仿宋" w:cs="仿宋"/>
          <w:color w:val="auto"/>
          <w:szCs w:val="24"/>
          <w:highlight w:val="none"/>
        </w:rPr>
        <w:t>%的扣除，用扣除后的价格参与评审，其评</w:t>
      </w:r>
      <w:r>
        <w:rPr>
          <w:rFonts w:hint="eastAsia" w:ascii="仿宋" w:hAnsi="仿宋" w:eastAsia="仿宋" w:cs="仿宋"/>
          <w:color w:val="auto"/>
          <w:szCs w:val="24"/>
          <w:highlight w:val="none"/>
          <w:lang w:val="en-US" w:eastAsia="zh-CN"/>
        </w:rPr>
        <w:t>审</w:t>
      </w:r>
      <w:r>
        <w:rPr>
          <w:rFonts w:hint="eastAsia" w:ascii="仿宋" w:hAnsi="仿宋" w:eastAsia="仿宋" w:cs="仿宋"/>
          <w:color w:val="auto"/>
          <w:szCs w:val="24"/>
          <w:highlight w:val="none"/>
        </w:rPr>
        <w:t>价=</w:t>
      </w:r>
      <w:r>
        <w:rPr>
          <w:rFonts w:hint="eastAsia" w:ascii="仿宋" w:hAnsi="仿宋" w:eastAsia="仿宋" w:cs="仿宋"/>
          <w:color w:val="auto"/>
          <w:szCs w:val="24"/>
          <w:highlight w:val="none"/>
          <w:lang w:val="en-US" w:eastAsia="zh-CN"/>
        </w:rPr>
        <w:t>投标</w:t>
      </w:r>
      <w:r>
        <w:rPr>
          <w:rFonts w:hint="eastAsia" w:ascii="仿宋" w:hAnsi="仿宋" w:eastAsia="仿宋" w:cs="仿宋"/>
          <w:color w:val="auto"/>
          <w:szCs w:val="24"/>
          <w:highlight w:val="none"/>
        </w:rPr>
        <w:t>报价*（1-</w:t>
      </w:r>
      <w:r>
        <w:rPr>
          <w:rFonts w:hint="eastAsia" w:ascii="仿宋" w:hAnsi="仿宋" w:eastAsia="仿宋" w:cs="仿宋"/>
          <w:color w:val="auto"/>
          <w:szCs w:val="24"/>
          <w:highlight w:val="none"/>
          <w:lang w:val="en-US" w:eastAsia="zh-CN"/>
        </w:rPr>
        <w:t>10</w:t>
      </w:r>
      <w:r>
        <w:rPr>
          <w:rFonts w:hint="eastAsia" w:ascii="仿宋" w:hAnsi="仿宋" w:eastAsia="仿宋" w:cs="仿宋"/>
          <w:color w:val="auto"/>
          <w:szCs w:val="24"/>
          <w:highlight w:val="none"/>
        </w:rPr>
        <w:t>%）。</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（2）</w:t>
      </w:r>
      <w:r>
        <w:rPr>
          <w:rFonts w:hint="eastAsia" w:ascii="仿宋" w:hAnsi="仿宋" w:eastAsia="仿宋" w:cs="仿宋"/>
          <w:color w:val="auto"/>
          <w:kern w:val="0"/>
          <w:szCs w:val="24"/>
          <w:highlight w:val="none"/>
        </w:rPr>
        <w:t>残疾人福利性单位属于小型、微型企业的，不重复享受政策。</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kern w:val="0"/>
          <w:szCs w:val="24"/>
          <w:highlight w:val="none"/>
        </w:rPr>
        <w:t>符合条件的残疾人福利性单位在参加政府采购活动时，应当提供本通知规定的《残疾人福利性单位声明函》，并对声明的真实性负责，</w:t>
      </w:r>
      <w:r>
        <w:rPr>
          <w:rFonts w:hint="eastAsia" w:ascii="仿宋" w:hAnsi="仿宋" w:eastAsia="仿宋" w:cs="仿宋"/>
          <w:color w:val="auto"/>
          <w:szCs w:val="24"/>
          <w:highlight w:val="none"/>
        </w:rPr>
        <w:t>未提供的不视为</w:t>
      </w:r>
      <w:r>
        <w:rPr>
          <w:rFonts w:hint="eastAsia" w:ascii="仿宋" w:hAnsi="仿宋" w:eastAsia="仿宋" w:cs="仿宋"/>
          <w:color w:val="auto"/>
          <w:kern w:val="0"/>
          <w:szCs w:val="24"/>
          <w:highlight w:val="none"/>
        </w:rPr>
        <w:t xml:space="preserve">残疾人福利性单位。 </w:t>
      </w:r>
    </w:p>
    <w:p>
      <w:pPr>
        <w:spacing w:line="560" w:lineRule="exact"/>
        <w:ind w:firstLine="597" w:firstLineChars="249"/>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-4、节能产品、环境标志产品政策</w:t>
      </w:r>
    </w:p>
    <w:p>
      <w:pPr>
        <w:autoSpaceDE w:val="0"/>
        <w:autoSpaceDN w:val="0"/>
        <w:adjustRightInd w:val="0"/>
        <w:spacing w:line="5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（1）根据《财政部、国家发展改革委、生态环境部、市场监管总局&lt;关于调整优化节能产品、环境标志产品政府采购执行机制&gt;的通知》的</w:t>
      </w:r>
      <w:r>
        <w:rPr>
          <w:rFonts w:hint="eastAsia" w:ascii="仿宋" w:hAnsi="仿宋" w:eastAsia="仿宋" w:cs="仿宋"/>
          <w:color w:val="auto"/>
          <w:szCs w:val="24"/>
          <w:highlight w:val="none"/>
        </w:rPr>
        <w:t>有关规定</w:t>
      </w:r>
      <w:r>
        <w:rPr>
          <w:rFonts w:hint="eastAsia" w:ascii="仿宋" w:hAnsi="仿宋" w:eastAsia="仿宋" w:cs="仿宋"/>
          <w:bCs/>
          <w:color w:val="auto"/>
          <w:highlight w:val="none"/>
        </w:rPr>
        <w:t>，依据品目清单和认证证书实施政府采购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autoSpaceDE w:val="0"/>
        <w:autoSpaceDN w:val="0"/>
        <w:adjustRightInd w:val="0"/>
        <w:spacing w:line="5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（2）投标人在投标文件中对所投标产品为节能、环境标志产品清单中的产品，在投标报价时必须对此类产品单独分项报价，并提供属于清单内产品的证明资料，否则评审时不给予计分。</w:t>
      </w:r>
    </w:p>
    <w:p>
      <w:pPr>
        <w:autoSpaceDE w:val="0"/>
        <w:autoSpaceDN w:val="0"/>
        <w:adjustRightInd w:val="0"/>
        <w:spacing w:line="560" w:lineRule="exact"/>
        <w:ind w:firstLine="480" w:firstLineChars="200"/>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（3）产品同时属于“非强制采购节能产品”、环境标志产品的，评审时可同时享受优先待遇。</w:t>
      </w:r>
    </w:p>
    <w:p>
      <w:pPr>
        <w:autoSpaceDE w:val="0"/>
        <w:autoSpaceDN w:val="0"/>
        <w:adjustRightInd w:val="0"/>
        <w:spacing w:line="5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（4）若节能、环境标志品目清单内的产品仅是构成投标产品的部件、组件或零件 </w:t>
      </w:r>
    </w:p>
    <w:p>
      <w:pPr>
        <w:autoSpaceDE w:val="0"/>
        <w:autoSpaceDN w:val="0"/>
        <w:adjustRightInd w:val="0"/>
        <w:spacing w:line="560" w:lineRule="exact"/>
        <w:ind w:left="0" w:leftChars="0" w:firstLine="0" w:firstLineChars="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的，则该投标产品不享受鼓励优惠政策。 </w:t>
      </w:r>
    </w:p>
    <w:p>
      <w:pPr>
        <w:autoSpaceDE w:val="0"/>
        <w:autoSpaceDN w:val="0"/>
        <w:adjustRightInd w:val="0"/>
        <w:spacing w:line="5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（5）节能、环境标志产品部分计分只对属于品目清单内的非强制类产品进行计分， </w:t>
      </w:r>
    </w:p>
    <w:p>
      <w:pPr>
        <w:autoSpaceDE w:val="0"/>
        <w:autoSpaceDN w:val="0"/>
        <w:adjustRightInd w:val="0"/>
        <w:spacing w:line="560" w:lineRule="exact"/>
        <w:ind w:left="0" w:leftChars="0" w:firstLine="0" w:firstLineChars="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强制类产品不给予计分。 </w:t>
      </w:r>
    </w:p>
    <w:p>
      <w:pPr>
        <w:pageBreakBefore w:val="0"/>
        <w:kinsoku/>
        <w:topLinePunct w:val="0"/>
        <w:autoSpaceDE/>
        <w:autoSpaceDN/>
        <w:bidi w:val="0"/>
        <w:spacing w:line="560" w:lineRule="exact"/>
        <w:ind w:firstLine="482" w:firstLineChars="200"/>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3-10、</w:t>
      </w:r>
      <w:bookmarkStart w:id="35" w:name="_Toc22138"/>
      <w:bookmarkStart w:id="36" w:name="_Toc14886425"/>
      <w:r>
        <w:rPr>
          <w:rFonts w:hint="eastAsia" w:ascii="仿宋" w:hAnsi="仿宋" w:eastAsia="仿宋" w:cs="仿宋"/>
          <w:b/>
          <w:color w:val="auto"/>
          <w:sz w:val="24"/>
          <w:highlight w:val="none"/>
          <w:lang w:val="en-US" w:eastAsia="zh-CN"/>
        </w:rPr>
        <w:t>信用担保</w:t>
      </w:r>
      <w:bookmarkEnd w:id="35"/>
      <w:bookmarkEnd w:id="36"/>
      <w:r>
        <w:rPr>
          <w:rFonts w:hint="eastAsia" w:ascii="仿宋" w:hAnsi="仿宋" w:eastAsia="仿宋" w:cs="仿宋"/>
          <w:b/>
          <w:color w:val="auto"/>
          <w:sz w:val="24"/>
          <w:highlight w:val="none"/>
          <w:lang w:val="en-US" w:eastAsia="zh-CN"/>
        </w:rPr>
        <w:t>及融资</w:t>
      </w:r>
    </w:p>
    <w:p>
      <w:pPr>
        <w:pageBreakBefore w:val="0"/>
        <w:kinsoku/>
        <w:topLinePunct w:val="0"/>
        <w:autoSpaceDE/>
        <w:autoSpaceDN/>
        <w:bidi w:val="0"/>
        <w:spacing w:line="560" w:lineRule="exact"/>
        <w:ind w:firstLine="480" w:firstLineChars="200"/>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pageBreakBefore w:val="0"/>
        <w:kinsoku/>
        <w:topLinePunct w:val="0"/>
        <w:autoSpaceDE/>
        <w:autoSpaceDN/>
        <w:bidi w:val="0"/>
        <w:spacing w:line="560" w:lineRule="exact"/>
        <w:ind w:firstLine="480" w:firstLineChars="200"/>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省政府采购信用融资平台（含各市分平台）自主选择金融机构及其融资产品，凭政府采购中标（成交）通知书或政府采购合同向金融机构提出融资申请。</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4、</w:t>
      </w:r>
      <w:r>
        <w:rPr>
          <w:rFonts w:hint="eastAsia" w:ascii="仿宋" w:hAnsi="仿宋" w:eastAsia="仿宋" w:cs="仿宋"/>
          <w:b/>
          <w:bCs/>
          <w:color w:val="auto"/>
          <w:szCs w:val="24"/>
          <w:highlight w:val="none"/>
        </w:rPr>
        <w:t>定标</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4-1、定标程序</w:t>
      </w:r>
    </w:p>
    <w:p>
      <w:pPr>
        <w:numPr>
          <w:ilvl w:val="0"/>
          <w:numId w:val="5"/>
        </w:num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评标委员会依据评标办法，经过符合性审查、澄清、比较与评价等程序后，在最大限度满足招标文件实质性要求前提下进行综合评审，以评标总得分最高到低的顺序推荐3名以上中标候选人，并编写</w:t>
      </w:r>
      <w:bookmarkStart w:id="37" w:name="OLE_LINK4"/>
      <w:r>
        <w:rPr>
          <w:rFonts w:hint="eastAsia" w:ascii="仿宋" w:hAnsi="仿宋" w:eastAsia="仿宋" w:cs="仿宋"/>
          <w:color w:val="auto"/>
          <w:szCs w:val="24"/>
          <w:highlight w:val="none"/>
        </w:rPr>
        <w:t>评标</w:t>
      </w:r>
      <w:bookmarkEnd w:id="37"/>
      <w:r>
        <w:rPr>
          <w:rFonts w:hint="eastAsia" w:ascii="仿宋" w:hAnsi="仿宋" w:eastAsia="仿宋" w:cs="仿宋"/>
          <w:color w:val="auto"/>
          <w:szCs w:val="24"/>
          <w:highlight w:val="none"/>
        </w:rPr>
        <w:t>报告。</w:t>
      </w:r>
    </w:p>
    <w:p>
      <w:pPr>
        <w:numPr>
          <w:ilvl w:val="0"/>
          <w:numId w:val="5"/>
        </w:numPr>
        <w:spacing w:line="560" w:lineRule="exact"/>
        <w:ind w:firstLine="480" w:firstLineChars="200"/>
        <w:rPr>
          <w:rFonts w:hint="eastAsia" w:ascii="仿宋" w:hAnsi="仿宋" w:eastAsia="仿宋" w:cs="仿宋"/>
          <w:color w:val="auto"/>
          <w:szCs w:val="24"/>
          <w:highlight w:val="none"/>
        </w:rPr>
      </w:pPr>
      <w:bookmarkStart w:id="38" w:name="OLE_LINK18"/>
      <w:r>
        <w:rPr>
          <w:rFonts w:hint="eastAsia" w:ascii="仿宋" w:hAnsi="仿宋" w:eastAsia="仿宋" w:cs="仿宋"/>
          <w:color w:val="auto"/>
          <w:szCs w:val="24"/>
          <w:highlight w:val="none"/>
        </w:rPr>
        <w:t>评标委员会成员应当在评标报告上签字，对自己的评审意见承担法律责任。</w:t>
      </w:r>
      <w:r>
        <w:rPr>
          <w:rFonts w:hint="eastAsia" w:ascii="仿宋" w:hAnsi="仿宋" w:eastAsia="仿宋" w:cs="仿宋"/>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bookmarkEnd w:id="38"/>
    <w:p>
      <w:pPr>
        <w:numPr>
          <w:ilvl w:val="0"/>
          <w:numId w:val="5"/>
        </w:num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代理机构应当自评审结束之日起2个工作日内将评标报告送交采购人。采购人在收到评审报告5个工作日内，从评审报告推荐的中标候选人中，按顺序确定中标人。中标候选人并列的，投标报价得分高者成为中标人，若投标报价得分相同，技术得分高者成为中标人。确定结果后，采购人向采购代理机构出具《定标复函》。采购人逾期未按评标报告推荐的中标候选人顺序确定中标人，又不能说明合法理由的，视同按评标报告推荐的顺序确定排名第一的中标候选人为中标人。</w:t>
      </w:r>
    </w:p>
    <w:p>
      <w:pPr>
        <w:numPr>
          <w:ilvl w:val="0"/>
          <w:numId w:val="5"/>
        </w:num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采购代理机构接到采购人的《定标复函》后，在2个工作日内，将中标结果在陕西省政府采购网上进行公告。公告发布1个工作日，其他投标人若有异议，按《政府采购法》第52条执行。</w:t>
      </w:r>
    </w:p>
    <w:p>
      <w:pPr>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szCs w:val="24"/>
          <w:highlight w:val="none"/>
        </w:rPr>
        <w:t>4-2、中标人确定后，采购人和采购代理机构对未中标原因不作任何解释，投标文件不予退还（含纸质及电子版文件）。</w:t>
      </w:r>
    </w:p>
    <w:p>
      <w:pPr>
        <w:adjustRightInd w:val="0"/>
        <w:snapToGrid w:val="0"/>
        <w:spacing w:line="560" w:lineRule="exact"/>
        <w:ind w:firstLine="482" w:firstLineChars="200"/>
        <w:rPr>
          <w:rFonts w:hint="eastAsia" w:ascii="仿宋" w:hAnsi="仿宋" w:eastAsia="仿宋" w:cs="仿宋"/>
          <w:color w:val="auto"/>
          <w:szCs w:val="24"/>
          <w:highlight w:val="none"/>
        </w:rPr>
      </w:pPr>
      <w:bookmarkStart w:id="39" w:name="_Toc458617461"/>
      <w:bookmarkStart w:id="40" w:name="_Toc458617738"/>
      <w:r>
        <w:rPr>
          <w:rFonts w:hint="eastAsia" w:ascii="仿宋" w:hAnsi="仿宋" w:eastAsia="仿宋" w:cs="仿宋"/>
          <w:b/>
          <w:color w:val="auto"/>
          <w:szCs w:val="24"/>
          <w:highlight w:val="none"/>
        </w:rPr>
        <w:t>5、投标无效的情形：</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w:t>
      </w: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、投标文件未按招标文件要求签署、盖章的；</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、不具备招标文件中规定的资格要求的；</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、报价超过招标文件中规定的预算金额的；</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、投标文件含有采购人不能接受的附加条件的；</w:t>
      </w:r>
    </w:p>
    <w:p>
      <w:pPr>
        <w:adjustRightInd w:val="0"/>
        <w:snapToGri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5-</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w:t>
      </w:r>
      <w:r>
        <w:rPr>
          <w:rFonts w:hint="eastAsia" w:ascii="仿宋" w:hAnsi="仿宋" w:eastAsia="仿宋" w:cs="仿宋"/>
          <w:color w:val="auto"/>
          <w:kern w:val="0"/>
          <w:szCs w:val="24"/>
          <w:highlight w:val="none"/>
        </w:rPr>
        <w:t>提供虚假材料谋取中标的；</w:t>
      </w:r>
    </w:p>
    <w:p>
      <w:pPr>
        <w:adjustRightInd w:val="0"/>
        <w:snapToGri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w:t>
      </w:r>
      <w:r>
        <w:rPr>
          <w:rFonts w:hint="eastAsia" w:ascii="仿宋" w:hAnsi="仿宋" w:eastAsia="仿宋" w:cs="仿宋"/>
          <w:color w:val="auto"/>
          <w:kern w:val="0"/>
          <w:szCs w:val="24"/>
          <w:highlight w:val="none"/>
          <w:lang w:val="en-US" w:eastAsia="zh-CN"/>
        </w:rPr>
        <w:t>6</w:t>
      </w:r>
      <w:r>
        <w:rPr>
          <w:rFonts w:hint="eastAsia" w:ascii="仿宋" w:hAnsi="仿宋" w:eastAsia="仿宋" w:cs="仿宋"/>
          <w:color w:val="auto"/>
          <w:kern w:val="0"/>
          <w:szCs w:val="24"/>
          <w:highlight w:val="none"/>
        </w:rPr>
        <w:t>、采取不正当手段诋毁、排挤其他投标人的；</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5-</w:t>
      </w:r>
      <w:r>
        <w:rPr>
          <w:rFonts w:hint="eastAsia" w:ascii="仿宋" w:hAnsi="仿宋" w:eastAsia="仿宋" w:cs="仿宋"/>
          <w:color w:val="auto"/>
          <w:kern w:val="0"/>
          <w:szCs w:val="24"/>
          <w:highlight w:val="none"/>
          <w:lang w:val="en-US" w:eastAsia="zh-CN"/>
        </w:rPr>
        <w:t>7</w:t>
      </w:r>
      <w:r>
        <w:rPr>
          <w:rFonts w:hint="eastAsia" w:ascii="仿宋" w:hAnsi="仿宋" w:eastAsia="仿宋" w:cs="仿宋"/>
          <w:color w:val="auto"/>
          <w:kern w:val="0"/>
          <w:szCs w:val="24"/>
          <w:highlight w:val="none"/>
        </w:rPr>
        <w:t>、</w:t>
      </w:r>
      <w:r>
        <w:rPr>
          <w:rFonts w:hint="eastAsia" w:ascii="仿宋" w:hAnsi="仿宋" w:eastAsia="仿宋" w:cs="仿宋"/>
          <w:color w:val="auto"/>
          <w:szCs w:val="24"/>
          <w:highlight w:val="none"/>
        </w:rPr>
        <w:t>法律、法规和招标文件规定的其他无效情形。</w:t>
      </w:r>
    </w:p>
    <w:p>
      <w:pPr>
        <w:spacing w:line="560" w:lineRule="exact"/>
        <w:ind w:firstLine="472" w:firstLineChars="196"/>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6、中标通知</w:t>
      </w:r>
      <w:bookmarkEnd w:id="39"/>
      <w:bookmarkEnd w:id="40"/>
      <w:r>
        <w:rPr>
          <w:rFonts w:hint="eastAsia" w:ascii="仿宋" w:hAnsi="仿宋" w:eastAsia="仿宋" w:cs="仿宋"/>
          <w:b/>
          <w:color w:val="auto"/>
          <w:szCs w:val="24"/>
          <w:highlight w:val="none"/>
        </w:rPr>
        <w:t>书及未中标通知书</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6-1、中标通知书及未中标通知书将在中标公告发布的同时由采购代理机构发出。</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6-2、中标人应在接到采购代理机构通知之日起七日内领取中标通知书。</w:t>
      </w:r>
      <w:bookmarkStart w:id="41" w:name="_Toc458617739"/>
      <w:bookmarkStart w:id="42" w:name="_Toc458617462"/>
      <w:bookmarkStart w:id="43" w:name="_Toc458617790"/>
    </w:p>
    <w:p>
      <w:pPr>
        <w:adjustRightInd w:val="0"/>
        <w:snapToGri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6-3、</w:t>
      </w:r>
      <w:r>
        <w:rPr>
          <w:rFonts w:hint="eastAsia" w:ascii="仿宋" w:hAnsi="仿宋" w:eastAsia="仿宋" w:cs="仿宋"/>
          <w:color w:val="auto"/>
          <w:kern w:val="0"/>
          <w:szCs w:val="24"/>
          <w:highlight w:val="none"/>
        </w:rPr>
        <w:t>中标通知书发出后，采购人不得违法改变中标结果，中标人无正当理由不得弃中标。</w:t>
      </w:r>
    </w:p>
    <w:p>
      <w:pPr>
        <w:pStyle w:val="4"/>
        <w:spacing w:line="560" w:lineRule="exact"/>
        <w:rPr>
          <w:rFonts w:hint="eastAsia" w:ascii="仿宋" w:hAnsi="仿宋" w:eastAsia="仿宋" w:cs="仿宋"/>
          <w:color w:val="auto"/>
          <w:kern w:val="0"/>
          <w:sz w:val="28"/>
          <w:szCs w:val="28"/>
          <w:highlight w:val="none"/>
        </w:rPr>
      </w:pPr>
      <w:bookmarkStart w:id="44" w:name="_Toc16697"/>
      <w:r>
        <w:rPr>
          <w:rFonts w:hint="eastAsia" w:ascii="仿宋" w:hAnsi="仿宋" w:eastAsia="仿宋" w:cs="仿宋"/>
          <w:color w:val="auto"/>
          <w:kern w:val="0"/>
          <w:sz w:val="28"/>
          <w:szCs w:val="28"/>
          <w:highlight w:val="none"/>
        </w:rPr>
        <w:t>八、合同</w:t>
      </w:r>
      <w:bookmarkEnd w:id="41"/>
      <w:bookmarkEnd w:id="42"/>
      <w:bookmarkEnd w:id="43"/>
      <w:bookmarkEnd w:id="44"/>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1、中标人在收到中标通知书后三十（30）个日历日内，应按招标文件的要求与采购人签订合同。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中标人因自身原因不按规定与采购人签订供货合同或者拒绝与采购人签订合同的，则采购人将废除授标，投标保证金不予退还。给采购人造成损失超过投标保证金额的，还应当对超过部分予以赔偿，并依法承担相应法律责任。</w:t>
      </w:r>
      <w:r>
        <w:rPr>
          <w:rFonts w:hint="eastAsia" w:ascii="仿宋" w:hAnsi="仿宋" w:eastAsia="仿宋" w:cs="仿宋"/>
          <w:color w:val="auto"/>
          <w:highlight w:val="none"/>
        </w:rPr>
        <w:t>同时，采购人可以按照评审报告推荐的中标候选人名单排序，确定下一候选人为中标人，</w:t>
      </w:r>
      <w:r>
        <w:rPr>
          <w:rFonts w:hint="eastAsia" w:ascii="仿宋" w:hAnsi="仿宋" w:eastAsia="仿宋" w:cs="仿宋"/>
          <w:color w:val="auto"/>
          <w:szCs w:val="24"/>
          <w:highlight w:val="none"/>
        </w:rPr>
        <w:t>以此类推，</w:t>
      </w:r>
      <w:r>
        <w:rPr>
          <w:rFonts w:hint="eastAsia" w:ascii="仿宋" w:hAnsi="仿宋" w:eastAsia="仿宋" w:cs="仿宋"/>
          <w:color w:val="auto"/>
          <w:highlight w:val="none"/>
        </w:rPr>
        <w:t>也可以重新开展政府采购活动。</w:t>
      </w:r>
      <w:r>
        <w:rPr>
          <w:rFonts w:hint="eastAsia" w:ascii="仿宋" w:hAnsi="仿宋" w:eastAsia="仿宋" w:cs="仿宋"/>
          <w:color w:val="auto"/>
          <w:szCs w:val="24"/>
          <w:highlight w:val="none"/>
        </w:rPr>
        <w:t>因自身原因拒绝签订政府采购合同的或者未按合同约定进行履约的，中标人不得参加对该项目重新开展的招标活动。</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3、中标通知书将是合同的重要组成部分。招标文件、中标人的投标文件及评议过程中有关的澄清文件均作为合同附件。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中标后，中标人应按照合同约定履行义务，完成招标项目的供货，经采购人同意，中标人可以依法采取分包方式履行合同。分包部分为中标项目的部分非主体、非关键性工作。接受分包的投标人应当具备相应的资格条件，并不得再次分包。分包履行的，中标人就采购项目和分包项目向采购人负责，分包投标人就分包项目承担责任。中小企业根据</w:t>
      </w:r>
      <w:r>
        <w:rPr>
          <w:rFonts w:hint="eastAsia" w:ascii="仿宋" w:hAnsi="仿宋" w:eastAsia="仿宋" w:cs="仿宋"/>
          <w:color w:val="auto"/>
          <w:szCs w:val="24"/>
          <w:highlight w:val="none"/>
          <w:lang w:eastAsia="zh-CN"/>
        </w:rPr>
        <w:t>《政府采购促进中小企业发展管理办法》的通知--财库[2020]46号</w:t>
      </w:r>
      <w:r>
        <w:rPr>
          <w:rFonts w:hint="eastAsia" w:ascii="仿宋" w:hAnsi="仿宋" w:eastAsia="仿宋" w:cs="仿宋"/>
          <w:color w:val="auto"/>
          <w:szCs w:val="24"/>
          <w:highlight w:val="none"/>
        </w:rPr>
        <w:t>规定的政策获取政府采购合同后，小型、微型企业不得分包或转包给大型、中型企业，中型企业不得分包或转包给大型企业。</w:t>
      </w:r>
    </w:p>
    <w:p>
      <w:pPr>
        <w:spacing w:line="560" w:lineRule="exact"/>
        <w:ind w:left="480" w:left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5、所签订的合同不得对招标文件确定的事项和中标人投标文件作实质性修改。</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6、采购人需追加与合同标的相同的货物、工程或服务的，在不改变合同其他条款的前提下，可以与中标人协商签订补充合同，但所有补充合同的采购金额不得超过原合同采购金额的百分之十。</w:t>
      </w:r>
      <w:bookmarkStart w:id="45" w:name="_Toc458617740"/>
      <w:bookmarkStart w:id="46" w:name="_Toc458617463"/>
    </w:p>
    <w:p>
      <w:pPr>
        <w:pStyle w:val="4"/>
        <w:spacing w:line="560" w:lineRule="exact"/>
        <w:rPr>
          <w:rFonts w:hint="eastAsia" w:ascii="仿宋" w:hAnsi="仿宋" w:eastAsia="仿宋" w:cs="仿宋"/>
          <w:color w:val="auto"/>
          <w:kern w:val="0"/>
          <w:sz w:val="28"/>
          <w:szCs w:val="28"/>
          <w:highlight w:val="none"/>
        </w:rPr>
      </w:pPr>
      <w:bookmarkStart w:id="47" w:name="_Toc10597"/>
      <w:r>
        <w:rPr>
          <w:rFonts w:hint="eastAsia" w:ascii="仿宋" w:hAnsi="仿宋" w:eastAsia="仿宋" w:cs="仿宋"/>
          <w:color w:val="auto"/>
          <w:kern w:val="0"/>
          <w:sz w:val="28"/>
          <w:szCs w:val="28"/>
          <w:highlight w:val="none"/>
        </w:rPr>
        <w:t>九、合同的履约验收</w:t>
      </w:r>
      <w:bookmarkEnd w:id="47"/>
    </w:p>
    <w:p>
      <w:pPr>
        <w:spacing w:line="56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采购人应按照政府采购合同约定的技术、服务、安全标准组织对投标人每一项技术、服务、安全标准的履约情况进行验收，并出具验收书。</w:t>
      </w:r>
    </w:p>
    <w:p>
      <w:pPr>
        <w:pStyle w:val="4"/>
        <w:spacing w:line="560" w:lineRule="exact"/>
        <w:rPr>
          <w:rFonts w:hint="eastAsia" w:ascii="仿宋" w:hAnsi="仿宋" w:eastAsia="仿宋" w:cs="仿宋"/>
          <w:color w:val="auto"/>
          <w:kern w:val="0"/>
          <w:sz w:val="28"/>
          <w:szCs w:val="28"/>
          <w:highlight w:val="none"/>
        </w:rPr>
      </w:pPr>
      <w:bookmarkStart w:id="48" w:name="_Toc2283"/>
      <w:r>
        <w:rPr>
          <w:rFonts w:hint="eastAsia" w:ascii="仿宋" w:hAnsi="仿宋" w:eastAsia="仿宋" w:cs="仿宋"/>
          <w:color w:val="auto"/>
          <w:kern w:val="0"/>
          <w:sz w:val="28"/>
          <w:szCs w:val="28"/>
          <w:highlight w:val="none"/>
        </w:rPr>
        <w:t>十、招标服务费</w:t>
      </w:r>
      <w:bookmarkEnd w:id="45"/>
      <w:bookmarkEnd w:id="46"/>
      <w:bookmarkEnd w:id="48"/>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bCs/>
          <w:color w:val="auto"/>
          <w:szCs w:val="24"/>
          <w:highlight w:val="none"/>
        </w:rPr>
        <w:t>1、</w:t>
      </w:r>
      <w:r>
        <w:rPr>
          <w:rFonts w:hint="eastAsia" w:ascii="仿宋" w:hAnsi="仿宋" w:eastAsia="仿宋" w:cs="仿宋"/>
          <w:color w:val="auto"/>
          <w:szCs w:val="24"/>
          <w:highlight w:val="none"/>
        </w:rPr>
        <w:t>中标人在领取中标通知书时，</w:t>
      </w:r>
      <w:bookmarkStart w:id="49" w:name="_Toc194663910"/>
      <w:bookmarkStart w:id="50" w:name="_Toc193126874"/>
      <w:bookmarkStart w:id="51" w:name="_Toc188808820"/>
      <w:bookmarkStart w:id="52" w:name="_Toc193187089"/>
      <w:r>
        <w:rPr>
          <w:rFonts w:hint="eastAsia" w:ascii="仿宋" w:hAnsi="仿宋" w:eastAsia="仿宋" w:cs="仿宋"/>
          <w:color w:val="auto"/>
          <w:szCs w:val="24"/>
          <w:highlight w:val="none"/>
        </w:rPr>
        <w:t>依据《国家计委关于印发&lt;招标代理服务收费管理暂行办法&gt;的通知》(计价格〔2002〕1980号)</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《国家发展改革委关于降低部分建设项目收费标准规范收费行为等有关问题的通知》(发改价格〔2011〕534号)</w:t>
      </w:r>
      <w:r>
        <w:rPr>
          <w:rFonts w:hint="eastAsia" w:ascii="仿宋" w:hAnsi="仿宋" w:eastAsia="仿宋" w:cs="仿宋"/>
          <w:color w:val="auto"/>
          <w:szCs w:val="24"/>
          <w:highlight w:val="none"/>
          <w:lang w:eastAsia="zh-CN"/>
        </w:rPr>
        <w:t>以及财政部关于印发&lt;政府采购代理机构管理暂行办法&gt;的通知》（财库〔2018〕</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lang w:eastAsia="zh-CN"/>
        </w:rPr>
        <w:t>号）</w:t>
      </w:r>
      <w:r>
        <w:rPr>
          <w:rFonts w:hint="eastAsia" w:ascii="仿宋" w:hAnsi="仿宋" w:eastAsia="仿宋" w:cs="仿宋"/>
          <w:color w:val="auto"/>
          <w:szCs w:val="24"/>
          <w:highlight w:val="none"/>
        </w:rPr>
        <w:t>，向</w:t>
      </w:r>
      <w:r>
        <w:rPr>
          <w:rFonts w:hint="eastAsia" w:ascii="仿宋" w:hAnsi="仿宋" w:eastAsia="仿宋" w:cs="仿宋"/>
          <w:color w:val="auto"/>
          <w:szCs w:val="24"/>
          <w:highlight w:val="none"/>
          <w:lang w:eastAsia="zh-CN"/>
        </w:rPr>
        <w:t>华招广和项目管理有限公司</w:t>
      </w:r>
      <w:r>
        <w:rPr>
          <w:rFonts w:hint="eastAsia" w:ascii="仿宋" w:hAnsi="仿宋" w:eastAsia="仿宋" w:cs="仿宋"/>
          <w:color w:val="auto"/>
          <w:szCs w:val="24"/>
          <w:highlight w:val="none"/>
        </w:rPr>
        <w:t>交纳招标服务费。</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rPr>
        <w:t>2、招标服务费应采用转账形式交纳。</w:t>
      </w:r>
      <w:r>
        <w:rPr>
          <w:rFonts w:hint="eastAsia" w:ascii="仿宋" w:hAnsi="仿宋" w:eastAsia="仿宋" w:cs="仿宋"/>
          <w:color w:val="auto"/>
          <w:szCs w:val="24"/>
          <w:highlight w:val="none"/>
          <w:lang w:val="en-US" w:eastAsia="zh-CN"/>
        </w:rPr>
        <w:t xml:space="preserve"> </w:t>
      </w:r>
    </w:p>
    <w:p>
      <w:pPr>
        <w:pStyle w:val="4"/>
        <w:spacing w:line="560" w:lineRule="exact"/>
        <w:rPr>
          <w:rFonts w:hint="eastAsia" w:ascii="仿宋" w:hAnsi="仿宋" w:eastAsia="仿宋" w:cs="仿宋"/>
          <w:color w:val="auto"/>
          <w:kern w:val="0"/>
          <w:sz w:val="28"/>
          <w:szCs w:val="28"/>
          <w:highlight w:val="none"/>
        </w:rPr>
      </w:pPr>
      <w:bookmarkStart w:id="53" w:name="_Toc458617741"/>
      <w:bookmarkStart w:id="54" w:name="_Toc458617464"/>
      <w:bookmarkStart w:id="55" w:name="_Toc22375"/>
      <w:r>
        <w:rPr>
          <w:rFonts w:hint="eastAsia" w:ascii="仿宋" w:hAnsi="仿宋" w:eastAsia="仿宋" w:cs="仿宋"/>
          <w:color w:val="auto"/>
          <w:kern w:val="0"/>
          <w:sz w:val="28"/>
          <w:szCs w:val="28"/>
          <w:highlight w:val="none"/>
        </w:rPr>
        <w:t>十一、</w:t>
      </w:r>
      <w:bookmarkEnd w:id="49"/>
      <w:bookmarkEnd w:id="50"/>
      <w:bookmarkEnd w:id="51"/>
      <w:bookmarkEnd w:id="52"/>
      <w:bookmarkEnd w:id="53"/>
      <w:bookmarkEnd w:id="54"/>
      <w:r>
        <w:rPr>
          <w:rFonts w:hint="eastAsia" w:ascii="仿宋" w:hAnsi="仿宋" w:eastAsia="仿宋" w:cs="仿宋"/>
          <w:color w:val="auto"/>
          <w:kern w:val="0"/>
          <w:sz w:val="28"/>
          <w:szCs w:val="28"/>
          <w:highlight w:val="none"/>
        </w:rPr>
        <w:t>重新组织采购活动</w:t>
      </w:r>
      <w:bookmarkEnd w:id="55"/>
    </w:p>
    <w:p>
      <w:pPr>
        <w:spacing w:line="560" w:lineRule="exact"/>
        <w:ind w:firstLine="720" w:firstLineChars="3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如果发生下列情况之一，采购人和采购代理机构将按《政府采购法》、《政府采购货物和服务招标投标管理办法》（财政部第87号）等有关规定重新组织采购活动：</w:t>
      </w:r>
    </w:p>
    <w:p>
      <w:pPr>
        <w:spacing w:line="560" w:lineRule="exact"/>
        <w:ind w:firstLine="48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（1）因重大变故，采购任务取消的；</w:t>
      </w:r>
    </w:p>
    <w:p>
      <w:pPr>
        <w:spacing w:line="560" w:lineRule="exact"/>
        <w:ind w:firstLine="48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（2）招标文件存在不合理条款或者招标程序不符合规定的；</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96"/>
          <w:szCs w:val="24"/>
          <w:highlight w:val="none"/>
        </w:rPr>
        <w:t>（3）</w:t>
      </w:r>
      <w:r>
        <w:rPr>
          <w:rFonts w:hint="eastAsia" w:ascii="仿宋" w:hAnsi="仿宋" w:eastAsia="仿宋" w:cs="仿宋"/>
          <w:color w:val="auto"/>
          <w:szCs w:val="24"/>
          <w:highlight w:val="none"/>
        </w:rPr>
        <w:t>出现影响采购公正的违法、违规行为的；</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（4）投标截止后投标人不足3家或者通过资格审查或符合性审查的投标人不足3家的；</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（5）所有投标人的报价均超出采购预算或最高限价，采购人不能支付的。</w:t>
      </w:r>
    </w:p>
    <w:p>
      <w:pPr>
        <w:pStyle w:val="4"/>
        <w:tabs>
          <w:tab w:val="left" w:pos="6899"/>
        </w:tabs>
        <w:spacing w:line="560" w:lineRule="exact"/>
        <w:rPr>
          <w:rFonts w:hint="eastAsia" w:ascii="仿宋" w:hAnsi="仿宋" w:eastAsia="仿宋" w:cs="仿宋"/>
          <w:color w:val="auto"/>
          <w:kern w:val="0"/>
          <w:sz w:val="28"/>
          <w:szCs w:val="28"/>
          <w:highlight w:val="none"/>
        </w:rPr>
      </w:pPr>
      <w:bookmarkStart w:id="56" w:name="_Toc458617465"/>
      <w:bookmarkStart w:id="57" w:name="_Toc458617742"/>
      <w:bookmarkStart w:id="58" w:name="_Toc17723"/>
      <w:r>
        <w:rPr>
          <w:rFonts w:hint="eastAsia" w:ascii="仿宋" w:hAnsi="仿宋" w:eastAsia="仿宋" w:cs="仿宋"/>
          <w:color w:val="auto"/>
          <w:kern w:val="0"/>
          <w:sz w:val="28"/>
          <w:szCs w:val="28"/>
          <w:highlight w:val="none"/>
        </w:rPr>
        <w:t>十二、</w:t>
      </w:r>
      <w:bookmarkEnd w:id="56"/>
      <w:bookmarkEnd w:id="57"/>
      <w:bookmarkStart w:id="59" w:name="_Toc458617466"/>
      <w:bookmarkStart w:id="60" w:name="_Toc458617743"/>
      <w:r>
        <w:rPr>
          <w:rFonts w:hint="eastAsia" w:ascii="仿宋" w:hAnsi="仿宋" w:eastAsia="仿宋" w:cs="仿宋"/>
          <w:color w:val="auto"/>
          <w:kern w:val="0"/>
          <w:sz w:val="28"/>
          <w:szCs w:val="28"/>
          <w:highlight w:val="none"/>
        </w:rPr>
        <w:t>询问、质疑与投诉</w:t>
      </w:r>
      <w:bookmarkEnd w:id="58"/>
      <w:r>
        <w:rPr>
          <w:rFonts w:hint="eastAsia" w:ascii="仿宋" w:hAnsi="仿宋" w:eastAsia="仿宋" w:cs="仿宋"/>
          <w:color w:val="auto"/>
          <w:kern w:val="0"/>
          <w:sz w:val="28"/>
          <w:szCs w:val="28"/>
          <w:highlight w:val="none"/>
        </w:rPr>
        <w:tab/>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1、询问</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投标人对政府采购活动事项有疑问的，可以向采购人、采购代理机构提出询问。</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2、质疑</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-1、投标人认为招标文件、招标过程和中标结果使自己的权益受到损害的，可以在知道或者应知其权益受到损害之日起七个工作日内，以书面形式向采购人或采购代理机构提出质疑，逾期质疑无效。投标人应知其权益受到损害之日，是指：</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pacing w:val="-11"/>
          <w:highlight w:val="none"/>
        </w:rPr>
      </w:pPr>
      <w:r>
        <w:rPr>
          <w:rFonts w:hint="eastAsia" w:ascii="仿宋" w:hAnsi="仿宋" w:eastAsia="仿宋" w:cs="仿宋"/>
          <w:color w:val="auto"/>
          <w:highlight w:val="none"/>
        </w:rPr>
        <w:t>（1）</w:t>
      </w:r>
      <w:r>
        <w:rPr>
          <w:rFonts w:hint="eastAsia" w:ascii="仿宋" w:hAnsi="仿宋" w:eastAsia="仿宋" w:cs="仿宋"/>
          <w:color w:val="auto"/>
          <w:spacing w:val="-11"/>
          <w:highlight w:val="none"/>
        </w:rPr>
        <w:t>对采购文件提出质疑的，为收到采购文件之日或者采购文件公告期限届满之日；</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（2）对采购过程提出质疑的，为各采购程序环节结束之日；</w:t>
      </w:r>
    </w:p>
    <w:p>
      <w:pPr>
        <w:keepNext w:val="0"/>
        <w:keepLines w:val="0"/>
        <w:pageBreakBefore w:val="0"/>
        <w:kinsoku/>
        <w:wordWrap/>
        <w:overflowPunct/>
        <w:topLinePunct w:val="0"/>
        <w:autoSpaceDE/>
        <w:autoSpaceDN/>
        <w:bidi w:val="0"/>
        <w:adjustRightInd/>
        <w:snapToGrid/>
        <w:spacing w:line="560" w:lineRule="exact"/>
        <w:ind w:firstLine="240" w:firstLineChars="100"/>
        <w:jc w:val="center"/>
        <w:textAlignment w:val="auto"/>
        <w:rPr>
          <w:rFonts w:hint="eastAsia" w:ascii="仿宋" w:hAnsi="仿宋" w:eastAsia="仿宋" w:cs="仿宋"/>
          <w:color w:val="auto"/>
          <w:kern w:val="0"/>
          <w:szCs w:val="24"/>
          <w:highlight w:val="none"/>
        </w:rPr>
      </w:pPr>
      <w:r>
        <w:rPr>
          <w:rFonts w:hint="eastAsia" w:ascii="仿宋" w:hAnsi="仿宋" w:eastAsia="仿宋" w:cs="仿宋"/>
          <w:color w:val="auto"/>
          <w:highlight w:val="none"/>
        </w:rPr>
        <w:t xml:space="preserve">  （3）对中标或者成交结果提出质疑的，为中标或者成交结果公告期限届满之日。</w:t>
      </w:r>
      <w:r>
        <w:rPr>
          <w:rFonts w:hint="eastAsia" w:ascii="仿宋" w:hAnsi="仿宋" w:eastAsia="仿宋" w:cs="仿宋"/>
          <w:color w:val="auto"/>
          <w:kern w:val="0"/>
          <w:szCs w:val="24"/>
          <w:highlight w:val="none"/>
        </w:rPr>
        <w:t xml:space="preserve"> </w:t>
      </w:r>
    </w:p>
    <w:p>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szCs w:val="24"/>
          <w:highlight w:val="none"/>
        </w:rPr>
      </w:pPr>
      <w:r>
        <w:rPr>
          <w:rFonts w:hint="eastAsia" w:ascii="仿宋" w:hAnsi="仿宋" w:eastAsia="仿宋" w:cs="仿宋"/>
          <w:color w:val="auto"/>
          <w:highlight w:val="none"/>
        </w:rPr>
        <w:t>2-2、投标人须在法</w:t>
      </w:r>
      <w:r>
        <w:rPr>
          <w:rFonts w:hint="eastAsia" w:ascii="仿宋" w:hAnsi="仿宋" w:eastAsia="仿宋" w:cs="仿宋"/>
          <w:color w:val="auto"/>
          <w:szCs w:val="24"/>
          <w:highlight w:val="none"/>
        </w:rPr>
        <w:t>定质疑期内一次性提出针对同一采购程序环节的质疑。</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2-3、投标人须按照财政部发布的《政府采购</w:t>
      </w:r>
      <w:r>
        <w:rPr>
          <w:rFonts w:hint="eastAsia" w:ascii="仿宋" w:hAnsi="仿宋" w:eastAsia="仿宋" w:cs="仿宋"/>
          <w:color w:val="auto"/>
          <w:szCs w:val="24"/>
          <w:highlight w:val="none"/>
          <w:lang w:eastAsia="zh-CN"/>
        </w:rPr>
        <w:t>供应商</w:t>
      </w:r>
      <w:r>
        <w:rPr>
          <w:rFonts w:hint="eastAsia" w:ascii="仿宋" w:hAnsi="仿宋" w:eastAsia="仿宋" w:cs="仿宋"/>
          <w:color w:val="auto"/>
          <w:szCs w:val="24"/>
          <w:highlight w:val="none"/>
        </w:rPr>
        <w:t>质疑函范本》及其制作说明提出质疑，详见“中国政府采购网（www.ccgp.gov.cn）”下载专区。</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-4、投标人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-5、投标人可以委托代理人进行质疑，须提交授权委托书。其授权委托书应当载明代理人的姓名或者名称、代理事项、具体权限、期限和相关事项。投标人为自然人的，应当由本人签字；投标人为法人或者其他组织的，应当由法定代表人、主要负责人，或者其授权代表签字或盖章，并加盖公章（鲜章）。</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 xml:space="preserve">2-6、投标人应在法定期限内以书面形式提出质疑，联系人： </w:t>
      </w:r>
      <w:r>
        <w:rPr>
          <w:rFonts w:hint="eastAsia" w:ascii="仿宋" w:hAnsi="仿宋" w:eastAsia="仿宋" w:cs="仿宋"/>
          <w:color w:val="auto"/>
          <w:szCs w:val="24"/>
          <w:highlight w:val="none"/>
          <w:lang w:eastAsia="zh-CN"/>
        </w:rPr>
        <w:t>党工</w:t>
      </w:r>
      <w:r>
        <w:rPr>
          <w:rFonts w:hint="eastAsia" w:ascii="仿宋" w:hAnsi="仿宋" w:eastAsia="仿宋" w:cs="仿宋"/>
          <w:color w:val="auto"/>
          <w:szCs w:val="24"/>
          <w:highlight w:val="none"/>
        </w:rPr>
        <w:t>，联系方式：029-87592321，地址：</w:t>
      </w:r>
      <w:r>
        <w:rPr>
          <w:rFonts w:hint="eastAsia" w:ascii="仿宋" w:hAnsi="仿宋" w:eastAsia="仿宋" w:cs="仿宋"/>
          <w:color w:val="auto"/>
          <w:szCs w:val="24"/>
          <w:highlight w:val="none"/>
          <w:lang w:eastAsia="zh-CN"/>
        </w:rPr>
        <w:t>华招广和项目管理有限公司</w:t>
      </w:r>
      <w:r>
        <w:rPr>
          <w:rFonts w:hint="eastAsia" w:ascii="仿宋" w:hAnsi="仿宋" w:eastAsia="仿宋" w:cs="仿宋"/>
          <w:color w:val="auto"/>
          <w:szCs w:val="24"/>
          <w:highlight w:val="none"/>
        </w:rPr>
        <w:t>（西安市朱雀大街南段1号汇成天玺C座18层1812室）。</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3、投诉</w:t>
      </w:r>
    </w:p>
    <w:p>
      <w:pPr>
        <w:pStyle w:val="38"/>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color w:val="auto"/>
          <w:kern w:val="2"/>
          <w:sz w:val="24"/>
          <w:szCs w:val="20"/>
          <w:highlight w:val="none"/>
        </w:rPr>
      </w:pPr>
      <w:r>
        <w:rPr>
          <w:rFonts w:hint="eastAsia" w:ascii="仿宋" w:hAnsi="仿宋" w:eastAsia="仿宋" w:cs="仿宋"/>
          <w:color w:val="auto"/>
          <w:kern w:val="2"/>
          <w:sz w:val="24"/>
          <w:szCs w:val="20"/>
          <w:highlight w:val="none"/>
        </w:rPr>
        <w:t>3-1、质疑投标人对采购人、采购代理机构的答复不满意或者采购人、采购代理机构未在规定的时间内作出答复的，可按《政府采购法》第55条和《政府采购质疑和投诉办法》（财政部令第94号）第17条等有关规定执行。</w:t>
      </w:r>
    </w:p>
    <w:p>
      <w:pPr>
        <w:pStyle w:val="38"/>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color w:val="auto"/>
          <w:kern w:val="2"/>
          <w:sz w:val="24"/>
          <w:szCs w:val="20"/>
          <w:highlight w:val="none"/>
        </w:rPr>
      </w:pPr>
      <w:r>
        <w:rPr>
          <w:rFonts w:hint="eastAsia" w:ascii="仿宋" w:hAnsi="仿宋" w:eastAsia="仿宋" w:cs="仿宋"/>
          <w:color w:val="auto"/>
          <w:kern w:val="2"/>
          <w:sz w:val="24"/>
          <w:szCs w:val="20"/>
          <w:highlight w:val="none"/>
        </w:rPr>
        <w:t>3-2、本项目质疑投标人对采购人、采购代理机构的答复不满意或者采购人、采购代理机构未在规定时间内作出答复的，可在15个工作日内向</w:t>
      </w:r>
      <w:r>
        <w:rPr>
          <w:rFonts w:hint="eastAsia" w:ascii="仿宋" w:hAnsi="仿宋" w:eastAsia="仿宋" w:cs="仿宋"/>
          <w:color w:val="auto"/>
          <w:kern w:val="2"/>
          <w:sz w:val="24"/>
          <w:szCs w:val="20"/>
          <w:highlight w:val="none"/>
          <w:u w:val="single"/>
        </w:rPr>
        <w:t xml:space="preserve"> </w:t>
      </w:r>
      <w:r>
        <w:rPr>
          <w:rFonts w:hint="eastAsia" w:ascii="仿宋" w:hAnsi="仿宋" w:eastAsia="仿宋" w:cs="仿宋"/>
          <w:color w:val="auto"/>
          <w:kern w:val="2"/>
          <w:sz w:val="24"/>
          <w:szCs w:val="20"/>
          <w:highlight w:val="none"/>
          <w:u w:val="single" w:color="auto"/>
          <w:lang w:val="en-US" w:eastAsia="zh-CN"/>
        </w:rPr>
        <w:t>长武县财政局</w:t>
      </w:r>
      <w:r>
        <w:rPr>
          <w:rFonts w:hint="eastAsia" w:ascii="仿宋" w:hAnsi="仿宋" w:eastAsia="仿宋" w:cs="仿宋"/>
          <w:color w:val="auto"/>
          <w:kern w:val="2"/>
          <w:sz w:val="24"/>
          <w:szCs w:val="20"/>
          <w:highlight w:val="none"/>
          <w:u w:val="single"/>
        </w:rPr>
        <w:t xml:space="preserve"> </w:t>
      </w:r>
      <w:r>
        <w:rPr>
          <w:rFonts w:hint="eastAsia" w:ascii="仿宋" w:hAnsi="仿宋" w:eastAsia="仿宋" w:cs="仿宋"/>
          <w:color w:val="auto"/>
          <w:kern w:val="2"/>
          <w:sz w:val="24"/>
          <w:szCs w:val="20"/>
          <w:highlight w:val="none"/>
        </w:rPr>
        <w:t>提起投诉。</w:t>
      </w:r>
    </w:p>
    <w:p>
      <w:pPr>
        <w:pStyle w:val="4"/>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0"/>
          <w:sz w:val="28"/>
          <w:szCs w:val="28"/>
          <w:highlight w:val="none"/>
        </w:rPr>
      </w:pPr>
      <w:bookmarkStart w:id="61" w:name="_Toc20119"/>
      <w:r>
        <w:rPr>
          <w:rFonts w:hint="eastAsia" w:ascii="仿宋" w:hAnsi="仿宋" w:eastAsia="仿宋" w:cs="仿宋"/>
          <w:color w:val="auto"/>
          <w:kern w:val="0"/>
          <w:sz w:val="28"/>
          <w:szCs w:val="28"/>
          <w:highlight w:val="none"/>
        </w:rPr>
        <w:t>十</w:t>
      </w:r>
      <w:r>
        <w:rPr>
          <w:rFonts w:hint="eastAsia" w:ascii="仿宋" w:hAnsi="仿宋" w:eastAsia="仿宋" w:cs="仿宋"/>
          <w:color w:val="auto"/>
          <w:kern w:val="0"/>
          <w:sz w:val="28"/>
          <w:szCs w:val="28"/>
          <w:highlight w:val="none"/>
          <w:lang w:val="en-US" w:eastAsia="zh-CN"/>
        </w:rPr>
        <w:t>三</w:t>
      </w:r>
      <w:r>
        <w:rPr>
          <w:rFonts w:hint="eastAsia" w:ascii="仿宋" w:hAnsi="仿宋" w:eastAsia="仿宋" w:cs="仿宋"/>
          <w:color w:val="auto"/>
          <w:kern w:val="0"/>
          <w:sz w:val="28"/>
          <w:szCs w:val="28"/>
          <w:highlight w:val="none"/>
        </w:rPr>
        <w:t>、拒绝商业贿赂</w:t>
      </w:r>
      <w:bookmarkEnd w:id="59"/>
      <w:bookmarkEnd w:id="60"/>
      <w:bookmarkEnd w:id="61"/>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1、遵照陕西省财政厅的规定，采购人、采购代理机构、投标人和评审专家在招投标活动中，都要签订相应的《拒绝政府采购领域商业贿赂承诺书》，并对违反承诺的行为承担全部责任。</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2、投标人必须填写《拒绝政府采购领域商业贿赂承诺书》并附在投标文件中，同时应保证投标文件正、副本中一致。</w:t>
      </w:r>
    </w:p>
    <w:p>
      <w:pPr>
        <w:pStyle w:val="3"/>
        <w:spacing w:line="560" w:lineRule="exact"/>
        <w:rPr>
          <w:rFonts w:hint="eastAsia" w:ascii="仿宋" w:hAnsi="仿宋" w:eastAsia="仿宋" w:cs="仿宋"/>
          <w:color w:val="auto"/>
          <w:kern w:val="0"/>
          <w:highlight w:val="none"/>
        </w:rPr>
        <w:sectPr>
          <w:headerReference r:id="rId16" w:type="first"/>
          <w:footerReference r:id="rId18" w:type="first"/>
          <w:headerReference r:id="rId15" w:type="default"/>
          <w:footerReference r:id="rId17" w:type="default"/>
          <w:pgSz w:w="11905" w:h="16840"/>
          <w:pgMar w:top="1417" w:right="1417" w:bottom="1417" w:left="1417" w:header="935" w:footer="771" w:gutter="0"/>
          <w:pgNumType w:fmt="decimal" w:start="4"/>
          <w:cols w:space="0" w:num="1"/>
          <w:titlePg/>
          <w:rtlGutter w:val="0"/>
          <w:docGrid w:linePitch="312" w:charSpace="0"/>
        </w:sectPr>
      </w:pPr>
      <w:bookmarkStart w:id="62" w:name="_Toc458617467"/>
      <w:bookmarkStart w:id="63" w:name="_Toc458617744"/>
    </w:p>
    <w:p>
      <w:pPr>
        <w:pStyle w:val="3"/>
        <w:numPr>
          <w:ilvl w:val="0"/>
          <w:numId w:val="6"/>
        </w:numPr>
        <w:spacing w:line="560" w:lineRule="exact"/>
        <w:jc w:val="center"/>
        <w:rPr>
          <w:rFonts w:hint="eastAsia" w:ascii="仿宋" w:hAnsi="仿宋" w:eastAsia="仿宋" w:cs="仿宋"/>
          <w:color w:val="auto"/>
          <w:kern w:val="0"/>
          <w:highlight w:val="none"/>
        </w:rPr>
      </w:pPr>
      <w:bookmarkStart w:id="64" w:name="_Toc24042"/>
      <w:r>
        <w:rPr>
          <w:rFonts w:hint="eastAsia" w:ascii="仿宋" w:hAnsi="仿宋" w:eastAsia="仿宋" w:cs="仿宋"/>
          <w:color w:val="auto"/>
          <w:kern w:val="0"/>
          <w:highlight w:val="none"/>
        </w:rPr>
        <w:t xml:space="preserve"> 采购内容及技术要求</w:t>
      </w:r>
      <w:bookmarkEnd w:id="62"/>
      <w:bookmarkEnd w:id="63"/>
      <w:bookmarkEnd w:id="64"/>
      <w:bookmarkStart w:id="65" w:name="_Toc458617745"/>
      <w:bookmarkStart w:id="66" w:name="_Toc492"/>
      <w:bookmarkStart w:id="67" w:name="_Toc458617468"/>
    </w:p>
    <w:bookmarkEnd w:id="65"/>
    <w:bookmarkEnd w:id="66"/>
    <w:bookmarkEnd w:id="67"/>
    <w:tbl>
      <w:tblPr>
        <w:tblStyle w:val="2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872"/>
        <w:gridCol w:w="2842"/>
        <w:gridCol w:w="850"/>
        <w:gridCol w:w="746"/>
        <w:gridCol w:w="695"/>
        <w:gridCol w:w="989"/>
        <w:gridCol w:w="8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522" w:type="dxa"/>
            <w:gridSpan w:val="8"/>
            <w:tcBorders>
              <w:top w:val="single" w:color="auto" w:sz="4" w:space="0"/>
              <w:bottom w:val="single" w:color="auto" w:sz="4" w:space="0"/>
            </w:tcBorders>
            <w:shd w:val="clear" w:color="auto" w:fill="auto"/>
            <w:noWrap/>
            <w:vAlign w:val="center"/>
          </w:tcPr>
          <w:p>
            <w:pPr>
              <w:jc w:val="left"/>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一、会议室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522" w:type="dxa"/>
            <w:gridSpan w:val="8"/>
            <w:tcBorders>
              <w:top w:val="single" w:color="auto" w:sz="4" w:space="0"/>
              <w:bottom w:val="single" w:color="000000" w:sz="4" w:space="0"/>
            </w:tcBorders>
            <w:shd w:val="clear" w:color="auto" w:fill="auto"/>
            <w:vAlign w:val="center"/>
          </w:tcPr>
          <w:p>
            <w:pPr>
              <w:jc w:val="left"/>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 xml:space="preserve">（一）会议室设备设施配置清单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名称</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规格</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数量</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单位</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单价</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金额</w:t>
            </w:r>
          </w:p>
        </w:tc>
        <w:tc>
          <w:tcPr>
            <w:tcW w:w="87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办公家具</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会议桌</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约4000*1500(带14把椅子） 实木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写字板椅</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约88*70*55*50cm尼龙外框，透气网布，金属椅脚</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把</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接待桌</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一桌四椅，桌子尺寸：约80*75cm，木质，厚度约25mm，</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茶吧机</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木制或竹制，尺寸约63*42*63cm</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接待沙发</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1.尺寸：约200cm*120cm；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2.材质：布艺。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A</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小计</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top"/>
          </w:tcPr>
          <w:p>
            <w:pP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音响系统</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top"/>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合并式功放</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1、四组输出接口，可连接4只4-8Ω音箱；</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2、机架式机箱；</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3、三路立体声输入，带输入选择切换开关；一路立体声输出,四路话筒插口，环保麦克风插口自带DC+6V电源；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4、线路音调控制：高音 10KHz±12dB、低音 100Hz±12dB；</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5、话筒音调控制：高音 10KHz±12dB 、低音 100Hz±12dB；</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6、额定输入电平：话筒 15mV（非平衡）、线路 200mV；</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7、失真度 ≤0.5%；</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8、信噪比：≥80dB(A计权)；</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9、电源：交流220V±10%/50Hz；</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无源音箱</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155"/>
                <w:rFonts w:hint="eastAsia" w:ascii="仿宋" w:hAnsi="仿宋" w:eastAsia="仿宋" w:cs="仿宋"/>
                <w:sz w:val="24"/>
                <w:szCs w:val="24"/>
                <w:highlight w:val="none"/>
                <w:lang w:val="en-US" w:eastAsia="zh-CN" w:bidi="ar"/>
              </w:rPr>
              <w:t>1、额定噪声功率：</w:t>
            </w:r>
            <w:r>
              <w:rPr>
                <w:rStyle w:val="156"/>
                <w:rFonts w:hint="eastAsia" w:ascii="仿宋" w:hAnsi="仿宋" w:eastAsia="仿宋" w:cs="仿宋"/>
                <w:sz w:val="24"/>
                <w:szCs w:val="24"/>
                <w:highlight w:val="none"/>
                <w:lang w:val="en-US" w:eastAsia="zh-CN" w:bidi="ar"/>
              </w:rPr>
              <w:t>≤</w:t>
            </w:r>
            <w:r>
              <w:rPr>
                <w:rStyle w:val="155"/>
                <w:rFonts w:hint="eastAsia" w:ascii="仿宋" w:hAnsi="仿宋" w:eastAsia="仿宋" w:cs="仿宋"/>
                <w:sz w:val="24"/>
                <w:szCs w:val="24"/>
                <w:highlight w:val="none"/>
                <w:lang w:val="en-US" w:eastAsia="zh-CN" w:bidi="ar"/>
              </w:rPr>
              <w:t>80W；</w:t>
            </w:r>
            <w:r>
              <w:rPr>
                <w:rStyle w:val="155"/>
                <w:rFonts w:hint="eastAsia" w:ascii="仿宋" w:hAnsi="仿宋" w:eastAsia="仿宋" w:cs="仿宋"/>
                <w:sz w:val="24"/>
                <w:szCs w:val="24"/>
                <w:highlight w:val="none"/>
                <w:lang w:val="en-US" w:eastAsia="zh-CN" w:bidi="ar"/>
              </w:rPr>
              <w:br w:type="textWrapping"/>
            </w:r>
            <w:r>
              <w:rPr>
                <w:rStyle w:val="155"/>
                <w:rFonts w:hint="eastAsia" w:ascii="仿宋" w:hAnsi="仿宋" w:eastAsia="仿宋" w:cs="仿宋"/>
                <w:sz w:val="24"/>
                <w:szCs w:val="24"/>
                <w:highlight w:val="none"/>
                <w:lang w:val="en-US" w:eastAsia="zh-CN" w:bidi="ar"/>
              </w:rPr>
              <w:t>2、最大功率：240W；</w:t>
            </w:r>
            <w:r>
              <w:rPr>
                <w:rStyle w:val="155"/>
                <w:rFonts w:hint="eastAsia" w:ascii="仿宋" w:hAnsi="仿宋" w:eastAsia="仿宋" w:cs="仿宋"/>
                <w:sz w:val="24"/>
                <w:szCs w:val="24"/>
                <w:highlight w:val="none"/>
                <w:lang w:val="en-US" w:eastAsia="zh-CN" w:bidi="ar"/>
              </w:rPr>
              <w:br w:type="textWrapping"/>
            </w:r>
            <w:r>
              <w:rPr>
                <w:rStyle w:val="155"/>
                <w:rFonts w:hint="eastAsia" w:ascii="仿宋" w:hAnsi="仿宋" w:eastAsia="仿宋" w:cs="仿宋"/>
                <w:sz w:val="24"/>
                <w:szCs w:val="24"/>
                <w:highlight w:val="none"/>
                <w:lang w:val="en-US" w:eastAsia="zh-CN" w:bidi="ar"/>
              </w:rPr>
              <w:t>3、额定阻抗：8Ω（1±20%）；</w:t>
            </w:r>
            <w:r>
              <w:rPr>
                <w:rStyle w:val="155"/>
                <w:rFonts w:hint="eastAsia" w:ascii="仿宋" w:hAnsi="仿宋" w:eastAsia="仿宋" w:cs="仿宋"/>
                <w:sz w:val="24"/>
                <w:szCs w:val="24"/>
                <w:highlight w:val="none"/>
                <w:lang w:val="en-US" w:eastAsia="zh-CN" w:bidi="ar"/>
              </w:rPr>
              <w:br w:type="textWrapping"/>
            </w:r>
            <w:r>
              <w:rPr>
                <w:rStyle w:val="155"/>
                <w:rFonts w:hint="eastAsia" w:ascii="仿宋" w:hAnsi="仿宋" w:eastAsia="仿宋" w:cs="仿宋"/>
                <w:sz w:val="24"/>
                <w:szCs w:val="24"/>
                <w:highlight w:val="none"/>
                <w:lang w:val="en-US" w:eastAsia="zh-CN" w:bidi="ar"/>
              </w:rPr>
              <w:t>4、频率响应：60Hz-18kHz（-10dB)；</w:t>
            </w:r>
            <w:r>
              <w:rPr>
                <w:rStyle w:val="155"/>
                <w:rFonts w:hint="eastAsia" w:ascii="仿宋" w:hAnsi="仿宋" w:eastAsia="仿宋" w:cs="仿宋"/>
                <w:sz w:val="24"/>
                <w:szCs w:val="24"/>
                <w:highlight w:val="none"/>
                <w:lang w:val="en-US" w:eastAsia="zh-CN" w:bidi="ar"/>
              </w:rPr>
              <w:br w:type="textWrapping"/>
            </w:r>
            <w:r>
              <w:rPr>
                <w:rStyle w:val="155"/>
                <w:rFonts w:hint="eastAsia" w:ascii="仿宋" w:hAnsi="仿宋" w:eastAsia="仿宋" w:cs="仿宋"/>
                <w:sz w:val="24"/>
                <w:szCs w:val="24"/>
                <w:highlight w:val="none"/>
                <w:lang w:val="en-US" w:eastAsia="zh-CN" w:bidi="ar"/>
              </w:rPr>
              <w:t>5、总谐波失真：≤4%；</w:t>
            </w:r>
            <w:r>
              <w:rPr>
                <w:rStyle w:val="155"/>
                <w:rFonts w:hint="eastAsia" w:ascii="仿宋" w:hAnsi="仿宋" w:eastAsia="仿宋" w:cs="仿宋"/>
                <w:sz w:val="24"/>
                <w:szCs w:val="24"/>
                <w:highlight w:val="none"/>
                <w:lang w:val="en-US" w:eastAsia="zh-CN" w:bidi="ar"/>
              </w:rPr>
              <w:br w:type="textWrapping"/>
            </w:r>
            <w:r>
              <w:rPr>
                <w:rStyle w:val="155"/>
                <w:rFonts w:hint="eastAsia" w:ascii="仿宋" w:hAnsi="仿宋" w:eastAsia="仿宋" w:cs="仿宋"/>
                <w:sz w:val="24"/>
                <w:szCs w:val="24"/>
                <w:highlight w:val="none"/>
                <w:lang w:val="en-US" w:eastAsia="zh-CN" w:bidi="ar"/>
              </w:rPr>
              <w:t>6、驱动器：1个8寸长冲程低音驱动器、2个3寸前纸盆高音；</w:t>
            </w:r>
            <w:r>
              <w:rPr>
                <w:rStyle w:val="155"/>
                <w:rFonts w:hint="eastAsia" w:ascii="仿宋" w:hAnsi="仿宋" w:eastAsia="仿宋" w:cs="仿宋"/>
                <w:sz w:val="24"/>
                <w:szCs w:val="24"/>
                <w:highlight w:val="none"/>
                <w:lang w:val="en-US" w:eastAsia="zh-CN" w:bidi="ar"/>
              </w:rPr>
              <w:br w:type="textWrapping"/>
            </w:r>
            <w:r>
              <w:rPr>
                <w:rStyle w:val="155"/>
                <w:rFonts w:hint="eastAsia" w:ascii="仿宋" w:hAnsi="仿宋" w:eastAsia="仿宋" w:cs="仿宋"/>
                <w:sz w:val="24"/>
                <w:szCs w:val="24"/>
                <w:highlight w:val="none"/>
                <w:lang w:val="en-US" w:eastAsia="zh-CN" w:bidi="ar"/>
              </w:rPr>
              <w:t>7、灵敏度（8Ω/1W/1m）：90(±3)dB；</w:t>
            </w:r>
            <w:r>
              <w:rPr>
                <w:rStyle w:val="155"/>
                <w:rFonts w:hint="eastAsia" w:ascii="仿宋" w:hAnsi="仿宋" w:eastAsia="仿宋" w:cs="仿宋"/>
                <w:sz w:val="24"/>
                <w:szCs w:val="24"/>
                <w:highlight w:val="none"/>
                <w:lang w:val="en-US" w:eastAsia="zh-CN" w:bidi="ar"/>
              </w:rPr>
              <w:br w:type="textWrapping"/>
            </w:r>
            <w:r>
              <w:rPr>
                <w:rStyle w:val="155"/>
                <w:rFonts w:hint="eastAsia" w:ascii="仿宋" w:hAnsi="仿宋" w:eastAsia="仿宋" w:cs="仿宋"/>
                <w:sz w:val="24"/>
                <w:szCs w:val="24"/>
                <w:highlight w:val="none"/>
                <w:lang w:val="en-US" w:eastAsia="zh-CN" w:bidi="ar"/>
              </w:rPr>
              <w:t>8、最大声压级：112dB；</w:t>
            </w:r>
            <w:r>
              <w:rPr>
                <w:rStyle w:val="155"/>
                <w:rFonts w:hint="eastAsia" w:ascii="仿宋" w:hAnsi="仿宋" w:eastAsia="仿宋" w:cs="仿宋"/>
                <w:sz w:val="24"/>
                <w:szCs w:val="24"/>
                <w:highlight w:val="none"/>
                <w:lang w:val="en-US" w:eastAsia="zh-CN" w:bidi="ar"/>
              </w:rPr>
              <w:br w:type="textWrapping"/>
            </w:r>
            <w:r>
              <w:rPr>
                <w:rStyle w:val="155"/>
                <w:rFonts w:hint="eastAsia" w:ascii="仿宋" w:hAnsi="仿宋" w:eastAsia="仿宋" w:cs="仿宋"/>
                <w:sz w:val="24"/>
                <w:szCs w:val="24"/>
                <w:highlight w:val="none"/>
                <w:lang w:val="en-US" w:eastAsia="zh-CN" w:bidi="ar"/>
              </w:rPr>
              <w:t>9、分频器：1.8KHz；指向性覆盖角：140°（H）x100°（V）；</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bottom"/>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UHF无线 一拖四会议麦克风</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 内置不少于20组预设频率模组，可手动修改，PLL锁相环回路设计，纯自动选讯接收方式；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 配合LCD液晶显示屏，显示音量.模组.频率和AF/RF讯号强度以及设置操作；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 使用电子音量控制，每个通道音量增益通过前置旋钮可调0dB至20dB；</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 红外数据自动同步功能（SYNC）：4个独立的红外对频按键，一键自动对频；</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 采用UHF530-670MHz频段载波，频率响应： 20Hz～20KHz ±3dB，频带宽度：30MHz，灵敏度：S/N&gt;60dB @25KHz, 6dBv，T.H.D ＜0.7% @ 1KHz，S/N ＞105dB；</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 标配4条BNC天线，并可配备外置延长的抗干扰天线，可绕开金属机柜对无线信号的屏蔽，有效工作距离60米(可视距离)；</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7.不平衡混合输出插座: 6.3mm插座, ABCD信道混合输出，平衡输出插座: XLR插座ABCD信道；</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机柜</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容量：18U  尺寸：约600mm×600mm×1000mm；</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B</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小计</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singl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singl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合计</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A+B</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522" w:type="dxa"/>
            <w:gridSpan w:val="8"/>
            <w:tcBorders>
              <w:top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（二）会议室配套环境建设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项目名称</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规格</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工程量</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单位</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单价</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金额</w:t>
            </w:r>
          </w:p>
        </w:tc>
        <w:tc>
          <w:tcPr>
            <w:tcW w:w="87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顶面石膏板造型吊顶</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石膏板1200mm×3000mm、人工、辅料</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基层龙骨</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轻钢龙骨（国标边骨、国标38卡式主骨、国标50付骨、国标吊杆、五件套）、人工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顶面乳胶漆基层处理</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石膏粉20kg/袋、成品腻子粉20kg/袋</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顶面乳胶漆喷涂</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乳胶漆18L/桶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墙面乳胶漆基层处理</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石膏粉20kg/袋、成品腻子粉20kg/袋</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墙面乳胶漆喷涂</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乳胶漆18L/桶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墙板</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专用板材600mm×3000mm、人工、辅料</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地面木地板铺贴</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成品采购、强化复合木地板200mm×1220mm×12mm、人工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69</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踢脚线</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成品定制80mm×3000mm、人工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电路改造</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BV-2.5㎡国标铜芯线、人工、辅料</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空调专线</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BV4㎡国标铜芯线  人工、辅料</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灯带</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色温4200k、功率15w/m、人工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入户门拆除</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人工、垃圾清运</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入户门</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定制木门（实木复合门、900mm×2600mm）</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入户门套</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定制门套（实木复合门套、80mm×3000mm）、人工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窗套</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定制窗套（实木复合窗套、80mm×3000mm）、人工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射灯</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直径100mm、色温4200k、功率10w、人工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主灯</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700mm×1100mm、色温可变、功率192w、人工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开关面板（插座）</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白色（88mm×86mm）、人工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窗帘</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成品定制（高度3000mm）、人工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21</w:t>
            </w:r>
          </w:p>
        </w:tc>
        <w:tc>
          <w:tcPr>
            <w:tcW w:w="8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窗帘杆</w:t>
            </w:r>
          </w:p>
        </w:tc>
        <w:tc>
          <w:tcPr>
            <w:tcW w:w="284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直径28mm、长度3000mm</w:t>
            </w:r>
          </w:p>
        </w:tc>
        <w:tc>
          <w:tcPr>
            <w:tcW w:w="8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74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69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auto"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auto"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87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合计</w:t>
            </w:r>
          </w:p>
        </w:tc>
        <w:tc>
          <w:tcPr>
            <w:tcW w:w="284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b/>
                <w:bCs/>
                <w:i w:val="0"/>
                <w:iCs w:val="0"/>
                <w:color w:val="000000"/>
                <w:sz w:val="24"/>
                <w:szCs w:val="24"/>
                <w:highlight w:val="none"/>
                <w:u w:val="none"/>
              </w:rPr>
            </w:pPr>
          </w:p>
        </w:tc>
        <w:tc>
          <w:tcPr>
            <w:tcW w:w="85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746"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69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989"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872" w:type="dxa"/>
            <w:tcBorders>
              <w:top w:val="single" w:color="auto"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522" w:type="dxa"/>
            <w:gridSpan w:val="8"/>
            <w:tcBorders>
              <w:top w:val="nil"/>
              <w:bottom w:val="single" w:color="auto" w:sz="4" w:space="0"/>
            </w:tcBorders>
            <w:shd w:val="clear" w:color="auto" w:fill="auto"/>
            <w:noWrap/>
            <w:vAlign w:val="center"/>
          </w:tcPr>
          <w:p>
            <w:pPr>
              <w:jc w:val="left"/>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二、美工室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522" w:type="dxa"/>
            <w:gridSpan w:val="8"/>
            <w:tcBorders>
              <w:top w:val="single" w:color="auto"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 xml:space="preserve">（一）美工室设备及材料清单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名称</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规格</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数量</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单位</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单价（元）</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金额（元）</w:t>
            </w:r>
          </w:p>
        </w:tc>
        <w:tc>
          <w:tcPr>
            <w:tcW w:w="87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折叠升降画架</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约45*100*35cm  实木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美工桌</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约180*120*50cm  实木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vMerge w:val="restart"/>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椅子</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约29*23*55cm  实木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张</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vMerge w:val="continue"/>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儿童矮书柜</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约120*24*60cm  实木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扎染全套</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不少于8色</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拉胚机</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1.250W。</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2.整体尺寸：约50cm*35cm*35cm。</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陶泥</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500g</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立体织布机</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约30*38.5*26cm 木质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简易织布机</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约20*18cm 木质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毛线</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不少于12色</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合计</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522" w:type="dxa"/>
            <w:gridSpan w:val="8"/>
            <w:tcBorders>
              <w:top w:val="single" w:color="000000" w:sz="4" w:space="0"/>
              <w:bottom w:val="single" w:color="000000" w:sz="4" w:space="0"/>
            </w:tcBorders>
            <w:shd w:val="clear" w:color="auto" w:fill="auto"/>
            <w:vAlign w:val="center"/>
          </w:tcPr>
          <w:p>
            <w:pPr>
              <w:jc w:val="left"/>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（二）美工室配套环境建设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项目名称</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规格</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工程量</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单位</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单价</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金额</w:t>
            </w:r>
          </w:p>
        </w:tc>
        <w:tc>
          <w:tcPr>
            <w:tcW w:w="87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顶面石膏板造型吊顶</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石膏板1200mm×3000mm、人工、辅料</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基层龙骨</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轻钢龙骨（国标边骨、国标38卡式主骨、国标50付骨、国标吊杆、五件套）、人工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顶面金属方通吊顶</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成品采购（60mm×60mm×3000mm）、人工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顶面乳胶漆基层处理</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石膏粉20kg/袋、成品腻子粉20kg/袋</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78.2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顶面乳胶漆喷涂</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乳胶漆18L/桶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78.2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墙面乳胶漆基层处理</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石膏粉20kg/袋、成品腻子粉20kg/袋</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墙面乳胶漆喷涂</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乳胶漆18L/桶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美工室墙面造型</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石膏板1200mm×3000mm、人工、辅料</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墙板</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专用板材600mm×3000mm、人工、辅料</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入户门拆除</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人工、垃圾清运</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入户门套</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定制门套（实木复合门套、80mm×3000mm）、人工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入户门</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定制木门（实木复合门、900mm×2600mm）</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窗套</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定制窗套（实木复合窗套、80mm×3000mm）、人工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踢脚线</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成品定制80mm×3000mm、人工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水路改造</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PPR水管、直径20mm×长度2400mm、人工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台上盆龙头下水</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成品采购（455mm×405mm×1200mm)</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电路改造</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BV-2.5㎡国标铜芯线、人工、辅料</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空调专线</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BV4㎡国标铜芯线人工、辅料</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灯带</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色温4200k、功率15w/m、人工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开关面板</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白色（88mm×86mm）、人工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灯具</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700mm×700mm、色温可变、功率100w、人工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窗帘</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成品定制（高度3000mm）、人工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窗帘杆</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直径28mm、长度3000mm</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小计</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b/>
                <w:bCs/>
                <w:i w:val="0"/>
                <w:iCs w:val="0"/>
                <w:color w:val="000000"/>
                <w:sz w:val="24"/>
                <w:szCs w:val="24"/>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522" w:type="dxa"/>
            <w:gridSpan w:val="8"/>
            <w:tcBorders>
              <w:top w:val="nil"/>
              <w:bottom w:val="nil"/>
            </w:tcBorders>
            <w:shd w:val="clear" w:color="auto" w:fill="auto"/>
            <w:noWrap/>
            <w:vAlign w:val="center"/>
          </w:tcPr>
          <w:p>
            <w:pPr>
              <w:jc w:val="left"/>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三、科发室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522" w:type="dxa"/>
            <w:gridSpan w:val="8"/>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w:t>
            </w:r>
          </w:p>
          <w:p>
            <w:pPr>
              <w:jc w:val="left"/>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 xml:space="preserve">(一）科发室材料清单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名称</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规格</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数量</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单位</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单价（元）</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金额（元）</w:t>
            </w:r>
          </w:p>
        </w:tc>
        <w:tc>
          <w:tcPr>
            <w:tcW w:w="87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桌子</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约120*60*70cm 实木，钢架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可坐收纳组合柜</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约120*30*30cm  厚度16mm 木质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磁力套装</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锻炼动手能力，激发兴趣，提升想象力</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磁力过山车</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实验教育玩具，认识磁铁磁力原理及黑洞演示模型。</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太阳系行星语音投影仪</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155"/>
                <w:rFonts w:hint="eastAsia" w:ascii="仿宋" w:hAnsi="仿宋" w:eastAsia="仿宋" w:cs="仿宋"/>
                <w:sz w:val="24"/>
                <w:szCs w:val="24"/>
                <w:highlight w:val="none"/>
                <w:lang w:val="en-US" w:eastAsia="zh-CN" w:bidi="ar"/>
              </w:rPr>
              <w:t>ABS,不锈钢，</w:t>
            </w:r>
            <w:r>
              <w:rPr>
                <w:rStyle w:val="156"/>
                <w:rFonts w:hint="eastAsia" w:ascii="仿宋" w:hAnsi="仿宋" w:eastAsia="仿宋" w:cs="仿宋"/>
                <w:sz w:val="24"/>
                <w:szCs w:val="24"/>
                <w:highlight w:val="none"/>
                <w:lang w:val="en-US" w:eastAsia="zh-CN" w:bidi="ar"/>
              </w:rPr>
              <w:t>约</w:t>
            </w:r>
            <w:r>
              <w:rPr>
                <w:rStyle w:val="155"/>
                <w:rFonts w:hint="eastAsia" w:ascii="仿宋" w:hAnsi="仿宋" w:eastAsia="仿宋" w:cs="仿宋"/>
                <w:sz w:val="24"/>
                <w:szCs w:val="24"/>
                <w:highlight w:val="none"/>
                <w:lang w:val="en-US" w:eastAsia="zh-CN" w:bidi="ar"/>
              </w:rPr>
              <w:t>30*24*10cm</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手摇发电机材料包</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木质，含手摇发电，盐水发电，风力发电，太阳能发电</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传声筒</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1.材质：优质塑料管。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2.尺寸：管子≤1m，听话筒≤16cm*16cm*12cm。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3.听话筒3个，三通连接头1个。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百变齿轮积木</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包装尺寸：约30*60*35cm 材质ABS,通体光滑，转角圆润，颜色鲜艳。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8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万花筒</w:t>
            </w:r>
          </w:p>
        </w:tc>
        <w:tc>
          <w:tcPr>
            <w:tcW w:w="284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155"/>
                <w:rFonts w:hint="eastAsia" w:ascii="仿宋" w:hAnsi="仿宋" w:eastAsia="仿宋" w:cs="仿宋"/>
                <w:sz w:val="24"/>
                <w:szCs w:val="24"/>
                <w:highlight w:val="none"/>
                <w:lang w:val="en-US" w:eastAsia="zh-CN" w:bidi="ar"/>
              </w:rPr>
              <w:t>纸质，木质，了解光的反射、折射长度</w:t>
            </w:r>
            <w:r>
              <w:rPr>
                <w:rStyle w:val="156"/>
                <w:rFonts w:hint="eastAsia" w:ascii="仿宋" w:hAnsi="仿宋" w:eastAsia="仿宋" w:cs="仿宋"/>
                <w:sz w:val="24"/>
                <w:szCs w:val="24"/>
                <w:highlight w:val="none"/>
                <w:lang w:val="en-US" w:eastAsia="zh-CN" w:bidi="ar"/>
              </w:rPr>
              <w:t>约</w:t>
            </w:r>
            <w:r>
              <w:rPr>
                <w:rStyle w:val="155"/>
                <w:rFonts w:hint="eastAsia" w:ascii="仿宋" w:hAnsi="仿宋" w:eastAsia="仿宋" w:cs="仿宋"/>
                <w:sz w:val="24"/>
                <w:szCs w:val="24"/>
                <w:highlight w:val="none"/>
                <w:lang w:val="en-US" w:eastAsia="zh-CN" w:bidi="ar"/>
              </w:rPr>
              <w:t>30cm</w:t>
            </w:r>
          </w:p>
        </w:tc>
        <w:tc>
          <w:tcPr>
            <w:tcW w:w="8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74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87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风力测量仪</w:t>
            </w:r>
          </w:p>
        </w:tc>
        <w:tc>
          <w:tcPr>
            <w:tcW w:w="2842"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材质：塑料。</w:t>
            </w: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87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滑翔车</w:t>
            </w:r>
          </w:p>
        </w:tc>
        <w:tc>
          <w:tcPr>
            <w:tcW w:w="284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材质：木+ABS,色彩艳丽，边缘无毛刺，带四色小车</w:t>
            </w:r>
          </w:p>
        </w:tc>
        <w:tc>
          <w:tcPr>
            <w:tcW w:w="8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水流演示器</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采用ABS材质，光滑无毛刺，颜色鲜艳，约19*7cm</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净水系统套装</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155"/>
                <w:rFonts w:hint="eastAsia" w:ascii="仿宋" w:hAnsi="仿宋" w:eastAsia="仿宋" w:cs="仿宋"/>
                <w:sz w:val="24"/>
                <w:szCs w:val="24"/>
                <w:highlight w:val="none"/>
                <w:lang w:val="en-US" w:eastAsia="zh-CN" w:bidi="ar"/>
              </w:rPr>
              <w:t>包装尺寸：</w:t>
            </w:r>
            <w:r>
              <w:rPr>
                <w:rStyle w:val="156"/>
                <w:rFonts w:hint="eastAsia" w:ascii="仿宋" w:hAnsi="仿宋" w:eastAsia="仿宋" w:cs="仿宋"/>
                <w:sz w:val="24"/>
                <w:szCs w:val="24"/>
                <w:highlight w:val="none"/>
                <w:lang w:val="en-US" w:eastAsia="zh-CN" w:bidi="ar"/>
              </w:rPr>
              <w:t>约</w:t>
            </w:r>
            <w:r>
              <w:rPr>
                <w:rStyle w:val="155"/>
                <w:rFonts w:hint="eastAsia" w:ascii="仿宋" w:hAnsi="仿宋" w:eastAsia="仿宋" w:cs="仿宋"/>
                <w:sz w:val="24"/>
                <w:szCs w:val="24"/>
                <w:highlight w:val="none"/>
                <w:lang w:val="en-US" w:eastAsia="zh-CN" w:bidi="ar"/>
              </w:rPr>
              <w:t>15*20*6cm  多材质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指纹鉴定套装</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155"/>
                <w:rFonts w:hint="eastAsia" w:ascii="仿宋" w:hAnsi="仿宋" w:eastAsia="仿宋" w:cs="仿宋"/>
                <w:sz w:val="24"/>
                <w:szCs w:val="24"/>
                <w:highlight w:val="none"/>
                <w:lang w:val="en-US" w:eastAsia="zh-CN" w:bidi="ar"/>
              </w:rPr>
              <w:t>尺寸：</w:t>
            </w:r>
            <w:r>
              <w:rPr>
                <w:rStyle w:val="156"/>
                <w:rFonts w:hint="eastAsia" w:ascii="仿宋" w:hAnsi="仿宋" w:eastAsia="仿宋" w:cs="仿宋"/>
                <w:sz w:val="24"/>
                <w:szCs w:val="24"/>
                <w:highlight w:val="none"/>
                <w:lang w:val="en-US" w:eastAsia="zh-CN" w:bidi="ar"/>
              </w:rPr>
              <w:t>约</w:t>
            </w:r>
            <w:r>
              <w:rPr>
                <w:rStyle w:val="155"/>
                <w:rFonts w:hint="eastAsia" w:ascii="仿宋" w:hAnsi="仿宋" w:eastAsia="仿宋" w:cs="仿宋"/>
                <w:sz w:val="24"/>
                <w:szCs w:val="24"/>
                <w:highlight w:val="none"/>
                <w:lang w:val="en-US" w:eastAsia="zh-CN" w:bidi="ar"/>
              </w:rPr>
              <w:t xml:space="preserve">20*6*18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儿童浮水画</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安全环保涂料</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显微镜</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可分离式设计，方便携带，大口径高清目镜，不伤眼。可放大不低于160倍。</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声学共振音叉</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155"/>
                <w:rFonts w:hint="eastAsia" w:ascii="仿宋" w:hAnsi="仿宋" w:eastAsia="仿宋" w:cs="仿宋"/>
                <w:sz w:val="24"/>
                <w:szCs w:val="24"/>
                <w:highlight w:val="none"/>
                <w:lang w:val="en-US" w:eastAsia="zh-CN" w:bidi="ar"/>
              </w:rPr>
              <w:t>材质：金属+木制，</w:t>
            </w:r>
            <w:r>
              <w:rPr>
                <w:rStyle w:val="156"/>
                <w:rFonts w:hint="eastAsia" w:ascii="仿宋" w:hAnsi="仿宋" w:eastAsia="仿宋" w:cs="仿宋"/>
                <w:sz w:val="24"/>
                <w:szCs w:val="24"/>
                <w:highlight w:val="none"/>
                <w:lang w:val="en-US" w:eastAsia="zh-CN" w:bidi="ar"/>
              </w:rPr>
              <w:t>≤</w:t>
            </w:r>
            <w:r>
              <w:rPr>
                <w:rStyle w:val="155"/>
                <w:rFonts w:hint="eastAsia" w:ascii="仿宋" w:hAnsi="仿宋" w:eastAsia="仿宋" w:cs="仿宋"/>
                <w:sz w:val="24"/>
                <w:szCs w:val="24"/>
                <w:highlight w:val="none"/>
                <w:lang w:val="en-US" w:eastAsia="zh-CN" w:bidi="ar"/>
              </w:rPr>
              <w:t>440hz</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音乐敲琴</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塑料，锻炼幼儿的听觉及动手能力，八音阶。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b/>
                <w:bCs/>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合计</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b/>
                <w:bCs/>
                <w:i w:val="0"/>
                <w:iCs w:val="0"/>
                <w:color w:val="000000"/>
                <w:sz w:val="24"/>
                <w:szCs w:val="24"/>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522" w:type="dxa"/>
            <w:gridSpan w:val="8"/>
            <w:tcBorders>
              <w:top w:val="single" w:color="000000" w:sz="4" w:space="0"/>
              <w:bottom w:val="single" w:color="000000" w:sz="4" w:space="0"/>
            </w:tcBorders>
            <w:shd w:val="clear" w:color="auto" w:fill="auto"/>
            <w:vAlign w:val="center"/>
          </w:tcPr>
          <w:p>
            <w:pPr>
              <w:jc w:val="left"/>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（二）科发室配套环境建设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项目名称</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规格</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工程量</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单位</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单价</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金额</w:t>
            </w:r>
          </w:p>
        </w:tc>
        <w:tc>
          <w:tcPr>
            <w:tcW w:w="87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顶面石膏板造型吊顶</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石膏板1200mm×3000mm、人工、辅料</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基层龙骨</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轻钢龙骨（国标边骨、国标38卡式主骨、国标50付骨、国标吊杆、五件套）、人工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星空顶面</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成品定制46㎡、人工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46</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顶面乳胶漆基层处理</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石膏粉20kg/袋、成品腻子粉20kg/袋</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顶面乳胶漆喷涂</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乳胶漆18L/桶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墙面乳胶漆基层处理</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石膏粉20kg/袋、成品腻子粉20kg/袋</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科发室墙面造型</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石膏板1200mm×3000mm、人工、辅料</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墙面乳胶漆喷涂</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乳胶漆18L/桶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墙板</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专用板材600mm×3000mm、人工、辅料</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地面木地板铺贴</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成品采购、强化复合木地板200mm×1220mm×12mm、人工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69</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踢脚线</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成品定制80mm×3000mm、人工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入户门拆除</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人工、垃圾清运</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窗套</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定制窗套（实木复合窗套、80mm×3000mm）、人工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入户门套</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定制门套（实木复合门套、80mm×3000mm）、人工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入户门</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定制木门（实木复合门、900mm×2600mm）</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灯具</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成品采购(星球灯直径200mm-800mm）、人工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电路改造</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BV-2.5㎡国标铜芯线、人工、辅料</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空调专线</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BV4㎡国标铜芯线、人工、辅料</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灯带</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色温4200k、功率15w/m、人工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开关面板</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白色（88mm×86mm）、人工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窗帘</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成品定制（高度3000mm）、人工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窗帘杆</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直径28mm、长度3000mm</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小计</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b/>
                <w:bCs/>
                <w:i w:val="0"/>
                <w:iCs w:val="0"/>
                <w:color w:val="000000"/>
                <w:sz w:val="24"/>
                <w:szCs w:val="24"/>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522" w:type="dxa"/>
            <w:gridSpan w:val="8"/>
            <w:tcBorders>
              <w:top w:val="nil"/>
              <w:bottom w:val="nil"/>
            </w:tcBorders>
            <w:shd w:val="clear" w:color="auto" w:fill="auto"/>
            <w:noWrap/>
            <w:vAlign w:val="center"/>
          </w:tcPr>
          <w:p>
            <w:pPr>
              <w:jc w:val="left"/>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四、生活馆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522" w:type="dxa"/>
            <w:gridSpan w:val="8"/>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w:t>
            </w:r>
          </w:p>
          <w:p>
            <w:pPr>
              <w:jc w:val="left"/>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（一）生活馆室材料清单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名称</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规格</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数量</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单位</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单价（元）</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金额（元）</w:t>
            </w:r>
          </w:p>
        </w:tc>
        <w:tc>
          <w:tcPr>
            <w:tcW w:w="87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储物柜</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约120*80*40cm 实木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洞洞板</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约60*120cm 实木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电磁炉</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材质：微晶面板</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功率：≤2200W</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尺寸:≤35cm*28cm*5.3cm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聚能式线圈盘，迅速加热，火力强，受热匀，4D防水式安全防护装置</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迷你平底锅</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材质：精铁</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尺寸：≤24cm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加长防烫手柄，一体铸造，锅底平底设计，仿荷叶不粘涂层，均匀透气，加大铆钉，底部散热锅底</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迷你蒸锅</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材质：201不锈钢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尺寸：≤24cm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可视化玻璃盖烹饪全程可见，镜面抛光，独立蒸片，防烫电木手柄</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烤箱</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额定功率：≤1800w</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产品容量：≤40L</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内胆材质：镀铝内胆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尺寸：尺寸≤53cm*41cm*37cm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加厚隔热玻璃门，保持温度稳定防烫伤，耐热胶垫，放置平稳不打滑，全方位散热设计降低温差，延长元器件使用寿命，上下管独立控温，受热均匀</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冰箱</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额定电压：220v</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综合耗电：0.42kw.h/24h</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产品容量：冷藏室≤92L，冷冻室≤36L</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上冷藏下冷冻，循环均匀制冷，三级能效，静音低噪运行，节能环保</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电动打蛋器</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额定电压：220V</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额定功率：100w</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机身材质：食品级ABS</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尺寸：≤18cm*13cm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双棒配置，优质铜质电机，优质线圈，耐磨耐用，运行稳定，噪音低</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教师手动打蛋器</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材质：201不锈钢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尺寸：长度≤30.5cm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优质不锈钢选材，A级抛光+磨光工艺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幼儿手动打蛋器</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材质：201不锈钢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尺寸：长度≤25.5cm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优质不锈钢选材，A级抛光+磨光工艺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蛋糕饼铛</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烤盘材质：铝合金+铁氟龙涂层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额定电压：220V</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额定功率：600W</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尺寸：≤20cm*20.8cm*13cm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加厚压铸烤盘，食物不粘涂层，材质安全，双面恒温烘烤，上置式提手，轻松开盖不烫手，硅胶脚垫，放置稳定，上盖悬浮</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蛋糕机</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材质：电木外壳+不粘锅烤盘</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电压：220V</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功率：750w</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不锈钢烤盘，换盘快捷，人性化底座设计，避免在加热时损伤桌面，采用高效发热管，能快速做出美味蛋糕，特级不粘涂层，卡扣灵活，一键固定开关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棉花糖机</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材质：优质PP+特氟龙不粘盘</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额定电压：220v</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额定功率：450W</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特氟龙不粘盘，清洗方便，双石英发热管，耐高温，耐用，特强硅胶吸盘，优质电机，耗电量低</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厨师机</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额定电压：220v</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额定功率：1200w</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产品容量：≤5L</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面盆材质：不锈钢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尺寸：≤38.4cm*22cm*35cm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全金属齿轮更耐用，食品级304不锈钢和面桶，IC芯片控制，防溅加料盖，加厚强力吸盘</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面条机</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材质：食用级不锈钢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尺寸：≤21cm*19cm*23cm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不锈钢外壳，坚固耐用，切面刀和压面棍采用45#液态镀镍技术，防锈耐用，优质冷轧钢和防滑ABS手摇柄，底部防滑颗粒设计</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盛面箱</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材质：环保PP材质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尺寸：≤33cm*23cm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采用新环保PP材料制作，健康环保，材质密度高，做工精细，柔韧度高</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教师揉面垫</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材质：食品级硅胶</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尺寸：≤40cm*50cm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硅胶材质，无缝注塑工艺，安全无害，刻度清晰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张</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幼儿揉面垫</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材质：食品级硅胶</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尺寸：≤23.5cm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硅胶材质，无缝注塑工艺，安全无害，刻度清晰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张</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披萨盘-方形</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材质：优质竹木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尺寸：≤24*17cm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竹纹细密、不易吸水耐腐蚀，能有效抑菌，环保健康，竹纹清晰可见</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披萨盘-圆形</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材质：优质竹木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尺寸：≤22cm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竹纹细密、不易吸水耐腐蚀，能有效抑菌，环保健康，竹纹清晰可见</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工具收纳筐</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材质：环保PP</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尺寸：≤28.5cm*20.5cm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采用新环保PP材料制作，健康环保、材质密度高，结实耐用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切面刀</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材质：食用级PP</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尺寸：≤13.2cm*9.4cm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食品级PP塑料加厚用料,表面光滑易清洗，一体成型，柔韧性好，坚固耐用不易折断</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擀面杖</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材质：榉木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尺寸：≤25cm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精选优质榉木，打磨光滑无毛刺，圆弧边设计手感舒适，一体成型，光滑无缝不粘面，耐用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电动榨汁机</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材质：食品级PP+不锈钢刀头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额定电压：220V</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容杯容积：≥1.75L</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功率：1600W</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尺寸：≤22cm*21cm*48cm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食品级杯体不含双酚A，耐用，抗冲击抗摔裂，梅花型金属转动结构，安全卡位牢固防止打滑，多层次凹凸结构层面高强度同芯度，降噪抗震加厚垫，减少噪音影响，3D多维散热系统，防止马达过热</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手动榨汁机</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材质：食品级不锈钢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尺寸：≤23cm*10cm*30cm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进料口尺寸：≤7.5cm*7.5cm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食品级304不锈钢精密铸造汁渣分离，榨汁口感好，手动螺旋杆挤压出汁，不破坏营养原汁原味，维护简单，安全卫生，清洗、拆装方便</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幼儿安全用刀</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材质：PP塑料</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尺寸：≤30*5cm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优质PP材质，安全健康，可切割各种食材，安全不伤手，人体工学设计，使用方便，防滑手柄，握感舒适</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把</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不锈钢盆（小）</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材质：201不锈钢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尺寸：≤28cm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精选优质201不锈钢精铸而成，一次冲压成型，卷边设计，圆润边沿，表面光洁，容易清洗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不锈钢盆（中）</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材质：201不锈钢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尺寸：≤30cm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精选优质201不锈钢精铸而成，一次冲压成型，卷边设计，圆润边沿，表面光洁，容易清洗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不锈钢盆（大）</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材质：201不锈钢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尺寸：≤32cm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精选优质201不锈钢精铸而成，一次冲压成型，卷边设计，圆润边沿，表面光洁，容易清洗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30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菜板</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材质：食品级PP</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尺寸：≤39cm*27cm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双面设计，一面采用食品级颗粒PP材料，防霉、防蛀、抗菌、一面采用食品级不锈钢材料</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张</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31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安全擦丝器</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材质：ABS+304不锈钢刀片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尺寸：≤10.5cm*11.5cm*32cm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采用高级ABS塑料和不锈钢刀片，材质安全健康，手柄光滑舒适，隐藏式储物盒，存放刀片更方便，底部硅胶防滑垫更安全，配有安全性护手器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勺子</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材质：麦秸秆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尺寸：≤16cm*3.5cm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天然材质，安全环保，精工细磨，圆润平滑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盘子</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材质：麦秸秆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尺寸：≤15cm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天然材质，安全环保，精工细磨，圆润平滑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盘子架</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材质：楠竹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尺寸：≤30cm*11.5cm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优质楠竹原料，质地坚硬无毛刺，无异味，不褪色，自然肌理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面包模型-毛毛虫</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材质：PU</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尺寸：≤16cm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手感柔软有弹性，仿真度高，PU材质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面包模型-牛角包</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材质：PU</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尺寸：≤10.5cm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手感柔软有弹性，仿真度高，PU材质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面包模型-麻花</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材质：PU</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尺寸：≤20cm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手感柔软有弹性，仿真度高，PU材质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面包模型-芝麻包</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材质：PU</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尺寸：≤13.5cm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手感柔软有弹性，仿真度高，PU材质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39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冷却架</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材质：高碳钢+不粘图层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尺寸：≤34cm*24cm*19.5cm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弧形网脚，不易剐蹭台面，受力均匀不易晃动，放置稳固，加粗钢线，焊接牢固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40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铝制模具</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材质：铝合金</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尺寸：≤7cm*5cm*2cm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食品级铝合金硬度高、耐高温，不易氧化，表面光滑易清洗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41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圆形月饼模具</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材质:食品级ABS</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尺寸：≤14.7cm*5.2cm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食品级PP塑料加厚用料,韧性好质感足，金属杆和螺丝、弹簧采用镀锌不锈铁材质，耐用，表面光滑无毛刺，脱模容易</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方形月饼模具</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材质：食品级ABS</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尺寸：≤14.7cm*6.7cm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食品级PP塑料加厚用料,韧性好质感足，金属杆和螺丝、弹簧采用镀锌不锈铁材质，耐用，表面光滑无毛刺，脱模容易</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43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卡通模具</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材质：榉木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尺寸：≤23.5cm-30cm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一套五个，精选优质榉木，立体凹底雕刻，纹理清晰易脱模，手感厚实，结实耐用，手工打磨，边缘光滑，无毛刺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不锈钢模具</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材质：不锈钢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尺寸：≤4-10.5cm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优质不锈钢选材，A级抛光+磨光工艺，双重质感，光滑不伤手</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印花模具</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材质：食用级PP</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尺寸：≤0.8cm-5.8cm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食品级PP塑料，模具边缘圆润光滑，手压式模具设计，单款多尺寸，制作效果多样</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卡通版不锈钢模具</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材质：不锈钢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尺寸：≤6cm-10cm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优质不锈钢选材，A级抛光+磨光工艺，双重质感，光滑不伤手</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饼干印花模具</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材质：食品级ABS塑料</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尺寸：≤5cm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食品级塑料，轮廓清晰，一体成型，操作简单，可重复使用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硅胶奶酪模具</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材质：硅胶</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尺寸：≤21cm*16cm*2.5cm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多种图案，材质健康环保，耐高温，易清洗，柔软</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压饭团模具</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材质：PP塑料</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尺寸：≤7.5cm*7cm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一套10个，款式随机</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食品级PP材质，厚实耐用，造型多样，让饭团也变得可爱，卡扣式设计</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50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冰淇淋模具</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材质：硅胶</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尺寸：≤15cm-20cm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柔软易脱模，无异味不脱色，耐低温，韧性强，耐用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51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布丁碗</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材质：瓷</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尺寸：≤6.7cm*3.8cm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纯正瓷土经高温烧制而成，边缘光滑，温润如玉，瓷质细腻，条纹工艺，有效防滑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欧式西点盘（大）</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材质：食品级PC</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尺寸：≤38cm*28.5cm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绿色环保食品级材料，加厚密胺，表面硬度高，耐刻画，耐腐蚀，耐高温</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欧式西点盘（中）</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材质：食品级PC</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尺寸：≤33cm*24.6cm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绿色环保食品级材料，加厚密胺，表面硬度高，耐刻画，耐腐蚀，耐高温</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54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欧式西点盘（小）</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材质：食品级PC</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尺寸：≤26.7cm*20cm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绿色环保食品级材料，加厚密胺，表面硬度高，耐刻画，耐腐蚀，耐高温</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55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面包夹</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材质：304不锈钢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尺寸：≤22cm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加宽夹面，省时省力，镜面抛光工艺，边缘打磨光滑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56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手提蛋糕盒</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材质：PP塑料</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尺寸：≤26cm*13cm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PP材质，结实耐用，牢固卡扣设计不怕掉落，防尘保险密封效果好</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57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幼儿一次性手套</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材质：食品级PE</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规格：100只/包</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贴合手型，佩戴舒适，密封材质无渗透，防滑设计灵活，韧性强耐拉扯</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58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教师一次性手套</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材质：食品级PE</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规格：100只/包</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贴合手型，佩戴舒适，密封材质无渗透，防滑设计灵活，韧性强耐拉扯</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59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计时器</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材质:ABS</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尺寸：≤10*6cm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机械转动无需电池，简单省心，定时准确，ABS环保材质，耐高温，耐腐蚀，抗冲击</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量杯</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材质：食品级PP</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规格：≤500ml</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食品级PP塑料加厚用料，平滑无刺激，刻度清晰准确，透明度高，安全无毒</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榨汁杯</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材质：304不锈钢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尺寸：≤250ml</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优质不锈钢选材，A级抛光+磨光工艺，双重质感，光滑不伤手</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量勺</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材质：食品级PP塑料</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尺寸：≤1.25g、2.5g、5g、7.5g、15g</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食品级PP塑料加厚用料，表面平滑，刻度清晰准确</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63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电子秤</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材质：HIPS</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规格：≤19.5cm*15.2cm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承重量：≤3kg精度0.1g</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反水称面，沾水也不影响使用，结构力耐重，耐磕碰，防滑脚垫，放于桌面不易滑动，背光LCD显示屏，读数清晰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64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分蛋器</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材质：PP塑料</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尺寸：≤12cm*6cm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麦秸秆材质，健康环保，卡槽设计不易掉，底部花型镂空设计，过滤效果好</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65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面粉筛</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材质：不锈钢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直径：≤14cm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精选食品级不锈钢材质，安全放心，不易生锈，耐腐蚀性强，网眼细密，过滤细腻，加长手柄</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66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铝箔纸</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材质：加厚铝箔</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尺寸：≤30cm*1000cm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耐热性强，加厚耐烤，防油防粘，剪裁方便，可塑性强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67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硅油纸</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材质：双面硅加工耐油纸</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尺寸：≤30cm*500cm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健康环保植物性硅油，防油防粘</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68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披萨盘</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材质：碳钢+特氟龙不粘层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尺寸：≤21.5cm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表面不粘图层，碳钢材质导热性能好，坚固耐用，不易掉漆，清洗方便</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69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裱花袋</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材质：PE环保材料</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尺寸：≤31cm*33cm*20cm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加厚环保PE材质，耐磨柔韧性好，使用过程不易破损，一次性使用无需清洗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包</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70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饭团模具</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材质：食品级PP</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尺寸：≤7cm*18cm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PP环保材质，安全健康，三槽设计，制作简单快速</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71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保鲜膜</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材质：食品PE级材质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尺寸：≤30cm*3000cm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高强度PE原料，柔韧耐用，密封严实</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72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保鲜袋</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材质：食品PE级材质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规格：100只/卷</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高强度PE原料，柔韧耐用，密封严实</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73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裱花嘴套装</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材质：430不锈钢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尺寸：≤19.5cm*13cm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精选优质430不锈钢精铸而成，质感厚重，多种形状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74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蛋糕托磨刀</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材质：PP聚丙烯</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尺寸：≤2.2cm*22cm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食品级PP塑料加厚用料,光滑不伤手，尖角设计，轻松脱模</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75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蛋糕铲</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材质：食品级硅胶</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尺寸：≤28cm*5.4cm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精选优质原料，安全环保，一体成型设计，经久耐用，耐高温，易清洗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76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油刷</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材质：食品级硅胶</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规格：≤16.5cm*3cm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硅胶刷头柔软弹性好，不掉毛，不易断裂，刷油均匀</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把</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77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抹刀</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材质：不锈钢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尺寸：≤32.3cm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采用食品级不锈钢材质，硬度高，不易生锈，表面光滑无痕，镜面处理，流线型舒适手柄，握感舒适，经久耐用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78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蛋糕转台</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材质：铝合金+硅胶（底部)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尺寸：≤22cm*18cm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铝合金材质和防滑硅胶垫，操作平稳，坚固耐用，静音轴承转动顺畅，台面拉丝工艺，边沿圆润，手感舒适，无毛刺不伤手</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79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蛋糕活底模具</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材质：铝合金</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尺寸：≤16.9cm*7.5cm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精选优质铝合金精铸而成，强度高，不易变形，传热快，采用活底设计，取放灵活</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80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铲子</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材质：榉木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尺寸：≤30cm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精选优质木材，天然环保，无漆无蜡，安全健康</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81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慕斯杯</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材质：食用级PS</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尺寸：≤5.3cm*7cm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食品级PP塑料加厚用料,环保健康，加厚设计，抗压性好，韧性强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82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纸杯蛋糕</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材质：食品级白芯卡纸</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尺寸：≤4.7cm*4.8cm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采用优质食品级材质，健康环保，纸托花边设计，造型美观，不粘黏易脱模</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83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物料碗</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材质：亚克力</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尺寸：≤17cm*7.3cm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表面光华不粗糙，纯密胺材质光泽度好，高档健康、耐热</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84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幼儿专用围裙</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材质：涤纶</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尺寸:≤45cm*62cm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挂脖肩带设计，防止滑落，精选优质布料，透气性好，舒适耐用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85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教师围裙</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材质：涤纶</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尺寸:≤80cm*61cm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挂脖肩带设计，防止滑落，精选优质布料，透气性好，舒适耐用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86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小毛巾</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材质：纤维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尺寸：≤25cm*25cm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手感柔软，吸水速度快，经久耐用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87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垃圾桶</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材质：环保PP</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尺寸：≤23cm*25cm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采用新PP材料制作，健康环保，材质密度高，结实耐用，翻转式压圈设计，固定垃圾袋，防止掉落，边缘打磨光滑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88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插排</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材质：优质铜片+PP</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尺寸：≤180cm-300cm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选用更粗电源线，导电好，发热少，无焊点一体铜条，稳固耐用，使用寿命长，一体式插头</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89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安全插座盖</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材质：ABS绝缘材质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尺寸：二相≤2.8cm*1.8cm*1.8cm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三相≤3.2cm*2.8cm*2.6cm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安全无毒，高强度绝缘，采用环保绝缘阻燃材料，安全耐用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食品夹</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材质：食品级PP</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尺寸：≤7cm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防潮保鲜</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防烫手套</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材质:加厚棉麻</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尺寸：≤25cm*18cm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采用加厚隔热棉花制作</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92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晾面架</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尺寸：≤30cm*28cm*30.3cm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无漆无蜡、纯手工制作，古朴自然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合计</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522" w:type="dxa"/>
            <w:gridSpan w:val="8"/>
            <w:tcBorders>
              <w:top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（二）生活馆配套环境建设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项目名称</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规格</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工程量</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单位</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单价</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金额</w:t>
            </w:r>
          </w:p>
        </w:tc>
        <w:tc>
          <w:tcPr>
            <w:tcW w:w="87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顶面乳胶漆喷灰</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品牌乳胶漆18L/桶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52.2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顶面石膏板造型吊顶</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石膏板1200mm×3000mm、人工、辅料</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基层龙骨</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轻钢龙骨（国标边骨、国标38卡式主骨、国标50付骨、国标吊杆、五件套）、人工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顶面金属方通吊顶</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成品采购（60mm×60mm×3000mm）、人工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墙面乳胶漆基层处理</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石膏粉20kg/袋、成品腻子粉20kg/袋</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56</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墙面乳胶漆喷涂</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品牌乳胶漆18L/桶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56</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电路改造</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BV-2.5㎡国标铜芯线、人工、辅料</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52.2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空调专线</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BV4㎡国标铜芯线、人工、辅料</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灯带</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色温4200k、功率15w/m、人工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灯具</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700mm×700mm、色温可变、功率100w、人工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开关面板及插座</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白色（88mm×86mm）、人工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入户门套</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定制门套（实木复合门套、80mm×3000mm）、人工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窗套</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定制窗套（实木复合窗套、80mm×3000mm）、人工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入户门拆除</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人工、垃圾清运</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入户门</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定制木门（实木复合门、900mm×2600mm）</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包暖气</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专用板材600mm×3000mm、人工、辅料</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8.7</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暖气罩</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成品采购（100mm×800mm）、人工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墙板</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专用板材600mm×3000mm、人工、辅料</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飘窗石材</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人造石材、拼接（300mm×8700mm）、人工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8.7</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踢脚线</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成品定制80mm×3000mm、人工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窗帘</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成品定制（高度3000mm）、人工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窗帘杆</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直径28mm、长度3000mm</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小计</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522" w:type="dxa"/>
            <w:gridSpan w:val="8"/>
            <w:tcBorders>
              <w:top w:val="nil"/>
              <w:bottom w:val="nil"/>
            </w:tcBorders>
            <w:shd w:val="clear" w:color="auto" w:fill="auto"/>
            <w:noWrap/>
            <w:vAlign w:val="center"/>
          </w:tcPr>
          <w:p>
            <w:pPr>
              <w:jc w:val="left"/>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五、图书室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522" w:type="dxa"/>
            <w:gridSpan w:val="8"/>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w:t>
            </w:r>
          </w:p>
          <w:p>
            <w:pPr>
              <w:jc w:val="left"/>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（一）图书室材料清单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名称</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规格</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单价</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金额</w:t>
            </w:r>
          </w:p>
        </w:tc>
        <w:tc>
          <w:tcPr>
            <w:tcW w:w="87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儿童自由</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组合书柜</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≥254*30*97cm</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highlight w:val="none"/>
                <w:u w:val="none"/>
              </w:rPr>
            </w:pP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≥40*30*97cm</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多层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实木书柜</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6层，约70*25*166cm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5层，约70*25*136cm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4层，约70*25*106cm</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实木彩色桌</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约120*60*50/55cm</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张</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vMerge w:val="restart"/>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椅子</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lang w:val="en-US"/>
              </w:rPr>
            </w:pPr>
            <w:r>
              <w:rPr>
                <w:rStyle w:val="65"/>
                <w:rFonts w:hint="eastAsia" w:ascii="仿宋" w:hAnsi="仿宋" w:eastAsia="仿宋" w:cs="仿宋"/>
                <w:sz w:val="24"/>
                <w:szCs w:val="24"/>
                <w:highlight w:val="none"/>
                <w:lang w:val="en-US" w:eastAsia="zh-CN" w:bidi="ar"/>
              </w:rPr>
              <w:t>高</w:t>
            </w:r>
            <w:r>
              <w:rPr>
                <w:rStyle w:val="157"/>
                <w:rFonts w:hint="eastAsia" w:ascii="仿宋" w:hAnsi="仿宋" w:eastAsia="仿宋" w:cs="仿宋"/>
                <w:sz w:val="24"/>
                <w:szCs w:val="24"/>
                <w:highlight w:val="none"/>
                <w:lang w:val="en-US" w:eastAsia="zh-CN" w:bidi="ar"/>
              </w:rPr>
              <w:t>≤</w:t>
            </w:r>
            <w:r>
              <w:rPr>
                <w:rStyle w:val="65"/>
                <w:rFonts w:hint="eastAsia" w:ascii="仿宋" w:hAnsi="仿宋" w:eastAsia="仿宋" w:cs="仿宋"/>
                <w:sz w:val="24"/>
                <w:szCs w:val="24"/>
                <w:highlight w:val="none"/>
                <w:lang w:val="en-US" w:eastAsia="zh-CN" w:bidi="ar"/>
              </w:rPr>
              <w:t>28cm，带靠背</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vMerge w:val="continue"/>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绘本架</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多层书柜</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≥66*42*86cm 木制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8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现代简约</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书架</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≥180*30*103cm 实木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auto" w:sz="4" w:space="0"/>
              <w:bottom w:val="single" w:color="auto" w:sz="4" w:space="0"/>
              <w:right w:val="nil"/>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872"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合计</w:t>
            </w:r>
          </w:p>
        </w:tc>
        <w:tc>
          <w:tcPr>
            <w:tcW w:w="2842"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522" w:type="dxa"/>
            <w:gridSpan w:val="8"/>
            <w:tcBorders>
              <w:top w:val="single" w:color="000000" w:sz="4" w:space="0"/>
              <w:bottom w:val="single" w:color="000000" w:sz="4" w:space="0"/>
            </w:tcBorders>
            <w:shd w:val="clear" w:color="auto" w:fill="auto"/>
            <w:vAlign w:val="center"/>
          </w:tcPr>
          <w:p>
            <w:pPr>
              <w:jc w:val="left"/>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（二）图书室配套环境建设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项目名称</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规格</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工程量</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单位</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单价</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金额</w:t>
            </w:r>
          </w:p>
        </w:tc>
        <w:tc>
          <w:tcPr>
            <w:tcW w:w="87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墙面顶面铲除</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人工、垃圾清运</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顶面石膏板造型吊顶</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石膏板1200mm×3000mm、人工、辅料</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基层龙骨</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轻钢龙骨（国标边骨、国标38卡式主骨、国标50付骨、国标吊杆、五件套）、人工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顶面乳胶漆基层处理</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石膏粉20kg/袋、成品腻子粉20kg/袋</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顶面乳胶漆喷涂</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品牌乳胶漆18L/桶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墙面乳胶漆基层处理</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石膏粉20kg/袋、成品腻子粉20kg/袋</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86.7</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墙面乳胶漆喷涂</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品牌乳胶漆18L/桶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86.7</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入户门拆除</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人工、垃圾清运</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入户门</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定制木门（实木复合门、900mm×2600mm）</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入户门套</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定制门套（实木复合门套、80mm×3000mm）、人工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窗套</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定制门套（实木复合门套、80mm×3000mm）、人工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踢脚线</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成品定制80mm×3000mm、人工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电路改造</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BV-2.5㎡国标铜芯线、人工、辅料</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空调专线</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BV4㎡国标铜芯线、人工、辅料</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灯带</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色温4200k、功率15w/m、人工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灯具</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700mm×700mm、色温可变、功率100w、人工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开关面板</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白色（88mm×86mm）、人工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窗帘</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成品定制（高度3000mm）、人工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窗帘杆</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直径28mm、长度3000mm</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小计</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522" w:type="dxa"/>
            <w:gridSpan w:val="8"/>
            <w:tcBorders>
              <w:top w:val="nil"/>
              <w:bottom w:val="nil"/>
            </w:tcBorders>
            <w:shd w:val="clear" w:color="auto" w:fill="auto"/>
            <w:noWrap/>
            <w:vAlign w:val="center"/>
          </w:tcPr>
          <w:p>
            <w:pPr>
              <w:jc w:val="left"/>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六、设备类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设备名称</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规格</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数量</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单位</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单价/元</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金额/元</w:t>
            </w:r>
          </w:p>
        </w:tc>
        <w:tc>
          <w:tcPr>
            <w:tcW w:w="87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幼儿教学一体机（核心产品）</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1.A规屏，显示尺寸≥86英寸</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2.物理分辨率：≥3840×2160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3.屏体亮度≥470cd/ M2，对比度≥4800：1，大可视角度≥178度；</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4.交互平板屏体色彩覆盖率不低于120%，高灰阶256 灰阶</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5.交互平板采用阳极氧化工艺，屏幕采用防眩光钢化玻璃保护，厚度≤3.2mm，雾度≤8%；</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6.交互平板表面玻璃采用高强度钢化玻璃，硬度可达莫氏7级，高于石墨1-9H硬度。</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7.红外触控技术，在双系统下均支持不少于20点触控及同时书写；触摸高度≤2mm；小识别直径≤2mm，书写延迟速度≤15ms；</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8.交互平板具备抗强光干扰，在≥150KLUX照度的光照下保证书写功能正常；</w:t>
            </w:r>
          </w:p>
          <w:p>
            <w:pPr>
              <w:keepNext w:val="0"/>
              <w:keepLines w:val="0"/>
              <w:widowControl/>
              <w:suppressLineNumbers w:val="0"/>
              <w:jc w:val="left"/>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9.整机提供隐藏式前置输入接口，接口不少于1路前置HDMI接口及3路前置双通道USB3.0接口（Windows和Android系统均能被识别，无需分区）,且整机前置接口须丝印有中文标识，方便教学操作。</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空调</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规格：3P；</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制冷量(W) ：≥7200；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制热量(W)：≥9300；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额定制冷功率(W)：≥2300w；</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额定制热功率(W)：≥3000w；</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能效等级：3级。</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电钢琴</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电钢琴；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1.复音数：≥192个。</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2.键盘类型：重锤键盘，键盘数88键。</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3.黑色。</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top"/>
          </w:tcPr>
          <w:p>
            <w:pP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小计</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b/>
                <w:bCs/>
                <w:i w:val="0"/>
                <w:iCs w:val="0"/>
                <w:color w:val="000000"/>
                <w:sz w:val="24"/>
                <w:szCs w:val="24"/>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522" w:type="dxa"/>
            <w:gridSpan w:val="8"/>
            <w:tcBorders>
              <w:top w:val="nil"/>
              <w:bottom w:val="nil"/>
            </w:tcBorders>
            <w:shd w:val="clear" w:color="auto" w:fill="auto"/>
            <w:noWrap/>
            <w:vAlign w:val="center"/>
          </w:tcPr>
          <w:p>
            <w:pPr>
              <w:jc w:val="left"/>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七、综合部室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8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设备名称</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规格</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数量</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单位</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单价(元)</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合计（元）</w:t>
            </w:r>
          </w:p>
        </w:tc>
        <w:tc>
          <w:tcPr>
            <w:tcW w:w="87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522" w:type="dxa"/>
            <w:gridSpan w:val="8"/>
            <w:tcBorders>
              <w:top w:val="single" w:color="auto" w:sz="4" w:space="0"/>
              <w:bottom w:val="single" w:color="auto" w:sz="4" w:space="0"/>
            </w:tcBorders>
            <w:shd w:val="clear" w:color="auto" w:fill="auto"/>
            <w:noWrap/>
            <w:vAlign w:val="center"/>
          </w:tcPr>
          <w:p>
            <w:pPr>
              <w:jc w:val="left"/>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设备类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jc w:val="center"/>
        </w:trPr>
        <w:tc>
          <w:tcPr>
            <w:tcW w:w="656" w:type="dxa"/>
            <w:tcBorders>
              <w:top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87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保安门卫岗亭</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≥2000*2000*2800mm，优质镀锌管焊接钢架结构,外墙 16毫米金属雕花板</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内墙 白色8MM竹木纤维墙板</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框架 立柱和底盘2mm80方钢龙骨焊接，</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副梁2mm40*80镀锌管焊接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座</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栅栏（园区环创）</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PVC塑料</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A</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小计</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b/>
                <w:bCs/>
                <w:i w:val="0"/>
                <w:iCs w:val="0"/>
                <w:color w:val="000000"/>
                <w:sz w:val="24"/>
                <w:szCs w:val="24"/>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522" w:type="dxa"/>
            <w:gridSpan w:val="8"/>
            <w:tcBorders>
              <w:top w:val="single" w:color="000000" w:sz="4" w:space="0"/>
              <w:bottom w:val="single" w:color="000000" w:sz="4" w:space="0"/>
            </w:tcBorders>
            <w:shd w:val="clear" w:color="auto" w:fill="auto"/>
            <w:vAlign w:val="center"/>
          </w:tcPr>
          <w:p>
            <w:pPr>
              <w:jc w:val="left"/>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音响系统（舞蹈室）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合并式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功放</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1、四组输出接口，可连接4只4-8Ω音箱；</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2、机架式机箱；</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3、三路立体声输入，带输入选择切换开关；一路立体声输出,四路话筒插口，环保麦克风插口自带DC+6V电源；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4、线路音调控制：高音 10KHz±12dB、低音 100Hz±12dB；</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5、话筒音调控制：高音 10KHz±12dB 、低音 100Hz±12dB；</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6、额定输入电平：话筒 15mV（非平衡）、线路 200mV；</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7、失真度 ≤0.5%；</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8、信噪比：≥80dB(A计权)；</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9、电源：交流220V±10%/50Hz；</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无源音箱</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155"/>
                <w:rFonts w:hint="eastAsia" w:ascii="仿宋" w:hAnsi="仿宋" w:eastAsia="仿宋" w:cs="仿宋"/>
                <w:sz w:val="24"/>
                <w:szCs w:val="24"/>
                <w:highlight w:val="none"/>
                <w:lang w:val="en-US" w:eastAsia="zh-CN" w:bidi="ar"/>
              </w:rPr>
              <w:t>1、额定噪声功率：</w:t>
            </w:r>
            <w:r>
              <w:rPr>
                <w:rStyle w:val="156"/>
                <w:rFonts w:hint="eastAsia" w:ascii="仿宋" w:hAnsi="仿宋" w:eastAsia="仿宋" w:cs="仿宋"/>
                <w:sz w:val="24"/>
                <w:szCs w:val="24"/>
                <w:highlight w:val="none"/>
                <w:lang w:val="en-US" w:eastAsia="zh-CN" w:bidi="ar"/>
              </w:rPr>
              <w:t>≤</w:t>
            </w:r>
            <w:r>
              <w:rPr>
                <w:rStyle w:val="155"/>
                <w:rFonts w:hint="eastAsia" w:ascii="仿宋" w:hAnsi="仿宋" w:eastAsia="仿宋" w:cs="仿宋"/>
                <w:sz w:val="24"/>
                <w:szCs w:val="24"/>
                <w:highlight w:val="none"/>
                <w:lang w:val="en-US" w:eastAsia="zh-CN" w:bidi="ar"/>
              </w:rPr>
              <w:t>80W；</w:t>
            </w:r>
            <w:r>
              <w:rPr>
                <w:rStyle w:val="155"/>
                <w:rFonts w:hint="eastAsia" w:ascii="仿宋" w:hAnsi="仿宋" w:eastAsia="仿宋" w:cs="仿宋"/>
                <w:sz w:val="24"/>
                <w:szCs w:val="24"/>
                <w:highlight w:val="none"/>
                <w:lang w:val="en-US" w:eastAsia="zh-CN" w:bidi="ar"/>
              </w:rPr>
              <w:br w:type="textWrapping"/>
            </w:r>
            <w:r>
              <w:rPr>
                <w:rStyle w:val="155"/>
                <w:rFonts w:hint="eastAsia" w:ascii="仿宋" w:hAnsi="仿宋" w:eastAsia="仿宋" w:cs="仿宋"/>
                <w:sz w:val="24"/>
                <w:szCs w:val="24"/>
                <w:highlight w:val="none"/>
                <w:lang w:val="en-US" w:eastAsia="zh-CN" w:bidi="ar"/>
              </w:rPr>
              <w:t>2、最大功率：240W；</w:t>
            </w:r>
            <w:r>
              <w:rPr>
                <w:rStyle w:val="155"/>
                <w:rFonts w:hint="eastAsia" w:ascii="仿宋" w:hAnsi="仿宋" w:eastAsia="仿宋" w:cs="仿宋"/>
                <w:sz w:val="24"/>
                <w:szCs w:val="24"/>
                <w:highlight w:val="none"/>
                <w:lang w:val="en-US" w:eastAsia="zh-CN" w:bidi="ar"/>
              </w:rPr>
              <w:br w:type="textWrapping"/>
            </w:r>
            <w:r>
              <w:rPr>
                <w:rStyle w:val="155"/>
                <w:rFonts w:hint="eastAsia" w:ascii="仿宋" w:hAnsi="仿宋" w:eastAsia="仿宋" w:cs="仿宋"/>
                <w:sz w:val="24"/>
                <w:szCs w:val="24"/>
                <w:highlight w:val="none"/>
                <w:lang w:val="en-US" w:eastAsia="zh-CN" w:bidi="ar"/>
              </w:rPr>
              <w:t>3、额定阻抗：8Ω（1±20%）；</w:t>
            </w:r>
            <w:r>
              <w:rPr>
                <w:rStyle w:val="155"/>
                <w:rFonts w:hint="eastAsia" w:ascii="仿宋" w:hAnsi="仿宋" w:eastAsia="仿宋" w:cs="仿宋"/>
                <w:sz w:val="24"/>
                <w:szCs w:val="24"/>
                <w:highlight w:val="none"/>
                <w:lang w:val="en-US" w:eastAsia="zh-CN" w:bidi="ar"/>
              </w:rPr>
              <w:br w:type="textWrapping"/>
            </w:r>
            <w:r>
              <w:rPr>
                <w:rStyle w:val="155"/>
                <w:rFonts w:hint="eastAsia" w:ascii="仿宋" w:hAnsi="仿宋" w:eastAsia="仿宋" w:cs="仿宋"/>
                <w:sz w:val="24"/>
                <w:szCs w:val="24"/>
                <w:highlight w:val="none"/>
                <w:lang w:val="en-US" w:eastAsia="zh-CN" w:bidi="ar"/>
              </w:rPr>
              <w:t>4、频率响应：60Hz-18kHz（-10dB)；</w:t>
            </w:r>
            <w:r>
              <w:rPr>
                <w:rStyle w:val="155"/>
                <w:rFonts w:hint="eastAsia" w:ascii="仿宋" w:hAnsi="仿宋" w:eastAsia="仿宋" w:cs="仿宋"/>
                <w:sz w:val="24"/>
                <w:szCs w:val="24"/>
                <w:highlight w:val="none"/>
                <w:lang w:val="en-US" w:eastAsia="zh-CN" w:bidi="ar"/>
              </w:rPr>
              <w:br w:type="textWrapping"/>
            </w:r>
            <w:r>
              <w:rPr>
                <w:rStyle w:val="155"/>
                <w:rFonts w:hint="eastAsia" w:ascii="仿宋" w:hAnsi="仿宋" w:eastAsia="仿宋" w:cs="仿宋"/>
                <w:sz w:val="24"/>
                <w:szCs w:val="24"/>
                <w:highlight w:val="none"/>
                <w:lang w:val="en-US" w:eastAsia="zh-CN" w:bidi="ar"/>
              </w:rPr>
              <w:t>5、总谐波失真：≤4%；</w:t>
            </w:r>
            <w:r>
              <w:rPr>
                <w:rStyle w:val="155"/>
                <w:rFonts w:hint="eastAsia" w:ascii="仿宋" w:hAnsi="仿宋" w:eastAsia="仿宋" w:cs="仿宋"/>
                <w:sz w:val="24"/>
                <w:szCs w:val="24"/>
                <w:highlight w:val="none"/>
                <w:lang w:val="en-US" w:eastAsia="zh-CN" w:bidi="ar"/>
              </w:rPr>
              <w:br w:type="textWrapping"/>
            </w:r>
            <w:r>
              <w:rPr>
                <w:rStyle w:val="155"/>
                <w:rFonts w:hint="eastAsia" w:ascii="仿宋" w:hAnsi="仿宋" w:eastAsia="仿宋" w:cs="仿宋"/>
                <w:sz w:val="24"/>
                <w:szCs w:val="24"/>
                <w:highlight w:val="none"/>
                <w:lang w:val="en-US" w:eastAsia="zh-CN" w:bidi="ar"/>
              </w:rPr>
              <w:t>6、驱动器：1个8寸长冲程低音驱动器、2个3寸前纸盆高音；</w:t>
            </w:r>
            <w:r>
              <w:rPr>
                <w:rStyle w:val="155"/>
                <w:rFonts w:hint="eastAsia" w:ascii="仿宋" w:hAnsi="仿宋" w:eastAsia="仿宋" w:cs="仿宋"/>
                <w:sz w:val="24"/>
                <w:szCs w:val="24"/>
                <w:highlight w:val="none"/>
                <w:lang w:val="en-US" w:eastAsia="zh-CN" w:bidi="ar"/>
              </w:rPr>
              <w:br w:type="textWrapping"/>
            </w:r>
            <w:r>
              <w:rPr>
                <w:rStyle w:val="155"/>
                <w:rFonts w:hint="eastAsia" w:ascii="仿宋" w:hAnsi="仿宋" w:eastAsia="仿宋" w:cs="仿宋"/>
                <w:sz w:val="24"/>
                <w:szCs w:val="24"/>
                <w:highlight w:val="none"/>
                <w:lang w:val="en-US" w:eastAsia="zh-CN" w:bidi="ar"/>
              </w:rPr>
              <w:t>7、灵敏度（8Ω/1W/1m）：90(±3)dB；</w:t>
            </w:r>
            <w:r>
              <w:rPr>
                <w:rStyle w:val="155"/>
                <w:rFonts w:hint="eastAsia" w:ascii="仿宋" w:hAnsi="仿宋" w:eastAsia="仿宋" w:cs="仿宋"/>
                <w:sz w:val="24"/>
                <w:szCs w:val="24"/>
                <w:highlight w:val="none"/>
                <w:lang w:val="en-US" w:eastAsia="zh-CN" w:bidi="ar"/>
              </w:rPr>
              <w:br w:type="textWrapping"/>
            </w:r>
            <w:r>
              <w:rPr>
                <w:rStyle w:val="155"/>
                <w:rFonts w:hint="eastAsia" w:ascii="仿宋" w:hAnsi="仿宋" w:eastAsia="仿宋" w:cs="仿宋"/>
                <w:sz w:val="24"/>
                <w:szCs w:val="24"/>
                <w:highlight w:val="none"/>
                <w:lang w:val="en-US" w:eastAsia="zh-CN" w:bidi="ar"/>
              </w:rPr>
              <w:t>8、最大声压级：112dB；</w:t>
            </w:r>
            <w:r>
              <w:rPr>
                <w:rStyle w:val="155"/>
                <w:rFonts w:hint="eastAsia" w:ascii="仿宋" w:hAnsi="仿宋" w:eastAsia="仿宋" w:cs="仿宋"/>
                <w:sz w:val="24"/>
                <w:szCs w:val="24"/>
                <w:highlight w:val="none"/>
                <w:lang w:val="en-US" w:eastAsia="zh-CN" w:bidi="ar"/>
              </w:rPr>
              <w:br w:type="textWrapping"/>
            </w:r>
            <w:r>
              <w:rPr>
                <w:rStyle w:val="155"/>
                <w:rFonts w:hint="eastAsia" w:ascii="仿宋" w:hAnsi="仿宋" w:eastAsia="仿宋" w:cs="仿宋"/>
                <w:sz w:val="24"/>
                <w:szCs w:val="24"/>
                <w:highlight w:val="none"/>
                <w:lang w:val="en-US" w:eastAsia="zh-CN" w:bidi="ar"/>
              </w:rPr>
              <w:t>9、分频器：1.8KHz；指向性覆盖角：140°（H）x100°（V）；</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UHF无线</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一拖四会议麦克风</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 内置不少于20组预设频率模组，可手动修改，PLL锁相环回路设计，纯自动选讯接收方式；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 配合LCD液晶显示屏，显示音量.模组.频率和AF/RF讯号强度以及设置操作；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 使用电子音量控制，每个通道音量增益通过前置旋钮可调0dB至20dB；</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 红外数据自动同步功能（SYNC）：4个独立的红外对频按键，一键自动对频；</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 采用UHF530-670MHz频段载波，频率响应： 20Hz～20KHz ±3dB，频带宽度：30MHz，灵敏度：S/N&gt;60dB @25KHz, 6dBv，T.H.D ＜0.7% @ 1KHz，S/N ＞105dB；</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 标配4条BNC天线，并可配备外置延长的抗干扰天线，可绕开金属机柜对无线信号的屏蔽，有效工作距离60米(可视距离)；</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7.不平衡混合输出插座: 6.3mm插座, ABCD信道混合输出，平衡输出插座: XLR插座ABCD信道；</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机柜</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容量：18U  产品尺寸：≥600mm×600mm×1000mm；</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B</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小计</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b/>
                <w:bCs/>
                <w:i w:val="0"/>
                <w:iCs w:val="0"/>
                <w:color w:val="000000"/>
                <w:sz w:val="24"/>
                <w:szCs w:val="24"/>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522" w:type="dxa"/>
            <w:gridSpan w:val="8"/>
            <w:tcBorders>
              <w:top w:val="nil"/>
              <w:bottom w:val="nil"/>
            </w:tcBorders>
            <w:shd w:val="clear" w:color="auto" w:fill="auto"/>
            <w:noWrap/>
            <w:vAlign w:val="center"/>
          </w:tcPr>
          <w:p>
            <w:pPr>
              <w:jc w:val="left"/>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科发室材料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磁力套装</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锻炼动手能力，激发兴趣，提升想象力</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磁力过山车</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实验教育玩具，认识磁铁磁力原理及黑洞演示模型。</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太阳系行星语音投影仪</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155"/>
                <w:rFonts w:hint="eastAsia" w:ascii="仿宋" w:hAnsi="仿宋" w:eastAsia="仿宋" w:cs="仿宋"/>
                <w:sz w:val="24"/>
                <w:szCs w:val="24"/>
                <w:highlight w:val="none"/>
                <w:lang w:val="en-US" w:eastAsia="zh-CN" w:bidi="ar"/>
              </w:rPr>
              <w:t>ABS,不锈钢，</w:t>
            </w:r>
            <w:r>
              <w:rPr>
                <w:rStyle w:val="156"/>
                <w:rFonts w:hint="eastAsia" w:ascii="仿宋" w:hAnsi="仿宋" w:eastAsia="仿宋" w:cs="仿宋"/>
                <w:sz w:val="24"/>
                <w:szCs w:val="24"/>
                <w:highlight w:val="none"/>
                <w:lang w:val="en-US" w:eastAsia="zh-CN" w:bidi="ar"/>
              </w:rPr>
              <w:t>≥</w:t>
            </w:r>
            <w:r>
              <w:rPr>
                <w:rStyle w:val="155"/>
                <w:rFonts w:hint="eastAsia" w:ascii="仿宋" w:hAnsi="仿宋" w:eastAsia="仿宋" w:cs="仿宋"/>
                <w:sz w:val="24"/>
                <w:szCs w:val="24"/>
                <w:highlight w:val="none"/>
                <w:lang w:val="en-US" w:eastAsia="zh-CN" w:bidi="ar"/>
              </w:rPr>
              <w:t>30*24*10cm</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手摇发电机材料包</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木质，含手摇发电，盐水发电，风力发电，太阳能发电</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传声筒</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1.材质：优质塑料管。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2.尺寸：管子≤1m，听话筒≤16cm*16cm*12cm。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3.听话筒3个，三通连接头1个。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百变齿轮积木</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包装尺寸：≥30*60*35cm 材质ABS,通体光滑，转角圆润，颜色鲜艳。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万花筒</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155"/>
                <w:rFonts w:hint="eastAsia" w:ascii="仿宋" w:hAnsi="仿宋" w:eastAsia="仿宋" w:cs="仿宋"/>
                <w:sz w:val="24"/>
                <w:szCs w:val="24"/>
                <w:highlight w:val="none"/>
                <w:lang w:val="en-US" w:eastAsia="zh-CN" w:bidi="ar"/>
              </w:rPr>
              <w:t>纸质，木质，了解光的反射、折射长度</w:t>
            </w:r>
            <w:r>
              <w:rPr>
                <w:rStyle w:val="156"/>
                <w:rFonts w:hint="eastAsia" w:ascii="仿宋" w:hAnsi="仿宋" w:eastAsia="仿宋" w:cs="仿宋"/>
                <w:sz w:val="24"/>
                <w:szCs w:val="24"/>
                <w:highlight w:val="none"/>
                <w:lang w:val="en-US" w:eastAsia="zh-CN" w:bidi="ar"/>
              </w:rPr>
              <w:t>≥</w:t>
            </w:r>
            <w:r>
              <w:rPr>
                <w:rStyle w:val="155"/>
                <w:rFonts w:hint="eastAsia" w:ascii="仿宋" w:hAnsi="仿宋" w:eastAsia="仿宋" w:cs="仿宋"/>
                <w:sz w:val="24"/>
                <w:szCs w:val="24"/>
                <w:highlight w:val="none"/>
                <w:lang w:val="en-US" w:eastAsia="zh-CN" w:bidi="ar"/>
              </w:rPr>
              <w:t>30cm</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风力测量仪</w:t>
            </w:r>
          </w:p>
        </w:tc>
        <w:tc>
          <w:tcPr>
            <w:tcW w:w="284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材质：塑料。</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滑翔车</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材质：木+ABS,色彩艳丽，边缘无毛刺，带四色小车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水流演示器</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采用ABS材质，光滑无毛刺，颜色鲜艳，≥19*7cm</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净水系统套装</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155"/>
                <w:rFonts w:hint="eastAsia" w:ascii="仿宋" w:hAnsi="仿宋" w:eastAsia="仿宋" w:cs="仿宋"/>
                <w:sz w:val="24"/>
                <w:szCs w:val="24"/>
                <w:highlight w:val="none"/>
                <w:lang w:val="en-US" w:eastAsia="zh-CN" w:bidi="ar"/>
              </w:rPr>
              <w:t>包装尺寸：</w:t>
            </w:r>
            <w:r>
              <w:rPr>
                <w:rStyle w:val="156"/>
                <w:rFonts w:hint="eastAsia" w:ascii="仿宋" w:hAnsi="仿宋" w:eastAsia="仿宋" w:cs="仿宋"/>
                <w:sz w:val="24"/>
                <w:szCs w:val="24"/>
                <w:highlight w:val="none"/>
                <w:lang w:val="en-US" w:eastAsia="zh-CN" w:bidi="ar"/>
              </w:rPr>
              <w:t>≥</w:t>
            </w:r>
            <w:r>
              <w:rPr>
                <w:rStyle w:val="155"/>
                <w:rFonts w:hint="eastAsia" w:ascii="仿宋" w:hAnsi="仿宋" w:eastAsia="仿宋" w:cs="仿宋"/>
                <w:sz w:val="24"/>
                <w:szCs w:val="24"/>
                <w:highlight w:val="none"/>
                <w:lang w:val="en-US" w:eastAsia="zh-CN" w:bidi="ar"/>
              </w:rPr>
              <w:t>15*20*6cm  多材质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指纹鉴定套装</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155"/>
                <w:rFonts w:hint="eastAsia" w:ascii="仿宋" w:hAnsi="仿宋" w:eastAsia="仿宋" w:cs="仿宋"/>
                <w:sz w:val="24"/>
                <w:szCs w:val="24"/>
                <w:highlight w:val="none"/>
                <w:lang w:val="en-US" w:eastAsia="zh-CN" w:bidi="ar"/>
              </w:rPr>
              <w:t>尺寸：</w:t>
            </w:r>
            <w:r>
              <w:rPr>
                <w:rStyle w:val="156"/>
                <w:rFonts w:hint="eastAsia" w:ascii="仿宋" w:hAnsi="仿宋" w:eastAsia="仿宋" w:cs="仿宋"/>
                <w:sz w:val="24"/>
                <w:szCs w:val="24"/>
                <w:highlight w:val="none"/>
                <w:lang w:val="en-US" w:eastAsia="zh-CN" w:bidi="ar"/>
              </w:rPr>
              <w:t>≥</w:t>
            </w:r>
            <w:r>
              <w:rPr>
                <w:rStyle w:val="155"/>
                <w:rFonts w:hint="eastAsia" w:ascii="仿宋" w:hAnsi="仿宋" w:eastAsia="仿宋" w:cs="仿宋"/>
                <w:sz w:val="24"/>
                <w:szCs w:val="24"/>
                <w:highlight w:val="none"/>
                <w:lang w:val="en-US" w:eastAsia="zh-CN" w:bidi="ar"/>
              </w:rPr>
              <w:t xml:space="preserve">20*6*18cm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儿童浮水画</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安全环保涂料</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显微镜</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可分离式设计，方便携带，大口径高清目镜，不伤眼。可放大不低于160倍。</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声学共振音叉</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155"/>
                <w:rFonts w:hint="eastAsia" w:ascii="仿宋" w:hAnsi="仿宋" w:eastAsia="仿宋" w:cs="仿宋"/>
                <w:sz w:val="24"/>
                <w:szCs w:val="24"/>
                <w:highlight w:val="none"/>
                <w:lang w:val="en-US" w:eastAsia="zh-CN" w:bidi="ar"/>
              </w:rPr>
              <w:t>材质：金属+木制，</w:t>
            </w:r>
            <w:r>
              <w:rPr>
                <w:rStyle w:val="156"/>
                <w:rFonts w:hint="eastAsia" w:ascii="仿宋" w:hAnsi="仿宋" w:eastAsia="仿宋" w:cs="仿宋"/>
                <w:sz w:val="24"/>
                <w:szCs w:val="24"/>
                <w:highlight w:val="none"/>
                <w:lang w:val="en-US" w:eastAsia="zh-CN" w:bidi="ar"/>
              </w:rPr>
              <w:t>≤</w:t>
            </w:r>
            <w:r>
              <w:rPr>
                <w:rStyle w:val="155"/>
                <w:rFonts w:hint="eastAsia" w:ascii="仿宋" w:hAnsi="仿宋" w:eastAsia="仿宋" w:cs="仿宋"/>
                <w:sz w:val="24"/>
                <w:szCs w:val="24"/>
                <w:highlight w:val="none"/>
                <w:lang w:val="en-US" w:eastAsia="zh-CN" w:bidi="ar"/>
              </w:rPr>
              <w:t>440hz</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音乐敲琴</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塑料，锻炼幼儿的听觉及动手能力，八音阶。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C</w:t>
            </w:r>
          </w:p>
        </w:tc>
        <w:tc>
          <w:tcPr>
            <w:tcW w:w="8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小计</w:t>
            </w:r>
          </w:p>
        </w:tc>
        <w:tc>
          <w:tcPr>
            <w:tcW w:w="284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850" w:type="dxa"/>
            <w:tcBorders>
              <w:top w:val="single" w:color="000000" w:sz="4" w:space="0"/>
              <w:left w:val="single" w:color="000000" w:sz="4" w:space="0"/>
              <w:bottom w:val="single" w:color="auto" w:sz="4" w:space="0"/>
              <w:right w:val="single" w:color="000000" w:sz="4" w:space="0"/>
            </w:tcBorders>
            <w:shd w:val="clear" w:color="auto" w:fill="auto"/>
            <w:vAlign w:val="top"/>
          </w:tcPr>
          <w:p>
            <w:pPr>
              <w:jc w:val="center"/>
              <w:rPr>
                <w:rFonts w:hint="eastAsia" w:ascii="仿宋" w:hAnsi="仿宋" w:eastAsia="仿宋" w:cs="仿宋"/>
                <w:b/>
                <w:bCs/>
                <w:i w:val="0"/>
                <w:iCs w:val="0"/>
                <w:color w:val="000000"/>
                <w:sz w:val="24"/>
                <w:szCs w:val="24"/>
                <w:highlight w:val="none"/>
                <w:u w:val="none"/>
              </w:rPr>
            </w:pPr>
          </w:p>
        </w:tc>
        <w:tc>
          <w:tcPr>
            <w:tcW w:w="746" w:type="dxa"/>
            <w:tcBorders>
              <w:top w:val="single" w:color="000000" w:sz="4" w:space="0"/>
              <w:left w:val="single" w:color="000000" w:sz="4" w:space="0"/>
              <w:bottom w:val="single" w:color="auto" w:sz="4" w:space="0"/>
              <w:right w:val="single" w:color="000000" w:sz="4" w:space="0"/>
            </w:tcBorders>
            <w:shd w:val="clear" w:color="auto" w:fill="auto"/>
            <w:vAlign w:val="top"/>
          </w:tcPr>
          <w:p>
            <w:pPr>
              <w:jc w:val="center"/>
              <w:rPr>
                <w:rFonts w:hint="eastAsia" w:ascii="仿宋" w:hAnsi="仿宋" w:eastAsia="仿宋" w:cs="仿宋"/>
                <w:b/>
                <w:bCs/>
                <w:i w:val="0"/>
                <w:iCs w:val="0"/>
                <w:color w:val="000000"/>
                <w:sz w:val="24"/>
                <w:szCs w:val="24"/>
                <w:highlight w:val="none"/>
                <w:u w:val="none"/>
              </w:rPr>
            </w:pPr>
          </w:p>
        </w:tc>
        <w:tc>
          <w:tcPr>
            <w:tcW w:w="69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98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872" w:type="dxa"/>
            <w:tcBorders>
              <w:top w:val="single" w:color="000000" w:sz="4" w:space="0"/>
              <w:left w:val="single" w:color="000000" w:sz="4" w:space="0"/>
              <w:bottom w:val="single" w:color="auto"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522" w:type="dxa"/>
            <w:gridSpan w:val="8"/>
            <w:tcBorders>
              <w:top w:val="single" w:color="auto" w:sz="4" w:space="0"/>
              <w:bottom w:val="nil"/>
            </w:tcBorders>
            <w:shd w:val="clear" w:color="auto" w:fill="auto"/>
            <w:noWrap/>
            <w:vAlign w:val="center"/>
          </w:tcPr>
          <w:p>
            <w:pPr>
              <w:jc w:val="left"/>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八、户外设备设施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8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名称</w:t>
            </w:r>
          </w:p>
        </w:tc>
        <w:tc>
          <w:tcPr>
            <w:tcW w:w="284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规格</w:t>
            </w:r>
          </w:p>
        </w:tc>
        <w:tc>
          <w:tcPr>
            <w:tcW w:w="8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数量</w:t>
            </w:r>
          </w:p>
        </w:tc>
        <w:tc>
          <w:tcPr>
            <w:tcW w:w="74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单位</w:t>
            </w:r>
          </w:p>
        </w:tc>
        <w:tc>
          <w:tcPr>
            <w:tcW w:w="6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单价</w:t>
            </w:r>
          </w:p>
        </w:tc>
        <w:tc>
          <w:tcPr>
            <w:tcW w:w="98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金额</w:t>
            </w:r>
          </w:p>
        </w:tc>
        <w:tc>
          <w:tcPr>
            <w:tcW w:w="872" w:type="dxa"/>
            <w:tcBorders>
              <w:top w:val="single" w:color="000000" w:sz="4" w:space="0"/>
              <w:left w:val="single" w:color="000000"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87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户外九宫格攀爬大型积木组合</w:t>
            </w:r>
          </w:p>
        </w:tc>
        <w:tc>
          <w:tcPr>
            <w:tcW w:w="284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规格：17件，材质：原木</w:t>
            </w:r>
          </w:p>
        </w:tc>
        <w:tc>
          <w:tcPr>
            <w:tcW w:w="8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auto"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户外万能工匠大型积木组合合</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规格：418件套 ，环保塑料+金属</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户外建构拼插大型雪花片</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直径26厘米100片，厚度≥2CM  材质PE环保塑料</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户外脚踏玩具车</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碳钢车架，环保车身烤漆，符合人体工学  尺寸≥90*55*66cm</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户外防腐木玩具收纳柜</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≥1.80米×0.60米×1.5米，材质：防腐木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保安门卫岗亭</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≥2000*2000*2800mm，优质镀锌管焊接钢架结构,外墙 16毫米金属雕花板</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内墙 白色8MM竹木纤维墙板</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框架 立柱和底盘2mm80方钢龙骨焊接，</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副梁2mm40*80镀锌管焊接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座</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书架</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155"/>
                <w:rFonts w:hint="eastAsia" w:ascii="仿宋" w:hAnsi="仿宋" w:eastAsia="仿宋" w:cs="仿宋"/>
                <w:sz w:val="24"/>
                <w:szCs w:val="24"/>
                <w:highlight w:val="none"/>
                <w:lang w:val="en-US" w:eastAsia="zh-CN" w:bidi="ar"/>
              </w:rPr>
              <w:t>成品定制，实木</w:t>
            </w:r>
            <w:r>
              <w:rPr>
                <w:rStyle w:val="156"/>
                <w:rFonts w:hint="eastAsia" w:ascii="仿宋" w:hAnsi="仿宋" w:eastAsia="仿宋" w:cs="仿宋"/>
                <w:sz w:val="24"/>
                <w:szCs w:val="24"/>
                <w:highlight w:val="none"/>
                <w:lang w:val="en-US" w:eastAsia="zh-CN" w:bidi="ar"/>
              </w:rPr>
              <w:t>≤</w:t>
            </w:r>
            <w:r>
              <w:rPr>
                <w:rStyle w:val="155"/>
                <w:rFonts w:hint="eastAsia" w:ascii="仿宋" w:hAnsi="仿宋" w:eastAsia="仿宋" w:cs="仿宋"/>
                <w:sz w:val="24"/>
                <w:szCs w:val="24"/>
                <w:highlight w:val="none"/>
                <w:lang w:val="en-US" w:eastAsia="zh-CN" w:bidi="ar"/>
              </w:rPr>
              <w:t>480*220cm</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异型书架</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成品定制，实木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图书室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6" w:type="dxa"/>
            <w:tcBorders>
              <w:top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7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合计</w:t>
            </w:r>
          </w:p>
        </w:tc>
        <w:tc>
          <w:tcPr>
            <w:tcW w:w="2842" w:type="dxa"/>
            <w:tcBorders>
              <w:top w:val="single" w:color="000000" w:sz="4" w:space="0"/>
              <w:left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highlight w:val="none"/>
                <w:u w:val="none"/>
              </w:rPr>
            </w:pPr>
          </w:p>
        </w:tc>
        <w:tc>
          <w:tcPr>
            <w:tcW w:w="850" w:type="dxa"/>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746" w:type="dxa"/>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695" w:type="dxa"/>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989" w:type="dxa"/>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872" w:type="dxa"/>
            <w:tcBorders>
              <w:top w:val="single" w:color="000000" w:sz="4" w:space="0"/>
              <w:lef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bl>
    <w:p>
      <w:pPr>
        <w:pStyle w:val="3"/>
        <w:bidi w:val="0"/>
        <w:spacing w:line="360" w:lineRule="auto"/>
        <w:jc w:val="center"/>
        <w:rPr>
          <w:rFonts w:hint="eastAsia" w:ascii="仿宋" w:hAnsi="仿宋" w:eastAsia="仿宋" w:cs="仿宋"/>
          <w:color w:val="auto"/>
          <w:highlight w:val="none"/>
        </w:rPr>
        <w:sectPr>
          <w:footerReference r:id="rId19" w:type="first"/>
          <w:pgSz w:w="11905" w:h="16840"/>
          <w:pgMar w:top="1417" w:right="1417" w:bottom="1417" w:left="1417" w:header="935" w:footer="907" w:gutter="0"/>
          <w:pgNumType w:fmt="decimal"/>
          <w:cols w:space="0" w:num="1"/>
          <w:titlePg/>
          <w:rtlGutter w:val="0"/>
          <w:docGrid w:linePitch="312" w:charSpace="0"/>
        </w:sectPr>
      </w:pPr>
    </w:p>
    <w:p>
      <w:pPr>
        <w:pStyle w:val="3"/>
        <w:bidi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第四章  商务要求</w:t>
      </w:r>
    </w:p>
    <w:p>
      <w:pPr>
        <w:spacing w:line="560" w:lineRule="exact"/>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一、交货期及地点：</w:t>
      </w:r>
    </w:p>
    <w:p>
      <w:pPr>
        <w:adjustRightInd w:val="0"/>
        <w:snapToGrid w:val="0"/>
        <w:spacing w:line="560" w:lineRule="exact"/>
        <w:ind w:firstLine="600" w:firstLineChars="250"/>
        <w:rPr>
          <w:rFonts w:hint="eastAsia" w:ascii="仿宋" w:hAnsi="仿宋" w:eastAsia="仿宋" w:cs="仿宋"/>
          <w:color w:val="auto"/>
          <w:szCs w:val="24"/>
          <w:highlight w:val="none"/>
        </w:rPr>
      </w:pPr>
      <w:bookmarkStart w:id="68" w:name="_Toc167714037"/>
      <w:bookmarkStart w:id="69" w:name="_Toc167712839"/>
      <w:bookmarkStart w:id="70" w:name="_Toc167715234"/>
      <w:r>
        <w:rPr>
          <w:rFonts w:hint="eastAsia" w:ascii="仿宋" w:hAnsi="仿宋" w:eastAsia="仿宋" w:cs="仿宋"/>
          <w:color w:val="auto"/>
          <w:szCs w:val="24"/>
          <w:highlight w:val="none"/>
        </w:rPr>
        <w:t>1、 交货期：</w:t>
      </w:r>
      <w:bookmarkEnd w:id="68"/>
      <w:bookmarkEnd w:id="69"/>
      <w:bookmarkEnd w:id="70"/>
      <w:r>
        <w:rPr>
          <w:rFonts w:hint="eastAsia" w:ascii="仿宋" w:hAnsi="仿宋" w:eastAsia="仿宋" w:cs="仿宋"/>
          <w:color w:val="auto"/>
          <w:szCs w:val="24"/>
          <w:highlight w:val="none"/>
          <w:lang w:eastAsia="zh-CN"/>
        </w:rPr>
        <w:t>自合同签订之日起30个日历日内交付完毕</w:t>
      </w:r>
      <w:r>
        <w:rPr>
          <w:rFonts w:hint="eastAsia" w:ascii="仿宋" w:hAnsi="仿宋" w:eastAsia="仿宋" w:cs="仿宋"/>
          <w:color w:val="auto"/>
          <w:szCs w:val="24"/>
          <w:highlight w:val="none"/>
        </w:rPr>
        <w:t>。</w:t>
      </w:r>
    </w:p>
    <w:p>
      <w:pPr>
        <w:adjustRightInd w:val="0"/>
        <w:snapToGrid w:val="0"/>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szCs w:val="24"/>
          <w:highlight w:val="none"/>
        </w:rPr>
        <w:t>2、 交货地点：</w:t>
      </w:r>
      <w:r>
        <w:rPr>
          <w:rFonts w:hint="eastAsia" w:ascii="仿宋" w:hAnsi="仿宋" w:eastAsia="仿宋" w:cs="仿宋"/>
          <w:color w:val="auto"/>
          <w:szCs w:val="24"/>
          <w:highlight w:val="none"/>
          <w:lang w:eastAsia="zh-CN"/>
        </w:rPr>
        <w:t>长武县教育局</w:t>
      </w:r>
      <w:r>
        <w:rPr>
          <w:rFonts w:hint="eastAsia" w:ascii="仿宋" w:hAnsi="仿宋" w:eastAsia="仿宋" w:cs="仿宋"/>
          <w:color w:val="auto"/>
          <w:szCs w:val="24"/>
          <w:highlight w:val="none"/>
        </w:rPr>
        <w:t>指定地点。</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二、包装、运输、安装、调试及培训要求：</w:t>
      </w:r>
    </w:p>
    <w:p>
      <w:pPr>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szCs w:val="24"/>
          <w:highlight w:val="none"/>
        </w:rPr>
        <w:t>1、包装：应采取防潮、防晒、防腐蚀、防震动及防止其它损坏的必要措施。中标人应承担由于其包装或防护措施不妥而引起的货物锈蚀、损坏和丢失等任何损失造成的责任或费用。</w:t>
      </w:r>
    </w:p>
    <w:p>
      <w:pPr>
        <w:spacing w:line="560" w:lineRule="exact"/>
        <w:ind w:firstLine="600" w:firstLineChars="25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2、运输：</w:t>
      </w:r>
      <w:r>
        <w:rPr>
          <w:rFonts w:hint="eastAsia" w:ascii="仿宋" w:hAnsi="仿宋" w:eastAsia="仿宋" w:cs="仿宋"/>
          <w:color w:val="auto"/>
          <w:kern w:val="0"/>
          <w:szCs w:val="24"/>
          <w:highlight w:val="none"/>
        </w:rPr>
        <w:t>选择运输风险小、运费低、距离短的运输路线。运杂费一次包死在总价内，包括生产厂到施工现场所需的装卸、运输（含保险费）、现场保管费、二次倒运费、吊装费等费用。</w:t>
      </w:r>
    </w:p>
    <w:p>
      <w:pPr>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3、安装、调试及培训：中标人负责所有设备的安装、调试、培训工作，所有费用一次包死在总价内。</w:t>
      </w:r>
      <w:bookmarkStart w:id="71" w:name="_Toc167714062"/>
      <w:bookmarkStart w:id="72" w:name="_Toc167712864"/>
      <w:bookmarkStart w:id="73" w:name="_Toc167715259"/>
      <w:r>
        <w:rPr>
          <w:rFonts w:hint="eastAsia" w:ascii="仿宋" w:hAnsi="仿宋" w:eastAsia="仿宋" w:cs="仿宋"/>
          <w:color w:val="auto"/>
          <w:szCs w:val="24"/>
          <w:highlight w:val="none"/>
        </w:rPr>
        <w:t>每套设备安装调试完毕后，中标人必须安排技术人员对使用单位的设备管理人员进行操作应用及维护保养方面的技能培训</w:t>
      </w:r>
      <w:bookmarkEnd w:id="71"/>
      <w:bookmarkEnd w:id="72"/>
      <w:bookmarkEnd w:id="73"/>
      <w:r>
        <w:rPr>
          <w:rFonts w:hint="eastAsia" w:ascii="仿宋" w:hAnsi="仿宋" w:eastAsia="仿宋" w:cs="仿宋"/>
          <w:color w:val="auto"/>
          <w:szCs w:val="24"/>
          <w:highlight w:val="none"/>
        </w:rPr>
        <w:t>，使其掌握基本技能。</w:t>
      </w:r>
    </w:p>
    <w:p>
      <w:pPr>
        <w:adjustRightInd w:val="0"/>
        <w:snapToGrid w:val="0"/>
        <w:spacing w:line="560" w:lineRule="exact"/>
        <w:rPr>
          <w:rFonts w:hint="eastAsia" w:ascii="仿宋" w:hAnsi="仿宋" w:eastAsia="仿宋" w:cs="仿宋"/>
          <w:b/>
          <w:color w:val="auto"/>
          <w:szCs w:val="24"/>
          <w:highlight w:val="none"/>
          <w:u w:val="wavyHeavy" w:color="FF0000"/>
        </w:rPr>
      </w:pPr>
      <w:r>
        <w:rPr>
          <w:rFonts w:hint="eastAsia" w:ascii="仿宋" w:hAnsi="仿宋" w:eastAsia="仿宋" w:cs="仿宋"/>
          <w:b/>
          <w:color w:val="auto"/>
          <w:szCs w:val="24"/>
          <w:highlight w:val="none"/>
        </w:rPr>
        <w:t xml:space="preserve">    三、付款方式：</w:t>
      </w:r>
    </w:p>
    <w:p>
      <w:pPr>
        <w:adjustRightInd w:val="0"/>
        <w:snapToGrid w:val="0"/>
        <w:spacing w:line="560" w:lineRule="exact"/>
        <w:ind w:firstLine="480" w:firstLineChars="200"/>
        <w:rPr>
          <w:rFonts w:hint="eastAsia" w:ascii="仿宋" w:hAnsi="仿宋" w:eastAsia="仿宋" w:cs="仿宋"/>
          <w:color w:val="auto"/>
          <w:szCs w:val="24"/>
          <w:highlight w:val="none"/>
          <w:lang w:val="en-US" w:eastAsia="zh-CN"/>
        </w:rPr>
      </w:pPr>
      <w:bookmarkStart w:id="74" w:name="_Toc167714040"/>
      <w:bookmarkStart w:id="75" w:name="_Toc167715237"/>
      <w:bookmarkStart w:id="76" w:name="_Toc167712842"/>
      <w:r>
        <w:rPr>
          <w:rFonts w:hint="eastAsia" w:ascii="仿宋" w:hAnsi="仿宋" w:eastAsia="仿宋" w:cs="仿宋"/>
          <w:color w:val="auto"/>
          <w:szCs w:val="24"/>
          <w:highlight w:val="none"/>
          <w:lang w:val="en-US" w:eastAsia="zh-CN"/>
        </w:rPr>
        <w:t>合同签订后甲方支付乙方30%的项目款，项目实施到一半甲方支付乙方40%的项目款，项目实施完毕经验收合格且无争议的情况下付清剩余的项目款。</w:t>
      </w:r>
    </w:p>
    <w:p>
      <w:pPr>
        <w:adjustRightInd w:val="0"/>
        <w:snapToGrid w:val="0"/>
        <w:spacing w:line="560" w:lineRule="exact"/>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 xml:space="preserve"> </w:t>
      </w:r>
      <w:r>
        <w:rPr>
          <w:rFonts w:hint="eastAsia" w:ascii="仿宋" w:hAnsi="仿宋" w:eastAsia="仿宋" w:cs="仿宋"/>
          <w:b/>
          <w:color w:val="auto"/>
          <w:szCs w:val="24"/>
          <w:highlight w:val="none"/>
        </w:rPr>
        <w:t xml:space="preserve">   四、验收</w:t>
      </w:r>
      <w:bookmarkEnd w:id="74"/>
      <w:bookmarkEnd w:id="75"/>
      <w:bookmarkEnd w:id="76"/>
      <w:bookmarkStart w:id="77" w:name="_Toc167715238"/>
      <w:bookmarkStart w:id="78" w:name="_Toc167712843"/>
      <w:bookmarkStart w:id="79" w:name="_Toc167714041"/>
      <w:r>
        <w:rPr>
          <w:rFonts w:hint="eastAsia" w:ascii="仿宋" w:hAnsi="仿宋" w:eastAsia="仿宋" w:cs="仿宋"/>
          <w:b/>
          <w:color w:val="auto"/>
          <w:szCs w:val="24"/>
          <w:highlight w:val="none"/>
        </w:rPr>
        <w:t>:</w:t>
      </w:r>
      <w:r>
        <w:rPr>
          <w:rFonts w:hint="eastAsia" w:ascii="仿宋" w:hAnsi="仿宋" w:eastAsia="仿宋" w:cs="仿宋"/>
          <w:b/>
          <w:color w:val="auto"/>
          <w:szCs w:val="24"/>
          <w:highlight w:val="none"/>
        </w:rPr>
        <w:tab/>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1、项目验收分初验和终验:</w:t>
      </w:r>
      <w:bookmarkEnd w:id="77"/>
      <w:bookmarkEnd w:id="78"/>
      <w:bookmarkEnd w:id="79"/>
      <w:bookmarkStart w:id="80" w:name="_Toc167712844"/>
      <w:bookmarkStart w:id="81" w:name="_Toc167714042"/>
      <w:bookmarkStart w:id="82" w:name="_Toc167715239"/>
    </w:p>
    <w:bookmarkEnd w:id="80"/>
    <w:bookmarkEnd w:id="81"/>
    <w:bookmarkEnd w:id="82"/>
    <w:p>
      <w:pPr>
        <w:spacing w:line="560" w:lineRule="exact"/>
        <w:ind w:firstLine="480" w:firstLineChars="200"/>
        <w:rPr>
          <w:rFonts w:hint="eastAsia" w:ascii="仿宋" w:hAnsi="仿宋" w:eastAsia="仿宋" w:cs="仿宋"/>
          <w:color w:val="auto"/>
          <w:szCs w:val="24"/>
          <w:highlight w:val="none"/>
        </w:rPr>
      </w:pPr>
      <w:bookmarkStart w:id="83" w:name="_Toc167714044"/>
      <w:bookmarkStart w:id="84" w:name="_Toc167712846"/>
      <w:bookmarkStart w:id="85" w:name="_Toc167715241"/>
      <w:r>
        <w:rPr>
          <w:rFonts w:hint="eastAsia" w:ascii="仿宋" w:hAnsi="仿宋" w:eastAsia="仿宋" w:cs="仿宋"/>
          <w:color w:val="auto"/>
          <w:szCs w:val="24"/>
          <w:highlight w:val="none"/>
        </w:rPr>
        <w:t>初验：货物到达交货地点后，由使用单位根据合同对货物（设备）的名称、品牌、规格、型号、产地、数量进行检查。</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终验：所有货物(设备)安装、调试完毕，正常使用</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0个日历日后，由采购人进行终验（最终验收），合格后签发《终验合格单》。</w:t>
      </w:r>
      <w:r>
        <w:rPr>
          <w:rFonts w:hint="eastAsia" w:ascii="仿宋" w:hAnsi="仿宋" w:eastAsia="仿宋" w:cs="仿宋"/>
          <w:color w:val="auto"/>
          <w:szCs w:val="24"/>
          <w:highlight w:val="none"/>
        </w:rPr>
        <w:cr/>
      </w:r>
      <w:r>
        <w:rPr>
          <w:rFonts w:hint="eastAsia" w:ascii="仿宋" w:hAnsi="仿宋" w:eastAsia="仿宋" w:cs="仿宋"/>
          <w:color w:val="auto"/>
          <w:szCs w:val="24"/>
          <w:highlight w:val="none"/>
        </w:rPr>
        <w:t xml:space="preserve">    2、验收不合格的中标单位，必须在接到通知后7个日历日内确保货物通过验收。如接到通知后7个日历日内验收仍不合格，采购人可提出索赔或取消其供货合同。采购人可以按照评审报告推荐的中标候选人名单排序，确定下一候选人为中标单位。</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3、验收依据</w:t>
      </w:r>
      <w:bookmarkEnd w:id="83"/>
      <w:bookmarkEnd w:id="84"/>
      <w:bookmarkEnd w:id="85"/>
      <w:bookmarkStart w:id="86" w:name="_Toc167712847"/>
      <w:bookmarkStart w:id="87" w:name="_Toc167715242"/>
      <w:bookmarkStart w:id="88" w:name="_Toc167714045"/>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（1）合同文本及合同补充文件（条款）</w:t>
      </w:r>
      <w:bookmarkEnd w:id="86"/>
      <w:bookmarkEnd w:id="87"/>
      <w:bookmarkEnd w:id="88"/>
      <w:r>
        <w:rPr>
          <w:rFonts w:hint="eastAsia" w:ascii="仿宋" w:hAnsi="仿宋" w:eastAsia="仿宋" w:cs="仿宋"/>
          <w:color w:val="auto"/>
          <w:szCs w:val="24"/>
          <w:highlight w:val="none"/>
        </w:rPr>
        <w:t xml:space="preserve">； </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（2）产品的合法来源渠道证明文件、响应功能证明材料；</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（3）招标文件；</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（4）中标人的投标文件；</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（5）货物清单；</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（6）生产厂家的企业资质、货物的执行标准。</w:t>
      </w:r>
    </w:p>
    <w:p>
      <w:pPr>
        <w:spacing w:line="560" w:lineRule="exact"/>
        <w:ind w:firstLine="482" w:firstLineChars="200"/>
        <w:rPr>
          <w:rFonts w:hint="eastAsia" w:ascii="仿宋" w:hAnsi="仿宋" w:eastAsia="仿宋" w:cs="仿宋"/>
          <w:b/>
          <w:color w:val="auto"/>
          <w:szCs w:val="24"/>
          <w:highlight w:val="none"/>
        </w:rPr>
      </w:pPr>
      <w:bookmarkStart w:id="89" w:name="_Toc167714047"/>
      <w:bookmarkStart w:id="90" w:name="_Toc167715244"/>
      <w:bookmarkStart w:id="91" w:name="_Toc167712849"/>
      <w:r>
        <w:rPr>
          <w:rFonts w:hint="eastAsia" w:ascii="仿宋" w:hAnsi="仿宋" w:eastAsia="仿宋" w:cs="仿宋"/>
          <w:b/>
          <w:color w:val="auto"/>
          <w:szCs w:val="24"/>
          <w:highlight w:val="none"/>
        </w:rPr>
        <w:t>五、</w:t>
      </w:r>
      <w:bookmarkEnd w:id="89"/>
      <w:bookmarkEnd w:id="90"/>
      <w:bookmarkEnd w:id="91"/>
      <w:bookmarkStart w:id="92" w:name="_Toc167715248"/>
      <w:bookmarkStart w:id="93" w:name="_Toc167712853"/>
      <w:bookmarkStart w:id="94" w:name="_Toc167714051"/>
      <w:r>
        <w:rPr>
          <w:rFonts w:hint="eastAsia" w:ascii="仿宋" w:hAnsi="仿宋" w:eastAsia="仿宋" w:cs="仿宋"/>
          <w:b/>
          <w:color w:val="auto"/>
          <w:szCs w:val="24"/>
          <w:highlight w:val="none"/>
        </w:rPr>
        <w:t>质量保证</w:t>
      </w:r>
      <w:bookmarkEnd w:id="92"/>
      <w:bookmarkEnd w:id="93"/>
      <w:bookmarkEnd w:id="94"/>
    </w:p>
    <w:p>
      <w:pPr>
        <w:spacing w:line="560" w:lineRule="exact"/>
        <w:ind w:firstLine="472" w:firstLineChars="196"/>
        <w:rPr>
          <w:rFonts w:hint="eastAsia" w:ascii="仿宋" w:hAnsi="仿宋" w:eastAsia="仿宋" w:cs="仿宋"/>
          <w:color w:val="auto"/>
          <w:szCs w:val="24"/>
          <w:highlight w:val="none"/>
        </w:rPr>
      </w:pPr>
      <w:bookmarkStart w:id="95" w:name="_Toc167714055"/>
      <w:bookmarkStart w:id="96" w:name="_Toc167712857"/>
      <w:bookmarkStart w:id="97" w:name="_Toc167715252"/>
      <w:r>
        <w:rPr>
          <w:rFonts w:hint="eastAsia" w:ascii="仿宋" w:hAnsi="仿宋" w:eastAsia="仿宋" w:cs="仿宋"/>
          <w:b/>
          <w:color w:val="auto"/>
          <w:szCs w:val="24"/>
          <w:highlight w:val="none"/>
        </w:rPr>
        <w:t>1、</w:t>
      </w:r>
      <w:r>
        <w:rPr>
          <w:rFonts w:hint="eastAsia" w:ascii="仿宋" w:hAnsi="仿宋" w:eastAsia="仿宋" w:cs="仿宋"/>
          <w:b/>
          <w:color w:val="auto"/>
          <w:szCs w:val="24"/>
          <w:highlight w:val="none"/>
          <w:lang w:val="en-US" w:eastAsia="zh-CN"/>
        </w:rPr>
        <w:t>设备部分质保期为不少于24个月，施工部分质保期为</w:t>
      </w:r>
      <w:r>
        <w:rPr>
          <w:rFonts w:hint="eastAsia" w:ascii="仿宋" w:hAnsi="仿宋" w:eastAsia="仿宋" w:cs="仿宋"/>
          <w:b/>
          <w:color w:val="auto"/>
          <w:szCs w:val="24"/>
          <w:highlight w:val="none"/>
        </w:rPr>
        <w:t>不少于</w:t>
      </w:r>
      <w:r>
        <w:rPr>
          <w:rFonts w:hint="eastAsia" w:ascii="仿宋" w:hAnsi="仿宋" w:eastAsia="仿宋" w:cs="仿宋"/>
          <w:b/>
          <w:color w:val="auto"/>
          <w:szCs w:val="24"/>
          <w:highlight w:val="none"/>
          <w:lang w:val="en-US" w:eastAsia="zh-CN"/>
        </w:rPr>
        <w:t>12个月</w:t>
      </w:r>
      <w:r>
        <w:rPr>
          <w:rFonts w:hint="eastAsia" w:ascii="仿宋" w:hAnsi="仿宋" w:eastAsia="仿宋" w:cs="仿宋"/>
          <w:b w:val="0"/>
          <w:bCs/>
          <w:color w:val="auto"/>
          <w:szCs w:val="24"/>
          <w:highlight w:val="none"/>
        </w:rPr>
        <w:t>（参数中有具体要求的，按参数要求提供质保）。</w:t>
      </w:r>
      <w:r>
        <w:rPr>
          <w:rFonts w:hint="eastAsia" w:ascii="仿宋" w:hAnsi="仿宋" w:eastAsia="仿宋" w:cs="仿宋"/>
          <w:color w:val="auto"/>
          <w:kern w:val="0"/>
          <w:szCs w:val="24"/>
          <w:highlight w:val="none"/>
        </w:rPr>
        <w:t>中标人承诺的质保时间超过招标文件要求的，按其承诺时间质保。</w:t>
      </w:r>
    </w:p>
    <w:p>
      <w:pPr>
        <w:adjustRightInd w:val="0"/>
        <w:snapToGrid w:val="0"/>
        <w:spacing w:line="560" w:lineRule="exact"/>
        <w:ind w:firstLine="470" w:firstLineChars="196"/>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2、中标人承诺的质保期起始时间为终验合格之日。</w:t>
      </w:r>
      <w:bookmarkStart w:id="98" w:name="_Toc167714053"/>
      <w:bookmarkStart w:id="99" w:name="_Toc167715250"/>
      <w:bookmarkStart w:id="100" w:name="_Toc167712855"/>
    </w:p>
    <w:p>
      <w:pPr>
        <w:adjustRightInd w:val="0"/>
        <w:snapToGrid w:val="0"/>
        <w:spacing w:line="560" w:lineRule="exact"/>
        <w:ind w:firstLine="470" w:firstLineChars="196"/>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3、所有产品质量必须符合国家有关规范和相关政策。所有设备及辅材必须是未使用过的新产品，质量优良、渠道正当，配置合理。</w:t>
      </w:r>
      <w:bookmarkEnd w:id="98"/>
      <w:bookmarkEnd w:id="99"/>
      <w:bookmarkEnd w:id="100"/>
      <w:bookmarkStart w:id="101" w:name="_Toc167714054"/>
      <w:bookmarkStart w:id="102" w:name="_Toc167715251"/>
      <w:bookmarkStart w:id="103" w:name="_Toc167712856"/>
    </w:p>
    <w:p>
      <w:pPr>
        <w:adjustRightInd w:val="0"/>
        <w:snapToGrid w:val="0"/>
        <w:spacing w:line="560" w:lineRule="exact"/>
        <w:ind w:firstLine="470" w:firstLineChars="196"/>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4、质保期出现的质量问题由中标人负责解决并承担所有费用。质保期后如需更换零部件，中标人应以优惠价提供。</w:t>
      </w:r>
      <w:bookmarkEnd w:id="101"/>
      <w:bookmarkEnd w:id="102"/>
      <w:bookmarkEnd w:id="103"/>
    </w:p>
    <w:bookmarkEnd w:id="95"/>
    <w:bookmarkEnd w:id="96"/>
    <w:bookmarkEnd w:id="97"/>
    <w:p>
      <w:pPr>
        <w:adjustRightInd w:val="0"/>
        <w:spacing w:line="560" w:lineRule="exact"/>
        <w:ind w:firstLine="482" w:firstLineChars="200"/>
        <w:rPr>
          <w:rFonts w:hint="eastAsia" w:ascii="仿宋" w:hAnsi="仿宋" w:eastAsia="仿宋" w:cs="仿宋"/>
          <w:b/>
          <w:color w:val="auto"/>
          <w:szCs w:val="24"/>
          <w:highlight w:val="none"/>
        </w:rPr>
      </w:pPr>
      <w:bookmarkStart w:id="104" w:name="_Toc167714066"/>
      <w:bookmarkStart w:id="105" w:name="_Toc167715263"/>
      <w:bookmarkStart w:id="106" w:name="_Toc167712868"/>
      <w:r>
        <w:rPr>
          <w:rFonts w:hint="eastAsia" w:ascii="仿宋" w:hAnsi="仿宋" w:eastAsia="仿宋" w:cs="仿宋"/>
          <w:b/>
          <w:color w:val="auto"/>
          <w:szCs w:val="24"/>
          <w:highlight w:val="none"/>
        </w:rPr>
        <w:t>六、合同实施：</w:t>
      </w:r>
      <w:bookmarkEnd w:id="104"/>
      <w:bookmarkEnd w:id="105"/>
      <w:bookmarkEnd w:id="106"/>
      <w:bookmarkStart w:id="107" w:name="_Toc167714067"/>
      <w:bookmarkStart w:id="108" w:name="_Toc167715264"/>
      <w:bookmarkStart w:id="109" w:name="_Toc167712869"/>
    </w:p>
    <w:p>
      <w:pPr>
        <w:adjustRightIn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1 </w:t>
      </w:r>
      <w:bookmarkEnd w:id="107"/>
      <w:bookmarkEnd w:id="108"/>
      <w:bookmarkEnd w:id="109"/>
      <w:r>
        <w:rPr>
          <w:rFonts w:hint="eastAsia" w:ascii="仿宋" w:hAnsi="仿宋" w:eastAsia="仿宋" w:cs="仿宋"/>
          <w:color w:val="auto"/>
          <w:szCs w:val="24"/>
          <w:highlight w:val="none"/>
        </w:rPr>
        <w:t>、中标人应在合同签订后7个日历日内安排人员（项目组成人员简历表所列）与使用单位就送货、安装、调试、培训等工作进行安排、部署。</w:t>
      </w:r>
      <w:bookmarkStart w:id="110" w:name="_Toc167714068"/>
      <w:bookmarkStart w:id="111" w:name="_Toc167712870"/>
      <w:bookmarkStart w:id="112" w:name="_Toc167715265"/>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w:t>
      </w:r>
      <w:bookmarkEnd w:id="110"/>
      <w:bookmarkEnd w:id="111"/>
      <w:bookmarkEnd w:id="112"/>
      <w:r>
        <w:rPr>
          <w:rFonts w:hint="eastAsia" w:ascii="仿宋" w:hAnsi="仿宋" w:eastAsia="仿宋" w:cs="仿宋"/>
          <w:color w:val="auto"/>
          <w:szCs w:val="24"/>
          <w:highlight w:val="none"/>
        </w:rPr>
        <w:t xml:space="preserve"> 、若未能在交货期内完成合同规定的义务，由此对采购人造成的延误和一切损失，由中标人承担和赔偿。</w:t>
      </w:r>
    </w:p>
    <w:p>
      <w:pPr>
        <w:keepNext w:val="0"/>
        <w:keepLines w:val="0"/>
        <w:pageBreakBefore w:val="0"/>
        <w:widowControl w:val="0"/>
        <w:kinsoku/>
        <w:wordWrap/>
        <w:overflowPunct/>
        <w:topLinePunct w:val="0"/>
        <w:autoSpaceDE/>
        <w:autoSpaceDN/>
        <w:bidi w:val="0"/>
        <w:adjustRightInd w:val="0"/>
        <w:spacing w:line="560" w:lineRule="exact"/>
        <w:ind w:firstLine="482" w:firstLineChars="200"/>
        <w:textAlignment w:val="auto"/>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七、违约责任：</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1、按《</w:t>
      </w:r>
      <w:r>
        <w:rPr>
          <w:rFonts w:hint="eastAsia" w:ascii="仿宋" w:hAnsi="仿宋" w:eastAsia="仿宋" w:cs="仿宋"/>
          <w:color w:val="auto"/>
          <w:szCs w:val="24"/>
          <w:highlight w:val="none"/>
          <w:lang w:eastAsia="zh-CN"/>
        </w:rPr>
        <w:t>中华人民共和国民法典</w:t>
      </w:r>
      <w:r>
        <w:rPr>
          <w:rFonts w:hint="eastAsia" w:ascii="仿宋" w:hAnsi="仿宋" w:eastAsia="仿宋" w:cs="仿宋"/>
          <w:color w:val="auto"/>
          <w:szCs w:val="24"/>
          <w:highlight w:val="none"/>
        </w:rPr>
        <w:t>》中的相关条款执行。</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2、未按合同要求提供产品或设备质量不能满足技术要求，采购人有权终止合同，并对供方违约行为进行追究，同时按《政府采购法》的有关规定进行处罚。</w:t>
      </w:r>
    </w:p>
    <w:p>
      <w:pPr>
        <w:spacing w:line="560" w:lineRule="exact"/>
        <w:jc w:val="center"/>
        <w:rPr>
          <w:rFonts w:hint="eastAsia" w:ascii="仿宋" w:hAnsi="仿宋" w:eastAsia="仿宋" w:cs="仿宋"/>
          <w:b/>
          <w:color w:val="auto"/>
          <w:sz w:val="44"/>
          <w:szCs w:val="44"/>
          <w:highlight w:val="none"/>
        </w:rPr>
      </w:pPr>
      <w:r>
        <w:rPr>
          <w:rFonts w:hint="eastAsia" w:ascii="仿宋" w:hAnsi="仿宋" w:eastAsia="仿宋" w:cs="仿宋"/>
          <w:b/>
          <w:color w:val="auto"/>
          <w:highlight w:val="none"/>
        </w:rPr>
        <w:pict>
          <v:shape id="_x0000_s2052" o:spid="_x0000_s2052" o:spt="202" type="#_x0000_t202" style="position:absolute;left:0pt;margin-left:3.25pt;margin-top:25.95pt;height:38.85pt;width:432.1pt;mso-wrap-distance-bottom:0pt;mso-wrap-distance-left:9pt;mso-wrap-distance-right:9pt;mso-wrap-distance-top:0pt;z-index:251661312;mso-width-relative:page;mso-height-relative:page;" coordsize="21600,21600" o:gfxdata="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mzCkNcAAAAIAQAADwAAAAAAAAABACAAAAAiAAAAZHJzL2Rvd25yZXYueG1sUEsB&#10;AhQAFAAAAAgAh07iQDFgcG72AQAAEAQAAA4AAAAAAAAAAQAgAAAAJgEAAGRycy9lMm9Eb2MueG1s&#10;UEsFBgAAAAAGAAYAWQEAAI4FAAAAAA==&#10;">
            <v:path/>
            <v:fill focussize="0,0"/>
            <v:stroke joinstyle="miter"/>
            <v:imagedata o:title=""/>
            <o:lock v:ext="edit"/>
            <v:textbox>
              <w:txbxContent>
                <w:p>
                  <w:pPr>
                    <w:tabs>
                      <w:tab w:val="left" w:pos="3485"/>
                    </w:tabs>
                    <w:spacing w:line="520" w:lineRule="exact"/>
                    <w:jc w:val="center"/>
                    <w:rPr>
                      <w:rFonts w:hint="eastAsia" w:ascii="仿宋" w:hAnsi="仿宋" w:eastAsia="仿宋" w:cs="仿宋"/>
                      <w:b/>
                      <w:sz w:val="32"/>
                      <w:szCs w:val="32"/>
                    </w:rPr>
                  </w:pPr>
                  <w:r>
                    <w:rPr>
                      <w:rFonts w:hint="eastAsia" w:ascii="仿宋" w:hAnsi="仿宋" w:eastAsia="仿宋" w:cs="仿宋"/>
                      <w:b/>
                      <w:sz w:val="32"/>
                      <w:szCs w:val="32"/>
                    </w:rPr>
                    <w:t>注：商务要求为实质性要求，不得负偏离。</w:t>
                  </w:r>
                </w:p>
              </w:txbxContent>
            </v:textbox>
            <w10:wrap type="square"/>
          </v:shape>
        </w:pict>
      </w:r>
    </w:p>
    <w:p>
      <w:pPr>
        <w:spacing w:line="560" w:lineRule="exact"/>
        <w:jc w:val="center"/>
        <w:rPr>
          <w:rFonts w:hint="eastAsia" w:ascii="仿宋" w:hAnsi="仿宋" w:eastAsia="仿宋" w:cs="仿宋"/>
          <w:b/>
          <w:color w:val="auto"/>
          <w:sz w:val="44"/>
          <w:szCs w:val="44"/>
          <w:highlight w:val="none"/>
        </w:rPr>
      </w:pPr>
    </w:p>
    <w:p>
      <w:pPr>
        <w:spacing w:line="560" w:lineRule="exact"/>
        <w:jc w:val="center"/>
        <w:rPr>
          <w:rFonts w:hint="eastAsia" w:ascii="仿宋" w:hAnsi="仿宋" w:eastAsia="仿宋" w:cs="仿宋"/>
          <w:b/>
          <w:color w:val="auto"/>
          <w:sz w:val="44"/>
          <w:szCs w:val="44"/>
          <w:highlight w:val="none"/>
        </w:rPr>
      </w:pPr>
    </w:p>
    <w:p>
      <w:pPr>
        <w:spacing w:line="560" w:lineRule="exact"/>
        <w:jc w:val="center"/>
        <w:rPr>
          <w:rFonts w:hint="eastAsia" w:ascii="仿宋" w:hAnsi="仿宋" w:eastAsia="仿宋" w:cs="仿宋"/>
          <w:b/>
          <w:color w:val="auto"/>
          <w:sz w:val="44"/>
          <w:szCs w:val="44"/>
          <w:highlight w:val="none"/>
        </w:rPr>
      </w:pPr>
    </w:p>
    <w:p>
      <w:pPr>
        <w:spacing w:line="560" w:lineRule="exact"/>
        <w:jc w:val="center"/>
        <w:rPr>
          <w:rFonts w:hint="eastAsia" w:ascii="仿宋" w:hAnsi="仿宋" w:eastAsia="仿宋" w:cs="仿宋"/>
          <w:b/>
          <w:color w:val="auto"/>
          <w:sz w:val="44"/>
          <w:szCs w:val="44"/>
          <w:highlight w:val="none"/>
        </w:rPr>
      </w:pPr>
    </w:p>
    <w:p>
      <w:pPr>
        <w:spacing w:line="560" w:lineRule="exact"/>
        <w:jc w:val="center"/>
        <w:rPr>
          <w:rFonts w:hint="eastAsia" w:ascii="仿宋" w:hAnsi="仿宋" w:eastAsia="仿宋" w:cs="仿宋"/>
          <w:b/>
          <w:color w:val="auto"/>
          <w:sz w:val="44"/>
          <w:szCs w:val="44"/>
          <w:highlight w:val="none"/>
        </w:rPr>
      </w:pPr>
    </w:p>
    <w:p>
      <w:pPr>
        <w:spacing w:line="560" w:lineRule="exact"/>
        <w:jc w:val="center"/>
        <w:rPr>
          <w:rFonts w:hint="eastAsia" w:ascii="仿宋" w:hAnsi="仿宋" w:eastAsia="仿宋" w:cs="仿宋"/>
          <w:b/>
          <w:color w:val="auto"/>
          <w:sz w:val="44"/>
          <w:szCs w:val="44"/>
          <w:highlight w:val="none"/>
        </w:rPr>
      </w:pPr>
    </w:p>
    <w:p>
      <w:pPr>
        <w:rPr>
          <w:rFonts w:hint="eastAsia" w:ascii="仿宋" w:hAnsi="仿宋" w:eastAsia="仿宋" w:cs="仿宋"/>
          <w:color w:val="auto"/>
          <w:highlight w:val="none"/>
        </w:rPr>
      </w:pPr>
      <w:bookmarkStart w:id="113" w:name="_Toc458617746"/>
      <w:bookmarkStart w:id="114" w:name="_Toc458617469"/>
      <w:r>
        <w:rPr>
          <w:rFonts w:hint="eastAsia" w:ascii="仿宋" w:hAnsi="仿宋" w:eastAsia="仿宋" w:cs="仿宋"/>
          <w:color w:val="auto"/>
          <w:highlight w:val="none"/>
        </w:rPr>
        <w:br w:type="page"/>
      </w:r>
    </w:p>
    <w:p>
      <w:pPr>
        <w:pStyle w:val="3"/>
        <w:spacing w:line="560" w:lineRule="exact"/>
        <w:jc w:val="center"/>
        <w:rPr>
          <w:rFonts w:hint="eastAsia" w:ascii="仿宋" w:hAnsi="仿宋" w:eastAsia="仿宋" w:cs="仿宋"/>
          <w:color w:val="auto"/>
          <w:szCs w:val="24"/>
          <w:highlight w:val="none"/>
          <w:lang w:eastAsia="zh-CN"/>
        </w:rPr>
      </w:pPr>
      <w:bookmarkStart w:id="115" w:name="_Toc25447"/>
      <w:r>
        <w:rPr>
          <w:rFonts w:hint="eastAsia" w:ascii="仿宋" w:hAnsi="仿宋" w:eastAsia="仿宋" w:cs="仿宋"/>
          <w:color w:val="auto"/>
          <w:highlight w:val="none"/>
        </w:rPr>
        <w:t>第五章  合同条款</w:t>
      </w:r>
      <w:bookmarkEnd w:id="113"/>
      <w:bookmarkEnd w:id="114"/>
      <w:bookmarkEnd w:id="115"/>
      <w:r>
        <w:rPr>
          <w:rFonts w:hint="eastAsia" w:ascii="仿宋" w:hAnsi="仿宋" w:eastAsia="仿宋" w:cs="仿宋"/>
          <w:color w:val="auto"/>
          <w:sz w:val="36"/>
          <w:szCs w:val="36"/>
          <w:highlight w:val="none"/>
          <w:lang w:eastAsia="zh-CN"/>
        </w:rPr>
        <w:t>（</w:t>
      </w:r>
      <w:r>
        <w:rPr>
          <w:rFonts w:hint="eastAsia" w:ascii="仿宋" w:hAnsi="仿宋" w:eastAsia="仿宋" w:cs="仿宋"/>
          <w:color w:val="auto"/>
          <w:sz w:val="36"/>
          <w:szCs w:val="36"/>
          <w:highlight w:val="none"/>
          <w:lang w:val="en-US" w:eastAsia="zh-CN"/>
        </w:rPr>
        <w:t>仅供参考</w:t>
      </w:r>
      <w:r>
        <w:rPr>
          <w:rFonts w:hint="eastAsia" w:ascii="仿宋" w:hAnsi="仿宋" w:eastAsia="仿宋" w:cs="仿宋"/>
          <w:color w:val="auto"/>
          <w:sz w:val="36"/>
          <w:szCs w:val="36"/>
          <w:highlight w:val="none"/>
          <w:lang w:eastAsia="zh-CN"/>
        </w:rPr>
        <w:t>）</w:t>
      </w:r>
    </w:p>
    <w:p>
      <w:pPr>
        <w:keepNext w:val="0"/>
        <w:keepLines w:val="0"/>
        <w:pageBreakBefore w:val="0"/>
        <w:kinsoku/>
        <w:overflowPunct/>
        <w:bidi w:val="0"/>
        <w:spacing w:line="540" w:lineRule="exact"/>
        <w:textAlignment w:val="auto"/>
        <w:rPr>
          <w:rFonts w:hint="eastAsia" w:ascii="仿宋" w:hAnsi="仿宋" w:eastAsia="仿宋" w:cs="仿宋"/>
          <w:b/>
          <w:color w:val="auto"/>
          <w:sz w:val="18"/>
          <w:szCs w:val="18"/>
          <w:highlight w:val="none"/>
          <w:u w:color="FF0000"/>
        </w:rPr>
      </w:pPr>
      <w:r>
        <w:rPr>
          <w:rFonts w:hint="eastAsia" w:ascii="仿宋" w:hAnsi="仿宋" w:eastAsia="仿宋" w:cs="仿宋"/>
          <w:color w:val="auto"/>
          <w:szCs w:val="24"/>
          <w:highlight w:val="none"/>
        </w:rPr>
        <w:t>一、供货合同格式</w:t>
      </w:r>
    </w:p>
    <w:p>
      <w:pPr>
        <w:keepNext w:val="0"/>
        <w:keepLines w:val="0"/>
        <w:pageBreakBefore w:val="0"/>
        <w:widowControl/>
        <w:kinsoku/>
        <w:wordWrap w:val="0"/>
        <w:overflowPunct/>
        <w:topLinePunct/>
        <w:bidi w:val="0"/>
        <w:spacing w:line="540" w:lineRule="exact"/>
        <w:ind w:right="-226" w:rightChars="-94" w:firstLine="480" w:firstLineChars="200"/>
        <w:jc w:val="left"/>
        <w:textAlignment w:val="auto"/>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lang w:eastAsia="zh-CN"/>
        </w:rPr>
        <w:t>长武县彭公中心幼儿园部室提升改造设施设备采购项目</w:t>
      </w:r>
      <w:r>
        <w:rPr>
          <w:rFonts w:hint="eastAsia" w:ascii="仿宋" w:hAnsi="仿宋" w:eastAsia="仿宋" w:cs="仿宋"/>
          <w:color w:val="auto"/>
          <w:szCs w:val="24"/>
          <w:highlight w:val="none"/>
        </w:rPr>
        <w:t xml:space="preserve"> (文件编号：</w:t>
      </w:r>
      <w:r>
        <w:rPr>
          <w:rFonts w:hint="eastAsia" w:ascii="仿宋" w:hAnsi="仿宋" w:eastAsia="仿宋" w:cs="仿宋"/>
          <w:color w:val="auto"/>
          <w:szCs w:val="24"/>
          <w:highlight w:val="none"/>
          <w:lang w:eastAsia="zh-CN"/>
        </w:rPr>
        <w:t>HZGH-2023-026</w:t>
      </w:r>
      <w:r>
        <w:rPr>
          <w:rFonts w:hint="eastAsia" w:ascii="仿宋" w:hAnsi="仿宋" w:eastAsia="仿宋" w:cs="仿宋"/>
          <w:color w:val="auto"/>
          <w:szCs w:val="24"/>
          <w:highlight w:val="none"/>
        </w:rPr>
        <w:t>)，在</w:t>
      </w:r>
      <w:r>
        <w:rPr>
          <w:rFonts w:hint="eastAsia" w:ascii="仿宋" w:hAnsi="仿宋" w:eastAsia="仿宋" w:cs="仿宋"/>
          <w:color w:val="auto"/>
          <w:szCs w:val="24"/>
          <w:highlight w:val="none"/>
          <w:lang w:eastAsia="zh-CN"/>
        </w:rPr>
        <w:t>长武县财政局</w:t>
      </w:r>
      <w:r>
        <w:rPr>
          <w:rFonts w:hint="eastAsia" w:ascii="仿宋" w:hAnsi="仿宋" w:eastAsia="仿宋" w:cs="仿宋"/>
          <w:color w:val="auto"/>
          <w:szCs w:val="24"/>
          <w:highlight w:val="none"/>
        </w:rPr>
        <w:t>的监督管理</w:t>
      </w:r>
      <w:r>
        <w:rPr>
          <w:rFonts w:hint="eastAsia" w:ascii="仿宋" w:hAnsi="仿宋" w:eastAsia="仿宋" w:cs="仿宋"/>
          <w:color w:val="auto"/>
          <w:kern w:val="0"/>
          <w:szCs w:val="24"/>
          <w:highlight w:val="none"/>
        </w:rPr>
        <w:t>下，由</w:t>
      </w:r>
      <w:r>
        <w:rPr>
          <w:rFonts w:hint="eastAsia" w:ascii="仿宋" w:hAnsi="仿宋" w:eastAsia="仿宋" w:cs="仿宋"/>
          <w:color w:val="auto"/>
          <w:kern w:val="0"/>
          <w:szCs w:val="24"/>
          <w:highlight w:val="none"/>
          <w:lang w:eastAsia="zh-CN"/>
        </w:rPr>
        <w:t>华招广和项目管理有限公司</w:t>
      </w:r>
      <w:r>
        <w:rPr>
          <w:rFonts w:hint="eastAsia" w:ascii="仿宋" w:hAnsi="仿宋" w:eastAsia="仿宋" w:cs="仿宋"/>
          <w:color w:val="auto"/>
          <w:kern w:val="0"/>
          <w:szCs w:val="24"/>
          <w:highlight w:val="none"/>
        </w:rPr>
        <w:t>组织公开招标。</w:t>
      </w:r>
      <w:r>
        <w:rPr>
          <w:rFonts w:hint="eastAsia" w:ascii="仿宋" w:hAnsi="仿宋" w:eastAsia="仿宋" w:cs="仿宋"/>
          <w:color w:val="auto"/>
          <w:kern w:val="0"/>
          <w:szCs w:val="24"/>
          <w:highlight w:val="none"/>
          <w:lang w:eastAsia="zh-CN"/>
        </w:rPr>
        <w:t>长武县教育局</w:t>
      </w:r>
      <w:r>
        <w:rPr>
          <w:rFonts w:hint="eastAsia" w:ascii="仿宋" w:hAnsi="仿宋" w:eastAsia="仿宋" w:cs="仿宋"/>
          <w:color w:val="auto"/>
          <w:kern w:val="0"/>
          <w:szCs w:val="24"/>
          <w:highlight w:val="none"/>
        </w:rPr>
        <w:t>(以下简称“买方”)确定 (中标单位名称) （以下简称“卖方”）为中标单位。</w:t>
      </w:r>
    </w:p>
    <w:p>
      <w:pPr>
        <w:keepNext w:val="0"/>
        <w:keepLines w:val="0"/>
        <w:pageBreakBefore w:val="0"/>
        <w:kinsoku/>
        <w:overflowPunct/>
        <w:bidi w:val="0"/>
        <w:spacing w:line="540" w:lineRule="exact"/>
        <w:ind w:right="240" w:rightChars="100" w:firstLine="480" w:firstLineChars="2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依据《</w:t>
      </w:r>
      <w:r>
        <w:rPr>
          <w:rFonts w:hint="eastAsia" w:ascii="仿宋" w:hAnsi="仿宋" w:eastAsia="仿宋" w:cs="仿宋"/>
          <w:color w:val="auto"/>
          <w:kern w:val="0"/>
          <w:szCs w:val="24"/>
          <w:highlight w:val="none"/>
          <w:lang w:eastAsia="zh-CN"/>
        </w:rPr>
        <w:t>中华人民共和国民法典</w:t>
      </w:r>
      <w:r>
        <w:rPr>
          <w:rFonts w:hint="eastAsia" w:ascii="仿宋" w:hAnsi="仿宋" w:eastAsia="仿宋" w:cs="仿宋"/>
          <w:color w:val="auto"/>
          <w:kern w:val="0"/>
          <w:szCs w:val="24"/>
          <w:highlight w:val="none"/>
        </w:rPr>
        <w:t>》、《中华人民共和国政府采购法》《中华人民共和国政府采购法实施条例》，买方通过公开招标采购</w:t>
      </w:r>
      <w:r>
        <w:rPr>
          <w:rFonts w:hint="eastAsia" w:ascii="仿宋" w:hAnsi="仿宋" w:eastAsia="仿宋" w:cs="仿宋"/>
          <w:color w:val="auto"/>
          <w:kern w:val="0"/>
          <w:szCs w:val="24"/>
          <w:highlight w:val="none"/>
          <w:u w:val="single"/>
        </w:rPr>
        <w:t xml:space="preserve">（货物名称） </w:t>
      </w:r>
      <w:r>
        <w:rPr>
          <w:rFonts w:hint="eastAsia" w:ascii="仿宋" w:hAnsi="仿宋" w:eastAsia="仿宋" w:cs="仿宋"/>
          <w:color w:val="auto"/>
          <w:kern w:val="0"/>
          <w:szCs w:val="24"/>
          <w:highlight w:val="none"/>
        </w:rPr>
        <w:t>，并接受了卖方以价格</w:t>
      </w:r>
      <w:r>
        <w:rPr>
          <w:rFonts w:hint="eastAsia" w:ascii="仿宋" w:hAnsi="仿宋" w:eastAsia="仿宋" w:cs="仿宋"/>
          <w:color w:val="auto"/>
          <w:kern w:val="0"/>
          <w:szCs w:val="24"/>
          <w:highlight w:val="none"/>
          <w:u w:val="single"/>
        </w:rPr>
        <w:t>(中标金额大写)</w:t>
      </w:r>
      <w:r>
        <w:rPr>
          <w:rFonts w:hint="eastAsia" w:ascii="仿宋" w:hAnsi="仿宋" w:eastAsia="仿宋" w:cs="仿宋"/>
          <w:color w:val="auto"/>
          <w:kern w:val="0"/>
          <w:szCs w:val="24"/>
          <w:highlight w:val="none"/>
        </w:rPr>
        <w:t>(以下简称“合同价”)提供的产品及服务。</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bookmarkStart w:id="116" w:name="_Toc193187095"/>
      <w:bookmarkStart w:id="117" w:name="_Toc193126879"/>
      <w:bookmarkStart w:id="118" w:name="_Toc188808831"/>
      <w:bookmarkStart w:id="119" w:name="_Toc194663916"/>
      <w:r>
        <w:rPr>
          <w:rFonts w:hint="eastAsia" w:ascii="仿宋" w:hAnsi="仿宋" w:eastAsia="仿宋" w:cs="仿宋"/>
          <w:color w:val="auto"/>
          <w:szCs w:val="24"/>
          <w:highlight w:val="none"/>
        </w:rPr>
        <w:t>本合同在此声明如下：</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1、本合同中的词语和术语的含义与合同条款中定义的相同。</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2、下述文件是本合同的一部分，并与本合同一起阅读和解释：</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1）合同条款</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2）合同条款附件</w:t>
      </w:r>
    </w:p>
    <w:p>
      <w:pPr>
        <w:keepNext w:val="0"/>
        <w:keepLines w:val="0"/>
        <w:pageBreakBefore w:val="0"/>
        <w:kinsoku/>
        <w:overflowPunct/>
        <w:bidi w:val="0"/>
        <w:spacing w:line="540" w:lineRule="exact"/>
        <w:ind w:firstLine="840" w:firstLineChars="35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附件1—设备清单</w:t>
      </w:r>
    </w:p>
    <w:p>
      <w:pPr>
        <w:keepNext w:val="0"/>
        <w:keepLines w:val="0"/>
        <w:pageBreakBefore w:val="0"/>
        <w:kinsoku/>
        <w:overflowPunct/>
        <w:bidi w:val="0"/>
        <w:spacing w:line="540" w:lineRule="exact"/>
        <w:ind w:firstLine="840" w:firstLineChars="35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附件2—质量保证承诺</w:t>
      </w:r>
    </w:p>
    <w:p>
      <w:pPr>
        <w:keepNext w:val="0"/>
        <w:keepLines w:val="0"/>
        <w:pageBreakBefore w:val="0"/>
        <w:kinsoku/>
        <w:overflowPunct/>
        <w:bidi w:val="0"/>
        <w:spacing w:line="540" w:lineRule="exact"/>
        <w:ind w:firstLine="840" w:firstLineChars="35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附件3—售后服务方案</w:t>
      </w:r>
    </w:p>
    <w:p>
      <w:pPr>
        <w:keepNext w:val="0"/>
        <w:keepLines w:val="0"/>
        <w:pageBreakBefore w:val="0"/>
        <w:kinsoku/>
        <w:overflowPunct/>
        <w:bidi w:val="0"/>
        <w:spacing w:line="540" w:lineRule="exact"/>
        <w:ind w:firstLine="840" w:firstLineChars="35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附件4—培训计划</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3）中标通知书</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4）招标文件</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5）投标文件</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3、考虑到买方将按照本合同向卖方支付货款，卖方在此保证全部按照合同的规定向买方提供货物和服务，并修补缺陷。</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4、考虑到卖方提供的货物和服务并修补缺陷，买方在此保证按照合同规定的时间和方式向卖方支付合同价或其他按合同规定应支付的金额。</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5、付款方式：</w:t>
      </w:r>
    </w:p>
    <w:p>
      <w:pPr>
        <w:adjustRightInd w:val="0"/>
        <w:snapToGrid w:val="0"/>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合同签订后甲方支付乙方30%的项目款，项目实施到一半甲方支付乙方40%的项目款，项目实施完毕经验收合格且无争议的情况下付清剩余的项目款。</w:t>
      </w:r>
    </w:p>
    <w:p>
      <w:pPr>
        <w:keepNext w:val="0"/>
        <w:keepLines w:val="0"/>
        <w:pageBreakBefore w:val="0"/>
        <w:kinsoku/>
        <w:overflowPunct/>
        <w:bidi w:val="0"/>
        <w:adjustRightInd w:val="0"/>
        <w:snapToGrid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6、交 货 期：</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w:t>
      </w:r>
    </w:p>
    <w:p>
      <w:pPr>
        <w:keepNext w:val="0"/>
        <w:keepLines w:val="0"/>
        <w:pageBreakBefore w:val="0"/>
        <w:kinsoku/>
        <w:overflowPunct/>
        <w:bidi w:val="0"/>
        <w:adjustRightInd w:val="0"/>
        <w:snapToGrid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交货地点：</w:t>
      </w:r>
      <w:r>
        <w:rPr>
          <w:rFonts w:hint="eastAsia" w:ascii="仿宋" w:hAnsi="仿宋" w:eastAsia="仿宋" w:cs="仿宋"/>
          <w:color w:val="auto"/>
          <w:szCs w:val="24"/>
          <w:highlight w:val="none"/>
          <w:lang w:eastAsia="zh-CN"/>
        </w:rPr>
        <w:t>长武县教育局</w:t>
      </w:r>
      <w:r>
        <w:rPr>
          <w:rFonts w:hint="eastAsia" w:ascii="仿宋" w:hAnsi="仿宋" w:eastAsia="仿宋" w:cs="仿宋"/>
          <w:color w:val="auto"/>
          <w:szCs w:val="24"/>
          <w:highlight w:val="none"/>
        </w:rPr>
        <w:t xml:space="preserve">指定地点。                           </w:t>
      </w:r>
    </w:p>
    <w:p>
      <w:pPr>
        <w:keepNext w:val="0"/>
        <w:keepLines w:val="0"/>
        <w:pageBreakBefore w:val="0"/>
        <w:kinsoku/>
        <w:overflowPunct/>
        <w:bidi w:val="0"/>
        <w:adjustRightInd w:val="0"/>
        <w:snapToGrid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7、本合同一式伍份，其中，买方贰份，卖方贰份，采购代理机构备案壹份。</w:t>
      </w:r>
    </w:p>
    <w:p>
      <w:pPr>
        <w:keepNext w:val="0"/>
        <w:keepLines w:val="0"/>
        <w:pageBreakBefore w:val="0"/>
        <w:kinsoku/>
        <w:overflowPunct/>
        <w:bidi w:val="0"/>
        <w:adjustRightInd w:val="0"/>
        <w:snapToGrid w:val="0"/>
        <w:spacing w:line="540" w:lineRule="exact"/>
        <w:ind w:firstLine="480" w:firstLineChars="2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8、本合同由买卖双方共同签字盖章，自买卖双方签字盖章之日起生效。</w:t>
      </w:r>
    </w:p>
    <w:tbl>
      <w:tblPr>
        <w:tblStyle w:val="24"/>
        <w:tblpPr w:leftFromText="180" w:rightFromText="180" w:vertAnchor="text" w:horzAnchor="margin" w:tblpX="406" w:tblpY="58"/>
        <w:tblOverlap w:val="never"/>
        <w:tblW w:w="16233" w:type="dxa"/>
        <w:tblInd w:w="0" w:type="dxa"/>
        <w:tblLayout w:type="fixed"/>
        <w:tblCellMar>
          <w:top w:w="0" w:type="dxa"/>
          <w:left w:w="108" w:type="dxa"/>
          <w:bottom w:w="0" w:type="dxa"/>
          <w:right w:w="108" w:type="dxa"/>
        </w:tblCellMar>
      </w:tblPr>
      <w:tblGrid>
        <w:gridCol w:w="4425"/>
        <w:gridCol w:w="3936"/>
        <w:gridCol w:w="3936"/>
        <w:gridCol w:w="3936"/>
      </w:tblGrid>
      <w:tr>
        <w:tblPrEx>
          <w:tblCellMar>
            <w:top w:w="0" w:type="dxa"/>
            <w:left w:w="108" w:type="dxa"/>
            <w:bottom w:w="0" w:type="dxa"/>
            <w:right w:w="108" w:type="dxa"/>
          </w:tblCellMar>
        </w:tblPrEx>
        <w:trPr>
          <w:trHeight w:val="3093" w:hRule="atLeast"/>
        </w:trPr>
        <w:tc>
          <w:tcPr>
            <w:tcW w:w="4425" w:type="dxa"/>
            <w:tcMar>
              <w:top w:w="113" w:type="dxa"/>
              <w:left w:w="113" w:type="dxa"/>
              <w:bottom w:w="113" w:type="dxa"/>
              <w:right w:w="113" w:type="dxa"/>
            </w:tcMar>
          </w:tcPr>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买方名称：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地    址：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邮    编：</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电    话：</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传    真：</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代表签字：</w:t>
            </w:r>
          </w:p>
          <w:p>
            <w:pPr>
              <w:keepNext w:val="0"/>
              <w:keepLines w:val="0"/>
              <w:pageBreakBefore w:val="0"/>
              <w:kinsoku/>
              <w:overflowPunct/>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盖章：</w:t>
            </w:r>
          </w:p>
          <w:p>
            <w:pPr>
              <w:keepNext w:val="0"/>
              <w:keepLines w:val="0"/>
              <w:pageBreakBefore w:val="0"/>
              <w:kinsoku/>
              <w:overflowPunct/>
              <w:autoSpaceDE w:val="0"/>
              <w:autoSpaceDN w:val="0"/>
              <w:bidi w:val="0"/>
              <w:spacing w:line="540" w:lineRule="exact"/>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年  月  日     </w:t>
            </w:r>
          </w:p>
        </w:tc>
        <w:tc>
          <w:tcPr>
            <w:tcW w:w="3936" w:type="dxa"/>
            <w:tcMar>
              <w:top w:w="113" w:type="dxa"/>
              <w:left w:w="113" w:type="dxa"/>
              <w:bottom w:w="113" w:type="dxa"/>
              <w:right w:w="113" w:type="dxa"/>
            </w:tcMar>
          </w:tcPr>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卖方名称：</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地    址：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邮    编：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电    话：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传    真：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开户银行：</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帐    号：</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代表签字</w:t>
            </w:r>
          </w:p>
          <w:p>
            <w:pPr>
              <w:keepNext w:val="0"/>
              <w:keepLines w:val="0"/>
              <w:pageBreakBefore w:val="0"/>
              <w:kinsoku/>
              <w:overflowPunct/>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盖章：</w:t>
            </w:r>
          </w:p>
          <w:p>
            <w:pPr>
              <w:keepNext w:val="0"/>
              <w:keepLines w:val="0"/>
              <w:pageBreakBefore w:val="0"/>
              <w:kinsoku/>
              <w:overflowPunct/>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年  月  日</w:t>
            </w:r>
          </w:p>
        </w:tc>
        <w:tc>
          <w:tcPr>
            <w:tcW w:w="3936" w:type="dxa"/>
            <w:tcMar>
              <w:top w:w="113" w:type="dxa"/>
              <w:left w:w="113" w:type="dxa"/>
              <w:bottom w:w="113" w:type="dxa"/>
              <w:right w:w="113" w:type="dxa"/>
            </w:tcMar>
          </w:tcPr>
          <w:p>
            <w:pPr>
              <w:keepNext w:val="0"/>
              <w:keepLines w:val="0"/>
              <w:pageBreakBefore w:val="0"/>
              <w:kinsoku/>
              <w:overflowPunct/>
              <w:bidi w:val="0"/>
              <w:spacing w:line="540" w:lineRule="exact"/>
              <w:ind w:left="240" w:leftChars="100"/>
              <w:textAlignment w:val="auto"/>
              <w:rPr>
                <w:rFonts w:hint="eastAsia" w:ascii="仿宋" w:hAnsi="仿宋" w:eastAsia="仿宋" w:cs="仿宋"/>
                <w:color w:val="auto"/>
                <w:szCs w:val="24"/>
                <w:highlight w:val="none"/>
              </w:rPr>
            </w:pPr>
          </w:p>
        </w:tc>
        <w:tc>
          <w:tcPr>
            <w:tcW w:w="3936" w:type="dxa"/>
            <w:tcMar>
              <w:top w:w="113" w:type="dxa"/>
              <w:left w:w="113" w:type="dxa"/>
              <w:bottom w:w="113" w:type="dxa"/>
              <w:right w:w="113" w:type="dxa"/>
            </w:tcMar>
          </w:tcPr>
          <w:p>
            <w:pPr>
              <w:keepNext w:val="0"/>
              <w:keepLines w:val="0"/>
              <w:pageBreakBefore w:val="0"/>
              <w:kinsoku/>
              <w:overflowPunct/>
              <w:bidi w:val="0"/>
              <w:spacing w:line="540" w:lineRule="exact"/>
              <w:ind w:left="240" w:leftChars="100"/>
              <w:textAlignment w:val="auto"/>
              <w:rPr>
                <w:rFonts w:hint="eastAsia" w:ascii="仿宋" w:hAnsi="仿宋" w:eastAsia="仿宋" w:cs="仿宋"/>
                <w:color w:val="auto"/>
                <w:szCs w:val="24"/>
                <w:highlight w:val="none"/>
              </w:rPr>
            </w:pPr>
          </w:p>
        </w:tc>
      </w:tr>
      <w:bookmarkEnd w:id="116"/>
      <w:bookmarkEnd w:id="117"/>
      <w:bookmarkEnd w:id="118"/>
      <w:bookmarkEnd w:id="119"/>
    </w:tbl>
    <w:p>
      <w:pPr>
        <w:spacing w:line="560" w:lineRule="exact"/>
        <w:rPr>
          <w:rFonts w:hint="eastAsia" w:ascii="仿宋" w:hAnsi="仿宋" w:eastAsia="仿宋" w:cs="仿宋"/>
          <w:color w:val="auto"/>
          <w:szCs w:val="24"/>
          <w:highlight w:val="none"/>
        </w:rPr>
      </w:pPr>
    </w:p>
    <w:p>
      <w:pPr>
        <w:rPr>
          <w:rFonts w:hint="eastAsia" w:ascii="仿宋" w:hAnsi="仿宋" w:eastAsia="仿宋" w:cs="仿宋"/>
          <w:color w:val="auto"/>
          <w:szCs w:val="24"/>
          <w:highlight w:val="none"/>
        </w:rPr>
      </w:pPr>
      <w:r>
        <w:rPr>
          <w:rFonts w:hint="eastAsia" w:ascii="仿宋" w:hAnsi="仿宋" w:eastAsia="仿宋" w:cs="仿宋"/>
          <w:color w:val="auto"/>
          <w:szCs w:val="24"/>
          <w:highlight w:val="none"/>
        </w:rPr>
        <w:br w:type="page"/>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二、合同条款</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1、定义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本合同下列术语应解释为：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1-1、“合同”系指买卖双方签署的、合同格式中载明的买卖双方所达成的协议，包括所有的附件、附录和招标文件所提到的构成合同的所有文件。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1-2、“合同价”系指根据本合同规定卖方在正确地完全履行合同义务后买方应支付给卖方的价款。</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1-3、“货物”系指卖方根据本合同规定须向买方提供的一切产品、部件或其它材料。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1-4、“服务”系指根据本合同规定卖方承担与供货有关的辅助服务如运输、保险以及其它的伴随服务，例如调试、提供技术援助、培训和合同中规定卖方应承担的其它义务。</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1-5、“</w:t>
      </w:r>
      <w:r>
        <w:rPr>
          <w:rFonts w:hint="eastAsia" w:ascii="仿宋" w:hAnsi="仿宋" w:eastAsia="仿宋" w:cs="仿宋"/>
          <w:color w:val="auto"/>
          <w:kern w:val="0"/>
          <w:szCs w:val="24"/>
          <w:highlight w:val="none"/>
        </w:rPr>
        <w:t>项目现场”系指本合同项下货物安装、运行的场地。</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1-6、“合同条款”系指本合同条款。</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1-7、“买方”是指购买货物和服务的单位即</w:t>
      </w:r>
      <w:r>
        <w:rPr>
          <w:rFonts w:hint="eastAsia" w:ascii="仿宋" w:hAnsi="仿宋" w:eastAsia="仿宋" w:cs="仿宋"/>
          <w:color w:val="auto"/>
          <w:szCs w:val="24"/>
          <w:highlight w:val="none"/>
          <w:lang w:eastAsia="zh-CN"/>
        </w:rPr>
        <w:t>长武县教育局</w:t>
      </w:r>
      <w:r>
        <w:rPr>
          <w:rFonts w:hint="eastAsia" w:ascii="仿宋" w:hAnsi="仿宋" w:eastAsia="仿宋" w:cs="仿宋"/>
          <w:color w:val="auto"/>
          <w:szCs w:val="24"/>
          <w:highlight w:val="none"/>
        </w:rPr>
        <w:t>。</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1-8、“卖方”是指提供本合同内的货物和服务的公司或其它实体即中标人。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1-9、“天”指日历天数。</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2、适用性</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本合同条款适用于没有被本项目招标文件规定条款、卖方的投标文件承诺条款所取代的范围。</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3、</w:t>
      </w:r>
      <w:r>
        <w:rPr>
          <w:rFonts w:hint="eastAsia" w:ascii="仿宋" w:hAnsi="仿宋" w:eastAsia="仿宋" w:cs="仿宋"/>
          <w:color w:val="auto"/>
          <w:szCs w:val="24"/>
          <w:highlight w:val="none"/>
        </w:rPr>
        <w:t>使用合同文件和资料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-1、没有买方事先书面同意，卖方不得将买方或代表买方提供的有关合同或任何合同条文、规格、计划、图纸、模型或资料提供给与履行本合同无关的任何其他人，即使向与履行本合同有关的人员提供，也应注意保密并限于履行合同必须的范围。</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3-2、没有买方事先书面同意，除了履行本合同之外，卖方不应使用合同条款第3-1条所列举的任何文件和资料。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3-3、除了合同本身以外，合同条款第3-1条所列举的任何文件是买方的财产。如果买方有要求，卖方在完成合同后应将这些文件及全部复制件还给买方。</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4、专利权</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卖方应保证，买方在使用该产品或产品的任何一部分，免受第三方提出的侵犯（其专利权）、商标权、著作权或其它知识产权的起诉。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5、技术规格</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本合同下交付的货物必须等同或优于本项目招标文件《技术规格与要求》所述的标准。若卖方在其投标文件中承诺的技术标准优于本项目招标文件《技术规格与要求》所述标准的，按投标文件的承诺执行。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6、检验和测试</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6-1、买方或其代表应有权检验和测试产品及其部件，以确认所供产品是否符合合同规格的要求，并且不承担额外的费用。买方要求进行的检验和测试，以及在何处进行这些检验和测试，以书面形式通知卖方。</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6-2、检验和测试在买方指定的交货地点进行。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6-3、如果任何被检验或测试的产品或部件不能满足招标文件及合同的要求，买方可以拒绝接受该产品或部件，卖方应更换被拒绝的产品或部件，或者免费进行必要的修改以满足规格的要求。</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-4、在交货前，卖方应让制造商对产品及其部件的质量、规格、性能、数量和重量等进行详细而全面的检验，并出具一份证明符合合同规定的检验证书，检验证书是验收文件的一个组成部分，但不能作为有关质量、规格、性能、数量和重量的最终检验，制造商检验的结果和细节应附在质量检验证书后面。</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6-5、如果在产品使用寿命期内，根据检验结果，发现产品的质量或规格与合同要求不符，或被证实有缺陷，包含潜在的缺陷或使用不合适的材料，买方应向卖方提出索赔。</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7、包装及运输</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7-1、卖方负责货物到达交货地点前的所有包装、运输、装卸及保险事项，相关费用应包括在合同总价中。</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7-2、卖方应提供货物运至合同规定的最终目的地所需要的包装，以防止货物在运转中损坏。这类包装应采取防漏、防晒、防腐蚀、防震动及防止其它损坏的必要保护措施。卖方应承担由于其包装或其防护措施不妥而引起货物锈蚀、损坏和丢失的任何损失责任和费用。</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7-3、货物的运输方式由卖方自行选择，但包装必须满足货物运输和装卸的要求，保证买方收到的是无任何损伤的货物。否则，因此造成的损失由卖方自行承担。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8、伴随服务</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8-1、卖方必须在合同生效后三十 (30)天内向买方提交所供货物的技术文件（中文技术文件），例如：产品说明、图纸、操作手册、使用说明、维护手册和／或服务指南等。</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8-2、卖方应向买方提供下列所有服务，包括本项目招标文件“商务条款”与“技术规格与要求”中规定的附加服务（如果有的话）：</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（1）实施或监督所供货物的现场组装 和/或试运行；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（2）提供货物组装 和/或 维修所需的工具；</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（3）为所供货物的每一适当的单台设备提供详细的操作和维护手册；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 xml:space="preserve">（4）在双方商定的一定期限内对所供货物实施运行或监督或维护或修理，但前提条件是该服务并不能免除卖方在合同保证期内所承担的义务；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（5）在卖方或制造厂和/或在项目现场就所供货物的组装、试运行、运行、维护和/或修理、软硬件升级对买方人员进行培训。</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8-3、卖方应提供本项目招标文件“商务条款”和“技术规格与要求”中规定的所有服务。为履行要求的伴随服务的报价或双方商定的费用应包括在合同价中。</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8-4、如果卖方或制造厂提供的伴随服务的费用未含在货物的合同价中，双方应事先就其达成协议，但其费用单价不应超过卖方向其他人提供类似服务所收取的现行单价。</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9、备品备件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9-1、卖方可能被要求提供下列与备品备件有关的材料、通知和资料：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（1）买方从卖方选购备品备件，但前提条件是该选择并不能免除卖方在合同保证期内所承担的义务；</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（2）在备品备件停止生产的情况下，卖方应事先将要停止生产的计划通知买方使买方有足够的时间采购所需的备品备件；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（3）在备品备件停止生产后，如果买方要求，卖方应免费向买方提供备品备件的蓝图、图纸和规格。</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9-2、卖方应按照本项目招标文件“商务条款”和“技术规格与要求”中的规定提供所需的备品备件。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10、质量保证</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10-1、质量保证期为终验合格之日起</w:t>
      </w:r>
      <w:r>
        <w:rPr>
          <w:rFonts w:hint="eastAsia" w:ascii="仿宋" w:hAnsi="仿宋" w:eastAsia="仿宋" w:cs="仿宋"/>
          <w:color w:val="auto"/>
          <w:kern w:val="0"/>
          <w:szCs w:val="24"/>
          <w:highlight w:val="none"/>
          <w:u w:val="single"/>
        </w:rPr>
        <w:t xml:space="preserve">   </w:t>
      </w:r>
      <w:r>
        <w:rPr>
          <w:rFonts w:hint="eastAsia" w:ascii="仿宋" w:hAnsi="仿宋" w:eastAsia="仿宋" w:cs="仿宋"/>
          <w:color w:val="auto"/>
          <w:kern w:val="0"/>
          <w:szCs w:val="24"/>
          <w:highlight w:val="none"/>
        </w:rPr>
        <w:t>个月。</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-2、卖方应保证合同项下所供货物是合同规定厂家制造的、全新的、未使用过的，并完全符合合同规定的质量、规格和性能要求的合格产品。卖方应保证其货物在正确安装、正常使用和保养条件下，在其使用寿命期内应具有满意的性能。在货物的质量保证期内，卖方对由于设计、工艺或材料的缺陷而产生的故障负责。</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10-3、根据检验结果或者在质量保证期内，如果货物的数量、质量或规格与合同不符，或证实货物是有缺陷的，包括潜在的缺陷，买方应尽快以书面形式向卖方提出所发现的缺陷。</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10-4、卖方收到通知后应在招标文件规定的时间内以合理的速度免费维修或更换有缺陷的货物或部件。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10-5、如果卖方收到通知后在招标文件规定的时间内没有及时修补缺陷，买方可提出索赔，并可采取必要的补救措施，但其风险和费用将由卖方承担，买方根据合同规定对卖方行使的其他权力不受影响。</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11、索赔</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11-1、如果卖方对偏差负有责任，而买方在安装、调试、验收和质量保证期内提出了索赔，卖方应按照买方同意的下列一种或几种方式结合起来解决索赔事宜：</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卖方同意退货并用合同规定的货币将货款退还给买方，并承担由此发生的一切损失和费用，包括利息、银行手续费、运费、保险费、检验费、仓储费、装卸费以及为看管和保护退回货物所需的其它必要费用。</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（2）根据货物的偏差情况、损坏程度、以及买方所遭受损失的金额，经买卖双方商定降低货物的价格。</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用符合合同规定的规格、质量和性能要求的新零件、部件和/或设备来更换有缺陷的部分和/或修补缺陷部分，卖方应承担一切费用和风险并负担买方蒙受的全部直接损失费用。同时，卖方应按合同条款第10-1条规定，相应延长所更换货物的质量保证期。</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11-2、如果在买方发出索赔通知后三十（30）天内，卖方未作答复，上述索赔应视为已被卖方接受。如卖方未能在买方发出索赔通知后三十（30）天内或买方同意的延长期限内，按照买方同意的上述规定的任何一种方法解决索赔事宜，买方将从未付货款或从卖方交纳的履约保证金中扣回索赔金额。若索赔金额超过未付货款或履约保证金的，卖方必须用已收货款进行弥补。</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12、变更指令</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12-1、买方可以在任何时候书面向卖方发出指令，在本合同的一般范围内变更下述一项或几项：</w:t>
      </w:r>
    </w:p>
    <w:p>
      <w:pPr>
        <w:autoSpaceDN w:val="0"/>
        <w:adjustRightInd w:val="0"/>
        <w:spacing w:line="560" w:lineRule="exact"/>
        <w:ind w:firstLine="480" w:firstLineChars="200"/>
        <w:rPr>
          <w:rFonts w:hint="eastAsia" w:ascii="仿宋" w:hAnsi="仿宋" w:eastAsia="仿宋" w:cs="仿宋"/>
          <w:color w:val="auto"/>
          <w:spacing w:val="-4"/>
          <w:kern w:val="0"/>
          <w:szCs w:val="24"/>
          <w:highlight w:val="none"/>
        </w:rPr>
      </w:pPr>
      <w:r>
        <w:rPr>
          <w:rFonts w:hint="eastAsia" w:ascii="仿宋" w:hAnsi="仿宋" w:eastAsia="仿宋" w:cs="仿宋"/>
          <w:color w:val="auto"/>
          <w:kern w:val="0"/>
          <w:szCs w:val="24"/>
          <w:highlight w:val="none"/>
        </w:rPr>
        <w:t>（1）</w:t>
      </w:r>
      <w:r>
        <w:rPr>
          <w:rFonts w:hint="eastAsia" w:ascii="仿宋" w:hAnsi="仿宋" w:eastAsia="仿宋" w:cs="仿宋"/>
          <w:color w:val="auto"/>
          <w:spacing w:val="-4"/>
          <w:kern w:val="0"/>
          <w:szCs w:val="24"/>
          <w:highlight w:val="none"/>
        </w:rPr>
        <w:t>本合同项下提供的货物是专为买方制造时，变更图纸、设计或规格；</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（2）运输或包装的方法；</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（3）交货地点；</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（4）卖方提供的服务。</w:t>
      </w:r>
    </w:p>
    <w:p>
      <w:pPr>
        <w:autoSpaceDN w:val="0"/>
        <w:adjustRightInd w:val="0"/>
        <w:spacing w:line="560" w:lineRule="exact"/>
        <w:ind w:firstLine="464" w:firstLineChars="200"/>
        <w:rPr>
          <w:rFonts w:hint="eastAsia" w:ascii="仿宋" w:hAnsi="仿宋" w:eastAsia="仿宋" w:cs="仿宋"/>
          <w:color w:val="auto"/>
          <w:kern w:val="0"/>
          <w:szCs w:val="24"/>
          <w:highlight w:val="none"/>
        </w:rPr>
      </w:pPr>
      <w:r>
        <w:rPr>
          <w:rFonts w:hint="eastAsia" w:ascii="仿宋" w:hAnsi="仿宋" w:eastAsia="仿宋" w:cs="仿宋"/>
          <w:color w:val="auto"/>
          <w:spacing w:val="-4"/>
          <w:kern w:val="0"/>
          <w:szCs w:val="24"/>
          <w:highlight w:val="none"/>
        </w:rPr>
        <w:t>12-2、</w:t>
      </w:r>
      <w:r>
        <w:rPr>
          <w:rFonts w:hint="eastAsia" w:ascii="仿宋" w:hAnsi="仿宋" w:eastAsia="仿宋" w:cs="仿宋"/>
          <w:color w:val="auto"/>
          <w:kern w:val="0"/>
          <w:szCs w:val="24"/>
          <w:highlight w:val="none"/>
        </w:rPr>
        <w:t>如果上述变更使卖方履行合同义务的费用或时间增加或减少，将对合同价或交货时间或两者进行公平的调整，同时相应修改合同。卖方根据本条进行调整的要求必须在收到买方的变更指令后三十（30）天内提出。</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13、合同修改</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除了合同条款第12条的情况，不应对合同条款进行任何变更或修改，除非双方同意并签订书面的合同修改书。</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14、转让</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未经买方事先书面同意，卖方不得部分转让或全部转让其应履行的合同义务。</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15、卖方履约延误</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15-1、卖方应按照本项目招标文件“商务条款”中规定的交货时间交货和提供服务。</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15-2、在履行合同过程中，如果卖方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15-3、除合同条款第20条规定的情况外,除非拖延是根据合同条款第15-2条的规定取得同意而不收取误期赔偿费之外，卖方延误交货，将按合同条款第17条的规定被收取误期赔偿费。</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16、验收</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16-1、项目验收分初验和终验: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初验：货物到达交货地点后，由使用单位根据合同对货物（设备）的名称、品牌、规格、型号、产地、数量进行检查。</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终验：所有货物(设备)安装、调试完毕，正常使用10个日历日后，由采购人进行终验（最终验收），合格后签发《终验合格单》。</w:t>
      </w:r>
      <w:r>
        <w:rPr>
          <w:rFonts w:hint="eastAsia" w:ascii="仿宋" w:hAnsi="仿宋" w:eastAsia="仿宋" w:cs="仿宋"/>
          <w:color w:val="auto"/>
          <w:szCs w:val="24"/>
          <w:highlight w:val="none"/>
        </w:rPr>
        <w:cr/>
      </w:r>
      <w:r>
        <w:rPr>
          <w:rFonts w:hint="eastAsia" w:ascii="仿宋" w:hAnsi="仿宋" w:eastAsia="仿宋" w:cs="仿宋"/>
          <w:color w:val="auto"/>
          <w:szCs w:val="24"/>
          <w:highlight w:val="none"/>
        </w:rPr>
        <w:t xml:space="preserve">    16-2、验收不合格的中标单位，必须在接到通知后7个日历日内确保货物通过验收。如接到通知后7个日历日内验收仍不合格，采购人可提出索赔或取消其供货合同。采购代理机构将把成交资格授予评审排序下一名的成交单位。</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16-3、验收依据</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（1）合同文本及合同补充文件（条款）； </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（2）产品的合法来源渠道证明文件、响应功能证明材料；</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（3）招标文件；</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（4）中标人的投标文件；</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（5）货物清单；</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（6）生产厂家的企业资质、货物的执行标准。</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17、误期赔偿费</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除合同条款第19条规定的情况外，如果卖方没有按照合同规定的时间交货和提供服务，买方应在不影响</w:t>
      </w:r>
      <w:r>
        <w:rPr>
          <w:rFonts w:hint="eastAsia" w:ascii="仿宋" w:hAnsi="仿宋" w:eastAsia="仿宋" w:cs="仿宋"/>
          <w:color w:val="auto"/>
          <w:kern w:val="0"/>
          <w:szCs w:val="24"/>
          <w:highlight w:val="none"/>
        </w:rPr>
        <w:t>合同项下的其他补救措施的情况下，从合同价中扣除误期赔偿费。每延误一周的赔偿费按合同价的0.5％计收，直至交货或提供服务为止。误期赔偿费的最高限额为合同价格的百分之五（5%）。一旦达到误期赔偿费的最高限额，买方可考虑根据合同条款18条的规定终止合同。</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18、违约终止合同</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18-1、在买方对卖方违约而采取的任何补救措施不受影响的情况下，买方可向卖方发出书面违约通知书，提出终止部分或全部合同：</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（1）如果卖方未能在合同规定的期限内或买方根据合同条款第15-2条的规定同意延长的期限内提供部分或全部货物；或</w:t>
      </w:r>
      <w:r>
        <w:rPr>
          <w:rFonts w:hint="eastAsia" w:ascii="仿宋" w:hAnsi="仿宋" w:eastAsia="仿宋" w:cs="仿宋"/>
          <w:color w:val="auto"/>
          <w:szCs w:val="24"/>
          <w:highlight w:val="none"/>
        </w:rPr>
        <w:t>误期赔偿费达到最高限额。</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（2）如果卖方未能履行合同规定的其它任何义务。</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（3）如果买方认为卖方在本合同的竞争和实施过程中有腐败和欺诈行为。为此目的，定义下述条件：</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“腐败行为”是指提供、给予、接受或索取任何有价值的物品来影响买方在采购过程或合同实施过程中的行为。</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“欺诈行为”是指为了影响采购过程或合同实施过程而谎报或隐瞒事实，损害买方利益的行为。</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18-2、如果买方根据上述第18-1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tabs>
          <w:tab w:val="left" w:pos="5700"/>
        </w:tabs>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19、不可抗力</w:t>
      </w:r>
      <w:r>
        <w:rPr>
          <w:rFonts w:hint="eastAsia" w:ascii="仿宋" w:hAnsi="仿宋" w:eastAsia="仿宋" w:cs="仿宋"/>
          <w:color w:val="auto"/>
          <w:kern w:val="0"/>
          <w:szCs w:val="24"/>
          <w:highlight w:val="none"/>
        </w:rPr>
        <w:tab/>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19-1、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19-2、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19-3、因合同一方迟延履行合同后发生不可抗力的，不能免除迟延履行方的相应责任。</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20、因破产而终止合同</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如果卖方破产或无清偿能力，买方可在任何时候以书面形式通知卖方，提出终止合同而不给卖方补偿。该合同的终止将不损害或影响买方已经采取或将要采取的任何行动或补救措施的权力。</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21、因买方的便利而终止合同</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21-1、买方可在任何时候出于自身的便利向卖方发出书面通知全部或部分终止合同，终止通知应明确该终止合同是出于买方的便利，并明确合同终止的程度，以及终止的生效日期。</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21-2、对卖方收到终止通知后三十（30）天内已完成并准备装运的货物，买方应按原合同价格和条款予以接收，对于剩下的货物，买方可：</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（1）仅对部分货物按照原来的合同价格和条款予以接受；</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（2）取消对所剩货物的采购，并按双方商定的金额向卖方支付部分完成的货物和服务以及卖方以前已采购的材料和部件的费用。</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22、争议的解决</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因执行本合同所发生的或与本合同有关的一切争议,双方应通过友好协商解决。如果协商开始后六十（60）天还不能解决，双方可依以下一种方式解决：</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22-1、双方达成仲裁协议，向约定的仲裁委员会申请仲裁。</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22-2、向有管辖权的人民法院起诉。</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23、适用法律</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本合同应按照中华人民共和国的现行法律进行解释。</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24、通知</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24-1、本合同一方给对方的通知应用书面形式送到合同专用条款中规定的对方的地址。传真要经书面确认。</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24-2、通知以送到日期或通知书的生效日期为生效日期，两者中以晚的一个日期为准。</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25、税款</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25-1、按照中华人民共和国税法和有关部门的规定，买方需交纳的与本合同有关的一切税费均应由买方负担。</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25-2、按照中华人民共和国税法和有关部门的规定，卖方需交纳的与本合同有关的一切税费均应由卖方负担。</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26、合同生效</w:t>
      </w:r>
    </w:p>
    <w:p>
      <w:pPr>
        <w:adjustRightInd w:val="0"/>
        <w:snapToGrid w:val="0"/>
        <w:spacing w:line="560" w:lineRule="exact"/>
        <w:ind w:firstLine="480" w:firstLineChars="200"/>
        <w:rPr>
          <w:rFonts w:hint="eastAsia" w:ascii="仿宋" w:hAnsi="仿宋" w:eastAsia="仿宋" w:cs="仿宋"/>
          <w:b/>
          <w:color w:val="auto"/>
          <w:sz w:val="18"/>
          <w:szCs w:val="18"/>
          <w:highlight w:val="none"/>
          <w:u w:color="FF0000"/>
        </w:rPr>
      </w:pPr>
      <w:r>
        <w:rPr>
          <w:rFonts w:hint="eastAsia" w:ascii="仿宋" w:hAnsi="仿宋" w:eastAsia="仿宋" w:cs="仿宋"/>
          <w:color w:val="auto"/>
          <w:kern w:val="0"/>
          <w:szCs w:val="24"/>
          <w:highlight w:val="none"/>
        </w:rPr>
        <w:t>本合同由买卖双方共同签字盖章，自买卖双方签字盖章之日起生效。</w:t>
      </w:r>
    </w:p>
    <w:p>
      <w:pPr>
        <w:adjustRightInd w:val="0"/>
        <w:snapToGrid w:val="0"/>
        <w:spacing w:line="560" w:lineRule="exact"/>
        <w:ind w:firstLine="361" w:firstLineChars="200"/>
        <w:rPr>
          <w:rFonts w:hint="eastAsia" w:ascii="仿宋" w:hAnsi="仿宋" w:eastAsia="仿宋" w:cs="仿宋"/>
          <w:b/>
          <w:color w:val="auto"/>
          <w:sz w:val="18"/>
          <w:szCs w:val="18"/>
          <w:highlight w:val="none"/>
          <w:u w:color="FF0000"/>
        </w:rPr>
      </w:pPr>
      <w:r>
        <w:rPr>
          <w:rFonts w:hint="eastAsia" w:ascii="仿宋" w:hAnsi="仿宋" w:eastAsia="仿宋" w:cs="仿宋"/>
          <w:b/>
          <w:color w:val="auto"/>
          <w:sz w:val="18"/>
          <w:szCs w:val="18"/>
          <w:highlight w:val="none"/>
          <w:u w:color="FF0000"/>
        </w:rPr>
        <w:br w:type="page"/>
      </w:r>
    </w:p>
    <w:p>
      <w:pPr>
        <w:pStyle w:val="3"/>
        <w:numPr>
          <w:ilvl w:val="0"/>
          <w:numId w:val="7"/>
        </w:numPr>
        <w:spacing w:line="560" w:lineRule="exact"/>
        <w:jc w:val="center"/>
        <w:rPr>
          <w:rFonts w:hint="eastAsia" w:ascii="仿宋" w:hAnsi="仿宋" w:eastAsia="仿宋" w:cs="仿宋"/>
          <w:color w:val="auto"/>
          <w:highlight w:val="none"/>
        </w:rPr>
      </w:pPr>
      <w:bookmarkStart w:id="120" w:name="_Toc458617747"/>
      <w:bookmarkStart w:id="121" w:name="_Toc458617470"/>
      <w:r>
        <w:rPr>
          <w:rFonts w:hint="eastAsia" w:ascii="仿宋" w:hAnsi="仿宋" w:eastAsia="仿宋" w:cs="仿宋"/>
          <w:color w:val="auto"/>
          <w:highlight w:val="none"/>
        </w:rPr>
        <w:t xml:space="preserve"> </w:t>
      </w:r>
      <w:bookmarkStart w:id="122" w:name="_Toc19489"/>
      <w:r>
        <w:rPr>
          <w:rFonts w:hint="eastAsia" w:ascii="仿宋" w:hAnsi="仿宋" w:eastAsia="仿宋" w:cs="仿宋"/>
          <w:color w:val="auto"/>
          <w:highlight w:val="none"/>
        </w:rPr>
        <w:t>投标文件格式</w:t>
      </w:r>
      <w:bookmarkEnd w:id="120"/>
      <w:bookmarkEnd w:id="121"/>
      <w:bookmarkEnd w:id="122"/>
    </w:p>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投标文件编制说明</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1、投标文件应当按照招标文件给定的格式和要求编制，格式之外的可自行编写。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人必须按照招标文件的规定和要求在投标文件中指定的页面落款处加盖公章（鲜章）并由法定代表人或被授权人签字（或盖章）。招标文件凡是要求法定代表人签字或盖章之处，非法人单位的负责人均参照执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3、纸质投标文件均须A4纸打印（提倡双面打印），分别各自装订成册并编制目录和页码，产品彩页、厂家授权等证明材料原件除外。</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4、投标文件正本中的法人授权书须为原件，其它资质证明文件为复印件加盖投标人公章（鲜章）。副本可以是正本的复印件。</w:t>
      </w:r>
    </w:p>
    <w:p>
      <w:pPr>
        <w:spacing w:line="560" w:lineRule="exact"/>
        <w:ind w:left="240" w:leftChars="100"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p>
    <w:p>
      <w:pPr>
        <w:pStyle w:val="11"/>
        <w:rPr>
          <w:rFonts w:hint="eastAsia" w:ascii="仿宋" w:hAnsi="仿宋" w:eastAsia="仿宋" w:cs="仿宋"/>
          <w:color w:val="auto"/>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pStyle w:val="11"/>
        <w:rPr>
          <w:rFonts w:hint="eastAsia" w:ascii="仿宋" w:hAnsi="仿宋" w:eastAsia="仿宋" w:cs="仿宋"/>
          <w:color w:val="auto"/>
          <w:highlight w:val="none"/>
        </w:rPr>
      </w:pPr>
    </w:p>
    <w:p>
      <w:pPr>
        <w:spacing w:line="640" w:lineRule="exac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                                   </w:t>
      </w:r>
    </w:p>
    <w:p>
      <w:pP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pPr>
        <w:spacing w:line="640" w:lineRule="exact"/>
        <w:jc w:val="right"/>
        <w:rPr>
          <w:rFonts w:hint="eastAsia" w:ascii="仿宋" w:hAnsi="仿宋" w:eastAsia="仿宋" w:cs="仿宋"/>
          <w:b/>
          <w:color w:val="auto"/>
          <w:sz w:val="36"/>
          <w:szCs w:val="36"/>
          <w:highlight w:val="none"/>
        </w:rPr>
      </w:pPr>
      <w:r>
        <w:rPr>
          <w:rFonts w:hint="eastAsia" w:ascii="仿宋" w:hAnsi="仿宋" w:eastAsia="仿宋" w:cs="仿宋"/>
          <w:color w:val="auto"/>
          <w:sz w:val="36"/>
          <w:highlight w:val="none"/>
        </w:rPr>
        <w:pict>
          <v:shape id="_x0000_s2053" o:spid="_x0000_s2053" o:spt="202" type="#_x0000_t202" style="position:absolute;left:0pt;margin-left:326.1pt;margin-top:12pt;height:29.15pt;width:117.7pt;z-index:251671552;mso-width-relative:page;mso-height-relative:page;" fillcolor="#FFFFFF" filled="t" stroked="t" coordsize="21600,21600">
            <v:path/>
            <v:fill on="t" color2="#FFFFFF" focussize="0,0"/>
            <v:stroke color="#000000"/>
            <v:imagedata o:title=""/>
            <o:lock v:ext="edit" aspectratio="f"/>
            <v:textbox>
              <w:txbxContent>
                <w:p>
                  <w:pPr>
                    <w:jc w:val="center"/>
                    <w:rPr>
                      <w:rFonts w:hint="eastAsia" w:ascii="仿宋" w:hAnsi="仿宋" w:eastAsia="仿宋" w:cs="仿宋"/>
                      <w:sz w:val="32"/>
                      <w:szCs w:val="28"/>
                      <w:lang w:eastAsia="zh-CN"/>
                    </w:rPr>
                  </w:pPr>
                  <w:r>
                    <w:rPr>
                      <w:rFonts w:hint="eastAsia" w:ascii="仿宋" w:hAnsi="仿宋" w:eastAsia="仿宋" w:cs="仿宋"/>
                      <w:b/>
                      <w:bCs/>
                      <w:sz w:val="32"/>
                      <w:szCs w:val="28"/>
                      <w:lang w:eastAsia="zh-CN"/>
                    </w:rPr>
                    <w:t>政府采购项目</w:t>
                  </w:r>
                </w:p>
              </w:txbxContent>
            </v:textbox>
          </v:shape>
        </w:pict>
      </w:r>
    </w:p>
    <w:p>
      <w:pPr>
        <w:spacing w:line="560" w:lineRule="exac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 </w:t>
      </w:r>
    </w:p>
    <w:p>
      <w:pPr>
        <w:spacing w:line="560" w:lineRule="exact"/>
        <w:rPr>
          <w:rFonts w:hint="eastAsia" w:ascii="仿宋" w:hAnsi="仿宋" w:eastAsia="仿宋" w:cs="仿宋"/>
          <w:b/>
          <w:color w:val="auto"/>
          <w:sz w:val="36"/>
          <w:szCs w:val="36"/>
          <w:highlight w:val="none"/>
        </w:rPr>
      </w:pPr>
    </w:p>
    <w:p>
      <w:pPr>
        <w:spacing w:line="560" w:lineRule="exact"/>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rPr>
        <w:t xml:space="preserve">文件编号: </w:t>
      </w:r>
      <w:r>
        <w:rPr>
          <w:rFonts w:hint="eastAsia" w:ascii="仿宋" w:hAnsi="仿宋" w:eastAsia="仿宋" w:cs="仿宋"/>
          <w:b/>
          <w:color w:val="auto"/>
          <w:sz w:val="36"/>
          <w:szCs w:val="36"/>
          <w:highlight w:val="none"/>
          <w:lang w:eastAsia="zh-CN"/>
        </w:rPr>
        <w:t>HZGH-2023-026</w:t>
      </w:r>
    </w:p>
    <w:p>
      <w:pPr>
        <w:spacing w:line="560" w:lineRule="exact"/>
        <w:rPr>
          <w:rFonts w:hint="eastAsia" w:ascii="仿宋" w:hAnsi="仿宋" w:eastAsia="仿宋" w:cs="仿宋"/>
          <w:b/>
          <w:color w:val="auto"/>
          <w:sz w:val="36"/>
          <w:szCs w:val="36"/>
          <w:highlight w:val="none"/>
        </w:rPr>
      </w:pPr>
    </w:p>
    <w:p>
      <w:pPr>
        <w:pStyle w:val="17"/>
        <w:rPr>
          <w:rFonts w:hint="eastAsia" w:ascii="仿宋" w:hAnsi="仿宋" w:eastAsia="仿宋" w:cs="仿宋"/>
          <w:color w:val="auto"/>
          <w:highlight w:val="none"/>
        </w:rPr>
      </w:pPr>
    </w:p>
    <w:p>
      <w:pPr>
        <w:spacing w:beforeLines="50" w:line="560" w:lineRule="exact"/>
        <w:ind w:right="-998" w:rightChars="-416"/>
        <w:rPr>
          <w:rFonts w:hint="eastAsia" w:ascii="仿宋" w:hAnsi="仿宋" w:eastAsia="仿宋" w:cs="仿宋"/>
          <w:b/>
          <w:bCs/>
          <w:color w:val="auto"/>
          <w:spacing w:val="52"/>
          <w:kern w:val="0"/>
          <w:sz w:val="15"/>
          <w:szCs w:val="15"/>
          <w:highlight w:val="none"/>
        </w:rPr>
      </w:pPr>
    </w:p>
    <w:p>
      <w:pPr>
        <w:keepNext w:val="0"/>
        <w:keepLines w:val="0"/>
        <w:pageBreakBefore w:val="0"/>
        <w:widowControl w:val="0"/>
        <w:kinsoku/>
        <w:wordWrap/>
        <w:overflowPunct/>
        <w:topLinePunct w:val="0"/>
        <w:autoSpaceDE/>
        <w:autoSpaceDN/>
        <w:bidi w:val="0"/>
        <w:adjustRightInd w:val="0"/>
        <w:snapToGrid/>
        <w:spacing w:beforeLines="50" w:line="360" w:lineRule="auto"/>
        <w:ind w:right="0" w:rightChars="0"/>
        <w:jc w:val="center"/>
        <w:textAlignment w:val="auto"/>
        <w:rPr>
          <w:rFonts w:hint="eastAsia" w:ascii="仿宋" w:hAnsi="仿宋" w:eastAsia="仿宋" w:cs="仿宋"/>
          <w:b/>
          <w:color w:val="auto"/>
          <w:spacing w:val="-22"/>
          <w:sz w:val="56"/>
          <w:szCs w:val="56"/>
          <w:highlight w:val="none"/>
          <w:shd w:val="clear" w:color="auto" w:fill="FFFFFF"/>
          <w:lang w:eastAsia="zh-CN"/>
        </w:rPr>
      </w:pPr>
      <w:r>
        <w:rPr>
          <w:rFonts w:hint="eastAsia" w:ascii="仿宋" w:hAnsi="仿宋" w:eastAsia="仿宋" w:cs="仿宋"/>
          <w:b/>
          <w:color w:val="auto"/>
          <w:spacing w:val="-22"/>
          <w:sz w:val="56"/>
          <w:szCs w:val="56"/>
          <w:highlight w:val="none"/>
          <w:shd w:val="clear" w:color="auto" w:fill="FFFFFF"/>
          <w:lang w:eastAsia="zh-CN"/>
        </w:rPr>
        <w:t>长武县彭公中心幼儿园部室提升改造设施设备采购项目</w:t>
      </w:r>
    </w:p>
    <w:p>
      <w:pPr>
        <w:spacing w:beforeLines="50" w:line="560" w:lineRule="exact"/>
        <w:ind w:right="-998" w:rightChars="-416" w:firstLine="2960" w:firstLineChars="388"/>
        <w:rPr>
          <w:rFonts w:hint="eastAsia" w:ascii="仿宋" w:hAnsi="仿宋" w:eastAsia="仿宋" w:cs="仿宋"/>
          <w:b/>
          <w:bCs/>
          <w:color w:val="auto"/>
          <w:spacing w:val="20"/>
          <w:kern w:val="0"/>
          <w:sz w:val="72"/>
          <w:szCs w:val="72"/>
          <w:highlight w:val="none"/>
        </w:rPr>
      </w:pPr>
    </w:p>
    <w:p>
      <w:pPr>
        <w:spacing w:beforeLines="50" w:line="560" w:lineRule="exact"/>
        <w:ind w:right="-998" w:rightChars="-416" w:firstLine="2960" w:firstLineChars="388"/>
        <w:rPr>
          <w:rFonts w:hint="eastAsia" w:ascii="仿宋" w:hAnsi="仿宋" w:eastAsia="仿宋" w:cs="仿宋"/>
          <w:b/>
          <w:bCs/>
          <w:color w:val="auto"/>
          <w:spacing w:val="20"/>
          <w:kern w:val="0"/>
          <w:sz w:val="72"/>
          <w:szCs w:val="72"/>
          <w:highlight w:val="none"/>
        </w:rPr>
      </w:pPr>
      <w:r>
        <w:rPr>
          <w:rFonts w:hint="eastAsia" w:ascii="仿宋" w:hAnsi="仿宋" w:eastAsia="仿宋" w:cs="仿宋"/>
          <w:b/>
          <w:bCs/>
          <w:color w:val="auto"/>
          <w:spacing w:val="20"/>
          <w:kern w:val="0"/>
          <w:sz w:val="72"/>
          <w:szCs w:val="72"/>
          <w:highlight w:val="none"/>
        </w:rPr>
        <w:t>投标文件</w:t>
      </w:r>
    </w:p>
    <w:p>
      <w:pPr>
        <w:spacing w:line="560" w:lineRule="exact"/>
        <w:rPr>
          <w:rFonts w:hint="eastAsia" w:ascii="仿宋" w:hAnsi="仿宋" w:eastAsia="仿宋" w:cs="仿宋"/>
          <w:color w:val="auto"/>
          <w:sz w:val="32"/>
          <w:highlight w:val="none"/>
        </w:rPr>
      </w:pPr>
    </w:p>
    <w:p>
      <w:pPr>
        <w:spacing w:line="560" w:lineRule="exact"/>
        <w:rPr>
          <w:rFonts w:hint="eastAsia" w:ascii="仿宋" w:hAnsi="仿宋" w:eastAsia="仿宋" w:cs="仿宋"/>
          <w:color w:val="auto"/>
          <w:sz w:val="32"/>
          <w:highlight w:val="none"/>
        </w:rPr>
      </w:pPr>
    </w:p>
    <w:p>
      <w:pPr>
        <w:pStyle w:val="11"/>
        <w:rPr>
          <w:rFonts w:hint="eastAsia" w:ascii="仿宋" w:hAnsi="仿宋" w:eastAsia="仿宋" w:cs="仿宋"/>
          <w:color w:val="auto"/>
          <w:sz w:val="32"/>
          <w:highlight w:val="none"/>
        </w:rPr>
      </w:pPr>
    </w:p>
    <w:p>
      <w:pPr>
        <w:rPr>
          <w:rFonts w:hint="eastAsia" w:ascii="仿宋" w:hAnsi="仿宋" w:eastAsia="仿宋" w:cs="仿宋"/>
          <w:color w:val="auto"/>
          <w:sz w:val="32"/>
          <w:highlight w:val="none"/>
        </w:rPr>
      </w:pPr>
    </w:p>
    <w:p>
      <w:pPr>
        <w:pStyle w:val="17"/>
        <w:rPr>
          <w:rFonts w:hint="eastAsia" w:ascii="仿宋" w:hAnsi="仿宋" w:eastAsia="仿宋" w:cs="仿宋"/>
          <w:color w:val="auto"/>
          <w:sz w:val="32"/>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spacing w:beforeLines="70" w:line="560" w:lineRule="exact"/>
        <w:ind w:firstLine="1634" w:firstLineChars="550"/>
        <w:rPr>
          <w:rFonts w:hint="eastAsia" w:ascii="仿宋" w:hAnsi="仿宋" w:eastAsia="仿宋" w:cs="仿宋"/>
          <w:b/>
          <w:bCs/>
          <w:color w:val="auto"/>
          <w:spacing w:val="8"/>
          <w:sz w:val="28"/>
          <w:szCs w:val="28"/>
          <w:highlight w:val="none"/>
          <w:u w:val="single"/>
        </w:rPr>
      </w:pPr>
      <w:r>
        <w:rPr>
          <w:rFonts w:hint="eastAsia" w:ascii="仿宋" w:hAnsi="仿宋" w:eastAsia="仿宋" w:cs="仿宋"/>
          <w:b/>
          <w:color w:val="auto"/>
          <w:spacing w:val="8"/>
          <w:sz w:val="28"/>
          <w:szCs w:val="28"/>
          <w:highlight w:val="none"/>
        </w:rPr>
        <w:t>投 标 单 位：</w:t>
      </w:r>
      <w:r>
        <w:rPr>
          <w:rFonts w:hint="eastAsia" w:ascii="仿宋" w:hAnsi="仿宋" w:eastAsia="仿宋" w:cs="仿宋"/>
          <w:b/>
          <w:color w:val="auto"/>
          <w:spacing w:val="8"/>
          <w:sz w:val="28"/>
          <w:szCs w:val="28"/>
          <w:highlight w:val="none"/>
          <w:u w:val="single"/>
        </w:rPr>
        <w:t xml:space="preserve">                       </w:t>
      </w:r>
      <w:r>
        <w:rPr>
          <w:rFonts w:hint="eastAsia" w:ascii="仿宋" w:hAnsi="仿宋" w:eastAsia="仿宋" w:cs="仿宋"/>
          <w:b/>
          <w:color w:val="auto"/>
          <w:spacing w:val="8"/>
          <w:sz w:val="28"/>
          <w:szCs w:val="28"/>
          <w:highlight w:val="none"/>
        </w:rPr>
        <w:t xml:space="preserve">                       </w:t>
      </w:r>
    </w:p>
    <w:p>
      <w:pPr>
        <w:spacing w:beforeLines="70" w:line="560" w:lineRule="exact"/>
        <w:ind w:firstLine="1661" w:firstLineChars="591"/>
        <w:rPr>
          <w:rFonts w:hint="eastAsia" w:ascii="仿宋" w:hAnsi="仿宋" w:eastAsia="仿宋" w:cs="仿宋"/>
          <w:b/>
          <w:bCs/>
          <w:color w:val="auto"/>
          <w:sz w:val="28"/>
          <w:szCs w:val="28"/>
          <w:highlight w:val="none"/>
          <w:u w:val="single"/>
        </w:rPr>
      </w:pPr>
      <w:r>
        <w:rPr>
          <w:rFonts w:hint="eastAsia" w:ascii="仿宋" w:hAnsi="仿宋" w:eastAsia="仿宋" w:cs="仿宋"/>
          <w:b/>
          <w:color w:val="auto"/>
          <w:sz w:val="28"/>
          <w:szCs w:val="28"/>
          <w:highlight w:val="none"/>
        </w:rPr>
        <w:t>采购代理机构：</w:t>
      </w:r>
      <w:r>
        <w:rPr>
          <w:rFonts w:hint="eastAsia" w:ascii="仿宋" w:hAnsi="仿宋" w:eastAsia="仿宋" w:cs="仿宋"/>
          <w:b/>
          <w:color w:val="auto"/>
          <w:sz w:val="28"/>
          <w:szCs w:val="28"/>
          <w:highlight w:val="none"/>
          <w:u w:val="single"/>
        </w:rPr>
        <w:t xml:space="preserve">                          </w:t>
      </w:r>
    </w:p>
    <w:p>
      <w:pPr>
        <w:spacing w:line="560" w:lineRule="exact"/>
        <w:ind w:firstLine="1661" w:firstLineChars="591"/>
        <w:rPr>
          <w:rFonts w:hint="eastAsia" w:ascii="仿宋" w:hAnsi="仿宋" w:eastAsia="仿宋" w:cs="仿宋"/>
          <w:b/>
          <w:color w:val="auto"/>
          <w:sz w:val="32"/>
          <w:szCs w:val="32"/>
          <w:highlight w:val="none"/>
        </w:rPr>
      </w:pPr>
      <w:r>
        <w:rPr>
          <w:rFonts w:hint="eastAsia" w:ascii="仿宋" w:hAnsi="仿宋" w:eastAsia="仿宋" w:cs="仿宋"/>
          <w:b/>
          <w:color w:val="auto"/>
          <w:sz w:val="28"/>
          <w:szCs w:val="28"/>
          <w:highlight w:val="none"/>
        </w:rPr>
        <w:t>时        间：</w:t>
      </w:r>
      <w:r>
        <w:rPr>
          <w:rFonts w:hint="eastAsia" w:ascii="仿宋" w:hAnsi="仿宋" w:eastAsia="仿宋" w:cs="仿宋"/>
          <w:b/>
          <w:color w:val="auto"/>
          <w:sz w:val="28"/>
          <w:szCs w:val="28"/>
          <w:highlight w:val="none"/>
          <w:u w:val="single"/>
        </w:rPr>
        <w:t xml:space="preserve">                          </w:t>
      </w:r>
      <w:bookmarkStart w:id="123" w:name="_Toc175032437"/>
      <w:bookmarkStart w:id="124" w:name="_Toc167849360"/>
      <w:bookmarkStart w:id="125" w:name="_Toc175033592"/>
      <w:bookmarkStart w:id="126" w:name="_Toc154482479"/>
      <w:bookmarkStart w:id="127" w:name="_Toc167590775"/>
      <w:bookmarkStart w:id="128" w:name="_Toc193187097"/>
      <w:bookmarkStart w:id="129" w:name="_Toc170980453"/>
      <w:bookmarkStart w:id="130" w:name="_Toc167591330"/>
      <w:bookmarkStart w:id="131" w:name="_Toc167591492"/>
      <w:bookmarkStart w:id="132" w:name="_Toc170980552"/>
      <w:bookmarkStart w:id="133" w:name="_Toc167591144"/>
      <w:bookmarkStart w:id="134" w:name="_Toc167591043"/>
      <w:bookmarkStart w:id="135" w:name="_Toc169846776"/>
      <w:bookmarkStart w:id="136" w:name="_Toc188808833"/>
      <w:bookmarkStart w:id="137" w:name="_Toc169846873"/>
      <w:bookmarkStart w:id="138" w:name="_Toc193126881"/>
      <w:bookmarkStart w:id="139" w:name="_Toc173549978"/>
      <w:bookmarkStart w:id="140" w:name="_Toc169838532"/>
      <w:bookmarkStart w:id="141" w:name="_Toc194663918"/>
    </w:p>
    <w:p>
      <w:pPr>
        <w:spacing w:line="560" w:lineRule="exact"/>
        <w:ind w:left="240" w:leftChars="100" w:firstLine="4003" w:firstLineChars="1246"/>
        <w:rPr>
          <w:rFonts w:hint="eastAsia" w:ascii="仿宋" w:hAnsi="仿宋" w:eastAsia="仿宋" w:cs="仿宋"/>
          <w:b/>
          <w:color w:val="auto"/>
          <w:sz w:val="32"/>
          <w:szCs w:val="32"/>
          <w:highlight w:val="none"/>
        </w:rPr>
      </w:pPr>
    </w:p>
    <w:p>
      <w:pPr>
        <w:rPr>
          <w:rFonts w:hint="eastAsia" w:ascii="仿宋" w:hAnsi="仿宋" w:eastAsia="仿宋" w:cs="仿宋"/>
          <w:color w:val="auto"/>
          <w:highlight w:val="none"/>
        </w:rPr>
      </w:pPr>
    </w:p>
    <w:p>
      <w:pP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pPr>
        <w:spacing w:line="560" w:lineRule="exact"/>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目  录</w:t>
      </w:r>
    </w:p>
    <w:p>
      <w:pPr>
        <w:spacing w:line="500" w:lineRule="exact"/>
        <w:ind w:firstLine="1200" w:firstLineChars="5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1．投标函（格式）</w:t>
      </w:r>
    </w:p>
    <w:p>
      <w:pPr>
        <w:spacing w:line="500" w:lineRule="exact"/>
        <w:ind w:firstLine="1200" w:firstLineChars="5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2．开标一览表（格式）</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3．投标分项报价表（格式）</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 选配件报价表（格式，若有）</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．货物说明一览表（格式）</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．技术规格响应偏离表（格式）</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．商务条款响应偏离表（格式）</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 资格证明文件</w:t>
      </w:r>
    </w:p>
    <w:p>
      <w:pPr>
        <w:autoSpaceDE w:val="0"/>
        <w:autoSpaceDN w:val="0"/>
        <w:spacing w:line="500" w:lineRule="exact"/>
        <w:ind w:firstLine="1200" w:firstLineChars="5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eastAsia="zh-CN"/>
        </w:rPr>
        <w:t>2020年1月1日</w:t>
      </w:r>
      <w:r>
        <w:rPr>
          <w:rFonts w:hint="eastAsia" w:ascii="仿宋" w:hAnsi="仿宋" w:eastAsia="仿宋" w:cs="仿宋"/>
          <w:color w:val="auto"/>
          <w:szCs w:val="24"/>
          <w:highlight w:val="none"/>
        </w:rPr>
        <w:t>至今</w:t>
      </w:r>
      <w:r>
        <w:rPr>
          <w:rFonts w:hint="eastAsia" w:ascii="仿宋" w:hAnsi="仿宋" w:eastAsia="仿宋" w:cs="仿宋"/>
          <w:color w:val="auto"/>
          <w:szCs w:val="24"/>
          <w:highlight w:val="none"/>
          <w:lang w:eastAsia="zh-CN"/>
        </w:rPr>
        <w:t>类似项目业绩</w:t>
      </w:r>
      <w:r>
        <w:rPr>
          <w:rFonts w:hint="eastAsia" w:ascii="仿宋" w:hAnsi="仿宋" w:eastAsia="仿宋" w:cs="仿宋"/>
          <w:color w:val="auto"/>
          <w:szCs w:val="24"/>
          <w:highlight w:val="none"/>
        </w:rPr>
        <w:t>（以合同为准</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复印件加盖公章</w:t>
      </w:r>
      <w:r>
        <w:rPr>
          <w:rFonts w:hint="eastAsia" w:ascii="仿宋" w:hAnsi="仿宋" w:eastAsia="仿宋" w:cs="仿宋"/>
          <w:color w:val="auto"/>
          <w:szCs w:val="24"/>
          <w:highlight w:val="none"/>
        </w:rPr>
        <w:t>）</w:t>
      </w:r>
    </w:p>
    <w:p>
      <w:pPr>
        <w:spacing w:line="500" w:lineRule="exact"/>
        <w:ind w:firstLine="1200" w:firstLineChars="5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0</w:t>
      </w:r>
      <w:r>
        <w:rPr>
          <w:rFonts w:hint="eastAsia" w:ascii="仿宋" w:hAnsi="仿宋" w:eastAsia="仿宋" w:cs="仿宋"/>
          <w:color w:val="auto"/>
          <w:szCs w:val="24"/>
          <w:highlight w:val="none"/>
        </w:rPr>
        <w:t>. 产品的合法渠道证明文件</w:t>
      </w:r>
    </w:p>
    <w:p>
      <w:pPr>
        <w:spacing w:line="500" w:lineRule="exact"/>
        <w:ind w:firstLine="1200" w:firstLineChars="5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w:t>
      </w:r>
      <w:r>
        <w:rPr>
          <w:rFonts w:hint="eastAsia" w:ascii="仿宋" w:hAnsi="仿宋" w:eastAsia="仿宋" w:cs="仿宋"/>
          <w:color w:val="auto"/>
          <w:kern w:val="0"/>
          <w:szCs w:val="24"/>
          <w:highlight w:val="none"/>
        </w:rPr>
        <w:t xml:space="preserve"> 项目实施方案</w:t>
      </w:r>
    </w:p>
    <w:p>
      <w:pPr>
        <w:spacing w:line="500" w:lineRule="exact"/>
        <w:ind w:firstLine="1200" w:firstLineChars="5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12. 安装施工</w:t>
      </w:r>
    </w:p>
    <w:p>
      <w:pPr>
        <w:spacing w:line="500" w:lineRule="exact"/>
        <w:ind w:firstLine="1200" w:firstLineChars="500"/>
        <w:rPr>
          <w:rFonts w:hint="eastAsia" w:ascii="仿宋" w:hAnsi="仿宋" w:eastAsia="仿宋" w:cs="仿宋"/>
          <w:color w:val="auto"/>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w:t>
      </w:r>
      <w:r>
        <w:rPr>
          <w:rFonts w:hint="eastAsia" w:ascii="仿宋" w:hAnsi="仿宋" w:eastAsia="仿宋" w:cs="仿宋"/>
          <w:color w:val="auto"/>
          <w:kern w:val="0"/>
          <w:szCs w:val="24"/>
          <w:highlight w:val="none"/>
        </w:rPr>
        <w:t xml:space="preserve"> 产品的技术文件</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 质量保证</w:t>
      </w:r>
    </w:p>
    <w:p>
      <w:pPr>
        <w:spacing w:line="500" w:lineRule="exact"/>
        <w:ind w:firstLine="1200" w:firstLineChars="5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 售后服务</w:t>
      </w:r>
      <w:r>
        <w:rPr>
          <w:rFonts w:hint="eastAsia" w:ascii="仿宋" w:hAnsi="仿宋" w:eastAsia="仿宋" w:cs="仿宋"/>
          <w:color w:val="auto"/>
          <w:szCs w:val="24"/>
          <w:highlight w:val="none"/>
          <w:lang w:eastAsia="zh-CN"/>
        </w:rPr>
        <w:t>及培训计划</w:t>
      </w:r>
    </w:p>
    <w:p>
      <w:pPr>
        <w:autoSpaceDE w:val="0"/>
        <w:autoSpaceDN w:val="0"/>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 投标人认为有必要说明的事宜（若有）</w:t>
      </w:r>
    </w:p>
    <w:p>
      <w:pPr>
        <w:autoSpaceDE w:val="0"/>
        <w:autoSpaceDN w:val="0"/>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eastAsia="zh-CN"/>
        </w:rPr>
        <w:t>投标人承诺书</w:t>
      </w:r>
      <w:r>
        <w:rPr>
          <w:rFonts w:hint="eastAsia" w:ascii="仿宋" w:hAnsi="仿宋" w:eastAsia="仿宋" w:cs="仿宋"/>
          <w:color w:val="auto"/>
          <w:szCs w:val="24"/>
          <w:highlight w:val="none"/>
        </w:rPr>
        <w:t>（格式）</w:t>
      </w:r>
    </w:p>
    <w:p>
      <w:pPr>
        <w:autoSpaceDE w:val="0"/>
        <w:autoSpaceDN w:val="0"/>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18</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eastAsia="zh-CN"/>
        </w:rPr>
        <w:t>中小</w:t>
      </w:r>
      <w:r>
        <w:rPr>
          <w:rFonts w:hint="eastAsia" w:ascii="仿宋" w:hAnsi="仿宋" w:eastAsia="仿宋" w:cs="仿宋"/>
          <w:color w:val="auto"/>
          <w:szCs w:val="24"/>
          <w:highlight w:val="none"/>
        </w:rPr>
        <w:t>企业声明函》</w:t>
      </w:r>
    </w:p>
    <w:p>
      <w:pPr>
        <w:autoSpaceDE w:val="0"/>
        <w:autoSpaceDN w:val="0"/>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lang w:val="en-US" w:eastAsia="zh-CN"/>
        </w:rPr>
        <w:t>19</w:t>
      </w:r>
      <w:r>
        <w:rPr>
          <w:rFonts w:hint="eastAsia" w:ascii="仿宋" w:hAnsi="仿宋" w:eastAsia="仿宋" w:cs="仿宋"/>
          <w:color w:val="auto"/>
          <w:kern w:val="0"/>
          <w:szCs w:val="24"/>
          <w:highlight w:val="none"/>
        </w:rPr>
        <w:t>.《残疾人福利性单位声明函》</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Start w:id="142" w:name="_Toc458617471"/>
      <w:bookmarkStart w:id="143" w:name="_Toc25120"/>
      <w:bookmarkStart w:id="144" w:name="_Toc1386"/>
      <w:bookmarkStart w:id="145" w:name="_Toc188808834"/>
      <w:bookmarkStart w:id="146" w:name="_Toc194663919"/>
      <w:bookmarkStart w:id="147" w:name="_Toc193126882"/>
      <w:bookmarkStart w:id="148" w:name="_Toc193187098"/>
      <w:r>
        <w:rPr>
          <w:rFonts w:hint="eastAsia" w:ascii="仿宋" w:hAnsi="仿宋" w:eastAsia="仿宋" w:cs="仿宋"/>
          <w:color w:val="auto"/>
          <w:szCs w:val="24"/>
          <w:highlight w:val="none"/>
        </w:rPr>
        <w:t>（格式，若有）</w:t>
      </w:r>
    </w:p>
    <w:p>
      <w:pPr>
        <w:autoSpaceDE w:val="0"/>
        <w:autoSpaceDN w:val="0"/>
        <w:spacing w:line="500" w:lineRule="exact"/>
        <w:ind w:left="240" w:leftChars="100" w:firstLine="960" w:firstLineChars="400"/>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20</w:t>
      </w:r>
      <w:r>
        <w:rPr>
          <w:rFonts w:hint="eastAsia" w:ascii="仿宋" w:hAnsi="仿宋" w:eastAsia="仿宋" w:cs="仿宋"/>
          <w:color w:val="auto"/>
          <w:kern w:val="0"/>
          <w:szCs w:val="24"/>
          <w:highlight w:val="none"/>
        </w:rPr>
        <w:t xml:space="preserve">. </w:t>
      </w:r>
      <w:r>
        <w:rPr>
          <w:rFonts w:hint="eastAsia" w:ascii="仿宋" w:hAnsi="仿宋" w:eastAsia="仿宋" w:cs="仿宋"/>
          <w:color w:val="auto"/>
          <w:kern w:val="0"/>
          <w:szCs w:val="24"/>
          <w:highlight w:val="none"/>
          <w:lang w:val="en-US" w:eastAsia="zh-CN"/>
        </w:rPr>
        <w:t>《监狱、戒毒企业声明函》（格式，若有）</w:t>
      </w:r>
    </w:p>
    <w:p>
      <w:pPr>
        <w:pStyle w:val="11"/>
        <w:rPr>
          <w:rFonts w:hint="eastAsia" w:ascii="仿宋" w:hAnsi="仿宋" w:eastAsia="仿宋" w:cs="仿宋"/>
          <w:color w:val="auto"/>
          <w:highlight w:val="none"/>
        </w:rPr>
      </w:pPr>
    </w:p>
    <w:p>
      <w:pPr>
        <w:rPr>
          <w:rFonts w:hint="eastAsia" w:ascii="仿宋" w:hAnsi="仿宋" w:eastAsia="仿宋" w:cs="仿宋"/>
          <w:b/>
          <w:color w:val="auto"/>
          <w:highlight w:val="none"/>
        </w:rPr>
      </w:pPr>
      <w:r>
        <w:rPr>
          <w:rFonts w:hint="eastAsia" w:ascii="仿宋" w:hAnsi="仿宋" w:eastAsia="仿宋" w:cs="仿宋"/>
          <w:b/>
          <w:color w:val="auto"/>
          <w:highlight w:val="none"/>
        </w:rPr>
        <w:br w:type="page"/>
      </w:r>
    </w:p>
    <w:p>
      <w:pPr>
        <w:pStyle w:val="38"/>
        <w:spacing w:line="560" w:lineRule="exact"/>
        <w:ind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1.投标函</w:t>
      </w:r>
      <w:bookmarkEnd w:id="142"/>
      <w:bookmarkEnd w:id="143"/>
      <w:bookmarkEnd w:id="144"/>
      <w:r>
        <w:rPr>
          <w:rFonts w:hint="eastAsia" w:ascii="仿宋" w:hAnsi="仿宋" w:eastAsia="仿宋" w:cs="仿宋"/>
          <w:bCs/>
          <w:color w:val="auto"/>
          <w:sz w:val="22"/>
          <w:szCs w:val="20"/>
          <w:highlight w:val="none"/>
        </w:rPr>
        <w:t>（格式）</w:t>
      </w:r>
    </w:p>
    <w:p>
      <w:pPr>
        <w:spacing w:line="560" w:lineRule="exact"/>
        <w:ind w:left="240" w:leftChars="100"/>
        <w:rPr>
          <w:rFonts w:hint="eastAsia" w:ascii="仿宋" w:hAnsi="仿宋" w:eastAsia="仿宋" w:cs="仿宋"/>
          <w:color w:val="auto"/>
          <w:szCs w:val="21"/>
          <w:highlight w:val="none"/>
        </w:rPr>
      </w:pPr>
    </w:p>
    <w:p>
      <w:pPr>
        <w:spacing w:line="560" w:lineRule="exact"/>
        <w:rPr>
          <w:rFonts w:hint="eastAsia" w:ascii="仿宋" w:hAnsi="仿宋" w:eastAsia="仿宋" w:cs="仿宋"/>
          <w:b/>
          <w:color w:val="auto"/>
          <w:szCs w:val="24"/>
          <w:highlight w:val="none"/>
          <w:lang w:eastAsia="zh-CN"/>
        </w:rPr>
      </w:pPr>
      <w:r>
        <w:rPr>
          <w:rFonts w:hint="eastAsia" w:ascii="仿宋" w:hAnsi="仿宋" w:eastAsia="仿宋" w:cs="仿宋"/>
          <w:b/>
          <w:color w:val="auto"/>
          <w:szCs w:val="24"/>
          <w:highlight w:val="none"/>
        </w:rPr>
        <w:t>致：</w:t>
      </w:r>
      <w:r>
        <w:rPr>
          <w:rFonts w:hint="eastAsia" w:ascii="仿宋" w:hAnsi="仿宋" w:eastAsia="仿宋" w:cs="仿宋"/>
          <w:b/>
          <w:color w:val="auto"/>
          <w:szCs w:val="24"/>
          <w:highlight w:val="none"/>
          <w:lang w:eastAsia="zh-CN"/>
        </w:rPr>
        <w:t>华招广和项目管理有限公司</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根据贵单位</w:t>
      </w:r>
      <w:r>
        <w:rPr>
          <w:rFonts w:hint="eastAsia" w:ascii="仿宋" w:hAnsi="仿宋" w:eastAsia="仿宋" w:cs="仿宋"/>
          <w:color w:val="auto"/>
          <w:szCs w:val="24"/>
          <w:highlight w:val="none"/>
          <w:u w:val="single"/>
        </w:rPr>
        <w:t xml:space="preserve">         （招标项目名称）    </w:t>
      </w:r>
      <w:r>
        <w:rPr>
          <w:rFonts w:hint="eastAsia" w:ascii="仿宋" w:hAnsi="仿宋" w:eastAsia="仿宋" w:cs="仿宋"/>
          <w:color w:val="auto"/>
          <w:szCs w:val="24"/>
          <w:highlight w:val="none"/>
        </w:rPr>
        <w:t>项目</w:t>
      </w:r>
      <w:r>
        <w:rPr>
          <w:rFonts w:hint="eastAsia" w:ascii="仿宋" w:hAnsi="仿宋" w:eastAsia="仿宋" w:cs="仿宋"/>
          <w:color w:val="auto"/>
          <w:szCs w:val="24"/>
          <w:highlight w:val="none"/>
          <w:u w:val="single"/>
        </w:rPr>
        <w:t>（项目编号）</w:t>
      </w:r>
      <w:r>
        <w:rPr>
          <w:rFonts w:hint="eastAsia" w:ascii="仿宋" w:hAnsi="仿宋" w:eastAsia="仿宋" w:cs="仿宋"/>
          <w:color w:val="auto"/>
          <w:szCs w:val="24"/>
          <w:highlight w:val="none"/>
        </w:rPr>
        <w:t>的招标公告，我方代表</w:t>
      </w:r>
      <w:r>
        <w:rPr>
          <w:rFonts w:hint="eastAsia" w:ascii="仿宋" w:hAnsi="仿宋" w:eastAsia="仿宋" w:cs="仿宋"/>
          <w:color w:val="auto"/>
          <w:szCs w:val="24"/>
          <w:highlight w:val="none"/>
          <w:u w:val="single"/>
        </w:rPr>
        <w:t xml:space="preserve">   （姓名、职务）   </w:t>
      </w:r>
      <w:r>
        <w:rPr>
          <w:rFonts w:hint="eastAsia" w:ascii="仿宋" w:hAnsi="仿宋" w:eastAsia="仿宋" w:cs="仿宋"/>
          <w:color w:val="auto"/>
          <w:szCs w:val="24"/>
          <w:highlight w:val="none"/>
        </w:rPr>
        <w:t>经正式授权并代表</w:t>
      </w:r>
      <w:r>
        <w:rPr>
          <w:rFonts w:hint="eastAsia" w:ascii="仿宋" w:hAnsi="仿宋" w:eastAsia="仿宋" w:cs="仿宋"/>
          <w:color w:val="auto"/>
          <w:szCs w:val="24"/>
          <w:highlight w:val="none"/>
          <w:u w:val="single"/>
        </w:rPr>
        <w:t xml:space="preserve">     （投标人名称）     </w:t>
      </w:r>
      <w:r>
        <w:rPr>
          <w:rFonts w:hint="eastAsia" w:ascii="仿宋" w:hAnsi="仿宋" w:eastAsia="仿宋" w:cs="仿宋"/>
          <w:color w:val="auto"/>
          <w:szCs w:val="24"/>
          <w:highlight w:val="none"/>
        </w:rPr>
        <w:t>就该项目进行投标。</w:t>
      </w:r>
    </w:p>
    <w:p>
      <w:pPr>
        <w:spacing w:line="560" w:lineRule="exact"/>
        <w:ind w:firstLine="472" w:firstLineChars="196"/>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在此，我方郑重声明以下诸点，并负法律责任：</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1、我方提交的投标文件正本一份，副本四份，电子文件一份，“开标一览表”一份。</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2、我方所附投标报价表中应提交和交付的货物/服务投标总价为人民币：</w:t>
      </w:r>
      <w:r>
        <w:rPr>
          <w:rFonts w:hint="eastAsia" w:ascii="仿宋" w:hAnsi="仿宋" w:eastAsia="仿宋" w:cs="仿宋"/>
          <w:color w:val="auto"/>
          <w:szCs w:val="24"/>
          <w:highlight w:val="none"/>
          <w:u w:val="single"/>
        </w:rPr>
        <w:t>（同时用汉字大写和数字表示的投标总价）</w:t>
      </w:r>
      <w:r>
        <w:rPr>
          <w:rFonts w:hint="eastAsia" w:ascii="仿宋" w:hAnsi="仿宋" w:eastAsia="仿宋" w:cs="仿宋"/>
          <w:color w:val="auto"/>
          <w:szCs w:val="24"/>
          <w:highlight w:val="none"/>
        </w:rPr>
        <w:t>。该报价一次报死，不受市场因素的影响。</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3、我方已详细审查全部招标文件，完全理解并同意放弃对这方面有不明及误解质疑的权力。</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、我方同意按照要求提供投标有关的一切数据或资料。</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、我方将按招标文件的规定履行合同责任和义务。</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、我方完全理解最低报价不是中标的唯一条件，采购人有权选择质优价廉的货物/服务。</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、我方同意按招标文件规定，遵守贵方有关招标的各项规定。</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、若我方中标，我方保证按有关规定向贵方支付招标服务费。</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、投标有效期为自提交投标文件的截止之日起90个日历日。</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0</w:t>
      </w:r>
      <w:r>
        <w:rPr>
          <w:rFonts w:hint="eastAsia" w:ascii="仿宋" w:hAnsi="仿宋" w:eastAsia="仿宋" w:cs="仿宋"/>
          <w:color w:val="auto"/>
          <w:szCs w:val="24"/>
          <w:highlight w:val="none"/>
        </w:rPr>
        <w:t>、所有关于本项目的函电，请按下列地址联系：</w:t>
      </w:r>
    </w:p>
    <w:p>
      <w:pPr>
        <w:spacing w:line="560" w:lineRule="exact"/>
        <w:ind w:firstLine="480" w:firstLineChars="200"/>
        <w:rPr>
          <w:rFonts w:hint="eastAsia" w:ascii="仿宋" w:hAnsi="仿宋" w:eastAsia="仿宋" w:cs="仿宋"/>
          <w:color w:val="auto"/>
          <w:szCs w:val="24"/>
          <w:highlight w:val="none"/>
        </w:rPr>
      </w:pPr>
    </w:p>
    <w:p>
      <w:pPr>
        <w:spacing w:line="560" w:lineRule="exact"/>
        <w:ind w:firstLine="480" w:firstLineChars="200"/>
        <w:rPr>
          <w:rFonts w:hint="eastAsia" w:ascii="仿宋" w:hAnsi="仿宋" w:eastAsia="仿宋" w:cs="仿宋"/>
          <w:color w:val="auto"/>
          <w:szCs w:val="24"/>
          <w:highlight w:val="none"/>
        </w:rPr>
      </w:pPr>
    </w:p>
    <w:p>
      <w:pPr>
        <w:spacing w:line="560" w:lineRule="exact"/>
        <w:rPr>
          <w:rFonts w:hint="eastAsia" w:ascii="仿宋" w:hAnsi="仿宋" w:eastAsia="仿宋" w:cs="仿宋"/>
          <w:color w:val="auto"/>
          <w:szCs w:val="24"/>
          <w:highlight w:val="none"/>
        </w:rPr>
      </w:pP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投标人名称（公章）：</w:t>
      </w:r>
      <w:r>
        <w:rPr>
          <w:rFonts w:hint="eastAsia" w:ascii="仿宋" w:hAnsi="仿宋" w:eastAsia="仿宋" w:cs="仿宋"/>
          <w:color w:val="auto"/>
          <w:szCs w:val="24"/>
          <w:highlight w:val="none"/>
          <w:u w:val="single"/>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详 细 地 址：</w:t>
      </w:r>
      <w:r>
        <w:rPr>
          <w:rFonts w:hint="eastAsia" w:ascii="仿宋" w:hAnsi="仿宋" w:eastAsia="仿宋" w:cs="仿宋"/>
          <w:color w:val="auto"/>
          <w:szCs w:val="24"/>
          <w:highlight w:val="none"/>
          <w:u w:val="single"/>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邮 政 编 码：</w:t>
      </w:r>
      <w:r>
        <w:rPr>
          <w:rFonts w:hint="eastAsia" w:ascii="仿宋" w:hAnsi="仿宋" w:eastAsia="仿宋" w:cs="仿宋"/>
          <w:color w:val="auto"/>
          <w:szCs w:val="24"/>
          <w:highlight w:val="none"/>
          <w:u w:val="single"/>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lang w:val="zh-CN"/>
        </w:rPr>
        <w:t>电       话：</w:t>
      </w:r>
      <w:r>
        <w:rPr>
          <w:rFonts w:hint="eastAsia" w:ascii="仿宋" w:hAnsi="仿宋" w:eastAsia="仿宋" w:cs="仿宋"/>
          <w:color w:val="auto"/>
          <w:szCs w:val="24"/>
          <w:highlight w:val="none"/>
          <w:u w:val="single"/>
          <w:lang w:val="zh-CN"/>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lang w:val="zh-CN"/>
        </w:rPr>
        <w:t>传       真：</w:t>
      </w:r>
      <w:r>
        <w:rPr>
          <w:rFonts w:hint="eastAsia" w:ascii="仿宋" w:hAnsi="仿宋" w:eastAsia="仿宋" w:cs="仿宋"/>
          <w:color w:val="auto"/>
          <w:szCs w:val="24"/>
          <w:highlight w:val="none"/>
          <w:u w:val="single"/>
          <w:lang w:val="zh-CN"/>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电 子 邮 件：</w:t>
      </w:r>
      <w:r>
        <w:rPr>
          <w:rFonts w:hint="eastAsia" w:ascii="仿宋" w:hAnsi="仿宋" w:eastAsia="仿宋" w:cs="仿宋"/>
          <w:color w:val="auto"/>
          <w:szCs w:val="24"/>
          <w:highlight w:val="none"/>
          <w:u w:val="single"/>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lang w:val="zh-CN"/>
        </w:rPr>
        <w:t>开 户 银 行：</w:t>
      </w:r>
      <w:r>
        <w:rPr>
          <w:rFonts w:hint="eastAsia" w:ascii="仿宋" w:hAnsi="仿宋" w:eastAsia="仿宋" w:cs="仿宋"/>
          <w:color w:val="auto"/>
          <w:szCs w:val="24"/>
          <w:highlight w:val="none"/>
          <w:u w:val="single"/>
          <w:lang w:val="zh-CN"/>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lang w:val="zh-CN"/>
        </w:rPr>
        <w:t>帐       号：</w:t>
      </w:r>
      <w:r>
        <w:rPr>
          <w:rFonts w:hint="eastAsia" w:ascii="仿宋" w:hAnsi="仿宋" w:eastAsia="仿宋" w:cs="仿宋"/>
          <w:color w:val="auto"/>
          <w:szCs w:val="24"/>
          <w:highlight w:val="none"/>
          <w:u w:val="single"/>
          <w:lang w:val="zh-CN"/>
        </w:rPr>
        <w:t xml:space="preserve">                   </w:t>
      </w: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 xml:space="preserve">             </w:t>
      </w: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u w:val="single"/>
        </w:rPr>
        <w:t xml:space="preserve">               </w:t>
      </w:r>
    </w:p>
    <w:p>
      <w:pPr>
        <w:autoSpaceDE w:val="0"/>
        <w:autoSpaceDN w:val="0"/>
        <w:adjustRightInd w:val="0"/>
        <w:spacing w:line="560" w:lineRule="exact"/>
        <w:ind w:left="240" w:leftChars="100" w:firstLine="3960" w:firstLineChars="1650"/>
        <w:rPr>
          <w:rFonts w:hint="eastAsia" w:ascii="仿宋" w:hAnsi="仿宋" w:eastAsia="仿宋" w:cs="仿宋"/>
          <w:color w:val="auto"/>
          <w:szCs w:val="24"/>
          <w:highlight w:val="none"/>
          <w:u w:val="single"/>
          <w:lang w:val="zh-CN"/>
        </w:rPr>
      </w:pPr>
      <w:r>
        <w:rPr>
          <w:rFonts w:hint="eastAsia" w:ascii="仿宋" w:hAnsi="仿宋" w:eastAsia="仿宋" w:cs="仿宋"/>
          <w:color w:val="auto"/>
          <w:szCs w:val="24"/>
          <w:highlight w:val="none"/>
          <w:lang w:val="zh-CN"/>
        </w:rPr>
        <w:t>联系电话/手机：</w:t>
      </w:r>
      <w:r>
        <w:rPr>
          <w:rFonts w:hint="eastAsia" w:ascii="仿宋" w:hAnsi="仿宋" w:eastAsia="仿宋" w:cs="仿宋"/>
          <w:color w:val="auto"/>
          <w:szCs w:val="24"/>
          <w:highlight w:val="none"/>
          <w:u w:val="single"/>
          <w:lang w:val="zh-CN"/>
        </w:rPr>
        <w:t xml:space="preserve">               </w:t>
      </w:r>
      <w:r>
        <w:rPr>
          <w:rFonts w:hint="eastAsia" w:ascii="仿宋" w:hAnsi="仿宋" w:eastAsia="仿宋" w:cs="仿宋"/>
          <w:color w:val="auto"/>
          <w:szCs w:val="24"/>
          <w:highlight w:val="none"/>
        </w:rPr>
        <w:t xml:space="preserve">  </w:t>
      </w:r>
    </w:p>
    <w:p>
      <w:pPr>
        <w:spacing w:line="560" w:lineRule="exact"/>
        <w:ind w:left="240" w:leftChars="100"/>
        <w:jc w:val="center"/>
        <w:rPr>
          <w:rFonts w:hint="eastAsia" w:ascii="仿宋" w:hAnsi="仿宋" w:eastAsia="仿宋" w:cs="仿宋"/>
          <w:color w:val="auto"/>
          <w:szCs w:val="24"/>
          <w:highlight w:val="none"/>
        </w:rPr>
        <w:sectPr>
          <w:pgSz w:w="11905" w:h="16840"/>
          <w:pgMar w:top="1417" w:right="1417" w:bottom="1417" w:left="1417" w:header="935" w:footer="907" w:gutter="0"/>
          <w:pgNumType w:fmt="decimal"/>
          <w:cols w:space="0" w:num="1"/>
          <w:titlePg/>
          <w:rtlGutter w:val="0"/>
          <w:docGrid w:linePitch="312" w:charSpace="0"/>
        </w:sect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年</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月</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日</w:t>
      </w:r>
    </w:p>
    <w:bookmarkEnd w:id="145"/>
    <w:bookmarkEnd w:id="146"/>
    <w:bookmarkEnd w:id="147"/>
    <w:bookmarkEnd w:id="148"/>
    <w:p>
      <w:pPr>
        <w:pStyle w:val="38"/>
        <w:spacing w:line="560" w:lineRule="exact"/>
        <w:ind w:firstLine="0" w:firstLineChars="0"/>
        <w:rPr>
          <w:rFonts w:hint="eastAsia" w:ascii="仿宋" w:hAnsi="仿宋" w:eastAsia="仿宋" w:cs="仿宋"/>
          <w:bCs/>
          <w:color w:val="auto"/>
          <w:sz w:val="24"/>
          <w:szCs w:val="21"/>
          <w:highlight w:val="none"/>
        </w:rPr>
      </w:pPr>
      <w:bookmarkStart w:id="149" w:name="_Toc458617472"/>
      <w:bookmarkStart w:id="150" w:name="_Toc5497"/>
      <w:bookmarkStart w:id="151" w:name="_Toc6986"/>
      <w:bookmarkStart w:id="152" w:name="_Toc193187105"/>
      <w:bookmarkStart w:id="153" w:name="_Toc194663926"/>
      <w:bookmarkStart w:id="154" w:name="_Toc188808840"/>
      <w:bookmarkStart w:id="155" w:name="_Toc193126889"/>
      <w:r>
        <w:rPr>
          <w:rFonts w:hint="eastAsia" w:ascii="仿宋" w:hAnsi="仿宋" w:eastAsia="仿宋" w:cs="仿宋"/>
          <w:b/>
          <w:color w:val="auto"/>
          <w:highlight w:val="none"/>
        </w:rPr>
        <w:t>2.开标一览表</w:t>
      </w:r>
      <w:bookmarkEnd w:id="149"/>
      <w:bookmarkEnd w:id="150"/>
      <w:bookmarkEnd w:id="151"/>
      <w:r>
        <w:rPr>
          <w:rFonts w:hint="eastAsia" w:ascii="仿宋" w:hAnsi="仿宋" w:eastAsia="仿宋" w:cs="仿宋"/>
          <w:bCs/>
          <w:color w:val="auto"/>
          <w:sz w:val="24"/>
          <w:szCs w:val="21"/>
          <w:highlight w:val="none"/>
        </w:rPr>
        <w:t>（格式）</w:t>
      </w:r>
    </w:p>
    <w:p>
      <w:pPr>
        <w:spacing w:line="560" w:lineRule="exact"/>
        <w:ind w:left="240" w:leftChars="100"/>
        <w:jc w:val="center"/>
        <w:rPr>
          <w:rFonts w:hint="eastAsia" w:ascii="仿宋" w:hAnsi="仿宋" w:eastAsia="仿宋" w:cs="仿宋"/>
          <w:b/>
          <w:bCs/>
          <w:color w:val="auto"/>
          <w:sz w:val="36"/>
          <w:szCs w:val="21"/>
          <w:highlight w:val="none"/>
        </w:rPr>
      </w:pPr>
    </w:p>
    <w:p>
      <w:pPr>
        <w:spacing w:line="560" w:lineRule="exact"/>
        <w:rPr>
          <w:rFonts w:hint="eastAsia" w:ascii="仿宋" w:hAnsi="仿宋" w:eastAsia="仿宋" w:cs="仿宋"/>
          <w:b/>
          <w:bCs/>
          <w:color w:val="auto"/>
          <w:sz w:val="36"/>
          <w:szCs w:val="21"/>
          <w:highlight w:val="none"/>
        </w:rPr>
      </w:pPr>
    </w:p>
    <w:p>
      <w:pPr>
        <w:spacing w:line="560" w:lineRule="exact"/>
        <w:ind w:firstLine="120" w:firstLineChars="50"/>
        <w:rPr>
          <w:rFonts w:hint="eastAsia" w:ascii="仿宋" w:hAnsi="仿宋" w:eastAsia="仿宋" w:cs="仿宋"/>
          <w:bCs/>
          <w:color w:val="auto"/>
          <w:kern w:val="0"/>
          <w:szCs w:val="24"/>
          <w:highlight w:val="none"/>
          <w:u w:val="single"/>
        </w:rPr>
      </w:pPr>
      <w:r>
        <w:rPr>
          <w:rFonts w:hint="eastAsia" w:ascii="仿宋" w:hAnsi="仿宋" w:eastAsia="仿宋" w:cs="仿宋"/>
          <w:bCs/>
          <w:color w:val="auto"/>
          <w:kern w:val="0"/>
          <w:szCs w:val="24"/>
          <w:highlight w:val="none"/>
        </w:rPr>
        <w:t>投标人名称：</w:t>
      </w:r>
      <w:r>
        <w:rPr>
          <w:rFonts w:hint="eastAsia" w:ascii="仿宋" w:hAnsi="仿宋" w:eastAsia="仿宋" w:cs="仿宋"/>
          <w:bCs/>
          <w:color w:val="auto"/>
          <w:kern w:val="0"/>
          <w:szCs w:val="24"/>
          <w:highlight w:val="none"/>
          <w:u w:val="single"/>
        </w:rPr>
        <w:t xml:space="preserve">                    </w:t>
      </w:r>
      <w:r>
        <w:rPr>
          <w:rFonts w:hint="eastAsia" w:ascii="仿宋" w:hAnsi="仿宋" w:eastAsia="仿宋" w:cs="仿宋"/>
          <w:bCs/>
          <w:color w:val="auto"/>
          <w:kern w:val="0"/>
          <w:szCs w:val="24"/>
          <w:highlight w:val="none"/>
        </w:rPr>
        <w:t xml:space="preserve">                                                   </w:t>
      </w:r>
    </w:p>
    <w:tbl>
      <w:tblPr>
        <w:tblStyle w:val="24"/>
        <w:tblW w:w="1436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4"/>
        <w:gridCol w:w="5462"/>
        <w:gridCol w:w="3969"/>
        <w:gridCol w:w="341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24" w:type="dxa"/>
            <w:vAlign w:val="center"/>
          </w:tcPr>
          <w:p>
            <w:pPr>
              <w:spacing w:line="560" w:lineRule="exact"/>
              <w:ind w:right="163" w:rightChars="68" w:firstLine="118" w:firstLineChars="49"/>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项目编号</w:t>
            </w:r>
          </w:p>
        </w:tc>
        <w:tc>
          <w:tcPr>
            <w:tcW w:w="5462"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投标总价</w:t>
            </w:r>
          </w:p>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3969"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交货期</w:t>
            </w:r>
          </w:p>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w:t>
            </w:r>
            <w:r>
              <w:rPr>
                <w:rFonts w:hint="eastAsia" w:ascii="仿宋" w:hAnsi="仿宋" w:eastAsia="仿宋" w:cs="仿宋"/>
                <w:b/>
                <w:color w:val="auto"/>
                <w:szCs w:val="24"/>
                <w:highlight w:val="none"/>
                <w:lang w:val="en-US" w:eastAsia="zh-CN"/>
              </w:rPr>
              <w:t>日历日</w:t>
            </w:r>
            <w:r>
              <w:rPr>
                <w:rFonts w:hint="eastAsia" w:ascii="仿宋" w:hAnsi="仿宋" w:eastAsia="仿宋" w:cs="仿宋"/>
                <w:b/>
                <w:color w:val="auto"/>
                <w:szCs w:val="24"/>
                <w:highlight w:val="none"/>
              </w:rPr>
              <w:t>）</w:t>
            </w:r>
          </w:p>
        </w:tc>
        <w:tc>
          <w:tcPr>
            <w:tcW w:w="3412"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lang w:eastAsia="zh-CN"/>
              </w:rPr>
            </w:pPr>
            <w:r>
              <w:rPr>
                <w:rFonts w:hint="eastAsia" w:ascii="仿宋" w:hAnsi="仿宋" w:eastAsia="仿宋" w:cs="仿宋"/>
                <w:b/>
                <w:color w:val="auto"/>
                <w:szCs w:val="24"/>
                <w:highlight w:val="none"/>
              </w:rPr>
              <w:t>质保期</w:t>
            </w:r>
            <w:r>
              <w:rPr>
                <w:rFonts w:hint="eastAsia" w:ascii="仿宋" w:hAnsi="仿宋" w:eastAsia="仿宋" w:cs="仿宋"/>
                <w:b/>
                <w:color w:val="auto"/>
                <w:szCs w:val="24"/>
                <w:highlight w:val="none"/>
                <w:lang w:eastAsia="zh-CN"/>
              </w:rPr>
              <w:t>（</w:t>
            </w:r>
            <w:r>
              <w:rPr>
                <w:rFonts w:hint="eastAsia" w:ascii="仿宋" w:hAnsi="仿宋" w:eastAsia="仿宋" w:cs="仿宋"/>
                <w:b/>
                <w:color w:val="auto"/>
                <w:szCs w:val="24"/>
                <w:highlight w:val="none"/>
                <w:lang w:val="en-US" w:eastAsia="zh-CN"/>
              </w:rPr>
              <w:t>月</w:t>
            </w:r>
            <w:r>
              <w:rPr>
                <w:rFonts w:hint="eastAsia" w:ascii="仿宋" w:hAnsi="仿宋" w:eastAsia="仿宋" w:cs="仿宋"/>
                <w:b/>
                <w:color w:val="auto"/>
                <w:szCs w:val="24"/>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24" w:type="dxa"/>
            <w:vMerge w:val="restart"/>
            <w:vAlign w:val="center"/>
          </w:tcPr>
          <w:p>
            <w:pPr>
              <w:spacing w:line="560" w:lineRule="exact"/>
              <w:ind w:left="240" w:leftChars="100"/>
              <w:jc w:val="center"/>
              <w:rPr>
                <w:rFonts w:hint="eastAsia" w:ascii="仿宋" w:hAnsi="仿宋" w:eastAsia="仿宋" w:cs="仿宋"/>
                <w:color w:val="auto"/>
                <w:szCs w:val="24"/>
                <w:highlight w:val="none"/>
              </w:rPr>
            </w:pPr>
          </w:p>
        </w:tc>
        <w:tc>
          <w:tcPr>
            <w:tcW w:w="5462"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3969"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3412"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24" w:type="dxa"/>
            <w:vMerge w:val="continue"/>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2843" w:type="dxa"/>
            <w:gridSpan w:val="3"/>
            <w:tcBorders>
              <w:top w:val="single" w:color="auto" w:sz="4" w:space="0"/>
            </w:tcBorders>
            <w:vAlign w:val="center"/>
          </w:tcPr>
          <w:p>
            <w:pPr>
              <w:spacing w:line="560" w:lineRule="exact"/>
              <w:ind w:left="240" w:leftChars="1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 xml:space="preserve">（大写）                                </w:t>
            </w:r>
          </w:p>
        </w:tc>
      </w:tr>
    </w:tbl>
    <w:p>
      <w:pPr>
        <w:spacing w:line="560" w:lineRule="exact"/>
        <w:ind w:left="240" w:leftChars="100" w:firstLine="480" w:firstLineChars="200"/>
        <w:rPr>
          <w:rFonts w:hint="eastAsia" w:ascii="仿宋" w:hAnsi="仿宋" w:eastAsia="仿宋" w:cs="仿宋"/>
          <w:color w:val="auto"/>
          <w:szCs w:val="24"/>
          <w:highlight w:val="none"/>
        </w:rPr>
      </w:pPr>
    </w:p>
    <w:p>
      <w:pPr>
        <w:spacing w:line="560" w:lineRule="exact"/>
        <w:rPr>
          <w:rFonts w:hint="eastAsia" w:ascii="仿宋" w:hAnsi="仿宋" w:eastAsia="仿宋" w:cs="仿宋"/>
          <w:color w:val="auto"/>
          <w:szCs w:val="24"/>
          <w:highlight w:val="none"/>
        </w:rPr>
      </w:pPr>
    </w:p>
    <w:p>
      <w:pPr>
        <w:spacing w:line="560" w:lineRule="exact"/>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                       日 期：</w:t>
      </w:r>
      <w:r>
        <w:rPr>
          <w:rFonts w:hint="eastAsia" w:ascii="仿宋" w:hAnsi="仿宋" w:eastAsia="仿宋" w:cs="仿宋"/>
          <w:color w:val="auto"/>
          <w:szCs w:val="24"/>
          <w:highlight w:val="none"/>
          <w:u w:val="single"/>
        </w:rPr>
        <w:t xml:space="preserve">            </w:t>
      </w:r>
    </w:p>
    <w:p>
      <w:pPr>
        <w:rPr>
          <w:rFonts w:hint="eastAsia" w:ascii="仿宋" w:hAnsi="仿宋" w:eastAsia="仿宋" w:cs="仿宋"/>
          <w:b/>
          <w:color w:val="auto"/>
          <w:highlight w:val="none"/>
        </w:rPr>
      </w:pPr>
      <w:bookmarkStart w:id="156" w:name="_Toc9029"/>
      <w:bookmarkStart w:id="157" w:name="_Toc10249"/>
      <w:bookmarkStart w:id="158" w:name="_Toc458617473"/>
      <w:bookmarkStart w:id="159" w:name="_Toc173549982"/>
      <w:bookmarkStart w:id="160" w:name="_Toc170980457"/>
      <w:bookmarkStart w:id="161" w:name="_Toc154482483"/>
      <w:bookmarkStart w:id="162" w:name="_Toc167591148"/>
      <w:bookmarkStart w:id="163" w:name="_Toc175033596"/>
      <w:bookmarkStart w:id="164" w:name="_Toc194663922"/>
      <w:bookmarkStart w:id="165" w:name="_Toc175032441"/>
      <w:bookmarkStart w:id="166" w:name="_Toc167590779"/>
      <w:bookmarkStart w:id="167" w:name="_Toc169846877"/>
      <w:bookmarkStart w:id="168" w:name="_Toc167591334"/>
      <w:bookmarkStart w:id="169" w:name="_Toc193187101"/>
      <w:bookmarkStart w:id="170" w:name="_Toc188808836"/>
      <w:bookmarkStart w:id="171" w:name="_Toc193126885"/>
      <w:bookmarkStart w:id="172" w:name="_Toc167591496"/>
      <w:bookmarkStart w:id="173" w:name="_Toc167849364"/>
      <w:bookmarkStart w:id="174" w:name="_Toc170980556"/>
      <w:bookmarkStart w:id="175" w:name="_Toc169838536"/>
      <w:bookmarkStart w:id="176" w:name="_Toc169846780"/>
      <w:bookmarkStart w:id="177" w:name="_Toc167591047"/>
      <w:r>
        <w:rPr>
          <w:rFonts w:hint="eastAsia" w:ascii="仿宋" w:hAnsi="仿宋" w:eastAsia="仿宋" w:cs="仿宋"/>
          <w:b/>
          <w:color w:val="auto"/>
          <w:highlight w:val="none"/>
        </w:rPr>
        <w:br w:type="page"/>
      </w:r>
    </w:p>
    <w:p>
      <w:pPr>
        <w:pStyle w:val="38"/>
        <w:spacing w:line="560" w:lineRule="exact"/>
        <w:ind w:firstLine="0" w:firstLineChars="0"/>
        <w:rPr>
          <w:rFonts w:hint="eastAsia" w:ascii="仿宋" w:hAnsi="仿宋" w:eastAsia="仿宋" w:cs="仿宋"/>
          <w:bCs/>
          <w:color w:val="auto"/>
          <w:sz w:val="24"/>
          <w:szCs w:val="21"/>
          <w:highlight w:val="none"/>
        </w:rPr>
      </w:pPr>
      <w:r>
        <w:rPr>
          <w:rFonts w:hint="eastAsia" w:ascii="仿宋" w:hAnsi="仿宋" w:eastAsia="仿宋" w:cs="仿宋"/>
          <w:b/>
          <w:color w:val="auto"/>
          <w:highlight w:val="none"/>
        </w:rPr>
        <w:t>3.投标分项报价表</w:t>
      </w:r>
      <w:bookmarkEnd w:id="156"/>
      <w:bookmarkEnd w:id="157"/>
      <w:bookmarkEnd w:id="158"/>
      <w:r>
        <w:rPr>
          <w:rFonts w:hint="eastAsia" w:ascii="仿宋" w:hAnsi="仿宋" w:eastAsia="仿宋" w:cs="仿宋"/>
          <w:bCs/>
          <w:color w:val="auto"/>
          <w:sz w:val="24"/>
          <w:szCs w:val="21"/>
          <w:highlight w:val="none"/>
        </w:rPr>
        <w:t>（格式）</w:t>
      </w:r>
    </w:p>
    <w:p>
      <w:pPr>
        <w:pStyle w:val="38"/>
        <w:spacing w:line="560" w:lineRule="exact"/>
        <w:ind w:firstLine="0" w:firstLineChars="0"/>
        <w:rPr>
          <w:rFonts w:hint="eastAsia" w:ascii="仿宋" w:hAnsi="仿宋" w:eastAsia="仿宋" w:cs="仿宋"/>
          <w:highlight w:val="none"/>
        </w:rPr>
      </w:pPr>
      <w:bookmarkStart w:id="178" w:name="_Toc17354"/>
      <w:bookmarkStart w:id="179" w:name="_Toc194663921"/>
      <w:bookmarkStart w:id="180" w:name="_Toc458617474"/>
      <w:bookmarkStart w:id="181" w:name="_Toc193126884"/>
      <w:bookmarkStart w:id="182" w:name="_Toc193187100"/>
      <w:bookmarkStart w:id="183" w:name="_Toc4842"/>
    </w:p>
    <w:p>
      <w:pPr>
        <w:pStyle w:val="38"/>
        <w:spacing w:line="560" w:lineRule="exact"/>
        <w:ind w:firstLine="0" w:firstLineChars="0"/>
        <w:rPr>
          <w:rFonts w:hint="eastAsia" w:ascii="仿宋" w:hAnsi="仿宋" w:eastAsia="仿宋" w:cs="仿宋"/>
          <w:highlight w:val="none"/>
        </w:rPr>
      </w:pPr>
    </w:p>
    <w:p>
      <w:pPr>
        <w:pStyle w:val="38"/>
        <w:spacing w:line="560" w:lineRule="exact"/>
        <w:ind w:firstLine="0" w:firstLineChars="0"/>
        <w:jc w:val="center"/>
        <w:rPr>
          <w:rFonts w:hint="default" w:ascii="仿宋" w:hAnsi="仿宋" w:eastAsia="仿宋" w:cs="仿宋"/>
          <w:highlight w:val="none"/>
          <w:lang w:val="en-US" w:eastAsia="zh-CN"/>
        </w:rPr>
        <w:sectPr>
          <w:footerReference r:id="rId21" w:type="first"/>
          <w:footerReference r:id="rId20" w:type="default"/>
          <w:pgSz w:w="16838" w:h="11905" w:orient="landscape"/>
          <w:pgMar w:top="1440" w:right="1417" w:bottom="1417" w:left="1417" w:header="907" w:footer="907" w:gutter="0"/>
          <w:pgNumType w:fmt="decimal"/>
          <w:cols w:space="720" w:num="1"/>
          <w:titlePg/>
          <w:rtlGutter w:val="0"/>
          <w:docGrid w:linePitch="326" w:charSpace="0"/>
        </w:sectPr>
      </w:pPr>
      <w:r>
        <w:rPr>
          <w:rFonts w:hint="eastAsia" w:ascii="仿宋" w:hAnsi="仿宋" w:eastAsia="仿宋" w:cs="仿宋"/>
          <w:highlight w:val="none"/>
          <w:lang w:val="en-US" w:eastAsia="zh-CN"/>
        </w:rPr>
        <w:t>格式自拟</w:t>
      </w:r>
    </w:p>
    <w:p>
      <w:pPr>
        <w:rPr>
          <w:rFonts w:hint="eastAsia" w:ascii="仿宋" w:hAnsi="仿宋" w:eastAsia="仿宋" w:cs="仿宋"/>
          <w:b/>
          <w:color w:val="auto"/>
          <w:highlight w:val="none"/>
        </w:rPr>
      </w:pPr>
    </w:p>
    <w:p>
      <w:pPr>
        <w:pStyle w:val="38"/>
        <w:spacing w:line="560" w:lineRule="exact"/>
        <w:ind w:firstLineChars="71"/>
        <w:rPr>
          <w:rFonts w:hint="eastAsia" w:ascii="仿宋" w:hAnsi="仿宋" w:eastAsia="仿宋" w:cs="仿宋"/>
          <w:color w:val="auto"/>
          <w:sz w:val="24"/>
          <w:szCs w:val="24"/>
          <w:highlight w:val="none"/>
        </w:rPr>
      </w:pPr>
      <w:r>
        <w:rPr>
          <w:rFonts w:hint="eastAsia" w:ascii="仿宋" w:hAnsi="仿宋" w:eastAsia="仿宋" w:cs="仿宋"/>
          <w:b/>
          <w:color w:val="auto"/>
          <w:highlight w:val="none"/>
          <w:lang w:val="en-US" w:eastAsia="zh-CN"/>
        </w:rPr>
        <w:t>4</w:t>
      </w:r>
      <w:r>
        <w:rPr>
          <w:rFonts w:hint="eastAsia" w:ascii="仿宋" w:hAnsi="仿宋" w:eastAsia="仿宋" w:cs="仿宋"/>
          <w:b/>
          <w:color w:val="auto"/>
          <w:highlight w:val="none"/>
        </w:rPr>
        <w:t>.选配件报价表</w:t>
      </w:r>
      <w:bookmarkEnd w:id="178"/>
      <w:bookmarkEnd w:id="179"/>
      <w:bookmarkEnd w:id="180"/>
      <w:bookmarkEnd w:id="181"/>
      <w:bookmarkEnd w:id="182"/>
      <w:bookmarkEnd w:id="183"/>
      <w:r>
        <w:rPr>
          <w:rFonts w:hint="eastAsia" w:ascii="仿宋" w:hAnsi="仿宋" w:eastAsia="仿宋" w:cs="仿宋"/>
          <w:bCs/>
          <w:color w:val="auto"/>
          <w:sz w:val="24"/>
          <w:szCs w:val="24"/>
          <w:highlight w:val="none"/>
        </w:rPr>
        <w:t>（格式，若有）</w:t>
      </w:r>
    </w:p>
    <w:p>
      <w:pPr>
        <w:spacing w:line="560" w:lineRule="exact"/>
        <w:ind w:left="240" w:leftChars="1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项目编号：</w:t>
      </w:r>
      <w:r>
        <w:rPr>
          <w:rFonts w:hint="eastAsia" w:ascii="仿宋" w:hAnsi="仿宋" w:eastAsia="仿宋" w:cs="仿宋"/>
          <w:color w:val="auto"/>
          <w:szCs w:val="24"/>
          <w:highlight w:val="none"/>
          <w:u w:val="single"/>
        </w:rPr>
        <w:t xml:space="preserve">                  </w:t>
      </w:r>
    </w:p>
    <w:tbl>
      <w:tblPr>
        <w:tblStyle w:val="24"/>
        <w:tblW w:w="1461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1701"/>
        <w:gridCol w:w="1417"/>
        <w:gridCol w:w="1843"/>
        <w:gridCol w:w="992"/>
        <w:gridCol w:w="1134"/>
        <w:gridCol w:w="1701"/>
        <w:gridCol w:w="1701"/>
        <w:gridCol w:w="14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1843"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名   称</w:t>
            </w:r>
          </w:p>
        </w:tc>
        <w:tc>
          <w:tcPr>
            <w:tcW w:w="1701"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品牌/型号</w:t>
            </w:r>
          </w:p>
        </w:tc>
        <w:tc>
          <w:tcPr>
            <w:tcW w:w="1417"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制造厂家</w:t>
            </w:r>
          </w:p>
        </w:tc>
        <w:tc>
          <w:tcPr>
            <w:tcW w:w="1843"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规格和说明</w:t>
            </w:r>
          </w:p>
        </w:tc>
        <w:tc>
          <w:tcPr>
            <w:tcW w:w="992"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单位</w:t>
            </w:r>
          </w:p>
        </w:tc>
        <w:tc>
          <w:tcPr>
            <w:tcW w:w="1134"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数量</w:t>
            </w:r>
          </w:p>
        </w:tc>
        <w:tc>
          <w:tcPr>
            <w:tcW w:w="1701" w:type="dxa"/>
            <w:vAlign w:val="center"/>
          </w:tcPr>
          <w:p>
            <w:pPr>
              <w:spacing w:line="560" w:lineRule="exact"/>
              <w:ind w:firstLine="472" w:firstLineChars="196"/>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单价</w:t>
            </w:r>
          </w:p>
          <w:p>
            <w:pPr>
              <w:spacing w:line="560" w:lineRule="exact"/>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1701" w:type="dxa"/>
            <w:vAlign w:val="center"/>
          </w:tcPr>
          <w:p>
            <w:pPr>
              <w:spacing w:line="560" w:lineRule="exact"/>
              <w:ind w:firstLine="472" w:firstLineChars="196"/>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总价</w:t>
            </w:r>
          </w:p>
          <w:p>
            <w:pPr>
              <w:spacing w:line="560" w:lineRule="exact"/>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1428"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备 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tcBorders>
              <w:bottom w:val="single" w:color="auto" w:sz="4" w:space="0"/>
            </w:tcBorders>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1701"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1417"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1843"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992"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1134"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1701" w:type="dxa"/>
            <w:tcBorders>
              <w:bottom w:val="single" w:color="auto" w:sz="4" w:space="0"/>
            </w:tcBorders>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1428"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bl>
    <w:p>
      <w:pPr>
        <w:spacing w:line="560" w:lineRule="exact"/>
        <w:ind w:left="240" w:leftChars="1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             日 期：</w:t>
      </w:r>
      <w:r>
        <w:rPr>
          <w:rFonts w:hint="eastAsia" w:ascii="仿宋" w:hAnsi="仿宋" w:eastAsia="仿宋" w:cs="仿宋"/>
          <w:color w:val="auto"/>
          <w:szCs w:val="24"/>
          <w:highlight w:val="none"/>
          <w:u w:val="single"/>
        </w:rPr>
        <w:t xml:space="preserve">                    </w:t>
      </w:r>
    </w:p>
    <w:p>
      <w:pPr>
        <w:pStyle w:val="38"/>
        <w:spacing w:line="560" w:lineRule="exact"/>
        <w:ind w:firstLine="170" w:firstLineChars="71"/>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u w:val="single"/>
        </w:rPr>
        <w:br w:type="page"/>
      </w:r>
      <w:bookmarkStart w:id="184" w:name="_Toc16402"/>
      <w:bookmarkStart w:id="185" w:name="_Toc10875"/>
      <w:bookmarkStart w:id="186" w:name="_Toc458617475"/>
      <w:r>
        <w:rPr>
          <w:rFonts w:hint="eastAsia" w:ascii="仿宋" w:hAnsi="仿宋" w:eastAsia="仿宋" w:cs="仿宋"/>
          <w:b/>
          <w:color w:val="auto"/>
          <w:highlight w:val="none"/>
          <w:lang w:val="en-US" w:eastAsia="zh-CN"/>
        </w:rPr>
        <w:t>5</w:t>
      </w:r>
      <w:r>
        <w:rPr>
          <w:rFonts w:hint="eastAsia" w:ascii="仿宋" w:hAnsi="仿宋" w:eastAsia="仿宋" w:cs="仿宋"/>
          <w:b/>
          <w:color w:val="auto"/>
          <w:highlight w:val="none"/>
        </w:rPr>
        <w:t>.货物说明一览表</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84"/>
      <w:bookmarkEnd w:id="185"/>
      <w:bookmarkEnd w:id="186"/>
      <w:r>
        <w:rPr>
          <w:rFonts w:hint="eastAsia" w:ascii="仿宋" w:hAnsi="仿宋" w:eastAsia="仿宋" w:cs="仿宋"/>
          <w:bCs/>
          <w:color w:val="auto"/>
          <w:sz w:val="24"/>
          <w:szCs w:val="21"/>
          <w:highlight w:val="none"/>
        </w:rPr>
        <w:t>（格式）</w:t>
      </w:r>
    </w:p>
    <w:p>
      <w:pPr>
        <w:spacing w:line="560" w:lineRule="exact"/>
        <w:ind w:left="240" w:leftChars="1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w:t>
      </w:r>
      <w:r>
        <w:rPr>
          <w:rFonts w:hint="eastAsia" w:ascii="仿宋" w:hAnsi="仿宋" w:eastAsia="仿宋" w:cs="仿宋"/>
          <w:bCs/>
          <w:color w:val="auto"/>
          <w:kern w:val="0"/>
          <w:szCs w:val="24"/>
          <w:highlight w:val="none"/>
        </w:rPr>
        <w:t>项目编号</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w:t>
      </w:r>
    </w:p>
    <w:tbl>
      <w:tblPr>
        <w:tblStyle w:val="24"/>
        <w:tblW w:w="139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160"/>
        <w:gridCol w:w="1620"/>
        <w:gridCol w:w="5040"/>
        <w:gridCol w:w="1800"/>
        <w:gridCol w:w="1080"/>
        <w:gridCol w:w="12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09"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2160"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名    称</w:t>
            </w:r>
          </w:p>
        </w:tc>
        <w:tc>
          <w:tcPr>
            <w:tcW w:w="1620"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品牌/型号</w:t>
            </w:r>
          </w:p>
        </w:tc>
        <w:tc>
          <w:tcPr>
            <w:tcW w:w="5040"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配置、规格及主要技术参数</w:t>
            </w:r>
          </w:p>
        </w:tc>
        <w:tc>
          <w:tcPr>
            <w:tcW w:w="1800"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制造厂家</w:t>
            </w:r>
          </w:p>
        </w:tc>
        <w:tc>
          <w:tcPr>
            <w:tcW w:w="1080" w:type="dxa"/>
            <w:tcMar>
              <w:top w:w="28" w:type="dxa"/>
              <w:left w:w="57" w:type="dxa"/>
              <w:bottom w:w="28" w:type="dxa"/>
              <w:right w:w="57"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数量</w:t>
            </w:r>
          </w:p>
        </w:tc>
        <w:tc>
          <w:tcPr>
            <w:tcW w:w="1234" w:type="dxa"/>
            <w:tcMar>
              <w:top w:w="28" w:type="dxa"/>
              <w:left w:w="57" w:type="dxa"/>
              <w:bottom w:w="28" w:type="dxa"/>
              <w:right w:w="57" w:type="dxa"/>
            </w:tcMar>
            <w:vAlign w:val="center"/>
          </w:tcPr>
          <w:p>
            <w:pPr>
              <w:spacing w:line="560" w:lineRule="exact"/>
              <w:ind w:left="-24" w:leftChars="-1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交货期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vAlign w:val="center"/>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vAlign w:val="center"/>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vAlign w:val="center"/>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vAlign w:val="center"/>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bl>
    <w:p>
      <w:pPr>
        <w:spacing w:line="560" w:lineRule="exact"/>
        <w:ind w:left="240" w:leftChars="100" w:firstLine="480" w:firstLineChars="200"/>
        <w:rPr>
          <w:rFonts w:hint="eastAsia" w:ascii="仿宋" w:hAnsi="仿宋" w:eastAsia="仿宋" w:cs="仿宋"/>
          <w:color w:val="auto"/>
          <w:highlight w:val="none"/>
          <w:u w:val="single"/>
        </w:rPr>
        <w:sectPr>
          <w:headerReference r:id="rId23" w:type="first"/>
          <w:footerReference r:id="rId25" w:type="first"/>
          <w:headerReference r:id="rId22" w:type="default"/>
          <w:footerReference r:id="rId24" w:type="default"/>
          <w:pgSz w:w="16840" w:h="11905" w:orient="landscape"/>
          <w:pgMar w:top="1417" w:right="1417" w:bottom="1417" w:left="1417" w:header="935" w:footer="907" w:gutter="0"/>
          <w:pgNumType w:fmt="decimal"/>
          <w:cols w:space="0" w:num="1"/>
          <w:titlePg/>
          <w:rtlGutter w:val="0"/>
          <w:docGrid w:linePitch="312" w:charSpace="0"/>
        </w:sect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          日  期：</w:t>
      </w:r>
      <w:bookmarkStart w:id="187" w:name="_Toc188808837"/>
      <w:bookmarkStart w:id="188" w:name="_Toc193126886"/>
      <w:bookmarkStart w:id="189" w:name="_Toc194663923"/>
      <w:bookmarkStart w:id="190" w:name="_Toc193187102"/>
      <w:r>
        <w:rPr>
          <w:rFonts w:hint="eastAsia" w:ascii="仿宋" w:hAnsi="仿宋" w:eastAsia="仿宋" w:cs="仿宋"/>
          <w:color w:val="auto"/>
          <w:szCs w:val="24"/>
          <w:highlight w:val="none"/>
          <w:u w:val="single"/>
        </w:rPr>
        <w:t xml:space="preserve">  </w:t>
      </w:r>
      <w:r>
        <w:rPr>
          <w:rFonts w:hint="eastAsia" w:ascii="仿宋" w:hAnsi="仿宋" w:eastAsia="仿宋" w:cs="仿宋"/>
          <w:color w:val="auto"/>
          <w:highlight w:val="none"/>
          <w:u w:val="single"/>
        </w:rPr>
        <w:t xml:space="preserve">             </w:t>
      </w:r>
    </w:p>
    <w:bookmarkEnd w:id="187"/>
    <w:bookmarkEnd w:id="188"/>
    <w:bookmarkEnd w:id="189"/>
    <w:bookmarkEnd w:id="190"/>
    <w:p>
      <w:pPr>
        <w:pStyle w:val="38"/>
        <w:spacing w:line="560" w:lineRule="exact"/>
        <w:ind w:firstLine="0" w:firstLineChars="0"/>
        <w:rPr>
          <w:rFonts w:hint="eastAsia" w:ascii="仿宋" w:hAnsi="仿宋" w:eastAsia="仿宋" w:cs="仿宋"/>
          <w:bCs/>
          <w:color w:val="auto"/>
          <w:sz w:val="24"/>
          <w:szCs w:val="21"/>
          <w:highlight w:val="none"/>
        </w:rPr>
      </w:pPr>
      <w:r>
        <w:rPr>
          <w:rFonts w:hint="eastAsia" w:ascii="仿宋" w:hAnsi="仿宋" w:eastAsia="仿宋" w:cs="仿宋"/>
          <w:b/>
          <w:color w:val="auto"/>
          <w:highlight w:val="none"/>
          <w:lang w:val="en-US" w:eastAsia="zh-CN"/>
        </w:rPr>
        <w:t>6</w:t>
      </w:r>
      <w:r>
        <w:rPr>
          <w:rFonts w:hint="eastAsia" w:ascii="仿宋" w:hAnsi="仿宋" w:eastAsia="仿宋" w:cs="仿宋"/>
          <w:b/>
          <w:color w:val="auto"/>
          <w:highlight w:val="none"/>
        </w:rPr>
        <w:t>.技术规格响应偏离表</w:t>
      </w:r>
      <w:r>
        <w:rPr>
          <w:rFonts w:hint="eastAsia" w:ascii="仿宋" w:hAnsi="仿宋" w:eastAsia="仿宋" w:cs="仿宋"/>
          <w:bCs/>
          <w:color w:val="auto"/>
          <w:sz w:val="24"/>
          <w:szCs w:val="21"/>
          <w:highlight w:val="none"/>
        </w:rPr>
        <w:t>（格式）</w:t>
      </w:r>
    </w:p>
    <w:p>
      <w:pPr>
        <w:spacing w:line="560" w:lineRule="exact"/>
        <w:jc w:val="left"/>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项目编号：</w:t>
      </w:r>
      <w:r>
        <w:rPr>
          <w:rFonts w:hint="eastAsia" w:ascii="仿宋" w:hAnsi="仿宋" w:eastAsia="仿宋" w:cs="仿宋"/>
          <w:color w:val="auto"/>
          <w:szCs w:val="24"/>
          <w:highlight w:val="none"/>
          <w:u w:val="single"/>
        </w:rPr>
        <w:t xml:space="preserve">                  </w:t>
      </w:r>
    </w:p>
    <w:tbl>
      <w:tblPr>
        <w:tblStyle w:val="24"/>
        <w:tblpPr w:leftFromText="180" w:rightFromText="180" w:vertAnchor="text" w:horzAnchor="margin" w:tblpY="162"/>
        <w:tblOverlap w:val="never"/>
        <w:tblW w:w="895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193"/>
        <w:gridCol w:w="2319"/>
        <w:gridCol w:w="2018"/>
        <w:gridCol w:w="1582"/>
        <w:gridCol w:w="111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46" w:leftChars="19"/>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1193" w:type="dxa"/>
            <w:tcMar>
              <w:top w:w="57" w:type="dxa"/>
              <w:left w:w="28" w:type="dxa"/>
              <w:bottom w:w="57" w:type="dxa"/>
              <w:right w:w="28" w:type="dxa"/>
            </w:tcMar>
            <w:vAlign w:val="center"/>
          </w:tcPr>
          <w:p>
            <w:pPr>
              <w:spacing w:line="560" w:lineRule="exact"/>
              <w:jc w:val="center"/>
              <w:rPr>
                <w:rFonts w:hint="eastAsia" w:ascii="仿宋" w:hAnsi="仿宋" w:eastAsia="仿宋" w:cs="仿宋"/>
                <w:b/>
                <w:color w:val="auto"/>
                <w:szCs w:val="24"/>
                <w:highlight w:val="none"/>
                <w:lang w:val="en-US" w:eastAsia="zh-CN"/>
              </w:rPr>
            </w:pPr>
            <w:r>
              <w:rPr>
                <w:rFonts w:hint="eastAsia" w:ascii="仿宋" w:hAnsi="仿宋" w:eastAsia="仿宋" w:cs="仿宋"/>
                <w:b/>
                <w:color w:val="auto"/>
                <w:szCs w:val="24"/>
                <w:highlight w:val="none"/>
                <w:lang w:val="en-US" w:eastAsia="zh-CN"/>
              </w:rPr>
              <w:t>名称</w:t>
            </w:r>
          </w:p>
        </w:tc>
        <w:tc>
          <w:tcPr>
            <w:tcW w:w="2319"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招标文件技术需求</w:t>
            </w:r>
          </w:p>
        </w:tc>
        <w:tc>
          <w:tcPr>
            <w:tcW w:w="2018" w:type="dxa"/>
            <w:tcMar>
              <w:top w:w="57" w:type="dxa"/>
              <w:left w:w="28" w:type="dxa"/>
              <w:bottom w:w="57" w:type="dxa"/>
              <w:right w:w="28"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投标文件技术响应</w:t>
            </w:r>
          </w:p>
        </w:tc>
        <w:tc>
          <w:tcPr>
            <w:tcW w:w="1582" w:type="dxa"/>
            <w:tcMar>
              <w:top w:w="57" w:type="dxa"/>
              <w:left w:w="28" w:type="dxa"/>
              <w:bottom w:w="57" w:type="dxa"/>
              <w:right w:w="28"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偏离情况</w:t>
            </w:r>
          </w:p>
        </w:tc>
        <w:tc>
          <w:tcPr>
            <w:tcW w:w="1119" w:type="dxa"/>
            <w:tcMar>
              <w:top w:w="57" w:type="dxa"/>
              <w:left w:w="28" w:type="dxa"/>
              <w:bottom w:w="57" w:type="dxa"/>
              <w:right w:w="28"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22"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22"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22"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bl>
    <w:p>
      <w:pPr>
        <w:keepNext w:val="0"/>
        <w:keepLines w:val="0"/>
        <w:pageBreakBefore w:val="0"/>
        <w:widowControl w:val="0"/>
        <w:kinsoku/>
        <w:wordWrap/>
        <w:overflowPunct/>
        <w:topLinePunct w:val="0"/>
        <w:autoSpaceDE/>
        <w:autoSpaceDN/>
        <w:bidi w:val="0"/>
        <w:adjustRightInd/>
        <w:snapToGrid/>
        <w:spacing w:line="440" w:lineRule="exact"/>
        <w:ind w:left="240" w:leftChars="100"/>
        <w:textAlignment w:val="auto"/>
        <w:rPr>
          <w:rFonts w:hint="eastAsia" w:ascii="仿宋" w:hAnsi="仿宋" w:eastAsia="仿宋" w:cs="仿宋"/>
          <w:b/>
          <w:bCs/>
          <w:color w:val="auto"/>
          <w:sz w:val="18"/>
          <w:szCs w:val="18"/>
          <w:highlight w:val="none"/>
          <w:u w:val="none"/>
          <w:lang w:val="en-US" w:eastAsia="zh-CN"/>
        </w:rPr>
      </w:pPr>
      <w:r>
        <w:rPr>
          <w:rFonts w:hint="eastAsia" w:ascii="仿宋" w:hAnsi="仿宋" w:eastAsia="仿宋" w:cs="仿宋"/>
          <w:b/>
          <w:bCs/>
          <w:color w:val="auto"/>
          <w:sz w:val="18"/>
          <w:szCs w:val="18"/>
          <w:highlight w:val="none"/>
          <w:u w:val="none"/>
          <w:lang w:eastAsia="zh-CN"/>
        </w:rPr>
        <w:t>注：本表请按项目的实际技术参数，逐条对应招标文件第三章《</w:t>
      </w:r>
      <w:r>
        <w:rPr>
          <w:rFonts w:hint="eastAsia" w:ascii="仿宋" w:hAnsi="仿宋" w:eastAsia="仿宋" w:cs="仿宋"/>
          <w:b/>
          <w:bCs/>
          <w:color w:val="auto"/>
          <w:sz w:val="18"/>
          <w:szCs w:val="18"/>
          <w:highlight w:val="none"/>
          <w:u w:val="none"/>
          <w:lang w:val="en-US" w:eastAsia="zh-CN"/>
        </w:rPr>
        <w:t>采购内容及技术要求</w:t>
      </w:r>
      <w:r>
        <w:rPr>
          <w:rFonts w:hint="eastAsia" w:ascii="仿宋" w:hAnsi="仿宋" w:eastAsia="仿宋" w:cs="仿宋"/>
          <w:b/>
          <w:bCs/>
          <w:color w:val="auto"/>
          <w:sz w:val="18"/>
          <w:szCs w:val="18"/>
          <w:highlight w:val="none"/>
          <w:u w:val="none"/>
          <w:lang w:eastAsia="zh-CN"/>
        </w:rPr>
        <w:t>》</w:t>
      </w:r>
      <w:r>
        <w:rPr>
          <w:rFonts w:hint="eastAsia" w:ascii="仿宋" w:hAnsi="仿宋" w:eastAsia="仿宋" w:cs="仿宋"/>
          <w:b/>
          <w:bCs/>
          <w:color w:val="auto"/>
          <w:sz w:val="18"/>
          <w:szCs w:val="18"/>
          <w:highlight w:val="none"/>
          <w:u w:val="none"/>
          <w:lang w:val="en-US" w:eastAsia="zh-CN"/>
        </w:rPr>
        <w:t>认真填写，偏离情况填写：优于、等于或低于，偏离说明对偏离情况做出详细说明。</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w:t>
      </w:r>
    </w:p>
    <w:p>
      <w:pPr>
        <w:spacing w:line="560" w:lineRule="exact"/>
        <w:ind w:firstLine="360" w:firstLineChars="15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 xml:space="preserve"> 日 期：</w:t>
      </w:r>
      <w:bookmarkStart w:id="191" w:name="_Toc194663924"/>
      <w:bookmarkStart w:id="192" w:name="_Toc188808838"/>
      <w:bookmarkStart w:id="193" w:name="_Toc193126887"/>
      <w:bookmarkStart w:id="194" w:name="_Toc193187103"/>
      <w:r>
        <w:rPr>
          <w:rFonts w:hint="eastAsia" w:ascii="仿宋" w:hAnsi="仿宋" w:eastAsia="仿宋" w:cs="仿宋"/>
          <w:color w:val="auto"/>
          <w:szCs w:val="24"/>
          <w:highlight w:val="none"/>
        </w:rPr>
        <w:t xml:space="preserve">   </w:t>
      </w:r>
    </w:p>
    <w:p>
      <w:pPr>
        <w:pStyle w:val="38"/>
        <w:spacing w:line="560" w:lineRule="exact"/>
        <w:ind w:firstLineChars="71"/>
        <w:rPr>
          <w:rFonts w:hint="eastAsia" w:ascii="仿宋" w:hAnsi="仿宋" w:eastAsia="仿宋" w:cs="仿宋"/>
          <w:b/>
          <w:color w:val="auto"/>
          <w:highlight w:val="none"/>
        </w:rPr>
      </w:pPr>
      <w:bookmarkStart w:id="195" w:name="_Toc2240"/>
      <w:bookmarkStart w:id="196" w:name="_Toc458617476"/>
      <w:bookmarkStart w:id="197" w:name="_Toc11969"/>
    </w:p>
    <w:p>
      <w:pPr>
        <w:pStyle w:val="38"/>
        <w:spacing w:line="560" w:lineRule="exact"/>
        <w:ind w:firstLineChars="71"/>
        <w:rPr>
          <w:rFonts w:hint="eastAsia" w:ascii="仿宋" w:hAnsi="仿宋" w:eastAsia="仿宋" w:cs="仿宋"/>
          <w:bCs/>
          <w:color w:val="auto"/>
          <w:sz w:val="24"/>
          <w:szCs w:val="21"/>
          <w:highlight w:val="none"/>
        </w:rPr>
      </w:pPr>
      <w:r>
        <w:rPr>
          <w:rFonts w:hint="eastAsia" w:ascii="仿宋" w:hAnsi="仿宋" w:eastAsia="仿宋" w:cs="仿宋"/>
          <w:b/>
          <w:color w:val="auto"/>
          <w:highlight w:val="none"/>
          <w:lang w:val="en-US" w:eastAsia="zh-CN"/>
        </w:rPr>
        <w:t>7</w:t>
      </w:r>
      <w:r>
        <w:rPr>
          <w:rFonts w:hint="eastAsia" w:ascii="仿宋" w:hAnsi="仿宋" w:eastAsia="仿宋" w:cs="仿宋"/>
          <w:b/>
          <w:color w:val="auto"/>
          <w:highlight w:val="none"/>
        </w:rPr>
        <w:t>.商务条款响应偏离表</w:t>
      </w:r>
      <w:bookmarkEnd w:id="191"/>
      <w:bookmarkEnd w:id="192"/>
      <w:bookmarkEnd w:id="193"/>
      <w:bookmarkEnd w:id="194"/>
      <w:bookmarkEnd w:id="195"/>
      <w:bookmarkEnd w:id="196"/>
      <w:bookmarkEnd w:id="197"/>
      <w:r>
        <w:rPr>
          <w:rFonts w:hint="eastAsia" w:ascii="仿宋" w:hAnsi="仿宋" w:eastAsia="仿宋" w:cs="仿宋"/>
          <w:bCs/>
          <w:color w:val="auto"/>
          <w:sz w:val="24"/>
          <w:szCs w:val="21"/>
          <w:highlight w:val="none"/>
        </w:rPr>
        <w:t>（格式）</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项目编号：</w:t>
      </w:r>
      <w:r>
        <w:rPr>
          <w:rFonts w:hint="eastAsia" w:ascii="仿宋" w:hAnsi="仿宋" w:eastAsia="仿宋" w:cs="仿宋"/>
          <w:color w:val="auto"/>
          <w:szCs w:val="24"/>
          <w:highlight w:val="none"/>
          <w:u w:val="single"/>
        </w:rPr>
        <w:t xml:space="preserve">             </w:t>
      </w:r>
    </w:p>
    <w:tbl>
      <w:tblPr>
        <w:tblStyle w:val="24"/>
        <w:tblW w:w="909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58"/>
        <w:gridCol w:w="2506"/>
        <w:gridCol w:w="1454"/>
        <w:gridCol w:w="145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110" w:leftChars="-46"/>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 xml:space="preserve"> 序号</w:t>
            </w:r>
          </w:p>
        </w:tc>
        <w:tc>
          <w:tcPr>
            <w:tcW w:w="2858"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招标文件商务要求</w:t>
            </w:r>
          </w:p>
        </w:tc>
        <w:tc>
          <w:tcPr>
            <w:tcW w:w="2506"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投标文件商务响应</w:t>
            </w:r>
          </w:p>
        </w:tc>
        <w:tc>
          <w:tcPr>
            <w:tcW w:w="1454"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偏离情况</w:t>
            </w:r>
          </w:p>
        </w:tc>
        <w:tc>
          <w:tcPr>
            <w:tcW w:w="1454"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5"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5"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bl>
    <w:p>
      <w:pPr>
        <w:spacing w:line="560" w:lineRule="exact"/>
        <w:ind w:left="240" w:leftChars="100"/>
        <w:rPr>
          <w:rFonts w:hint="eastAsia" w:ascii="仿宋" w:hAnsi="仿宋" w:eastAsia="仿宋" w:cs="仿宋"/>
          <w:b/>
          <w:bCs/>
          <w:color w:val="auto"/>
          <w:sz w:val="20"/>
          <w:szCs w:val="20"/>
          <w:highlight w:val="none"/>
          <w:lang w:val="en-US" w:eastAsia="zh-CN"/>
        </w:rPr>
      </w:pPr>
      <w:r>
        <w:rPr>
          <w:rFonts w:hint="eastAsia" w:ascii="仿宋" w:hAnsi="仿宋" w:eastAsia="仿宋" w:cs="仿宋"/>
          <w:b/>
          <w:bCs/>
          <w:color w:val="auto"/>
          <w:sz w:val="20"/>
          <w:szCs w:val="20"/>
          <w:highlight w:val="none"/>
          <w:lang w:eastAsia="zh-CN"/>
        </w:rPr>
        <w:t>注：本表按照招标文件第四章《</w:t>
      </w:r>
      <w:r>
        <w:rPr>
          <w:rFonts w:hint="eastAsia" w:ascii="仿宋" w:hAnsi="仿宋" w:eastAsia="仿宋" w:cs="仿宋"/>
          <w:b/>
          <w:bCs/>
          <w:color w:val="auto"/>
          <w:sz w:val="20"/>
          <w:szCs w:val="20"/>
          <w:highlight w:val="none"/>
          <w:lang w:val="en-US" w:eastAsia="zh-CN"/>
        </w:rPr>
        <w:t>商务要求</w:t>
      </w:r>
      <w:r>
        <w:rPr>
          <w:rFonts w:hint="eastAsia" w:ascii="仿宋" w:hAnsi="仿宋" w:eastAsia="仿宋" w:cs="仿宋"/>
          <w:b/>
          <w:bCs/>
          <w:color w:val="auto"/>
          <w:sz w:val="20"/>
          <w:szCs w:val="20"/>
          <w:highlight w:val="none"/>
          <w:lang w:eastAsia="zh-CN"/>
        </w:rPr>
        <w:t>》</w:t>
      </w:r>
      <w:r>
        <w:rPr>
          <w:rFonts w:hint="eastAsia" w:ascii="仿宋" w:hAnsi="仿宋" w:eastAsia="仿宋" w:cs="仿宋"/>
          <w:b/>
          <w:bCs/>
          <w:color w:val="auto"/>
          <w:sz w:val="20"/>
          <w:szCs w:val="20"/>
          <w:highlight w:val="none"/>
          <w:lang w:val="en-US" w:eastAsia="zh-CN"/>
        </w:rPr>
        <w:t>逐条响应，否则按无效投标处理。偏离情况填写：优于、等于或低于，偏离说明对偏离情况做出详细说明。</w:t>
      </w:r>
    </w:p>
    <w:p>
      <w:pPr>
        <w:spacing w:line="560" w:lineRule="exact"/>
        <w:ind w:left="240" w:leftChars="1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（投标人单位公章）  </w:t>
      </w:r>
    </w:p>
    <w:p>
      <w:pPr>
        <w:spacing w:line="560" w:lineRule="exact"/>
        <w:ind w:left="240" w:leftChars="100" w:firstLine="120" w:firstLineChars="50"/>
        <w:rPr>
          <w:rFonts w:hint="eastAsia" w:ascii="仿宋" w:hAnsi="仿宋" w:eastAsia="仿宋" w:cs="仿宋"/>
          <w:color w:val="auto"/>
          <w:highlight w:val="none"/>
          <w:u w:val="single"/>
        </w:rPr>
      </w:pPr>
      <w:r>
        <w:rPr>
          <w:rFonts w:hint="eastAsia" w:ascii="仿宋" w:hAnsi="仿宋" w:eastAsia="仿宋" w:cs="仿宋"/>
          <w:color w:val="auto"/>
          <w:szCs w:val="24"/>
          <w:highlight w:val="none"/>
        </w:rPr>
        <w:t>日 期：</w:t>
      </w:r>
      <w:r>
        <w:rPr>
          <w:rFonts w:hint="eastAsia" w:ascii="仿宋" w:hAnsi="仿宋" w:eastAsia="仿宋" w:cs="仿宋"/>
          <w:color w:val="auto"/>
          <w:highlight w:val="none"/>
          <w:u w:val="single"/>
        </w:rPr>
        <w:t xml:space="preserve">            </w:t>
      </w:r>
    </w:p>
    <w:p>
      <w:pPr>
        <w:spacing w:line="560" w:lineRule="exact"/>
        <w:rPr>
          <w:rFonts w:hint="eastAsia" w:ascii="仿宋" w:hAnsi="仿宋" w:eastAsia="仿宋" w:cs="仿宋"/>
          <w:b/>
          <w:color w:val="auto"/>
          <w:kern w:val="0"/>
          <w:sz w:val="28"/>
          <w:highlight w:val="none"/>
        </w:rPr>
      </w:pPr>
      <w:r>
        <w:rPr>
          <w:rFonts w:hint="eastAsia" w:ascii="仿宋" w:hAnsi="仿宋" w:eastAsia="仿宋" w:cs="仿宋"/>
          <w:color w:val="auto"/>
          <w:szCs w:val="21"/>
          <w:highlight w:val="none"/>
          <w:u w:val="single"/>
        </w:rPr>
        <w:br w:type="page"/>
      </w:r>
    </w:p>
    <w:p>
      <w:pPr>
        <w:pStyle w:val="38"/>
        <w:spacing w:line="560" w:lineRule="exact"/>
        <w:ind w:firstLineChars="71"/>
        <w:rPr>
          <w:rFonts w:hint="eastAsia" w:ascii="仿宋" w:hAnsi="仿宋" w:eastAsia="仿宋" w:cs="仿宋"/>
          <w:b/>
          <w:color w:val="auto"/>
          <w:highlight w:val="none"/>
          <w:u w:val="wavyHeavy" w:color="FF0000"/>
        </w:rPr>
      </w:pPr>
      <w:bookmarkStart w:id="198" w:name="_Toc5659"/>
      <w:bookmarkStart w:id="199" w:name="_Toc458617478"/>
      <w:bookmarkStart w:id="200" w:name="_Toc28085"/>
      <w:r>
        <w:rPr>
          <w:rFonts w:hint="eastAsia" w:ascii="仿宋" w:hAnsi="仿宋" w:eastAsia="仿宋" w:cs="仿宋"/>
          <w:b/>
          <w:color w:val="auto"/>
          <w:highlight w:val="none"/>
          <w:lang w:val="en-US" w:eastAsia="zh-CN"/>
        </w:rPr>
        <w:t>8</w:t>
      </w:r>
      <w:r>
        <w:rPr>
          <w:rFonts w:hint="eastAsia" w:ascii="仿宋" w:hAnsi="仿宋" w:eastAsia="仿宋" w:cs="仿宋"/>
          <w:b/>
          <w:color w:val="auto"/>
          <w:highlight w:val="none"/>
        </w:rPr>
        <w:t>.资格证明文件</w:t>
      </w:r>
      <w:bookmarkEnd w:id="152"/>
      <w:bookmarkEnd w:id="153"/>
      <w:bookmarkEnd w:id="154"/>
      <w:bookmarkEnd w:id="155"/>
      <w:bookmarkEnd w:id="198"/>
      <w:bookmarkEnd w:id="199"/>
      <w:bookmarkEnd w:id="200"/>
    </w:p>
    <w:p>
      <w:pPr>
        <w:pStyle w:val="38"/>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（1）基本资格条件：符合《中华人民共和国政府采购法》第二十二条的规定：</w:t>
      </w:r>
    </w:p>
    <w:p>
      <w:pPr>
        <w:pStyle w:val="38"/>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38"/>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2、财务状况报告：提供具有财务审计资质单位出具的</w:t>
      </w:r>
      <w:r>
        <w:rPr>
          <w:rFonts w:hint="eastAsia" w:ascii="仿宋" w:hAnsi="仿宋" w:eastAsia="仿宋" w:cs="仿宋"/>
          <w:color w:val="auto"/>
          <w:sz w:val="24"/>
          <w:highlight w:val="none"/>
          <w:lang w:val="en-US" w:eastAsia="zh-CN"/>
        </w:rPr>
        <w:t>2021年度或2022年度</w:t>
      </w:r>
      <w:r>
        <w:rPr>
          <w:rFonts w:hint="eastAsia" w:ascii="仿宋" w:hAnsi="仿宋" w:eastAsia="仿宋" w:cs="仿宋"/>
          <w:color w:val="auto"/>
          <w:sz w:val="24"/>
          <w:highlight w:val="none"/>
        </w:rPr>
        <w:t xml:space="preserve">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8"/>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eastAsia="zh-CN"/>
        </w:rPr>
        <w:t>税收缴纳证明：提供2022年1月1日至今任意一个月已缴纳的纳税证明或完税证明（包含增值税、企业所得税、营业税至少一种）；（依法免税的投标人应提供相关文件证明）</w:t>
      </w:r>
      <w:r>
        <w:rPr>
          <w:rFonts w:hint="eastAsia" w:ascii="仿宋" w:hAnsi="仿宋" w:eastAsia="仿宋" w:cs="仿宋"/>
          <w:color w:val="auto"/>
          <w:sz w:val="24"/>
          <w:highlight w:val="none"/>
        </w:rPr>
        <w:t xml:space="preserve"> </w:t>
      </w:r>
    </w:p>
    <w:p>
      <w:pPr>
        <w:pStyle w:val="38"/>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社会保障资金缴纳证明：提供2022年1月1日至今任意一个月的社保缴费凭据或社保机构开具的社会保险参保缴费情况证明；（依法不需要缴纳社会保障资金的投标人应提供相关证明）。</w:t>
      </w:r>
      <w:r>
        <w:rPr>
          <w:rFonts w:hint="eastAsia" w:ascii="仿宋" w:hAnsi="仿宋" w:eastAsia="仿宋" w:cs="仿宋"/>
          <w:color w:val="auto"/>
          <w:sz w:val="24"/>
          <w:highlight w:val="none"/>
        </w:rPr>
        <w:t xml:space="preserve"> </w:t>
      </w:r>
    </w:p>
    <w:p>
      <w:pPr>
        <w:pStyle w:val="38"/>
        <w:spacing w:line="520" w:lineRule="exact"/>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5、提供具有履行本合同所必需的设备和专业技术能力的说明及承诺；（格式自拟，加盖投标人公章）</w:t>
      </w:r>
    </w:p>
    <w:p>
      <w:pPr>
        <w:pStyle w:val="38"/>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6、提供参加政府采购活动前三年内在经营活动中没有重大违法记录的书面声明。（格式自拟，加盖投标人公章）</w:t>
      </w:r>
    </w:p>
    <w:p>
      <w:pPr>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（2）、特定资格条件：</w:t>
      </w:r>
    </w:p>
    <w:p>
      <w:pPr>
        <w:pStyle w:val="38"/>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1、法定代表人或负责人参与投标时需提供法定代表人或负责人资格证明书（附法定代表人或负责人身份证复印件）；（法定代表人或负责人须提供身份证原件，身份证原件可由本人持有）</w:t>
      </w:r>
      <w:r>
        <w:rPr>
          <w:rFonts w:hint="eastAsia" w:ascii="仿宋" w:hAnsi="仿宋" w:eastAsia="仿宋" w:cs="仿宋"/>
          <w:b/>
          <w:bCs/>
          <w:color w:val="auto"/>
          <w:sz w:val="24"/>
          <w:highlight w:val="none"/>
          <w:lang w:val="en-US" w:eastAsia="zh-CN"/>
        </w:rPr>
        <w:t>(格式后附）</w:t>
      </w:r>
    </w:p>
    <w:p>
      <w:pPr>
        <w:pStyle w:val="38"/>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2、被授权人参与投标时需提供法定代表人或负责人授权委托书（附法定代表人或负责人及被授权人身份证复印件）；（被授权人须提供身份证原件，身份证原件可由本人持有）</w:t>
      </w:r>
      <w:r>
        <w:rPr>
          <w:rFonts w:hint="eastAsia" w:ascii="仿宋" w:hAnsi="仿宋" w:eastAsia="仿宋" w:cs="仿宋"/>
          <w:b/>
          <w:bCs/>
          <w:color w:val="auto"/>
          <w:sz w:val="24"/>
          <w:highlight w:val="none"/>
          <w:lang w:val="en-US" w:eastAsia="zh-CN"/>
        </w:rPr>
        <w:t>(格式后附）</w:t>
      </w:r>
    </w:p>
    <w:p>
      <w:pPr>
        <w:pStyle w:val="38"/>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8"/>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、单位负责人为同一人或者存在直接控股、管理关系的不同投标人，不得参加同一合同项下的政府采购活动；（提供书面承诺函，格式自拟加盖投标人公章）</w:t>
      </w:r>
    </w:p>
    <w:p>
      <w:pPr>
        <w:pStyle w:val="11"/>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p>
    <w:p>
      <w:pPr>
        <w:rPr>
          <w:rFonts w:hint="eastAsia" w:ascii="仿宋" w:hAnsi="仿宋" w:eastAsia="仿宋" w:cs="仿宋"/>
          <w:color w:val="auto"/>
          <w:szCs w:val="24"/>
          <w:highlight w:val="none"/>
        </w:rPr>
      </w:pPr>
    </w:p>
    <w:p>
      <w:pPr>
        <w:pStyle w:val="11"/>
        <w:rPr>
          <w:rFonts w:hint="eastAsia" w:ascii="仿宋" w:hAnsi="仿宋" w:eastAsia="仿宋" w:cs="仿宋"/>
          <w:color w:val="auto"/>
          <w:highlight w:val="none"/>
        </w:rPr>
      </w:pPr>
    </w:p>
    <w:p>
      <w:pPr>
        <w:pStyle w:val="11"/>
        <w:rPr>
          <w:rFonts w:hint="eastAsia" w:ascii="仿宋" w:hAnsi="仿宋" w:eastAsia="仿宋" w:cs="仿宋"/>
          <w:color w:val="auto"/>
          <w:highlight w:val="none"/>
        </w:rPr>
      </w:pPr>
    </w:p>
    <w:p>
      <w:pPr>
        <w:rPr>
          <w:rFonts w:hint="eastAsia" w:ascii="仿宋" w:hAnsi="仿宋" w:eastAsia="仿宋" w:cs="仿宋"/>
          <w:b/>
          <w:color w:val="auto"/>
          <w:highlight w:val="none"/>
        </w:rPr>
      </w:pPr>
      <w:r>
        <w:rPr>
          <w:rFonts w:hint="eastAsia" w:ascii="仿宋" w:hAnsi="仿宋" w:eastAsia="仿宋" w:cs="仿宋"/>
          <w:b/>
          <w:color w:val="auto"/>
          <w:highlight w:val="none"/>
        </w:rPr>
        <w:br w:type="page"/>
      </w:r>
    </w:p>
    <w:p>
      <w:pPr>
        <w:spacing w:line="560" w:lineRule="exact"/>
        <w:ind w:left="240" w:leftChars="100"/>
        <w:jc w:val="center"/>
        <w:rPr>
          <w:rFonts w:hint="eastAsia" w:ascii="仿宋" w:hAnsi="仿宋" w:eastAsia="仿宋" w:cs="仿宋"/>
          <w:b/>
          <w:bCs/>
          <w:color w:val="auto"/>
          <w:sz w:val="28"/>
          <w:szCs w:val="28"/>
          <w:highlight w:val="none"/>
        </w:rPr>
      </w:pPr>
      <w:bookmarkStart w:id="201" w:name="_Toc47418732"/>
      <w:bookmarkStart w:id="202" w:name="_Toc48791236"/>
      <w:bookmarkStart w:id="203" w:name="_Toc47418939"/>
      <w:bookmarkStart w:id="204" w:name="_Toc47261691"/>
      <w:bookmarkStart w:id="205" w:name="_Toc47418256"/>
      <w:bookmarkStart w:id="206" w:name="_Toc49019237"/>
      <w:bookmarkStart w:id="207" w:name="_Toc49019498"/>
      <w:bookmarkStart w:id="208" w:name="_Toc47262070"/>
      <w:bookmarkStart w:id="209" w:name="_Toc47261886"/>
      <w:bookmarkStart w:id="210" w:name="_Toc48995852"/>
      <w:r>
        <w:rPr>
          <w:rFonts w:hint="eastAsia" w:ascii="仿宋" w:hAnsi="仿宋" w:eastAsia="仿宋" w:cs="仿宋"/>
          <w:b/>
          <w:bCs/>
          <w:color w:val="auto"/>
          <w:sz w:val="28"/>
          <w:szCs w:val="28"/>
          <w:highlight w:val="none"/>
        </w:rPr>
        <w:t>法定代表人资格证明书</w:t>
      </w:r>
    </w:p>
    <w:tbl>
      <w:tblPr>
        <w:tblStyle w:val="24"/>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2" w:type="dxa"/>
            <w:gridSpan w:val="5"/>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lang w:eastAsia="zh-CN"/>
              </w:rPr>
            </w:pPr>
            <w:r>
              <w:rPr>
                <w:rFonts w:hint="eastAsia" w:ascii="仿宋" w:hAnsi="仿宋" w:eastAsia="仿宋" w:cs="仿宋"/>
                <w:bCs/>
                <w:caps/>
                <w:color w:val="auto"/>
                <w:szCs w:val="24"/>
                <w:highlight w:val="none"/>
              </w:rPr>
              <w:t>致：</w:t>
            </w:r>
            <w:r>
              <w:rPr>
                <w:rFonts w:hint="eastAsia" w:ascii="仿宋" w:hAnsi="仿宋" w:eastAsia="仿宋" w:cs="仿宋"/>
                <w:bCs/>
                <w:caps/>
                <w:color w:val="auto"/>
                <w:szCs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项目名称</w:t>
            </w:r>
          </w:p>
        </w:tc>
        <w:tc>
          <w:tcPr>
            <w:tcW w:w="8421" w:type="dxa"/>
            <w:gridSpan w:val="4"/>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文件编号</w:t>
            </w:r>
          </w:p>
        </w:tc>
        <w:tc>
          <w:tcPr>
            <w:tcW w:w="8421" w:type="dxa"/>
            <w:gridSpan w:val="4"/>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权   限</w:t>
            </w:r>
          </w:p>
        </w:tc>
        <w:tc>
          <w:tcPr>
            <w:tcW w:w="8421" w:type="dxa"/>
            <w:gridSpan w:val="4"/>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有效期</w:t>
            </w:r>
          </w:p>
        </w:tc>
        <w:tc>
          <w:tcPr>
            <w:tcW w:w="8421" w:type="dxa"/>
            <w:gridSpan w:val="4"/>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color w:val="auto"/>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60" w:lineRule="exact"/>
              <w:ind w:firstLine="240" w:firstLineChars="100"/>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企业</w:t>
            </w:r>
          </w:p>
          <w:p>
            <w:pPr>
              <w:tabs>
                <w:tab w:val="right" w:leader="dot" w:pos="9022"/>
              </w:tabs>
              <w:autoSpaceDE w:val="0"/>
              <w:autoSpaceDN w:val="0"/>
              <w:adjustRightInd w:val="0"/>
              <w:spacing w:line="560" w:lineRule="exact"/>
              <w:ind w:firstLine="240" w:firstLineChars="100"/>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信息</w:t>
            </w:r>
          </w:p>
        </w:tc>
        <w:tc>
          <w:tcPr>
            <w:tcW w:w="2470"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 xml:space="preserve">企 业 名 称 </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 定 地 址</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营业执照注册证号</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工商登记机关</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网        址</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表人</w:t>
            </w:r>
          </w:p>
        </w:tc>
        <w:tc>
          <w:tcPr>
            <w:tcW w:w="2470" w:type="dxa"/>
          </w:tcPr>
          <w:p>
            <w:pPr>
              <w:tabs>
                <w:tab w:val="right" w:leader="dot" w:pos="9022"/>
              </w:tabs>
              <w:autoSpaceDE w:val="0"/>
              <w:autoSpaceDN w:val="0"/>
              <w:adjustRightInd w:val="0"/>
              <w:spacing w:line="560" w:lineRule="exact"/>
              <w:ind w:firstLine="240" w:firstLineChars="100"/>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姓    名</w:t>
            </w:r>
          </w:p>
        </w:tc>
        <w:tc>
          <w:tcPr>
            <w:tcW w:w="1965"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36"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性    别</w:t>
            </w:r>
          </w:p>
        </w:tc>
        <w:tc>
          <w:tcPr>
            <w:tcW w:w="2650"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职    务</w:t>
            </w:r>
          </w:p>
        </w:tc>
        <w:tc>
          <w:tcPr>
            <w:tcW w:w="1965"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36"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联系电话</w:t>
            </w:r>
          </w:p>
        </w:tc>
        <w:tc>
          <w:tcPr>
            <w:tcW w:w="2650"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传    真</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通讯地址</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10042" w:type="dxa"/>
            <w:gridSpan w:val="5"/>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法定代表人身份证复印件</w:t>
            </w:r>
          </w:p>
          <w:p>
            <w:pPr>
              <w:tabs>
                <w:tab w:val="right" w:leader="dot" w:pos="9022"/>
              </w:tabs>
              <w:autoSpaceDE w:val="0"/>
              <w:autoSpaceDN w:val="0"/>
              <w:adjustRightInd w:val="0"/>
              <w:spacing w:line="560" w:lineRule="exact"/>
              <w:jc w:val="center"/>
              <w:rPr>
                <w:rFonts w:hint="eastAsia" w:ascii="仿宋" w:hAnsi="仿宋" w:eastAsia="仿宋" w:cs="仿宋"/>
                <w:color w:val="auto"/>
                <w:spacing w:val="-4"/>
                <w:szCs w:val="24"/>
                <w:highlight w:val="none"/>
              </w:rPr>
            </w:pP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color w:val="auto"/>
                <w:spacing w:val="-4"/>
                <w:szCs w:val="24"/>
                <w:highlight w:val="none"/>
              </w:rPr>
              <w:t>二代身份证正、反两面都需复印</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042" w:type="dxa"/>
            <w:gridSpan w:val="5"/>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042" w:type="dxa"/>
            <w:gridSpan w:val="5"/>
          </w:tcPr>
          <w:p>
            <w:pPr>
              <w:spacing w:line="560" w:lineRule="exact"/>
              <w:rPr>
                <w:rFonts w:hint="eastAsia" w:ascii="仿宋" w:hAnsi="仿宋" w:eastAsia="仿宋" w:cs="仿宋"/>
                <w:bCs/>
                <w:caps/>
                <w:color w:val="auto"/>
                <w:szCs w:val="24"/>
                <w:highlight w:val="non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      日 期：</w:t>
            </w:r>
          </w:p>
        </w:tc>
      </w:tr>
    </w:tbl>
    <w:p>
      <w:pPr>
        <w:spacing w:line="560" w:lineRule="exact"/>
        <w:ind w:left="240" w:leftChars="100"/>
        <w:jc w:val="center"/>
        <w:rPr>
          <w:rFonts w:hint="eastAsia" w:ascii="仿宋" w:hAnsi="仿宋" w:eastAsia="仿宋" w:cs="仿宋"/>
          <w:b/>
          <w:bCs/>
          <w:color w:val="auto"/>
          <w:szCs w:val="24"/>
          <w:highlight w:val="none"/>
        </w:rPr>
      </w:pPr>
      <w:r>
        <w:rPr>
          <w:rFonts w:hint="eastAsia" w:ascii="仿宋" w:hAnsi="仿宋" w:eastAsia="仿宋" w:cs="仿宋"/>
          <w:color w:val="auto"/>
          <w:kern w:val="0"/>
          <w:sz w:val="24"/>
          <w:highlight w:val="none"/>
          <w:u w:val="none"/>
        </w:rPr>
        <w:t>（法定代表人直接投标，只须提供法定代表人证明书及身份证原件）</w:t>
      </w:r>
      <w:r>
        <w:rPr>
          <w:rFonts w:hint="eastAsia" w:ascii="仿宋" w:hAnsi="仿宋" w:eastAsia="仿宋" w:cs="仿宋"/>
          <w:b/>
          <w:bCs/>
          <w:color w:val="auto"/>
          <w:szCs w:val="24"/>
          <w:highlight w:val="none"/>
        </w:rPr>
        <w:br w:type="page"/>
      </w:r>
    </w:p>
    <w:p>
      <w:pPr>
        <w:spacing w:line="560" w:lineRule="exact"/>
        <w:ind w:left="240" w:leftChars="10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法定代表人授权委托书</w:t>
      </w:r>
    </w:p>
    <w:tbl>
      <w:tblPr>
        <w:tblStyle w:val="24"/>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5"/>
        <w:gridCol w:w="1134"/>
        <w:gridCol w:w="708"/>
        <w:gridCol w:w="851"/>
        <w:gridCol w:w="155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5" w:type="dxa"/>
            <w:gridSpan w:val="7"/>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lang w:eastAsia="zh-CN"/>
              </w:rPr>
            </w:pPr>
            <w:r>
              <w:rPr>
                <w:rFonts w:hint="eastAsia" w:ascii="仿宋" w:hAnsi="仿宋" w:eastAsia="仿宋" w:cs="仿宋"/>
                <w:bCs/>
                <w:caps/>
                <w:color w:val="auto"/>
                <w:szCs w:val="24"/>
                <w:highlight w:val="none"/>
              </w:rPr>
              <w:t>致：</w:t>
            </w:r>
            <w:r>
              <w:rPr>
                <w:rFonts w:hint="eastAsia" w:ascii="仿宋" w:hAnsi="仿宋" w:eastAsia="仿宋" w:cs="仿宋"/>
                <w:bCs/>
                <w:caps/>
                <w:color w:val="auto"/>
                <w:szCs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被授</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权项</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目与</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内容</w:t>
            </w:r>
          </w:p>
        </w:tc>
        <w:tc>
          <w:tcPr>
            <w:tcW w:w="1355"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项目名称</w:t>
            </w:r>
          </w:p>
        </w:tc>
        <w:tc>
          <w:tcPr>
            <w:tcW w:w="7138" w:type="dxa"/>
            <w:gridSpan w:val="5"/>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文件编号</w:t>
            </w:r>
          </w:p>
        </w:tc>
        <w:tc>
          <w:tcPr>
            <w:tcW w:w="7138" w:type="dxa"/>
            <w:gridSpan w:val="5"/>
          </w:tcPr>
          <w:p>
            <w:pPr>
              <w:tabs>
                <w:tab w:val="right" w:leader="dot" w:pos="9022"/>
              </w:tabs>
              <w:autoSpaceDE w:val="0"/>
              <w:autoSpaceDN w:val="0"/>
              <w:adjustRightInd w:val="0"/>
              <w:spacing w:line="560" w:lineRule="exact"/>
              <w:ind w:firstLine="1200" w:firstLineChars="500"/>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授权范围</w:t>
            </w:r>
          </w:p>
        </w:tc>
        <w:tc>
          <w:tcPr>
            <w:tcW w:w="7138" w:type="dxa"/>
            <w:gridSpan w:val="5"/>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全权办理本次招标采购项目的投标、联系、洽谈、签约、执行等具体事务，签署全部有关文件、文书、协议及合同。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法律责任</w:t>
            </w:r>
          </w:p>
        </w:tc>
        <w:tc>
          <w:tcPr>
            <w:tcW w:w="7138" w:type="dxa"/>
            <w:gridSpan w:val="5"/>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授权期限</w:t>
            </w:r>
          </w:p>
        </w:tc>
        <w:tc>
          <w:tcPr>
            <w:tcW w:w="7138" w:type="dxa"/>
            <w:gridSpan w:val="5"/>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本授权书</w:t>
            </w:r>
            <w:r>
              <w:rPr>
                <w:rFonts w:hint="eastAsia" w:ascii="仿宋" w:hAnsi="仿宋" w:eastAsia="仿宋" w:cs="仿宋"/>
                <w:color w:val="auto"/>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企业信息</w:t>
            </w:r>
          </w:p>
        </w:tc>
        <w:tc>
          <w:tcPr>
            <w:tcW w:w="2489" w:type="dxa"/>
            <w:gridSpan w:val="2"/>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 xml:space="preserve">企 业 名 称 </w:t>
            </w:r>
          </w:p>
        </w:tc>
        <w:tc>
          <w:tcPr>
            <w:tcW w:w="6004" w:type="dxa"/>
            <w:gridSpan w:val="4"/>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2489" w:type="dxa"/>
            <w:gridSpan w:val="2"/>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 定 地 址</w:t>
            </w:r>
          </w:p>
        </w:tc>
        <w:tc>
          <w:tcPr>
            <w:tcW w:w="6004" w:type="dxa"/>
            <w:gridSpan w:val="4"/>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2489" w:type="dxa"/>
            <w:gridSpan w:val="2"/>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营业执照注册证号</w:t>
            </w:r>
          </w:p>
        </w:tc>
        <w:tc>
          <w:tcPr>
            <w:tcW w:w="6004" w:type="dxa"/>
            <w:gridSpan w:val="4"/>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w:t>
            </w:r>
          </w:p>
        </w:tc>
        <w:tc>
          <w:tcPr>
            <w:tcW w:w="1355"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姓名</w:t>
            </w:r>
          </w:p>
        </w:tc>
        <w:tc>
          <w:tcPr>
            <w:tcW w:w="2693" w:type="dxa"/>
            <w:gridSpan w:val="3"/>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性    别</w:t>
            </w:r>
          </w:p>
        </w:tc>
        <w:tc>
          <w:tcPr>
            <w:tcW w:w="2886"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职务</w:t>
            </w:r>
          </w:p>
        </w:tc>
        <w:tc>
          <w:tcPr>
            <w:tcW w:w="2693" w:type="dxa"/>
            <w:gridSpan w:val="3"/>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手机号码</w:t>
            </w:r>
          </w:p>
        </w:tc>
        <w:tc>
          <w:tcPr>
            <w:tcW w:w="2886" w:type="dxa"/>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被授权人</w:t>
            </w:r>
          </w:p>
        </w:tc>
        <w:tc>
          <w:tcPr>
            <w:tcW w:w="1355"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姓名</w:t>
            </w:r>
          </w:p>
        </w:tc>
        <w:tc>
          <w:tcPr>
            <w:tcW w:w="2693" w:type="dxa"/>
            <w:gridSpan w:val="3"/>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性    别</w:t>
            </w:r>
          </w:p>
        </w:tc>
        <w:tc>
          <w:tcPr>
            <w:tcW w:w="2886"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职务</w:t>
            </w:r>
          </w:p>
        </w:tc>
        <w:tc>
          <w:tcPr>
            <w:tcW w:w="2693" w:type="dxa"/>
            <w:gridSpan w:val="3"/>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手机号码</w:t>
            </w:r>
          </w:p>
        </w:tc>
        <w:tc>
          <w:tcPr>
            <w:tcW w:w="2886" w:type="dxa"/>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通讯地址</w:t>
            </w:r>
          </w:p>
        </w:tc>
        <w:tc>
          <w:tcPr>
            <w:tcW w:w="8493" w:type="dxa"/>
            <w:gridSpan w:val="6"/>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4899" w:type="dxa"/>
            <w:gridSpan w:val="4"/>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法定代表人身份证复印件</w:t>
            </w:r>
          </w:p>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二代身份证正、反两面都需复印</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（粘贴处）</w:t>
            </w:r>
          </w:p>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5296" w:type="dxa"/>
            <w:gridSpan w:val="3"/>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被授权人身份证复印件</w:t>
            </w:r>
          </w:p>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二代身份证正、反两面都需复印</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（粘贴处）</w:t>
            </w:r>
          </w:p>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899" w:type="dxa"/>
            <w:gridSpan w:val="4"/>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法定代表人签字或盖章：</w:t>
            </w:r>
          </w:p>
        </w:tc>
        <w:tc>
          <w:tcPr>
            <w:tcW w:w="5296" w:type="dxa"/>
            <w:gridSpan w:val="3"/>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被授权人签字或盖章：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195" w:type="dxa"/>
            <w:gridSpan w:val="7"/>
            <w:tcBorders>
              <w:bottom w:val="single" w:color="auto" w:sz="4" w:space="0"/>
            </w:tcBorders>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投标人名称：</w:t>
            </w:r>
            <w:r>
              <w:rPr>
                <w:rFonts w:hint="eastAsia" w:ascii="仿宋" w:hAnsi="仿宋" w:eastAsia="仿宋" w:cs="仿宋"/>
                <w:bCs/>
                <w:caps/>
                <w:color w:val="auto"/>
                <w:szCs w:val="24"/>
                <w:highlight w:val="none"/>
                <w:u w:val="single"/>
              </w:rPr>
              <w:t xml:space="preserve">             </w:t>
            </w:r>
            <w:r>
              <w:rPr>
                <w:rFonts w:hint="eastAsia" w:ascii="仿宋" w:hAnsi="仿宋" w:eastAsia="仿宋" w:cs="仿宋"/>
                <w:bCs/>
                <w:caps/>
                <w:color w:val="auto"/>
                <w:szCs w:val="24"/>
                <w:highlight w:val="none"/>
              </w:rPr>
              <w:t>（投标人单位公章）     日 期：</w:t>
            </w:r>
          </w:p>
        </w:tc>
      </w:tr>
      <w:bookmarkEnd w:id="201"/>
      <w:bookmarkEnd w:id="202"/>
      <w:bookmarkEnd w:id="203"/>
      <w:bookmarkEnd w:id="204"/>
      <w:bookmarkEnd w:id="205"/>
      <w:bookmarkEnd w:id="206"/>
      <w:bookmarkEnd w:id="207"/>
      <w:bookmarkEnd w:id="208"/>
      <w:bookmarkEnd w:id="209"/>
      <w:bookmarkEnd w:id="210"/>
    </w:tbl>
    <w:p>
      <w:pPr>
        <w:pStyle w:val="38"/>
        <w:spacing w:line="560" w:lineRule="exact"/>
        <w:ind w:firstLine="0" w:firstLineChars="0"/>
        <w:jc w:val="center"/>
        <w:rPr>
          <w:rFonts w:hint="eastAsia" w:ascii="仿宋" w:hAnsi="仿宋" w:eastAsia="仿宋" w:cs="仿宋"/>
          <w:b/>
          <w:color w:val="auto"/>
          <w:highlight w:val="none"/>
        </w:rPr>
      </w:pPr>
      <w:r>
        <w:rPr>
          <w:rFonts w:hint="eastAsia" w:ascii="仿宋" w:hAnsi="仿宋" w:eastAsia="仿宋" w:cs="仿宋"/>
          <w:bCs/>
          <w:caps/>
          <w:color w:val="auto"/>
          <w:szCs w:val="24"/>
          <w:highlight w:val="none"/>
        </w:rPr>
        <w:t xml:space="preserve"> </w:t>
      </w:r>
      <w:r>
        <w:rPr>
          <w:rFonts w:hint="eastAsia" w:ascii="仿宋" w:hAnsi="仿宋" w:eastAsia="仿宋" w:cs="仿宋"/>
          <w:color w:val="auto"/>
          <w:kern w:val="0"/>
          <w:sz w:val="24"/>
          <w:highlight w:val="none"/>
          <w:u w:val="none"/>
        </w:rPr>
        <w:t>（</w:t>
      </w:r>
      <w:r>
        <w:rPr>
          <w:rFonts w:hint="eastAsia" w:ascii="仿宋" w:hAnsi="仿宋" w:eastAsia="仿宋" w:cs="仿宋"/>
          <w:color w:val="auto"/>
          <w:kern w:val="0"/>
          <w:sz w:val="24"/>
          <w:highlight w:val="none"/>
          <w:u w:val="none"/>
          <w:lang w:eastAsia="zh-CN"/>
        </w:rPr>
        <w:t>被授权人投标时</w:t>
      </w:r>
      <w:r>
        <w:rPr>
          <w:rFonts w:hint="eastAsia" w:ascii="仿宋" w:hAnsi="仿宋" w:eastAsia="仿宋" w:cs="仿宋"/>
          <w:color w:val="auto"/>
          <w:kern w:val="0"/>
          <w:sz w:val="24"/>
          <w:highlight w:val="none"/>
          <w:u w:val="none"/>
        </w:rPr>
        <w:t>，须提供</w:t>
      </w:r>
      <w:r>
        <w:rPr>
          <w:rFonts w:hint="eastAsia" w:ascii="仿宋" w:hAnsi="仿宋" w:eastAsia="仿宋" w:cs="仿宋"/>
          <w:color w:val="auto"/>
          <w:kern w:val="0"/>
          <w:sz w:val="24"/>
          <w:highlight w:val="none"/>
          <w:u w:val="none"/>
          <w:lang w:eastAsia="zh-CN"/>
        </w:rPr>
        <w:t>法定代表人授权委托书</w:t>
      </w:r>
      <w:r>
        <w:rPr>
          <w:rFonts w:hint="eastAsia" w:ascii="仿宋" w:hAnsi="仿宋" w:eastAsia="仿宋" w:cs="仿宋"/>
          <w:color w:val="auto"/>
          <w:kern w:val="0"/>
          <w:sz w:val="24"/>
          <w:highlight w:val="none"/>
          <w:u w:val="none"/>
        </w:rPr>
        <w:t>及</w:t>
      </w:r>
      <w:r>
        <w:rPr>
          <w:rFonts w:hint="eastAsia" w:ascii="仿宋" w:hAnsi="仿宋" w:eastAsia="仿宋" w:cs="仿宋"/>
          <w:color w:val="auto"/>
          <w:kern w:val="0"/>
          <w:sz w:val="24"/>
          <w:highlight w:val="none"/>
          <w:u w:val="none"/>
          <w:lang w:eastAsia="zh-CN"/>
        </w:rPr>
        <w:t>被授权人身份证</w:t>
      </w:r>
      <w:r>
        <w:rPr>
          <w:rFonts w:hint="eastAsia" w:ascii="仿宋" w:hAnsi="仿宋" w:eastAsia="仿宋" w:cs="仿宋"/>
          <w:color w:val="auto"/>
          <w:kern w:val="0"/>
          <w:sz w:val="24"/>
          <w:highlight w:val="none"/>
          <w:u w:val="none"/>
        </w:rPr>
        <w:t>原件）</w:t>
      </w:r>
    </w:p>
    <w:p>
      <w:pPr>
        <w:pStyle w:val="38"/>
        <w:spacing w:line="560" w:lineRule="exact"/>
        <w:ind w:left="0" w:leftChars="0" w:firstLine="0" w:firstLineChars="0"/>
        <w:rPr>
          <w:rFonts w:hint="eastAsia" w:ascii="仿宋" w:hAnsi="仿宋" w:eastAsia="仿宋" w:cs="仿宋"/>
          <w:b/>
          <w:color w:val="auto"/>
          <w:sz w:val="20"/>
          <w:szCs w:val="16"/>
          <w:highlight w:val="none"/>
        </w:rPr>
      </w:pPr>
      <w:r>
        <w:rPr>
          <w:rFonts w:hint="eastAsia" w:ascii="仿宋" w:hAnsi="仿宋" w:eastAsia="仿宋" w:cs="仿宋"/>
          <w:b/>
          <w:color w:val="auto"/>
          <w:highlight w:val="none"/>
          <w:lang w:val="en-US" w:eastAsia="zh-CN"/>
        </w:rPr>
        <w:t>9</w:t>
      </w:r>
      <w:r>
        <w:rPr>
          <w:rFonts w:hint="eastAsia" w:ascii="仿宋" w:hAnsi="仿宋" w:eastAsia="仿宋" w:cs="仿宋"/>
          <w:b/>
          <w:color w:val="auto"/>
          <w:highlight w:val="none"/>
        </w:rPr>
        <w:t>.</w:t>
      </w:r>
      <w:r>
        <w:rPr>
          <w:rFonts w:hint="eastAsia" w:ascii="仿宋" w:hAnsi="仿宋" w:eastAsia="仿宋" w:cs="仿宋"/>
          <w:b/>
          <w:color w:val="auto"/>
          <w:highlight w:val="none"/>
          <w:lang w:eastAsia="zh-CN"/>
        </w:rPr>
        <w:t>2020年1月1日</w:t>
      </w:r>
      <w:r>
        <w:rPr>
          <w:rFonts w:hint="eastAsia" w:ascii="仿宋" w:hAnsi="仿宋" w:eastAsia="仿宋" w:cs="仿宋"/>
          <w:b/>
          <w:color w:val="auto"/>
          <w:highlight w:val="none"/>
        </w:rPr>
        <w:t>至今</w:t>
      </w:r>
      <w:bookmarkStart w:id="211" w:name="_Toc188808842"/>
      <w:bookmarkStart w:id="212" w:name="_Toc193126891"/>
      <w:r>
        <w:rPr>
          <w:rFonts w:hint="eastAsia" w:ascii="仿宋" w:hAnsi="仿宋" w:eastAsia="仿宋" w:cs="仿宋"/>
          <w:b/>
          <w:color w:val="auto"/>
          <w:highlight w:val="none"/>
          <w:lang w:eastAsia="zh-CN"/>
        </w:rPr>
        <w:t>类似项目业绩</w:t>
      </w:r>
      <w:r>
        <w:rPr>
          <w:rFonts w:hint="eastAsia" w:ascii="仿宋" w:hAnsi="仿宋" w:eastAsia="仿宋" w:cs="仿宋"/>
          <w:b/>
          <w:color w:val="auto"/>
          <w:highlight w:val="none"/>
        </w:rPr>
        <w:t>（以合同为准</w:t>
      </w:r>
      <w:r>
        <w:rPr>
          <w:rFonts w:hint="eastAsia" w:ascii="仿宋" w:hAnsi="仿宋" w:eastAsia="仿宋" w:cs="仿宋"/>
          <w:b/>
          <w:color w:val="auto"/>
          <w:highlight w:val="none"/>
          <w:lang w:eastAsia="zh-CN"/>
        </w:rPr>
        <w:t>，</w:t>
      </w:r>
      <w:r>
        <w:rPr>
          <w:rFonts w:hint="eastAsia" w:ascii="仿宋" w:hAnsi="仿宋" w:eastAsia="仿宋" w:cs="仿宋"/>
          <w:b/>
          <w:color w:val="auto"/>
          <w:highlight w:val="none"/>
          <w:lang w:val="en-US" w:eastAsia="zh-CN"/>
        </w:rPr>
        <w:t>复印件加盖公章</w:t>
      </w:r>
      <w:r>
        <w:rPr>
          <w:rFonts w:hint="eastAsia" w:ascii="仿宋" w:hAnsi="仿宋" w:eastAsia="仿宋" w:cs="仿宋"/>
          <w:b/>
          <w:color w:val="auto"/>
          <w:highlight w:val="none"/>
        </w:rPr>
        <w:t>）</w:t>
      </w:r>
    </w:p>
    <w:p>
      <w:pPr>
        <w:pStyle w:val="38"/>
        <w:spacing w:line="560" w:lineRule="exact"/>
        <w:ind w:firstLine="0" w:firstLineChars="0"/>
        <w:rPr>
          <w:rFonts w:hint="eastAsia" w:ascii="仿宋" w:hAnsi="仿宋" w:eastAsia="仿宋" w:cs="仿宋"/>
          <w:b/>
          <w:color w:val="auto"/>
          <w:szCs w:val="28"/>
          <w:highlight w:val="none"/>
        </w:rPr>
      </w:pPr>
      <w:bookmarkStart w:id="213" w:name="_Toc937"/>
      <w:bookmarkStart w:id="214" w:name="_Toc14386"/>
      <w:bookmarkStart w:id="215" w:name="_Toc458617479"/>
    </w:p>
    <w:p>
      <w:pPr>
        <w:pStyle w:val="38"/>
        <w:spacing w:line="560" w:lineRule="exact"/>
        <w:ind w:firstLine="0" w:firstLineChars="0"/>
        <w:rPr>
          <w:rFonts w:hint="eastAsia" w:ascii="仿宋" w:hAnsi="仿宋" w:eastAsia="仿宋" w:cs="仿宋"/>
          <w:b/>
          <w:color w:val="auto"/>
          <w:szCs w:val="28"/>
          <w:highlight w:val="none"/>
        </w:rPr>
      </w:pPr>
    </w:p>
    <w:p>
      <w:pPr>
        <w:pStyle w:val="38"/>
        <w:spacing w:line="560" w:lineRule="exact"/>
        <w:ind w:left="0" w:leftChars="0" w:firstLine="0" w:firstLineChars="0"/>
        <w:rPr>
          <w:rFonts w:hint="eastAsia" w:ascii="仿宋" w:hAnsi="仿宋" w:eastAsia="仿宋" w:cs="仿宋"/>
          <w:b/>
          <w:bCs/>
          <w:color w:val="auto"/>
          <w:sz w:val="28"/>
          <w:szCs w:val="28"/>
          <w:highlight w:val="none"/>
        </w:rPr>
      </w:pPr>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0</w:t>
      </w:r>
      <w:r>
        <w:rPr>
          <w:rFonts w:hint="eastAsia" w:ascii="仿宋" w:hAnsi="仿宋" w:eastAsia="仿宋" w:cs="仿宋"/>
          <w:b/>
          <w:color w:val="auto"/>
          <w:highlight w:val="none"/>
        </w:rPr>
        <w:t>.产品的合法渠道证明文件</w:t>
      </w:r>
      <w:bookmarkEnd w:id="213"/>
      <w:bookmarkEnd w:id="214"/>
      <w:bookmarkEnd w:id="215"/>
      <w:bookmarkStart w:id="216" w:name="_Toc193187107"/>
      <w:bookmarkStart w:id="217" w:name="_Toc193126901"/>
      <w:bookmarkStart w:id="218" w:name="_Toc194663938"/>
      <w:bookmarkStart w:id="219" w:name="_Toc23126"/>
      <w:bookmarkStart w:id="220" w:name="_Toc458617480"/>
      <w:bookmarkStart w:id="221" w:name="_Toc23774"/>
    </w:p>
    <w:p>
      <w:pPr>
        <w:pStyle w:val="11"/>
        <w:rPr>
          <w:rFonts w:hint="eastAsia" w:ascii="仿宋" w:hAnsi="仿宋" w:eastAsia="仿宋" w:cs="仿宋"/>
          <w:color w:val="auto"/>
          <w:highlight w:val="none"/>
        </w:rPr>
      </w:pPr>
    </w:p>
    <w:p>
      <w:pPr>
        <w:pStyle w:val="38"/>
        <w:spacing w:line="560" w:lineRule="exact"/>
        <w:ind w:firstLineChars="71"/>
        <w:rPr>
          <w:rFonts w:hint="eastAsia" w:ascii="仿宋" w:hAnsi="仿宋" w:eastAsia="仿宋" w:cs="仿宋"/>
          <w:b/>
          <w:color w:val="auto"/>
          <w:highlight w:val="none"/>
        </w:rPr>
      </w:pPr>
    </w:p>
    <w:p>
      <w:pPr>
        <w:pStyle w:val="38"/>
        <w:spacing w:line="560" w:lineRule="exact"/>
        <w:ind w:left="0" w:leftChars="0"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1</w:t>
      </w:r>
      <w:r>
        <w:rPr>
          <w:rFonts w:hint="eastAsia" w:ascii="仿宋" w:hAnsi="仿宋" w:eastAsia="仿宋" w:cs="仿宋"/>
          <w:b/>
          <w:color w:val="auto"/>
          <w:highlight w:val="none"/>
        </w:rPr>
        <w:t>.</w:t>
      </w:r>
      <w:bookmarkEnd w:id="216"/>
      <w:bookmarkEnd w:id="217"/>
      <w:bookmarkEnd w:id="218"/>
      <w:r>
        <w:rPr>
          <w:rFonts w:hint="eastAsia" w:ascii="仿宋" w:hAnsi="仿宋" w:eastAsia="仿宋" w:cs="仿宋"/>
          <w:b/>
          <w:color w:val="auto"/>
          <w:highlight w:val="none"/>
        </w:rPr>
        <w:t>项目实施方案</w:t>
      </w:r>
    </w:p>
    <w:bookmarkEnd w:id="219"/>
    <w:bookmarkEnd w:id="220"/>
    <w:bookmarkEnd w:id="221"/>
    <w:p>
      <w:pPr>
        <w:pStyle w:val="38"/>
        <w:spacing w:line="560" w:lineRule="exact"/>
        <w:ind w:firstLineChars="71"/>
        <w:rPr>
          <w:rFonts w:hint="eastAsia" w:ascii="仿宋" w:hAnsi="仿宋" w:eastAsia="仿宋" w:cs="仿宋"/>
          <w:b/>
          <w:color w:val="auto"/>
          <w:szCs w:val="28"/>
          <w:highlight w:val="none"/>
        </w:rPr>
      </w:pPr>
      <w:bookmarkStart w:id="222" w:name="_Toc193187108"/>
      <w:bookmarkStart w:id="223" w:name="_Toc188808852"/>
      <w:bookmarkStart w:id="224" w:name="_Toc193126902"/>
      <w:bookmarkStart w:id="225" w:name="_Toc194663939"/>
    </w:p>
    <w:p>
      <w:pPr>
        <w:pStyle w:val="38"/>
        <w:spacing w:line="560" w:lineRule="exact"/>
        <w:ind w:left="0" w:leftChars="0" w:firstLine="0" w:firstLineChars="0"/>
        <w:rPr>
          <w:rFonts w:hint="eastAsia" w:ascii="仿宋" w:hAnsi="仿宋" w:eastAsia="仿宋" w:cs="仿宋"/>
          <w:b/>
          <w:color w:val="auto"/>
          <w:szCs w:val="28"/>
          <w:highlight w:val="none"/>
        </w:rPr>
      </w:pPr>
    </w:p>
    <w:p>
      <w:pPr>
        <w:pStyle w:val="38"/>
        <w:spacing w:line="560" w:lineRule="exact"/>
        <w:ind w:left="0" w:leftChars="0" w:firstLine="0" w:firstLineChars="0"/>
        <w:rPr>
          <w:rFonts w:hint="eastAsia" w:ascii="仿宋" w:hAnsi="仿宋" w:eastAsia="仿宋" w:cs="仿宋"/>
          <w:b/>
          <w:color w:val="auto"/>
          <w:szCs w:val="28"/>
          <w:highlight w:val="none"/>
          <w:lang w:val="en-US" w:eastAsia="zh-CN"/>
        </w:rPr>
      </w:pPr>
      <w:r>
        <w:rPr>
          <w:rFonts w:hint="eastAsia" w:ascii="仿宋" w:hAnsi="仿宋" w:eastAsia="仿宋" w:cs="仿宋"/>
          <w:b/>
          <w:color w:val="auto"/>
          <w:szCs w:val="28"/>
          <w:highlight w:val="none"/>
          <w:lang w:val="en-US" w:eastAsia="zh-CN"/>
        </w:rPr>
        <w:t>12.安装施工</w:t>
      </w:r>
    </w:p>
    <w:p>
      <w:pPr>
        <w:pStyle w:val="38"/>
        <w:spacing w:line="560" w:lineRule="exact"/>
        <w:ind w:left="0" w:leftChars="0" w:firstLine="0" w:firstLineChars="0"/>
        <w:rPr>
          <w:rFonts w:hint="eastAsia" w:ascii="仿宋" w:hAnsi="仿宋" w:eastAsia="仿宋" w:cs="仿宋"/>
          <w:b/>
          <w:color w:val="auto"/>
          <w:szCs w:val="28"/>
          <w:highlight w:val="none"/>
        </w:rPr>
      </w:pPr>
    </w:p>
    <w:p>
      <w:pPr>
        <w:pStyle w:val="38"/>
        <w:spacing w:line="560" w:lineRule="exact"/>
        <w:ind w:left="0" w:leftChars="0" w:firstLine="0" w:firstLineChars="0"/>
        <w:rPr>
          <w:rFonts w:hint="eastAsia" w:ascii="仿宋" w:hAnsi="仿宋" w:eastAsia="仿宋" w:cs="仿宋"/>
          <w:b/>
          <w:color w:val="auto"/>
          <w:szCs w:val="28"/>
          <w:highlight w:val="none"/>
        </w:rPr>
      </w:pPr>
    </w:p>
    <w:p>
      <w:pPr>
        <w:pStyle w:val="38"/>
        <w:spacing w:line="560" w:lineRule="exact"/>
        <w:ind w:left="0" w:leftChars="0" w:firstLine="0" w:firstLineChars="0"/>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1</w:t>
      </w:r>
      <w:r>
        <w:rPr>
          <w:rFonts w:hint="eastAsia" w:ascii="仿宋" w:hAnsi="仿宋" w:eastAsia="仿宋" w:cs="仿宋"/>
          <w:b/>
          <w:color w:val="auto"/>
          <w:szCs w:val="28"/>
          <w:highlight w:val="none"/>
          <w:lang w:val="en-US" w:eastAsia="zh-CN"/>
        </w:rPr>
        <w:t>3</w:t>
      </w:r>
      <w:r>
        <w:rPr>
          <w:rFonts w:hint="eastAsia" w:ascii="仿宋" w:hAnsi="仿宋" w:eastAsia="仿宋" w:cs="仿宋"/>
          <w:b/>
          <w:color w:val="auto"/>
          <w:szCs w:val="28"/>
          <w:highlight w:val="none"/>
        </w:rPr>
        <w:t>.</w:t>
      </w:r>
      <w:r>
        <w:rPr>
          <w:rFonts w:hint="eastAsia" w:ascii="仿宋" w:hAnsi="仿宋" w:eastAsia="仿宋" w:cs="仿宋"/>
          <w:b/>
          <w:color w:val="auto"/>
          <w:highlight w:val="none"/>
        </w:rPr>
        <w:t>产品的技术文件</w:t>
      </w:r>
    </w:p>
    <w:p>
      <w:pPr>
        <w:pStyle w:val="38"/>
        <w:spacing w:line="560" w:lineRule="exact"/>
        <w:ind w:left="0" w:leftChars="0" w:firstLine="0" w:firstLineChars="0"/>
        <w:rPr>
          <w:rFonts w:hint="eastAsia" w:ascii="仿宋" w:hAnsi="仿宋" w:eastAsia="仿宋" w:cs="仿宋"/>
          <w:b/>
          <w:color w:val="auto"/>
          <w:highlight w:val="none"/>
        </w:rPr>
      </w:pPr>
      <w:bookmarkStart w:id="226" w:name="_Toc8306"/>
      <w:bookmarkStart w:id="227" w:name="_Toc17505"/>
      <w:bookmarkStart w:id="228" w:name="_Toc458617481"/>
    </w:p>
    <w:p>
      <w:pPr>
        <w:pStyle w:val="38"/>
        <w:spacing w:line="560" w:lineRule="exact"/>
        <w:ind w:firstLineChars="71"/>
        <w:rPr>
          <w:rFonts w:hint="eastAsia" w:ascii="仿宋" w:hAnsi="仿宋" w:eastAsia="仿宋" w:cs="仿宋"/>
          <w:b/>
          <w:color w:val="auto"/>
          <w:highlight w:val="none"/>
        </w:rPr>
      </w:pPr>
    </w:p>
    <w:p>
      <w:pPr>
        <w:pStyle w:val="38"/>
        <w:spacing w:line="560" w:lineRule="exact"/>
        <w:ind w:left="0" w:leftChars="0"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4</w:t>
      </w:r>
      <w:r>
        <w:rPr>
          <w:rFonts w:hint="eastAsia" w:ascii="仿宋" w:hAnsi="仿宋" w:eastAsia="仿宋" w:cs="仿宋"/>
          <w:b/>
          <w:color w:val="auto"/>
          <w:highlight w:val="none"/>
        </w:rPr>
        <w:t>.质量保证</w:t>
      </w:r>
      <w:bookmarkEnd w:id="222"/>
      <w:bookmarkEnd w:id="223"/>
      <w:bookmarkEnd w:id="224"/>
      <w:bookmarkEnd w:id="225"/>
      <w:bookmarkEnd w:id="226"/>
      <w:bookmarkEnd w:id="227"/>
      <w:bookmarkEnd w:id="228"/>
      <w:bookmarkStart w:id="229" w:name="_Toc194663941"/>
      <w:bookmarkStart w:id="230" w:name="_Toc193126904"/>
      <w:bookmarkStart w:id="231" w:name="_Toc193187110"/>
      <w:bookmarkStart w:id="232" w:name="_Toc188808854"/>
      <w:r>
        <w:rPr>
          <w:rFonts w:hint="eastAsia" w:ascii="仿宋" w:hAnsi="仿宋" w:eastAsia="仿宋" w:cs="仿宋"/>
          <w:b/>
          <w:color w:val="auto"/>
          <w:highlight w:val="none"/>
        </w:rPr>
        <w:t xml:space="preserve">承诺 </w:t>
      </w:r>
    </w:p>
    <w:p>
      <w:pPr>
        <w:spacing w:line="560" w:lineRule="exact"/>
        <w:outlineLvl w:val="1"/>
        <w:rPr>
          <w:rFonts w:hint="eastAsia" w:ascii="仿宋" w:hAnsi="仿宋" w:eastAsia="仿宋" w:cs="仿宋"/>
          <w:b/>
          <w:color w:val="auto"/>
          <w:sz w:val="28"/>
          <w:szCs w:val="28"/>
          <w:highlight w:val="none"/>
        </w:rPr>
      </w:pPr>
    </w:p>
    <w:p>
      <w:pPr>
        <w:pStyle w:val="15"/>
        <w:rPr>
          <w:rFonts w:hint="eastAsia" w:ascii="仿宋" w:hAnsi="仿宋" w:eastAsia="仿宋" w:cs="仿宋"/>
          <w:color w:val="auto"/>
          <w:highlight w:val="none"/>
        </w:rPr>
      </w:pPr>
    </w:p>
    <w:p>
      <w:pPr>
        <w:pStyle w:val="15"/>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38"/>
        <w:spacing w:line="560" w:lineRule="exact"/>
        <w:ind w:left="0" w:leftChars="0" w:firstLine="0" w:firstLineChars="0"/>
        <w:rPr>
          <w:rFonts w:hint="eastAsia" w:ascii="仿宋" w:hAnsi="仿宋" w:eastAsia="仿宋" w:cs="仿宋"/>
          <w:b/>
          <w:color w:val="auto"/>
          <w:highlight w:val="none"/>
        </w:rPr>
      </w:pPr>
      <w:bookmarkStart w:id="233" w:name="_Toc21757"/>
      <w:bookmarkStart w:id="234" w:name="_Toc2456"/>
      <w:bookmarkStart w:id="235" w:name="_Toc458617482"/>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5</w:t>
      </w:r>
      <w:r>
        <w:rPr>
          <w:rFonts w:hint="eastAsia" w:ascii="仿宋" w:hAnsi="仿宋" w:eastAsia="仿宋" w:cs="仿宋"/>
          <w:b/>
          <w:color w:val="auto"/>
          <w:highlight w:val="none"/>
        </w:rPr>
        <w:t>.售后服务</w:t>
      </w:r>
      <w:bookmarkEnd w:id="229"/>
      <w:bookmarkEnd w:id="230"/>
      <w:bookmarkEnd w:id="231"/>
      <w:bookmarkEnd w:id="232"/>
      <w:bookmarkEnd w:id="233"/>
      <w:bookmarkEnd w:id="234"/>
      <w:bookmarkEnd w:id="235"/>
      <w:bookmarkStart w:id="236" w:name="_Toc6260"/>
      <w:bookmarkStart w:id="237" w:name="_Toc458617483"/>
      <w:bookmarkStart w:id="238" w:name="_Toc11302"/>
      <w:bookmarkStart w:id="239" w:name="_Toc193126905"/>
      <w:bookmarkStart w:id="240" w:name="_Toc193187111"/>
      <w:bookmarkStart w:id="241" w:name="_Toc188808855"/>
      <w:bookmarkStart w:id="242" w:name="_Toc194663942"/>
      <w:r>
        <w:rPr>
          <w:rFonts w:hint="eastAsia" w:ascii="仿宋" w:hAnsi="仿宋" w:eastAsia="仿宋" w:cs="仿宋"/>
          <w:b/>
          <w:color w:val="auto"/>
          <w:highlight w:val="none"/>
          <w:lang w:eastAsia="zh-CN"/>
        </w:rPr>
        <w:t>及</w:t>
      </w:r>
      <w:r>
        <w:rPr>
          <w:rFonts w:hint="eastAsia" w:ascii="仿宋" w:hAnsi="仿宋" w:eastAsia="仿宋" w:cs="仿宋"/>
          <w:b/>
          <w:color w:val="auto"/>
          <w:highlight w:val="none"/>
        </w:rPr>
        <w:t>培训计划</w:t>
      </w:r>
      <w:bookmarkEnd w:id="236"/>
      <w:bookmarkEnd w:id="237"/>
      <w:bookmarkEnd w:id="238"/>
    </w:p>
    <w:p>
      <w:pPr>
        <w:pStyle w:val="38"/>
        <w:spacing w:line="560" w:lineRule="exact"/>
        <w:ind w:firstLine="0" w:firstLineChars="0"/>
        <w:rPr>
          <w:rFonts w:hint="eastAsia" w:ascii="仿宋" w:hAnsi="仿宋" w:eastAsia="仿宋" w:cs="仿宋"/>
          <w:b/>
          <w:color w:val="auto"/>
          <w:highlight w:val="none"/>
        </w:rPr>
      </w:pPr>
      <w:bookmarkStart w:id="243" w:name="_Toc27682"/>
      <w:bookmarkStart w:id="244" w:name="_Toc6949"/>
      <w:bookmarkStart w:id="245" w:name="_Toc458617484"/>
    </w:p>
    <w:p>
      <w:pPr>
        <w:pStyle w:val="38"/>
        <w:spacing w:line="560" w:lineRule="exact"/>
        <w:ind w:firstLine="0" w:firstLineChars="0"/>
        <w:rPr>
          <w:rFonts w:hint="eastAsia" w:ascii="仿宋" w:hAnsi="仿宋" w:eastAsia="仿宋" w:cs="仿宋"/>
          <w:b/>
          <w:color w:val="auto"/>
          <w:highlight w:val="none"/>
        </w:rPr>
      </w:pPr>
    </w:p>
    <w:p>
      <w:pPr>
        <w:pStyle w:val="38"/>
        <w:spacing w:line="560" w:lineRule="exact"/>
        <w:ind w:left="0" w:leftChars="0" w:firstLine="0" w:firstLineChars="0"/>
        <w:rPr>
          <w:rFonts w:hint="eastAsia" w:ascii="仿宋" w:hAnsi="仿宋" w:eastAsia="仿宋" w:cs="仿宋"/>
          <w:bCs/>
          <w:color w:val="auto"/>
          <w:sz w:val="24"/>
          <w:szCs w:val="21"/>
          <w:highlight w:val="none"/>
        </w:rPr>
      </w:pPr>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6</w:t>
      </w:r>
      <w:r>
        <w:rPr>
          <w:rFonts w:hint="eastAsia" w:ascii="仿宋" w:hAnsi="仿宋" w:eastAsia="仿宋" w:cs="仿宋"/>
          <w:b/>
          <w:color w:val="auto"/>
          <w:highlight w:val="none"/>
        </w:rPr>
        <w:t>.投标人认为有必要补充说明的事宜</w:t>
      </w:r>
      <w:bookmarkEnd w:id="243"/>
      <w:bookmarkEnd w:id="244"/>
      <w:bookmarkEnd w:id="245"/>
      <w:r>
        <w:rPr>
          <w:rFonts w:hint="eastAsia" w:ascii="仿宋" w:hAnsi="仿宋" w:eastAsia="仿宋" w:cs="仿宋"/>
          <w:bCs/>
          <w:color w:val="auto"/>
          <w:sz w:val="24"/>
          <w:szCs w:val="21"/>
          <w:highlight w:val="none"/>
        </w:rPr>
        <w:t>（若有）</w:t>
      </w:r>
    </w:p>
    <w:p>
      <w:pPr>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br w:type="page"/>
      </w:r>
    </w:p>
    <w:p>
      <w:pPr>
        <w:pStyle w:val="38"/>
        <w:spacing w:line="560" w:lineRule="exact"/>
        <w:ind w:left="0" w:leftChars="0" w:firstLine="0" w:firstLineChars="0"/>
        <w:rPr>
          <w:rFonts w:hint="eastAsia" w:ascii="仿宋" w:hAnsi="仿宋" w:eastAsia="仿宋" w:cs="仿宋"/>
          <w:b/>
          <w:color w:val="auto"/>
          <w:highlight w:val="none"/>
        </w:rPr>
      </w:pPr>
      <w:r>
        <w:rPr>
          <w:rFonts w:hint="eastAsia" w:ascii="仿宋" w:hAnsi="仿宋" w:eastAsia="仿宋" w:cs="仿宋"/>
          <w:b/>
          <w:bCs/>
          <w:color w:val="auto"/>
          <w:szCs w:val="28"/>
          <w:highlight w:val="none"/>
        </w:rPr>
        <w:t>1</w:t>
      </w:r>
      <w:r>
        <w:rPr>
          <w:rFonts w:hint="eastAsia" w:ascii="仿宋" w:hAnsi="仿宋" w:eastAsia="仿宋" w:cs="仿宋"/>
          <w:b/>
          <w:bCs/>
          <w:color w:val="auto"/>
          <w:szCs w:val="28"/>
          <w:highlight w:val="none"/>
          <w:lang w:val="en-US" w:eastAsia="zh-CN"/>
        </w:rPr>
        <w:t>7</w:t>
      </w:r>
      <w:r>
        <w:rPr>
          <w:rFonts w:hint="eastAsia" w:ascii="仿宋" w:hAnsi="仿宋" w:eastAsia="仿宋" w:cs="仿宋"/>
          <w:b/>
          <w:bCs/>
          <w:color w:val="auto"/>
          <w:szCs w:val="28"/>
          <w:highlight w:val="none"/>
        </w:rPr>
        <w:t>.</w:t>
      </w:r>
      <w:bookmarkEnd w:id="239"/>
      <w:bookmarkEnd w:id="240"/>
      <w:bookmarkEnd w:id="241"/>
      <w:bookmarkEnd w:id="242"/>
      <w:r>
        <w:rPr>
          <w:rFonts w:hint="eastAsia" w:ascii="仿宋" w:hAnsi="仿宋" w:eastAsia="仿宋" w:cs="仿宋"/>
          <w:b/>
          <w:bCs/>
          <w:color w:val="auto"/>
          <w:szCs w:val="28"/>
          <w:highlight w:val="none"/>
          <w:lang w:eastAsia="zh-CN"/>
        </w:rPr>
        <w:t>投标人承诺书</w:t>
      </w:r>
    </w:p>
    <w:p>
      <w:pPr>
        <w:widowControl/>
        <w:spacing w:line="560" w:lineRule="exact"/>
        <w:rPr>
          <w:rFonts w:hint="eastAsia" w:ascii="仿宋" w:hAnsi="仿宋" w:eastAsia="仿宋" w:cs="仿宋"/>
          <w:b/>
          <w:bCs/>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32"/>
          <w:szCs w:val="32"/>
          <w:highlight w:val="none"/>
        </w:rPr>
        <w:t xml:space="preserve">                   </w:t>
      </w:r>
      <w:r>
        <w:rPr>
          <w:rFonts w:hint="eastAsia" w:ascii="仿宋" w:hAnsi="仿宋" w:eastAsia="仿宋" w:cs="仿宋"/>
          <w:b/>
          <w:bCs/>
          <w:color w:val="auto"/>
          <w:kern w:val="0"/>
          <w:sz w:val="30"/>
          <w:szCs w:val="30"/>
          <w:highlight w:val="none"/>
        </w:rPr>
        <w:t xml:space="preserve"> </w:t>
      </w:r>
      <w:r>
        <w:rPr>
          <w:rFonts w:hint="eastAsia" w:ascii="仿宋" w:hAnsi="仿宋" w:eastAsia="仿宋" w:cs="仿宋"/>
          <w:b/>
          <w:bCs/>
          <w:color w:val="auto"/>
          <w:kern w:val="0"/>
          <w:sz w:val="28"/>
          <w:szCs w:val="28"/>
          <w:highlight w:val="none"/>
        </w:rPr>
        <w:t>陕西省政府采购投标人</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拒绝政府采购领域商业贿赂承诺书Ⅰ</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kern w:val="0"/>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为响应党中央、国务院关于治理政府采购领域商业贿赂行为的号召，</w:t>
      </w:r>
      <w:r>
        <w:rPr>
          <w:rFonts w:hint="eastAsia" w:ascii="仿宋" w:hAnsi="仿宋" w:eastAsia="仿宋" w:cs="仿宋"/>
          <w:color w:val="auto"/>
          <w:kern w:val="0"/>
          <w:highlight w:val="none"/>
        </w:rPr>
        <w:t xml:space="preserve">我单位作为     </w:t>
      </w:r>
      <w:r>
        <w:rPr>
          <w:rFonts w:hint="eastAsia" w:ascii="仿宋" w:hAnsi="仿宋" w:eastAsia="仿宋" w:cs="仿宋"/>
          <w:color w:val="auto"/>
          <w:kern w:val="0"/>
          <w:highlight w:val="none"/>
          <w:u w:val="single"/>
        </w:rPr>
        <w:t xml:space="preserve">（项目名称）         </w:t>
      </w:r>
      <w:r>
        <w:rPr>
          <w:rFonts w:hint="eastAsia" w:ascii="仿宋" w:hAnsi="仿宋" w:eastAsia="仿宋" w:cs="仿宋"/>
          <w:color w:val="auto"/>
          <w:kern w:val="0"/>
          <w:highlight w:val="none"/>
        </w:rPr>
        <w:t xml:space="preserve"> 的投标人，</w:t>
      </w:r>
      <w:r>
        <w:rPr>
          <w:rFonts w:hint="eastAsia" w:ascii="仿宋" w:hAnsi="仿宋" w:eastAsia="仿宋" w:cs="仿宋"/>
          <w:color w:val="auto"/>
          <w:kern w:val="0"/>
          <w:szCs w:val="24"/>
          <w:highlight w:val="none"/>
        </w:rPr>
        <w:t xml:space="preserve">在此庄严承诺：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1、在参与政府采购活动中遵纪守法、诚信经营、公平竞标。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2、不向采购人、采购代理机构和政府采购评审专家进行任何形式的商业贿赂以谋取交易机会。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3、不向政府采购采购代理机构和采购人提供虚假资质文件或采用虚假应标方式参与政府采购市场竞争并谋取中标、成交。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4、不采取“围标、陪标”等商业欺诈手段获得政府采购定单。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5、不采取不正当手段低毁、排挤其他投标人。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6、不在提供商品和服务时“偷梁换柱、以次充好”损害采购人的合法权益。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7、不与采购人、采购代理机构政府采购评审专家或其它投标人恶意串通，进行质疑和投诉，维护政府采购市场秩序。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8、尊重和接受政府采购监督管理部门的监督和政府采购代理机构招标要求，承担因违约行为给采购人造成的损失。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9、不发生其他有悖于政府采购公开、公平、公正和诚信原则的行为。 </w:t>
      </w:r>
    </w:p>
    <w:p>
      <w:pPr>
        <w:pStyle w:val="17"/>
        <w:rPr>
          <w:rFonts w:hint="eastAsia" w:ascii="仿宋" w:hAnsi="仿宋" w:eastAsia="仿宋" w:cs="仿宋"/>
          <w:color w:val="auto"/>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 xml:space="preserve"> </w:t>
      </w:r>
    </w:p>
    <w:p>
      <w:pP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br w:type="page"/>
      </w:r>
    </w:p>
    <w:p>
      <w:pPr>
        <w:keepNext w:val="0"/>
        <w:keepLines w:val="0"/>
        <w:pageBreakBefore w:val="0"/>
        <w:widowControl/>
        <w:kinsoku/>
        <w:wordWrap/>
        <w:overflowPunct/>
        <w:topLinePunct w:val="0"/>
        <w:autoSpaceDE/>
        <w:autoSpaceDN/>
        <w:bidi w:val="0"/>
        <w:adjustRightInd/>
        <w:snapToGrid/>
        <w:spacing w:line="560" w:lineRule="exact"/>
        <w:ind w:left="0" w:leftChars="0" w:firstLine="240" w:firstLineChars="1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承诺单位：</w:t>
      </w:r>
      <w:r>
        <w:rPr>
          <w:rFonts w:hint="eastAsia" w:ascii="仿宋" w:hAnsi="仿宋" w:eastAsia="仿宋" w:cs="仿宋"/>
          <w:color w:val="auto"/>
          <w:kern w:val="0"/>
          <w:szCs w:val="24"/>
          <w:highlight w:val="none"/>
          <w:u w:val="single"/>
        </w:rPr>
        <w:t>　　                 　</w:t>
      </w:r>
      <w:r>
        <w:rPr>
          <w:rFonts w:hint="eastAsia" w:ascii="仿宋" w:hAnsi="仿宋" w:eastAsia="仿宋" w:cs="仿宋"/>
          <w:color w:val="auto"/>
          <w:kern w:val="0"/>
          <w:szCs w:val="24"/>
          <w:highlight w:val="none"/>
        </w:rPr>
        <w:t xml:space="preserve">（盖章） </w:t>
      </w:r>
    </w:p>
    <w:p>
      <w:pPr>
        <w:keepNext w:val="0"/>
        <w:keepLines w:val="0"/>
        <w:pageBreakBefore w:val="0"/>
        <w:widowControl/>
        <w:kinsoku/>
        <w:wordWrap/>
        <w:overflowPunct/>
        <w:topLinePunct w:val="0"/>
        <w:autoSpaceDE/>
        <w:autoSpaceDN/>
        <w:bidi w:val="0"/>
        <w:adjustRightInd/>
        <w:snapToGrid/>
        <w:spacing w:line="560" w:lineRule="exact"/>
        <w:ind w:left="0" w:leftChars="0" w:firstLine="240" w:firstLineChars="1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全权代表：</w:t>
      </w:r>
      <w:r>
        <w:rPr>
          <w:rFonts w:hint="eastAsia" w:ascii="仿宋" w:hAnsi="仿宋" w:eastAsia="仿宋" w:cs="仿宋"/>
          <w:color w:val="auto"/>
          <w:kern w:val="0"/>
          <w:szCs w:val="24"/>
          <w:highlight w:val="none"/>
          <w:u w:val="single"/>
        </w:rPr>
        <w:t>　　　　　     　　　　</w:t>
      </w:r>
      <w:r>
        <w:rPr>
          <w:rFonts w:hint="eastAsia" w:ascii="仿宋" w:hAnsi="仿宋" w:eastAsia="仿宋" w:cs="仿宋"/>
          <w:color w:val="auto"/>
          <w:kern w:val="0"/>
          <w:szCs w:val="24"/>
          <w:highlight w:val="none"/>
        </w:rPr>
        <w:t xml:space="preserve">（签字） </w:t>
      </w:r>
    </w:p>
    <w:p>
      <w:pPr>
        <w:keepNext w:val="0"/>
        <w:keepLines w:val="0"/>
        <w:pageBreakBefore w:val="0"/>
        <w:widowControl/>
        <w:kinsoku/>
        <w:wordWrap/>
        <w:overflowPunct/>
        <w:topLinePunct w:val="0"/>
        <w:autoSpaceDE/>
        <w:autoSpaceDN/>
        <w:bidi w:val="0"/>
        <w:adjustRightInd/>
        <w:snapToGrid/>
        <w:spacing w:line="560" w:lineRule="exact"/>
        <w:ind w:left="0" w:leftChars="0" w:firstLine="240" w:firstLineChars="100"/>
        <w:textAlignment w:val="auto"/>
        <w:rPr>
          <w:rFonts w:hint="eastAsia" w:ascii="仿宋" w:hAnsi="仿宋" w:eastAsia="仿宋" w:cs="仿宋"/>
          <w:color w:val="auto"/>
          <w:kern w:val="0"/>
          <w:szCs w:val="24"/>
          <w:highlight w:val="none"/>
          <w:u w:val="single"/>
        </w:rPr>
      </w:pPr>
      <w:r>
        <w:rPr>
          <w:rFonts w:hint="eastAsia" w:ascii="仿宋" w:hAnsi="仿宋" w:eastAsia="仿宋" w:cs="仿宋"/>
          <w:color w:val="auto"/>
          <w:kern w:val="0"/>
          <w:szCs w:val="24"/>
          <w:highlight w:val="none"/>
        </w:rPr>
        <w:t>地　　址：</w:t>
      </w:r>
      <w:r>
        <w:rPr>
          <w:rFonts w:hint="eastAsia" w:ascii="仿宋" w:hAnsi="仿宋" w:eastAsia="仿宋" w:cs="仿宋"/>
          <w:color w:val="auto"/>
          <w:kern w:val="0"/>
          <w:szCs w:val="24"/>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560" w:lineRule="exact"/>
        <w:ind w:left="240" w:leftChars="100" w:firstLine="0" w:firstLineChars="0"/>
        <w:textAlignment w:val="auto"/>
        <w:rPr>
          <w:rFonts w:hint="eastAsia" w:ascii="仿宋" w:hAnsi="仿宋" w:eastAsia="仿宋" w:cs="仿宋"/>
          <w:color w:val="auto"/>
          <w:kern w:val="0"/>
          <w:szCs w:val="24"/>
          <w:highlight w:val="none"/>
          <w:u w:val="single"/>
          <w:lang w:eastAsia="zh-CN"/>
        </w:rPr>
      </w:pPr>
      <w:r>
        <w:rPr>
          <w:rFonts w:hint="eastAsia" w:ascii="仿宋" w:hAnsi="仿宋" w:eastAsia="仿宋" w:cs="仿宋"/>
          <w:color w:val="auto"/>
          <w:kern w:val="0"/>
          <w:szCs w:val="24"/>
          <w:highlight w:val="none"/>
        </w:rPr>
        <w:t>邮    编：</w:t>
      </w:r>
      <w:r>
        <w:rPr>
          <w:rFonts w:hint="eastAsia" w:ascii="仿宋" w:hAnsi="仿宋" w:eastAsia="仿宋" w:cs="仿宋"/>
          <w:color w:val="auto"/>
          <w:kern w:val="0"/>
          <w:szCs w:val="24"/>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560" w:lineRule="exact"/>
        <w:ind w:left="240" w:leftChars="100" w:firstLine="0" w:firstLineChars="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电　　话：</w:t>
      </w:r>
      <w:r>
        <w:rPr>
          <w:rFonts w:hint="eastAsia" w:ascii="仿宋" w:hAnsi="仿宋" w:eastAsia="仿宋" w:cs="仿宋"/>
          <w:color w:val="auto"/>
          <w:kern w:val="0"/>
          <w:szCs w:val="24"/>
          <w:highlight w:val="none"/>
          <w:u w:val="single"/>
        </w:rPr>
        <w:t>　　　                　　　　</w:t>
      </w:r>
      <w:r>
        <w:rPr>
          <w:rFonts w:hint="eastAsia" w:ascii="仿宋" w:hAnsi="仿宋" w:eastAsia="仿宋" w:cs="仿宋"/>
          <w:color w:val="auto"/>
          <w:kern w:val="0"/>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rPr>
      </w:pPr>
    </w:p>
    <w:p>
      <w:pPr>
        <w:keepNext w:val="0"/>
        <w:keepLines w:val="0"/>
        <w:pageBreakBefore w:val="0"/>
        <w:kinsoku/>
        <w:wordWrap/>
        <w:overflowPunct/>
        <w:topLinePunct w:val="0"/>
        <w:autoSpaceDE/>
        <w:autoSpaceDN/>
        <w:bidi w:val="0"/>
        <w:adjustRightInd/>
        <w:snapToGrid/>
        <w:spacing w:line="560" w:lineRule="exact"/>
        <w:ind w:firstLine="4920" w:firstLineChars="2050"/>
        <w:textAlignment w:val="auto"/>
        <w:rPr>
          <w:rFonts w:hint="eastAsia" w:ascii="仿宋" w:hAnsi="仿宋" w:eastAsia="仿宋" w:cs="仿宋"/>
          <w:color w:val="auto"/>
          <w:kern w:val="0"/>
          <w:szCs w:val="24"/>
          <w:highlight w:val="none"/>
        </w:rPr>
        <w:sectPr>
          <w:headerReference r:id="rId27" w:type="first"/>
          <w:footerReference r:id="rId29" w:type="first"/>
          <w:headerReference r:id="rId26" w:type="default"/>
          <w:footerReference r:id="rId28" w:type="default"/>
          <w:pgSz w:w="11905" w:h="16840"/>
          <w:pgMar w:top="1417" w:right="1417" w:bottom="1417" w:left="1417" w:header="935" w:footer="907" w:gutter="0"/>
          <w:pgNumType w:fmt="decimal"/>
          <w:cols w:space="0" w:num="1"/>
          <w:titlePg/>
          <w:rtlGutter w:val="0"/>
          <w:docGrid w:linePitch="312" w:charSpace="0"/>
        </w:sectPr>
      </w:pPr>
      <w:r>
        <w:rPr>
          <w:rFonts w:hint="eastAsia" w:ascii="仿宋" w:hAnsi="仿宋" w:eastAsia="仿宋" w:cs="仿宋"/>
          <w:color w:val="auto"/>
          <w:kern w:val="0"/>
          <w:szCs w:val="24"/>
          <w:highlight w:val="none"/>
        </w:rPr>
        <w:t>年　　月　　日</w:t>
      </w:r>
    </w:p>
    <w:bookmarkEnd w:id="211"/>
    <w:bookmarkEnd w:id="212"/>
    <w:p>
      <w:pPr>
        <w:spacing w:line="360" w:lineRule="atLeast"/>
        <w:jc w:val="center"/>
        <w:rPr>
          <w:rFonts w:hint="eastAsia" w:ascii="仿宋" w:hAnsi="仿宋" w:eastAsia="仿宋" w:cs="仿宋"/>
          <w:b/>
          <w:color w:val="auto"/>
          <w:sz w:val="32"/>
          <w:szCs w:val="32"/>
          <w:highlight w:val="none"/>
        </w:rPr>
      </w:pPr>
      <w:bookmarkStart w:id="246" w:name="_Toc458617748"/>
      <w:r>
        <w:rPr>
          <w:rFonts w:hint="eastAsia" w:ascii="仿宋" w:hAnsi="仿宋" w:eastAsia="仿宋" w:cs="仿宋"/>
          <w:b/>
          <w:color w:val="auto"/>
          <w:sz w:val="32"/>
          <w:szCs w:val="32"/>
          <w:highlight w:val="none"/>
        </w:rPr>
        <w:t>承诺书Ⅱ</w:t>
      </w:r>
    </w:p>
    <w:tbl>
      <w:tblPr>
        <w:tblStyle w:val="2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作为参加贵公司组织的招标采购项目的投标人，本公司承诺：在参加本项目招标之前不存在被依法禁止经营行为、财产被接管或冻结的情况，如有隐瞒实情，愿承担一切责任及后果。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tc>
        <w:tc>
          <w:tcPr>
            <w:tcW w:w="342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640" w:lineRule="exact"/>
              <w:ind w:firstLine="240" w:firstLineChars="10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spacing w:line="360" w:lineRule="atLeast"/>
        <w:jc w:val="center"/>
        <w:rPr>
          <w:rFonts w:hint="eastAsia" w:ascii="仿宋" w:hAnsi="仿宋" w:eastAsia="仿宋" w:cs="仿宋"/>
          <w:b/>
          <w:color w:val="auto"/>
          <w:sz w:val="32"/>
          <w:szCs w:val="32"/>
          <w:highlight w:val="none"/>
        </w:rPr>
      </w:pPr>
    </w:p>
    <w:p>
      <w:pPr>
        <w:spacing w:line="360" w:lineRule="atLeas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承诺书Ⅲ</w:t>
      </w:r>
    </w:p>
    <w:tbl>
      <w:tblPr>
        <w:tblStyle w:val="2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作为参加贵公司组织的招标采购项目的投标人，本公司郑重申告并承诺：近三年受到有关行政主管部门的行政处理、不良行为记录为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spacing w:line="360" w:lineRule="atLeast"/>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spacing w:line="360" w:lineRule="atLeas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承诺书Ⅳ</w:t>
      </w:r>
    </w:p>
    <w:tbl>
      <w:tblPr>
        <w:tblStyle w:val="2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作为参加贵公司组织的招标采购项目的投标人，本公司郑重申告：近三年因产品供货问题（水货、替代品、次品、翻新品等）的不法行为记录为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次（没有填零），如有隐瞒实情，愿承担一切责任及后果。</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本公司承诺：本次投标产品为正品行货。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spacing w:line="360" w:lineRule="atLeast"/>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spacing w:line="360" w:lineRule="auto"/>
        <w:ind w:right="480"/>
        <w:rPr>
          <w:rFonts w:hint="eastAsia" w:ascii="仿宋" w:hAnsi="仿宋" w:eastAsia="仿宋" w:cs="仿宋"/>
          <w:color w:val="auto"/>
          <w:sz w:val="24"/>
          <w:szCs w:val="28"/>
          <w:highlight w:val="none"/>
        </w:rPr>
      </w:pPr>
    </w:p>
    <w:p>
      <w:pPr>
        <w:spacing w:line="360" w:lineRule="atLeas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承诺书</w:t>
      </w:r>
      <w:r>
        <w:rPr>
          <w:rFonts w:hint="eastAsia" w:ascii="仿宋" w:hAnsi="仿宋" w:eastAsia="仿宋" w:cs="仿宋"/>
          <w:b/>
          <w:color w:val="auto"/>
          <w:sz w:val="36"/>
          <w:szCs w:val="36"/>
          <w:highlight w:val="none"/>
        </w:rPr>
        <w:fldChar w:fldCharType="begin"/>
      </w:r>
      <w:r>
        <w:rPr>
          <w:rFonts w:hint="eastAsia" w:ascii="仿宋" w:hAnsi="仿宋" w:eastAsia="仿宋" w:cs="仿宋"/>
          <w:b/>
          <w:color w:val="auto"/>
          <w:sz w:val="36"/>
          <w:szCs w:val="36"/>
          <w:highlight w:val="none"/>
        </w:rPr>
        <w:instrText xml:space="preserve"> = 5 \* ROMAN </w:instrText>
      </w:r>
      <w:r>
        <w:rPr>
          <w:rFonts w:hint="eastAsia" w:ascii="仿宋" w:hAnsi="仿宋" w:eastAsia="仿宋" w:cs="仿宋"/>
          <w:b/>
          <w:color w:val="auto"/>
          <w:sz w:val="36"/>
          <w:szCs w:val="36"/>
          <w:highlight w:val="none"/>
        </w:rPr>
        <w:fldChar w:fldCharType="separate"/>
      </w:r>
      <w:r>
        <w:rPr>
          <w:rFonts w:hint="eastAsia" w:ascii="仿宋" w:hAnsi="仿宋" w:eastAsia="仿宋" w:cs="仿宋"/>
          <w:b/>
          <w:color w:val="auto"/>
          <w:sz w:val="36"/>
          <w:szCs w:val="36"/>
          <w:highlight w:val="none"/>
        </w:rPr>
        <w:t>V</w:t>
      </w:r>
      <w:r>
        <w:rPr>
          <w:rFonts w:hint="eastAsia" w:ascii="仿宋" w:hAnsi="仿宋" w:eastAsia="仿宋" w:cs="仿宋"/>
          <w:b/>
          <w:color w:val="auto"/>
          <w:sz w:val="36"/>
          <w:szCs w:val="36"/>
          <w:highlight w:val="none"/>
        </w:rPr>
        <w:fldChar w:fldCharType="end"/>
      </w:r>
    </w:p>
    <w:tbl>
      <w:tblPr>
        <w:tblStyle w:val="2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0" w:type="dxa"/>
            <w:gridSpan w:val="3"/>
            <w:vAlign w:val="center"/>
          </w:tcPr>
          <w:p>
            <w:pPr>
              <w:spacing w:line="36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作为参加贵公司组织的招标采购项目的投标人，本公司承诺：参加本次投标提交的所有资格条件证明文件、业绩证明文件及其他证明文件是真实的、有效的，如有隐瞒实情，愿承担一切责任及后果。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spacing w:line="360" w:lineRule="atLeast"/>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spacing w:line="360" w:lineRule="atLeast"/>
        <w:jc w:val="center"/>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u w:val="none"/>
        </w:rPr>
      </w:pPr>
      <w:r>
        <w:rPr>
          <w:rFonts w:hint="eastAsia" w:ascii="仿宋" w:hAnsi="仿宋" w:eastAsia="仿宋" w:cs="仿宋"/>
          <w:b/>
          <w:color w:val="auto"/>
          <w:sz w:val="32"/>
          <w:szCs w:val="32"/>
          <w:highlight w:val="none"/>
          <w:u w:val="none"/>
        </w:rPr>
        <w:br w:type="page"/>
      </w:r>
    </w:p>
    <w:p>
      <w:pPr>
        <w:spacing w:line="360" w:lineRule="atLeast"/>
        <w:jc w:val="center"/>
        <w:rPr>
          <w:rFonts w:hint="eastAsia" w:ascii="仿宋" w:hAnsi="仿宋" w:eastAsia="仿宋" w:cs="仿宋"/>
          <w:b/>
          <w:color w:val="auto"/>
          <w:sz w:val="32"/>
          <w:szCs w:val="32"/>
          <w:highlight w:val="none"/>
          <w:u w:val="none"/>
        </w:rPr>
      </w:pPr>
      <w:r>
        <w:rPr>
          <w:rFonts w:hint="eastAsia" w:ascii="仿宋" w:hAnsi="仿宋" w:eastAsia="仿宋" w:cs="仿宋"/>
          <w:b/>
          <w:color w:val="auto"/>
          <w:sz w:val="32"/>
          <w:szCs w:val="32"/>
          <w:highlight w:val="none"/>
          <w:u w:val="none"/>
        </w:rPr>
        <w:t>承诺书Ⅵ</w:t>
      </w:r>
    </w:p>
    <w:tbl>
      <w:tblPr>
        <w:tblStyle w:val="2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作为参加贵公司组织的招标采购项目的投标人，本公司承诺：</w:t>
            </w:r>
            <w:r>
              <w:rPr>
                <w:rFonts w:hint="eastAsia" w:ascii="仿宋" w:hAnsi="仿宋" w:eastAsia="仿宋" w:cs="仿宋"/>
                <w:color w:val="auto"/>
                <w:sz w:val="24"/>
                <w:highlight w:val="none"/>
                <w:lang w:eastAsia="zh-CN"/>
              </w:rPr>
              <w:t>我单位法人代表及主要负责人所在的公司在近三年内没有违法违规行为，</w:t>
            </w:r>
            <w:r>
              <w:rPr>
                <w:rFonts w:hint="eastAsia" w:ascii="仿宋" w:hAnsi="仿宋" w:eastAsia="仿宋" w:cs="仿宋"/>
                <w:color w:val="auto"/>
                <w:sz w:val="24"/>
                <w:highlight w:val="none"/>
              </w:rPr>
              <w:t>如有</w:t>
            </w:r>
            <w:r>
              <w:rPr>
                <w:rFonts w:hint="eastAsia" w:ascii="仿宋" w:hAnsi="仿宋" w:eastAsia="仿宋" w:cs="仿宋"/>
                <w:color w:val="auto"/>
                <w:sz w:val="24"/>
                <w:highlight w:val="none"/>
                <w:lang w:eastAsia="zh-CN"/>
              </w:rPr>
              <w:t>，我单位自愿放弃本次项目的投标。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spacing w:line="360" w:lineRule="atLeast"/>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rPr>
          <w:rFonts w:hint="eastAsia" w:ascii="仿宋" w:hAnsi="仿宋" w:eastAsia="仿宋" w:cs="仿宋"/>
          <w:b/>
          <w:bCs/>
          <w:color w:val="auto"/>
          <w:szCs w:val="28"/>
          <w:highlight w:val="none"/>
          <w:lang w:val="en-US" w:eastAsia="zh-CN"/>
        </w:rPr>
      </w:pPr>
    </w:p>
    <w:p>
      <w:pPr>
        <w:rPr>
          <w:rFonts w:hint="eastAsia" w:ascii="仿宋" w:hAnsi="仿宋" w:eastAsia="仿宋" w:cs="仿宋"/>
          <w:b/>
          <w:bCs/>
          <w:color w:val="auto"/>
          <w:szCs w:val="28"/>
          <w:highlight w:val="none"/>
          <w:lang w:val="en-US" w:eastAsia="zh-CN"/>
        </w:rPr>
      </w:pPr>
      <w:r>
        <w:rPr>
          <w:rFonts w:hint="eastAsia" w:ascii="仿宋" w:hAnsi="仿宋" w:eastAsia="仿宋" w:cs="仿宋"/>
          <w:b/>
          <w:bCs/>
          <w:color w:val="auto"/>
          <w:szCs w:val="28"/>
          <w:highlight w:val="none"/>
          <w:lang w:val="en-US" w:eastAsia="zh-CN"/>
        </w:rPr>
        <w:br w:type="page"/>
      </w:r>
    </w:p>
    <w:p>
      <w:pPr>
        <w:pStyle w:val="38"/>
        <w:spacing w:line="560" w:lineRule="exact"/>
        <w:ind w:firstLine="174" w:firstLineChars="62"/>
        <w:rPr>
          <w:rFonts w:hint="eastAsia" w:ascii="仿宋" w:hAnsi="仿宋" w:eastAsia="仿宋" w:cs="仿宋"/>
          <w:color w:val="auto"/>
          <w:sz w:val="24"/>
          <w:szCs w:val="24"/>
          <w:highlight w:val="none"/>
        </w:rPr>
      </w:pPr>
      <w:r>
        <w:rPr>
          <w:rFonts w:hint="eastAsia" w:ascii="仿宋" w:hAnsi="仿宋" w:eastAsia="仿宋" w:cs="仿宋"/>
          <w:b/>
          <w:bCs/>
          <w:color w:val="auto"/>
          <w:szCs w:val="28"/>
          <w:highlight w:val="none"/>
          <w:lang w:val="en-US" w:eastAsia="zh-CN"/>
        </w:rPr>
        <w:t>18</w:t>
      </w:r>
      <w:r>
        <w:rPr>
          <w:rFonts w:hint="eastAsia" w:ascii="仿宋" w:hAnsi="仿宋" w:eastAsia="仿宋" w:cs="仿宋"/>
          <w:b/>
          <w:bCs/>
          <w:color w:val="auto"/>
          <w:szCs w:val="28"/>
          <w:highlight w:val="none"/>
        </w:rPr>
        <w:t>.《</w:t>
      </w:r>
      <w:r>
        <w:rPr>
          <w:rFonts w:hint="eastAsia" w:ascii="仿宋" w:hAnsi="仿宋" w:eastAsia="仿宋" w:cs="仿宋"/>
          <w:b/>
          <w:bCs/>
          <w:color w:val="auto"/>
          <w:szCs w:val="28"/>
          <w:highlight w:val="none"/>
          <w:lang w:eastAsia="zh-CN"/>
        </w:rPr>
        <w:t>中小</w:t>
      </w:r>
      <w:r>
        <w:rPr>
          <w:rFonts w:hint="eastAsia" w:ascii="仿宋" w:hAnsi="仿宋" w:eastAsia="仿宋" w:cs="仿宋"/>
          <w:b/>
          <w:bCs/>
          <w:color w:val="auto"/>
          <w:szCs w:val="28"/>
          <w:highlight w:val="none"/>
        </w:rPr>
        <w:t>企业声明函》</w:t>
      </w:r>
      <w:bookmarkEnd w:id="246"/>
      <w:bookmarkStart w:id="247" w:name="OLE_LINK19"/>
    </w:p>
    <w:bookmarkEnd w:id="247"/>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eastAsia="zh-CN"/>
        </w:rPr>
        <w:t>中小</w:t>
      </w:r>
      <w:r>
        <w:rPr>
          <w:rFonts w:hint="eastAsia" w:ascii="仿宋" w:hAnsi="仿宋" w:eastAsia="仿宋" w:cs="仿宋"/>
          <w:b/>
          <w:bCs/>
          <w:color w:val="auto"/>
          <w:kern w:val="0"/>
          <w:sz w:val="28"/>
          <w:szCs w:val="28"/>
          <w:highlight w:val="none"/>
        </w:rPr>
        <w:t>企业声明函</w:t>
      </w:r>
      <w:r>
        <w:rPr>
          <w:rFonts w:hint="eastAsia" w:ascii="仿宋" w:hAnsi="仿宋" w:eastAsia="仿宋" w:cs="仿宋"/>
          <w:b/>
          <w:bCs/>
          <w:color w:val="auto"/>
          <w:kern w:val="0"/>
          <w:sz w:val="28"/>
          <w:szCs w:val="28"/>
          <w:highlight w:val="none"/>
          <w:lang w:val="en-US" w:eastAsia="zh-CN"/>
        </w:rPr>
        <w:t>(货物）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致：</w:t>
      </w:r>
      <w:r>
        <w:rPr>
          <w:rFonts w:hint="eastAsia" w:ascii="仿宋" w:hAnsi="仿宋" w:eastAsia="仿宋" w:cs="仿宋"/>
          <w:color w:val="auto"/>
          <w:szCs w:val="24"/>
          <w:highlight w:val="none"/>
          <w:lang w:eastAsia="zh-CN"/>
        </w:rPr>
        <w:t>华招广和项目管理有限公司</w:t>
      </w:r>
    </w:p>
    <w:p>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hint="eastAsia" w:ascii="仿宋" w:hAnsi="仿宋" w:eastAsia="仿宋" w:cs="仿宋"/>
          <w:color w:val="auto"/>
          <w:szCs w:val="24"/>
          <w:highlight w:val="none"/>
          <w:u w:val="none"/>
          <w:lang w:val="en-US" w:eastAsia="zh-CN"/>
        </w:rPr>
      </w:pPr>
      <w:r>
        <w:rPr>
          <w:rFonts w:hint="eastAsia" w:ascii="仿宋" w:hAnsi="仿宋" w:eastAsia="仿宋" w:cs="仿宋"/>
          <w:color w:val="auto"/>
          <w:szCs w:val="24"/>
          <w:highlight w:val="none"/>
        </w:rPr>
        <w:t>本公司郑重声明，根据《政府采购促进中小企业发展</w:t>
      </w:r>
      <w:r>
        <w:rPr>
          <w:rFonts w:hint="eastAsia" w:ascii="仿宋" w:hAnsi="仿宋" w:eastAsia="仿宋" w:cs="仿宋"/>
          <w:color w:val="auto"/>
          <w:szCs w:val="24"/>
          <w:highlight w:val="none"/>
          <w:lang w:eastAsia="zh-CN"/>
        </w:rPr>
        <w:t>管理</w:t>
      </w:r>
      <w:r>
        <w:rPr>
          <w:rFonts w:hint="eastAsia" w:ascii="仿宋" w:hAnsi="仿宋" w:eastAsia="仿宋" w:cs="仿宋"/>
          <w:color w:val="auto"/>
          <w:szCs w:val="24"/>
          <w:highlight w:val="none"/>
        </w:rPr>
        <w:t>办法》（财库【20</w:t>
      </w:r>
      <w:r>
        <w:rPr>
          <w:rFonts w:hint="eastAsia" w:ascii="仿宋" w:hAnsi="仿宋" w:eastAsia="仿宋" w:cs="仿宋"/>
          <w:color w:val="auto"/>
          <w:szCs w:val="24"/>
          <w:highlight w:val="none"/>
          <w:lang w:val="en-US" w:eastAsia="zh-CN"/>
        </w:rPr>
        <w:t>20</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46</w:t>
      </w:r>
      <w:r>
        <w:rPr>
          <w:rFonts w:hint="eastAsia" w:ascii="仿宋" w:hAnsi="仿宋" w:eastAsia="仿宋" w:cs="仿宋"/>
          <w:color w:val="auto"/>
          <w:szCs w:val="24"/>
          <w:highlight w:val="none"/>
        </w:rPr>
        <w:t>号）的规定，本公司</w:t>
      </w:r>
      <w:r>
        <w:rPr>
          <w:rFonts w:hint="eastAsia" w:ascii="仿宋" w:hAnsi="仿宋" w:eastAsia="仿宋" w:cs="仿宋"/>
          <w:color w:val="auto"/>
          <w:szCs w:val="24"/>
          <w:highlight w:val="none"/>
          <w:lang w:eastAsia="zh-CN"/>
        </w:rPr>
        <w:t>参加</w:t>
      </w:r>
      <w:r>
        <w:rPr>
          <w:rFonts w:hint="eastAsia" w:ascii="仿宋" w:hAnsi="仿宋" w:eastAsia="仿宋" w:cs="仿宋"/>
          <w:color w:val="auto"/>
          <w:szCs w:val="24"/>
          <w:highlight w:val="none"/>
          <w:u w:val="single"/>
          <w:lang w:val="en-US" w:eastAsia="zh-CN"/>
        </w:rPr>
        <w:t xml:space="preserve"> （单位名称）</w:t>
      </w:r>
      <w:r>
        <w:rPr>
          <w:rFonts w:hint="eastAsia" w:ascii="仿宋" w:hAnsi="仿宋" w:eastAsia="仿宋" w:cs="仿宋"/>
          <w:color w:val="auto"/>
          <w:szCs w:val="24"/>
          <w:highlight w:val="none"/>
          <w:u w:val="none"/>
          <w:lang w:val="en-US" w:eastAsia="zh-CN"/>
        </w:rPr>
        <w:t xml:space="preserve"> 的</w:t>
      </w:r>
      <w:r>
        <w:rPr>
          <w:rFonts w:hint="eastAsia" w:ascii="仿宋" w:hAnsi="仿宋" w:eastAsia="仿宋" w:cs="仿宋"/>
          <w:color w:val="auto"/>
          <w:szCs w:val="24"/>
          <w:highlight w:val="none"/>
          <w:u w:val="single"/>
          <w:lang w:val="en-US" w:eastAsia="zh-CN"/>
        </w:rPr>
        <w:t>（项目名称）</w:t>
      </w:r>
      <w:r>
        <w:rPr>
          <w:rFonts w:hint="eastAsia" w:ascii="仿宋" w:hAnsi="仿宋" w:eastAsia="仿宋" w:cs="仿宋"/>
          <w:color w:val="auto"/>
          <w:szCs w:val="24"/>
          <w:highlight w:val="none"/>
          <w:u w:val="none"/>
          <w:lang w:val="en-US" w:eastAsia="zh-CN"/>
        </w:rPr>
        <w:t>采购活动，提供的货物全部由符合政策要求的中小企业制造。相关企业的具体情况如下：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3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u w:val="none"/>
          <w:lang w:val="en-US" w:eastAsia="zh-CN"/>
        </w:rPr>
        <w:t>1.</w:t>
      </w:r>
      <w:r>
        <w:rPr>
          <w:rFonts w:hint="eastAsia" w:ascii="仿宋" w:hAnsi="仿宋" w:eastAsia="仿宋" w:cs="仿宋"/>
          <w:color w:val="auto"/>
          <w:szCs w:val="24"/>
          <w:highlight w:val="none"/>
          <w:u w:val="single"/>
          <w:lang w:val="en-US" w:eastAsia="zh-CN"/>
        </w:rPr>
        <w:t xml:space="preserve">（标的名称） </w:t>
      </w:r>
      <w:r>
        <w:rPr>
          <w:rFonts w:hint="eastAsia" w:ascii="仿宋" w:hAnsi="仿宋" w:eastAsia="仿宋" w:cs="仿宋"/>
          <w:color w:val="auto"/>
          <w:szCs w:val="24"/>
          <w:highlight w:val="none"/>
          <w:lang w:val="en-US" w:eastAsia="zh-CN"/>
        </w:rPr>
        <w:t>，属于</w:t>
      </w:r>
      <w:r>
        <w:rPr>
          <w:rFonts w:hint="eastAsia" w:ascii="仿宋" w:hAnsi="仿宋" w:eastAsia="仿宋" w:cs="仿宋"/>
          <w:color w:val="auto"/>
          <w:szCs w:val="24"/>
          <w:highlight w:val="none"/>
          <w:u w:val="single"/>
          <w:lang w:val="en-US" w:eastAsia="zh-CN"/>
        </w:rPr>
        <w:t xml:space="preserve"> （采购文件中明确的所属行业） </w:t>
      </w:r>
      <w:r>
        <w:rPr>
          <w:rFonts w:hint="eastAsia" w:ascii="仿宋" w:hAnsi="仿宋" w:eastAsia="仿宋" w:cs="仿宋"/>
          <w:color w:val="auto"/>
          <w:szCs w:val="24"/>
          <w:highlight w:val="none"/>
          <w:lang w:val="en-US" w:eastAsia="zh-CN"/>
        </w:rPr>
        <w:t>行业；制造商为</w:t>
      </w:r>
      <w:r>
        <w:rPr>
          <w:rFonts w:hint="eastAsia" w:ascii="仿宋" w:hAnsi="仿宋" w:eastAsia="仿宋" w:cs="仿宋"/>
          <w:color w:val="auto"/>
          <w:szCs w:val="24"/>
          <w:highlight w:val="none"/>
          <w:u w:val="single"/>
          <w:lang w:val="en-US" w:eastAsia="zh-CN"/>
        </w:rPr>
        <w:t>（企业名称）</w:t>
      </w:r>
      <w:r>
        <w:rPr>
          <w:rFonts w:hint="eastAsia" w:ascii="仿宋" w:hAnsi="仿宋" w:eastAsia="仿宋" w:cs="仿宋"/>
          <w:color w:val="auto"/>
          <w:szCs w:val="24"/>
          <w:highlight w:val="none"/>
          <w:lang w:val="en-US" w:eastAsia="zh-CN"/>
        </w:rPr>
        <w:t>，从业人员</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人，营业收入为</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u w:val="none"/>
          <w:lang w:val="en-US" w:eastAsia="zh-CN"/>
        </w:rPr>
        <w:t>万元</w:t>
      </w:r>
      <w:r>
        <w:rPr>
          <w:rFonts w:hint="eastAsia" w:ascii="仿宋" w:hAnsi="仿宋" w:eastAsia="仿宋" w:cs="仿宋"/>
          <w:color w:val="auto"/>
          <w:szCs w:val="24"/>
          <w:highlight w:val="none"/>
          <w:lang w:val="en-US" w:eastAsia="zh-CN"/>
        </w:rPr>
        <w:t>，资产总额为</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万元</w:t>
      </w:r>
      <w:r>
        <w:rPr>
          <w:rFonts w:hint="eastAsia" w:ascii="仿宋" w:hAnsi="仿宋" w:eastAsia="仿宋" w:cs="仿宋"/>
          <w:color w:val="auto"/>
          <w:szCs w:val="24"/>
          <w:highlight w:val="none"/>
          <w:vertAlign w:val="superscript"/>
          <w:lang w:val="en-US" w:eastAsia="zh-CN"/>
        </w:rPr>
        <w:t>1</w:t>
      </w:r>
      <w:r>
        <w:rPr>
          <w:rFonts w:hint="eastAsia" w:ascii="仿宋" w:hAnsi="仿宋" w:eastAsia="仿宋" w:cs="仿宋"/>
          <w:color w:val="auto"/>
          <w:szCs w:val="24"/>
          <w:highlight w:val="none"/>
          <w:lang w:val="en-US" w:eastAsia="zh-CN"/>
        </w:rPr>
        <w:t>，属于</w:t>
      </w:r>
      <w:r>
        <w:rPr>
          <w:rFonts w:hint="eastAsia" w:ascii="仿宋" w:hAnsi="仿宋" w:eastAsia="仿宋" w:cs="仿宋"/>
          <w:color w:val="auto"/>
          <w:szCs w:val="24"/>
          <w:highlight w:val="none"/>
          <w:u w:val="single"/>
          <w:lang w:val="en-US" w:eastAsia="zh-CN"/>
        </w:rPr>
        <w:t>（中型企业、小型企业、微型企业）</w:t>
      </w:r>
      <w:r>
        <w:rPr>
          <w:rFonts w:hint="eastAsia" w:ascii="仿宋" w:hAnsi="仿宋" w:eastAsia="仿宋" w:cs="仿宋"/>
          <w:color w:val="auto"/>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300"/>
        <w:textAlignment w:val="auto"/>
        <w:rPr>
          <w:rFonts w:hint="eastAsia" w:ascii="仿宋" w:hAnsi="仿宋" w:eastAsia="仿宋" w:cs="仿宋"/>
          <w:color w:val="auto"/>
          <w:highlight w:val="none"/>
        </w:rPr>
      </w:pP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u w:val="single"/>
          <w:lang w:val="en-US" w:eastAsia="zh-CN"/>
        </w:rPr>
        <w:t xml:space="preserve"> （标的名称）</w:t>
      </w:r>
      <w:r>
        <w:rPr>
          <w:rFonts w:hint="eastAsia" w:ascii="仿宋" w:hAnsi="仿宋" w:eastAsia="仿宋" w:cs="仿宋"/>
          <w:color w:val="auto"/>
          <w:szCs w:val="24"/>
          <w:highlight w:val="none"/>
          <w:lang w:val="en-US" w:eastAsia="zh-CN"/>
        </w:rPr>
        <w:t xml:space="preserve"> ，属于</w:t>
      </w:r>
      <w:r>
        <w:rPr>
          <w:rFonts w:hint="eastAsia" w:ascii="仿宋" w:hAnsi="仿宋" w:eastAsia="仿宋" w:cs="仿宋"/>
          <w:color w:val="auto"/>
          <w:szCs w:val="24"/>
          <w:highlight w:val="none"/>
          <w:u w:val="single"/>
          <w:lang w:val="en-US" w:eastAsia="zh-CN"/>
        </w:rPr>
        <w:t xml:space="preserve"> （采购文件中明确的所属行业） </w:t>
      </w:r>
      <w:r>
        <w:rPr>
          <w:rFonts w:hint="eastAsia" w:ascii="仿宋" w:hAnsi="仿宋" w:eastAsia="仿宋" w:cs="仿宋"/>
          <w:color w:val="auto"/>
          <w:szCs w:val="24"/>
          <w:highlight w:val="none"/>
          <w:lang w:val="en-US" w:eastAsia="zh-CN"/>
        </w:rPr>
        <w:t>行业；制造商为</w:t>
      </w:r>
      <w:r>
        <w:rPr>
          <w:rFonts w:hint="eastAsia" w:ascii="仿宋" w:hAnsi="仿宋" w:eastAsia="仿宋" w:cs="仿宋"/>
          <w:color w:val="auto"/>
          <w:szCs w:val="24"/>
          <w:highlight w:val="none"/>
          <w:u w:val="single"/>
          <w:lang w:val="en-US" w:eastAsia="zh-CN"/>
        </w:rPr>
        <w:t>（企业名称）</w:t>
      </w:r>
      <w:r>
        <w:rPr>
          <w:rFonts w:hint="eastAsia" w:ascii="仿宋" w:hAnsi="仿宋" w:eastAsia="仿宋" w:cs="仿宋"/>
          <w:color w:val="auto"/>
          <w:szCs w:val="24"/>
          <w:highlight w:val="none"/>
          <w:lang w:val="en-US" w:eastAsia="zh-CN"/>
        </w:rPr>
        <w:t>，从业人员</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人，营业收入为</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万元，资产总额为</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万元，属于</w:t>
      </w:r>
      <w:r>
        <w:rPr>
          <w:rFonts w:hint="eastAsia" w:ascii="仿宋" w:hAnsi="仿宋" w:eastAsia="仿宋" w:cs="仿宋"/>
          <w:color w:val="auto"/>
          <w:szCs w:val="24"/>
          <w:highlight w:val="none"/>
          <w:u w:val="single"/>
          <w:lang w:val="en-US" w:eastAsia="zh-CN"/>
        </w:rPr>
        <w:t>（中型企业、小型企业、微型企业）</w:t>
      </w:r>
      <w:r>
        <w:rPr>
          <w:rFonts w:hint="eastAsia" w:ascii="仿宋" w:hAnsi="仿宋" w:eastAsia="仿宋" w:cs="仿宋"/>
          <w:color w:val="auto"/>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w:t>
      </w:r>
    </w:p>
    <w:p>
      <w:pPr>
        <w:pStyle w:val="11"/>
        <w:keepNext w:val="0"/>
        <w:keepLines w:val="0"/>
        <w:pageBreakBefore w:val="0"/>
        <w:widowControl w:val="0"/>
        <w:kinsoku/>
        <w:wordWrap/>
        <w:overflowPunct/>
        <w:topLinePunct w:val="0"/>
        <w:autoSpaceDE/>
        <w:autoSpaceDN/>
        <w:bidi w:val="0"/>
        <w:adjustRightInd/>
        <w:snapToGrid/>
        <w:spacing w:before="105" w:line="560" w:lineRule="exact"/>
        <w:ind w:right="417" w:firstLine="645"/>
        <w:jc w:val="both"/>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以上企业，不属于大企业的分支机构，不存在控股股东为大企业的情形，也不存在与大企业的负责人为同一人的情形。</w:t>
      </w:r>
    </w:p>
    <w:p>
      <w:pPr>
        <w:pStyle w:val="11"/>
        <w:keepNext w:val="0"/>
        <w:keepLines w:val="0"/>
        <w:pageBreakBefore w:val="0"/>
        <w:widowControl w:val="0"/>
        <w:kinsoku/>
        <w:wordWrap/>
        <w:overflowPunct/>
        <w:topLinePunct w:val="0"/>
        <w:autoSpaceDE/>
        <w:autoSpaceDN/>
        <w:bidi w:val="0"/>
        <w:adjustRightInd/>
        <w:snapToGrid/>
        <w:spacing w:line="560" w:lineRule="exact"/>
        <w:ind w:right="372" w:firstLine="645"/>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本企业对上述声明内容的真实性负责。如有虚假，将依法承担相应责任。</w:t>
      </w:r>
    </w:p>
    <w:p>
      <w:pPr>
        <w:pStyle w:val="11"/>
        <w:keepNext w:val="0"/>
        <w:keepLines w:val="0"/>
        <w:pageBreakBefore w:val="0"/>
        <w:widowControl w:val="0"/>
        <w:kinsoku/>
        <w:wordWrap/>
        <w:overflowPunct/>
        <w:topLinePunct w:val="0"/>
        <w:autoSpaceDE/>
        <w:autoSpaceDN/>
        <w:bidi w:val="0"/>
        <w:adjustRightInd/>
        <w:snapToGrid/>
        <w:spacing w:before="35" w:line="560" w:lineRule="exact"/>
        <w:ind w:left="4060" w:right="2166" w:firstLine="240" w:firstLineChars="100"/>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企业名称（盖章）：</w:t>
      </w:r>
    </w:p>
    <w:p>
      <w:pPr>
        <w:pStyle w:val="11"/>
        <w:keepNext w:val="0"/>
        <w:keepLines w:val="0"/>
        <w:pageBreakBefore w:val="0"/>
        <w:widowControl w:val="0"/>
        <w:kinsoku/>
        <w:wordWrap/>
        <w:overflowPunct/>
        <w:topLinePunct w:val="0"/>
        <w:autoSpaceDE/>
        <w:autoSpaceDN/>
        <w:bidi w:val="0"/>
        <w:adjustRightInd/>
        <w:snapToGrid/>
        <w:spacing w:before="35" w:line="560" w:lineRule="exact"/>
        <w:ind w:left="4060" w:right="2166" w:firstLine="240" w:firstLineChars="100"/>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日期：</w:t>
      </w:r>
    </w:p>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rPr>
        <w:pict>
          <v:shape id="_x0000_s2054" o:spid="_x0000_s2054" o:spt="202" type="#_x0000_t202" style="position:absolute;left:0pt;margin-left:94.55pt;margin-top:688.15pt;height:28.85pt;width:395pt;mso-position-horizontal-relative:page;mso-position-vertical-relative:page;z-index:-251657216;mso-width-relative:page;mso-height-relative:page;" filled="f" stroked="f" coordsize="21600,21600">
            <v:path/>
            <v:fill on="f" focussize="0,0"/>
            <v:stroke on="f"/>
            <v:imagedata o:title=""/>
            <o:lock v:ext="edit" aspectratio="f"/>
            <v:textbox inset="0mm,0mm,0mm,0mm">
              <w:txbxContent>
                <w:p>
                  <w:pPr>
                    <w:spacing w:before="5"/>
                    <w:ind w:left="20" w:right="0" w:firstLine="0"/>
                    <w:jc w:val="left"/>
                    <w:rPr>
                      <w:rFonts w:hint="eastAsia" w:ascii="宋体" w:eastAsia="宋体"/>
                      <w:sz w:val="18"/>
                      <w:szCs w:val="22"/>
                    </w:rPr>
                  </w:pPr>
                  <w:r>
                    <w:rPr>
                      <w:rFonts w:hint="eastAsia" w:ascii="楷体" w:hAnsi="楷体" w:eastAsia="楷体" w:cs="楷体"/>
                      <w:position w:val="6"/>
                      <w:sz w:val="11"/>
                      <w:szCs w:val="22"/>
                    </w:rPr>
                    <w:t>1</w:t>
                  </w:r>
                  <w:r>
                    <w:rPr>
                      <w:rFonts w:hint="eastAsia" w:ascii="楷体" w:hAnsi="楷体" w:eastAsia="楷体" w:cs="楷体"/>
                      <w:sz w:val="18"/>
                      <w:szCs w:val="22"/>
                    </w:rPr>
                    <w:t>从业人员、营业收入、资产总额填报上一年度数据，无上一年度数据的新成立企业可不填报。</w:t>
                  </w:r>
                </w:p>
                <w:p>
                  <w:pPr>
                    <w:spacing w:before="8"/>
                    <w:ind w:left="866" w:right="0" w:firstLine="0"/>
                    <w:jc w:val="center"/>
                    <w:rPr>
                      <w:rFonts w:ascii="Calibri"/>
                      <w:sz w:val="18"/>
                    </w:rPr>
                  </w:pPr>
                </w:p>
              </w:txbxContent>
            </v:textbox>
          </v:shape>
        </w:pict>
      </w:r>
    </w:p>
    <w:p>
      <w:pPr>
        <w:rPr>
          <w:rFonts w:hint="eastAsia" w:ascii="仿宋" w:hAnsi="仿宋" w:eastAsia="仿宋" w:cs="仿宋"/>
          <w:color w:val="auto"/>
          <w:kern w:val="2"/>
          <w:sz w:val="24"/>
          <w:szCs w:val="24"/>
          <w:highlight w:val="none"/>
          <w:u w:val="none"/>
          <w:lang w:val="en-US" w:eastAsia="zh-CN" w:bidi="ar-SA"/>
        </w:rPr>
      </w:pPr>
    </w:p>
    <w:p>
      <w:pPr>
        <w:spacing w:line="480" w:lineRule="exact"/>
        <w:ind w:firstLine="241" w:firstLineChars="100"/>
        <w:rPr>
          <w:rFonts w:hint="eastAsia" w:ascii="仿宋" w:hAnsi="仿宋" w:eastAsia="仿宋" w:cs="仿宋"/>
          <w:b/>
          <w:color w:val="auto"/>
          <w:sz w:val="24"/>
          <w:highlight w:val="none"/>
          <w:lang w:val="en-US" w:eastAsia="zh-CN"/>
        </w:rPr>
      </w:pPr>
    </w:p>
    <w:p>
      <w:pPr>
        <w:pStyle w:val="11"/>
        <w:rPr>
          <w:rFonts w:hint="eastAsia" w:ascii="仿宋" w:hAnsi="仿宋" w:eastAsia="仿宋" w:cs="仿宋"/>
          <w:color w:val="auto"/>
          <w:highlight w:val="none"/>
          <w:lang w:val="en-US" w:eastAsia="zh-CN"/>
        </w:rPr>
        <w:sectPr>
          <w:footerReference r:id="rId30" w:type="default"/>
          <w:pgSz w:w="11905" w:h="16840"/>
          <w:pgMar w:top="1417" w:right="1417" w:bottom="1417" w:left="1417" w:header="935" w:footer="907" w:gutter="0"/>
          <w:pgNumType w:fmt="decimal"/>
          <w:cols w:space="0" w:num="1"/>
          <w:titlePg/>
          <w:rtlGutter w:val="0"/>
          <w:docGrid w:linePitch="0" w:charSpace="0"/>
        </w:sectPr>
      </w:pPr>
    </w:p>
    <w:p>
      <w:pPr>
        <w:pStyle w:val="38"/>
        <w:spacing w:line="560" w:lineRule="exact"/>
        <w:ind w:firstLine="174" w:firstLineChars="62"/>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lang w:val="en-US" w:eastAsia="zh-CN"/>
        </w:rPr>
        <w:t>19</w:t>
      </w:r>
      <w:r>
        <w:rPr>
          <w:rFonts w:hint="eastAsia" w:ascii="仿宋" w:hAnsi="仿宋" w:eastAsia="仿宋" w:cs="仿宋"/>
          <w:b/>
          <w:bCs/>
          <w:color w:val="auto"/>
          <w:szCs w:val="28"/>
          <w:highlight w:val="none"/>
        </w:rPr>
        <w:t>.《残疾人福利性单位声明函》</w:t>
      </w:r>
      <w:r>
        <w:rPr>
          <w:rFonts w:hint="eastAsia" w:ascii="仿宋" w:hAnsi="仿宋" w:eastAsia="仿宋" w:cs="仿宋"/>
          <w:color w:val="auto"/>
          <w:sz w:val="24"/>
          <w:szCs w:val="24"/>
          <w:highlight w:val="none"/>
        </w:rPr>
        <w:t>（格式，若有）</w:t>
      </w:r>
    </w:p>
    <w:p>
      <w:pPr>
        <w:spacing w:line="560" w:lineRule="exact"/>
        <w:jc w:val="center"/>
        <w:rPr>
          <w:rFonts w:hint="eastAsia" w:ascii="仿宋" w:hAnsi="仿宋" w:eastAsia="仿宋" w:cs="仿宋"/>
          <w:b/>
          <w:color w:val="auto"/>
          <w:spacing w:val="6"/>
          <w:szCs w:val="24"/>
          <w:highlight w:val="none"/>
        </w:rPr>
      </w:pPr>
      <w:bookmarkStart w:id="248" w:name="OLE_LINK14"/>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auto"/>
          <w:spacing w:val="6"/>
          <w:szCs w:val="24"/>
          <w:highlight w:val="none"/>
        </w:rPr>
      </w:pPr>
      <w:r>
        <w:rPr>
          <w:rFonts w:hint="eastAsia" w:ascii="仿宋" w:hAnsi="仿宋" w:eastAsia="仿宋" w:cs="仿宋"/>
          <w:b/>
          <w:color w:val="auto"/>
          <w:spacing w:val="6"/>
          <w:szCs w:val="24"/>
          <w:highlight w:val="none"/>
        </w:rPr>
        <w:t>残疾人福利性单位声明函</w:t>
      </w:r>
      <w:r>
        <w:rPr>
          <w:rFonts w:hint="eastAsia" w:ascii="仿宋" w:hAnsi="仿宋" w:eastAsia="仿宋" w:cs="仿宋"/>
          <w:b/>
          <w:color w:val="auto"/>
          <w:spacing w:val="6"/>
          <w:sz w:val="22"/>
          <w:szCs w:val="22"/>
          <w:highlight w:val="none"/>
          <w:lang w:val="zh-CN"/>
        </w:rPr>
        <w:t>（非</w:t>
      </w:r>
      <w:r>
        <w:rPr>
          <w:rFonts w:hint="eastAsia" w:ascii="仿宋" w:hAnsi="仿宋" w:eastAsia="仿宋" w:cs="仿宋"/>
          <w:b/>
          <w:color w:val="auto"/>
          <w:spacing w:val="6"/>
          <w:sz w:val="22"/>
          <w:szCs w:val="22"/>
          <w:highlight w:val="none"/>
        </w:rPr>
        <w:t>残疾人福利企业</w:t>
      </w:r>
      <w:r>
        <w:rPr>
          <w:rFonts w:hint="eastAsia" w:ascii="仿宋" w:hAnsi="仿宋" w:eastAsia="仿宋" w:cs="仿宋"/>
          <w:b/>
          <w:color w:val="auto"/>
          <w:spacing w:val="6"/>
          <w:sz w:val="22"/>
          <w:szCs w:val="22"/>
          <w:highlight w:val="none"/>
          <w:lang w:val="zh-CN"/>
        </w:rPr>
        <w:t>不</w:t>
      </w:r>
      <w:r>
        <w:rPr>
          <w:rFonts w:hint="eastAsia" w:ascii="仿宋" w:hAnsi="仿宋" w:eastAsia="仿宋" w:cs="仿宋"/>
          <w:b/>
          <w:color w:val="auto"/>
          <w:spacing w:val="6"/>
          <w:sz w:val="22"/>
          <w:szCs w:val="22"/>
          <w:highlight w:val="none"/>
        </w:rPr>
        <w:t>填写</w:t>
      </w:r>
      <w:r>
        <w:rPr>
          <w:rFonts w:hint="eastAsia" w:ascii="仿宋" w:hAnsi="仿宋" w:eastAsia="仿宋" w:cs="仿宋"/>
          <w:b/>
          <w:color w:val="auto"/>
          <w:spacing w:val="6"/>
          <w:sz w:val="22"/>
          <w:szCs w:val="22"/>
          <w:highlight w:val="none"/>
          <w:lang w:val="zh-CN"/>
        </w:rPr>
        <w:t>）</w:t>
      </w:r>
    </w:p>
    <w:bookmarkEnd w:id="248"/>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pacing w:val="6"/>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本单位郑重声明，根据《财政部 民政部 中国残疾人联合会关于促进残疾人就业政府采购政策的通知》（财库</w:t>
      </w:r>
      <w:r>
        <w:rPr>
          <w:rFonts w:hint="eastAsia" w:ascii="仿宋" w:hAnsi="仿宋" w:eastAsia="仿宋" w:cs="仿宋"/>
          <w:color w:val="auto"/>
          <w:szCs w:val="24"/>
          <w:highlight w:val="none"/>
        </w:rPr>
        <w:t>〔2017〕 141</w:t>
      </w:r>
      <w:r>
        <w:rPr>
          <w:rFonts w:hint="eastAsia" w:ascii="仿宋" w:hAnsi="仿宋" w:eastAsia="仿宋" w:cs="仿宋"/>
          <w:color w:val="auto"/>
          <w:spacing w:val="6"/>
          <w:szCs w:val="24"/>
          <w:highlight w:val="none"/>
        </w:rPr>
        <w:t>号）的规定，本单位为符合条件的残疾人福利性单位，且本单位参加</w:t>
      </w:r>
      <w:r>
        <w:rPr>
          <w:rFonts w:hint="eastAsia" w:ascii="仿宋" w:hAnsi="仿宋" w:eastAsia="仿宋" w:cs="仿宋"/>
          <w:color w:val="auto"/>
          <w:spacing w:val="6"/>
          <w:szCs w:val="24"/>
          <w:highlight w:val="none"/>
          <w:u w:val="single"/>
        </w:rPr>
        <w:t xml:space="preserve">         </w:t>
      </w:r>
      <w:r>
        <w:rPr>
          <w:rFonts w:hint="eastAsia" w:ascii="仿宋" w:hAnsi="仿宋" w:eastAsia="仿宋" w:cs="仿宋"/>
          <w:color w:val="auto"/>
          <w:spacing w:val="6"/>
          <w:szCs w:val="24"/>
          <w:highlight w:val="none"/>
        </w:rPr>
        <w:t>单位的</w:t>
      </w:r>
      <w:r>
        <w:rPr>
          <w:rFonts w:hint="eastAsia" w:ascii="仿宋" w:hAnsi="仿宋" w:eastAsia="仿宋" w:cs="仿宋"/>
          <w:color w:val="auto"/>
          <w:spacing w:val="6"/>
          <w:szCs w:val="24"/>
          <w:highlight w:val="none"/>
          <w:u w:val="single"/>
        </w:rPr>
        <w:t xml:space="preserve">       </w:t>
      </w:r>
      <w:r>
        <w:rPr>
          <w:rFonts w:hint="eastAsia" w:ascii="仿宋" w:hAnsi="仿宋" w:eastAsia="仿宋" w:cs="仿宋"/>
          <w:color w:val="auto"/>
          <w:spacing w:val="6"/>
          <w:szCs w:val="24"/>
          <w:highlight w:val="none"/>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 w:hAnsi="仿宋" w:eastAsia="仿宋" w:cs="仿宋"/>
          <w:color w:val="auto"/>
          <w:spacing w:val="6"/>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 w:hAnsi="仿宋" w:eastAsia="仿宋" w:cs="仿宋"/>
          <w:color w:val="auto"/>
          <w:spacing w:val="6"/>
          <w:szCs w:val="24"/>
          <w:highlight w:val="none"/>
        </w:rPr>
      </w:pPr>
    </w:p>
    <w:p>
      <w:pPr>
        <w:keepNext w:val="0"/>
        <w:keepLines w:val="0"/>
        <w:pageBreakBefore w:val="0"/>
        <w:widowControl w:val="0"/>
        <w:tabs>
          <w:tab w:val="left" w:pos="4860"/>
        </w:tabs>
        <w:kinsoku/>
        <w:wordWrap/>
        <w:overflowPunct/>
        <w:topLinePunct w:val="0"/>
        <w:autoSpaceDE/>
        <w:autoSpaceDN/>
        <w:bidi w:val="0"/>
        <w:adjustRightInd/>
        <w:snapToGrid/>
        <w:spacing w:line="560" w:lineRule="exact"/>
        <w:ind w:right="1560" w:firstLine="504" w:firstLineChars="200"/>
        <w:jc w:val="center"/>
        <w:textAlignment w:val="auto"/>
        <w:rPr>
          <w:rFonts w:hint="eastAsia" w:ascii="仿宋" w:hAnsi="仿宋" w:eastAsia="仿宋" w:cs="仿宋"/>
          <w:color w:val="auto"/>
          <w:spacing w:val="6"/>
          <w:szCs w:val="24"/>
          <w:highlight w:val="none"/>
          <w:u w:val="single"/>
        </w:rPr>
      </w:pPr>
      <w:r>
        <w:rPr>
          <w:rFonts w:hint="eastAsia" w:ascii="仿宋" w:hAnsi="仿宋" w:eastAsia="仿宋" w:cs="仿宋"/>
          <w:color w:val="auto"/>
          <w:spacing w:val="6"/>
          <w:szCs w:val="24"/>
          <w:highlight w:val="none"/>
        </w:rPr>
        <w:t xml:space="preserve">              单位名称（盖章）：</w:t>
      </w:r>
      <w:r>
        <w:rPr>
          <w:rFonts w:hint="eastAsia" w:ascii="仿宋" w:hAnsi="仿宋" w:eastAsia="仿宋" w:cs="仿宋"/>
          <w:color w:val="auto"/>
          <w:spacing w:val="6"/>
          <w:szCs w:val="24"/>
          <w:highlight w:val="none"/>
          <w:u w:val="single"/>
        </w:rPr>
        <w:t xml:space="preserve">              </w:t>
      </w:r>
    </w:p>
    <w:p>
      <w:pPr>
        <w:keepNext w:val="0"/>
        <w:keepLines w:val="0"/>
        <w:pageBreakBefore w:val="0"/>
        <w:widowControl w:val="0"/>
        <w:tabs>
          <w:tab w:val="left" w:pos="4860"/>
        </w:tabs>
        <w:kinsoku/>
        <w:wordWrap/>
        <w:overflowPunct/>
        <w:topLinePunct w:val="0"/>
        <w:autoSpaceDE/>
        <w:autoSpaceDN/>
        <w:bidi w:val="0"/>
        <w:adjustRightInd/>
        <w:snapToGrid/>
        <w:spacing w:line="560" w:lineRule="exact"/>
        <w:ind w:right="1560" w:firstLine="504" w:firstLineChars="200"/>
        <w:jc w:val="center"/>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 xml:space="preserve">                        日  期：</w:t>
      </w:r>
      <w:r>
        <w:rPr>
          <w:rFonts w:hint="eastAsia" w:ascii="仿宋" w:hAnsi="仿宋" w:eastAsia="仿宋" w:cs="仿宋"/>
          <w:color w:val="auto"/>
          <w:spacing w:val="6"/>
          <w:szCs w:val="24"/>
          <w:highlight w:val="none"/>
          <w:u w:val="single"/>
        </w:rPr>
        <w:t xml:space="preserve">            </w:t>
      </w:r>
    </w:p>
    <w:p>
      <w:pPr>
        <w:spacing w:line="480" w:lineRule="exact"/>
        <w:rPr>
          <w:rFonts w:hint="eastAsia" w:ascii="仿宋" w:hAnsi="仿宋" w:eastAsia="仿宋" w:cs="仿宋"/>
          <w:b/>
          <w:color w:val="auto"/>
          <w:sz w:val="24"/>
          <w:highlight w:val="none"/>
          <w:lang w:val="en-US" w:eastAsia="zh-CN"/>
        </w:rPr>
      </w:pPr>
    </w:p>
    <w:p>
      <w:pPr>
        <w:spacing w:line="480" w:lineRule="exact"/>
        <w:rPr>
          <w:rFonts w:hint="eastAsia" w:ascii="仿宋" w:hAnsi="仿宋" w:eastAsia="仿宋" w:cs="仿宋"/>
          <w:b/>
          <w:color w:val="auto"/>
          <w:sz w:val="24"/>
          <w:highlight w:val="none"/>
          <w:lang w:val="en-US" w:eastAsia="zh-CN"/>
        </w:rPr>
      </w:pPr>
    </w:p>
    <w:p>
      <w:pPr>
        <w:spacing w:line="480" w:lineRule="exact"/>
        <w:rPr>
          <w:rFonts w:hint="eastAsia" w:ascii="仿宋" w:hAnsi="仿宋" w:eastAsia="仿宋" w:cs="仿宋"/>
          <w:b/>
          <w:color w:val="auto"/>
          <w:sz w:val="24"/>
          <w:highlight w:val="none"/>
          <w:lang w:val="en-US" w:eastAsia="zh-CN"/>
        </w:rPr>
      </w:pPr>
    </w:p>
    <w:p>
      <w:pPr>
        <w:spacing w:line="360" w:lineRule="auto"/>
        <w:ind w:firstLine="422" w:firstLineChars="200"/>
        <w:rPr>
          <w:rFonts w:hint="eastAsia" w:ascii="仿宋" w:hAnsi="仿宋" w:eastAsia="仿宋" w:cs="仿宋"/>
          <w:b/>
          <w:bCs w:val="0"/>
          <w:color w:val="auto"/>
          <w:kern w:val="0"/>
          <w:sz w:val="21"/>
          <w:szCs w:val="20"/>
          <w:highlight w:val="none"/>
          <w:lang w:val="zh-CN"/>
        </w:rPr>
      </w:pPr>
      <w:r>
        <w:rPr>
          <w:rFonts w:hint="eastAsia" w:ascii="仿宋" w:hAnsi="仿宋" w:eastAsia="仿宋" w:cs="仿宋"/>
          <w:b/>
          <w:bCs w:val="0"/>
          <w:color w:val="auto"/>
          <w:kern w:val="0"/>
          <w:sz w:val="21"/>
          <w:szCs w:val="20"/>
          <w:highlight w:val="none"/>
          <w:lang w:val="zh-CN"/>
        </w:rPr>
        <w:t>备注：投标人提供的《残疾人福利性单位声明函》必须真实有效，如果被举报经查实出具虚假声明函的，将被取消投标资格，并按有关规定予以处理。</w:t>
      </w:r>
    </w:p>
    <w:p>
      <w:pPr>
        <w:keepNext w:val="0"/>
        <w:keepLines w:val="0"/>
        <w:pageBreakBefore w:val="0"/>
        <w:widowControl w:val="0"/>
        <w:tabs>
          <w:tab w:val="left" w:pos="4860"/>
        </w:tabs>
        <w:kinsoku/>
        <w:wordWrap/>
        <w:overflowPunct/>
        <w:topLinePunct w:val="0"/>
        <w:autoSpaceDE/>
        <w:autoSpaceDN/>
        <w:bidi w:val="0"/>
        <w:adjustRightInd/>
        <w:snapToGrid/>
        <w:spacing w:line="560" w:lineRule="exact"/>
        <w:ind w:right="1560" w:firstLine="504" w:firstLineChars="200"/>
        <w:jc w:val="center"/>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br w:type="page"/>
      </w:r>
    </w:p>
    <w:p>
      <w:pPr>
        <w:pStyle w:val="38"/>
        <w:spacing w:line="56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b/>
          <w:bCs/>
          <w:color w:val="auto"/>
          <w:szCs w:val="28"/>
          <w:highlight w:val="none"/>
          <w:lang w:val="en-US" w:eastAsia="zh-CN"/>
        </w:rPr>
        <w:t>20</w:t>
      </w:r>
      <w:r>
        <w:rPr>
          <w:rFonts w:hint="eastAsia" w:ascii="仿宋" w:hAnsi="仿宋" w:eastAsia="仿宋" w:cs="仿宋"/>
          <w:b/>
          <w:bCs/>
          <w:color w:val="auto"/>
          <w:szCs w:val="28"/>
          <w:highlight w:val="none"/>
        </w:rPr>
        <w:t>.《</w:t>
      </w:r>
      <w:r>
        <w:rPr>
          <w:rFonts w:hint="eastAsia" w:ascii="仿宋" w:hAnsi="仿宋" w:eastAsia="仿宋" w:cs="仿宋"/>
          <w:b/>
          <w:bCs/>
          <w:color w:val="auto"/>
          <w:szCs w:val="28"/>
          <w:highlight w:val="none"/>
          <w:lang w:eastAsia="zh-CN"/>
        </w:rPr>
        <w:t>监狱、戒毒企业</w:t>
      </w:r>
      <w:r>
        <w:rPr>
          <w:rFonts w:hint="eastAsia" w:ascii="仿宋" w:hAnsi="仿宋" w:eastAsia="仿宋" w:cs="仿宋"/>
          <w:b/>
          <w:bCs/>
          <w:color w:val="auto"/>
          <w:szCs w:val="28"/>
          <w:highlight w:val="none"/>
        </w:rPr>
        <w:t>声明函》</w:t>
      </w:r>
      <w:r>
        <w:rPr>
          <w:rFonts w:hint="eastAsia" w:ascii="仿宋" w:hAnsi="仿宋" w:eastAsia="仿宋" w:cs="仿宋"/>
          <w:color w:val="auto"/>
          <w:sz w:val="24"/>
          <w:szCs w:val="24"/>
          <w:highlight w:val="none"/>
        </w:rPr>
        <w:t>（格式，若有）</w:t>
      </w:r>
    </w:p>
    <w:p>
      <w:pPr>
        <w:keepNext w:val="0"/>
        <w:keepLines w:val="0"/>
        <w:pageBreakBefore w:val="0"/>
        <w:widowControl w:val="0"/>
        <w:kinsoku/>
        <w:wordWrap/>
        <w:overflowPunct/>
        <w:topLinePunct w:val="0"/>
        <w:autoSpaceDE/>
        <w:autoSpaceDN/>
        <w:bidi w:val="0"/>
        <w:adjustRightInd/>
        <w:snapToGrid w:val="0"/>
        <w:spacing w:line="640" w:lineRule="exact"/>
        <w:ind w:firstLine="1512" w:firstLineChars="6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640" w:lineRule="exact"/>
        <w:ind w:firstLine="1687" w:firstLineChars="600"/>
        <w:textAlignment w:val="auto"/>
        <w:rPr>
          <w:rFonts w:hint="eastAsia" w:ascii="仿宋" w:hAnsi="仿宋" w:eastAsia="仿宋" w:cs="仿宋"/>
          <w:b/>
          <w:strike w:val="0"/>
          <w:dstrike w:val="0"/>
          <w:color w:val="auto"/>
          <w:spacing w:val="6"/>
          <w:sz w:val="21"/>
          <w:szCs w:val="21"/>
          <w:highlight w:val="none"/>
          <w:u w:val="double"/>
          <w:lang w:val="zh-CN"/>
        </w:rPr>
      </w:pPr>
      <w:r>
        <w:rPr>
          <w:rFonts w:hint="eastAsia" w:ascii="仿宋" w:hAnsi="仿宋" w:eastAsia="仿宋" w:cs="仿宋"/>
          <w:b/>
          <w:color w:val="auto"/>
          <w:kern w:val="0"/>
          <w:sz w:val="28"/>
          <w:szCs w:val="28"/>
          <w:highlight w:val="none"/>
          <w:lang w:val="zh-CN"/>
        </w:rPr>
        <w:t>监狱、戒毒企业声明函</w:t>
      </w:r>
      <w:r>
        <w:rPr>
          <w:rFonts w:hint="eastAsia" w:ascii="仿宋" w:hAnsi="仿宋" w:eastAsia="仿宋" w:cs="仿宋"/>
          <w:b/>
          <w:strike w:val="0"/>
          <w:dstrike w:val="0"/>
          <w:color w:val="auto"/>
          <w:spacing w:val="6"/>
          <w:sz w:val="21"/>
          <w:szCs w:val="21"/>
          <w:highlight w:val="none"/>
          <w:u w:val="none"/>
          <w:lang w:val="zh-CN"/>
        </w:rPr>
        <w:t>（非监狱、戒毒企业不填写）</w:t>
      </w:r>
    </w:p>
    <w:p>
      <w:pPr>
        <w:keepNext w:val="0"/>
        <w:keepLines w:val="0"/>
        <w:pageBreakBefore w:val="0"/>
        <w:widowControl w:val="0"/>
        <w:kinsoku/>
        <w:wordWrap/>
        <w:overflowPunct/>
        <w:topLinePunct w:val="0"/>
        <w:autoSpaceDE/>
        <w:autoSpaceDN/>
        <w:bidi w:val="0"/>
        <w:adjustRightInd/>
        <w:spacing w:line="640" w:lineRule="exact"/>
        <w:ind w:firstLine="504" w:firstLineChars="2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 xml:space="preserve"> </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w:t>
      </w:r>
      <w:r>
        <w:rPr>
          <w:rFonts w:hint="eastAsia" w:ascii="仿宋" w:hAnsi="仿宋" w:eastAsia="仿宋" w:cs="仿宋"/>
          <w:color w:val="auto"/>
          <w:spacing w:val="-4"/>
          <w:kern w:val="0"/>
          <w:sz w:val="24"/>
          <w:highlight w:val="none"/>
        </w:rPr>
        <w:t>财政部 司法部 关于政府采购支持监狱企业发展有关问题的通知</w:t>
      </w:r>
      <w:r>
        <w:rPr>
          <w:rFonts w:hint="eastAsia" w:ascii="仿宋" w:hAnsi="仿宋" w:eastAsia="仿宋" w:cs="仿宋"/>
          <w:color w:val="auto"/>
          <w:sz w:val="24"/>
          <w:highlight w:val="none"/>
        </w:rPr>
        <w:t>》（财库〔2014〕68号）的规定，本单位为符合条件的监狱、戒毒企业，且本单位参加的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项目采购活动提供本单位制造的货物（由本单位承担工程/提供服务），或者提供其他监狱、戒毒企业制造的货物（不包括使用非监狱、戒毒企业注册商标的货物）。</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tabs>
          <w:tab w:val="left" w:pos="4860"/>
          <w:tab w:val="left" w:pos="8040"/>
          <w:tab w:val="left" w:pos="8160"/>
        </w:tabs>
        <w:kinsoku/>
        <w:wordWrap/>
        <w:overflowPunct/>
        <w:topLinePunct w:val="0"/>
        <w:autoSpaceDE/>
        <w:autoSpaceDN/>
        <w:bidi w:val="0"/>
        <w:adjustRightInd/>
        <w:spacing w:line="640" w:lineRule="exact"/>
        <w:ind w:right="862" w:firstLine="480" w:firstLineChars="200"/>
        <w:jc w:val="center"/>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投标人全称（公章）：</w:t>
      </w:r>
      <w:r>
        <w:rPr>
          <w:rFonts w:hint="eastAsia" w:ascii="仿宋" w:hAnsi="仿宋" w:eastAsia="仿宋" w:cs="仿宋"/>
          <w:color w:val="auto"/>
          <w:sz w:val="24"/>
          <w:highlight w:val="none"/>
          <w:u w:val="single"/>
        </w:rPr>
        <w:t xml:space="preserve">                   </w:t>
      </w:r>
    </w:p>
    <w:p>
      <w:pPr>
        <w:keepNext w:val="0"/>
        <w:keepLines w:val="0"/>
        <w:pageBreakBefore w:val="0"/>
        <w:widowControl w:val="0"/>
        <w:tabs>
          <w:tab w:val="left" w:pos="4860"/>
        </w:tabs>
        <w:kinsoku/>
        <w:wordWrap/>
        <w:overflowPunct/>
        <w:topLinePunct w:val="0"/>
        <w:autoSpaceDE/>
        <w:autoSpaceDN/>
        <w:bidi w:val="0"/>
        <w:adjustRightInd/>
        <w:spacing w:line="640" w:lineRule="exact"/>
        <w:ind w:right="1560" w:firstLine="480" w:firstLineChars="20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spacing w:line="360" w:lineRule="auto"/>
        <w:ind w:firstLine="504" w:firstLineChars="200"/>
        <w:rPr>
          <w:rFonts w:hint="eastAsia" w:ascii="仿宋" w:hAnsi="仿宋" w:eastAsia="仿宋" w:cs="仿宋"/>
          <w:b w:val="0"/>
          <w:bCs/>
          <w:color w:val="auto"/>
          <w:spacing w:val="6"/>
          <w:sz w:val="24"/>
          <w:highlight w:val="none"/>
          <w:shd w:val="pct10" w:color="auto" w:fill="FFFFFF"/>
        </w:rPr>
      </w:pPr>
    </w:p>
    <w:p>
      <w:pPr>
        <w:spacing w:line="360" w:lineRule="auto"/>
        <w:ind w:firstLine="444" w:firstLineChars="200"/>
        <w:rPr>
          <w:rFonts w:hint="eastAsia" w:ascii="仿宋" w:hAnsi="仿宋" w:eastAsia="仿宋" w:cs="仿宋"/>
          <w:b w:val="0"/>
          <w:bCs/>
          <w:color w:val="auto"/>
          <w:spacing w:val="6"/>
          <w:sz w:val="21"/>
          <w:szCs w:val="20"/>
          <w:highlight w:val="none"/>
          <w:shd w:val="pct10" w:color="auto" w:fill="FFFFFF"/>
        </w:rPr>
      </w:pPr>
    </w:p>
    <w:p>
      <w:pPr>
        <w:pStyle w:val="11"/>
        <w:rPr>
          <w:rFonts w:hint="eastAsia" w:ascii="仿宋" w:hAnsi="仿宋" w:eastAsia="仿宋" w:cs="仿宋"/>
          <w:b w:val="0"/>
          <w:bCs/>
          <w:color w:val="auto"/>
          <w:spacing w:val="6"/>
          <w:sz w:val="21"/>
          <w:szCs w:val="20"/>
          <w:highlight w:val="none"/>
          <w:shd w:val="pct10" w:color="auto" w:fill="FFFFFF"/>
        </w:rPr>
      </w:pPr>
    </w:p>
    <w:p>
      <w:pPr>
        <w:rPr>
          <w:rFonts w:hint="eastAsia" w:ascii="仿宋" w:hAnsi="仿宋" w:eastAsia="仿宋" w:cs="仿宋"/>
          <w:color w:val="auto"/>
          <w:highlight w:val="none"/>
        </w:rPr>
      </w:pPr>
    </w:p>
    <w:p>
      <w:pPr>
        <w:rPr>
          <w:rFonts w:hint="eastAsia" w:ascii="仿宋" w:hAnsi="仿宋" w:eastAsia="仿宋" w:cs="仿宋"/>
          <w:color w:val="auto"/>
          <w:sz w:val="28"/>
          <w:szCs w:val="28"/>
          <w:highlight w:val="none"/>
        </w:rPr>
        <w:sectPr>
          <w:headerReference r:id="rId31" w:type="first"/>
          <w:footerReference r:id="rId32" w:type="first"/>
          <w:pgSz w:w="11905" w:h="16840"/>
          <w:pgMar w:top="1417" w:right="1417" w:bottom="1417" w:left="1417" w:header="935" w:footer="907" w:gutter="0"/>
          <w:pgNumType w:fmt="decimal"/>
          <w:cols w:space="0" w:num="1"/>
          <w:titlePg/>
          <w:rtlGutter w:val="0"/>
          <w:docGrid w:linePitch="312" w:charSpace="0"/>
        </w:sectPr>
      </w:pPr>
      <w:r>
        <w:rPr>
          <w:rFonts w:hint="eastAsia" w:ascii="仿宋" w:hAnsi="仿宋" w:eastAsia="仿宋" w:cs="仿宋"/>
          <w:b/>
          <w:bCs w:val="0"/>
          <w:color w:val="auto"/>
          <w:kern w:val="0"/>
          <w:sz w:val="21"/>
          <w:szCs w:val="20"/>
          <w:highlight w:val="none"/>
          <w:lang w:val="zh-CN"/>
        </w:rPr>
        <w:t>备注：投标人提供的《</w:t>
      </w:r>
      <w:r>
        <w:rPr>
          <w:rFonts w:hint="eastAsia" w:ascii="仿宋" w:hAnsi="仿宋" w:eastAsia="仿宋" w:cs="仿宋"/>
          <w:b/>
          <w:bCs w:val="0"/>
          <w:color w:val="auto"/>
          <w:sz w:val="21"/>
          <w:szCs w:val="20"/>
          <w:highlight w:val="none"/>
        </w:rPr>
        <w:t>监狱、戒毒企业</w:t>
      </w:r>
      <w:r>
        <w:rPr>
          <w:rFonts w:hint="eastAsia" w:ascii="仿宋" w:hAnsi="仿宋" w:eastAsia="仿宋" w:cs="仿宋"/>
          <w:b/>
          <w:bCs w:val="0"/>
          <w:color w:val="auto"/>
          <w:kern w:val="0"/>
          <w:sz w:val="21"/>
          <w:szCs w:val="20"/>
          <w:highlight w:val="none"/>
          <w:lang w:val="zh-CN"/>
        </w:rPr>
        <w:t>声明函》必须真实有效，</w:t>
      </w:r>
      <w:r>
        <w:rPr>
          <w:rFonts w:hint="eastAsia" w:ascii="仿宋" w:hAnsi="仿宋" w:eastAsia="仿宋" w:cs="仿宋"/>
          <w:b/>
          <w:bCs w:val="0"/>
          <w:color w:val="auto"/>
          <w:sz w:val="21"/>
          <w:szCs w:val="20"/>
          <w:highlight w:val="none"/>
        </w:rPr>
        <w:t>投标人应当提供由省级以上监狱管理局、戒毒管理局(含新疆生产建设兵团)出具的属于监狱企业的证明文件。</w:t>
      </w:r>
    </w:p>
    <w:p>
      <w:pPr>
        <w:pStyle w:val="38"/>
        <w:spacing w:line="560" w:lineRule="exact"/>
        <w:ind w:firstLine="0" w:firstLineChars="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lang w:eastAsia="zh-CN"/>
        </w:rPr>
        <w:t>封袋正面标识式样</w:t>
      </w:r>
    </w:p>
    <w:p>
      <w:pPr>
        <w:rPr>
          <w:rFonts w:hint="eastAsia" w:ascii="仿宋" w:hAnsi="仿宋" w:eastAsia="仿宋" w:cs="仿宋"/>
          <w:color w:val="auto"/>
          <w:highlight w:val="none"/>
        </w:rPr>
      </w:pPr>
    </w:p>
    <w:p>
      <w:pPr>
        <w:spacing w:line="46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投标文件封袋正面标识式样</w:t>
      </w:r>
    </w:p>
    <w:p>
      <w:pPr>
        <w:rPr>
          <w:rFonts w:hint="eastAsia" w:ascii="仿宋" w:hAnsi="仿宋" w:eastAsia="仿宋" w:cs="仿宋"/>
          <w:color w:val="auto"/>
          <w:highlight w:val="none"/>
        </w:rPr>
      </w:pPr>
      <w:r>
        <w:rPr>
          <w:rFonts w:hint="eastAsia" w:ascii="仿宋" w:hAnsi="仿宋" w:eastAsia="仿宋" w:cs="仿宋"/>
          <w:b/>
          <w:color w:val="auto"/>
          <w:sz w:val="24"/>
          <w:highlight w:val="none"/>
        </w:rPr>
        <w:pict>
          <v:shape id="_x0000_s2055" o:spid="_x0000_s2055" o:spt="202" type="#_x0000_t202" style="position:absolute;left:0pt;margin-left:-16.15pt;margin-top:13.25pt;height:606.8pt;width:447.15pt;z-index:251672576;mso-width-relative:page;mso-height-relative:page;" coordsize="21600,21600">
            <v:path/>
            <v:fill focussize="0,0"/>
            <v:stroke/>
            <v:imagedata o:title=""/>
            <o:lock v:ext="edit" grouping="f" rotation="f" text="f" aspectratio="f"/>
            <v:textbox>
              <w:txbxContent>
                <w:p>
                  <w:pPr>
                    <w:rPr>
                      <w:rFonts w:hint="eastAsia" w:ascii="仿宋" w:hAnsi="仿宋" w:eastAsia="仿宋" w:cs="仿宋"/>
                      <w:color w:val="00B0F0"/>
                      <w:sz w:val="28"/>
                      <w:szCs w:val="28"/>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w:t>
                  </w:r>
                  <w:r>
                    <w:rPr>
                      <w:rFonts w:hint="eastAsia" w:ascii="仿宋" w:hAnsi="仿宋" w:eastAsia="仿宋" w:cs="仿宋"/>
                      <w:sz w:val="28"/>
                      <w:szCs w:val="28"/>
                    </w:rPr>
                    <w:t>有限公司</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r>
                    <w:rPr>
                      <w:rFonts w:hint="eastAsia" w:ascii="仿宋" w:hAnsi="仿宋" w:eastAsia="仿宋" w:cs="仿宋"/>
                      <w:b/>
                      <w:sz w:val="44"/>
                      <w:szCs w:val="44"/>
                    </w:rPr>
                    <w:t>投标文件（正本或副本）</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11"/>
                    <w:jc w:val="center"/>
                    <w:rPr>
                      <w:rFonts w:hint="eastAsia" w:ascii="仿宋" w:hAnsi="仿宋" w:eastAsia="仿宋" w:cs="仿宋"/>
                      <w:color w:val="auto"/>
                    </w:rPr>
                  </w:pPr>
                </w:p>
                <w:p>
                  <w:pPr>
                    <w:pStyle w:val="11"/>
                    <w:jc w:val="center"/>
                    <w:rPr>
                      <w:rFonts w:hint="eastAsia" w:ascii="仿宋" w:hAnsi="仿宋" w:eastAsia="仿宋" w:cs="仿宋"/>
                      <w:color w:val="auto"/>
                    </w:rPr>
                  </w:pPr>
                </w:p>
                <w:p>
                  <w:pPr>
                    <w:pStyle w:val="11"/>
                    <w:jc w:val="center"/>
                    <w:rPr>
                      <w:rFonts w:hint="eastAsia" w:ascii="仿宋" w:hAnsi="仿宋" w:eastAsia="仿宋" w:cs="仿宋"/>
                      <w:color w:val="auto"/>
                    </w:rPr>
                  </w:pPr>
                </w:p>
                <w:p>
                  <w:pPr>
                    <w:pStyle w:val="11"/>
                    <w:jc w:val="center"/>
                    <w:rPr>
                      <w:rFonts w:hint="eastAsia" w:ascii="仿宋" w:hAnsi="仿宋" w:eastAsia="仿宋" w:cs="仿宋"/>
                      <w:color w:val="auto"/>
                    </w:rPr>
                  </w:pPr>
                  <w:r>
                    <w:rPr>
                      <w:rFonts w:hint="eastAsia" w:ascii="仿宋" w:hAnsi="仿宋" w:eastAsia="仿宋" w:cs="仿宋"/>
                      <w:color w:val="auto"/>
                    </w:rPr>
                    <w:t>在****年*月*日*时*分之前不得启封</w:t>
                  </w:r>
                </w:p>
                <w:p>
                  <w:pPr>
                    <w:pStyle w:val="11"/>
                    <w:rPr>
                      <w:rFonts w:hint="eastAsia" w:ascii="仿宋" w:hAnsi="仿宋" w:eastAsia="仿宋" w:cs="仿宋"/>
                      <w:color w:val="00B0F0"/>
                    </w:rPr>
                  </w:pPr>
                </w:p>
                <w:p>
                  <w:pPr>
                    <w:rPr>
                      <w:rFonts w:hint="eastAsia" w:ascii="仿宋" w:hAnsi="仿宋" w:eastAsia="仿宋" w:cs="仿宋"/>
                      <w:color w:val="00B0F0"/>
                      <w:sz w:val="28"/>
                      <w:szCs w:val="28"/>
                    </w:rPr>
                  </w:pPr>
                  <w:r>
                    <w:rPr>
                      <w:rFonts w:hint="eastAsia" w:ascii="仿宋" w:hAnsi="仿宋" w:eastAsia="仿宋" w:cs="仿宋"/>
                      <w:color w:val="00B0F0"/>
                      <w:sz w:val="28"/>
                      <w:szCs w:val="28"/>
                    </w:rPr>
                    <w:t xml:space="preserve">                                </w:t>
                  </w:r>
                </w:p>
              </w:txbxContent>
            </v:textbox>
          </v:shape>
        </w:pict>
      </w:r>
    </w:p>
    <w:p>
      <w:pPr>
        <w:snapToGrid w:val="0"/>
        <w:spacing w:line="560" w:lineRule="exact"/>
        <w:rPr>
          <w:rFonts w:hint="eastAsia" w:ascii="仿宋" w:hAnsi="仿宋" w:eastAsia="仿宋" w:cs="仿宋"/>
          <w:b/>
          <w:bCs/>
          <w:color w:val="auto"/>
          <w:kern w:val="0"/>
          <w:sz w:val="28"/>
          <w:szCs w:val="28"/>
          <w:highlight w:val="none"/>
        </w:rPr>
      </w:pPr>
    </w:p>
    <w:p>
      <w:pPr>
        <w:widowControl/>
        <w:spacing w:line="560" w:lineRule="exact"/>
        <w:ind w:left="480" w:leftChars="200"/>
        <w:rPr>
          <w:rFonts w:hint="eastAsia" w:ascii="仿宋" w:hAnsi="仿宋" w:eastAsia="仿宋" w:cs="仿宋"/>
          <w:color w:val="auto"/>
          <w:szCs w:val="24"/>
          <w:highlight w:val="none"/>
        </w:rPr>
      </w:pPr>
    </w:p>
    <w:p>
      <w:pPr>
        <w:widowControl/>
        <w:spacing w:line="560" w:lineRule="exact"/>
        <w:ind w:left="480" w:left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p>
    <w:p>
      <w:pPr>
        <w:pStyle w:val="11"/>
        <w:rPr>
          <w:rFonts w:hint="eastAsia" w:ascii="仿宋" w:hAnsi="仿宋" w:eastAsia="仿宋" w:cs="仿宋"/>
          <w:color w:val="auto"/>
          <w:highlight w:val="none"/>
        </w:rPr>
      </w:pPr>
    </w:p>
    <w:p>
      <w:pPr>
        <w:rPr>
          <w:rFonts w:hint="eastAsia" w:ascii="仿宋" w:hAnsi="仿宋" w:eastAsia="仿宋" w:cs="仿宋"/>
          <w:color w:val="auto"/>
          <w:highlight w:val="none"/>
        </w:rPr>
      </w:pPr>
    </w:p>
    <w:p>
      <w:pPr>
        <w:spacing w:line="560" w:lineRule="exact"/>
        <w:rPr>
          <w:rFonts w:hint="eastAsia" w:ascii="仿宋" w:hAnsi="仿宋" w:eastAsia="仿宋" w:cs="仿宋"/>
          <w:b/>
          <w:color w:val="auto"/>
          <w:sz w:val="44"/>
          <w:szCs w:val="44"/>
          <w:highlight w:val="none"/>
        </w:rPr>
      </w:pPr>
    </w:p>
    <w:p>
      <w:pPr>
        <w:pStyle w:val="11"/>
        <w:rPr>
          <w:rFonts w:hint="eastAsia" w:ascii="仿宋" w:hAnsi="仿宋" w:eastAsia="仿宋" w:cs="仿宋"/>
          <w:color w:val="auto"/>
          <w:highlight w:val="none"/>
        </w:rPr>
      </w:pPr>
    </w:p>
    <w:p>
      <w:pP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br w:type="page"/>
      </w:r>
    </w:p>
    <w:p>
      <w:pPr>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开标一览表</w:t>
      </w:r>
      <w:r>
        <w:rPr>
          <w:rFonts w:hint="eastAsia" w:ascii="仿宋" w:hAnsi="仿宋" w:eastAsia="仿宋" w:cs="仿宋"/>
          <w:b/>
          <w:color w:val="auto"/>
          <w:sz w:val="24"/>
          <w:highlight w:val="none"/>
        </w:rPr>
        <w:t>正面标识式样</w:t>
      </w:r>
    </w:p>
    <w:p>
      <w:pPr>
        <w:rPr>
          <w:rFonts w:hint="eastAsia" w:ascii="仿宋" w:hAnsi="仿宋" w:eastAsia="仿宋" w:cs="仿宋"/>
          <w:b/>
          <w:color w:val="auto"/>
          <w:sz w:val="44"/>
          <w:szCs w:val="44"/>
          <w:highlight w:val="none"/>
        </w:rPr>
      </w:pPr>
      <w:r>
        <w:rPr>
          <w:rFonts w:hint="eastAsia" w:ascii="仿宋" w:hAnsi="仿宋" w:eastAsia="仿宋" w:cs="仿宋"/>
          <w:color w:val="auto"/>
          <w:highlight w:val="none"/>
        </w:rPr>
        <w:pict>
          <v:shape id="_x0000_s2056" o:spid="_x0000_s2056" o:spt="202" type="#_x0000_t202" style="position:absolute;left:0pt;margin-left:-10.9pt;margin-top:14.65pt;height:641.25pt;width:440.6pt;z-index:251673600;mso-width-relative:page;mso-height-relative:page;" coordsize="21600,21600">
            <v:path/>
            <v:fill focussize="0,0"/>
            <v:stroke/>
            <v:imagedata o:title=""/>
            <o:lock v:ext="edit" grouping="f" rotation="f" text="f" aspectratio="f"/>
            <v:textbox>
              <w:txbxContent>
                <w:p>
                  <w:pPr>
                    <w:rPr>
                      <w:sz w:val="28"/>
                      <w:szCs w:val="28"/>
                    </w:rPr>
                  </w:pPr>
                </w:p>
                <w:p>
                  <w:pPr>
                    <w:rPr>
                      <w:sz w:val="28"/>
                      <w:szCs w:val="28"/>
                    </w:rPr>
                  </w:pP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华招广和项目管理有限公司</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sz w:val="28"/>
                      <w:szCs w:val="28"/>
                      <w:lang w:eastAsia="zh-CN"/>
                    </w:rPr>
                  </w:pPr>
                  <w:r>
                    <w:rPr>
                      <w:rFonts w:hint="eastAsia" w:ascii="仿宋" w:hAnsi="仿宋" w:eastAsia="仿宋" w:cs="仿宋"/>
                      <w:b/>
                      <w:sz w:val="44"/>
                      <w:szCs w:val="44"/>
                      <w:lang w:eastAsia="zh-CN"/>
                    </w:rPr>
                    <w:t>开标一览表</w:t>
                  </w:r>
                </w:p>
                <w:p>
                  <w:pPr>
                    <w:pStyle w:val="11"/>
                    <w:rPr>
                      <w:rFonts w:hint="eastAsia" w:ascii="仿宋" w:hAnsi="仿宋" w:eastAsia="仿宋" w:cs="仿宋"/>
                      <w:color w:val="auto"/>
                    </w:rPr>
                  </w:pPr>
                </w:p>
                <w:p>
                  <w:pPr>
                    <w:rPr>
                      <w:rFonts w:hint="eastAsia" w:ascii="仿宋" w:hAnsi="仿宋" w:eastAsia="仿宋" w:cs="仿宋"/>
                    </w:rPr>
                  </w:pPr>
                </w:p>
                <w:p>
                  <w:pPr>
                    <w:pStyle w:val="11"/>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pStyle w:val="11"/>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                   </w:t>
                  </w:r>
                </w:p>
                <w:p>
                  <w:pPr>
                    <w:pStyle w:val="11"/>
                    <w:rPr>
                      <w:rFonts w:hint="eastAsia" w:ascii="仿宋" w:hAnsi="仿宋" w:eastAsia="仿宋" w:cs="仿宋"/>
                      <w:color w:val="auto"/>
                    </w:rPr>
                  </w:pPr>
                </w:p>
                <w:p>
                  <w:pPr>
                    <w:rPr>
                      <w:rFonts w:hint="eastAsia" w:ascii="仿宋" w:hAnsi="仿宋" w:eastAsia="仿宋" w:cs="仿宋"/>
                    </w:rPr>
                  </w:pPr>
                </w:p>
                <w:p>
                  <w:pPr>
                    <w:pStyle w:val="11"/>
                    <w:rPr>
                      <w:rFonts w:hint="eastAsia" w:ascii="仿宋" w:hAnsi="仿宋" w:eastAsia="仿宋" w:cs="仿宋"/>
                      <w:color w:val="auto"/>
                    </w:rPr>
                  </w:pPr>
                </w:p>
                <w:p>
                  <w:pPr>
                    <w:jc w:val="center"/>
                    <w:rPr>
                      <w:rFonts w:hint="eastAsia" w:ascii="仿宋" w:hAnsi="仿宋" w:eastAsia="仿宋" w:cs="仿宋"/>
                    </w:rPr>
                  </w:pPr>
                  <w:r>
                    <w:rPr>
                      <w:rFonts w:hint="eastAsia" w:ascii="仿宋" w:hAnsi="仿宋" w:eastAsia="仿宋" w:cs="仿宋"/>
                    </w:rPr>
                    <w:t>在****年*月*日*时*分之前不得启封</w:t>
                  </w:r>
                </w:p>
              </w:txbxContent>
            </v:textbox>
          </v:shape>
        </w:pict>
      </w:r>
      <w:r>
        <w:rPr>
          <w:rFonts w:hint="eastAsia" w:ascii="仿宋" w:hAnsi="仿宋" w:eastAsia="仿宋" w:cs="仿宋"/>
          <w:b/>
          <w:color w:val="auto"/>
          <w:sz w:val="44"/>
          <w:szCs w:val="44"/>
          <w:highlight w:val="none"/>
        </w:rPr>
        <w:br w:type="page"/>
      </w:r>
    </w:p>
    <w:p>
      <w:pPr>
        <w:bidi w:val="0"/>
        <w:jc w:val="left"/>
        <w:rPr>
          <w:rFonts w:hint="eastAsia" w:ascii="仿宋" w:hAnsi="仿宋" w:eastAsia="仿宋" w:cs="仿宋"/>
          <w:color w:val="auto"/>
          <w:kern w:val="2"/>
          <w:sz w:val="24"/>
          <w:szCs w:val="22"/>
          <w:highlight w:val="none"/>
          <w:lang w:val="en-US" w:eastAsia="zh-CN" w:bidi="ar-SA"/>
        </w:rPr>
      </w:pPr>
    </w:p>
    <w:p>
      <w:pPr>
        <w:spacing w:line="560" w:lineRule="exact"/>
        <w:jc w:val="center"/>
        <w:rPr>
          <w:rFonts w:hint="eastAsia" w:ascii="仿宋" w:hAnsi="仿宋" w:eastAsia="仿宋" w:cs="仿宋"/>
          <w:b/>
          <w:color w:val="auto"/>
          <w:sz w:val="44"/>
          <w:szCs w:val="44"/>
          <w:highlight w:val="none"/>
        </w:rPr>
      </w:pPr>
    </w:p>
    <w:p>
      <w:pPr>
        <w:pStyle w:val="7"/>
        <w:rPr>
          <w:rFonts w:hint="eastAsia" w:ascii="仿宋" w:hAnsi="仿宋" w:eastAsia="仿宋" w:cs="仿宋"/>
          <w:color w:val="auto"/>
          <w:highlight w:val="non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jc w:val="center"/>
        <w:rPr>
          <w:rFonts w:hint="eastAsia" w:ascii="仿宋" w:hAnsi="仿宋" w:eastAsia="仿宋" w:cs="仿宋"/>
          <w:b/>
          <w:bCs/>
          <w:color w:val="auto"/>
          <w:sz w:val="48"/>
          <w:szCs w:val="48"/>
          <w:highlight w:val="none"/>
          <w:lang w:val="zh-CN" w:eastAsia="zh-CN"/>
        </w:rPr>
      </w:pPr>
    </w:p>
    <w:p>
      <w:pPr>
        <w:jc w:val="center"/>
        <w:rPr>
          <w:rFonts w:hint="eastAsia" w:ascii="仿宋" w:hAnsi="仿宋" w:eastAsia="仿宋" w:cs="仿宋"/>
          <w:b/>
          <w:bCs/>
          <w:i/>
          <w:iCs/>
          <w:color w:val="auto"/>
          <w:sz w:val="48"/>
          <w:szCs w:val="48"/>
          <w:highlight w:val="none"/>
          <w:lang w:val="en-US" w:eastAsia="zh-CN"/>
        </w:rPr>
      </w:pPr>
      <w:r>
        <w:rPr>
          <w:rFonts w:hint="eastAsia" w:ascii="仿宋" w:hAnsi="仿宋" w:eastAsia="仿宋" w:cs="仿宋"/>
          <w:b/>
          <w:bCs/>
          <w:i/>
          <w:iCs/>
          <w:color w:val="auto"/>
          <w:sz w:val="48"/>
          <w:szCs w:val="48"/>
          <w:highlight w:val="none"/>
          <w:lang w:val="zh-CN" w:eastAsia="zh-CN"/>
        </w:rPr>
        <w:t>为政府采购</w:t>
      </w:r>
      <w:r>
        <w:rPr>
          <w:rFonts w:hint="eastAsia" w:ascii="仿宋" w:hAnsi="仿宋" w:eastAsia="仿宋" w:cs="仿宋"/>
          <w:b/>
          <w:bCs/>
          <w:i/>
          <w:iCs/>
          <w:color w:val="auto"/>
          <w:sz w:val="48"/>
          <w:szCs w:val="48"/>
          <w:highlight w:val="none"/>
          <w:lang w:val="en-US" w:eastAsia="zh-CN"/>
        </w:rPr>
        <w:t xml:space="preserve">  我们更专心</w:t>
      </w:r>
    </w:p>
    <w:p>
      <w:pPr>
        <w:pStyle w:val="7"/>
        <w:rPr>
          <w:rFonts w:hint="eastAsia" w:ascii="仿宋" w:hAnsi="仿宋" w:eastAsia="仿宋" w:cs="仿宋"/>
          <w:i/>
          <w:iCs/>
          <w:color w:val="auto"/>
          <w:sz w:val="28"/>
          <w:szCs w:val="22"/>
          <w:highlight w:val="none"/>
          <w:u w:val="none"/>
          <w:lang w:val="en-US" w:eastAsia="zh-CN"/>
        </w:rPr>
      </w:pPr>
      <w:r>
        <w:rPr>
          <w:rFonts w:hint="eastAsia" w:ascii="仿宋" w:hAnsi="仿宋" w:eastAsia="仿宋" w:cs="仿宋"/>
          <w:b/>
          <w:bCs/>
          <w:i/>
          <w:iCs/>
          <w:color w:val="auto"/>
          <w:sz w:val="48"/>
          <w:szCs w:val="48"/>
          <w:highlight w:val="none"/>
          <w:u w:val="none"/>
          <w:lang w:val="en-US" w:eastAsia="zh-CN"/>
        </w:rPr>
        <w:t xml:space="preserve">        </w:t>
      </w:r>
      <w:r>
        <w:rPr>
          <w:rFonts w:hint="eastAsia" w:ascii="仿宋" w:hAnsi="仿宋" w:eastAsia="仿宋" w:cs="仿宋"/>
          <w:b/>
          <w:bCs/>
          <w:i/>
          <w:iCs/>
          <w:color w:val="auto"/>
          <w:sz w:val="48"/>
          <w:szCs w:val="48"/>
          <w:highlight w:val="none"/>
          <w:u w:val="single"/>
          <w:lang w:val="en-US" w:eastAsia="zh-CN"/>
        </w:rPr>
        <w:t xml:space="preserve">                      </w:t>
      </w:r>
      <w:r>
        <w:rPr>
          <w:rFonts w:hint="eastAsia" w:ascii="仿宋" w:hAnsi="仿宋" w:eastAsia="仿宋" w:cs="仿宋"/>
          <w:b/>
          <w:bCs/>
          <w:i/>
          <w:iCs/>
          <w:color w:val="auto"/>
          <w:sz w:val="48"/>
          <w:szCs w:val="48"/>
          <w:highlight w:val="none"/>
          <w:u w:val="none"/>
          <w:lang w:val="en-US" w:eastAsia="zh-CN"/>
        </w:rPr>
        <w:t xml:space="preserve">      </w:t>
      </w:r>
    </w:p>
    <w:p>
      <w:pPr>
        <w:pStyle w:val="7"/>
        <w:jc w:val="center"/>
        <w:rPr>
          <w:rFonts w:hint="eastAsia" w:ascii="仿宋" w:hAnsi="仿宋" w:eastAsia="仿宋" w:cs="仿宋"/>
          <w:b/>
          <w:bCs/>
          <w:i/>
          <w:iCs/>
          <w:color w:val="auto"/>
          <w:sz w:val="48"/>
          <w:szCs w:val="48"/>
          <w:highlight w:val="none"/>
          <w:lang w:val="en-US" w:eastAsia="zh-CN"/>
        </w:rPr>
      </w:pPr>
      <w:r>
        <w:rPr>
          <w:rFonts w:hint="eastAsia" w:ascii="仿宋" w:hAnsi="仿宋" w:eastAsia="仿宋" w:cs="仿宋"/>
          <w:b/>
          <w:bCs/>
          <w:i/>
          <w:iCs/>
          <w:color w:val="auto"/>
          <w:sz w:val="48"/>
          <w:szCs w:val="48"/>
          <w:highlight w:val="none"/>
          <w:lang w:val="en-US" w:eastAsia="zh-CN"/>
        </w:rPr>
        <w:t>做政府采购  我们更用心</w:t>
      </w: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u w:val="singl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sz w:val="40"/>
          <w:szCs w:val="40"/>
          <w:highlight w:val="none"/>
          <w:u w:val="none"/>
          <w:lang w:val="zh-CN" w:eastAsia="zh-CN"/>
        </w:rPr>
      </w:pPr>
      <w:r>
        <w:rPr>
          <w:rFonts w:hint="eastAsia" w:ascii="仿宋" w:hAnsi="仿宋" w:eastAsia="仿宋" w:cs="仿宋"/>
          <w:color w:val="auto"/>
          <w:sz w:val="40"/>
          <w:szCs w:val="40"/>
          <w:highlight w:val="none"/>
          <w:u w:val="none"/>
          <w:lang w:val="zh-CN" w:eastAsia="zh-CN"/>
        </w:rPr>
        <w:t>华招广和项目管理有限公司</w:t>
      </w:r>
    </w:p>
    <w:p>
      <w:pPr>
        <w:pStyle w:val="7"/>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u w:val="single"/>
          <w:lang w:val="en-US" w:eastAsia="zh-CN"/>
        </w:rPr>
        <w:t xml:space="preserve">                                                         </w:t>
      </w:r>
    </w:p>
    <w:p>
      <w:pPr>
        <w:pStyle w:val="7"/>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u w:val="none"/>
          <w:lang w:val="zh-CN" w:eastAsia="zh-CN"/>
        </w:rPr>
        <w:t>地</w:t>
      </w:r>
      <w:r>
        <w:rPr>
          <w:rFonts w:hint="eastAsia" w:ascii="仿宋" w:hAnsi="仿宋" w:eastAsia="仿宋" w:cs="仿宋"/>
          <w:b w:val="0"/>
          <w:bCs/>
          <w:color w:val="auto"/>
          <w:sz w:val="24"/>
          <w:szCs w:val="24"/>
          <w:highlight w:val="none"/>
          <w:u w:val="none"/>
          <w:lang w:val="en-US" w:eastAsia="zh-CN"/>
        </w:rPr>
        <w:t xml:space="preserve">    </w:t>
      </w:r>
      <w:r>
        <w:rPr>
          <w:rFonts w:hint="eastAsia" w:ascii="仿宋" w:hAnsi="仿宋" w:eastAsia="仿宋" w:cs="仿宋"/>
          <w:b w:val="0"/>
          <w:bCs/>
          <w:color w:val="auto"/>
          <w:sz w:val="24"/>
          <w:szCs w:val="24"/>
          <w:highlight w:val="none"/>
          <w:u w:val="none"/>
          <w:lang w:val="zh-CN" w:eastAsia="zh-CN"/>
        </w:rPr>
        <w:t>址：</w:t>
      </w:r>
      <w:r>
        <w:rPr>
          <w:rFonts w:hint="eastAsia" w:ascii="仿宋" w:hAnsi="仿宋" w:eastAsia="仿宋" w:cs="仿宋"/>
          <w:b w:val="0"/>
          <w:bCs/>
          <w:color w:val="auto"/>
          <w:sz w:val="24"/>
          <w:szCs w:val="24"/>
          <w:highlight w:val="none"/>
        </w:rPr>
        <w:t>西安市朱雀大街南段1号汇成天玺C座18层</w:t>
      </w:r>
    </w:p>
    <w:p>
      <w:pPr>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邮</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编：</w:t>
      </w:r>
      <w:r>
        <w:rPr>
          <w:rFonts w:hint="eastAsia" w:ascii="仿宋" w:hAnsi="仿宋" w:eastAsia="仿宋" w:cs="仿宋"/>
          <w:color w:val="auto"/>
          <w:sz w:val="24"/>
          <w:szCs w:val="24"/>
          <w:highlight w:val="none"/>
          <w:lang w:val="en-US" w:eastAsia="zh-CN"/>
        </w:rPr>
        <w:t>710000</w:t>
      </w:r>
    </w:p>
    <w:p>
      <w:pPr>
        <w:pStyle w:val="7"/>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eastAsia="zh-CN"/>
        </w:rPr>
        <w:t>电</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lang w:eastAsia="zh-CN"/>
        </w:rPr>
        <w:t>话：</w:t>
      </w:r>
      <w:r>
        <w:rPr>
          <w:rFonts w:hint="eastAsia" w:ascii="仿宋" w:hAnsi="仿宋" w:eastAsia="仿宋" w:cs="仿宋"/>
          <w:b w:val="0"/>
          <w:bCs/>
          <w:color w:val="auto"/>
          <w:sz w:val="24"/>
          <w:szCs w:val="24"/>
          <w:highlight w:val="none"/>
          <w:lang w:val="en-US" w:eastAsia="zh-CN"/>
        </w:rPr>
        <w:t>029-87592321</w:t>
      </w:r>
    </w:p>
    <w:p>
      <w:pPr>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电子邮箱：</w:t>
      </w:r>
      <w:r>
        <w:rPr>
          <w:rFonts w:hint="eastAsia" w:ascii="仿宋" w:hAnsi="仿宋" w:eastAsia="仿宋" w:cs="仿宋"/>
          <w:color w:val="auto"/>
          <w:sz w:val="24"/>
          <w:szCs w:val="24"/>
          <w:highlight w:val="none"/>
          <w:lang w:val="en-US" w:eastAsia="zh-CN"/>
        </w:rPr>
        <w:t>hzghxmglyxgs@163.com</w:t>
      </w:r>
    </w:p>
    <w:p>
      <w:pPr>
        <w:pStyle w:val="7"/>
        <w:jc w:val="both"/>
        <w:rPr>
          <w:rFonts w:hint="eastAsia" w:ascii="仿宋" w:hAnsi="仿宋" w:eastAsia="仿宋" w:cs="仿宋"/>
          <w:color w:val="auto"/>
          <w:highlight w:val="none"/>
        </w:rPr>
      </w:pPr>
      <w:r>
        <w:rPr>
          <w:rFonts w:hint="eastAsia" w:ascii="仿宋" w:hAnsi="仿宋" w:eastAsia="仿宋" w:cs="仿宋"/>
          <w:color w:val="auto"/>
          <w:highlight w:val="none"/>
          <w:u w:val="single"/>
          <w:lang w:val="en-US" w:eastAsia="zh-CN"/>
        </w:rPr>
        <w:t xml:space="preserve">                                                        </w:t>
      </w:r>
    </w:p>
    <w:p>
      <w:pPr>
        <w:pStyle w:val="7"/>
        <w:jc w:val="both"/>
        <w:rPr>
          <w:rFonts w:hint="eastAsia" w:ascii="仿宋" w:hAnsi="仿宋" w:eastAsia="仿宋" w:cs="仿宋"/>
          <w:color w:val="auto"/>
          <w:highlight w:val="none"/>
        </w:rPr>
      </w:pPr>
    </w:p>
    <w:sectPr>
      <w:headerReference r:id="rId33" w:type="first"/>
      <w:footerReference r:id="rId35" w:type="first"/>
      <w:footerReference r:id="rId34" w:type="default"/>
      <w:pgSz w:w="11905" w:h="16840"/>
      <w:pgMar w:top="1417" w:right="1417" w:bottom="1417" w:left="1417" w:header="935" w:footer="1020"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nlo">
    <w:altName w:val="Segoe Print"/>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SourceHanSansCN-Regular">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sz w:val="18"/>
        <w:szCs w:val="18"/>
      </w:rPr>
    </w:pPr>
  </w:p>
  <w:p>
    <w:pPr>
      <w:spacing w:line="280" w:lineRule="exact"/>
      <w:ind w:left="361" w:hanging="400" w:hangingChars="200"/>
      <w:jc w:val="center"/>
      <w:rPr>
        <w:rFonts w:ascii="楷体" w:hAnsi="楷体" w:eastAsia="楷体" w:cs="楷体"/>
        <w:b/>
        <w:sz w:val="20"/>
        <w:szCs w:val="20"/>
        <w:u w:val="single"/>
      </w:rPr>
    </w:pPr>
    <w:r>
      <w:rPr>
        <w:rFonts w:hint="eastAsia" w:ascii="仿宋" w:hAnsi="仿宋" w:eastAsia="仿宋" w:cs="仿宋"/>
        <w:b w:val="0"/>
        <w:bCs/>
        <w:sz w:val="20"/>
        <w:szCs w:val="20"/>
        <w:u w:val="single"/>
        <w:lang w:eastAsia="zh-CN"/>
      </w:rPr>
      <w:t>华招广和项目管理有限公司</w:t>
    </w:r>
    <w:r>
      <w:rPr>
        <w:rFonts w:hint="eastAsia" w:ascii="仿宋" w:hAnsi="仿宋" w:eastAsia="仿宋" w:cs="仿宋"/>
        <w:b w:val="0"/>
        <w:bCs/>
        <w:sz w:val="20"/>
        <w:szCs w:val="20"/>
        <w:u w:val="single"/>
        <w:lang w:val="en-US" w:eastAsia="zh-CN"/>
      </w:rPr>
      <w:t xml:space="preserve"> </w:t>
    </w:r>
    <w:r>
      <w:rPr>
        <w:rFonts w:hint="eastAsia" w:ascii="仿宋" w:hAnsi="仿宋" w:eastAsia="仿宋" w:cs="仿宋"/>
        <w:b w:val="0"/>
        <w:bCs/>
        <w:sz w:val="20"/>
        <w:szCs w:val="20"/>
        <w:u w:val="single"/>
      </w:rPr>
      <w:t xml:space="preserve"> 地 址：西安市朱雀大街南段1号汇成天玺C座18层电 话：029-85566819</w:t>
    </w:r>
  </w:p>
  <w:p>
    <w:pPr>
      <w:spacing w:line="280" w:lineRule="exact"/>
      <w:ind w:left="360" w:hanging="360" w:hangingChars="200"/>
      <w:rPr>
        <w:rFonts w:ascii="楷体" w:hAnsi="楷体" w:eastAsia="楷体" w:cs="楷体"/>
        <w:b/>
        <w:sz w:val="18"/>
        <w:szCs w:val="18"/>
        <w:u w:val="single"/>
      </w:rPr>
    </w:pPr>
    <w:r>
      <w:rPr>
        <w:sz w:val="18"/>
      </w:rPr>
      <w:pict>
        <v:shape id="_x0000_s3075" o:spid="_x0000_s3075" o:spt="202" type="#_x0000_t202" style="position:absolute;left:0pt;margin-top:0pt;height:144pt;width:144pt;mso-position-horizontal:center;mso-position-horizontal-relative:margin;mso-wrap-style:none;z-index:251674624;mso-width-relative:page;mso-height-relative:page;" filled="f" stroked="f" coordsize="21600,21600">
          <v:path/>
          <v:fill on="f" focussize="0,0"/>
          <v:stroke on="f" weight="0.5pt"/>
          <v:imagedata o:title=""/>
          <o:lock v:ext="edit" aspectratio="f"/>
          <v:textbox inset="0mm,0mm,0mm,0mm" style="mso-fit-shape-to-text:t;">
            <w:txbxContent>
              <w:p>
                <w:pPr>
                  <w:pStyle w:val="15"/>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36</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w:r>
  </w:p>
  <w:p>
    <w:pPr>
      <w:pStyle w:val="1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left"/>
      <w:rPr>
        <w:rFonts w:hint="eastAsia" w:ascii="仿宋" w:hAnsi="仿宋" w:eastAsia="仿宋" w:cs="仿宋"/>
        <w:b/>
        <w:sz w:val="18"/>
        <w:szCs w:val="18"/>
        <w:lang w:eastAsia="zh-CN"/>
      </w:rPr>
    </w:pPr>
    <w:r>
      <w:rPr>
        <w:rFonts w:hint="eastAsia" w:ascii="仿宋" w:hAnsi="仿宋" w:eastAsia="仿宋" w:cs="仿宋"/>
        <w:b/>
        <w:sz w:val="18"/>
        <w:szCs w:val="18"/>
        <w:lang w:eastAsia="zh-CN"/>
      </w:rPr>
      <w:t>华招广和项目管理有限公司</w:t>
    </w:r>
    <w:r>
      <w:rPr>
        <w:rFonts w:hint="eastAsia" w:ascii="仿宋" w:hAnsi="仿宋" w:eastAsia="仿宋" w:cs="仿宋"/>
        <w:b/>
        <w:sz w:val="18"/>
        <w:szCs w:val="18"/>
      </w:rPr>
      <w:t xml:space="preserve">    </w:t>
    </w:r>
    <w:r>
      <w:rPr>
        <w:rFonts w:hint="eastAsia" w:ascii="仿宋" w:hAnsi="仿宋" w:eastAsia="仿宋" w:cs="仿宋"/>
        <w:b/>
        <w:sz w:val="18"/>
        <w:szCs w:val="18"/>
        <w:lang w:val="en-US" w:eastAsia="zh-CN"/>
      </w:rPr>
      <w:t xml:space="preserve">   </w:t>
    </w:r>
    <w:r>
      <w:rPr>
        <w:rFonts w:hint="eastAsia" w:ascii="仿宋" w:hAnsi="仿宋" w:eastAsia="仿宋" w:cs="仿宋"/>
        <w:b/>
        <w:sz w:val="18"/>
        <w:szCs w:val="18"/>
      </w:rPr>
      <w:t xml:space="preserve">地 址：西安市朱雀大街南段1号汇成天玺C座18层 </w:t>
    </w:r>
    <w:r>
      <w:rPr>
        <w:rFonts w:hint="eastAsia" w:ascii="仿宋" w:hAnsi="仿宋" w:eastAsia="仿宋" w:cs="仿宋"/>
        <w:b/>
        <w:sz w:val="18"/>
        <w:szCs w:val="18"/>
        <w:lang w:val="en-US" w:eastAsia="zh-CN"/>
      </w:rPr>
      <w:t xml:space="preserve">    </w:t>
    </w:r>
    <w:r>
      <w:rPr>
        <w:rFonts w:hint="eastAsia" w:ascii="仿宋" w:hAnsi="仿宋" w:eastAsia="仿宋" w:cs="仿宋"/>
        <w:b/>
        <w:sz w:val="18"/>
        <w:szCs w:val="18"/>
      </w:rPr>
      <w:t>电话：</w:t>
    </w:r>
    <w:r>
      <w:rPr>
        <w:rFonts w:hint="eastAsia" w:ascii="仿宋" w:hAnsi="仿宋" w:eastAsia="仿宋" w:cs="仿宋"/>
        <w:b/>
        <w:sz w:val="18"/>
        <w:szCs w:val="18"/>
        <w:lang w:eastAsia="zh-CN"/>
      </w:rPr>
      <w:t>029-87592321</w:t>
    </w:r>
  </w:p>
  <w:p>
    <w:pPr>
      <w:spacing w:line="280" w:lineRule="exact"/>
      <w:rPr>
        <w:rFonts w:hint="eastAsia" w:ascii="宋体" w:hAnsi="宋体"/>
        <w:b/>
        <w:sz w:val="18"/>
        <w:szCs w:val="18"/>
      </w:rPr>
    </w:pPr>
    <w:r>
      <w:rPr>
        <w:sz w:val="18"/>
      </w:rPr>
      <w:pict>
        <v:shape id="文本框 1038" o:spid="_x0000_s3077" o:spt="202" type="#_x0000_t202" style="position:absolute;left:0pt;margin-top:0pt;height:22.8pt;width:90.75pt;mso-position-horizontal:center;mso-position-horizontal-relative:margin;z-index:251679744;mso-width-relative:page;mso-height-relative:page;" filled="f" stroked="f" coordsize="21600,21600">
          <v:path/>
          <v:fill on="f" focussize="0,0"/>
          <v:stroke on="f" weight="1.25pt"/>
          <v:imagedata o:title=""/>
          <o:lock v:ext="edit" aspectratio="f"/>
          <v:textbox inset="0mm,0mm,0mm,0mm">
            <w:txbxContent>
              <w:p>
                <w:pPr>
                  <w:pStyle w:val="15"/>
                  <w:rPr>
                    <w:rFonts w:hint="eastAsia"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hint="eastAsia" w:ascii="楷体" w:hAnsi="楷体" w:eastAsia="楷体" w:cs="楷体"/>
                  </w:rPr>
                  <w:t>0</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hint="eastAsia" w:ascii="楷体" w:hAnsi="楷体" w:eastAsia="楷体" w:cs="楷体"/>
                  </w:rPr>
                  <w:t>74</w:t>
                </w:r>
                <w:r>
                  <w:rPr>
                    <w:rFonts w:hint="eastAsia" w:ascii="楷体" w:hAnsi="楷体" w:eastAsia="楷体" w:cs="楷体"/>
                  </w:rPr>
                  <w:fldChar w:fldCharType="end"/>
                </w:r>
                <w:r>
                  <w:rPr>
                    <w:rFonts w:hint="eastAsia" w:ascii="楷体" w:hAnsi="楷体" w:eastAsia="楷体" w:cs="楷体"/>
                  </w:rPr>
                  <w:t xml:space="preserve"> 页</w:t>
                </w:r>
              </w:p>
            </w:txbxContent>
          </v:textbox>
        </v:shape>
      </w:pict>
    </w:r>
    <w:r>
      <w:rPr>
        <w:rFonts w:hint="eastAsia" w:ascii="楷体" w:hAnsi="楷体" w:eastAsia="楷体" w:cs="楷体"/>
        <w:b/>
        <w:sz w:val="18"/>
        <w:szCs w:val="18"/>
      </w:rPr>
      <w:pict>
        <v:shape id="直接箭头连接符 13" o:spid="_x0000_s3078" o:spt="32" type="#_x0000_t32" style="position:absolute;left:0pt;margin-left:0.45pt;margin-top:0.85pt;height:1.6pt;width:450.55pt;z-index:251677696;mso-width-relative:page;mso-height-relative:page;" filled="f" stroked="t" coordsize="21600,21600" o:gfxdata="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9qwQ+tMAAAAEAQAADwAAAAAAAAABACAAAAAiAAAAZHJzL2Rvd25y&#10;ZXYueG1sUEsBAhQAFAAAAAgAh07iQDFzExoDAgAA8gMAAA4AAAAAAAAAAQAgAAAAIgEAAGRycy9l&#10;Mm9Eb2MueG1sUEsFBgAAAAAGAAYAWQEAAJcFAAAAAA==&#10;">
          <v:path arrowok="t"/>
          <v:fill on="f" focussize="0,0"/>
          <v:stroke weight="0.25pt" joinstyle="round"/>
          <v:imagedata o:title=""/>
          <o:lock v:ext="edit" aspectratio="f"/>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left"/>
      <w:rPr>
        <w:rFonts w:hint="eastAsia" w:ascii="楷体" w:hAnsi="楷体" w:eastAsia="楷体" w:cs="楷体"/>
        <w:b/>
        <w:sz w:val="18"/>
        <w:szCs w:val="18"/>
        <w:u w:val="single"/>
        <w:lang w:eastAsia="zh-CN"/>
      </w:rPr>
    </w:pPr>
    <w:r>
      <w:rPr>
        <w:rFonts w:hint="eastAsia" w:ascii="楷体" w:hAnsi="楷体" w:eastAsia="楷体" w:cs="楷体"/>
        <w:b/>
        <w:sz w:val="18"/>
        <w:szCs w:val="18"/>
        <w:u w:val="single"/>
        <w:lang w:eastAsia="zh-CN"/>
      </w:rPr>
      <w:t>华招广和项目管理有限公司</w:t>
    </w:r>
    <w:r>
      <w:rPr>
        <w:rFonts w:hint="eastAsia" w:ascii="楷体" w:hAnsi="楷体" w:eastAsia="楷体" w:cs="楷体"/>
        <w:b/>
        <w:sz w:val="18"/>
        <w:szCs w:val="18"/>
        <w:u w:val="single"/>
      </w:rPr>
      <w:t xml:space="preserve">     </w:t>
    </w:r>
    <w:r>
      <w:rPr>
        <w:rFonts w:hint="eastAsia" w:ascii="楷体" w:hAnsi="楷体" w:eastAsia="楷体" w:cs="楷体"/>
        <w:b/>
        <w:sz w:val="18"/>
        <w:szCs w:val="18"/>
        <w:u w:val="single"/>
        <w:lang w:val="en-US" w:eastAsia="zh-CN"/>
      </w:rPr>
      <w:t xml:space="preserve">          </w:t>
    </w:r>
    <w:r>
      <w:rPr>
        <w:rFonts w:hint="eastAsia" w:ascii="楷体" w:hAnsi="楷体" w:eastAsia="楷体" w:cs="楷体"/>
        <w:b/>
        <w:sz w:val="18"/>
        <w:szCs w:val="18"/>
        <w:u w:val="single"/>
      </w:rPr>
      <w:t xml:space="preserve"> </w:t>
    </w:r>
    <w:r>
      <w:rPr>
        <w:rFonts w:hint="eastAsia" w:ascii="楷体" w:hAnsi="楷体" w:eastAsia="楷体" w:cs="楷体"/>
        <w:b/>
        <w:sz w:val="18"/>
        <w:szCs w:val="18"/>
        <w:u w:val="single"/>
        <w:lang w:val="en-US" w:eastAsia="zh-CN"/>
      </w:rPr>
      <w:t xml:space="preserve">      地 址：西安市朱雀大街南段1号汇成天玺C座18层                                       </w:t>
    </w:r>
    <w:r>
      <w:rPr>
        <w:rFonts w:hint="eastAsia" w:ascii="楷体" w:hAnsi="楷体" w:eastAsia="楷体" w:cs="楷体"/>
        <w:b/>
        <w:sz w:val="18"/>
        <w:szCs w:val="18"/>
        <w:u w:val="single"/>
      </w:rPr>
      <w:t>电话：</w:t>
    </w:r>
    <w:r>
      <w:rPr>
        <w:rFonts w:hint="eastAsia" w:ascii="楷体" w:hAnsi="楷体" w:eastAsia="楷体" w:cs="楷体"/>
        <w:b/>
        <w:sz w:val="18"/>
        <w:szCs w:val="18"/>
        <w:u w:val="single"/>
        <w:lang w:eastAsia="zh-CN"/>
      </w:rPr>
      <w:t>029-87592321</w:t>
    </w:r>
  </w:p>
  <w:p>
    <w:pPr>
      <w:spacing w:line="280" w:lineRule="exact"/>
      <w:rPr>
        <w:rFonts w:hint="eastAsia" w:ascii="楷体" w:hAnsi="楷体" w:eastAsia="楷体" w:cs="楷体"/>
        <w:b/>
        <w:sz w:val="18"/>
        <w:szCs w:val="18"/>
      </w:rPr>
    </w:pPr>
    <w:r>
      <w:rPr>
        <w:sz w:val="18"/>
      </w:rPr>
      <w:pict>
        <v:shape id="文本框 2051" o:spid="_x0000_s3076" o:spt="202" type="#_x0000_t202" style="position:absolute;left:0pt;margin-left:317.55pt;margin-top:1pt;height:144pt;width:144pt;mso-position-horizontal-relative:margin;mso-wrap-style:none;z-index:251678720;mso-width-relative:page;mso-height-relative:page;" filled="f" stroked="f" coordsize="21600,21600">
          <v:path/>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b/>
      </w:rPr>
    </w:pPr>
  </w:p>
  <w:p>
    <w:pPr>
      <w:tabs>
        <w:tab w:val="center" w:pos="7063"/>
        <w:tab w:val="left" w:pos="13313"/>
      </w:tabs>
      <w:spacing w:line="280" w:lineRule="exact"/>
      <w:jc w:val="left"/>
      <w:rPr>
        <w:rFonts w:hint="eastAsia" w:ascii="楷体" w:hAnsi="楷体" w:eastAsia="仿宋" w:cs="楷体"/>
        <w:b/>
        <w:sz w:val="18"/>
        <w:szCs w:val="18"/>
        <w:u w:val="single"/>
        <w:lang w:eastAsia="zh-CN"/>
      </w:rPr>
    </w:pPr>
    <w:r>
      <w:rPr>
        <w:rFonts w:hint="eastAsia" w:ascii="仿宋" w:hAnsi="仿宋" w:eastAsia="仿宋" w:cs="仿宋"/>
        <w:b w:val="0"/>
        <w:bCs/>
        <w:sz w:val="18"/>
        <w:szCs w:val="18"/>
        <w:u w:val="single"/>
        <w:lang w:eastAsia="zh-CN"/>
      </w:rPr>
      <w:tab/>
    </w:r>
    <w:r>
      <w:rPr>
        <w:rFonts w:hint="eastAsia" w:ascii="仿宋" w:hAnsi="仿宋" w:eastAsia="仿宋" w:cs="仿宋"/>
        <w:b w:val="0"/>
        <w:bCs/>
        <w:sz w:val="18"/>
        <w:szCs w:val="18"/>
        <w:u w:val="single"/>
        <w:lang w:eastAsia="zh-CN"/>
      </w:rPr>
      <w:t>华招广和项目管理有限公司</w:t>
    </w:r>
    <w:r>
      <w:rPr>
        <w:rFonts w:hint="eastAsia" w:ascii="仿宋" w:hAnsi="仿宋" w:eastAsia="仿宋" w:cs="仿宋"/>
        <w:b w:val="0"/>
        <w:bCs/>
        <w:sz w:val="18"/>
        <w:szCs w:val="18"/>
        <w:u w:val="single"/>
      </w:rPr>
      <w:t xml:space="preserve">  地 址：西安市朱雀大街南段1号汇成天玺C座18层        电 话：029-85566819</w:t>
    </w:r>
    <w:r>
      <w:rPr>
        <w:rFonts w:hint="eastAsia" w:ascii="仿宋" w:hAnsi="仿宋" w:eastAsia="仿宋" w:cs="仿宋"/>
        <w:b w:val="0"/>
        <w:bCs/>
        <w:sz w:val="18"/>
        <w:szCs w:val="18"/>
        <w:u w:val="single"/>
        <w:lang w:eastAsia="zh-CN"/>
      </w:rPr>
      <w:tab/>
    </w:r>
  </w:p>
  <w:p>
    <w:pPr>
      <w:spacing w:line="280" w:lineRule="exact"/>
      <w:jc w:val="center"/>
      <w:rPr>
        <w:rFonts w:ascii="楷体" w:hAnsi="楷体" w:eastAsia="楷体" w:cs="楷体"/>
        <w:b/>
        <w:sz w:val="18"/>
        <w:szCs w:val="18"/>
        <w:u w:val="single"/>
      </w:rPr>
    </w:pPr>
    <w:r>
      <w:rPr>
        <w:sz w:val="18"/>
      </w:rPr>
      <w:pict>
        <v:shape id="_x0000_s3081" o:spid="_x0000_s308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0.5pt"/>
          <v:imagedata o:title=""/>
          <o:lock v:ext="edit" aspectratio="f"/>
          <v:textbox inset="0mm,0mm,0mm,0mm" style="mso-fit-shape-to-text:t;">
            <w:txbxContent>
              <w:p>
                <w:pPr>
                  <w:pStyle w:val="15"/>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77</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楷体" w:hAnsi="楷体" w:eastAsia="楷体" w:cs="楷体"/>
        <w:b/>
      </w:rPr>
    </w:pPr>
  </w:p>
  <w:p>
    <w:pPr>
      <w:spacing w:line="280" w:lineRule="exact"/>
      <w:jc w:val="center"/>
      <w:rPr>
        <w:rFonts w:hint="eastAsia" w:ascii="仿宋" w:hAnsi="仿宋" w:eastAsia="仿宋" w:cs="仿宋"/>
        <w:b/>
        <w:sz w:val="18"/>
        <w:szCs w:val="18"/>
        <w:u w:val="single"/>
      </w:rPr>
    </w:pPr>
    <w:r>
      <w:rPr>
        <w:rFonts w:hint="eastAsia" w:ascii="仿宋" w:hAnsi="仿宋" w:eastAsia="仿宋" w:cs="仿宋"/>
        <w:b/>
        <w:sz w:val="18"/>
        <w:szCs w:val="18"/>
        <w:u w:val="single"/>
        <w:lang w:eastAsia="zh-CN"/>
      </w:rPr>
      <w:t>华招广和项目管理有限公司</w:t>
    </w:r>
    <w:r>
      <w:rPr>
        <w:rFonts w:hint="eastAsia" w:ascii="仿宋" w:hAnsi="仿宋" w:eastAsia="仿宋" w:cs="仿宋"/>
        <w:b/>
        <w:sz w:val="18"/>
        <w:szCs w:val="18"/>
        <w:u w:val="single"/>
      </w:rPr>
      <w:t xml:space="preserve"> </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rPr>
      <w:t xml:space="preserve">地 址：西安市朱雀大街南段1号汇成天玺C座18层    </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rPr>
      <w:t>电 话：029-85566819</w:t>
    </w:r>
  </w:p>
  <w:p>
    <w:pPr>
      <w:spacing w:line="280" w:lineRule="exact"/>
      <w:jc w:val="center"/>
      <w:rPr>
        <w:rFonts w:hint="eastAsia" w:ascii="仿宋" w:hAnsi="仿宋" w:eastAsia="仿宋" w:cs="仿宋"/>
        <w:b/>
        <w:sz w:val="18"/>
        <w:szCs w:val="18"/>
        <w:u w:val="single"/>
      </w:rPr>
    </w:pPr>
    <w:r>
      <w:rPr>
        <w:rFonts w:hint="eastAsia" w:ascii="仿宋" w:hAnsi="仿宋" w:eastAsia="仿宋" w:cs="仿宋"/>
        <w:sz w:val="18"/>
      </w:rPr>
      <w:pict>
        <v:shape id="_x0000_s3080" o:spid="_x0000_s308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weight="0.5pt"/>
          <v:imagedata o:title=""/>
          <o:lock v:ext="edit" aspectratio="f"/>
          <v:textbox inset="0mm,0mm,0mm,0mm" style="mso-fit-shape-to-text:t;">
            <w:txbxContent>
              <w:p>
                <w:pPr>
                  <w:pStyle w:val="15"/>
                  <w:rPr>
                    <w:rFonts w:ascii="楷体" w:hAnsi="楷体" w:eastAsia="楷体" w:cs="楷体"/>
                  </w:rPr>
                </w:pPr>
                <w:r>
                  <w:rPr>
                    <w:rFonts w:ascii="楷体" w:hAnsi="楷体" w:eastAsia="楷体" w:cs="楷体"/>
                  </w:rPr>
                  <w:t xml:space="preserve">第 </w:t>
                </w:r>
                <w:r>
                  <w:rPr>
                    <w:rFonts w:ascii="楷体" w:hAnsi="楷体" w:eastAsia="楷体" w:cs="楷体"/>
                  </w:rPr>
                  <w:fldChar w:fldCharType="begin"/>
                </w:r>
                <w:r>
                  <w:rPr>
                    <w:rFonts w:ascii="楷体" w:hAnsi="楷体" w:eastAsia="楷体" w:cs="楷体"/>
                  </w:rPr>
                  <w:instrText xml:space="preserve"> PAGE  \* MERGEFORMAT </w:instrText>
                </w:r>
                <w:r>
                  <w:rPr>
                    <w:rFonts w:ascii="楷体" w:hAnsi="楷体" w:eastAsia="楷体" w:cs="楷体"/>
                  </w:rPr>
                  <w:fldChar w:fldCharType="separate"/>
                </w:r>
                <w:r>
                  <w:rPr>
                    <w:rFonts w:ascii="楷体" w:hAnsi="楷体" w:eastAsia="楷体" w:cs="楷体"/>
                  </w:rPr>
                  <w:t>76</w:t>
                </w:r>
                <w:r>
                  <w:rPr>
                    <w:rFonts w:ascii="楷体" w:hAnsi="楷体" w:eastAsia="楷体" w:cs="楷体"/>
                  </w:rPr>
                  <w:fldChar w:fldCharType="end"/>
                </w:r>
                <w:r>
                  <w:rPr>
                    <w:rFonts w:ascii="楷体" w:hAnsi="楷体" w:eastAsia="楷体" w:cs="楷体"/>
                  </w:rPr>
                  <w:t xml:space="preserve"> 页 共 </w:t>
                </w:r>
                <w:r>
                  <w:rPr>
                    <w:rFonts w:ascii="楷体" w:hAnsi="楷体" w:eastAsia="楷体" w:cs="楷体"/>
                  </w:rPr>
                  <w:fldChar w:fldCharType="begin"/>
                </w:r>
                <w:r>
                  <w:rPr>
                    <w:rFonts w:ascii="楷体" w:hAnsi="楷体" w:eastAsia="楷体" w:cs="楷体"/>
                  </w:rPr>
                  <w:instrText xml:space="preserve"> NUMPAGES  \* MERGEFORMAT </w:instrText>
                </w:r>
                <w:r>
                  <w:rPr>
                    <w:rFonts w:ascii="楷体" w:hAnsi="楷体" w:eastAsia="楷体" w:cs="楷体"/>
                  </w:rPr>
                  <w:fldChar w:fldCharType="separate"/>
                </w:r>
                <w:r>
                  <w:rPr>
                    <w:rFonts w:ascii="楷体" w:hAnsi="楷体" w:eastAsia="楷体" w:cs="楷体"/>
                  </w:rPr>
                  <w:t>102</w:t>
                </w:r>
                <w:r>
                  <w:rPr>
                    <w:rFonts w:ascii="楷体" w:hAnsi="楷体" w:eastAsia="楷体" w:cs="楷体"/>
                  </w:rPr>
                  <w:fldChar w:fldCharType="end"/>
                </w:r>
                <w:r>
                  <w:rPr>
                    <w:rFonts w:ascii="楷体" w:hAnsi="楷体" w:eastAsia="楷体" w:cs="楷体"/>
                  </w:rPr>
                  <w:t xml:space="preserve"> 页</w:t>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1359"/>
        <w:tab w:val="clear" w:pos="4153"/>
      </w:tabs>
      <w:spacing w:line="360" w:lineRule="auto"/>
      <w:rPr>
        <w:rFonts w:ascii="楷体" w:hAnsi="楷体" w:eastAsia="楷体" w:cs="楷体"/>
        <w:b/>
        <w:sz w:val="18"/>
        <w:szCs w:val="18"/>
        <w:u w:val="single"/>
      </w:rPr>
    </w:pPr>
    <w:r>
      <w:rPr>
        <w:rFonts w:hint="eastAsia" w:ascii="仿宋" w:hAnsi="仿宋" w:eastAsia="仿宋" w:cs="仿宋"/>
        <w:sz w:val="18"/>
      </w:rPr>
      <w:pict>
        <v:shape id="_x0000_s3083" o:spid="_x0000_s3083" o:spt="202" type="#_x0000_t202" style="position:absolute;left:0pt;margin-left:191.85pt;margin-top:12.2pt;height:18.2pt;width:81pt;mso-position-horizontal-relative:margin;z-index:251664384;mso-width-relative:page;mso-height-relative:page;" filled="f" stroked="f" coordsize="21600,21600">
          <v:path/>
          <v:fill on="f" focussize="0,0"/>
          <v:stroke on="f" weight="0.5pt"/>
          <v:imagedata o:title=""/>
          <o:lock v:ext="edit" aspectratio="f"/>
          <v:textbox inset="0mm,0mm,0mm,0mm">
            <w:txbxContent>
              <w:p>
                <w:pPr>
                  <w:pStyle w:val="15"/>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82</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w:r>
    <w:r>
      <w:rPr>
        <w:rFonts w:hint="eastAsia" w:ascii="仿宋" w:hAnsi="仿宋" w:eastAsia="仿宋" w:cs="仿宋"/>
        <w:b/>
        <w:sz w:val="18"/>
        <w:szCs w:val="18"/>
        <w:u w:val="single"/>
        <w:lang w:eastAsia="zh-CN"/>
      </w:rPr>
      <w:t>华招广和项目管理有限公司</w:t>
    </w:r>
    <w:r>
      <w:rPr>
        <w:rFonts w:hint="eastAsia" w:ascii="仿宋" w:hAnsi="仿宋" w:eastAsia="仿宋" w:cs="仿宋"/>
        <w:b/>
        <w:sz w:val="18"/>
        <w:szCs w:val="18"/>
        <w:u w:val="single"/>
      </w:rPr>
      <w:t xml:space="preserve">      地 址：西安市朱雀大街南段1号汇成天玺C座18层     电 话：029-85566819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b/>
      </w:rPr>
    </w:pPr>
  </w:p>
  <w:p>
    <w:pPr>
      <w:spacing w:line="280" w:lineRule="exact"/>
      <w:rPr>
        <w:rFonts w:hint="eastAsia" w:ascii="仿宋" w:hAnsi="仿宋" w:eastAsia="仿宋" w:cs="仿宋"/>
        <w:b/>
        <w:bCs w:val="0"/>
        <w:sz w:val="18"/>
        <w:szCs w:val="18"/>
        <w:u w:val="single"/>
      </w:rPr>
    </w:pPr>
    <w:r>
      <w:rPr>
        <w:rFonts w:hint="eastAsia" w:ascii="仿宋" w:hAnsi="仿宋" w:eastAsia="仿宋" w:cs="仿宋"/>
        <w:b/>
        <w:bCs w:val="0"/>
        <w:sz w:val="18"/>
        <w:szCs w:val="18"/>
        <w:u w:val="single"/>
        <w:lang w:eastAsia="zh-CN"/>
      </w:rPr>
      <w:t>华招广和项目管理有限公司</w:t>
    </w:r>
    <w:r>
      <w:rPr>
        <w:rFonts w:hint="eastAsia" w:ascii="仿宋" w:hAnsi="仿宋" w:eastAsia="仿宋" w:cs="仿宋"/>
        <w:b/>
        <w:bCs w:val="0"/>
        <w:sz w:val="18"/>
        <w:szCs w:val="18"/>
        <w:u w:val="single"/>
      </w:rPr>
      <w:t xml:space="preserve">       地 址：西安市朱雀大街南段1号汇成天玺C座18层   电 话：029-85566819</w:t>
    </w:r>
  </w:p>
  <w:p>
    <w:pPr>
      <w:spacing w:line="280" w:lineRule="exact"/>
      <w:rPr>
        <w:rFonts w:hint="eastAsia" w:ascii="仿宋" w:hAnsi="仿宋" w:eastAsia="仿宋" w:cs="仿宋"/>
        <w:b w:val="0"/>
        <w:bCs/>
        <w:sz w:val="18"/>
        <w:szCs w:val="18"/>
        <w:u w:val="single"/>
      </w:rPr>
    </w:pPr>
    <w:r>
      <w:rPr>
        <w:rFonts w:hint="eastAsia" w:ascii="仿宋" w:hAnsi="仿宋" w:eastAsia="仿宋" w:cs="仿宋"/>
        <w:b w:val="0"/>
        <w:bCs/>
        <w:sz w:val="18"/>
      </w:rPr>
      <w:pict>
        <v:shape id="_x0000_s3082" o:spid="_x0000_s3082"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weight="0.5pt"/>
          <v:imagedata o:title=""/>
          <o:lock v:ext="edit" aspectratio="f"/>
          <v:textbox inset="0mm,0mm,0mm,0mm" style="mso-fit-shape-to-text:t;">
            <w:txbxContent>
              <w:p>
                <w:pPr>
                  <w:pStyle w:val="15"/>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81</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240" w:lineRule="auto"/>
      <w:ind w:left="0"/>
      <w:rPr>
        <w:b/>
        <w:bCs/>
        <w:sz w:val="18"/>
        <w:szCs w:val="18"/>
      </w:rPr>
    </w:pPr>
    <w:r>
      <w:rPr>
        <w:rFonts w:hint="eastAsia" w:ascii="仿宋" w:hAnsi="仿宋" w:eastAsia="仿宋" w:cs="仿宋"/>
        <w:b/>
        <w:bCs/>
        <w:sz w:val="18"/>
        <w:szCs w:val="18"/>
      </w:rPr>
      <w:pict>
        <v:shape id="_x0000_s3084" o:spid="_x0000_s3084" o:spt="202" type="#_x0000_t202" style="position:absolute;left:0pt;margin-left:187.1pt;margin-top:16.85pt;height:144pt;width:144pt;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91</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v:textbox>
        </v:shape>
      </w:pict>
    </w:r>
    <w:r>
      <w:rPr>
        <w:rFonts w:hint="eastAsia" w:ascii="仿宋" w:hAnsi="仿宋" w:eastAsia="仿宋" w:cs="仿宋"/>
        <w:b/>
        <w:bCs/>
        <w:sz w:val="18"/>
        <w:szCs w:val="18"/>
        <w:u w:val="single"/>
        <w:lang w:eastAsia="zh-CN"/>
      </w:rPr>
      <w:t>华招广和项目管理有限公司</w:t>
    </w:r>
    <w:r>
      <w:rPr>
        <w:rFonts w:hint="eastAsia" w:ascii="仿宋" w:hAnsi="仿宋" w:eastAsia="仿宋" w:cs="仿宋"/>
        <w:b/>
        <w:bCs/>
        <w:sz w:val="18"/>
        <w:szCs w:val="18"/>
        <w:u w:val="single"/>
      </w:rPr>
      <w:t xml:space="preserve">      地 址：西安市朱雀大街南段1号汇成天玺C座18层     电 话：029-85566819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snapToGrid/>
      <w:spacing w:line="280" w:lineRule="exact"/>
      <w:ind w:left="361" w:right="0" w:rightChars="0" w:hanging="360" w:hangingChars="200"/>
      <w:jc w:val="center"/>
      <w:textAlignment w:val="auto"/>
      <w:outlineLvl w:val="9"/>
    </w:pPr>
    <w:r>
      <w:rPr>
        <w:sz w:val="18"/>
      </w:rPr>
      <w:pict>
        <v:shape id="_x0000_s3085" o:spid="_x0000_s3085" o:spt="202" type="#_x0000_t202" style="position:absolute;left:0pt;margin-left:186.15pt;margin-top:18.75pt;height:144pt;width:144pt;mso-position-horizontal-relative:margin;mso-wrap-style:none;z-index:251675648;mso-width-relative:page;mso-height-relative:page;" filled="f" stroked="f" coordsize="21600,21600">
          <v:path/>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94</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v:textbox>
        </v:shape>
      </w:pict>
    </w:r>
    <w:r>
      <w:rPr>
        <w:rFonts w:hint="eastAsia" w:ascii="仿宋" w:hAnsi="仿宋" w:eastAsia="仿宋" w:cs="仿宋"/>
        <w:b/>
        <w:bCs w:val="0"/>
        <w:sz w:val="18"/>
        <w:szCs w:val="18"/>
        <w:u w:val="single"/>
        <w:lang w:eastAsia="zh-CN"/>
      </w:rPr>
      <w:t>华招广和项目管理有限公司</w:t>
    </w:r>
    <w:r>
      <w:rPr>
        <w:rFonts w:hint="eastAsia" w:ascii="仿宋" w:hAnsi="仿宋" w:eastAsia="仿宋" w:cs="仿宋"/>
        <w:b/>
        <w:bCs w:val="0"/>
        <w:sz w:val="18"/>
        <w:szCs w:val="18"/>
        <w:u w:val="single"/>
      </w:rPr>
      <w:t xml:space="preserve">  地 址：西安市朱雀大街南段1号汇成天玺C座18层  </w:t>
    </w:r>
    <w:r>
      <w:rPr>
        <w:rFonts w:hint="eastAsia" w:ascii="仿宋" w:hAnsi="仿宋" w:eastAsia="仿宋" w:cs="仿宋"/>
        <w:b/>
        <w:bCs w:val="0"/>
        <w:sz w:val="18"/>
        <w:szCs w:val="18"/>
        <w:u w:val="single"/>
        <w:lang w:val="en-US" w:eastAsia="zh-CN"/>
      </w:rPr>
      <w:t xml:space="preserve"> </w:t>
    </w:r>
    <w:r>
      <w:rPr>
        <w:rFonts w:hint="eastAsia" w:ascii="仿宋" w:hAnsi="仿宋" w:eastAsia="仿宋" w:cs="仿宋"/>
        <w:b/>
        <w:bCs w:val="0"/>
        <w:sz w:val="18"/>
        <w:szCs w:val="18"/>
        <w:u w:val="single"/>
      </w:rPr>
      <w:t xml:space="preserve"> 电 话029-85566819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snapToGrid/>
      <w:spacing w:line="280" w:lineRule="exact"/>
      <w:ind w:left="361" w:right="0" w:rightChars="0" w:hanging="360" w:hangingChars="200"/>
      <w:jc w:val="center"/>
      <w:textAlignment w:val="auto"/>
      <w:outlineLvl w:val="9"/>
      <w:rPr>
        <w:rFonts w:hint="eastAsia"/>
      </w:rPr>
    </w:pPr>
    <w:r>
      <w:rPr>
        <w:sz w:val="18"/>
      </w:rPr>
      <w:pict>
        <v:shape id="_x0000_s3087" o:spid="_x0000_s3087" o:spt="202" type="#_x0000_t202" style="position:absolute;left:0pt;margin-left:182.4pt;margin-top:20.6pt;height:144pt;width:144pt;mso-position-horizontal-relative:margin;mso-wrap-style:none;z-index:251676672;mso-width-relative:page;mso-height-relative:page;" filled="f" stroked="f" coordsize="21600,21600">
          <v:path/>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97</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v:textbox>
        </v:shape>
      </w:pict>
    </w:r>
    <w:r>
      <w:rPr>
        <w:rFonts w:hint="eastAsia" w:ascii="仿宋" w:hAnsi="仿宋" w:eastAsia="仿宋" w:cs="仿宋"/>
        <w:b/>
        <w:bCs w:val="0"/>
        <w:sz w:val="18"/>
        <w:szCs w:val="18"/>
        <w:u w:val="single"/>
        <w:lang w:eastAsia="zh-CN"/>
      </w:rPr>
      <w:t>华招广和项目管理有限公司</w:t>
    </w:r>
    <w:r>
      <w:rPr>
        <w:rFonts w:hint="eastAsia" w:ascii="仿宋" w:hAnsi="仿宋" w:eastAsia="仿宋" w:cs="仿宋"/>
        <w:b/>
        <w:bCs w:val="0"/>
        <w:sz w:val="18"/>
        <w:szCs w:val="18"/>
        <w:u w:val="single"/>
      </w:rPr>
      <w:t xml:space="preserve">  地 址：西安市朱雀大街南段1号汇成天玺C座18层  </w:t>
    </w:r>
    <w:r>
      <w:rPr>
        <w:rFonts w:hint="eastAsia" w:ascii="仿宋" w:hAnsi="仿宋" w:eastAsia="仿宋" w:cs="仿宋"/>
        <w:b/>
        <w:bCs w:val="0"/>
        <w:sz w:val="18"/>
        <w:szCs w:val="18"/>
        <w:u w:val="single"/>
        <w:lang w:val="en-US" w:eastAsia="zh-CN"/>
      </w:rPr>
      <w:t xml:space="preserve"> </w:t>
    </w:r>
    <w:r>
      <w:rPr>
        <w:rFonts w:hint="eastAsia" w:ascii="仿宋" w:hAnsi="仿宋" w:eastAsia="仿宋" w:cs="仿宋"/>
        <w:b/>
        <w:bCs w:val="0"/>
        <w:sz w:val="18"/>
        <w:szCs w:val="18"/>
        <w:u w:val="single"/>
      </w:rPr>
      <w:t xml:space="preserve"> 电 话029-85566819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snapToGrid/>
      <w:spacing w:line="280" w:lineRule="exact"/>
      <w:ind w:left="361" w:right="0" w:rightChars="0" w:hanging="361" w:hangingChars="200"/>
      <w:jc w:val="center"/>
      <w:textAlignment w:val="auto"/>
      <w:outlineLvl w:val="9"/>
      <w:rPr>
        <w:rFonts w:hint="eastAsia" w:ascii="仿宋" w:hAnsi="仿宋" w:eastAsia="仿宋" w:cs="仿宋"/>
        <w:b/>
        <w:bCs w:val="0"/>
        <w:sz w:val="18"/>
        <w:szCs w:val="18"/>
        <w:u w:val="single"/>
      </w:rPr>
    </w:pPr>
    <w:r>
      <w:rPr>
        <w:rFonts w:hint="eastAsia" w:ascii="仿宋" w:hAnsi="仿宋" w:eastAsia="仿宋" w:cs="仿宋"/>
        <w:b/>
        <w:bCs w:val="0"/>
        <w:sz w:val="18"/>
        <w:szCs w:val="18"/>
        <w:u w:val="single"/>
        <w:lang w:eastAsia="zh-CN"/>
      </w:rPr>
      <w:t>华招广和项目管理有限公司</w:t>
    </w:r>
    <w:r>
      <w:rPr>
        <w:rFonts w:hint="eastAsia" w:ascii="仿宋" w:hAnsi="仿宋" w:eastAsia="仿宋" w:cs="仿宋"/>
        <w:b/>
        <w:bCs w:val="0"/>
        <w:sz w:val="18"/>
        <w:szCs w:val="18"/>
        <w:u w:val="single"/>
      </w:rPr>
      <w:t xml:space="preserve">  地 址：西安市朱雀大街南段1号汇成天玺C座18层  </w:t>
    </w:r>
    <w:r>
      <w:rPr>
        <w:rFonts w:hint="eastAsia" w:ascii="仿宋" w:hAnsi="仿宋" w:eastAsia="仿宋" w:cs="仿宋"/>
        <w:b/>
        <w:bCs w:val="0"/>
        <w:sz w:val="18"/>
        <w:szCs w:val="18"/>
        <w:u w:val="single"/>
        <w:lang w:val="en-US" w:eastAsia="zh-CN"/>
      </w:rPr>
      <w:t xml:space="preserve"> </w:t>
    </w:r>
    <w:r>
      <w:rPr>
        <w:rFonts w:hint="eastAsia" w:ascii="仿宋" w:hAnsi="仿宋" w:eastAsia="仿宋" w:cs="仿宋"/>
        <w:b/>
        <w:bCs w:val="0"/>
        <w:sz w:val="18"/>
        <w:szCs w:val="18"/>
        <w:u w:val="single"/>
      </w:rPr>
      <w:t xml:space="preserve"> 电 话029-85566819</w:t>
    </w:r>
  </w:p>
  <w:p>
    <w:pPr>
      <w:spacing w:line="280" w:lineRule="exact"/>
      <w:jc w:val="center"/>
      <w:rPr>
        <w:rFonts w:ascii="楷体" w:hAnsi="楷体" w:eastAsia="楷体" w:cs="楷体"/>
        <w:b/>
        <w:sz w:val="18"/>
        <w:szCs w:val="18"/>
      </w:rPr>
    </w:pPr>
    <w:r>
      <w:rPr>
        <w:sz w:val="18"/>
      </w:rPr>
      <w:pict>
        <v:shape id="_x0000_s3086" o:spid="_x0000_s3086"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96</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ind w:left="361" w:hanging="361" w:hangingChars="200"/>
      <w:rPr>
        <w:rFonts w:ascii="楷体" w:hAnsi="楷体" w:eastAsia="楷体" w:cs="楷体"/>
        <w:b/>
        <w:sz w:val="18"/>
        <w:szCs w:val="18"/>
        <w:u w:val="single"/>
      </w:rPr>
    </w:pPr>
    <w:r>
      <w:rPr>
        <w:rFonts w:hint="eastAsia" w:ascii="楷体" w:hAnsi="楷体" w:eastAsia="楷体" w:cs="楷体"/>
        <w:b/>
        <w:sz w:val="18"/>
        <w:szCs w:val="18"/>
        <w:u w:val="single"/>
        <w:lang w:eastAsia="zh-CN"/>
      </w:rPr>
      <w:t>华招广和项目管理有限公司</w:t>
    </w:r>
    <w:r>
      <w:rPr>
        <w:rFonts w:hint="eastAsia" w:ascii="楷体" w:hAnsi="楷体" w:eastAsia="楷体" w:cs="楷体"/>
        <w:b/>
        <w:sz w:val="18"/>
        <w:szCs w:val="18"/>
        <w:u w:val="single"/>
      </w:rPr>
      <w:t xml:space="preserve">    地 址：西安市朱雀大街南段1号汇成天玺C座18层     电 话：029-85566819</w:t>
    </w: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ind w:left="361" w:hanging="361" w:hangingChars="200"/>
      <w:rPr>
        <w:rFonts w:ascii="楷体" w:hAnsi="楷体" w:eastAsia="楷体" w:cs="楷体"/>
        <w:b/>
        <w:sz w:val="18"/>
        <w:szCs w:val="18"/>
        <w:u w:val="single"/>
      </w:rPr>
    </w:pPr>
  </w:p>
  <w:p>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snapToGrid/>
      <w:spacing w:line="280" w:lineRule="exact"/>
      <w:ind w:left="361" w:right="0" w:rightChars="0" w:hanging="361" w:hangingChars="200"/>
      <w:jc w:val="center"/>
      <w:textAlignment w:val="auto"/>
      <w:outlineLvl w:val="9"/>
      <w:rPr>
        <w:rFonts w:hint="eastAsia" w:ascii="仿宋" w:hAnsi="仿宋" w:eastAsia="仿宋" w:cs="仿宋"/>
        <w:b/>
        <w:bCs w:val="0"/>
        <w:sz w:val="18"/>
        <w:szCs w:val="18"/>
        <w:u w:val="single"/>
      </w:rPr>
    </w:pPr>
    <w:r>
      <w:rPr>
        <w:rFonts w:hint="eastAsia" w:ascii="仿宋" w:hAnsi="仿宋" w:eastAsia="仿宋" w:cs="仿宋"/>
        <w:b/>
        <w:bCs w:val="0"/>
        <w:sz w:val="18"/>
        <w:szCs w:val="18"/>
        <w:u w:val="single"/>
        <w:lang w:eastAsia="zh-CN"/>
      </w:rPr>
      <w:t>华招广和项目管理有限公司</w:t>
    </w:r>
    <w:r>
      <w:rPr>
        <w:rFonts w:hint="eastAsia" w:ascii="仿宋" w:hAnsi="仿宋" w:eastAsia="仿宋" w:cs="仿宋"/>
        <w:b/>
        <w:bCs w:val="0"/>
        <w:sz w:val="18"/>
        <w:szCs w:val="18"/>
        <w:u w:val="single"/>
      </w:rPr>
      <w:t xml:space="preserve">  地 址：西安市朱雀大街南段1号汇成天玺C座18层  </w:t>
    </w:r>
    <w:r>
      <w:rPr>
        <w:rFonts w:hint="eastAsia" w:ascii="仿宋" w:hAnsi="仿宋" w:eastAsia="仿宋" w:cs="仿宋"/>
        <w:b/>
        <w:bCs w:val="0"/>
        <w:sz w:val="18"/>
        <w:szCs w:val="18"/>
        <w:u w:val="single"/>
        <w:lang w:val="en-US" w:eastAsia="zh-CN"/>
      </w:rPr>
      <w:t xml:space="preserve"> </w:t>
    </w:r>
    <w:r>
      <w:rPr>
        <w:rFonts w:hint="eastAsia" w:ascii="仿宋" w:hAnsi="仿宋" w:eastAsia="仿宋" w:cs="仿宋"/>
        <w:b/>
        <w:bCs w:val="0"/>
        <w:sz w:val="18"/>
        <w:szCs w:val="18"/>
        <w:u w:val="single"/>
      </w:rPr>
      <w:t xml:space="preserve"> 电 话029-85566819</w:t>
    </w:r>
  </w:p>
  <w:p>
    <w:pPr>
      <w:spacing w:line="280" w:lineRule="exact"/>
      <w:rPr>
        <w:rFonts w:ascii="宋体" w:hAnsi="宋体"/>
        <w:b/>
        <w:sz w:val="21"/>
        <w:szCs w:val="16"/>
      </w:rPr>
    </w:pPr>
    <w:r>
      <w:rPr>
        <w:sz w:val="18"/>
      </w:rPr>
      <w:pict>
        <v:shape id="_x0000_s3074" o:spid="_x0000_s3074"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weight="0.5pt"/>
          <v:imagedata o:title=""/>
          <o:lock v:ext="edit" aspectratio="f"/>
          <v:textbox inset="0mm,0mm,0mm,0mm" style="mso-fit-shape-to-text:t;">
            <w:txbxContent>
              <w:p>
                <w:pPr>
                  <w:pStyle w:val="15"/>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sz w:val="18"/>
        <w:szCs w:val="18"/>
      </w:rPr>
    </w:pPr>
  </w:p>
  <w:p>
    <w:pPr>
      <w:spacing w:line="280" w:lineRule="exact"/>
      <w:ind w:left="361" w:hanging="360" w:hangingChars="200"/>
      <w:rPr>
        <w:rFonts w:ascii="楷体" w:hAnsi="楷体" w:eastAsia="楷体" w:cs="楷体"/>
        <w:b/>
        <w:sz w:val="18"/>
        <w:szCs w:val="18"/>
        <w:u w:val="single"/>
      </w:rPr>
    </w:pPr>
    <w:r>
      <w:rPr>
        <w:rFonts w:hint="eastAsia" w:ascii="仿宋" w:hAnsi="仿宋" w:eastAsia="仿宋" w:cs="仿宋"/>
        <w:b w:val="0"/>
        <w:bCs/>
        <w:sz w:val="18"/>
        <w:szCs w:val="18"/>
        <w:u w:val="single"/>
        <w:lang w:eastAsia="zh-CN"/>
      </w:rPr>
      <w:t>华招广和项目管理有限公司</w:t>
    </w:r>
    <w:r>
      <w:rPr>
        <w:rFonts w:hint="eastAsia" w:ascii="仿宋" w:hAnsi="仿宋" w:eastAsia="仿宋" w:cs="仿宋"/>
        <w:b w:val="0"/>
        <w:bCs/>
        <w:sz w:val="18"/>
        <w:szCs w:val="18"/>
        <w:u w:val="single"/>
      </w:rPr>
      <w:t xml:space="preserve">    地 址：西安市朱雀大街南段1号汇成天玺C座18层     电 话：029-85566819</w:t>
    </w:r>
  </w:p>
  <w:p>
    <w:pPr>
      <w:spacing w:line="280" w:lineRule="exact"/>
      <w:ind w:left="360" w:hanging="360" w:hangingChars="200"/>
      <w:rPr>
        <w:rFonts w:ascii="楷体" w:hAnsi="楷体" w:eastAsia="楷体" w:cs="楷体"/>
        <w:b/>
        <w:sz w:val="18"/>
        <w:szCs w:val="18"/>
        <w:u w:val="single"/>
      </w:rPr>
    </w:pPr>
    <w:r>
      <w:rPr>
        <w:sz w:val="18"/>
      </w:rPr>
      <w:pict>
        <v:shape id="_x0000_s3073" o:spid="_x0000_s3073"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weight="0.5pt"/>
          <v:imagedata o:title=""/>
          <o:lock v:ext="edit" aspectratio="f"/>
          <v:textbox inset="0mm,0mm,0mm,0mm" style="mso-fit-shape-to-text:t;">
            <w:txbxContent>
              <w:p>
                <w:pPr>
                  <w:pStyle w:val="15"/>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spacing w:line="440" w:lineRule="exact"/>
      <w:jc w:val="left"/>
      <w:rPr>
        <w:rFonts w:ascii="楷体" w:hAnsi="楷体" w:eastAsia="楷体" w:cs="楷体"/>
      </w:rPr>
    </w:pPr>
    <w:r>
      <w:rPr>
        <w:rFonts w:hint="eastAsia" w:ascii="仿宋" w:hAnsi="仿宋" w:eastAsia="仿宋" w:cs="仿宋"/>
        <w:b w:val="0"/>
        <w:bCs/>
        <w:u w:val="single"/>
        <w:lang w:eastAsia="zh-CN"/>
      </w:rPr>
      <w:t>长武县彭公中心幼儿园部室提升改造设施设备采购项目</w:t>
    </w:r>
    <w:r>
      <w:rPr>
        <w:rFonts w:hint="eastAsia" w:ascii="仿宋" w:hAnsi="仿宋" w:eastAsia="仿宋" w:cs="仿宋"/>
        <w:b w:val="0"/>
        <w:bCs/>
        <w:u w:val="single"/>
      </w:rPr>
      <w:t xml:space="preserve">  </w:t>
    </w:r>
    <w:r>
      <w:rPr>
        <w:rFonts w:hint="eastAsia" w:ascii="仿宋" w:hAnsi="仿宋" w:eastAsia="仿宋" w:cs="仿宋"/>
        <w:b w:val="0"/>
        <w:bCs/>
        <w:u w:val="single"/>
        <w:lang w:val="en-US" w:eastAsia="zh-CN"/>
      </w:rPr>
      <w:t xml:space="preserve">                           公开招标文件        </w:t>
    </w:r>
    <w:r>
      <w:rPr>
        <w:rFonts w:hint="eastAsia" w:ascii="楷体" w:hAnsi="楷体" w:eastAsia="楷体" w:cs="楷体"/>
        <w:b/>
        <w:u w:val="single"/>
        <w:lang w:val="en-US" w:eastAsia="zh-CN"/>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keepNext w:val="0"/>
      <w:keepLines w:val="0"/>
      <w:pageBreakBefore w:val="0"/>
      <w:widowControl w:val="0"/>
      <w:kinsoku/>
      <w:wordWrap/>
      <w:overflowPunct/>
      <w:topLinePunct w:val="0"/>
      <w:autoSpaceDE/>
      <w:autoSpaceDN/>
      <w:bidi w:val="0"/>
      <w:adjustRightInd/>
      <w:snapToGrid w:val="0"/>
      <w:spacing w:line="240" w:lineRule="auto"/>
      <w:jc w:val="both"/>
      <w:textAlignment w:val="auto"/>
    </w:pPr>
    <w:r>
      <w:rPr>
        <w:rFonts w:hint="eastAsia" w:ascii="仿宋" w:hAnsi="仿宋" w:eastAsia="仿宋" w:cs="仿宋"/>
        <w:b/>
        <w:bCs w:val="0"/>
        <w:sz w:val="20"/>
        <w:szCs w:val="20"/>
        <w:u w:val="none"/>
        <w:lang w:eastAsia="zh-CN"/>
      </w:rPr>
      <w:t>长武县彭公中心幼儿园部室提升改造设施设备采购项目</w:t>
    </w:r>
    <w:r>
      <w:rPr>
        <w:rFonts w:hint="eastAsia" w:ascii="仿宋" w:hAnsi="仿宋" w:eastAsia="仿宋" w:cs="仿宋"/>
        <w:b/>
        <w:bCs w:val="0"/>
        <w:sz w:val="20"/>
        <w:szCs w:val="20"/>
        <w:u w:val="none"/>
      </w:rPr>
      <w:t xml:space="preserve">                </w:t>
    </w:r>
    <w:r>
      <w:rPr>
        <w:rFonts w:hint="eastAsia" w:ascii="仿宋" w:hAnsi="仿宋" w:eastAsia="仿宋" w:cs="仿宋"/>
        <w:b/>
        <w:bCs w:val="0"/>
        <w:sz w:val="20"/>
        <w:szCs w:val="20"/>
        <w:u w:val="none"/>
        <w:lang w:val="en-US" w:eastAsia="zh-CN"/>
      </w:rPr>
      <w:t xml:space="preserve">         公开招标文件 </w:t>
    </w:r>
    <w:r>
      <w:rPr>
        <w:rFonts w:hint="eastAsia" w:ascii="楷体" w:hAnsi="楷体" w:eastAsia="楷体" w:cs="楷体"/>
        <w:b/>
        <w:u w:val="none"/>
        <w:lang w:val="en-US" w:eastAsia="zh-CN"/>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lang w:eastAsia="zh-CN"/>
      </w:rPr>
    </w:pPr>
    <w:r>
      <w:rPr>
        <w:rFonts w:hint="eastAsia" w:ascii="仿宋" w:hAnsi="仿宋" w:eastAsia="仿宋" w:cs="仿宋"/>
        <w:b/>
        <w:bCs w:val="0"/>
        <w:u w:val="none"/>
        <w:lang w:eastAsia="zh-CN"/>
      </w:rPr>
      <w:t>长武县彭公中心幼儿园部室提升改造设施设备采购项目</w:t>
    </w:r>
    <w:r>
      <w:rPr>
        <w:rFonts w:hint="eastAsia" w:ascii="仿宋" w:hAnsi="仿宋" w:eastAsia="仿宋" w:cs="仿宋"/>
        <w:b/>
        <w:bCs w:val="0"/>
        <w:u w:val="none"/>
      </w:rPr>
      <w:t xml:space="preserve">                </w:t>
    </w:r>
    <w:r>
      <w:rPr>
        <w:rFonts w:hint="eastAsia" w:ascii="仿宋" w:hAnsi="仿宋" w:eastAsia="仿宋" w:cs="仿宋"/>
        <w:b/>
        <w:bCs w:val="0"/>
        <w:u w:val="none"/>
        <w:lang w:val="en-US" w:eastAsia="zh-CN"/>
      </w:rPr>
      <w:t xml:space="preserve">             公开招标文件</w:t>
    </w:r>
    <w:r>
      <w:rPr>
        <w:rFonts w:hint="eastAsia" w:ascii="楷体" w:hAnsi="楷体" w:eastAsia="楷体" w:cs="楷体"/>
        <w:b/>
        <w:u w:val="none"/>
        <w:lang w:val="en-US" w:eastAsia="zh-CN"/>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b/>
        <w:bCs w:val="0"/>
        <w:lang w:eastAsia="zh-CN"/>
      </w:rPr>
    </w:pPr>
    <w:r>
      <w:rPr>
        <w:rFonts w:hint="eastAsia" w:ascii="仿宋" w:hAnsi="仿宋" w:eastAsia="仿宋" w:cs="仿宋"/>
        <w:b/>
        <w:bCs w:val="0"/>
        <w:u w:val="none"/>
        <w:lang w:eastAsia="zh-CN"/>
      </w:rPr>
      <w:t>长武县彭公中心幼儿园部室提升改造设施设备采购项目</w:t>
    </w:r>
    <w:r>
      <w:rPr>
        <w:rFonts w:hint="eastAsia" w:ascii="仿宋" w:hAnsi="仿宋" w:eastAsia="仿宋" w:cs="仿宋"/>
        <w:b/>
        <w:bCs w:val="0"/>
        <w:u w:val="none"/>
      </w:rPr>
      <w:t xml:space="preserve">                </w:t>
    </w:r>
    <w:r>
      <w:rPr>
        <w:rFonts w:hint="eastAsia" w:ascii="仿宋" w:hAnsi="仿宋" w:eastAsia="仿宋" w:cs="仿宋"/>
        <w:b/>
        <w:bCs w:val="0"/>
        <w:u w:val="none"/>
        <w:lang w:val="en-US" w:eastAsia="zh-CN"/>
      </w:rPr>
      <w:t xml:space="preserve">                     公开招标文件  </w:t>
    </w:r>
    <w:r>
      <w:rPr>
        <w:rFonts w:hint="eastAsia" w:ascii="楷体" w:hAnsi="楷体" w:eastAsia="楷体" w:cs="楷体"/>
        <w:b/>
        <w:bCs w:val="0"/>
        <w:u w:val="none"/>
        <w:lang w:val="en-US" w:eastAsia="zh-CN"/>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keepNext w:val="0"/>
      <w:keepLines w:val="0"/>
      <w:pageBreakBefore w:val="0"/>
      <w:widowControl w:val="0"/>
      <w:pBdr>
        <w:bottom w:val="none" w:color="auto" w:sz="0" w:space="1"/>
      </w:pBdr>
      <w:kinsoku/>
      <w:wordWrap/>
      <w:overflowPunct/>
      <w:topLinePunct w:val="0"/>
      <w:autoSpaceDE/>
      <w:autoSpaceDN/>
      <w:bidi w:val="0"/>
      <w:adjustRightInd/>
      <w:snapToGrid w:val="0"/>
      <w:spacing w:line="480" w:lineRule="exact"/>
      <w:jc w:val="both"/>
      <w:textAlignment w:val="auto"/>
      <w:rPr>
        <w:rFonts w:hint="eastAsia"/>
        <w:u w:val="none"/>
        <w:lang w:eastAsia="zh-CN"/>
      </w:rPr>
    </w:pPr>
    <w:r>
      <w:rPr>
        <w:rFonts w:hint="eastAsia" w:ascii="仿宋" w:hAnsi="仿宋" w:eastAsia="仿宋" w:cs="仿宋"/>
        <w:b w:val="0"/>
        <w:bCs/>
        <w:u w:val="single"/>
        <w:lang w:eastAsia="zh-CN"/>
      </w:rPr>
      <w:t>长武县彭公中心幼儿园部室提升改造设施设备采购项目</w:t>
    </w:r>
    <w:r>
      <w:rPr>
        <w:rFonts w:hint="eastAsia" w:ascii="楷体" w:hAnsi="楷体" w:eastAsia="楷体" w:cs="楷体"/>
        <w:b/>
        <w:u w:val="single"/>
      </w:rPr>
      <w:t xml:space="preserve">                </w:t>
    </w:r>
    <w:r>
      <w:rPr>
        <w:rFonts w:hint="eastAsia" w:ascii="楷体" w:hAnsi="楷体" w:eastAsia="楷体" w:cs="楷体"/>
        <w:b/>
        <w:u w:val="single"/>
        <w:lang w:val="en-US" w:eastAsia="zh-CN"/>
      </w:rPr>
      <w:t xml:space="preserve">             </w:t>
    </w:r>
    <w:r>
      <w:rPr>
        <w:rFonts w:hint="eastAsia" w:ascii="仿宋" w:hAnsi="仿宋" w:eastAsia="仿宋" w:cs="仿宋"/>
        <w:b w:val="0"/>
        <w:bCs/>
        <w:u w:val="single"/>
        <w:lang w:val="en-US" w:eastAsia="zh-CN"/>
      </w:rPr>
      <w:t xml:space="preserve">   公开招标文件</w:t>
    </w:r>
    <w:r>
      <w:rPr>
        <w:rFonts w:hint="eastAsia" w:ascii="楷体" w:hAnsi="楷体" w:eastAsia="楷体" w:cs="楷体"/>
        <w:b/>
        <w:u w:val="single"/>
        <w:lang w:val="en-US" w:eastAsia="zh-CN"/>
      </w:rPr>
      <w:t xml:space="preserve">                        </w:t>
    </w:r>
    <w:r>
      <w:rPr>
        <w:rFonts w:hint="eastAsia" w:ascii="楷体" w:hAnsi="楷体" w:eastAsia="楷体" w:cs="楷体"/>
        <w:b/>
        <w:u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spacing w:line="440" w:lineRule="exact"/>
      <w:jc w:val="both"/>
      <w:rPr>
        <w:rFonts w:ascii="宋体" w:hAnsi="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spacing w:line="440" w:lineRule="exact"/>
      <w:jc w:val="both"/>
      <w:rPr>
        <w:rFonts w:ascii="宋体" w:hAnsi="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spacing w:line="440" w:lineRule="exact"/>
      <w:jc w:val="both"/>
      <w:rPr>
        <w:rFonts w:ascii="宋体" w:hAnsi="宋体"/>
      </w:rPr>
    </w:pPr>
    <w:r>
      <w:rPr>
        <w:rFonts w:hint="eastAsia" w:ascii="仿宋" w:hAnsi="仿宋" w:eastAsia="仿宋" w:cs="仿宋"/>
        <w:b w:val="0"/>
        <w:bCs/>
        <w:u w:val="single"/>
        <w:lang w:eastAsia="zh-CN"/>
      </w:rPr>
      <w:t>长武县彭公中心幼儿园部室提升改造设施设备采购项目</w:t>
    </w:r>
    <w:r>
      <w:rPr>
        <w:rFonts w:hint="eastAsia" w:ascii="仿宋" w:hAnsi="仿宋" w:eastAsia="仿宋" w:cs="仿宋"/>
        <w:b w:val="0"/>
        <w:bCs/>
        <w:u w:val="single"/>
      </w:rPr>
      <w:t xml:space="preserve">  </w:t>
    </w:r>
    <w:r>
      <w:rPr>
        <w:rFonts w:hint="eastAsia" w:ascii="仿宋" w:hAnsi="仿宋" w:eastAsia="仿宋" w:cs="仿宋"/>
        <w:b w:val="0"/>
        <w:bCs/>
        <w:u w:val="single"/>
        <w:lang w:val="en-US" w:eastAsia="zh-CN"/>
      </w:rPr>
      <w:t xml:space="preserve">                           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spacing w:line="440" w:lineRule="exact"/>
      <w:jc w:val="left"/>
      <w:rPr>
        <w:rFonts w:ascii="楷体" w:hAnsi="楷体" w:eastAsia="楷体" w:cs="楷体"/>
        <w:b/>
        <w:bCs w:val="0"/>
        <w:sz w:val="20"/>
        <w:szCs w:val="20"/>
      </w:rPr>
    </w:pPr>
    <w:r>
      <w:rPr>
        <w:rFonts w:hint="eastAsia" w:ascii="仿宋" w:hAnsi="仿宋" w:eastAsia="仿宋" w:cs="仿宋"/>
        <w:b/>
        <w:bCs w:val="0"/>
        <w:sz w:val="20"/>
        <w:szCs w:val="20"/>
        <w:u w:val="single"/>
        <w:lang w:eastAsia="zh-CN"/>
      </w:rPr>
      <w:t>长武县彭公中心幼儿园部室提升改造设施设备采购项目</w:t>
    </w:r>
    <w:r>
      <w:rPr>
        <w:rFonts w:hint="eastAsia" w:ascii="仿宋" w:hAnsi="仿宋" w:eastAsia="仿宋" w:cs="仿宋"/>
        <w:b/>
        <w:bCs w:val="0"/>
        <w:sz w:val="20"/>
        <w:szCs w:val="20"/>
        <w:u w:val="single"/>
      </w:rPr>
      <w:t xml:space="preserve">  </w:t>
    </w:r>
    <w:r>
      <w:rPr>
        <w:rFonts w:hint="eastAsia" w:ascii="仿宋" w:hAnsi="仿宋" w:eastAsia="仿宋" w:cs="仿宋"/>
        <w:b/>
        <w:bCs w:val="0"/>
        <w:sz w:val="20"/>
        <w:szCs w:val="20"/>
        <w:u w:val="single"/>
        <w:lang w:val="en-US" w:eastAsia="zh-CN"/>
      </w:rPr>
      <w:t xml:space="preserve">                   公开招标文件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spacing w:line="440" w:lineRule="exact"/>
      <w:jc w:val="left"/>
      <w:rPr>
        <w:rFonts w:hint="eastAsia" w:ascii="宋体" w:hAnsi="宋体" w:eastAsia="楷体"/>
        <w:b/>
        <w:bCs w:val="0"/>
        <w:u w:val="single"/>
        <w:lang w:eastAsia="zh-CN"/>
      </w:rPr>
    </w:pPr>
    <w:r>
      <w:rPr>
        <w:rFonts w:hint="eastAsia" w:ascii="仿宋" w:hAnsi="仿宋" w:eastAsia="仿宋" w:cs="仿宋"/>
        <w:b w:val="0"/>
        <w:bCs/>
        <w:u w:val="single"/>
        <w:lang w:eastAsia="zh-CN"/>
      </w:rPr>
      <w:t>长武县彭公中心幼儿园部室提升改造设施设备采购项目</w:t>
    </w:r>
    <w:r>
      <w:rPr>
        <w:rFonts w:hint="eastAsia" w:ascii="仿宋" w:hAnsi="仿宋" w:eastAsia="仿宋" w:cs="仿宋"/>
        <w:b w:val="0"/>
        <w:bCs/>
        <w:u w:val="single"/>
      </w:rPr>
      <w:t xml:space="preserve">   </w:t>
    </w:r>
    <w:r>
      <w:rPr>
        <w:rFonts w:hint="eastAsia" w:ascii="仿宋" w:hAnsi="仿宋" w:eastAsia="仿宋" w:cs="仿宋"/>
        <w:b w:val="0"/>
        <w:bCs/>
        <w:u w:val="single"/>
        <w:lang w:val="en-US" w:eastAsia="zh-CN"/>
      </w:rPr>
      <w:t xml:space="preserve">                            公开招标文件        </w:t>
    </w:r>
    <w:r>
      <w:rPr>
        <w:rFonts w:hint="eastAsia" w:ascii="仿宋" w:hAnsi="仿宋" w:eastAsia="仿宋" w:cs="仿宋"/>
        <w:b/>
        <w:bCs w:val="0"/>
        <w:u w:val="single"/>
        <w:lang w:val="en-US" w:eastAsia="zh-CN"/>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ascii="楷体" w:hAnsi="楷体" w:eastAsia="楷体" w:cs="楷体"/>
      </w:rPr>
    </w:pPr>
    <w:r>
      <w:rPr>
        <w:rFonts w:hint="eastAsia" w:ascii="仿宋" w:hAnsi="仿宋" w:eastAsia="仿宋" w:cs="仿宋"/>
        <w:b/>
        <w:bCs w:val="0"/>
        <w:u w:val="none"/>
        <w:lang w:eastAsia="zh-CN"/>
      </w:rPr>
      <w:t>长武县彭公中心幼儿园部室提升改造设施设备采购项目</w:t>
    </w:r>
    <w:r>
      <w:rPr>
        <w:rFonts w:hint="eastAsia" w:ascii="仿宋" w:hAnsi="仿宋" w:eastAsia="仿宋" w:cs="仿宋"/>
        <w:b/>
        <w:bCs w:val="0"/>
        <w:u w:val="none"/>
      </w:rPr>
      <w:t xml:space="preserve">           </w:t>
    </w:r>
    <w:r>
      <w:rPr>
        <w:rFonts w:hint="eastAsia" w:ascii="仿宋" w:hAnsi="仿宋" w:eastAsia="仿宋" w:cs="仿宋"/>
        <w:b/>
        <w:bCs w:val="0"/>
        <w:u w:val="none"/>
        <w:lang w:val="en-US" w:eastAsia="zh-CN"/>
      </w:rPr>
      <w:t xml:space="preserve">                                                                         </w:t>
    </w:r>
    <w:r>
      <w:rPr>
        <w:rFonts w:hint="eastAsia" w:ascii="仿宋" w:hAnsi="仿宋" w:eastAsia="仿宋" w:cs="仿宋"/>
        <w:b/>
        <w:bCs w:val="0"/>
        <w:u w:val="none"/>
      </w:rPr>
      <w:t xml:space="preserve"> </w:t>
    </w:r>
    <w:r>
      <w:rPr>
        <w:rFonts w:hint="eastAsia" w:ascii="仿宋" w:hAnsi="仿宋" w:eastAsia="仿宋" w:cs="仿宋"/>
        <w:b/>
        <w:bCs w:val="0"/>
        <w:u w:val="none"/>
        <w:lang w:val="en-US" w:eastAsia="zh-CN"/>
      </w:rPr>
      <w:t>公开招标文件</w:t>
    </w:r>
    <w:r>
      <w:rPr>
        <w:rFonts w:hint="eastAsia" w:ascii="仿宋" w:hAnsi="仿宋" w:eastAsia="仿宋" w:cs="仿宋"/>
        <w:b/>
        <w:bCs w:val="0"/>
        <w:u w:val="none"/>
      </w:rPr>
      <w:t xml:space="preserve"> </w:t>
    </w:r>
    <w:r>
      <w:rPr>
        <w:rFonts w:hint="eastAsia" w:ascii="楷体" w:hAnsi="楷体" w:eastAsia="楷体" w:cs="楷体"/>
        <w:b/>
        <w:bCs w:val="0"/>
        <w:u w:val="none"/>
      </w:rPr>
      <w:t xml:space="preserve">  </w:t>
    </w:r>
    <w:r>
      <w:rPr>
        <w:rFonts w:hint="eastAsia" w:ascii="楷体" w:hAnsi="楷体" w:eastAsia="楷体" w:cs="楷体"/>
        <w:b/>
        <w:u w:val="none"/>
      </w:rPr>
      <w:t xml:space="preserve"> </w:t>
    </w:r>
    <w:r>
      <w:rPr>
        <w:rFonts w:hint="eastAsia" w:ascii="楷体" w:hAnsi="楷体" w:eastAsia="楷体" w:cs="楷体"/>
        <w:b/>
        <w:u w:val="none"/>
        <w:lang w:val="en-US" w:eastAsia="zh-CN"/>
      </w:rPr>
      <w:t xml:space="preserve">                                                                                                        </w:t>
    </w:r>
    <w:r>
      <w:rPr>
        <w:rFonts w:hint="eastAsia" w:ascii="楷体" w:hAnsi="楷体" w:eastAsia="楷体" w:cs="楷体"/>
        <w:b/>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rFonts w:hint="eastAsia"/>
        <w:lang w:eastAsia="zh-CN"/>
      </w:rPr>
    </w:pPr>
    <w:r>
      <w:rPr>
        <w:rFonts w:hint="eastAsia" w:ascii="仿宋" w:hAnsi="仿宋" w:eastAsia="仿宋" w:cs="仿宋"/>
        <w:b/>
        <w:bCs w:val="0"/>
        <w:u w:val="none"/>
        <w:lang w:eastAsia="zh-CN"/>
      </w:rPr>
      <w:t>长武县彭公中心幼儿园部室提升改造设施设备采购项目</w:t>
    </w:r>
    <w:r>
      <w:rPr>
        <w:rFonts w:hint="eastAsia" w:ascii="仿宋" w:hAnsi="仿宋" w:eastAsia="仿宋" w:cs="仿宋"/>
        <w:b/>
        <w:bCs w:val="0"/>
        <w:u w:val="none"/>
      </w:rPr>
      <w:t xml:space="preserve">                </w:t>
    </w:r>
    <w:r>
      <w:rPr>
        <w:rFonts w:hint="eastAsia" w:ascii="仿宋" w:hAnsi="仿宋" w:eastAsia="仿宋" w:cs="仿宋"/>
        <w:b/>
        <w:bCs w:val="0"/>
        <w:u w:val="none"/>
        <w:lang w:val="en-US" w:eastAsia="zh-CN"/>
      </w:rPr>
      <w:t xml:space="preserve">            公开招标文件 </w:t>
    </w:r>
    <w:r>
      <w:rPr>
        <w:rFonts w:hint="eastAsia" w:ascii="楷体" w:hAnsi="楷体" w:eastAsia="楷体" w:cs="楷体"/>
        <w:b/>
        <w:bCs w:val="0"/>
        <w:u w:val="none"/>
        <w:lang w:val="en-US" w:eastAsia="zh-CN"/>
      </w:rPr>
      <w:t xml:space="preserve"> </w:t>
    </w:r>
    <w:r>
      <w:rPr>
        <w:rFonts w:hint="eastAsia" w:ascii="楷体" w:hAnsi="楷体" w:eastAsia="楷体" w:cs="楷体"/>
        <w:b/>
        <w:u w:val="non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DC9CD1"/>
    <w:multiLevelType w:val="singleLevel"/>
    <w:tmpl w:val="F8DC9CD1"/>
    <w:lvl w:ilvl="0" w:tentative="0">
      <w:start w:val="6"/>
      <w:numFmt w:val="chineseCounting"/>
      <w:suff w:val="space"/>
      <w:lvlText w:val="第%1章"/>
      <w:lvlJc w:val="left"/>
      <w:rPr>
        <w:rFonts w:hint="eastAsia"/>
      </w:rPr>
    </w:lvl>
  </w:abstractNum>
  <w:abstractNum w:abstractNumId="1">
    <w:nsid w:val="0000000E"/>
    <w:multiLevelType w:val="singleLevel"/>
    <w:tmpl w:val="0000000E"/>
    <w:lvl w:ilvl="0" w:tentative="0">
      <w:start w:val="2"/>
      <w:numFmt w:val="decimal"/>
      <w:suff w:val="nothing"/>
      <w:lvlText w:val="%1）"/>
      <w:lvlJc w:val="left"/>
    </w:lvl>
  </w:abstractNum>
  <w:abstractNum w:abstractNumId="2">
    <w:nsid w:val="01041D89"/>
    <w:multiLevelType w:val="singleLevel"/>
    <w:tmpl w:val="01041D89"/>
    <w:lvl w:ilvl="0" w:tentative="0">
      <w:start w:val="1"/>
      <w:numFmt w:val="chineseCounting"/>
      <w:suff w:val="space"/>
      <w:lvlText w:val="第%1章"/>
      <w:lvlJc w:val="left"/>
      <w:rPr>
        <w:rFonts w:hint="eastAsia"/>
      </w:rPr>
    </w:lvl>
  </w:abstractNum>
  <w:abstractNum w:abstractNumId="3">
    <w:nsid w:val="1734BF6A"/>
    <w:multiLevelType w:val="singleLevel"/>
    <w:tmpl w:val="1734BF6A"/>
    <w:lvl w:ilvl="0" w:tentative="0">
      <w:start w:val="1"/>
      <w:numFmt w:val="decimal"/>
      <w:suff w:val="nothing"/>
      <w:lvlText w:val="%1、"/>
      <w:lvlJc w:val="left"/>
    </w:lvl>
  </w:abstractNum>
  <w:abstractNum w:abstractNumId="4">
    <w:nsid w:val="576A36EB"/>
    <w:multiLevelType w:val="singleLevel"/>
    <w:tmpl w:val="576A36EB"/>
    <w:lvl w:ilvl="0" w:tentative="0">
      <w:start w:val="1"/>
      <w:numFmt w:val="decimal"/>
      <w:suff w:val="nothing"/>
      <w:lvlText w:val="（%1）"/>
      <w:lvlJc w:val="left"/>
    </w:lvl>
  </w:abstractNum>
  <w:abstractNum w:abstractNumId="5">
    <w:nsid w:val="58946D50"/>
    <w:multiLevelType w:val="multilevel"/>
    <w:tmpl w:val="58946D50"/>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6131D8C7"/>
    <w:multiLevelType w:val="singleLevel"/>
    <w:tmpl w:val="6131D8C7"/>
    <w:lvl w:ilvl="0" w:tentative="0">
      <w:start w:val="3"/>
      <w:numFmt w:val="chineseCounting"/>
      <w:suff w:val="space"/>
      <w:lvlText w:val="第%1章"/>
      <w:lvlJc w:val="left"/>
    </w:lvl>
  </w:abstractNum>
  <w:num w:numId="1">
    <w:abstractNumId w:val="5"/>
  </w:num>
  <w:num w:numId="2">
    <w:abstractNumId w:val="2"/>
  </w:num>
  <w:num w:numId="3">
    <w:abstractNumId w:val="3"/>
  </w:num>
  <w:num w:numId="4">
    <w:abstractNumId w:val="1"/>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rules v:ext="edit">
        <o:r id="V:Rule1" type="connector" idref="#直接箭头连接符 13"/>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ZjZTVlYjc4MTYxOWE0MmI4MTYyZmE4NjhhODg0NWUifQ=="/>
  </w:docVars>
  <w:rsids>
    <w:rsidRoot w:val="00172A27"/>
    <w:rsid w:val="001332BF"/>
    <w:rsid w:val="00212B6B"/>
    <w:rsid w:val="002D1185"/>
    <w:rsid w:val="003F04EF"/>
    <w:rsid w:val="00415775"/>
    <w:rsid w:val="00415DA5"/>
    <w:rsid w:val="00437251"/>
    <w:rsid w:val="004F223F"/>
    <w:rsid w:val="0054681D"/>
    <w:rsid w:val="00622852"/>
    <w:rsid w:val="006512A4"/>
    <w:rsid w:val="006E4C02"/>
    <w:rsid w:val="0075377D"/>
    <w:rsid w:val="007B1225"/>
    <w:rsid w:val="007B30B1"/>
    <w:rsid w:val="00833FB2"/>
    <w:rsid w:val="008563F8"/>
    <w:rsid w:val="009140CB"/>
    <w:rsid w:val="00A86B23"/>
    <w:rsid w:val="00B507E4"/>
    <w:rsid w:val="00CA45D3"/>
    <w:rsid w:val="00D04A1F"/>
    <w:rsid w:val="00E84244"/>
    <w:rsid w:val="00F35AEF"/>
    <w:rsid w:val="00FE4037"/>
    <w:rsid w:val="01036C48"/>
    <w:rsid w:val="01055DED"/>
    <w:rsid w:val="012357C5"/>
    <w:rsid w:val="0124044D"/>
    <w:rsid w:val="012F172C"/>
    <w:rsid w:val="012F2A87"/>
    <w:rsid w:val="013B4745"/>
    <w:rsid w:val="013F27E7"/>
    <w:rsid w:val="014C0D5E"/>
    <w:rsid w:val="01523E16"/>
    <w:rsid w:val="015509EB"/>
    <w:rsid w:val="0167398B"/>
    <w:rsid w:val="016D5D6E"/>
    <w:rsid w:val="01770D23"/>
    <w:rsid w:val="01792237"/>
    <w:rsid w:val="017D4B6D"/>
    <w:rsid w:val="018B4AD5"/>
    <w:rsid w:val="01A9549C"/>
    <w:rsid w:val="01B444B0"/>
    <w:rsid w:val="01B93012"/>
    <w:rsid w:val="01DC0309"/>
    <w:rsid w:val="01E07E04"/>
    <w:rsid w:val="01E72F16"/>
    <w:rsid w:val="01F6245E"/>
    <w:rsid w:val="020B2B51"/>
    <w:rsid w:val="022C51CF"/>
    <w:rsid w:val="023D0CA8"/>
    <w:rsid w:val="025C1772"/>
    <w:rsid w:val="0272187E"/>
    <w:rsid w:val="0273481D"/>
    <w:rsid w:val="027B5DA6"/>
    <w:rsid w:val="028E56AC"/>
    <w:rsid w:val="029C5C96"/>
    <w:rsid w:val="029D4595"/>
    <w:rsid w:val="029E1D87"/>
    <w:rsid w:val="02C11121"/>
    <w:rsid w:val="02CA10BB"/>
    <w:rsid w:val="02E00A2B"/>
    <w:rsid w:val="02E24518"/>
    <w:rsid w:val="02EA5B34"/>
    <w:rsid w:val="02F219E1"/>
    <w:rsid w:val="02FE10CF"/>
    <w:rsid w:val="03092897"/>
    <w:rsid w:val="03114ED8"/>
    <w:rsid w:val="031C45A2"/>
    <w:rsid w:val="03226876"/>
    <w:rsid w:val="032822E5"/>
    <w:rsid w:val="033E3C8D"/>
    <w:rsid w:val="034C72DC"/>
    <w:rsid w:val="0363799C"/>
    <w:rsid w:val="03666CBA"/>
    <w:rsid w:val="03804B01"/>
    <w:rsid w:val="03927018"/>
    <w:rsid w:val="03EC461B"/>
    <w:rsid w:val="03F25C0E"/>
    <w:rsid w:val="0402140E"/>
    <w:rsid w:val="040E606A"/>
    <w:rsid w:val="0413485F"/>
    <w:rsid w:val="042302C3"/>
    <w:rsid w:val="04286C44"/>
    <w:rsid w:val="04681381"/>
    <w:rsid w:val="047000DE"/>
    <w:rsid w:val="048076C9"/>
    <w:rsid w:val="04A35E84"/>
    <w:rsid w:val="04DC01EC"/>
    <w:rsid w:val="04EF0188"/>
    <w:rsid w:val="050359C4"/>
    <w:rsid w:val="05145A42"/>
    <w:rsid w:val="05243AD3"/>
    <w:rsid w:val="05244660"/>
    <w:rsid w:val="053B7608"/>
    <w:rsid w:val="0544323B"/>
    <w:rsid w:val="055B54AB"/>
    <w:rsid w:val="055F0593"/>
    <w:rsid w:val="057C07ED"/>
    <w:rsid w:val="0582059A"/>
    <w:rsid w:val="05881D5D"/>
    <w:rsid w:val="059A78A9"/>
    <w:rsid w:val="059F6C93"/>
    <w:rsid w:val="05C32147"/>
    <w:rsid w:val="05CC27DB"/>
    <w:rsid w:val="05DC421B"/>
    <w:rsid w:val="05E12F78"/>
    <w:rsid w:val="05E338DE"/>
    <w:rsid w:val="05E85EDC"/>
    <w:rsid w:val="05EF4934"/>
    <w:rsid w:val="05FB470C"/>
    <w:rsid w:val="063B2138"/>
    <w:rsid w:val="06424AAD"/>
    <w:rsid w:val="066702F8"/>
    <w:rsid w:val="06671B17"/>
    <w:rsid w:val="067261DB"/>
    <w:rsid w:val="06730A9B"/>
    <w:rsid w:val="06842B31"/>
    <w:rsid w:val="068968D6"/>
    <w:rsid w:val="068C0996"/>
    <w:rsid w:val="06942BE2"/>
    <w:rsid w:val="069A21EB"/>
    <w:rsid w:val="06AD6D7A"/>
    <w:rsid w:val="06B1749B"/>
    <w:rsid w:val="06B90E07"/>
    <w:rsid w:val="06DB69A0"/>
    <w:rsid w:val="06E174F0"/>
    <w:rsid w:val="073B1519"/>
    <w:rsid w:val="074309B5"/>
    <w:rsid w:val="074D45F0"/>
    <w:rsid w:val="075238C8"/>
    <w:rsid w:val="075409F1"/>
    <w:rsid w:val="077716F8"/>
    <w:rsid w:val="0784427C"/>
    <w:rsid w:val="079C558D"/>
    <w:rsid w:val="07A86BC0"/>
    <w:rsid w:val="07B06814"/>
    <w:rsid w:val="07B1292F"/>
    <w:rsid w:val="07B83524"/>
    <w:rsid w:val="07ED6184"/>
    <w:rsid w:val="07FD24D8"/>
    <w:rsid w:val="07FF518E"/>
    <w:rsid w:val="081859DF"/>
    <w:rsid w:val="081E722F"/>
    <w:rsid w:val="08263A7B"/>
    <w:rsid w:val="08343F08"/>
    <w:rsid w:val="08390C7A"/>
    <w:rsid w:val="0840034D"/>
    <w:rsid w:val="084F5E63"/>
    <w:rsid w:val="087361B7"/>
    <w:rsid w:val="08865858"/>
    <w:rsid w:val="08C40321"/>
    <w:rsid w:val="08C916A1"/>
    <w:rsid w:val="08D93C4A"/>
    <w:rsid w:val="08F62F8E"/>
    <w:rsid w:val="09132E62"/>
    <w:rsid w:val="091A2465"/>
    <w:rsid w:val="092F3308"/>
    <w:rsid w:val="0952618D"/>
    <w:rsid w:val="096F0401"/>
    <w:rsid w:val="09875E86"/>
    <w:rsid w:val="098944A3"/>
    <w:rsid w:val="09917F6C"/>
    <w:rsid w:val="09AF7900"/>
    <w:rsid w:val="09B84246"/>
    <w:rsid w:val="09EE72C6"/>
    <w:rsid w:val="0A0018ED"/>
    <w:rsid w:val="0A0C6A2E"/>
    <w:rsid w:val="0A1B5312"/>
    <w:rsid w:val="0A2817E2"/>
    <w:rsid w:val="0A405FB1"/>
    <w:rsid w:val="0A4B6101"/>
    <w:rsid w:val="0A530AAC"/>
    <w:rsid w:val="0A5663A8"/>
    <w:rsid w:val="0A5D6092"/>
    <w:rsid w:val="0A783EE1"/>
    <w:rsid w:val="0A841FD0"/>
    <w:rsid w:val="0A8660B1"/>
    <w:rsid w:val="0A95665E"/>
    <w:rsid w:val="0A9E5956"/>
    <w:rsid w:val="0AA4705C"/>
    <w:rsid w:val="0AB80DB3"/>
    <w:rsid w:val="0AC05AD3"/>
    <w:rsid w:val="0AD66945"/>
    <w:rsid w:val="0ADE612F"/>
    <w:rsid w:val="0AEE0C79"/>
    <w:rsid w:val="0AF812C0"/>
    <w:rsid w:val="0AFC0079"/>
    <w:rsid w:val="0AFD2C46"/>
    <w:rsid w:val="0B1434B9"/>
    <w:rsid w:val="0B1801AC"/>
    <w:rsid w:val="0B295D9A"/>
    <w:rsid w:val="0B297899"/>
    <w:rsid w:val="0B394155"/>
    <w:rsid w:val="0B3B7FFF"/>
    <w:rsid w:val="0B8D1D0D"/>
    <w:rsid w:val="0BC065FD"/>
    <w:rsid w:val="0BC742BD"/>
    <w:rsid w:val="0BD42F9A"/>
    <w:rsid w:val="0BEE4C7F"/>
    <w:rsid w:val="0BF7122A"/>
    <w:rsid w:val="0BF76B33"/>
    <w:rsid w:val="0C1B324A"/>
    <w:rsid w:val="0C2A4A9B"/>
    <w:rsid w:val="0C2C5130"/>
    <w:rsid w:val="0C394E6F"/>
    <w:rsid w:val="0C50326D"/>
    <w:rsid w:val="0C7C3AF1"/>
    <w:rsid w:val="0C7F7B3F"/>
    <w:rsid w:val="0C8D0FFD"/>
    <w:rsid w:val="0C9F35C5"/>
    <w:rsid w:val="0CA34C15"/>
    <w:rsid w:val="0CB02C73"/>
    <w:rsid w:val="0CB4444F"/>
    <w:rsid w:val="0CCA7874"/>
    <w:rsid w:val="0CCE1649"/>
    <w:rsid w:val="0CD143AE"/>
    <w:rsid w:val="0CD35D61"/>
    <w:rsid w:val="0CDD25B5"/>
    <w:rsid w:val="0CFD5D54"/>
    <w:rsid w:val="0D0509C0"/>
    <w:rsid w:val="0D0A04D3"/>
    <w:rsid w:val="0D141443"/>
    <w:rsid w:val="0D2A3412"/>
    <w:rsid w:val="0D3C343A"/>
    <w:rsid w:val="0D68320E"/>
    <w:rsid w:val="0D6F3E84"/>
    <w:rsid w:val="0D7414F9"/>
    <w:rsid w:val="0D7504FF"/>
    <w:rsid w:val="0D7541CB"/>
    <w:rsid w:val="0D771362"/>
    <w:rsid w:val="0D7B584C"/>
    <w:rsid w:val="0D971B21"/>
    <w:rsid w:val="0DAB4BFF"/>
    <w:rsid w:val="0DC066B8"/>
    <w:rsid w:val="0DDC6F83"/>
    <w:rsid w:val="0DF37BA7"/>
    <w:rsid w:val="0E035AFD"/>
    <w:rsid w:val="0E0A5DCA"/>
    <w:rsid w:val="0E0C77C9"/>
    <w:rsid w:val="0E1C5299"/>
    <w:rsid w:val="0E492B32"/>
    <w:rsid w:val="0E50645E"/>
    <w:rsid w:val="0E516D66"/>
    <w:rsid w:val="0E56494C"/>
    <w:rsid w:val="0E613CA6"/>
    <w:rsid w:val="0E687109"/>
    <w:rsid w:val="0EAE1199"/>
    <w:rsid w:val="0EC45296"/>
    <w:rsid w:val="0ECD1414"/>
    <w:rsid w:val="0ED717DB"/>
    <w:rsid w:val="0EDC0DEC"/>
    <w:rsid w:val="0F032FD0"/>
    <w:rsid w:val="0F1C53D9"/>
    <w:rsid w:val="0F22324D"/>
    <w:rsid w:val="0F3404DB"/>
    <w:rsid w:val="0F3B7A08"/>
    <w:rsid w:val="0F473211"/>
    <w:rsid w:val="0F517930"/>
    <w:rsid w:val="0F6E0F54"/>
    <w:rsid w:val="0F730FDF"/>
    <w:rsid w:val="0F851B60"/>
    <w:rsid w:val="0FAB058B"/>
    <w:rsid w:val="0FC95A74"/>
    <w:rsid w:val="0FD348E1"/>
    <w:rsid w:val="0FDD068A"/>
    <w:rsid w:val="0FE20680"/>
    <w:rsid w:val="0FE42502"/>
    <w:rsid w:val="0FF2353C"/>
    <w:rsid w:val="10366258"/>
    <w:rsid w:val="10533972"/>
    <w:rsid w:val="107408FA"/>
    <w:rsid w:val="10871698"/>
    <w:rsid w:val="108D5328"/>
    <w:rsid w:val="10A34A02"/>
    <w:rsid w:val="10BC3591"/>
    <w:rsid w:val="10BE4AFC"/>
    <w:rsid w:val="10BF4AC4"/>
    <w:rsid w:val="10C71E23"/>
    <w:rsid w:val="10E60340"/>
    <w:rsid w:val="10F62C44"/>
    <w:rsid w:val="10F70157"/>
    <w:rsid w:val="11026414"/>
    <w:rsid w:val="11040411"/>
    <w:rsid w:val="11097885"/>
    <w:rsid w:val="11196266"/>
    <w:rsid w:val="112C3F71"/>
    <w:rsid w:val="113863E8"/>
    <w:rsid w:val="11423D95"/>
    <w:rsid w:val="11440F71"/>
    <w:rsid w:val="11625C09"/>
    <w:rsid w:val="11686CB0"/>
    <w:rsid w:val="1194672F"/>
    <w:rsid w:val="11AE5A5C"/>
    <w:rsid w:val="11B22024"/>
    <w:rsid w:val="11B27EC9"/>
    <w:rsid w:val="11E2074A"/>
    <w:rsid w:val="11E410CE"/>
    <w:rsid w:val="11EB0E21"/>
    <w:rsid w:val="12194051"/>
    <w:rsid w:val="12441018"/>
    <w:rsid w:val="12636497"/>
    <w:rsid w:val="12687E73"/>
    <w:rsid w:val="12802962"/>
    <w:rsid w:val="12837C26"/>
    <w:rsid w:val="1288628B"/>
    <w:rsid w:val="128F4B3E"/>
    <w:rsid w:val="12931771"/>
    <w:rsid w:val="1297299C"/>
    <w:rsid w:val="129C1085"/>
    <w:rsid w:val="12A24466"/>
    <w:rsid w:val="12A72396"/>
    <w:rsid w:val="12AB57C6"/>
    <w:rsid w:val="12B916D9"/>
    <w:rsid w:val="12C62D16"/>
    <w:rsid w:val="12C66E1B"/>
    <w:rsid w:val="12E0108A"/>
    <w:rsid w:val="12E5382D"/>
    <w:rsid w:val="12F72695"/>
    <w:rsid w:val="130C1DB4"/>
    <w:rsid w:val="131319CC"/>
    <w:rsid w:val="132E72DF"/>
    <w:rsid w:val="13427DB4"/>
    <w:rsid w:val="13435AC3"/>
    <w:rsid w:val="13456171"/>
    <w:rsid w:val="137D3F12"/>
    <w:rsid w:val="1381103D"/>
    <w:rsid w:val="13813A05"/>
    <w:rsid w:val="13974ECE"/>
    <w:rsid w:val="13A0181A"/>
    <w:rsid w:val="13A5784A"/>
    <w:rsid w:val="13BA1D03"/>
    <w:rsid w:val="13C52B29"/>
    <w:rsid w:val="13DF4459"/>
    <w:rsid w:val="13FE4229"/>
    <w:rsid w:val="14090F70"/>
    <w:rsid w:val="140A6FFA"/>
    <w:rsid w:val="14192869"/>
    <w:rsid w:val="14215C1B"/>
    <w:rsid w:val="142E6F39"/>
    <w:rsid w:val="143A24B3"/>
    <w:rsid w:val="14404038"/>
    <w:rsid w:val="14442427"/>
    <w:rsid w:val="1450503A"/>
    <w:rsid w:val="146107D5"/>
    <w:rsid w:val="146D0D6E"/>
    <w:rsid w:val="148467C3"/>
    <w:rsid w:val="14C00317"/>
    <w:rsid w:val="14D07C41"/>
    <w:rsid w:val="14D110EB"/>
    <w:rsid w:val="14E94C0C"/>
    <w:rsid w:val="14EA7F1C"/>
    <w:rsid w:val="14ED2ACB"/>
    <w:rsid w:val="14F345D7"/>
    <w:rsid w:val="14F372D7"/>
    <w:rsid w:val="14F80648"/>
    <w:rsid w:val="1506296A"/>
    <w:rsid w:val="151B3FA6"/>
    <w:rsid w:val="15206496"/>
    <w:rsid w:val="152278DB"/>
    <w:rsid w:val="15293666"/>
    <w:rsid w:val="154E568E"/>
    <w:rsid w:val="15612E6D"/>
    <w:rsid w:val="157647B4"/>
    <w:rsid w:val="157E0E4B"/>
    <w:rsid w:val="15816A00"/>
    <w:rsid w:val="158F0C46"/>
    <w:rsid w:val="15BD216B"/>
    <w:rsid w:val="15C70A44"/>
    <w:rsid w:val="15E17FEB"/>
    <w:rsid w:val="15FA64EA"/>
    <w:rsid w:val="16070E41"/>
    <w:rsid w:val="160A4B97"/>
    <w:rsid w:val="161E1E16"/>
    <w:rsid w:val="16357A0B"/>
    <w:rsid w:val="16446C59"/>
    <w:rsid w:val="164C117E"/>
    <w:rsid w:val="16605739"/>
    <w:rsid w:val="1688735E"/>
    <w:rsid w:val="1697633D"/>
    <w:rsid w:val="16B85F78"/>
    <w:rsid w:val="16C53D60"/>
    <w:rsid w:val="16CB2E16"/>
    <w:rsid w:val="16EE2F79"/>
    <w:rsid w:val="16F4105E"/>
    <w:rsid w:val="17090F66"/>
    <w:rsid w:val="17102234"/>
    <w:rsid w:val="171505C0"/>
    <w:rsid w:val="17162CA4"/>
    <w:rsid w:val="171921EC"/>
    <w:rsid w:val="173338BA"/>
    <w:rsid w:val="173510B8"/>
    <w:rsid w:val="17443DB0"/>
    <w:rsid w:val="1750478E"/>
    <w:rsid w:val="175301E9"/>
    <w:rsid w:val="17625B4B"/>
    <w:rsid w:val="17646E49"/>
    <w:rsid w:val="176C1469"/>
    <w:rsid w:val="17892EE2"/>
    <w:rsid w:val="17AE1FA3"/>
    <w:rsid w:val="17BC0CF5"/>
    <w:rsid w:val="17BE36CE"/>
    <w:rsid w:val="17DE12E7"/>
    <w:rsid w:val="17EE3867"/>
    <w:rsid w:val="17F20DEB"/>
    <w:rsid w:val="17F6732D"/>
    <w:rsid w:val="18116E71"/>
    <w:rsid w:val="181C111E"/>
    <w:rsid w:val="18275A8E"/>
    <w:rsid w:val="183B5375"/>
    <w:rsid w:val="18513CDE"/>
    <w:rsid w:val="18527BFC"/>
    <w:rsid w:val="1855203D"/>
    <w:rsid w:val="185F4462"/>
    <w:rsid w:val="18825D67"/>
    <w:rsid w:val="18836302"/>
    <w:rsid w:val="18865395"/>
    <w:rsid w:val="18874B24"/>
    <w:rsid w:val="188A78FE"/>
    <w:rsid w:val="18900317"/>
    <w:rsid w:val="18BA0CCF"/>
    <w:rsid w:val="18CB7939"/>
    <w:rsid w:val="18CE7630"/>
    <w:rsid w:val="18E35026"/>
    <w:rsid w:val="18E51E11"/>
    <w:rsid w:val="18E84F59"/>
    <w:rsid w:val="18FA4C52"/>
    <w:rsid w:val="190F021E"/>
    <w:rsid w:val="191275CB"/>
    <w:rsid w:val="19177932"/>
    <w:rsid w:val="191D31E8"/>
    <w:rsid w:val="192D1987"/>
    <w:rsid w:val="192D2635"/>
    <w:rsid w:val="19383276"/>
    <w:rsid w:val="1943640C"/>
    <w:rsid w:val="194B5299"/>
    <w:rsid w:val="194C6169"/>
    <w:rsid w:val="196977F2"/>
    <w:rsid w:val="196C4F56"/>
    <w:rsid w:val="197B498D"/>
    <w:rsid w:val="199C65D8"/>
    <w:rsid w:val="19A93FB3"/>
    <w:rsid w:val="19AD6C6F"/>
    <w:rsid w:val="19B6156E"/>
    <w:rsid w:val="19C169F0"/>
    <w:rsid w:val="19E1220D"/>
    <w:rsid w:val="19E768A4"/>
    <w:rsid w:val="1A053724"/>
    <w:rsid w:val="1A0A2802"/>
    <w:rsid w:val="1A20007A"/>
    <w:rsid w:val="1A2127C9"/>
    <w:rsid w:val="1A3441CE"/>
    <w:rsid w:val="1A3A0D62"/>
    <w:rsid w:val="1A422589"/>
    <w:rsid w:val="1A435612"/>
    <w:rsid w:val="1A4C6DBB"/>
    <w:rsid w:val="1A4F2F04"/>
    <w:rsid w:val="1A5C3EFC"/>
    <w:rsid w:val="1A655C5C"/>
    <w:rsid w:val="1A74734D"/>
    <w:rsid w:val="1A80467A"/>
    <w:rsid w:val="1A8E2FFB"/>
    <w:rsid w:val="1A9A6CA4"/>
    <w:rsid w:val="1AA014F2"/>
    <w:rsid w:val="1AAE69FD"/>
    <w:rsid w:val="1ADC68EE"/>
    <w:rsid w:val="1AE72B08"/>
    <w:rsid w:val="1AFF2903"/>
    <w:rsid w:val="1B060011"/>
    <w:rsid w:val="1B1B4F5A"/>
    <w:rsid w:val="1B503750"/>
    <w:rsid w:val="1B50707D"/>
    <w:rsid w:val="1B525722"/>
    <w:rsid w:val="1B730FBA"/>
    <w:rsid w:val="1B781C93"/>
    <w:rsid w:val="1B87230D"/>
    <w:rsid w:val="1BBB35A3"/>
    <w:rsid w:val="1BBD281B"/>
    <w:rsid w:val="1BE0539F"/>
    <w:rsid w:val="1BEA36C9"/>
    <w:rsid w:val="1C152E24"/>
    <w:rsid w:val="1C1B7095"/>
    <w:rsid w:val="1C2D5F08"/>
    <w:rsid w:val="1C330BE1"/>
    <w:rsid w:val="1C331FB5"/>
    <w:rsid w:val="1C372579"/>
    <w:rsid w:val="1C383C46"/>
    <w:rsid w:val="1C3C61BF"/>
    <w:rsid w:val="1C4673D1"/>
    <w:rsid w:val="1C557A46"/>
    <w:rsid w:val="1C632A91"/>
    <w:rsid w:val="1C745FAB"/>
    <w:rsid w:val="1C817A29"/>
    <w:rsid w:val="1C865987"/>
    <w:rsid w:val="1CBD2F9B"/>
    <w:rsid w:val="1CC542FF"/>
    <w:rsid w:val="1CCC2A0D"/>
    <w:rsid w:val="1CCD1B66"/>
    <w:rsid w:val="1CDC25B0"/>
    <w:rsid w:val="1CF562EB"/>
    <w:rsid w:val="1D04432C"/>
    <w:rsid w:val="1D0F6716"/>
    <w:rsid w:val="1D172126"/>
    <w:rsid w:val="1D3A4269"/>
    <w:rsid w:val="1D58544F"/>
    <w:rsid w:val="1D61602F"/>
    <w:rsid w:val="1D7157E9"/>
    <w:rsid w:val="1D9474D1"/>
    <w:rsid w:val="1D9E0213"/>
    <w:rsid w:val="1DA60DBD"/>
    <w:rsid w:val="1DA975B6"/>
    <w:rsid w:val="1DB45E8F"/>
    <w:rsid w:val="1DD161C7"/>
    <w:rsid w:val="1DDF4275"/>
    <w:rsid w:val="1DFC4345"/>
    <w:rsid w:val="1E290DC9"/>
    <w:rsid w:val="1E2C5F17"/>
    <w:rsid w:val="1E4F6E0B"/>
    <w:rsid w:val="1E5A2FDA"/>
    <w:rsid w:val="1E5C4B51"/>
    <w:rsid w:val="1E6964CA"/>
    <w:rsid w:val="1E6A399F"/>
    <w:rsid w:val="1E7237CC"/>
    <w:rsid w:val="1E80551E"/>
    <w:rsid w:val="1E857EA3"/>
    <w:rsid w:val="1E867E3E"/>
    <w:rsid w:val="1EA74D18"/>
    <w:rsid w:val="1EAA4AFF"/>
    <w:rsid w:val="1EB06311"/>
    <w:rsid w:val="1EC60C39"/>
    <w:rsid w:val="1ED01E7C"/>
    <w:rsid w:val="1ED11AC5"/>
    <w:rsid w:val="1ED3701A"/>
    <w:rsid w:val="1ED400B8"/>
    <w:rsid w:val="1ED40BEC"/>
    <w:rsid w:val="1EE12E22"/>
    <w:rsid w:val="1EF601FB"/>
    <w:rsid w:val="1F097C64"/>
    <w:rsid w:val="1F1B7BE1"/>
    <w:rsid w:val="1F292DC2"/>
    <w:rsid w:val="1F2E69D8"/>
    <w:rsid w:val="1F554D19"/>
    <w:rsid w:val="1F6223AD"/>
    <w:rsid w:val="1FA37E2C"/>
    <w:rsid w:val="1FD3721C"/>
    <w:rsid w:val="1FDA5EC4"/>
    <w:rsid w:val="1FEA44CB"/>
    <w:rsid w:val="1FF752B6"/>
    <w:rsid w:val="1FFB7F79"/>
    <w:rsid w:val="1FFD1DA0"/>
    <w:rsid w:val="202A6150"/>
    <w:rsid w:val="202B1E56"/>
    <w:rsid w:val="203B5D40"/>
    <w:rsid w:val="20520BA1"/>
    <w:rsid w:val="20525340"/>
    <w:rsid w:val="20731008"/>
    <w:rsid w:val="20BD4F1E"/>
    <w:rsid w:val="20DD65CC"/>
    <w:rsid w:val="20EC3370"/>
    <w:rsid w:val="20F81C87"/>
    <w:rsid w:val="210C37AF"/>
    <w:rsid w:val="212479FC"/>
    <w:rsid w:val="2125239E"/>
    <w:rsid w:val="213071C1"/>
    <w:rsid w:val="213345E1"/>
    <w:rsid w:val="214D44F3"/>
    <w:rsid w:val="217E72AA"/>
    <w:rsid w:val="219C2D85"/>
    <w:rsid w:val="21A470C7"/>
    <w:rsid w:val="21A5220F"/>
    <w:rsid w:val="21A76E86"/>
    <w:rsid w:val="21A9409D"/>
    <w:rsid w:val="21C93E43"/>
    <w:rsid w:val="21D9248D"/>
    <w:rsid w:val="21ED33E6"/>
    <w:rsid w:val="21FB7029"/>
    <w:rsid w:val="220C2809"/>
    <w:rsid w:val="22151983"/>
    <w:rsid w:val="221F065E"/>
    <w:rsid w:val="2238284E"/>
    <w:rsid w:val="224D5266"/>
    <w:rsid w:val="2260324B"/>
    <w:rsid w:val="22631FB1"/>
    <w:rsid w:val="226B006C"/>
    <w:rsid w:val="227C2CCE"/>
    <w:rsid w:val="22813D29"/>
    <w:rsid w:val="228C7A05"/>
    <w:rsid w:val="22972603"/>
    <w:rsid w:val="22AB2F38"/>
    <w:rsid w:val="22AE02AF"/>
    <w:rsid w:val="22BB79DA"/>
    <w:rsid w:val="22C30BD7"/>
    <w:rsid w:val="22D06515"/>
    <w:rsid w:val="22D5669C"/>
    <w:rsid w:val="22DD7278"/>
    <w:rsid w:val="22EB2228"/>
    <w:rsid w:val="23371C43"/>
    <w:rsid w:val="233D6F48"/>
    <w:rsid w:val="234D186E"/>
    <w:rsid w:val="235360D7"/>
    <w:rsid w:val="235D306F"/>
    <w:rsid w:val="2362550E"/>
    <w:rsid w:val="2374115A"/>
    <w:rsid w:val="23865F50"/>
    <w:rsid w:val="238E2AF8"/>
    <w:rsid w:val="23B221C1"/>
    <w:rsid w:val="23B501F5"/>
    <w:rsid w:val="23B77F19"/>
    <w:rsid w:val="23B94AAA"/>
    <w:rsid w:val="23BD6FE3"/>
    <w:rsid w:val="23CB1C0B"/>
    <w:rsid w:val="23E87193"/>
    <w:rsid w:val="240406AE"/>
    <w:rsid w:val="24060E09"/>
    <w:rsid w:val="240E33FD"/>
    <w:rsid w:val="241035B6"/>
    <w:rsid w:val="24173B5E"/>
    <w:rsid w:val="242D1523"/>
    <w:rsid w:val="24350B84"/>
    <w:rsid w:val="243F3724"/>
    <w:rsid w:val="24416D82"/>
    <w:rsid w:val="245840A6"/>
    <w:rsid w:val="24831C33"/>
    <w:rsid w:val="248C32DF"/>
    <w:rsid w:val="248D64FB"/>
    <w:rsid w:val="249C21F4"/>
    <w:rsid w:val="24C061DB"/>
    <w:rsid w:val="24C063A4"/>
    <w:rsid w:val="24C40077"/>
    <w:rsid w:val="24F03545"/>
    <w:rsid w:val="25064086"/>
    <w:rsid w:val="2508510A"/>
    <w:rsid w:val="250F557F"/>
    <w:rsid w:val="25203CCD"/>
    <w:rsid w:val="252D413F"/>
    <w:rsid w:val="252E255C"/>
    <w:rsid w:val="2536380C"/>
    <w:rsid w:val="25430663"/>
    <w:rsid w:val="256154CC"/>
    <w:rsid w:val="25665B84"/>
    <w:rsid w:val="25693605"/>
    <w:rsid w:val="256B38EE"/>
    <w:rsid w:val="256C2323"/>
    <w:rsid w:val="257F78F7"/>
    <w:rsid w:val="259454BD"/>
    <w:rsid w:val="25A02751"/>
    <w:rsid w:val="25A51CCF"/>
    <w:rsid w:val="25B52913"/>
    <w:rsid w:val="25C3506D"/>
    <w:rsid w:val="25DD6823"/>
    <w:rsid w:val="25E505BC"/>
    <w:rsid w:val="25E649CE"/>
    <w:rsid w:val="25F57456"/>
    <w:rsid w:val="25F609E6"/>
    <w:rsid w:val="260A4725"/>
    <w:rsid w:val="260B64D3"/>
    <w:rsid w:val="26380130"/>
    <w:rsid w:val="26452162"/>
    <w:rsid w:val="265570F7"/>
    <w:rsid w:val="265F7849"/>
    <w:rsid w:val="2664440E"/>
    <w:rsid w:val="266961B1"/>
    <w:rsid w:val="26792478"/>
    <w:rsid w:val="269C5F46"/>
    <w:rsid w:val="26AA3247"/>
    <w:rsid w:val="26AD7B8E"/>
    <w:rsid w:val="26BF7B51"/>
    <w:rsid w:val="26C6302D"/>
    <w:rsid w:val="26CE14DA"/>
    <w:rsid w:val="26EB5B51"/>
    <w:rsid w:val="26EE5A36"/>
    <w:rsid w:val="26EF4DE2"/>
    <w:rsid w:val="26F50BDB"/>
    <w:rsid w:val="26FE4E7F"/>
    <w:rsid w:val="270513CC"/>
    <w:rsid w:val="272A5FBD"/>
    <w:rsid w:val="272C4EF1"/>
    <w:rsid w:val="272E10E9"/>
    <w:rsid w:val="27430FA2"/>
    <w:rsid w:val="27513170"/>
    <w:rsid w:val="2759523E"/>
    <w:rsid w:val="275B0BB9"/>
    <w:rsid w:val="27775B13"/>
    <w:rsid w:val="27870A9C"/>
    <w:rsid w:val="278C6260"/>
    <w:rsid w:val="278D0C17"/>
    <w:rsid w:val="27925D43"/>
    <w:rsid w:val="27AB7A4E"/>
    <w:rsid w:val="27AF2CA0"/>
    <w:rsid w:val="27B76F7E"/>
    <w:rsid w:val="27C90A53"/>
    <w:rsid w:val="27CE17BE"/>
    <w:rsid w:val="2801667A"/>
    <w:rsid w:val="2802590C"/>
    <w:rsid w:val="280E56A9"/>
    <w:rsid w:val="28172BDD"/>
    <w:rsid w:val="2832037E"/>
    <w:rsid w:val="2849353B"/>
    <w:rsid w:val="285B02BE"/>
    <w:rsid w:val="28612FE4"/>
    <w:rsid w:val="28811AC2"/>
    <w:rsid w:val="28941480"/>
    <w:rsid w:val="289C575D"/>
    <w:rsid w:val="28A21EE1"/>
    <w:rsid w:val="28A4544E"/>
    <w:rsid w:val="28A50596"/>
    <w:rsid w:val="28A86B5F"/>
    <w:rsid w:val="28B135BA"/>
    <w:rsid w:val="28CB4833"/>
    <w:rsid w:val="28E97F29"/>
    <w:rsid w:val="29253FFF"/>
    <w:rsid w:val="292672E2"/>
    <w:rsid w:val="292809E6"/>
    <w:rsid w:val="2938145D"/>
    <w:rsid w:val="29422464"/>
    <w:rsid w:val="294301B4"/>
    <w:rsid w:val="29481585"/>
    <w:rsid w:val="294A6AD1"/>
    <w:rsid w:val="294F363A"/>
    <w:rsid w:val="29843C2C"/>
    <w:rsid w:val="299B3C02"/>
    <w:rsid w:val="29AA0B85"/>
    <w:rsid w:val="29AE18A7"/>
    <w:rsid w:val="29B01376"/>
    <w:rsid w:val="29B05C8A"/>
    <w:rsid w:val="29CB6F7F"/>
    <w:rsid w:val="29CC694D"/>
    <w:rsid w:val="29D33A58"/>
    <w:rsid w:val="29E90A73"/>
    <w:rsid w:val="29EF290B"/>
    <w:rsid w:val="2A004A26"/>
    <w:rsid w:val="2A2361E0"/>
    <w:rsid w:val="2A377938"/>
    <w:rsid w:val="2A39304D"/>
    <w:rsid w:val="2A3A1778"/>
    <w:rsid w:val="2A5A1271"/>
    <w:rsid w:val="2A5B5A23"/>
    <w:rsid w:val="2AA00955"/>
    <w:rsid w:val="2ACD779E"/>
    <w:rsid w:val="2AD61463"/>
    <w:rsid w:val="2ADE6251"/>
    <w:rsid w:val="2B01663B"/>
    <w:rsid w:val="2B0330EB"/>
    <w:rsid w:val="2B0D2B5D"/>
    <w:rsid w:val="2B293540"/>
    <w:rsid w:val="2B3F0DEA"/>
    <w:rsid w:val="2B4F0E68"/>
    <w:rsid w:val="2B5330CD"/>
    <w:rsid w:val="2B716D0A"/>
    <w:rsid w:val="2B8E79ED"/>
    <w:rsid w:val="2B9745EB"/>
    <w:rsid w:val="2B9F34D7"/>
    <w:rsid w:val="2BF043F9"/>
    <w:rsid w:val="2BF84B95"/>
    <w:rsid w:val="2BFA3C7B"/>
    <w:rsid w:val="2C2A18BB"/>
    <w:rsid w:val="2C2B420A"/>
    <w:rsid w:val="2C5177DB"/>
    <w:rsid w:val="2C5746C9"/>
    <w:rsid w:val="2C6A4DE8"/>
    <w:rsid w:val="2C786E76"/>
    <w:rsid w:val="2C87159A"/>
    <w:rsid w:val="2C987202"/>
    <w:rsid w:val="2C9A5B1B"/>
    <w:rsid w:val="2C9B7A2E"/>
    <w:rsid w:val="2C9F6F49"/>
    <w:rsid w:val="2CA510FE"/>
    <w:rsid w:val="2CBA6142"/>
    <w:rsid w:val="2CC01447"/>
    <w:rsid w:val="2CC44802"/>
    <w:rsid w:val="2CD836F5"/>
    <w:rsid w:val="2CD94046"/>
    <w:rsid w:val="2CDE08B9"/>
    <w:rsid w:val="2CF76A56"/>
    <w:rsid w:val="2CFD1BFC"/>
    <w:rsid w:val="2D0D31CA"/>
    <w:rsid w:val="2D1813B0"/>
    <w:rsid w:val="2D2D7366"/>
    <w:rsid w:val="2D5D7B79"/>
    <w:rsid w:val="2D637222"/>
    <w:rsid w:val="2D7B4BF1"/>
    <w:rsid w:val="2D9F24DA"/>
    <w:rsid w:val="2DA51213"/>
    <w:rsid w:val="2DBC364F"/>
    <w:rsid w:val="2DBE4625"/>
    <w:rsid w:val="2DC055B8"/>
    <w:rsid w:val="2DC113FE"/>
    <w:rsid w:val="2DD15DA4"/>
    <w:rsid w:val="2E2D1F06"/>
    <w:rsid w:val="2E3721C2"/>
    <w:rsid w:val="2E407B36"/>
    <w:rsid w:val="2E487979"/>
    <w:rsid w:val="2E506092"/>
    <w:rsid w:val="2E626225"/>
    <w:rsid w:val="2E631B17"/>
    <w:rsid w:val="2E6C4E49"/>
    <w:rsid w:val="2E757732"/>
    <w:rsid w:val="2E7B0F51"/>
    <w:rsid w:val="2E7E6BE3"/>
    <w:rsid w:val="2E8C602C"/>
    <w:rsid w:val="2E8F5A76"/>
    <w:rsid w:val="2E9E012E"/>
    <w:rsid w:val="2EB251DE"/>
    <w:rsid w:val="2EBB453E"/>
    <w:rsid w:val="2ED32D30"/>
    <w:rsid w:val="2F01235C"/>
    <w:rsid w:val="2F385590"/>
    <w:rsid w:val="2F385D91"/>
    <w:rsid w:val="2F3B117B"/>
    <w:rsid w:val="2F442969"/>
    <w:rsid w:val="2F55525A"/>
    <w:rsid w:val="2F5F4D24"/>
    <w:rsid w:val="2F726093"/>
    <w:rsid w:val="2F783A2A"/>
    <w:rsid w:val="2F7E20B0"/>
    <w:rsid w:val="2F8F7D10"/>
    <w:rsid w:val="2F906FF8"/>
    <w:rsid w:val="2FA07EE4"/>
    <w:rsid w:val="2FE06533"/>
    <w:rsid w:val="2FF729FF"/>
    <w:rsid w:val="301069EF"/>
    <w:rsid w:val="3012492F"/>
    <w:rsid w:val="301B091F"/>
    <w:rsid w:val="30292A80"/>
    <w:rsid w:val="303C0946"/>
    <w:rsid w:val="30546F10"/>
    <w:rsid w:val="30607673"/>
    <w:rsid w:val="307125A3"/>
    <w:rsid w:val="30804691"/>
    <w:rsid w:val="30A16DC3"/>
    <w:rsid w:val="30B43F6C"/>
    <w:rsid w:val="30CC528D"/>
    <w:rsid w:val="30CD4E6D"/>
    <w:rsid w:val="30DC11B0"/>
    <w:rsid w:val="30E66B9A"/>
    <w:rsid w:val="30E82D1B"/>
    <w:rsid w:val="30E952C1"/>
    <w:rsid w:val="30EE5C9D"/>
    <w:rsid w:val="30F300DB"/>
    <w:rsid w:val="310C74DD"/>
    <w:rsid w:val="3133496E"/>
    <w:rsid w:val="313703B3"/>
    <w:rsid w:val="31377547"/>
    <w:rsid w:val="313C4765"/>
    <w:rsid w:val="313E0380"/>
    <w:rsid w:val="31536540"/>
    <w:rsid w:val="3157169C"/>
    <w:rsid w:val="316F12FA"/>
    <w:rsid w:val="317F1F84"/>
    <w:rsid w:val="317F52E7"/>
    <w:rsid w:val="319E21A8"/>
    <w:rsid w:val="31B448F8"/>
    <w:rsid w:val="31C4112D"/>
    <w:rsid w:val="31C613CE"/>
    <w:rsid w:val="31CF19CB"/>
    <w:rsid w:val="31D245A1"/>
    <w:rsid w:val="3210318C"/>
    <w:rsid w:val="32121212"/>
    <w:rsid w:val="3218445A"/>
    <w:rsid w:val="32246337"/>
    <w:rsid w:val="3228271D"/>
    <w:rsid w:val="323D6705"/>
    <w:rsid w:val="325739D9"/>
    <w:rsid w:val="32756B2E"/>
    <w:rsid w:val="32AB3E49"/>
    <w:rsid w:val="32B93E22"/>
    <w:rsid w:val="32DA195F"/>
    <w:rsid w:val="332330F3"/>
    <w:rsid w:val="332E0AFE"/>
    <w:rsid w:val="334E2B10"/>
    <w:rsid w:val="338D5193"/>
    <w:rsid w:val="33944C88"/>
    <w:rsid w:val="339A6860"/>
    <w:rsid w:val="33A3621B"/>
    <w:rsid w:val="33D23C1C"/>
    <w:rsid w:val="33D9318C"/>
    <w:rsid w:val="33E47652"/>
    <w:rsid w:val="33F84719"/>
    <w:rsid w:val="33FE6DB1"/>
    <w:rsid w:val="3403693D"/>
    <w:rsid w:val="343D19BC"/>
    <w:rsid w:val="34511E57"/>
    <w:rsid w:val="345B07DB"/>
    <w:rsid w:val="34602BF4"/>
    <w:rsid w:val="3461567F"/>
    <w:rsid w:val="346B13B4"/>
    <w:rsid w:val="34784159"/>
    <w:rsid w:val="34834764"/>
    <w:rsid w:val="34864294"/>
    <w:rsid w:val="348A089D"/>
    <w:rsid w:val="349419A1"/>
    <w:rsid w:val="34954270"/>
    <w:rsid w:val="34AF7F0F"/>
    <w:rsid w:val="34BF3CD1"/>
    <w:rsid w:val="34ED489E"/>
    <w:rsid w:val="34F75FCE"/>
    <w:rsid w:val="34FB56A9"/>
    <w:rsid w:val="34FF0821"/>
    <w:rsid w:val="350E66D5"/>
    <w:rsid w:val="35125D28"/>
    <w:rsid w:val="352552E3"/>
    <w:rsid w:val="35292E4E"/>
    <w:rsid w:val="352A6222"/>
    <w:rsid w:val="3552741C"/>
    <w:rsid w:val="35543CEB"/>
    <w:rsid w:val="355E0625"/>
    <w:rsid w:val="3575320F"/>
    <w:rsid w:val="35880003"/>
    <w:rsid w:val="358B37A9"/>
    <w:rsid w:val="359F0C3E"/>
    <w:rsid w:val="35B00755"/>
    <w:rsid w:val="35C672EF"/>
    <w:rsid w:val="35D37514"/>
    <w:rsid w:val="36031236"/>
    <w:rsid w:val="360432C6"/>
    <w:rsid w:val="361643BC"/>
    <w:rsid w:val="3618658E"/>
    <w:rsid w:val="3635517E"/>
    <w:rsid w:val="365D70AD"/>
    <w:rsid w:val="368708DF"/>
    <w:rsid w:val="368E4B68"/>
    <w:rsid w:val="36BB53A8"/>
    <w:rsid w:val="36BE5E23"/>
    <w:rsid w:val="36BF5033"/>
    <w:rsid w:val="36E30215"/>
    <w:rsid w:val="36FF448C"/>
    <w:rsid w:val="37046530"/>
    <w:rsid w:val="372C5176"/>
    <w:rsid w:val="37371245"/>
    <w:rsid w:val="374F1BF5"/>
    <w:rsid w:val="375607F8"/>
    <w:rsid w:val="375C07E0"/>
    <w:rsid w:val="378620B5"/>
    <w:rsid w:val="37896CF9"/>
    <w:rsid w:val="379301A5"/>
    <w:rsid w:val="37D5200F"/>
    <w:rsid w:val="37DB6D52"/>
    <w:rsid w:val="37E6048F"/>
    <w:rsid w:val="37EC3B69"/>
    <w:rsid w:val="37EF0D21"/>
    <w:rsid w:val="37F0245C"/>
    <w:rsid w:val="38097EDE"/>
    <w:rsid w:val="380C7A67"/>
    <w:rsid w:val="38351594"/>
    <w:rsid w:val="3837232C"/>
    <w:rsid w:val="383B7389"/>
    <w:rsid w:val="383C1711"/>
    <w:rsid w:val="38413AE0"/>
    <w:rsid w:val="386E6D96"/>
    <w:rsid w:val="387434A8"/>
    <w:rsid w:val="387C333D"/>
    <w:rsid w:val="387D0FB8"/>
    <w:rsid w:val="38A87967"/>
    <w:rsid w:val="38B14AD4"/>
    <w:rsid w:val="38BD3F1D"/>
    <w:rsid w:val="38BE4D8A"/>
    <w:rsid w:val="38D73CFB"/>
    <w:rsid w:val="38D96215"/>
    <w:rsid w:val="38DC3260"/>
    <w:rsid w:val="390E1E02"/>
    <w:rsid w:val="3915015C"/>
    <w:rsid w:val="392628AE"/>
    <w:rsid w:val="392751D2"/>
    <w:rsid w:val="39406108"/>
    <w:rsid w:val="39497683"/>
    <w:rsid w:val="39695EA8"/>
    <w:rsid w:val="397A53E5"/>
    <w:rsid w:val="398B6386"/>
    <w:rsid w:val="39A668D6"/>
    <w:rsid w:val="39BE3330"/>
    <w:rsid w:val="39C35DCF"/>
    <w:rsid w:val="39C728BC"/>
    <w:rsid w:val="39D57530"/>
    <w:rsid w:val="3A0674A4"/>
    <w:rsid w:val="3A0D43C8"/>
    <w:rsid w:val="3A28763D"/>
    <w:rsid w:val="3A40613F"/>
    <w:rsid w:val="3A475A72"/>
    <w:rsid w:val="3A4A0105"/>
    <w:rsid w:val="3A5272F0"/>
    <w:rsid w:val="3A5D320E"/>
    <w:rsid w:val="3A6E4CBE"/>
    <w:rsid w:val="3A734C3F"/>
    <w:rsid w:val="3A880C34"/>
    <w:rsid w:val="3A8B11DE"/>
    <w:rsid w:val="3AAC7568"/>
    <w:rsid w:val="3AB12744"/>
    <w:rsid w:val="3AF15D15"/>
    <w:rsid w:val="3AF71F37"/>
    <w:rsid w:val="3AFB7764"/>
    <w:rsid w:val="3AFE2B26"/>
    <w:rsid w:val="3AFF1AE7"/>
    <w:rsid w:val="3B0566D6"/>
    <w:rsid w:val="3B0D7B4F"/>
    <w:rsid w:val="3B1E39AD"/>
    <w:rsid w:val="3B1F1BAD"/>
    <w:rsid w:val="3B314084"/>
    <w:rsid w:val="3B400C2A"/>
    <w:rsid w:val="3B4902C5"/>
    <w:rsid w:val="3B491FFF"/>
    <w:rsid w:val="3B576456"/>
    <w:rsid w:val="3B5A5BE4"/>
    <w:rsid w:val="3B676B03"/>
    <w:rsid w:val="3B705648"/>
    <w:rsid w:val="3B853139"/>
    <w:rsid w:val="3B8B3101"/>
    <w:rsid w:val="3B99017C"/>
    <w:rsid w:val="3B9D0916"/>
    <w:rsid w:val="3B9E48BA"/>
    <w:rsid w:val="3BB05953"/>
    <w:rsid w:val="3BC34FD9"/>
    <w:rsid w:val="3BC56483"/>
    <w:rsid w:val="3BCB62E9"/>
    <w:rsid w:val="3BCF25C4"/>
    <w:rsid w:val="3BDB41B0"/>
    <w:rsid w:val="3BE12916"/>
    <w:rsid w:val="3BEC5070"/>
    <w:rsid w:val="3BF61A45"/>
    <w:rsid w:val="3BFC0ABB"/>
    <w:rsid w:val="3BFE1F4A"/>
    <w:rsid w:val="3C207D13"/>
    <w:rsid w:val="3C3B203F"/>
    <w:rsid w:val="3C3C316B"/>
    <w:rsid w:val="3C514A37"/>
    <w:rsid w:val="3C5C3D07"/>
    <w:rsid w:val="3C5E7F90"/>
    <w:rsid w:val="3C756E3E"/>
    <w:rsid w:val="3C7C153C"/>
    <w:rsid w:val="3C802B2B"/>
    <w:rsid w:val="3C8214A5"/>
    <w:rsid w:val="3C836BC3"/>
    <w:rsid w:val="3CA06481"/>
    <w:rsid w:val="3CA52204"/>
    <w:rsid w:val="3CAE6D48"/>
    <w:rsid w:val="3CE547C2"/>
    <w:rsid w:val="3CF9519B"/>
    <w:rsid w:val="3D0A7808"/>
    <w:rsid w:val="3D0E3359"/>
    <w:rsid w:val="3D1B69F5"/>
    <w:rsid w:val="3D265052"/>
    <w:rsid w:val="3D3B6738"/>
    <w:rsid w:val="3D42011F"/>
    <w:rsid w:val="3D6E3256"/>
    <w:rsid w:val="3D80309E"/>
    <w:rsid w:val="3D9C3270"/>
    <w:rsid w:val="3DCC4131"/>
    <w:rsid w:val="3DD07E50"/>
    <w:rsid w:val="3E0878BC"/>
    <w:rsid w:val="3E0C4F21"/>
    <w:rsid w:val="3E122E4D"/>
    <w:rsid w:val="3E136A36"/>
    <w:rsid w:val="3E160C8A"/>
    <w:rsid w:val="3E2312D7"/>
    <w:rsid w:val="3E387F22"/>
    <w:rsid w:val="3E40319B"/>
    <w:rsid w:val="3E570181"/>
    <w:rsid w:val="3E812F4E"/>
    <w:rsid w:val="3E836939"/>
    <w:rsid w:val="3E8454A0"/>
    <w:rsid w:val="3E9A677D"/>
    <w:rsid w:val="3EC0465A"/>
    <w:rsid w:val="3EC771AC"/>
    <w:rsid w:val="3ECB2DBD"/>
    <w:rsid w:val="3ECD05CA"/>
    <w:rsid w:val="3EDC3C7D"/>
    <w:rsid w:val="3EE4627D"/>
    <w:rsid w:val="3EFD11FA"/>
    <w:rsid w:val="3F0C53C6"/>
    <w:rsid w:val="3F1E6A7C"/>
    <w:rsid w:val="3F2102B1"/>
    <w:rsid w:val="3F210EC9"/>
    <w:rsid w:val="3F27793E"/>
    <w:rsid w:val="3F2B7A13"/>
    <w:rsid w:val="3F335F63"/>
    <w:rsid w:val="3F483382"/>
    <w:rsid w:val="3F571E72"/>
    <w:rsid w:val="3F596CF5"/>
    <w:rsid w:val="3F650911"/>
    <w:rsid w:val="3F7B67D8"/>
    <w:rsid w:val="3FA60E7C"/>
    <w:rsid w:val="3FB85096"/>
    <w:rsid w:val="3FC43688"/>
    <w:rsid w:val="3FC5258F"/>
    <w:rsid w:val="3FCE1901"/>
    <w:rsid w:val="3FF33B69"/>
    <w:rsid w:val="3FFC3900"/>
    <w:rsid w:val="4009429C"/>
    <w:rsid w:val="402970A9"/>
    <w:rsid w:val="404F6E14"/>
    <w:rsid w:val="405B2791"/>
    <w:rsid w:val="40606C2F"/>
    <w:rsid w:val="407B1A4D"/>
    <w:rsid w:val="408049E1"/>
    <w:rsid w:val="408137B6"/>
    <w:rsid w:val="408A2B7E"/>
    <w:rsid w:val="409D3C6E"/>
    <w:rsid w:val="40A64900"/>
    <w:rsid w:val="40AB1595"/>
    <w:rsid w:val="40AF007F"/>
    <w:rsid w:val="40BB76D4"/>
    <w:rsid w:val="40BF627F"/>
    <w:rsid w:val="40C81049"/>
    <w:rsid w:val="40CE0ED0"/>
    <w:rsid w:val="40E10A8C"/>
    <w:rsid w:val="40FC1CB5"/>
    <w:rsid w:val="410D6A4B"/>
    <w:rsid w:val="410F6A02"/>
    <w:rsid w:val="411141F8"/>
    <w:rsid w:val="41291E14"/>
    <w:rsid w:val="414413B8"/>
    <w:rsid w:val="41465FC8"/>
    <w:rsid w:val="414A7CB0"/>
    <w:rsid w:val="4156445A"/>
    <w:rsid w:val="416A10A3"/>
    <w:rsid w:val="417A5FF0"/>
    <w:rsid w:val="41826AE7"/>
    <w:rsid w:val="418402D9"/>
    <w:rsid w:val="418F7DB9"/>
    <w:rsid w:val="419B175C"/>
    <w:rsid w:val="41B67136"/>
    <w:rsid w:val="41D72072"/>
    <w:rsid w:val="41F528B8"/>
    <w:rsid w:val="41FA48BA"/>
    <w:rsid w:val="421D53C4"/>
    <w:rsid w:val="4228529E"/>
    <w:rsid w:val="422D25F9"/>
    <w:rsid w:val="42307F0D"/>
    <w:rsid w:val="423546AB"/>
    <w:rsid w:val="424D7A5D"/>
    <w:rsid w:val="42516D59"/>
    <w:rsid w:val="42625183"/>
    <w:rsid w:val="426B045B"/>
    <w:rsid w:val="42760EAB"/>
    <w:rsid w:val="42807E2C"/>
    <w:rsid w:val="42874D2A"/>
    <w:rsid w:val="428A21A6"/>
    <w:rsid w:val="428B390F"/>
    <w:rsid w:val="42966D5D"/>
    <w:rsid w:val="429D0D37"/>
    <w:rsid w:val="42AB1075"/>
    <w:rsid w:val="42B03B3D"/>
    <w:rsid w:val="42B23D5F"/>
    <w:rsid w:val="42D17CD5"/>
    <w:rsid w:val="42DB2D12"/>
    <w:rsid w:val="42DD389C"/>
    <w:rsid w:val="42DE2AAC"/>
    <w:rsid w:val="42F94AE0"/>
    <w:rsid w:val="43086A11"/>
    <w:rsid w:val="43087C4A"/>
    <w:rsid w:val="431471CA"/>
    <w:rsid w:val="432C0C29"/>
    <w:rsid w:val="433520F6"/>
    <w:rsid w:val="433C731A"/>
    <w:rsid w:val="43664B49"/>
    <w:rsid w:val="436D590E"/>
    <w:rsid w:val="43816903"/>
    <w:rsid w:val="43941D03"/>
    <w:rsid w:val="43A8691C"/>
    <w:rsid w:val="43B31BF9"/>
    <w:rsid w:val="43C50F67"/>
    <w:rsid w:val="43D33898"/>
    <w:rsid w:val="43D94BB8"/>
    <w:rsid w:val="43EA0F1F"/>
    <w:rsid w:val="43EE116D"/>
    <w:rsid w:val="43F65F5C"/>
    <w:rsid w:val="43FF315E"/>
    <w:rsid w:val="440B77FD"/>
    <w:rsid w:val="440D7164"/>
    <w:rsid w:val="441D50EC"/>
    <w:rsid w:val="4426056C"/>
    <w:rsid w:val="44330DA2"/>
    <w:rsid w:val="44337092"/>
    <w:rsid w:val="4436153A"/>
    <w:rsid w:val="44363141"/>
    <w:rsid w:val="443B4F0B"/>
    <w:rsid w:val="443F4C85"/>
    <w:rsid w:val="44454314"/>
    <w:rsid w:val="44515DC7"/>
    <w:rsid w:val="4454229E"/>
    <w:rsid w:val="445E05A4"/>
    <w:rsid w:val="44626645"/>
    <w:rsid w:val="44690EA9"/>
    <w:rsid w:val="449648D0"/>
    <w:rsid w:val="44986654"/>
    <w:rsid w:val="449B7DBF"/>
    <w:rsid w:val="44DC29EB"/>
    <w:rsid w:val="44DD1A31"/>
    <w:rsid w:val="44F73CE5"/>
    <w:rsid w:val="44F84650"/>
    <w:rsid w:val="44FD4940"/>
    <w:rsid w:val="452615A5"/>
    <w:rsid w:val="452911C3"/>
    <w:rsid w:val="453110FA"/>
    <w:rsid w:val="45380EAE"/>
    <w:rsid w:val="454C6201"/>
    <w:rsid w:val="454E0A80"/>
    <w:rsid w:val="45607318"/>
    <w:rsid w:val="456848E6"/>
    <w:rsid w:val="456B0E9A"/>
    <w:rsid w:val="457479F1"/>
    <w:rsid w:val="457A56BB"/>
    <w:rsid w:val="457F0835"/>
    <w:rsid w:val="45901F42"/>
    <w:rsid w:val="4594567B"/>
    <w:rsid w:val="45BD1FBC"/>
    <w:rsid w:val="45CB48F0"/>
    <w:rsid w:val="45CD3F04"/>
    <w:rsid w:val="45D40490"/>
    <w:rsid w:val="45D4449A"/>
    <w:rsid w:val="45D75901"/>
    <w:rsid w:val="45DC4C85"/>
    <w:rsid w:val="45DD1704"/>
    <w:rsid w:val="45DE6F05"/>
    <w:rsid w:val="45ED2C31"/>
    <w:rsid w:val="45F11042"/>
    <w:rsid w:val="45FD3B1C"/>
    <w:rsid w:val="460652C7"/>
    <w:rsid w:val="46091005"/>
    <w:rsid w:val="46383D12"/>
    <w:rsid w:val="466573DB"/>
    <w:rsid w:val="466B6068"/>
    <w:rsid w:val="4670684F"/>
    <w:rsid w:val="467F6055"/>
    <w:rsid w:val="46992809"/>
    <w:rsid w:val="46B74038"/>
    <w:rsid w:val="46DD5893"/>
    <w:rsid w:val="46E121E3"/>
    <w:rsid w:val="46E804A0"/>
    <w:rsid w:val="46F705B5"/>
    <w:rsid w:val="47182C2B"/>
    <w:rsid w:val="471C2E4A"/>
    <w:rsid w:val="471E4A10"/>
    <w:rsid w:val="47283607"/>
    <w:rsid w:val="47365880"/>
    <w:rsid w:val="474156B1"/>
    <w:rsid w:val="47470C00"/>
    <w:rsid w:val="47617BC5"/>
    <w:rsid w:val="47726B9D"/>
    <w:rsid w:val="47754A35"/>
    <w:rsid w:val="477570E2"/>
    <w:rsid w:val="477804F9"/>
    <w:rsid w:val="47975C19"/>
    <w:rsid w:val="47A54B82"/>
    <w:rsid w:val="47B34FC5"/>
    <w:rsid w:val="47B55A11"/>
    <w:rsid w:val="47C1116A"/>
    <w:rsid w:val="47DB0AEF"/>
    <w:rsid w:val="47ED3E2A"/>
    <w:rsid w:val="482468EA"/>
    <w:rsid w:val="48256827"/>
    <w:rsid w:val="48426317"/>
    <w:rsid w:val="48427ACE"/>
    <w:rsid w:val="4848607E"/>
    <w:rsid w:val="48504E40"/>
    <w:rsid w:val="486D3064"/>
    <w:rsid w:val="486E2084"/>
    <w:rsid w:val="489D1D0E"/>
    <w:rsid w:val="48A10C08"/>
    <w:rsid w:val="48AE76E2"/>
    <w:rsid w:val="48B7515A"/>
    <w:rsid w:val="48BB4EC6"/>
    <w:rsid w:val="48C267D2"/>
    <w:rsid w:val="48CD6A98"/>
    <w:rsid w:val="48DB2CE5"/>
    <w:rsid w:val="48DD1AEA"/>
    <w:rsid w:val="48ED73F7"/>
    <w:rsid w:val="494D34B4"/>
    <w:rsid w:val="49531DF8"/>
    <w:rsid w:val="496421BE"/>
    <w:rsid w:val="497854A4"/>
    <w:rsid w:val="499B4C71"/>
    <w:rsid w:val="499E5BE3"/>
    <w:rsid w:val="49B8210F"/>
    <w:rsid w:val="49BB234A"/>
    <w:rsid w:val="49C63487"/>
    <w:rsid w:val="49DD4B67"/>
    <w:rsid w:val="49E60E0F"/>
    <w:rsid w:val="49E65861"/>
    <w:rsid w:val="4A01680F"/>
    <w:rsid w:val="4A0270C9"/>
    <w:rsid w:val="4A047EDF"/>
    <w:rsid w:val="4A3E42B1"/>
    <w:rsid w:val="4A531EA6"/>
    <w:rsid w:val="4A540A2C"/>
    <w:rsid w:val="4A583F0B"/>
    <w:rsid w:val="4A5D08DF"/>
    <w:rsid w:val="4A7A41D7"/>
    <w:rsid w:val="4A807380"/>
    <w:rsid w:val="4A840EEF"/>
    <w:rsid w:val="4A8B1860"/>
    <w:rsid w:val="4A946414"/>
    <w:rsid w:val="4A955A6C"/>
    <w:rsid w:val="4A982852"/>
    <w:rsid w:val="4AAE2BCA"/>
    <w:rsid w:val="4ABD4214"/>
    <w:rsid w:val="4ACF06BE"/>
    <w:rsid w:val="4AFA208B"/>
    <w:rsid w:val="4B0A3310"/>
    <w:rsid w:val="4B20492F"/>
    <w:rsid w:val="4B3576CB"/>
    <w:rsid w:val="4B3D1E78"/>
    <w:rsid w:val="4B444FB2"/>
    <w:rsid w:val="4B595064"/>
    <w:rsid w:val="4B672180"/>
    <w:rsid w:val="4B6E1D26"/>
    <w:rsid w:val="4B807E8F"/>
    <w:rsid w:val="4B920889"/>
    <w:rsid w:val="4B996870"/>
    <w:rsid w:val="4BA46E08"/>
    <w:rsid w:val="4BC73B78"/>
    <w:rsid w:val="4BC77460"/>
    <w:rsid w:val="4BCF201E"/>
    <w:rsid w:val="4C0D46FC"/>
    <w:rsid w:val="4C4C4528"/>
    <w:rsid w:val="4C510A38"/>
    <w:rsid w:val="4C573346"/>
    <w:rsid w:val="4C6435A9"/>
    <w:rsid w:val="4C6F418B"/>
    <w:rsid w:val="4C82601B"/>
    <w:rsid w:val="4C8330E1"/>
    <w:rsid w:val="4C885559"/>
    <w:rsid w:val="4C8E77FD"/>
    <w:rsid w:val="4CA14226"/>
    <w:rsid w:val="4CAD6AA6"/>
    <w:rsid w:val="4CAF216E"/>
    <w:rsid w:val="4CB058CB"/>
    <w:rsid w:val="4CB620E8"/>
    <w:rsid w:val="4CB90C56"/>
    <w:rsid w:val="4CBD1C7E"/>
    <w:rsid w:val="4CD5793B"/>
    <w:rsid w:val="4CD80E01"/>
    <w:rsid w:val="4CDE02B9"/>
    <w:rsid w:val="4CFB5C1C"/>
    <w:rsid w:val="4D0F78F1"/>
    <w:rsid w:val="4D4D0E1D"/>
    <w:rsid w:val="4D4D4426"/>
    <w:rsid w:val="4D4E796F"/>
    <w:rsid w:val="4D4F6EEF"/>
    <w:rsid w:val="4D5D085A"/>
    <w:rsid w:val="4D807194"/>
    <w:rsid w:val="4D9438AB"/>
    <w:rsid w:val="4D995F1E"/>
    <w:rsid w:val="4DC75FAC"/>
    <w:rsid w:val="4DCD3B45"/>
    <w:rsid w:val="4DD32B18"/>
    <w:rsid w:val="4DD521DA"/>
    <w:rsid w:val="4DE407A5"/>
    <w:rsid w:val="4DEC558E"/>
    <w:rsid w:val="4DF22D5D"/>
    <w:rsid w:val="4E0E54C5"/>
    <w:rsid w:val="4E1227F0"/>
    <w:rsid w:val="4E2D7430"/>
    <w:rsid w:val="4E332B5E"/>
    <w:rsid w:val="4E487814"/>
    <w:rsid w:val="4E4F6905"/>
    <w:rsid w:val="4E8A7219"/>
    <w:rsid w:val="4E997E3B"/>
    <w:rsid w:val="4E9B5FEF"/>
    <w:rsid w:val="4ECE0CD5"/>
    <w:rsid w:val="4ED22A57"/>
    <w:rsid w:val="4ED92E23"/>
    <w:rsid w:val="4EE964BF"/>
    <w:rsid w:val="4F0B12EB"/>
    <w:rsid w:val="4F306048"/>
    <w:rsid w:val="4F313C6F"/>
    <w:rsid w:val="4F406235"/>
    <w:rsid w:val="4F416BC0"/>
    <w:rsid w:val="4F6A2B78"/>
    <w:rsid w:val="4F762AE3"/>
    <w:rsid w:val="4F8C33D2"/>
    <w:rsid w:val="4F9F3258"/>
    <w:rsid w:val="4F9F3566"/>
    <w:rsid w:val="4FAF0352"/>
    <w:rsid w:val="4FB3614F"/>
    <w:rsid w:val="4FB82BD0"/>
    <w:rsid w:val="4FBC4B75"/>
    <w:rsid w:val="4FFA0AF3"/>
    <w:rsid w:val="502B58CD"/>
    <w:rsid w:val="503324EC"/>
    <w:rsid w:val="50357D7D"/>
    <w:rsid w:val="503E4E84"/>
    <w:rsid w:val="50432740"/>
    <w:rsid w:val="504D48EB"/>
    <w:rsid w:val="506177CB"/>
    <w:rsid w:val="506D1CE6"/>
    <w:rsid w:val="50756606"/>
    <w:rsid w:val="507C3FF5"/>
    <w:rsid w:val="50950193"/>
    <w:rsid w:val="50B535BC"/>
    <w:rsid w:val="50B82E88"/>
    <w:rsid w:val="50C3182D"/>
    <w:rsid w:val="50C32A0E"/>
    <w:rsid w:val="50D05E44"/>
    <w:rsid w:val="50D530A4"/>
    <w:rsid w:val="50D7600E"/>
    <w:rsid w:val="50E5416E"/>
    <w:rsid w:val="511E7282"/>
    <w:rsid w:val="516548A9"/>
    <w:rsid w:val="51772D88"/>
    <w:rsid w:val="517C6CD3"/>
    <w:rsid w:val="5180691B"/>
    <w:rsid w:val="518220A6"/>
    <w:rsid w:val="519679D9"/>
    <w:rsid w:val="51995C67"/>
    <w:rsid w:val="51D53DE8"/>
    <w:rsid w:val="51E23E78"/>
    <w:rsid w:val="51E64A93"/>
    <w:rsid w:val="51E963CB"/>
    <w:rsid w:val="520170F5"/>
    <w:rsid w:val="52123177"/>
    <w:rsid w:val="521F4AC1"/>
    <w:rsid w:val="522B490F"/>
    <w:rsid w:val="522C4379"/>
    <w:rsid w:val="52315D30"/>
    <w:rsid w:val="524E2361"/>
    <w:rsid w:val="52985353"/>
    <w:rsid w:val="529F24A2"/>
    <w:rsid w:val="52AA7CFA"/>
    <w:rsid w:val="52B171E6"/>
    <w:rsid w:val="52DB122A"/>
    <w:rsid w:val="52E13D67"/>
    <w:rsid w:val="52E27A56"/>
    <w:rsid w:val="52E80195"/>
    <w:rsid w:val="52E82C9B"/>
    <w:rsid w:val="52E846A6"/>
    <w:rsid w:val="52F64BDB"/>
    <w:rsid w:val="531D3476"/>
    <w:rsid w:val="532129F8"/>
    <w:rsid w:val="533233B6"/>
    <w:rsid w:val="5333575C"/>
    <w:rsid w:val="53431BBB"/>
    <w:rsid w:val="5345258D"/>
    <w:rsid w:val="534E32E5"/>
    <w:rsid w:val="53501C8A"/>
    <w:rsid w:val="537C2D95"/>
    <w:rsid w:val="53921F79"/>
    <w:rsid w:val="53942A5B"/>
    <w:rsid w:val="539A0A2E"/>
    <w:rsid w:val="539B0D65"/>
    <w:rsid w:val="539C7BB1"/>
    <w:rsid w:val="53A254EF"/>
    <w:rsid w:val="53B74C02"/>
    <w:rsid w:val="53C63F53"/>
    <w:rsid w:val="53CA60F3"/>
    <w:rsid w:val="53E37A46"/>
    <w:rsid w:val="53E60B87"/>
    <w:rsid w:val="53E813CD"/>
    <w:rsid w:val="54147818"/>
    <w:rsid w:val="54284D48"/>
    <w:rsid w:val="542C0D25"/>
    <w:rsid w:val="543036B4"/>
    <w:rsid w:val="54507C6E"/>
    <w:rsid w:val="54523FAB"/>
    <w:rsid w:val="54606D4B"/>
    <w:rsid w:val="546F563B"/>
    <w:rsid w:val="54737B83"/>
    <w:rsid w:val="54767A69"/>
    <w:rsid w:val="54771DDB"/>
    <w:rsid w:val="54800851"/>
    <w:rsid w:val="548D1DAF"/>
    <w:rsid w:val="549239F0"/>
    <w:rsid w:val="549E6667"/>
    <w:rsid w:val="54B83081"/>
    <w:rsid w:val="54C811C0"/>
    <w:rsid w:val="54CD7213"/>
    <w:rsid w:val="54D27679"/>
    <w:rsid w:val="54FA20B3"/>
    <w:rsid w:val="552D41F8"/>
    <w:rsid w:val="5530235E"/>
    <w:rsid w:val="553A11F2"/>
    <w:rsid w:val="554A1014"/>
    <w:rsid w:val="554D547D"/>
    <w:rsid w:val="555812FC"/>
    <w:rsid w:val="558504DB"/>
    <w:rsid w:val="5599207C"/>
    <w:rsid w:val="55BA23F6"/>
    <w:rsid w:val="55C17A4A"/>
    <w:rsid w:val="55C776A4"/>
    <w:rsid w:val="55C86FE2"/>
    <w:rsid w:val="55D93944"/>
    <w:rsid w:val="55E0012B"/>
    <w:rsid w:val="55E22738"/>
    <w:rsid w:val="55E53654"/>
    <w:rsid w:val="55F16398"/>
    <w:rsid w:val="55F66200"/>
    <w:rsid w:val="55FA5978"/>
    <w:rsid w:val="560471D1"/>
    <w:rsid w:val="5620288D"/>
    <w:rsid w:val="56262D0A"/>
    <w:rsid w:val="562F094C"/>
    <w:rsid w:val="56303DF0"/>
    <w:rsid w:val="563C241F"/>
    <w:rsid w:val="5645459C"/>
    <w:rsid w:val="564845D6"/>
    <w:rsid w:val="56497A16"/>
    <w:rsid w:val="564B1CD3"/>
    <w:rsid w:val="56523972"/>
    <w:rsid w:val="56526786"/>
    <w:rsid w:val="568D4159"/>
    <w:rsid w:val="569017FC"/>
    <w:rsid w:val="56AA326E"/>
    <w:rsid w:val="56B557FE"/>
    <w:rsid w:val="56B86A4A"/>
    <w:rsid w:val="56C90586"/>
    <w:rsid w:val="56D20E62"/>
    <w:rsid w:val="56E53FAA"/>
    <w:rsid w:val="56F15FB4"/>
    <w:rsid w:val="57032FAA"/>
    <w:rsid w:val="57083A80"/>
    <w:rsid w:val="570F4518"/>
    <w:rsid w:val="57101FBF"/>
    <w:rsid w:val="57142A19"/>
    <w:rsid w:val="57192727"/>
    <w:rsid w:val="572C1D0F"/>
    <w:rsid w:val="572E2ABD"/>
    <w:rsid w:val="57393751"/>
    <w:rsid w:val="57511B9A"/>
    <w:rsid w:val="57537352"/>
    <w:rsid w:val="575B1004"/>
    <w:rsid w:val="5771718C"/>
    <w:rsid w:val="577D318D"/>
    <w:rsid w:val="5791578D"/>
    <w:rsid w:val="57986AAA"/>
    <w:rsid w:val="57A273D9"/>
    <w:rsid w:val="57AF5A40"/>
    <w:rsid w:val="57C97408"/>
    <w:rsid w:val="57EC1C9C"/>
    <w:rsid w:val="58022941"/>
    <w:rsid w:val="580632C8"/>
    <w:rsid w:val="580A59C7"/>
    <w:rsid w:val="580C02FC"/>
    <w:rsid w:val="58277B25"/>
    <w:rsid w:val="5830410B"/>
    <w:rsid w:val="58310F67"/>
    <w:rsid w:val="583A1FAC"/>
    <w:rsid w:val="583E68FD"/>
    <w:rsid w:val="584557DB"/>
    <w:rsid w:val="5846711A"/>
    <w:rsid w:val="58553838"/>
    <w:rsid w:val="585A1073"/>
    <w:rsid w:val="585D5C86"/>
    <w:rsid w:val="587E5B83"/>
    <w:rsid w:val="588C01E0"/>
    <w:rsid w:val="589A6EED"/>
    <w:rsid w:val="58A54D70"/>
    <w:rsid w:val="58BE78AD"/>
    <w:rsid w:val="58CA70BC"/>
    <w:rsid w:val="58CF664E"/>
    <w:rsid w:val="58D161EE"/>
    <w:rsid w:val="58DC20DE"/>
    <w:rsid w:val="58E56323"/>
    <w:rsid w:val="58EC223F"/>
    <w:rsid w:val="58ED1D81"/>
    <w:rsid w:val="58ED6689"/>
    <w:rsid w:val="59031290"/>
    <w:rsid w:val="590F1BC4"/>
    <w:rsid w:val="5919022D"/>
    <w:rsid w:val="591D661A"/>
    <w:rsid w:val="592A6680"/>
    <w:rsid w:val="59402032"/>
    <w:rsid w:val="59464947"/>
    <w:rsid w:val="594A6B94"/>
    <w:rsid w:val="594D270F"/>
    <w:rsid w:val="595405FB"/>
    <w:rsid w:val="595C3120"/>
    <w:rsid w:val="59797E10"/>
    <w:rsid w:val="598007BD"/>
    <w:rsid w:val="59821BF3"/>
    <w:rsid w:val="59831117"/>
    <w:rsid w:val="599D1711"/>
    <w:rsid w:val="59A32903"/>
    <w:rsid w:val="59B25B64"/>
    <w:rsid w:val="59B65B0A"/>
    <w:rsid w:val="59DD38F5"/>
    <w:rsid w:val="59E72771"/>
    <w:rsid w:val="59EF4473"/>
    <w:rsid w:val="59FB19D7"/>
    <w:rsid w:val="59FC1DF4"/>
    <w:rsid w:val="5A0012B3"/>
    <w:rsid w:val="5A0170D0"/>
    <w:rsid w:val="5A207B2C"/>
    <w:rsid w:val="5A2D57D7"/>
    <w:rsid w:val="5A3C0B29"/>
    <w:rsid w:val="5A4D5D2C"/>
    <w:rsid w:val="5A556EDF"/>
    <w:rsid w:val="5A5D1EE9"/>
    <w:rsid w:val="5A646519"/>
    <w:rsid w:val="5A6E4321"/>
    <w:rsid w:val="5A6F07AD"/>
    <w:rsid w:val="5A743B23"/>
    <w:rsid w:val="5A786D03"/>
    <w:rsid w:val="5A8810C1"/>
    <w:rsid w:val="5A953CA8"/>
    <w:rsid w:val="5AA20354"/>
    <w:rsid w:val="5AA4013C"/>
    <w:rsid w:val="5AAA217B"/>
    <w:rsid w:val="5ADD173D"/>
    <w:rsid w:val="5B1D4B5D"/>
    <w:rsid w:val="5B245381"/>
    <w:rsid w:val="5B266B67"/>
    <w:rsid w:val="5BA004B1"/>
    <w:rsid w:val="5BA64A59"/>
    <w:rsid w:val="5BB42013"/>
    <w:rsid w:val="5BC71BFF"/>
    <w:rsid w:val="5BCE3661"/>
    <w:rsid w:val="5BDE4B2E"/>
    <w:rsid w:val="5BE6497C"/>
    <w:rsid w:val="5BF53D6D"/>
    <w:rsid w:val="5BF66452"/>
    <w:rsid w:val="5BFE2754"/>
    <w:rsid w:val="5C00251E"/>
    <w:rsid w:val="5C0C5517"/>
    <w:rsid w:val="5C243A94"/>
    <w:rsid w:val="5C362DC6"/>
    <w:rsid w:val="5C513933"/>
    <w:rsid w:val="5C603FDD"/>
    <w:rsid w:val="5C684A5F"/>
    <w:rsid w:val="5C6C2D78"/>
    <w:rsid w:val="5C7C22C9"/>
    <w:rsid w:val="5C7E45B0"/>
    <w:rsid w:val="5CCB049C"/>
    <w:rsid w:val="5CD246B1"/>
    <w:rsid w:val="5D104C52"/>
    <w:rsid w:val="5D1610E5"/>
    <w:rsid w:val="5D1F134D"/>
    <w:rsid w:val="5D225E96"/>
    <w:rsid w:val="5D5479DF"/>
    <w:rsid w:val="5D8B235F"/>
    <w:rsid w:val="5D935CC9"/>
    <w:rsid w:val="5D9929C5"/>
    <w:rsid w:val="5DA1690A"/>
    <w:rsid w:val="5DA344BD"/>
    <w:rsid w:val="5DAB1604"/>
    <w:rsid w:val="5DAC7F7B"/>
    <w:rsid w:val="5DC00E21"/>
    <w:rsid w:val="5DEF4991"/>
    <w:rsid w:val="5E004546"/>
    <w:rsid w:val="5E223849"/>
    <w:rsid w:val="5E31684C"/>
    <w:rsid w:val="5E52320C"/>
    <w:rsid w:val="5E64188D"/>
    <w:rsid w:val="5E6B6BD9"/>
    <w:rsid w:val="5E9D2BEC"/>
    <w:rsid w:val="5EB805C9"/>
    <w:rsid w:val="5EEC5CE5"/>
    <w:rsid w:val="5EF731E5"/>
    <w:rsid w:val="5F004E6E"/>
    <w:rsid w:val="5F010358"/>
    <w:rsid w:val="5F095904"/>
    <w:rsid w:val="5F1B299E"/>
    <w:rsid w:val="5F232B8A"/>
    <w:rsid w:val="5F285753"/>
    <w:rsid w:val="5F345879"/>
    <w:rsid w:val="5F3B01E3"/>
    <w:rsid w:val="5F3D041A"/>
    <w:rsid w:val="5F416DD5"/>
    <w:rsid w:val="5F454D59"/>
    <w:rsid w:val="5F4F0951"/>
    <w:rsid w:val="5F660454"/>
    <w:rsid w:val="5F89663A"/>
    <w:rsid w:val="5FA25FD2"/>
    <w:rsid w:val="5FAF21EE"/>
    <w:rsid w:val="5FAF3AE3"/>
    <w:rsid w:val="5FD84CCD"/>
    <w:rsid w:val="5FD95DF5"/>
    <w:rsid w:val="5FE17C6A"/>
    <w:rsid w:val="60153E06"/>
    <w:rsid w:val="601B7860"/>
    <w:rsid w:val="603A6C4E"/>
    <w:rsid w:val="607F4815"/>
    <w:rsid w:val="60C66FF8"/>
    <w:rsid w:val="60C715F3"/>
    <w:rsid w:val="60C831F4"/>
    <w:rsid w:val="60CA46DE"/>
    <w:rsid w:val="60DA1FB7"/>
    <w:rsid w:val="60DB227B"/>
    <w:rsid w:val="60E2185B"/>
    <w:rsid w:val="61045E17"/>
    <w:rsid w:val="61097C32"/>
    <w:rsid w:val="610C045C"/>
    <w:rsid w:val="612C2C0F"/>
    <w:rsid w:val="61360CD6"/>
    <w:rsid w:val="61363955"/>
    <w:rsid w:val="6139596E"/>
    <w:rsid w:val="6143048E"/>
    <w:rsid w:val="61541D0C"/>
    <w:rsid w:val="616113F3"/>
    <w:rsid w:val="616926CF"/>
    <w:rsid w:val="616E4608"/>
    <w:rsid w:val="618E5BFD"/>
    <w:rsid w:val="61955C9E"/>
    <w:rsid w:val="61964B23"/>
    <w:rsid w:val="61AC2EA4"/>
    <w:rsid w:val="61BF0A39"/>
    <w:rsid w:val="61D23AE4"/>
    <w:rsid w:val="61D74436"/>
    <w:rsid w:val="61DF72E6"/>
    <w:rsid w:val="61FC40A6"/>
    <w:rsid w:val="620A7850"/>
    <w:rsid w:val="621D6280"/>
    <w:rsid w:val="62232E5A"/>
    <w:rsid w:val="625C65F1"/>
    <w:rsid w:val="6266179D"/>
    <w:rsid w:val="62845FB8"/>
    <w:rsid w:val="62925A24"/>
    <w:rsid w:val="62947959"/>
    <w:rsid w:val="629F4600"/>
    <w:rsid w:val="62B27BC4"/>
    <w:rsid w:val="62B3264F"/>
    <w:rsid w:val="62B87B19"/>
    <w:rsid w:val="62C15A67"/>
    <w:rsid w:val="62CC63A3"/>
    <w:rsid w:val="62D13DAB"/>
    <w:rsid w:val="62D5208D"/>
    <w:rsid w:val="62D949A4"/>
    <w:rsid w:val="63075B5A"/>
    <w:rsid w:val="6308497A"/>
    <w:rsid w:val="630A00B2"/>
    <w:rsid w:val="63117187"/>
    <w:rsid w:val="633D44AA"/>
    <w:rsid w:val="63687677"/>
    <w:rsid w:val="638130A6"/>
    <w:rsid w:val="638F1AF4"/>
    <w:rsid w:val="63AA5BC2"/>
    <w:rsid w:val="63B4356F"/>
    <w:rsid w:val="63CF48F8"/>
    <w:rsid w:val="63F840D4"/>
    <w:rsid w:val="641D14C4"/>
    <w:rsid w:val="642719FF"/>
    <w:rsid w:val="644B3147"/>
    <w:rsid w:val="6465549E"/>
    <w:rsid w:val="646C3009"/>
    <w:rsid w:val="64735320"/>
    <w:rsid w:val="64B30238"/>
    <w:rsid w:val="64D01B87"/>
    <w:rsid w:val="64D178B9"/>
    <w:rsid w:val="64D77A7E"/>
    <w:rsid w:val="64E73DF1"/>
    <w:rsid w:val="64F0414B"/>
    <w:rsid w:val="64FD3107"/>
    <w:rsid w:val="64FF1C3C"/>
    <w:rsid w:val="65012D42"/>
    <w:rsid w:val="650A75D2"/>
    <w:rsid w:val="65143021"/>
    <w:rsid w:val="652828FA"/>
    <w:rsid w:val="652A63DB"/>
    <w:rsid w:val="652F58D3"/>
    <w:rsid w:val="653E1ABB"/>
    <w:rsid w:val="655B7102"/>
    <w:rsid w:val="656575F4"/>
    <w:rsid w:val="656738B8"/>
    <w:rsid w:val="657021F5"/>
    <w:rsid w:val="65713C4C"/>
    <w:rsid w:val="65722B1B"/>
    <w:rsid w:val="65B826BD"/>
    <w:rsid w:val="65C26555"/>
    <w:rsid w:val="65DC7921"/>
    <w:rsid w:val="65E317A8"/>
    <w:rsid w:val="65E50CD8"/>
    <w:rsid w:val="65ED6C11"/>
    <w:rsid w:val="65FC7C13"/>
    <w:rsid w:val="6613537E"/>
    <w:rsid w:val="66152556"/>
    <w:rsid w:val="66300342"/>
    <w:rsid w:val="66334C1F"/>
    <w:rsid w:val="663A3856"/>
    <w:rsid w:val="663B51C1"/>
    <w:rsid w:val="665A29E1"/>
    <w:rsid w:val="666329BA"/>
    <w:rsid w:val="66680388"/>
    <w:rsid w:val="667416AB"/>
    <w:rsid w:val="667C4915"/>
    <w:rsid w:val="668019A3"/>
    <w:rsid w:val="66A546B3"/>
    <w:rsid w:val="66A912E3"/>
    <w:rsid w:val="66AB6843"/>
    <w:rsid w:val="66B42F90"/>
    <w:rsid w:val="66FC5136"/>
    <w:rsid w:val="66FD4E0B"/>
    <w:rsid w:val="670901AC"/>
    <w:rsid w:val="672A302E"/>
    <w:rsid w:val="67491773"/>
    <w:rsid w:val="675121D1"/>
    <w:rsid w:val="6767500B"/>
    <w:rsid w:val="676F41FA"/>
    <w:rsid w:val="67793F09"/>
    <w:rsid w:val="67841E7B"/>
    <w:rsid w:val="67945E5C"/>
    <w:rsid w:val="67C63136"/>
    <w:rsid w:val="67D172DA"/>
    <w:rsid w:val="67F22E4A"/>
    <w:rsid w:val="67F24D27"/>
    <w:rsid w:val="67F42206"/>
    <w:rsid w:val="683D0B85"/>
    <w:rsid w:val="6859024B"/>
    <w:rsid w:val="68636054"/>
    <w:rsid w:val="6889707C"/>
    <w:rsid w:val="68914153"/>
    <w:rsid w:val="68920C43"/>
    <w:rsid w:val="68A0408F"/>
    <w:rsid w:val="68AB04A4"/>
    <w:rsid w:val="68BC6927"/>
    <w:rsid w:val="68C06D09"/>
    <w:rsid w:val="68D15127"/>
    <w:rsid w:val="68E1674A"/>
    <w:rsid w:val="68EF2603"/>
    <w:rsid w:val="69025AEA"/>
    <w:rsid w:val="69072D46"/>
    <w:rsid w:val="692C4039"/>
    <w:rsid w:val="692D5F29"/>
    <w:rsid w:val="692E2855"/>
    <w:rsid w:val="695D40C5"/>
    <w:rsid w:val="69731484"/>
    <w:rsid w:val="69757FA5"/>
    <w:rsid w:val="69835459"/>
    <w:rsid w:val="6994351D"/>
    <w:rsid w:val="699B55F7"/>
    <w:rsid w:val="69CA04A8"/>
    <w:rsid w:val="69D9013F"/>
    <w:rsid w:val="69F741A2"/>
    <w:rsid w:val="69FE6E97"/>
    <w:rsid w:val="6A185E40"/>
    <w:rsid w:val="6A1C73EF"/>
    <w:rsid w:val="6A1D5127"/>
    <w:rsid w:val="6A3949FB"/>
    <w:rsid w:val="6A3A6264"/>
    <w:rsid w:val="6A457C16"/>
    <w:rsid w:val="6A550048"/>
    <w:rsid w:val="6A6857B4"/>
    <w:rsid w:val="6A6B5D71"/>
    <w:rsid w:val="6A8E0CFE"/>
    <w:rsid w:val="6AA81A91"/>
    <w:rsid w:val="6AAB53B4"/>
    <w:rsid w:val="6AC41808"/>
    <w:rsid w:val="6AE0238F"/>
    <w:rsid w:val="6AF46091"/>
    <w:rsid w:val="6B195886"/>
    <w:rsid w:val="6B447524"/>
    <w:rsid w:val="6B854DB8"/>
    <w:rsid w:val="6BA05817"/>
    <w:rsid w:val="6BEE1234"/>
    <w:rsid w:val="6C0C10C6"/>
    <w:rsid w:val="6C1A02D9"/>
    <w:rsid w:val="6C1F4FB5"/>
    <w:rsid w:val="6C385E5A"/>
    <w:rsid w:val="6C457555"/>
    <w:rsid w:val="6C4E481F"/>
    <w:rsid w:val="6C5C7602"/>
    <w:rsid w:val="6C5E67E5"/>
    <w:rsid w:val="6C867BD8"/>
    <w:rsid w:val="6C897CC8"/>
    <w:rsid w:val="6C8D7504"/>
    <w:rsid w:val="6C8E7FF3"/>
    <w:rsid w:val="6C937EAD"/>
    <w:rsid w:val="6CA32D3B"/>
    <w:rsid w:val="6CB055BD"/>
    <w:rsid w:val="6CB56456"/>
    <w:rsid w:val="6CB95002"/>
    <w:rsid w:val="6CCC3A0B"/>
    <w:rsid w:val="6CCF41D4"/>
    <w:rsid w:val="6CE5509D"/>
    <w:rsid w:val="6CEA61B3"/>
    <w:rsid w:val="6D0112BB"/>
    <w:rsid w:val="6D1022EC"/>
    <w:rsid w:val="6D113871"/>
    <w:rsid w:val="6D1B703E"/>
    <w:rsid w:val="6D2546CA"/>
    <w:rsid w:val="6D2C4E96"/>
    <w:rsid w:val="6D2F429A"/>
    <w:rsid w:val="6D445346"/>
    <w:rsid w:val="6D4C40EA"/>
    <w:rsid w:val="6D535020"/>
    <w:rsid w:val="6D6479C3"/>
    <w:rsid w:val="6D6E156B"/>
    <w:rsid w:val="6D857BC4"/>
    <w:rsid w:val="6D954F12"/>
    <w:rsid w:val="6DAC0736"/>
    <w:rsid w:val="6DB93DFC"/>
    <w:rsid w:val="6DCD71EF"/>
    <w:rsid w:val="6DCF0384"/>
    <w:rsid w:val="6DD4077E"/>
    <w:rsid w:val="6DD742F7"/>
    <w:rsid w:val="6DDA142E"/>
    <w:rsid w:val="6DE27BA2"/>
    <w:rsid w:val="6DF712F5"/>
    <w:rsid w:val="6E47267B"/>
    <w:rsid w:val="6E540736"/>
    <w:rsid w:val="6E601F9E"/>
    <w:rsid w:val="6E6925E9"/>
    <w:rsid w:val="6E916B4D"/>
    <w:rsid w:val="6EA201F1"/>
    <w:rsid w:val="6EBD2E31"/>
    <w:rsid w:val="6EC707CC"/>
    <w:rsid w:val="6EE710C0"/>
    <w:rsid w:val="6EED4691"/>
    <w:rsid w:val="6F037511"/>
    <w:rsid w:val="6F087CC4"/>
    <w:rsid w:val="6F1268A1"/>
    <w:rsid w:val="6F151728"/>
    <w:rsid w:val="6F3D79B6"/>
    <w:rsid w:val="6F3F63BD"/>
    <w:rsid w:val="6F664487"/>
    <w:rsid w:val="6F6E474D"/>
    <w:rsid w:val="6F6F3E14"/>
    <w:rsid w:val="6F830F20"/>
    <w:rsid w:val="6F8664ED"/>
    <w:rsid w:val="6FC337BC"/>
    <w:rsid w:val="6FC47F24"/>
    <w:rsid w:val="6FC667B7"/>
    <w:rsid w:val="6FD04AE8"/>
    <w:rsid w:val="6FD33091"/>
    <w:rsid w:val="6FDC162A"/>
    <w:rsid w:val="6FDC44E0"/>
    <w:rsid w:val="6FDD6525"/>
    <w:rsid w:val="6FE30F1E"/>
    <w:rsid w:val="6FF9505C"/>
    <w:rsid w:val="703A3132"/>
    <w:rsid w:val="703A3AFA"/>
    <w:rsid w:val="703A4681"/>
    <w:rsid w:val="703F2826"/>
    <w:rsid w:val="70457B12"/>
    <w:rsid w:val="707E05D0"/>
    <w:rsid w:val="70811B26"/>
    <w:rsid w:val="70882A11"/>
    <w:rsid w:val="7098054A"/>
    <w:rsid w:val="70A10F09"/>
    <w:rsid w:val="70A91B7D"/>
    <w:rsid w:val="70BE59BC"/>
    <w:rsid w:val="70C20CEE"/>
    <w:rsid w:val="70C7327A"/>
    <w:rsid w:val="70DD3E23"/>
    <w:rsid w:val="70F34FCA"/>
    <w:rsid w:val="70F5772C"/>
    <w:rsid w:val="70FE77FA"/>
    <w:rsid w:val="710B4AA8"/>
    <w:rsid w:val="71243530"/>
    <w:rsid w:val="71362CEA"/>
    <w:rsid w:val="713A2991"/>
    <w:rsid w:val="714300F4"/>
    <w:rsid w:val="714609F9"/>
    <w:rsid w:val="715765A8"/>
    <w:rsid w:val="717552D6"/>
    <w:rsid w:val="7181116E"/>
    <w:rsid w:val="71A06F30"/>
    <w:rsid w:val="71C85D97"/>
    <w:rsid w:val="71DF1321"/>
    <w:rsid w:val="72190478"/>
    <w:rsid w:val="721D327C"/>
    <w:rsid w:val="722C7603"/>
    <w:rsid w:val="72352E2A"/>
    <w:rsid w:val="723751A3"/>
    <w:rsid w:val="725B3487"/>
    <w:rsid w:val="726308E2"/>
    <w:rsid w:val="726B400C"/>
    <w:rsid w:val="726E6079"/>
    <w:rsid w:val="72744F0E"/>
    <w:rsid w:val="72785D98"/>
    <w:rsid w:val="729B5B36"/>
    <w:rsid w:val="72B35287"/>
    <w:rsid w:val="72C30A05"/>
    <w:rsid w:val="72C31732"/>
    <w:rsid w:val="72E57670"/>
    <w:rsid w:val="72E849C4"/>
    <w:rsid w:val="72FF46E8"/>
    <w:rsid w:val="7318135E"/>
    <w:rsid w:val="732348BD"/>
    <w:rsid w:val="73470B82"/>
    <w:rsid w:val="73556C95"/>
    <w:rsid w:val="735D56FE"/>
    <w:rsid w:val="736639D2"/>
    <w:rsid w:val="736C5E03"/>
    <w:rsid w:val="73A6170B"/>
    <w:rsid w:val="73D42779"/>
    <w:rsid w:val="73DD51A0"/>
    <w:rsid w:val="73E32F46"/>
    <w:rsid w:val="73E5115F"/>
    <w:rsid w:val="73F05C68"/>
    <w:rsid w:val="73FB6E93"/>
    <w:rsid w:val="73FF497F"/>
    <w:rsid w:val="7410293E"/>
    <w:rsid w:val="74176E58"/>
    <w:rsid w:val="74267DF1"/>
    <w:rsid w:val="742817A0"/>
    <w:rsid w:val="74355268"/>
    <w:rsid w:val="744D7375"/>
    <w:rsid w:val="745A3FA1"/>
    <w:rsid w:val="745A54CE"/>
    <w:rsid w:val="747353EF"/>
    <w:rsid w:val="747B608F"/>
    <w:rsid w:val="74866F5F"/>
    <w:rsid w:val="74974E4F"/>
    <w:rsid w:val="749A6BDF"/>
    <w:rsid w:val="749B2AEE"/>
    <w:rsid w:val="74A521A7"/>
    <w:rsid w:val="74AF0D4A"/>
    <w:rsid w:val="74BE2458"/>
    <w:rsid w:val="74C10DD9"/>
    <w:rsid w:val="74C33E4E"/>
    <w:rsid w:val="74C45CA6"/>
    <w:rsid w:val="74D07EF1"/>
    <w:rsid w:val="74D359E3"/>
    <w:rsid w:val="74DB0660"/>
    <w:rsid w:val="74F75D5F"/>
    <w:rsid w:val="75080509"/>
    <w:rsid w:val="751520A8"/>
    <w:rsid w:val="7532425C"/>
    <w:rsid w:val="7543351B"/>
    <w:rsid w:val="755620AE"/>
    <w:rsid w:val="755E374E"/>
    <w:rsid w:val="756056DD"/>
    <w:rsid w:val="75844AE0"/>
    <w:rsid w:val="758516A6"/>
    <w:rsid w:val="759762C9"/>
    <w:rsid w:val="7598328E"/>
    <w:rsid w:val="75986D1A"/>
    <w:rsid w:val="759D618A"/>
    <w:rsid w:val="75A97067"/>
    <w:rsid w:val="75AE319A"/>
    <w:rsid w:val="75B11ED2"/>
    <w:rsid w:val="75B24EF7"/>
    <w:rsid w:val="75BF1E0A"/>
    <w:rsid w:val="75CC0C58"/>
    <w:rsid w:val="75DF7A1C"/>
    <w:rsid w:val="75F31826"/>
    <w:rsid w:val="76032D15"/>
    <w:rsid w:val="762A110B"/>
    <w:rsid w:val="762F41B1"/>
    <w:rsid w:val="76355800"/>
    <w:rsid w:val="763F7CD2"/>
    <w:rsid w:val="7646502B"/>
    <w:rsid w:val="76520811"/>
    <w:rsid w:val="7653028C"/>
    <w:rsid w:val="766742B8"/>
    <w:rsid w:val="76802AA6"/>
    <w:rsid w:val="7698687A"/>
    <w:rsid w:val="769B6DFE"/>
    <w:rsid w:val="76AC0DE3"/>
    <w:rsid w:val="76AC2FAB"/>
    <w:rsid w:val="76C555D2"/>
    <w:rsid w:val="77115B9B"/>
    <w:rsid w:val="7721368A"/>
    <w:rsid w:val="773027D1"/>
    <w:rsid w:val="773B1476"/>
    <w:rsid w:val="77401D44"/>
    <w:rsid w:val="775E6259"/>
    <w:rsid w:val="77606B82"/>
    <w:rsid w:val="777D59E2"/>
    <w:rsid w:val="7784439D"/>
    <w:rsid w:val="7790268A"/>
    <w:rsid w:val="7796561D"/>
    <w:rsid w:val="77BF11BB"/>
    <w:rsid w:val="77C807D0"/>
    <w:rsid w:val="77D914A6"/>
    <w:rsid w:val="77F33EA5"/>
    <w:rsid w:val="77F57B49"/>
    <w:rsid w:val="77FC726A"/>
    <w:rsid w:val="78015423"/>
    <w:rsid w:val="7803361B"/>
    <w:rsid w:val="78065E21"/>
    <w:rsid w:val="78092026"/>
    <w:rsid w:val="7825083A"/>
    <w:rsid w:val="78337982"/>
    <w:rsid w:val="78443A4F"/>
    <w:rsid w:val="785B5E7F"/>
    <w:rsid w:val="786F030A"/>
    <w:rsid w:val="788C2381"/>
    <w:rsid w:val="78974E9C"/>
    <w:rsid w:val="78AD3A04"/>
    <w:rsid w:val="78C2184C"/>
    <w:rsid w:val="79070BEF"/>
    <w:rsid w:val="79084E2A"/>
    <w:rsid w:val="790C6BE5"/>
    <w:rsid w:val="79304A13"/>
    <w:rsid w:val="79423DE2"/>
    <w:rsid w:val="795466FB"/>
    <w:rsid w:val="796171A5"/>
    <w:rsid w:val="797C46A7"/>
    <w:rsid w:val="797F058B"/>
    <w:rsid w:val="79983DBB"/>
    <w:rsid w:val="799E3886"/>
    <w:rsid w:val="79AB3CFB"/>
    <w:rsid w:val="79AC51A9"/>
    <w:rsid w:val="79AC5821"/>
    <w:rsid w:val="79B4774B"/>
    <w:rsid w:val="79B93659"/>
    <w:rsid w:val="79D66388"/>
    <w:rsid w:val="79ED09E8"/>
    <w:rsid w:val="79F85AC1"/>
    <w:rsid w:val="79FA3CE1"/>
    <w:rsid w:val="7A200DCD"/>
    <w:rsid w:val="7A2A3475"/>
    <w:rsid w:val="7A51609D"/>
    <w:rsid w:val="7A7A449B"/>
    <w:rsid w:val="7A8A3D33"/>
    <w:rsid w:val="7A8D418E"/>
    <w:rsid w:val="7A94376E"/>
    <w:rsid w:val="7A9D1AF2"/>
    <w:rsid w:val="7AA049F7"/>
    <w:rsid w:val="7AAB1305"/>
    <w:rsid w:val="7AB33BBE"/>
    <w:rsid w:val="7AC5733B"/>
    <w:rsid w:val="7ACD5297"/>
    <w:rsid w:val="7AD73021"/>
    <w:rsid w:val="7AE658A6"/>
    <w:rsid w:val="7AF028DE"/>
    <w:rsid w:val="7AFD2567"/>
    <w:rsid w:val="7B330527"/>
    <w:rsid w:val="7B3D7962"/>
    <w:rsid w:val="7B3E5193"/>
    <w:rsid w:val="7B681689"/>
    <w:rsid w:val="7B76061B"/>
    <w:rsid w:val="7BAD023F"/>
    <w:rsid w:val="7BB65DD0"/>
    <w:rsid w:val="7BC1580A"/>
    <w:rsid w:val="7BDB07B3"/>
    <w:rsid w:val="7C0844BB"/>
    <w:rsid w:val="7C3519A7"/>
    <w:rsid w:val="7C467E54"/>
    <w:rsid w:val="7C504E5F"/>
    <w:rsid w:val="7C636D7B"/>
    <w:rsid w:val="7C66727A"/>
    <w:rsid w:val="7C6D6003"/>
    <w:rsid w:val="7C87012C"/>
    <w:rsid w:val="7C8A5BC2"/>
    <w:rsid w:val="7CC448B2"/>
    <w:rsid w:val="7CC959C7"/>
    <w:rsid w:val="7CEF347D"/>
    <w:rsid w:val="7CF6186E"/>
    <w:rsid w:val="7CFE2AF1"/>
    <w:rsid w:val="7D047736"/>
    <w:rsid w:val="7D0A382D"/>
    <w:rsid w:val="7D11179C"/>
    <w:rsid w:val="7D2F4329"/>
    <w:rsid w:val="7D36487B"/>
    <w:rsid w:val="7D3704C0"/>
    <w:rsid w:val="7D414A16"/>
    <w:rsid w:val="7D4E5163"/>
    <w:rsid w:val="7D512740"/>
    <w:rsid w:val="7D7E6ECE"/>
    <w:rsid w:val="7D9C4976"/>
    <w:rsid w:val="7DAF3DF1"/>
    <w:rsid w:val="7DC7520F"/>
    <w:rsid w:val="7DCA077B"/>
    <w:rsid w:val="7DDA3896"/>
    <w:rsid w:val="7DE13763"/>
    <w:rsid w:val="7DEC7CA4"/>
    <w:rsid w:val="7DEE020F"/>
    <w:rsid w:val="7DF56D2F"/>
    <w:rsid w:val="7DFA2799"/>
    <w:rsid w:val="7E0B2A9C"/>
    <w:rsid w:val="7E0E6C77"/>
    <w:rsid w:val="7E1C414C"/>
    <w:rsid w:val="7E3048C1"/>
    <w:rsid w:val="7E515808"/>
    <w:rsid w:val="7E5704FB"/>
    <w:rsid w:val="7E5C3572"/>
    <w:rsid w:val="7E5E3D70"/>
    <w:rsid w:val="7E830CAF"/>
    <w:rsid w:val="7E8B0B81"/>
    <w:rsid w:val="7E8F2D75"/>
    <w:rsid w:val="7EA454A5"/>
    <w:rsid w:val="7EBC0D6D"/>
    <w:rsid w:val="7EE1772D"/>
    <w:rsid w:val="7EF805C1"/>
    <w:rsid w:val="7F007CB5"/>
    <w:rsid w:val="7F162CCF"/>
    <w:rsid w:val="7F1718AA"/>
    <w:rsid w:val="7F3535AD"/>
    <w:rsid w:val="7F4B382D"/>
    <w:rsid w:val="7F51576B"/>
    <w:rsid w:val="7F5760BD"/>
    <w:rsid w:val="7F676991"/>
    <w:rsid w:val="7F6A322B"/>
    <w:rsid w:val="7F7A726C"/>
    <w:rsid w:val="7F892996"/>
    <w:rsid w:val="7F8F2E0F"/>
    <w:rsid w:val="7F9978A1"/>
    <w:rsid w:val="7F9C2283"/>
    <w:rsid w:val="7FA51862"/>
    <w:rsid w:val="7FB47F73"/>
    <w:rsid w:val="7FB61109"/>
    <w:rsid w:val="7FD75502"/>
    <w:rsid w:val="7FDC6271"/>
    <w:rsid w:val="7FF22503"/>
    <w:rsid w:val="7FF81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1"/>
    <w:basedOn w:val="1"/>
    <w:next w:val="1"/>
    <w:qFormat/>
    <w:uiPriority w:val="0"/>
    <w:pPr>
      <w:keepNext/>
      <w:keepLines/>
      <w:spacing w:line="576" w:lineRule="auto"/>
      <w:outlineLvl w:val="0"/>
    </w:pPr>
    <w:rPr>
      <w:rFonts w:eastAsia="宋体"/>
      <w:b/>
      <w:bCs/>
      <w:kern w:val="44"/>
      <w:sz w:val="44"/>
      <w:szCs w:val="44"/>
    </w:rPr>
  </w:style>
  <w:style w:type="paragraph" w:styleId="4">
    <w:name w:val="heading 2"/>
    <w:basedOn w:val="1"/>
    <w:next w:val="5"/>
    <w:unhideWhenUsed/>
    <w:qFormat/>
    <w:uiPriority w:val="0"/>
    <w:pPr>
      <w:keepNext/>
      <w:keepLines/>
      <w:spacing w:line="413" w:lineRule="auto"/>
      <w:outlineLvl w:val="1"/>
    </w:pPr>
    <w:rPr>
      <w:rFonts w:ascii="Arial" w:hAnsi="Arial" w:eastAsia="黑体"/>
      <w:b/>
      <w:bCs/>
      <w:sz w:val="32"/>
      <w:szCs w:val="32"/>
    </w:rPr>
  </w:style>
  <w:style w:type="paragraph" w:styleId="6">
    <w:name w:val="heading 3"/>
    <w:basedOn w:val="1"/>
    <w:next w:val="1"/>
    <w:link w:val="154"/>
    <w:qFormat/>
    <w:uiPriority w:val="0"/>
    <w:pPr>
      <w:keepNext/>
      <w:keepLines/>
      <w:spacing w:line="413" w:lineRule="auto"/>
      <w:outlineLvl w:val="2"/>
    </w:pPr>
    <w:rPr>
      <w:b/>
      <w:sz w:val="28"/>
    </w:rPr>
  </w:style>
  <w:style w:type="paragraph" w:styleId="7">
    <w:name w:val="heading 4"/>
    <w:basedOn w:val="1"/>
    <w:next w:val="1"/>
    <w:qFormat/>
    <w:uiPriority w:val="0"/>
    <w:pPr>
      <w:keepNext/>
      <w:keepLines/>
      <w:jc w:val="left"/>
      <w:outlineLvl w:val="3"/>
    </w:pPr>
    <w:rPr>
      <w:rFonts w:hint="eastAsia" w:ascii="Arial" w:hAnsi="Arial" w:eastAsia="宋体" w:cs="Times New Roman"/>
      <w:b/>
      <w:sz w:val="32"/>
    </w:rPr>
  </w:style>
  <w:style w:type="paragraph" w:styleId="8">
    <w:name w:val="heading 6"/>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0"/>
      <w:sz w:val="24"/>
      <w:szCs w:val="24"/>
      <w:lang w:val="en-US" w:eastAsia="zh-CN" w:bidi="ar"/>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ascii="Calibri" w:hAnsi="Calibri" w:cs="黑体"/>
      <w:szCs w:val="22"/>
    </w:rPr>
  </w:style>
  <w:style w:type="paragraph" w:styleId="5">
    <w:name w:val="Normal Indent"/>
    <w:basedOn w:val="1"/>
    <w:qFormat/>
    <w:uiPriority w:val="0"/>
    <w:pPr>
      <w:ind w:firstLine="420"/>
    </w:pPr>
    <w:rPr>
      <w:rFonts w:ascii="Times New Roman" w:hAnsi="Times New Roman"/>
      <w:sz w:val="21"/>
    </w:rPr>
  </w:style>
  <w:style w:type="paragraph" w:styleId="9">
    <w:name w:val="Note Heading"/>
    <w:basedOn w:val="1"/>
    <w:next w:val="1"/>
    <w:qFormat/>
    <w:uiPriority w:val="0"/>
    <w:pPr>
      <w:jc w:val="center"/>
    </w:pPr>
  </w:style>
  <w:style w:type="paragraph" w:styleId="10">
    <w:name w:val="annotation text"/>
    <w:basedOn w:val="1"/>
    <w:qFormat/>
    <w:uiPriority w:val="0"/>
    <w:pPr>
      <w:jc w:val="left"/>
    </w:pPr>
  </w:style>
  <w:style w:type="paragraph" w:styleId="11">
    <w:name w:val="Body Text"/>
    <w:basedOn w:val="1"/>
    <w:next w:val="1"/>
    <w:qFormat/>
    <w:uiPriority w:val="0"/>
    <w:pPr>
      <w:spacing w:after="120"/>
    </w:pPr>
    <w:rPr>
      <w:rFonts w:hAnsi="Times New Roman"/>
    </w:rPr>
  </w:style>
  <w:style w:type="paragraph" w:styleId="12">
    <w:name w:val="Body Text Indent"/>
    <w:basedOn w:val="1"/>
    <w:qFormat/>
    <w:uiPriority w:val="0"/>
    <w:pPr>
      <w:spacing w:after="120" w:afterLines="0"/>
      <w:ind w:left="420" w:leftChars="200"/>
    </w:pPr>
  </w:style>
  <w:style w:type="paragraph" w:styleId="13">
    <w:name w:val="Plain Text"/>
    <w:basedOn w:val="1"/>
    <w:qFormat/>
    <w:uiPriority w:val="0"/>
    <w:rPr>
      <w:rFonts w:ascii="宋体" w:hAnsi="Courier New" w:eastAsia="宋体"/>
      <w:sz w:val="21"/>
    </w:rPr>
  </w:style>
  <w:style w:type="paragraph" w:styleId="14">
    <w:name w:val="Date"/>
    <w:basedOn w:val="1"/>
    <w:next w:val="1"/>
    <w:qFormat/>
    <w:uiPriority w:val="0"/>
    <w:rPr>
      <w:szCs w:val="20"/>
    </w:rPr>
  </w:style>
  <w:style w:type="paragraph" w:styleId="15">
    <w:name w:val="footer"/>
    <w:basedOn w:val="1"/>
    <w:qFormat/>
    <w:uiPriority w:val="0"/>
    <w:pPr>
      <w:tabs>
        <w:tab w:val="center" w:pos="4153"/>
        <w:tab w:val="right" w:pos="8306"/>
      </w:tabs>
      <w:snapToGrid w:val="0"/>
      <w:jc w:val="left"/>
    </w:pPr>
    <w:rPr>
      <w:rFonts w:eastAsia="宋体"/>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rPr>
      <w:sz w:val="21"/>
      <w:szCs w:val="24"/>
    </w:rPr>
  </w:style>
  <w:style w:type="paragraph" w:styleId="18">
    <w:name w:val="toc 2"/>
    <w:basedOn w:val="1"/>
    <w:next w:val="1"/>
    <w:qFormat/>
    <w:uiPriority w:val="0"/>
    <w:pPr>
      <w:ind w:left="420" w:leftChars="200"/>
    </w:pPr>
    <w:rPr>
      <w:sz w:val="21"/>
      <w:szCs w:val="24"/>
    </w:r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0">
    <w:name w:val="Normal (Web)"/>
    <w:basedOn w:val="1"/>
    <w:next w:val="1"/>
    <w:qFormat/>
    <w:uiPriority w:val="0"/>
    <w:pPr>
      <w:jc w:val="left"/>
    </w:pPr>
    <w:rPr>
      <w:rFonts w:cs="Times New Roman"/>
      <w:kern w:val="0"/>
    </w:rPr>
  </w:style>
  <w:style w:type="paragraph" w:styleId="21">
    <w:name w:val="Title"/>
    <w:basedOn w:val="1"/>
    <w:next w:val="1"/>
    <w:qFormat/>
    <w:uiPriority w:val="0"/>
    <w:pPr>
      <w:spacing w:before="240" w:after="60"/>
      <w:jc w:val="center"/>
      <w:outlineLvl w:val="0"/>
    </w:pPr>
    <w:rPr>
      <w:rFonts w:ascii="Cambria" w:hAnsi="Cambria"/>
      <w:b/>
      <w:bCs/>
      <w:sz w:val="32"/>
      <w:szCs w:val="32"/>
    </w:rPr>
  </w:style>
  <w:style w:type="paragraph" w:styleId="22">
    <w:name w:val="Body Text First Indent"/>
    <w:basedOn w:val="11"/>
    <w:unhideWhenUsed/>
    <w:qFormat/>
    <w:uiPriority w:val="99"/>
    <w:pPr>
      <w:ind w:firstLine="420" w:firstLineChars="100"/>
    </w:pPr>
  </w:style>
  <w:style w:type="paragraph" w:styleId="23">
    <w:name w:val="Body Text First Indent 2"/>
    <w:basedOn w:val="12"/>
    <w:qFormat/>
    <w:uiPriority w:val="0"/>
    <w:pPr>
      <w:tabs>
        <w:tab w:val="left" w:pos="4900"/>
      </w:tabs>
      <w:ind w:firstLine="420" w:firstLineChars="200"/>
    </w:pPr>
  </w:style>
  <w:style w:type="table" w:styleId="25">
    <w:name w:val="Table Grid"/>
    <w:basedOn w:val="24"/>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7">
    <w:name w:val="Strong"/>
    <w:basedOn w:val="26"/>
    <w:qFormat/>
    <w:uiPriority w:val="0"/>
    <w:rPr>
      <w:b/>
      <w:bCs/>
    </w:rPr>
  </w:style>
  <w:style w:type="character" w:styleId="28">
    <w:name w:val="page number"/>
    <w:basedOn w:val="26"/>
    <w:qFormat/>
    <w:uiPriority w:val="0"/>
  </w:style>
  <w:style w:type="character" w:styleId="29">
    <w:name w:val="FollowedHyperlink"/>
    <w:basedOn w:val="26"/>
    <w:qFormat/>
    <w:uiPriority w:val="0"/>
    <w:rPr>
      <w:color w:val="333333"/>
      <w:u w:val="none"/>
    </w:rPr>
  </w:style>
  <w:style w:type="character" w:styleId="30">
    <w:name w:val="Emphasis"/>
    <w:basedOn w:val="26"/>
    <w:qFormat/>
    <w:uiPriority w:val="0"/>
  </w:style>
  <w:style w:type="character" w:styleId="31">
    <w:name w:val="HTML Definition"/>
    <w:basedOn w:val="26"/>
    <w:qFormat/>
    <w:uiPriority w:val="0"/>
    <w:rPr>
      <w:i/>
      <w:iCs/>
    </w:rPr>
  </w:style>
  <w:style w:type="character" w:styleId="32">
    <w:name w:val="Hyperlink"/>
    <w:basedOn w:val="26"/>
    <w:qFormat/>
    <w:uiPriority w:val="0"/>
    <w:rPr>
      <w:rFonts w:ascii="宋体" w:hAnsi="宋体" w:eastAsia="宋体"/>
      <w:b/>
      <w:color w:val="0000FF"/>
      <w:kern w:val="2"/>
      <w:sz w:val="24"/>
      <w:szCs w:val="24"/>
      <w:u w:val="single"/>
      <w:lang w:val="en-US" w:eastAsia="zh-CN" w:bidi="ar-SA"/>
    </w:rPr>
  </w:style>
  <w:style w:type="character" w:styleId="33">
    <w:name w:val="HTML Code"/>
    <w:basedOn w:val="26"/>
    <w:qFormat/>
    <w:uiPriority w:val="0"/>
    <w:rPr>
      <w:rFonts w:hint="default" w:ascii="Menlo" w:hAnsi="Menlo" w:eastAsia="Menlo" w:cs="Menlo"/>
      <w:color w:val="C7254E"/>
      <w:sz w:val="21"/>
      <w:szCs w:val="21"/>
      <w:shd w:val="clear" w:color="auto" w:fill="F9F2F4"/>
    </w:rPr>
  </w:style>
  <w:style w:type="character" w:styleId="34">
    <w:name w:val="HTML Keyboard"/>
    <w:basedOn w:val="26"/>
    <w:qFormat/>
    <w:uiPriority w:val="0"/>
    <w:rPr>
      <w:rFonts w:ascii="Menlo" w:hAnsi="Menlo" w:eastAsia="Menlo" w:cs="Menlo"/>
      <w:color w:val="FFFFFF"/>
      <w:sz w:val="21"/>
      <w:szCs w:val="21"/>
      <w:shd w:val="clear" w:color="auto" w:fill="333333"/>
    </w:rPr>
  </w:style>
  <w:style w:type="character" w:styleId="35">
    <w:name w:val="HTML Sample"/>
    <w:basedOn w:val="26"/>
    <w:qFormat/>
    <w:uiPriority w:val="0"/>
    <w:rPr>
      <w:rFonts w:hint="default" w:ascii="Menlo" w:hAnsi="Menlo" w:eastAsia="Menlo" w:cs="Menlo"/>
      <w:sz w:val="21"/>
      <w:szCs w:val="21"/>
    </w:rPr>
  </w:style>
  <w:style w:type="paragraph" w:customStyle="1" w:styleId="36">
    <w:name w:val="正文缩进1"/>
    <w:basedOn w:val="1"/>
    <w:qFormat/>
    <w:uiPriority w:val="0"/>
    <w:pPr>
      <w:ind w:firstLine="420" w:firstLineChars="200"/>
    </w:pPr>
  </w:style>
  <w:style w:type="paragraph" w:customStyle="1" w:styleId="37">
    <w:name w:val="_Style 5"/>
    <w:basedOn w:val="3"/>
    <w:next w:val="1"/>
    <w:qFormat/>
    <w:uiPriority w:val="39"/>
    <w:pPr>
      <w:widowControl/>
      <w:spacing w:before="480" w:line="276" w:lineRule="auto"/>
      <w:jc w:val="left"/>
      <w:outlineLvl w:val="9"/>
    </w:pPr>
    <w:rPr>
      <w:rFonts w:ascii="Cambria" w:hAnsi="Cambria" w:cs="Times New Roman"/>
      <w:color w:val="365F91"/>
      <w:kern w:val="0"/>
      <w:sz w:val="28"/>
      <w:szCs w:val="28"/>
    </w:rPr>
  </w:style>
  <w:style w:type="paragraph" w:customStyle="1" w:styleId="38">
    <w:name w:val="09正文_wh"/>
    <w:qFormat/>
    <w:uiPriority w:val="0"/>
    <w:pPr>
      <w:spacing w:line="300" w:lineRule="auto"/>
      <w:ind w:firstLine="200" w:firstLineChars="200"/>
      <w:jc w:val="both"/>
    </w:pPr>
    <w:rPr>
      <w:rFonts w:asciiTheme="minorHAnsi" w:hAnsiTheme="minorHAnsi" w:eastAsiaTheme="minorEastAsia" w:cstheme="minorBidi"/>
      <w:sz w:val="28"/>
      <w:szCs w:val="22"/>
      <w:lang w:val="en-US" w:eastAsia="zh-CN" w:bidi="ar-SA"/>
    </w:rPr>
  </w:style>
  <w:style w:type="paragraph" w:customStyle="1" w:styleId="39">
    <w:name w:val="p15"/>
    <w:basedOn w:val="1"/>
    <w:qFormat/>
    <w:uiPriority w:val="99"/>
    <w:pPr>
      <w:widowControl/>
    </w:pPr>
    <w:rPr>
      <w:kern w:val="0"/>
      <w:sz w:val="21"/>
      <w:szCs w:val="21"/>
    </w:rPr>
  </w:style>
  <w:style w:type="paragraph" w:customStyle="1" w:styleId="40">
    <w:name w:val="正文 New"/>
    <w:qFormat/>
    <w:uiPriority w:val="99"/>
    <w:pPr>
      <w:widowControl w:val="0"/>
      <w:jc w:val="both"/>
    </w:pPr>
    <w:rPr>
      <w:rFonts w:ascii="Calibri" w:hAnsi="Calibri" w:eastAsiaTheme="minorEastAsia" w:cstheme="minorBidi"/>
      <w:sz w:val="21"/>
      <w:szCs w:val="22"/>
      <w:lang w:val="en-US" w:eastAsia="zh-CN" w:bidi="ar-SA"/>
    </w:rPr>
  </w:style>
  <w:style w:type="character" w:customStyle="1" w:styleId="41">
    <w:name w:val="old"/>
    <w:basedOn w:val="26"/>
    <w:qFormat/>
    <w:uiPriority w:val="0"/>
    <w:rPr>
      <w:color w:val="999999"/>
    </w:rPr>
  </w:style>
  <w:style w:type="character" w:customStyle="1" w:styleId="42">
    <w:name w:val="hover3"/>
    <w:basedOn w:val="26"/>
    <w:qFormat/>
    <w:uiPriority w:val="0"/>
    <w:rPr>
      <w:shd w:val="clear" w:color="auto" w:fill="EEEEEE"/>
    </w:rPr>
  </w:style>
  <w:style w:type="character" w:customStyle="1" w:styleId="43">
    <w:name w:val="glyphicon4"/>
    <w:basedOn w:val="26"/>
    <w:qFormat/>
    <w:uiPriority w:val="0"/>
  </w:style>
  <w:style w:type="character" w:customStyle="1" w:styleId="44">
    <w:name w:val="hour_am"/>
    <w:basedOn w:val="26"/>
    <w:qFormat/>
    <w:uiPriority w:val="0"/>
  </w:style>
  <w:style w:type="character" w:customStyle="1" w:styleId="45">
    <w:name w:val="hour_pm"/>
    <w:basedOn w:val="26"/>
    <w:qFormat/>
    <w:uiPriority w:val="0"/>
  </w:style>
  <w:style w:type="character" w:customStyle="1" w:styleId="46">
    <w:name w:val="button"/>
    <w:basedOn w:val="26"/>
    <w:qFormat/>
    <w:uiPriority w:val="0"/>
  </w:style>
  <w:style w:type="character" w:customStyle="1" w:styleId="47">
    <w:name w:val="tmpztreemove_arrow"/>
    <w:basedOn w:val="26"/>
    <w:qFormat/>
    <w:uiPriority w:val="0"/>
    <w:rPr>
      <w:shd w:val="clear" w:color="auto" w:fill="FFFFFF"/>
    </w:rPr>
  </w:style>
  <w:style w:type="character" w:customStyle="1" w:styleId="48">
    <w:name w:val="indent"/>
    <w:basedOn w:val="26"/>
    <w:qFormat/>
    <w:uiPriority w:val="0"/>
  </w:style>
  <w:style w:type="paragraph" w:customStyle="1" w:styleId="49">
    <w:name w:val="title1"/>
    <w:basedOn w:val="1"/>
    <w:qFormat/>
    <w:uiPriority w:val="0"/>
    <w:pPr>
      <w:spacing w:before="150" w:line="450" w:lineRule="atLeast"/>
      <w:jc w:val="left"/>
    </w:pPr>
    <w:rPr>
      <w:rFonts w:cs="Times New Roman"/>
      <w:b/>
      <w:kern w:val="0"/>
      <w:szCs w:val="24"/>
    </w:rPr>
  </w:style>
  <w:style w:type="paragraph" w:customStyle="1" w:styleId="5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List Paragraph"/>
    <w:basedOn w:val="1"/>
    <w:qFormat/>
    <w:uiPriority w:val="34"/>
    <w:pPr>
      <w:ind w:firstLine="420" w:firstLineChars="200"/>
    </w:pPr>
  </w:style>
  <w:style w:type="paragraph" w:customStyle="1" w:styleId="52">
    <w:name w:val="List Paragraph_0ebf999d-180a-4a52-88b1-358b0e0eb422"/>
    <w:basedOn w:val="1"/>
    <w:qFormat/>
    <w:uiPriority w:val="0"/>
    <w:pPr>
      <w:ind w:firstLine="420" w:firstLineChars="200"/>
    </w:pPr>
    <w:rPr>
      <w:rFonts w:ascii="Calibri" w:hAnsi="Calibri" w:eastAsia="宋体" w:cs="Times New Roman"/>
      <w:sz w:val="21"/>
      <w:szCs w:val="21"/>
    </w:rPr>
  </w:style>
  <w:style w:type="paragraph" w:customStyle="1" w:styleId="53">
    <w:name w:val="正文 A"/>
    <w:qFormat/>
    <w:uiPriority w:val="0"/>
    <w:pPr>
      <w:framePr w:wrap="around" w:vAnchor="margin" w:hAnchor="text" w:yAlign="top"/>
      <w:widowControl w:val="0"/>
      <w:jc w:val="both"/>
    </w:pPr>
    <w:rPr>
      <w:rFonts w:ascii="Times New Roman" w:hAnsi="Times New Roman" w:eastAsia="Times New Roman" w:cs="Arial Unicode MS"/>
      <w:color w:val="000000"/>
      <w:kern w:val="2"/>
      <w:sz w:val="21"/>
      <w:szCs w:val="21"/>
      <w:u w:val="none" w:color="000000"/>
      <w:lang w:val="en-US" w:eastAsia="zh-CN" w:bidi="ar-SA"/>
    </w:rPr>
  </w:style>
  <w:style w:type="character" w:customStyle="1" w:styleId="54">
    <w:name w:val="NormalCharacter"/>
    <w:qFormat/>
    <w:uiPriority w:val="0"/>
  </w:style>
  <w:style w:type="paragraph" w:customStyle="1" w:styleId="55">
    <w:name w:val="Table Paragraph"/>
    <w:basedOn w:val="1"/>
    <w:qFormat/>
    <w:uiPriority w:val="1"/>
    <w:pPr>
      <w:autoSpaceDE w:val="0"/>
      <w:autoSpaceDN w:val="0"/>
      <w:spacing w:before="137"/>
      <w:ind w:left="108"/>
      <w:jc w:val="center"/>
    </w:pPr>
    <w:rPr>
      <w:rFonts w:ascii="宋体" w:hAnsi="宋体" w:cs="宋体"/>
      <w:kern w:val="0"/>
      <w:sz w:val="22"/>
      <w:szCs w:val="22"/>
      <w:lang w:val="zh-CN" w:bidi="zh-CN"/>
    </w:rPr>
  </w:style>
  <w:style w:type="paragraph" w:customStyle="1" w:styleId="5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7">
    <w:name w:val="彩色列表 - 强调文字颜色 11"/>
    <w:basedOn w:val="1"/>
    <w:qFormat/>
    <w:uiPriority w:val="34"/>
    <w:pPr>
      <w:ind w:firstLine="420" w:firstLineChars="200"/>
    </w:pPr>
    <w:rPr>
      <w:rFonts w:ascii="Calibri" w:hAnsi="Calibri"/>
      <w:szCs w:val="22"/>
    </w:rPr>
  </w:style>
  <w:style w:type="character" w:customStyle="1" w:styleId="58">
    <w:name w:val="font01"/>
    <w:basedOn w:val="26"/>
    <w:qFormat/>
    <w:uiPriority w:val="0"/>
    <w:rPr>
      <w:rFonts w:hint="default" w:ascii="Arial" w:hAnsi="Arial" w:cs="Arial"/>
      <w:color w:val="000000"/>
      <w:sz w:val="22"/>
      <w:szCs w:val="22"/>
      <w:u w:val="none"/>
    </w:rPr>
  </w:style>
  <w:style w:type="character" w:customStyle="1" w:styleId="59">
    <w:name w:val="font41"/>
    <w:basedOn w:val="26"/>
    <w:qFormat/>
    <w:uiPriority w:val="0"/>
    <w:rPr>
      <w:rFonts w:hint="default" w:ascii="Arial" w:hAnsi="Arial" w:cs="Arial"/>
      <w:color w:val="000000"/>
      <w:sz w:val="22"/>
      <w:szCs w:val="22"/>
      <w:u w:val="none"/>
    </w:rPr>
  </w:style>
  <w:style w:type="character" w:customStyle="1" w:styleId="60">
    <w:name w:val="font101"/>
    <w:basedOn w:val="26"/>
    <w:qFormat/>
    <w:uiPriority w:val="0"/>
    <w:rPr>
      <w:rFonts w:ascii="Arial" w:hAnsi="Arial" w:cs="Arial"/>
      <w:color w:val="000000"/>
      <w:sz w:val="20"/>
      <w:szCs w:val="20"/>
      <w:u w:val="none"/>
    </w:rPr>
  </w:style>
  <w:style w:type="character" w:customStyle="1" w:styleId="61">
    <w:name w:val="font61"/>
    <w:basedOn w:val="26"/>
    <w:qFormat/>
    <w:uiPriority w:val="0"/>
    <w:rPr>
      <w:rFonts w:hint="eastAsia" w:ascii="仿宋" w:hAnsi="仿宋" w:eastAsia="仿宋" w:cs="仿宋"/>
      <w:color w:val="000000"/>
      <w:sz w:val="20"/>
      <w:szCs w:val="20"/>
      <w:u w:val="none"/>
    </w:rPr>
  </w:style>
  <w:style w:type="paragraph" w:customStyle="1" w:styleId="6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3">
    <w:name w:val="标题 5（有编号）（绿盟科技）"/>
    <w:basedOn w:val="1"/>
    <w:next w:val="64"/>
    <w:qFormat/>
    <w:uiPriority w:val="0"/>
    <w:pPr>
      <w:keepNext/>
      <w:keepLines/>
      <w:numPr>
        <w:ilvl w:val="4"/>
        <w:numId w:val="1"/>
      </w:numPr>
      <w:spacing w:before="280" w:after="156" w:line="377" w:lineRule="auto"/>
      <w:outlineLvl w:val="4"/>
    </w:pPr>
    <w:rPr>
      <w:rFonts w:eastAsia="黑体"/>
      <w:b/>
      <w:szCs w:val="28"/>
    </w:rPr>
  </w:style>
  <w:style w:type="paragraph" w:customStyle="1" w:styleId="64">
    <w:name w:val="正文（绿盟科技）"/>
    <w:qFormat/>
    <w:uiPriority w:val="0"/>
    <w:pPr>
      <w:spacing w:line="300" w:lineRule="auto"/>
    </w:pPr>
    <w:rPr>
      <w:rFonts w:ascii="Times New Roman" w:hAnsi="Times New Roman" w:eastAsia="宋体" w:cs="黑体"/>
      <w:sz w:val="21"/>
      <w:szCs w:val="21"/>
      <w:lang w:val="en-US" w:eastAsia="zh-CN" w:bidi="ar-SA"/>
    </w:rPr>
  </w:style>
  <w:style w:type="character" w:customStyle="1" w:styleId="65">
    <w:name w:val="font11"/>
    <w:basedOn w:val="26"/>
    <w:qFormat/>
    <w:uiPriority w:val="0"/>
    <w:rPr>
      <w:rFonts w:hint="eastAsia" w:ascii="宋体" w:hAnsi="宋体" w:eastAsia="宋体" w:cs="宋体"/>
      <w:color w:val="000000"/>
      <w:sz w:val="22"/>
      <w:szCs w:val="22"/>
      <w:u w:val="none"/>
    </w:rPr>
  </w:style>
  <w:style w:type="character" w:customStyle="1" w:styleId="66">
    <w:name w:val="nth-of-type(1)"/>
    <w:basedOn w:val="26"/>
    <w:qFormat/>
    <w:uiPriority w:val="0"/>
  </w:style>
  <w:style w:type="character" w:customStyle="1" w:styleId="67">
    <w:name w:val="nth-of-type(1)1"/>
    <w:basedOn w:val="26"/>
    <w:qFormat/>
    <w:uiPriority w:val="0"/>
  </w:style>
  <w:style w:type="character" w:customStyle="1" w:styleId="68">
    <w:name w:val="nth-of-type(1)2"/>
    <w:basedOn w:val="26"/>
    <w:qFormat/>
    <w:uiPriority w:val="0"/>
  </w:style>
  <w:style w:type="character" w:customStyle="1" w:styleId="69">
    <w:name w:val="nth-of-type(1)3"/>
    <w:basedOn w:val="26"/>
    <w:qFormat/>
    <w:uiPriority w:val="0"/>
  </w:style>
  <w:style w:type="character" w:customStyle="1" w:styleId="70">
    <w:name w:val="nth-of-type(1)4"/>
    <w:basedOn w:val="26"/>
    <w:qFormat/>
    <w:uiPriority w:val="0"/>
  </w:style>
  <w:style w:type="character" w:customStyle="1" w:styleId="71">
    <w:name w:val="nth-of-type(1)5"/>
    <w:basedOn w:val="26"/>
    <w:qFormat/>
    <w:uiPriority w:val="0"/>
  </w:style>
  <w:style w:type="character" w:customStyle="1" w:styleId="72">
    <w:name w:val="nth-of-type(1)6"/>
    <w:basedOn w:val="26"/>
    <w:qFormat/>
    <w:uiPriority w:val="0"/>
    <w:rPr>
      <w:rFonts w:ascii="SourceHanSansCN-Regular" w:hAnsi="SourceHanSansCN-Regular" w:eastAsia="SourceHanSansCN-Regular" w:cs="SourceHanSansCN-Regular"/>
      <w:color w:val="FB560A"/>
      <w:sz w:val="21"/>
      <w:szCs w:val="21"/>
    </w:rPr>
  </w:style>
  <w:style w:type="character" w:customStyle="1" w:styleId="73">
    <w:name w:val="nth-of-type(1)7"/>
    <w:basedOn w:val="26"/>
    <w:qFormat/>
    <w:uiPriority w:val="0"/>
  </w:style>
  <w:style w:type="character" w:customStyle="1" w:styleId="74">
    <w:name w:val="nth-of-type(1)8"/>
    <w:basedOn w:val="26"/>
    <w:qFormat/>
    <w:uiPriority w:val="0"/>
  </w:style>
  <w:style w:type="character" w:customStyle="1" w:styleId="75">
    <w:name w:val="nth-of-type(1)9"/>
    <w:basedOn w:val="26"/>
    <w:qFormat/>
    <w:uiPriority w:val="0"/>
  </w:style>
  <w:style w:type="character" w:customStyle="1" w:styleId="76">
    <w:name w:val="nth-of-type(1)10"/>
    <w:basedOn w:val="26"/>
    <w:qFormat/>
    <w:uiPriority w:val="0"/>
  </w:style>
  <w:style w:type="character" w:customStyle="1" w:styleId="77">
    <w:name w:val="nth-of-type(1)11"/>
    <w:basedOn w:val="26"/>
    <w:qFormat/>
    <w:uiPriority w:val="0"/>
  </w:style>
  <w:style w:type="character" w:customStyle="1" w:styleId="78">
    <w:name w:val="nth-of-type(1)12"/>
    <w:basedOn w:val="26"/>
    <w:qFormat/>
    <w:uiPriority w:val="0"/>
  </w:style>
  <w:style w:type="character" w:customStyle="1" w:styleId="79">
    <w:name w:val="nth-of-type(1)13"/>
    <w:basedOn w:val="26"/>
    <w:qFormat/>
    <w:uiPriority w:val="0"/>
    <w:rPr>
      <w:sz w:val="21"/>
      <w:szCs w:val="21"/>
    </w:rPr>
  </w:style>
  <w:style w:type="character" w:customStyle="1" w:styleId="80">
    <w:name w:val="nth-of-type(1)14"/>
    <w:basedOn w:val="26"/>
    <w:qFormat/>
    <w:uiPriority w:val="0"/>
  </w:style>
  <w:style w:type="character" w:customStyle="1" w:styleId="81">
    <w:name w:val="nth-of-type(1)15"/>
    <w:basedOn w:val="26"/>
    <w:qFormat/>
    <w:uiPriority w:val="0"/>
  </w:style>
  <w:style w:type="character" w:customStyle="1" w:styleId="82">
    <w:name w:val="nth-of-type(1)16"/>
    <w:basedOn w:val="26"/>
    <w:qFormat/>
    <w:uiPriority w:val="0"/>
  </w:style>
  <w:style w:type="character" w:customStyle="1" w:styleId="83">
    <w:name w:val="nth-of-type(1)17"/>
    <w:basedOn w:val="26"/>
    <w:qFormat/>
    <w:uiPriority w:val="0"/>
  </w:style>
  <w:style w:type="character" w:customStyle="1" w:styleId="84">
    <w:name w:val="nth-of-type(1)18"/>
    <w:basedOn w:val="26"/>
    <w:qFormat/>
    <w:uiPriority w:val="0"/>
  </w:style>
  <w:style w:type="character" w:customStyle="1" w:styleId="85">
    <w:name w:val="hover25"/>
    <w:basedOn w:val="26"/>
    <w:qFormat/>
    <w:uiPriority w:val="0"/>
    <w:rPr>
      <w:color w:val="167AE0"/>
    </w:rPr>
  </w:style>
  <w:style w:type="character" w:customStyle="1" w:styleId="86">
    <w:name w:val="layui-this"/>
    <w:basedOn w:val="26"/>
    <w:qFormat/>
    <w:uiPriority w:val="0"/>
    <w:rPr>
      <w:bdr w:val="single" w:color="EEEEEE" w:sz="6" w:space="0"/>
      <w:shd w:val="clear" w:fill="FFFFFF"/>
    </w:rPr>
  </w:style>
  <w:style w:type="character" w:customStyle="1" w:styleId="87">
    <w:name w:val="nth-of-type(5)"/>
    <w:basedOn w:val="26"/>
    <w:qFormat/>
    <w:uiPriority w:val="0"/>
  </w:style>
  <w:style w:type="character" w:customStyle="1" w:styleId="88">
    <w:name w:val="nth-of-type(5)1"/>
    <w:basedOn w:val="26"/>
    <w:qFormat/>
    <w:uiPriority w:val="0"/>
  </w:style>
  <w:style w:type="character" w:customStyle="1" w:styleId="89">
    <w:name w:val="nth-of-type(5)2"/>
    <w:basedOn w:val="26"/>
    <w:qFormat/>
    <w:uiPriority w:val="0"/>
  </w:style>
  <w:style w:type="character" w:customStyle="1" w:styleId="90">
    <w:name w:val="nth-of-type(5)3"/>
    <w:basedOn w:val="26"/>
    <w:qFormat/>
    <w:uiPriority w:val="0"/>
  </w:style>
  <w:style w:type="character" w:customStyle="1" w:styleId="91">
    <w:name w:val="nth-of-type(5)4"/>
    <w:basedOn w:val="26"/>
    <w:qFormat/>
    <w:uiPriority w:val="0"/>
    <w:rPr>
      <w:sz w:val="21"/>
      <w:szCs w:val="21"/>
    </w:rPr>
  </w:style>
  <w:style w:type="character" w:customStyle="1" w:styleId="92">
    <w:name w:val="nth-of-type(5)5"/>
    <w:basedOn w:val="26"/>
    <w:qFormat/>
    <w:uiPriority w:val="0"/>
  </w:style>
  <w:style w:type="character" w:customStyle="1" w:styleId="93">
    <w:name w:val="nth-of-type(5)6"/>
    <w:basedOn w:val="26"/>
    <w:qFormat/>
    <w:uiPriority w:val="0"/>
  </w:style>
  <w:style w:type="character" w:customStyle="1" w:styleId="94">
    <w:name w:val="nth-of-type(2)"/>
    <w:basedOn w:val="26"/>
    <w:qFormat/>
    <w:uiPriority w:val="0"/>
  </w:style>
  <w:style w:type="character" w:customStyle="1" w:styleId="95">
    <w:name w:val="nth-of-type(2)1"/>
    <w:basedOn w:val="26"/>
    <w:qFormat/>
    <w:uiPriority w:val="0"/>
  </w:style>
  <w:style w:type="character" w:customStyle="1" w:styleId="96">
    <w:name w:val="nth-of-type(2)2"/>
    <w:basedOn w:val="26"/>
    <w:qFormat/>
    <w:uiPriority w:val="0"/>
  </w:style>
  <w:style w:type="character" w:customStyle="1" w:styleId="97">
    <w:name w:val="nth-of-type(2)3"/>
    <w:basedOn w:val="26"/>
    <w:qFormat/>
    <w:uiPriority w:val="0"/>
  </w:style>
  <w:style w:type="character" w:customStyle="1" w:styleId="98">
    <w:name w:val="nth-of-type(2)4"/>
    <w:basedOn w:val="26"/>
    <w:qFormat/>
    <w:uiPriority w:val="0"/>
  </w:style>
  <w:style w:type="character" w:customStyle="1" w:styleId="99">
    <w:name w:val="nth-of-type(2)5"/>
    <w:basedOn w:val="26"/>
    <w:qFormat/>
    <w:uiPriority w:val="0"/>
  </w:style>
  <w:style w:type="character" w:customStyle="1" w:styleId="100">
    <w:name w:val="nth-of-type(2)6"/>
    <w:basedOn w:val="26"/>
    <w:qFormat/>
    <w:uiPriority w:val="0"/>
  </w:style>
  <w:style w:type="character" w:customStyle="1" w:styleId="101">
    <w:name w:val="nth-of-type(2)7"/>
    <w:basedOn w:val="26"/>
    <w:qFormat/>
    <w:uiPriority w:val="0"/>
  </w:style>
  <w:style w:type="character" w:customStyle="1" w:styleId="102">
    <w:name w:val="nth-of-type(2)8"/>
    <w:basedOn w:val="26"/>
    <w:qFormat/>
    <w:uiPriority w:val="0"/>
  </w:style>
  <w:style w:type="character" w:customStyle="1" w:styleId="103">
    <w:name w:val="nth-of-type(2)9"/>
    <w:basedOn w:val="26"/>
    <w:qFormat/>
    <w:uiPriority w:val="0"/>
  </w:style>
  <w:style w:type="character" w:customStyle="1" w:styleId="104">
    <w:name w:val="nth-of-type(2)10"/>
    <w:basedOn w:val="26"/>
    <w:qFormat/>
    <w:uiPriority w:val="0"/>
    <w:rPr>
      <w:sz w:val="21"/>
      <w:szCs w:val="21"/>
    </w:rPr>
  </w:style>
  <w:style w:type="character" w:customStyle="1" w:styleId="105">
    <w:name w:val="nth-of-type(2)11"/>
    <w:basedOn w:val="26"/>
    <w:qFormat/>
    <w:uiPriority w:val="0"/>
  </w:style>
  <w:style w:type="character" w:customStyle="1" w:styleId="106">
    <w:name w:val="nth-of-type(2)12"/>
    <w:basedOn w:val="26"/>
    <w:qFormat/>
    <w:uiPriority w:val="0"/>
  </w:style>
  <w:style w:type="character" w:customStyle="1" w:styleId="107">
    <w:name w:val="nth-of-type(2)13"/>
    <w:basedOn w:val="26"/>
    <w:qFormat/>
    <w:uiPriority w:val="0"/>
  </w:style>
  <w:style w:type="character" w:customStyle="1" w:styleId="108">
    <w:name w:val="nth-of-type(2)14"/>
    <w:basedOn w:val="26"/>
    <w:qFormat/>
    <w:uiPriority w:val="0"/>
  </w:style>
  <w:style w:type="character" w:customStyle="1" w:styleId="109">
    <w:name w:val="before2"/>
    <w:basedOn w:val="26"/>
    <w:qFormat/>
    <w:uiPriority w:val="0"/>
    <w:rPr>
      <w:shd w:val="clear" w:fill="C20E0C"/>
    </w:rPr>
  </w:style>
  <w:style w:type="character" w:customStyle="1" w:styleId="110">
    <w:name w:val="nth-of-type(4)"/>
    <w:basedOn w:val="26"/>
    <w:qFormat/>
    <w:uiPriority w:val="0"/>
  </w:style>
  <w:style w:type="character" w:customStyle="1" w:styleId="111">
    <w:name w:val="nth-of-type(4)1"/>
    <w:basedOn w:val="26"/>
    <w:qFormat/>
    <w:uiPriority w:val="0"/>
  </w:style>
  <w:style w:type="character" w:customStyle="1" w:styleId="112">
    <w:name w:val="nth-of-type(4)2"/>
    <w:basedOn w:val="26"/>
    <w:qFormat/>
    <w:uiPriority w:val="0"/>
  </w:style>
  <w:style w:type="character" w:customStyle="1" w:styleId="113">
    <w:name w:val="nth-of-type(4)3"/>
    <w:basedOn w:val="26"/>
    <w:qFormat/>
    <w:uiPriority w:val="0"/>
  </w:style>
  <w:style w:type="character" w:customStyle="1" w:styleId="114">
    <w:name w:val="nth-of-type(4)4"/>
    <w:basedOn w:val="26"/>
    <w:qFormat/>
    <w:uiPriority w:val="0"/>
    <w:rPr>
      <w:sz w:val="21"/>
      <w:szCs w:val="21"/>
    </w:rPr>
  </w:style>
  <w:style w:type="character" w:customStyle="1" w:styleId="115">
    <w:name w:val="nth-of-type(4)5"/>
    <w:basedOn w:val="26"/>
    <w:qFormat/>
    <w:uiPriority w:val="0"/>
  </w:style>
  <w:style w:type="character" w:customStyle="1" w:styleId="116">
    <w:name w:val="nth-of-type(4)6"/>
    <w:basedOn w:val="26"/>
    <w:qFormat/>
    <w:uiPriority w:val="0"/>
  </w:style>
  <w:style w:type="character" w:customStyle="1" w:styleId="117">
    <w:name w:val="nth-of-type(4)7"/>
    <w:basedOn w:val="26"/>
    <w:qFormat/>
    <w:uiPriority w:val="0"/>
  </w:style>
  <w:style w:type="character" w:customStyle="1" w:styleId="118">
    <w:name w:val="nth-of-type(4)8"/>
    <w:basedOn w:val="26"/>
    <w:qFormat/>
    <w:uiPriority w:val="0"/>
  </w:style>
  <w:style w:type="character" w:customStyle="1" w:styleId="119">
    <w:name w:val="nth-of-type(6)"/>
    <w:basedOn w:val="26"/>
    <w:qFormat/>
    <w:uiPriority w:val="0"/>
  </w:style>
  <w:style w:type="character" w:customStyle="1" w:styleId="120">
    <w:name w:val="nth-of-type(6)1"/>
    <w:basedOn w:val="26"/>
    <w:qFormat/>
    <w:uiPriority w:val="0"/>
    <w:rPr>
      <w:color w:val="0082DF"/>
    </w:rPr>
  </w:style>
  <w:style w:type="character" w:customStyle="1" w:styleId="121">
    <w:name w:val="nth-of-type(6)2"/>
    <w:basedOn w:val="26"/>
    <w:qFormat/>
    <w:uiPriority w:val="0"/>
  </w:style>
  <w:style w:type="character" w:customStyle="1" w:styleId="122">
    <w:name w:val="nth-of-type(6)3"/>
    <w:basedOn w:val="26"/>
    <w:qFormat/>
    <w:uiPriority w:val="0"/>
  </w:style>
  <w:style w:type="character" w:customStyle="1" w:styleId="123">
    <w:name w:val="nth-of-type(6)4"/>
    <w:basedOn w:val="26"/>
    <w:qFormat/>
    <w:uiPriority w:val="0"/>
  </w:style>
  <w:style w:type="character" w:customStyle="1" w:styleId="124">
    <w:name w:val="nth-of-type(6)5"/>
    <w:basedOn w:val="26"/>
    <w:qFormat/>
    <w:uiPriority w:val="0"/>
  </w:style>
  <w:style w:type="character" w:customStyle="1" w:styleId="125">
    <w:name w:val="nth-of-type(8)"/>
    <w:basedOn w:val="26"/>
    <w:qFormat/>
    <w:uiPriority w:val="0"/>
  </w:style>
  <w:style w:type="character" w:customStyle="1" w:styleId="126">
    <w:name w:val="lineshow"/>
    <w:basedOn w:val="26"/>
    <w:qFormat/>
    <w:uiPriority w:val="0"/>
  </w:style>
  <w:style w:type="character" w:customStyle="1" w:styleId="127">
    <w:name w:val="lineshow1"/>
    <w:basedOn w:val="26"/>
    <w:qFormat/>
    <w:uiPriority w:val="0"/>
  </w:style>
  <w:style w:type="character" w:customStyle="1" w:styleId="128">
    <w:name w:val="nth-child(3)"/>
    <w:basedOn w:val="26"/>
    <w:qFormat/>
    <w:uiPriority w:val="0"/>
  </w:style>
  <w:style w:type="character" w:customStyle="1" w:styleId="129">
    <w:name w:val="nth-of-type(7)"/>
    <w:basedOn w:val="26"/>
    <w:qFormat/>
    <w:uiPriority w:val="0"/>
  </w:style>
  <w:style w:type="character" w:customStyle="1" w:styleId="130">
    <w:name w:val="nth-of-type(7)1"/>
    <w:basedOn w:val="26"/>
    <w:qFormat/>
    <w:uiPriority w:val="0"/>
  </w:style>
  <w:style w:type="character" w:customStyle="1" w:styleId="131">
    <w:name w:val="nth-of-type(7)2"/>
    <w:basedOn w:val="26"/>
    <w:qFormat/>
    <w:uiPriority w:val="0"/>
  </w:style>
  <w:style w:type="character" w:customStyle="1" w:styleId="132">
    <w:name w:val="nth-of-type(3)"/>
    <w:basedOn w:val="26"/>
    <w:qFormat/>
    <w:uiPriority w:val="0"/>
  </w:style>
  <w:style w:type="character" w:customStyle="1" w:styleId="133">
    <w:name w:val="nth-of-type(3)1"/>
    <w:basedOn w:val="26"/>
    <w:qFormat/>
    <w:uiPriority w:val="0"/>
  </w:style>
  <w:style w:type="character" w:customStyle="1" w:styleId="134">
    <w:name w:val="nth-of-type(3)2"/>
    <w:basedOn w:val="26"/>
    <w:qFormat/>
    <w:uiPriority w:val="0"/>
  </w:style>
  <w:style w:type="character" w:customStyle="1" w:styleId="135">
    <w:name w:val="nth-of-type(3)3"/>
    <w:basedOn w:val="26"/>
    <w:qFormat/>
    <w:uiPriority w:val="0"/>
    <w:rPr>
      <w:sz w:val="21"/>
      <w:szCs w:val="21"/>
    </w:rPr>
  </w:style>
  <w:style w:type="character" w:customStyle="1" w:styleId="136">
    <w:name w:val="nth-of-type(3)4"/>
    <w:basedOn w:val="26"/>
    <w:qFormat/>
    <w:uiPriority w:val="0"/>
  </w:style>
  <w:style w:type="character" w:customStyle="1" w:styleId="137">
    <w:name w:val="nth-of-type(3)5"/>
    <w:basedOn w:val="26"/>
    <w:qFormat/>
    <w:uiPriority w:val="0"/>
  </w:style>
  <w:style w:type="character" w:customStyle="1" w:styleId="138">
    <w:name w:val="nth-of-type(3)6"/>
    <w:basedOn w:val="26"/>
    <w:qFormat/>
    <w:uiPriority w:val="0"/>
  </w:style>
  <w:style w:type="character" w:customStyle="1" w:styleId="139">
    <w:name w:val="nth-of-type(3)7"/>
    <w:basedOn w:val="26"/>
    <w:qFormat/>
    <w:uiPriority w:val="0"/>
  </w:style>
  <w:style w:type="character" w:customStyle="1" w:styleId="140">
    <w:name w:val="nth-of-type(9)"/>
    <w:basedOn w:val="26"/>
    <w:qFormat/>
    <w:uiPriority w:val="0"/>
  </w:style>
  <w:style w:type="character" w:customStyle="1" w:styleId="141">
    <w:name w:val="nth-of-type(10)"/>
    <w:basedOn w:val="26"/>
    <w:qFormat/>
    <w:uiPriority w:val="0"/>
  </w:style>
  <w:style w:type="character" w:customStyle="1" w:styleId="142">
    <w:name w:val="titleshow"/>
    <w:basedOn w:val="26"/>
    <w:qFormat/>
    <w:uiPriority w:val="0"/>
    <w:rPr>
      <w:color w:val="3E464C"/>
    </w:rPr>
  </w:style>
  <w:style w:type="character" w:customStyle="1" w:styleId="143">
    <w:name w:val="nth-child(2)"/>
    <w:basedOn w:val="26"/>
    <w:qFormat/>
    <w:uiPriority w:val="0"/>
  </w:style>
  <w:style w:type="character" w:customStyle="1" w:styleId="144">
    <w:name w:val="last-child1"/>
    <w:basedOn w:val="26"/>
    <w:qFormat/>
    <w:uiPriority w:val="0"/>
    <w:rPr>
      <w:color w:val="FFFFFF"/>
    </w:rPr>
  </w:style>
  <w:style w:type="character" w:customStyle="1" w:styleId="145">
    <w:name w:val="last-child2"/>
    <w:basedOn w:val="26"/>
    <w:qFormat/>
    <w:uiPriority w:val="0"/>
  </w:style>
  <w:style w:type="character" w:customStyle="1" w:styleId="146">
    <w:name w:val="last-child3"/>
    <w:basedOn w:val="26"/>
    <w:qFormat/>
    <w:uiPriority w:val="0"/>
  </w:style>
  <w:style w:type="character" w:customStyle="1" w:styleId="147">
    <w:name w:val="nth-child(1)"/>
    <w:basedOn w:val="26"/>
    <w:qFormat/>
    <w:uiPriority w:val="0"/>
  </w:style>
  <w:style w:type="character" w:customStyle="1" w:styleId="148">
    <w:name w:val="first-child1"/>
    <w:basedOn w:val="26"/>
    <w:qFormat/>
    <w:uiPriority w:val="0"/>
  </w:style>
  <w:style w:type="character" w:customStyle="1" w:styleId="149">
    <w:name w:val="first-child2"/>
    <w:basedOn w:val="26"/>
    <w:qFormat/>
    <w:uiPriority w:val="0"/>
  </w:style>
  <w:style w:type="character" w:customStyle="1" w:styleId="150">
    <w:name w:val="first-child3"/>
    <w:basedOn w:val="26"/>
    <w:qFormat/>
    <w:uiPriority w:val="0"/>
  </w:style>
  <w:style w:type="character" w:customStyle="1" w:styleId="151">
    <w:name w:val="first-child4"/>
    <w:basedOn w:val="26"/>
    <w:qFormat/>
    <w:uiPriority w:val="0"/>
  </w:style>
  <w:style w:type="character" w:customStyle="1" w:styleId="152">
    <w:name w:val="layui-laypage-curr"/>
    <w:basedOn w:val="26"/>
    <w:qFormat/>
    <w:uiPriority w:val="0"/>
  </w:style>
  <w:style w:type="paragraph" w:customStyle="1" w:styleId="153">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54">
    <w:name w:val="标题 3 Char"/>
    <w:basedOn w:val="26"/>
    <w:link w:val="6"/>
    <w:qFormat/>
    <w:locked/>
    <w:uiPriority w:val="99"/>
    <w:rPr>
      <w:b/>
      <w:sz w:val="28"/>
    </w:rPr>
  </w:style>
  <w:style w:type="character" w:customStyle="1" w:styleId="155">
    <w:name w:val="font121"/>
    <w:basedOn w:val="26"/>
    <w:qFormat/>
    <w:uiPriority w:val="0"/>
    <w:rPr>
      <w:rFonts w:hint="eastAsia" w:ascii="宋体" w:hAnsi="宋体" w:eastAsia="宋体" w:cs="宋体"/>
      <w:color w:val="000000"/>
      <w:sz w:val="22"/>
      <w:szCs w:val="22"/>
      <w:u w:val="none"/>
    </w:rPr>
  </w:style>
  <w:style w:type="character" w:customStyle="1" w:styleId="156">
    <w:name w:val="font151"/>
    <w:basedOn w:val="26"/>
    <w:qFormat/>
    <w:uiPriority w:val="0"/>
    <w:rPr>
      <w:rFonts w:ascii="Arial" w:hAnsi="Arial" w:cs="Arial"/>
      <w:color w:val="000000"/>
      <w:sz w:val="22"/>
      <w:szCs w:val="22"/>
      <w:u w:val="none"/>
    </w:rPr>
  </w:style>
  <w:style w:type="character" w:customStyle="1" w:styleId="157">
    <w:name w:val="font221"/>
    <w:basedOn w:val="26"/>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0" Type="http://schemas.openxmlformats.org/officeDocument/2006/relationships/fontTable" Target="fontTable.xml"/><Relationship Id="rId4" Type="http://schemas.openxmlformats.org/officeDocument/2006/relationships/header" Target="header2.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jpeg"/><Relationship Id="rId36" Type="http://schemas.openxmlformats.org/officeDocument/2006/relationships/theme" Target="theme/theme1.xml"/><Relationship Id="rId35" Type="http://schemas.openxmlformats.org/officeDocument/2006/relationships/footer" Target="footer20.xml"/><Relationship Id="rId34" Type="http://schemas.openxmlformats.org/officeDocument/2006/relationships/footer" Target="footer19.xml"/><Relationship Id="rId33" Type="http://schemas.openxmlformats.org/officeDocument/2006/relationships/header" Target="header13.xml"/><Relationship Id="rId32" Type="http://schemas.openxmlformats.org/officeDocument/2006/relationships/footer" Target="footer18.xml"/><Relationship Id="rId31" Type="http://schemas.openxmlformats.org/officeDocument/2006/relationships/header" Target="header12.xml"/><Relationship Id="rId30" Type="http://schemas.openxmlformats.org/officeDocument/2006/relationships/footer" Target="footer17.xml"/><Relationship Id="rId3" Type="http://schemas.openxmlformats.org/officeDocument/2006/relationships/header" Target="header1.xml"/><Relationship Id="rId29" Type="http://schemas.openxmlformats.org/officeDocument/2006/relationships/footer" Target="footer16.xml"/><Relationship Id="rId28" Type="http://schemas.openxmlformats.org/officeDocument/2006/relationships/footer" Target="footer15.xml"/><Relationship Id="rId27" Type="http://schemas.openxmlformats.org/officeDocument/2006/relationships/header" Target="header11.xml"/><Relationship Id="rId26" Type="http://schemas.openxmlformats.org/officeDocument/2006/relationships/header" Target="header10.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3074"/>
    <customShpInfo spid="_x0000_s3073"/>
    <customShpInfo spid="_x0000_s3075"/>
    <customShpInfo spid="_x0000_s3077" textRotate="1"/>
    <customShpInfo spid="_x0000_s3078"/>
    <customShpInfo spid="_x0000_s3076" textRotate="1"/>
    <customShpInfo spid="_x0000_s3081"/>
    <customShpInfo spid="_x0000_s3080"/>
    <customShpInfo spid="_x0000_s3083"/>
    <customShpInfo spid="_x0000_s3082"/>
    <customShpInfo spid="_x0000_s3084" textRotate="1"/>
    <customShpInfo spid="_x0000_s3085" textRotate="1"/>
    <customShpInfo spid="_x0000_s3087" textRotate="1"/>
    <customShpInfo spid="_x0000_s3086" textRotate="1"/>
    <customShpInfo spid="_x0000_s2050"/>
    <customShpInfo spid="_x0000_s2051"/>
    <customShpInfo spid="_x0000_s2052"/>
    <customShpInfo spid="_x0000_s2053"/>
    <customShpInfo spid="_x0000_s2054"/>
    <customShpInfo spid="_x0000_s2055"/>
    <customShpInfo spid="_x0000_s2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Micorosoft</Company>
  <Pages>112</Pages>
  <Words>44449</Words>
  <Characters>48973</Characters>
  <Lines>1</Lines>
  <Paragraphs>1</Paragraphs>
  <TotalTime>0</TotalTime>
  <ScaleCrop>false</ScaleCrop>
  <LinksUpToDate>false</LinksUpToDate>
  <CharactersWithSpaces>51367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2018-04-20T03:47:00Z</dcterms:created>
  <dc:creator>Administrator</dc:creator>
  <cp:lastModifiedBy>QinL109</cp:lastModifiedBy>
  <cp:lastPrinted>2021-07-12T06:24:00Z</cp:lastPrinted>
  <dcterms:modified xsi:type="dcterms:W3CDTF">2023-06-28T03:27:05Z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E244BE1521F748C4B7CE0919B350EA60</vt:lpwstr>
  </property>
  <property fmtid="{D5CDD505-2E9C-101B-9397-08002B2CF9AE}" pid="4" name="commondata">
    <vt:lpwstr>eyJoZGlkIjoiZDA1NjllZTBmZjRkODQ4Yzg1ZWZjMzk1NDljZWE0OWQifQ==</vt:lpwstr>
  </property>
</Properties>
</file>