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auto"/>
        <w:spacing w:before="120" w:beforeLines="50" w:after="0" w:line="360" w:lineRule="auto"/>
        <w:ind w:firstLine="0" w:firstLineChars="0"/>
        <w:jc w:val="center"/>
        <w:outlineLvl w:val="0"/>
        <w:rPr>
          <w:rFonts w:hint="eastAsia"/>
          <w:color w:val="auto"/>
          <w:highlight w:val="none"/>
          <w:lang w:val="en-US" w:eastAsia="zh-CN"/>
        </w:rPr>
      </w:pPr>
      <w:r>
        <w:rPr>
          <w:rFonts w:hint="eastAsia" w:ascii="宋体" w:hAnsi="宋体" w:eastAsia="宋体" w:cs="宋体"/>
          <w:color w:val="auto"/>
          <w:sz w:val="32"/>
          <w:szCs w:val="32"/>
          <w:highlight w:val="none"/>
        </w:rPr>
        <w:t>招标内容及要求</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3"/>
        <w:gridCol w:w="1115"/>
        <w:gridCol w:w="12"/>
        <w:gridCol w:w="4243"/>
        <w:gridCol w:w="16"/>
        <w:gridCol w:w="972"/>
        <w:gridCol w:w="18"/>
        <w:gridCol w:w="715"/>
        <w:gridCol w:w="16"/>
        <w:gridCol w:w="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182" w:type="dxa"/>
            <w:gridSpan w:val="2"/>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317" w:type="dxa"/>
            <w:gridSpan w:val="2"/>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系统</w:t>
            </w:r>
          </w:p>
        </w:tc>
        <w:tc>
          <w:tcPr>
            <w:tcW w:w="4960"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描述</w:t>
            </w:r>
          </w:p>
        </w:tc>
        <w:tc>
          <w:tcPr>
            <w:tcW w:w="1155" w:type="dxa"/>
            <w:gridSpan w:val="2"/>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876" w:type="dxa"/>
            <w:gridSpan w:val="3"/>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473" w:type="dxa"/>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blHeader/>
        </w:trPr>
        <w:tc>
          <w:tcPr>
            <w:tcW w:w="9963" w:type="dxa"/>
            <w:gridSpan w:val="11"/>
            <w:tcBorders>
              <w:top w:val="single" w:color="000000" w:sz="4" w:space="0"/>
              <w:left w:val="single" w:color="000000" w:sz="8"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一、平台软件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警情信息同步接入</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(1)支持通过数据库视图方式、API服务接口方式方式对接公安网110接处警系统，接入读取110接处警系统的警情信息。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(2)对接读取110警情信息可以包括接警单、处警单、出警单、反馈单等多类信息。</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8"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警单接入列表展现</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按照当前登陆用户的部门角色权限，在列表中通过卡片的形式展现实时接收到的接警信息，警情卡片信息能够呈现报警时间、区域、位置、报警内容、警情级别和处置状态，可在卡片上快速对警情进行处置、置顶显示或移交。</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(2)支持按照接警信息中的报警类型、警情级别，对列表中展现的接警信息进行简单筛选展示。</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(3)支持按照接警信息中的报警时间、案发地点、报警电话、报警类别、报警类型、接警状态、管辖单位、报警内容等纬度，对列表中展现的接警信息进行高级筛选、内容检索展示。</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警单详细信息展现</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(1)支持展现警情的接警情况信息，可包括警情级别、报警电话、报警时间、警单编号、警情类别、警情类型、管辖单位、案发地址、报警内容、报警录音、基站定位、校正定位、短信定位等接警信息。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(2)支持展现警情的反馈情况信息，可包括现场反馈、最终反馈对应的反馈时间、反馈单位、反馈内容等信息。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(3)支持展现警情的出警情况信息，可包括出警单位、出警时间、出警人员、出警车辆等信息。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(4)支持展现警情的处置时间进度，可包括接警、派单、签收、出警、到场、初反、终反等处置节点的起始时间、持续时间、超时状态。</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(5)针对举报类警情，支持派出所层面的用户无法查看报警人电话、报警人员的背景信息，提高敏感警情信息的保密程度。</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(6)支持点击报警内容复制，可自动复制报警内容文本，以便指挥员的相关文本整理、信息报送工作中的报警内容快速复制粘贴。</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报警人员核查展现</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(1)支持对接常口、暂口库，根据报警手机号码自动进行报警人员的身份信息匹配，并实时展现报警人员人员姓名、身份证号码、照片、户籍、暂住地址、工作单位等信息。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(2)支持根据涉警手机号码进行同一手机号码的历史报警检索匹配，实时展现该手机号码的历史报警时间、内容、处置情况等信息。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支持对接重点人员管控数据库，根据身份证号码自动进行报警人员的身份标签信息的最优关联匹配，并实时展现报警人员的涉恐人员、涉稳人员、重大刑事犯罪前科人员、涉毒人员、在逃人员、肇事肇祸精神病人、重点上访人员等标签身份信息。</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报警人员实时联动</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(1)支持根据展现的报警手机号码，对报警人发起语音电话呼叫，与报警人进行实时通话。</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(2)支持根据展现的报警手机号码，将报警人电话拉进当前正在进行多方指挥调度群组中，实现报警人员、接警人员、值班民警、出警民警等多方实时在线联动。</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★警情定位联动上图</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(1)支持打开接警单、处警单时，自动联动警情上图功能。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(2)地图应用包括辖区矢量地图，支持对接第三方地图引擎。</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(3)支持POI兴趣点、标准地址的图上地址检索、撒点显示。支持视频点位图上撒点、图上视频调阅、图上空间检索等视频监控图层应用</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(4)支持点击管辖单位对应的派出所名称，实现显示该派出所的辖区、派出所的驻点的定位联动上图。</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(5)支持点击案发地址对应的地址文本，实现在地图上联动显示该地址的定位，实现案发地址定位联动上图。</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(6)支持点击警情标注，在地图上联动触发警情位置校正标注，拖到地图上的警情图标到特定的位置，实现案发地址的二次标注。</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(7)支持同时显示报警基站定位、短信上报定位等多个定位，支持选址指定的定位信息均可联动上图显示。</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(8)支持根据警情图上定位，自动关联、显示警情的属地派出所、周边派出所、周边警务岗亭等梯次可调作战单位，联动在地图上显示可调作战单位的辖区范围、单位驻地、岗亭位置。</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支持将派警处置中关联的处置单位、出警人员、随行装备，以及指挥过程中动态关联的处置单位、出警人员、随行装备等可调警力资源绑定到警情中，实现先期派警警力、梯次调度警力等现场处置警力的统一展现、统一管理。</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6"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视频监控调阅</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(1)支持警情、事件图上定位为中心，自动关联检索周边的视频监控点位。支持对关联区域半径进行默认配置。支持对区域关联半径进行拖拉，扩大、缩小关联区域半径。</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(2)针对图上关联的视频点位提供多路视频实时播放。可通过配置设定同时播放的视频路数，默认为同时6路播放。多路视频实时播放区域可支持翻页，以便播放更多的视频点位监控。</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(3)地图的多路视频播放区域中播放的窗口与图上关联显示的视频点位可通过数字序号进行一对一标注，向指挥人员直观展现视频点位位置与视频点播窗口的关联关系。</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地图的多路视频播放区域中，可对某个指定播放窗口进行锁定操作，使得该窗口可固定播放当前视频，不受多路视频播放窗口翻页的影响，方便指挥人员在大量翻查现场视频点位过程中即时锁定有效的现场视频。</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(5)地图的多路视频播放区域中，针对选定的播放窗口可支持全屏放大、播放截图、本地录像、云台控制等视频播放控制操作。</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(6)地图的多路视频播放区域中，针对选定的播放窗口可支持联动切换到该视频点位的录像操作界面。在录像操作界面中提供录像检索、录像播放、录像下载等录像播放控制操作。</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(7)支持将指定的视频点位、视频截图、监控录像等视图信息自动上传，并与当前警情进行自动关联。</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视频会议调度</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支持在设备列表中选择指定的视频会议终端发起一键点调，与视频会议终端所在的警种部门进行点对点视频通话。</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★集群对讲调度</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支持在设备列表中、地图撒点上选择指定的集群对讲工作群组发起一键点调，与集群对讲终端持有民警进行语音组呼。</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10</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语音电话调度</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Style w:val="7"/>
                <w:color w:val="auto"/>
                <w:lang w:val="en-US" w:eastAsia="zh-CN" w:bidi="ar"/>
              </w:rPr>
              <w:t>支持在设备列表中选择指定的电话联系号码发起一键点调，与电话通话终端持有民警进行点对点语音通话。</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11</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★指挥调度信息记录</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(1)支持集中展现针对该事件的实时以及历史处置调度信息，包括点调、组会等。支持上级单位，对下级单位的实时调度信息进行实时查看显示。</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(2)支持对当前实时存在的调度组进行调度控制，加入设备、删除设备、静音哑音、画面广播、设置设备媒体源等各类操作。</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(3)目录树下的各类设备，支持根据设备特性，可显示该设备的设备名称、在线状态、调度状态等信息。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(4)多方调度页面支持自动布局、模板布局，支持将融合调度画面复制成无边框组合展现样式，便于投屏显示。</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12</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媒体交换</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支持固定视频监控、视频会议、语音电话、集群语音对讲等设备类型的媒体码流交换，实现指挥调度中监控调阅、语音通话、视频会议、多方会商等功能。</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13</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音频混音</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sz w:val="24"/>
                <w:szCs w:val="24"/>
                <w:u w:val="none"/>
              </w:rPr>
            </w:pPr>
            <w:r>
              <w:rPr>
                <w:rStyle w:val="7"/>
                <w:color w:val="auto"/>
                <w:lang w:val="en-US" w:eastAsia="zh-CN" w:bidi="ar"/>
              </w:rPr>
              <w:t>支持在多人的融合调度场景下的N+1路音频码流输出和N-1路混音输出功能，大大降低应用层多人场景音频调度难度，同时提高混音的输出效果。</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9"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14</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画面合成</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(1)在多方融合调度组中，支持将多路视频图像进行画面合成，形成一路合成视频图像，且合成画面作为一路图像自动加入到当前的融合调度组中。</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(2)画面合成窗口支持提供1屏、2屏、3屏、4屏、5屏、6屏、7屏、8屏、9屏、10屏、11屏、12屏等多种合成布局模式。</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(3)支持将合成画面作为广播源在多方融合调度组内进行广播。</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媒体广播</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支持在调度组内设置音频广播源、视频广播源、双流源广播操作，调度组内成员即可接收广播源的音频、视频。</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媒体转码</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支持对固话手机、集群对讲、视频会议、视频监控等多类型终端设备的语音编码格式进行进行统一编码解码，适配不同终端的音视频收格式能力。</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WebRTC框架</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Style w:val="7"/>
                <w:color w:val="auto"/>
                <w:lang w:val="en-US" w:eastAsia="zh-CN" w:bidi="ar"/>
              </w:rPr>
            </w:pPr>
            <w:r>
              <w:rPr>
                <w:rStyle w:val="7"/>
                <w:color w:val="auto"/>
                <w:lang w:val="en-US" w:eastAsia="zh-CN" w:bidi="ar"/>
              </w:rPr>
              <w:t>(1)支持WebRTC媒体框架，通过H5无插件实现在浏览器上进行视频通信、音频通信等音视频通信调度；</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sz w:val="24"/>
                <w:szCs w:val="24"/>
                <w:u w:val="none"/>
              </w:rPr>
            </w:pPr>
            <w:r>
              <w:rPr>
                <w:rStyle w:val="7"/>
                <w:color w:val="auto"/>
                <w:lang w:val="en-US" w:eastAsia="zh-CN" w:bidi="ar"/>
              </w:rPr>
              <w:t>(</w:t>
            </w:r>
            <w:r>
              <w:rPr>
                <w:rFonts w:hint="eastAsia" w:ascii="仿宋" w:hAnsi="仿宋" w:eastAsia="仿宋" w:cs="仿宋"/>
                <w:i w:val="0"/>
                <w:iCs w:val="0"/>
                <w:color w:val="auto"/>
                <w:kern w:val="0"/>
                <w:sz w:val="24"/>
                <w:szCs w:val="24"/>
                <w:u w:val="none"/>
                <w:lang w:val="en-US" w:eastAsia="zh-CN" w:bidi="ar"/>
              </w:rPr>
              <w:t>2)支持采用SRTP技术的音视频数据加密传输</w:t>
            </w:r>
            <w:r>
              <w:rPr>
                <w:rStyle w:val="8"/>
                <w:color w:val="auto"/>
                <w:lang w:val="en-US" w:eastAsia="zh-CN" w:bidi="ar"/>
              </w:rPr>
              <w:t>。</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18</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设备信息同步</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Style w:val="7"/>
                <w:color w:val="auto"/>
                <w:lang w:val="en-US" w:eastAsia="zh-CN" w:bidi="ar"/>
              </w:rPr>
              <w:t>(1</w:t>
            </w:r>
            <w:r>
              <w:rPr>
                <w:rFonts w:hint="eastAsia" w:ascii="仿宋" w:hAnsi="仿宋" w:eastAsia="仿宋" w:cs="仿宋"/>
                <w:i w:val="0"/>
                <w:iCs w:val="0"/>
                <w:color w:val="auto"/>
                <w:kern w:val="0"/>
                <w:sz w:val="24"/>
                <w:szCs w:val="24"/>
                <w:u w:val="none"/>
                <w:lang w:val="en-US" w:eastAsia="zh-CN" w:bidi="ar"/>
              </w:rPr>
              <w:t>)支持WebRTC媒体框架，通过H5无插件实现在浏览器上进行视频通信、音频通信等音视频通信调度；</w:t>
            </w:r>
          </w:p>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(2)支持采用SRTP技术的音视频数据加密传输。</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3"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19</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设备统一管理</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(1)支持对固话手机、集群对讲机、视频监控、视频会议终端等各类设备赋予统一的国标ID，实现各类设备的统一标识、统一汇聚，实现各类警用通信设备信息的统一管理。</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(2)设备实时在线状态管理。系统提供警用通信设备状态的统一管理。系统可实时管理资源的状态，可直观的掌握资源动态。</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(3)支持服务热备功能，当集群中一台服务器节点出现故障，该节点上运行的服务可自动漂移到集群其他节点上，保证平台的正常运行。</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(4)支持监控集群内的设备服务性能（如CPU、磁盘、网络等各项指标）；支持对各中间件运行情况进行实时监测。</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6"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★场所治安执法检查综合管理系统</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Style w:val="9"/>
                <w:rFonts w:hint="eastAsia"/>
                <w:color w:val="auto"/>
                <w:lang w:val="en-US" w:eastAsia="zh-CN" w:bidi="ar"/>
              </w:rPr>
            </w:pPr>
            <w:r>
              <w:rPr>
                <w:rStyle w:val="9"/>
                <w:rFonts w:hint="eastAsia"/>
                <w:color w:val="auto"/>
                <w:lang w:val="en-US" w:eastAsia="zh-CN" w:bidi="ar"/>
              </w:rPr>
              <w:t>（一）场所治安检查</w:t>
            </w:r>
            <w:r>
              <w:rPr>
                <w:rStyle w:val="9"/>
                <w:color w:val="auto"/>
                <w:lang w:val="en-US" w:eastAsia="zh-CN" w:bidi="ar"/>
              </w:rPr>
              <w:t>(执法)综合管理平台</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0" w:name="_Toc146097666"/>
            <w:r>
              <w:rPr>
                <w:rFonts w:hint="eastAsia" w:ascii="仿宋" w:hAnsi="仿宋" w:eastAsia="仿宋" w:cs="仿宋"/>
                <w:b w:val="0"/>
                <w:bCs w:val="0"/>
                <w:i w:val="0"/>
                <w:iCs w:val="0"/>
                <w:color w:val="auto"/>
                <w:kern w:val="0"/>
                <w:sz w:val="24"/>
                <w:szCs w:val="24"/>
                <w:u w:val="none"/>
                <w:lang w:val="en-US" w:eastAsia="zh-CN" w:bidi="ar"/>
              </w:rPr>
              <w:t>（1）数据大屏</w:t>
            </w:r>
            <w:bookmarkEnd w:id="0"/>
            <w:r>
              <w:rPr>
                <w:rFonts w:hint="eastAsia" w:ascii="仿宋" w:hAnsi="仿宋" w:eastAsia="仿宋" w:cs="仿宋"/>
                <w:b w:val="0"/>
                <w:bCs w:val="0"/>
                <w:i w:val="0"/>
                <w:iCs w:val="0"/>
                <w:color w:val="auto"/>
                <w:kern w:val="0"/>
                <w:sz w:val="24"/>
                <w:szCs w:val="24"/>
                <w:u w:val="none"/>
                <w:lang w:val="en-US" w:eastAsia="zh-CN" w:bidi="ar"/>
              </w:rPr>
              <w:t>：行业场所总数、行业分类、行业场所的统计数据；纳入监管企业、从业人员数据分类统计；警务区统计、执法单位、执法民警统计等。</w:t>
            </w:r>
          </w:p>
          <w:p>
            <w:pPr>
              <w:pStyle w:val="4"/>
              <w:pageBreakBefore w:val="0"/>
              <w:numPr>
                <w:ilvl w:val="2"/>
                <w:numId w:val="0"/>
              </w:numPr>
              <w:kinsoku/>
              <w:wordWrap/>
              <w:overflowPunct/>
              <w:topLinePunct w:val="0"/>
              <w:autoSpaceDE/>
              <w:autoSpaceDN/>
              <w:bidi w:val="0"/>
              <w:adjustRightInd/>
              <w:snapToGrid w:val="0"/>
              <w:spacing w:before="0" w:after="0" w:line="240" w:lineRule="auto"/>
              <w:ind w:leftChars="0"/>
              <w:jc w:val="center"/>
              <w:rPr>
                <w:rFonts w:hint="eastAsia" w:ascii="仿宋" w:hAnsi="仿宋" w:eastAsia="仿宋" w:cs="仿宋"/>
                <w:b w:val="0"/>
                <w:bCs w:val="0"/>
                <w:i w:val="0"/>
                <w:iCs w:val="0"/>
                <w:color w:val="auto"/>
                <w:kern w:val="0"/>
                <w:sz w:val="24"/>
                <w:szCs w:val="24"/>
                <w:u w:val="none"/>
                <w:lang w:val="en-US" w:eastAsia="zh-CN" w:bidi="ar"/>
              </w:rPr>
            </w:pPr>
            <w:bookmarkStart w:id="1" w:name="_Toc146097667"/>
            <w:r>
              <w:rPr>
                <w:rFonts w:hint="eastAsia" w:ascii="仿宋" w:hAnsi="仿宋" w:eastAsia="仿宋" w:cs="仿宋"/>
                <w:b w:val="0"/>
                <w:bCs w:val="0"/>
                <w:i w:val="0"/>
                <w:iCs w:val="0"/>
                <w:color w:val="auto"/>
                <w:kern w:val="0"/>
                <w:sz w:val="24"/>
                <w:szCs w:val="24"/>
                <w:u w:val="none"/>
                <w:lang w:val="en-US" w:eastAsia="zh-CN" w:bidi="ar"/>
              </w:rPr>
              <w:t>（2）电子地图</w:t>
            </w:r>
            <w:bookmarkEnd w:id="1"/>
            <w:r>
              <w:rPr>
                <w:rFonts w:hint="eastAsia" w:ascii="仿宋" w:hAnsi="仿宋" w:eastAsia="仿宋" w:cs="仿宋"/>
                <w:b w:val="0"/>
                <w:bCs w:val="0"/>
                <w:i w:val="0"/>
                <w:iCs w:val="0"/>
                <w:color w:val="auto"/>
                <w:kern w:val="0"/>
                <w:sz w:val="24"/>
                <w:szCs w:val="24"/>
                <w:u w:val="none"/>
                <w:lang w:val="en-US" w:eastAsia="zh-CN" w:bidi="ar"/>
              </w:rPr>
              <w:t>：通过地图展示纳入监管企业分布等。</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b w:val="0"/>
                <w:bCs w:val="0"/>
                <w:i w:val="0"/>
                <w:iCs w:val="0"/>
                <w:color w:val="auto"/>
                <w:kern w:val="0"/>
                <w:sz w:val="24"/>
                <w:szCs w:val="24"/>
                <w:u w:val="none"/>
                <w:lang w:val="en-US" w:eastAsia="zh-CN" w:bidi="ar"/>
              </w:rPr>
            </w:pPr>
            <w:bookmarkStart w:id="2" w:name="_Toc146097668"/>
            <w:r>
              <w:rPr>
                <w:rFonts w:hint="eastAsia" w:ascii="仿宋" w:hAnsi="仿宋" w:eastAsia="仿宋" w:cs="仿宋"/>
                <w:b w:val="0"/>
                <w:bCs w:val="0"/>
                <w:i w:val="0"/>
                <w:iCs w:val="0"/>
                <w:color w:val="auto"/>
                <w:kern w:val="0"/>
                <w:sz w:val="24"/>
                <w:szCs w:val="24"/>
                <w:u w:val="none"/>
                <w:lang w:val="en-US" w:eastAsia="zh-CN" w:bidi="ar"/>
              </w:rPr>
              <w:t>（3）执法民警管理</w:t>
            </w:r>
            <w:bookmarkEnd w:id="2"/>
            <w:r>
              <w:rPr>
                <w:rFonts w:hint="eastAsia" w:ascii="仿宋" w:hAnsi="仿宋" w:eastAsia="仿宋" w:cs="仿宋"/>
                <w:b w:val="0"/>
                <w:bCs w:val="0"/>
                <w:i w:val="0"/>
                <w:iCs w:val="0"/>
                <w:color w:val="auto"/>
                <w:kern w:val="0"/>
                <w:sz w:val="24"/>
                <w:szCs w:val="24"/>
                <w:u w:val="none"/>
                <w:lang w:val="en-US" w:eastAsia="zh-CN" w:bidi="ar"/>
              </w:rPr>
              <w:t>：实现按公安治安执法组织架构，对治安业务相关的执法民警的基本信息、证件、岗位、权限等信息的增加、修改等维护处理。</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3" w:name="_Toc146097669"/>
            <w:r>
              <w:rPr>
                <w:rFonts w:hint="eastAsia" w:ascii="仿宋" w:hAnsi="仿宋" w:eastAsia="仿宋" w:cs="仿宋"/>
                <w:b w:val="0"/>
                <w:bCs w:val="0"/>
                <w:i w:val="0"/>
                <w:iCs w:val="0"/>
                <w:color w:val="auto"/>
                <w:kern w:val="0"/>
                <w:sz w:val="24"/>
                <w:szCs w:val="24"/>
                <w:u w:val="none"/>
                <w:lang w:val="en-US" w:eastAsia="zh-CN" w:bidi="ar"/>
              </w:rPr>
              <w:t>（4）企业管理</w:t>
            </w:r>
            <w:bookmarkEnd w:id="3"/>
            <w:r>
              <w:rPr>
                <w:rFonts w:hint="eastAsia" w:ascii="仿宋" w:hAnsi="仿宋" w:eastAsia="仿宋" w:cs="仿宋"/>
                <w:b w:val="0"/>
                <w:bCs w:val="0"/>
                <w:i w:val="0"/>
                <w:iCs w:val="0"/>
                <w:color w:val="auto"/>
                <w:kern w:val="0"/>
                <w:sz w:val="24"/>
                <w:szCs w:val="24"/>
                <w:u w:val="none"/>
                <w:lang w:val="en-US" w:eastAsia="zh-CN" w:bidi="ar"/>
              </w:rPr>
              <w:t>：纳入监管的企业提交的企业信息审核、注销等。</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4" w:name="_Toc146097670"/>
            <w:bookmarkStart w:id="5" w:name="_Hlk150790332"/>
            <w:r>
              <w:rPr>
                <w:rFonts w:hint="eastAsia" w:ascii="仿宋" w:hAnsi="仿宋" w:eastAsia="仿宋" w:cs="仿宋"/>
                <w:b w:val="0"/>
                <w:bCs w:val="0"/>
                <w:i w:val="0"/>
                <w:iCs w:val="0"/>
                <w:color w:val="auto"/>
                <w:kern w:val="0"/>
                <w:sz w:val="24"/>
                <w:szCs w:val="24"/>
                <w:u w:val="none"/>
                <w:lang w:val="en-US" w:eastAsia="zh-CN" w:bidi="ar"/>
              </w:rPr>
              <w:t>（5）企业负责人管理</w:t>
            </w:r>
            <w:bookmarkEnd w:id="4"/>
            <w:r>
              <w:rPr>
                <w:rFonts w:hint="eastAsia" w:ascii="仿宋" w:hAnsi="仿宋" w:eastAsia="仿宋" w:cs="仿宋"/>
                <w:b w:val="0"/>
                <w:bCs w:val="0"/>
                <w:i w:val="0"/>
                <w:iCs w:val="0"/>
                <w:color w:val="auto"/>
                <w:kern w:val="0"/>
                <w:sz w:val="24"/>
                <w:szCs w:val="24"/>
                <w:u w:val="none"/>
                <w:lang w:val="en-US" w:eastAsia="zh-CN" w:bidi="ar"/>
              </w:rPr>
              <w:t>：</w:t>
            </w:r>
            <w:bookmarkEnd w:id="5"/>
            <w:r>
              <w:rPr>
                <w:rFonts w:hint="eastAsia" w:ascii="仿宋" w:hAnsi="仿宋" w:eastAsia="仿宋" w:cs="仿宋"/>
                <w:b w:val="0"/>
                <w:bCs w:val="0"/>
                <w:i w:val="0"/>
                <w:iCs w:val="0"/>
                <w:color w:val="auto"/>
                <w:kern w:val="0"/>
                <w:sz w:val="24"/>
                <w:szCs w:val="24"/>
                <w:u w:val="none"/>
                <w:lang w:val="en-US" w:eastAsia="zh-CN" w:bidi="ar"/>
              </w:rPr>
              <w:t>在管理平台查看和检索纳管企业负责人信息。</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both"/>
              <w:textAlignment w:val="auto"/>
              <w:rPr>
                <w:rFonts w:hint="eastAsia" w:ascii="仿宋" w:hAnsi="仿宋" w:eastAsia="仿宋" w:cs="仿宋"/>
                <w:b w:val="0"/>
                <w:bCs w:val="0"/>
                <w:i w:val="0"/>
                <w:iCs w:val="0"/>
                <w:color w:val="auto"/>
                <w:kern w:val="0"/>
                <w:sz w:val="24"/>
                <w:szCs w:val="24"/>
                <w:u w:val="none"/>
                <w:lang w:val="en-US" w:eastAsia="zh-CN" w:bidi="ar"/>
              </w:rPr>
            </w:pPr>
            <w:bookmarkStart w:id="6" w:name="_Toc146097671"/>
            <w:r>
              <w:rPr>
                <w:rFonts w:hint="eastAsia" w:ascii="仿宋" w:hAnsi="仿宋" w:eastAsia="仿宋" w:cs="仿宋"/>
                <w:b w:val="0"/>
                <w:bCs w:val="0"/>
                <w:i w:val="0"/>
                <w:iCs w:val="0"/>
                <w:color w:val="auto"/>
                <w:kern w:val="0"/>
                <w:sz w:val="24"/>
                <w:szCs w:val="24"/>
                <w:u w:val="none"/>
                <w:lang w:val="en-US" w:eastAsia="zh-CN" w:bidi="ar"/>
              </w:rPr>
              <w:t>（6）检查台账</w:t>
            </w:r>
            <w:bookmarkEnd w:id="6"/>
            <w:r>
              <w:rPr>
                <w:rFonts w:hint="eastAsia" w:ascii="仿宋" w:hAnsi="仿宋" w:eastAsia="仿宋" w:cs="仿宋"/>
                <w:b w:val="0"/>
                <w:bCs w:val="0"/>
                <w:i w:val="0"/>
                <w:iCs w:val="0"/>
                <w:color w:val="auto"/>
                <w:kern w:val="0"/>
                <w:sz w:val="24"/>
                <w:szCs w:val="24"/>
                <w:u w:val="none"/>
                <w:lang w:val="en-US" w:eastAsia="zh-CN" w:bidi="ar"/>
              </w:rPr>
              <w:t>：台账列表、检查详情等。</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7" w:name="_Toc146097672"/>
            <w:r>
              <w:rPr>
                <w:rFonts w:hint="eastAsia" w:ascii="仿宋" w:hAnsi="仿宋" w:eastAsia="仿宋" w:cs="仿宋"/>
                <w:b w:val="0"/>
                <w:bCs w:val="0"/>
                <w:i w:val="0"/>
                <w:iCs w:val="0"/>
                <w:color w:val="auto"/>
                <w:kern w:val="0"/>
                <w:sz w:val="24"/>
                <w:szCs w:val="24"/>
                <w:u w:val="none"/>
                <w:lang w:val="en-US" w:eastAsia="zh-CN" w:bidi="ar"/>
              </w:rPr>
              <w:t>（7）事件管理</w:t>
            </w:r>
            <w:bookmarkEnd w:id="7"/>
            <w:r>
              <w:rPr>
                <w:rFonts w:hint="eastAsia" w:ascii="仿宋" w:hAnsi="仿宋" w:eastAsia="仿宋" w:cs="仿宋"/>
                <w:b w:val="0"/>
                <w:bCs w:val="0"/>
                <w:i w:val="0"/>
                <w:iCs w:val="0"/>
                <w:color w:val="auto"/>
                <w:kern w:val="0"/>
                <w:sz w:val="24"/>
                <w:szCs w:val="24"/>
                <w:u w:val="none"/>
                <w:lang w:val="en-US" w:eastAsia="zh-CN" w:bidi="ar"/>
              </w:rPr>
              <w:t>：在管理平台按检查逾期、回执逾期、复查逾期、复查不合格四种状态等。</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8" w:name="_Toc146097673"/>
            <w:r>
              <w:rPr>
                <w:rFonts w:hint="eastAsia" w:ascii="仿宋" w:hAnsi="仿宋" w:eastAsia="仿宋" w:cs="仿宋"/>
                <w:b w:val="0"/>
                <w:bCs w:val="0"/>
                <w:i w:val="0"/>
                <w:iCs w:val="0"/>
                <w:color w:val="auto"/>
                <w:kern w:val="0"/>
                <w:sz w:val="24"/>
                <w:szCs w:val="24"/>
                <w:u w:val="none"/>
                <w:lang w:val="en-US" w:eastAsia="zh-CN" w:bidi="ar"/>
              </w:rPr>
              <w:t>（8）领导视图</w:t>
            </w:r>
            <w:bookmarkEnd w:id="8"/>
            <w:r>
              <w:rPr>
                <w:rFonts w:hint="eastAsia" w:ascii="仿宋" w:hAnsi="仿宋" w:eastAsia="仿宋" w:cs="仿宋"/>
                <w:b w:val="0"/>
                <w:bCs w:val="0"/>
                <w:i w:val="0"/>
                <w:iCs w:val="0"/>
                <w:color w:val="auto"/>
                <w:kern w:val="0"/>
                <w:sz w:val="24"/>
                <w:szCs w:val="24"/>
                <w:u w:val="none"/>
                <w:lang w:val="en-US" w:eastAsia="zh-CN" w:bidi="ar"/>
              </w:rPr>
              <w:t>：各级领导在管理平台查看执法民警对各个行业场所检查的工作统计情况。</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9" w:name="_Toc146097674"/>
            <w:r>
              <w:rPr>
                <w:rFonts w:hint="eastAsia" w:ascii="仿宋" w:hAnsi="仿宋" w:eastAsia="仿宋" w:cs="仿宋"/>
                <w:b w:val="0"/>
                <w:bCs w:val="0"/>
                <w:i w:val="0"/>
                <w:iCs w:val="0"/>
                <w:color w:val="auto"/>
                <w:kern w:val="0"/>
                <w:sz w:val="24"/>
                <w:szCs w:val="24"/>
                <w:u w:val="none"/>
                <w:lang w:val="en-US" w:eastAsia="zh-CN" w:bidi="ar"/>
              </w:rPr>
              <w:t>（9）公文管理</w:t>
            </w:r>
            <w:bookmarkEnd w:id="9"/>
            <w:r>
              <w:rPr>
                <w:rFonts w:hint="eastAsia" w:ascii="仿宋" w:hAnsi="仿宋" w:eastAsia="仿宋" w:cs="仿宋"/>
                <w:b w:val="0"/>
                <w:bCs w:val="0"/>
                <w:i w:val="0"/>
                <w:iCs w:val="0"/>
                <w:color w:val="auto"/>
                <w:kern w:val="0"/>
                <w:sz w:val="24"/>
                <w:szCs w:val="24"/>
                <w:u w:val="none"/>
                <w:lang w:val="en-US" w:eastAsia="zh-CN" w:bidi="ar"/>
              </w:rPr>
              <w:t>：模板管理、文书统计、预览下载等。</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10" w:name="_Toc146097676"/>
            <w:r>
              <w:rPr>
                <w:rFonts w:hint="eastAsia" w:ascii="仿宋" w:hAnsi="仿宋" w:eastAsia="仿宋" w:cs="仿宋"/>
                <w:b w:val="0"/>
                <w:bCs w:val="0"/>
                <w:i w:val="0"/>
                <w:iCs w:val="0"/>
                <w:color w:val="auto"/>
                <w:kern w:val="0"/>
                <w:sz w:val="24"/>
                <w:szCs w:val="24"/>
                <w:u w:val="none"/>
                <w:lang w:val="en-US" w:eastAsia="zh-CN" w:bidi="ar"/>
              </w:rPr>
              <w:t>（10）法律法规管理</w:t>
            </w:r>
            <w:bookmarkEnd w:id="10"/>
            <w:r>
              <w:rPr>
                <w:rFonts w:hint="eastAsia" w:ascii="仿宋" w:hAnsi="仿宋" w:eastAsia="仿宋" w:cs="仿宋"/>
                <w:b w:val="0"/>
                <w:bCs w:val="0"/>
                <w:i w:val="0"/>
                <w:iCs w:val="0"/>
                <w:color w:val="auto"/>
                <w:kern w:val="0"/>
                <w:sz w:val="24"/>
                <w:szCs w:val="24"/>
                <w:u w:val="none"/>
                <w:lang w:val="en-US" w:eastAsia="zh-CN" w:bidi="ar"/>
              </w:rPr>
              <w:t>：为法律法规新增、编辑、添加、删除条文内容的功能。</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11" w:name="_Toc146097677"/>
            <w:r>
              <w:rPr>
                <w:rFonts w:hint="eastAsia" w:ascii="仿宋" w:hAnsi="仿宋" w:eastAsia="仿宋" w:cs="仿宋"/>
                <w:b w:val="0"/>
                <w:bCs w:val="0"/>
                <w:i w:val="0"/>
                <w:iCs w:val="0"/>
                <w:color w:val="auto"/>
                <w:kern w:val="0"/>
                <w:sz w:val="24"/>
                <w:szCs w:val="24"/>
                <w:u w:val="none"/>
                <w:lang w:val="en-US" w:eastAsia="zh-CN" w:bidi="ar"/>
              </w:rPr>
              <w:t>（11）行业管理</w:t>
            </w:r>
            <w:bookmarkEnd w:id="11"/>
            <w:r>
              <w:rPr>
                <w:rFonts w:hint="eastAsia" w:ascii="仿宋" w:hAnsi="仿宋" w:eastAsia="仿宋" w:cs="仿宋"/>
                <w:b w:val="0"/>
                <w:bCs w:val="0"/>
                <w:i w:val="0"/>
                <w:iCs w:val="0"/>
                <w:color w:val="auto"/>
                <w:kern w:val="0"/>
                <w:sz w:val="24"/>
                <w:szCs w:val="24"/>
                <w:u w:val="none"/>
                <w:lang w:val="en-US" w:eastAsia="zh-CN" w:bidi="ar"/>
              </w:rPr>
              <w:t>：常规检查（按行业）与专项检查（按业务）。</w:t>
            </w:r>
            <w:bookmarkStart w:id="12" w:name="_Toc146097678"/>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（12）评分规则管理</w:t>
            </w:r>
            <w:bookmarkEnd w:id="12"/>
            <w:r>
              <w:rPr>
                <w:rFonts w:hint="eastAsia" w:ascii="仿宋" w:hAnsi="仿宋" w:eastAsia="仿宋" w:cs="仿宋"/>
                <w:b w:val="0"/>
                <w:bCs w:val="0"/>
                <w:i w:val="0"/>
                <w:iCs w:val="0"/>
                <w:color w:val="auto"/>
                <w:kern w:val="0"/>
                <w:sz w:val="24"/>
                <w:szCs w:val="24"/>
                <w:u w:val="none"/>
                <w:lang w:val="en-US" w:eastAsia="zh-CN" w:bidi="ar"/>
              </w:rPr>
              <w:t>：在管理平台配置对执法民警的考核规则，设置考核评分模型和各行业工作内容评分权重占比的功能。</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bookmarkStart w:id="13" w:name="_Toc146097679"/>
            <w:r>
              <w:rPr>
                <w:rFonts w:hint="eastAsia" w:ascii="仿宋" w:hAnsi="仿宋" w:eastAsia="仿宋" w:cs="仿宋"/>
                <w:b w:val="0"/>
                <w:bCs w:val="0"/>
                <w:i w:val="0"/>
                <w:iCs w:val="0"/>
                <w:color w:val="auto"/>
                <w:kern w:val="0"/>
                <w:sz w:val="24"/>
                <w:szCs w:val="24"/>
                <w:u w:val="none"/>
                <w:lang w:val="en-US" w:eastAsia="zh-CN" w:bidi="ar"/>
              </w:rPr>
              <w:t>（13）信息发布</w:t>
            </w:r>
            <w:bookmarkEnd w:id="13"/>
            <w:r>
              <w:rPr>
                <w:rFonts w:hint="eastAsia" w:ascii="仿宋" w:hAnsi="仿宋" w:eastAsia="仿宋" w:cs="仿宋"/>
                <w:b w:val="0"/>
                <w:bCs w:val="0"/>
                <w:i w:val="0"/>
                <w:iCs w:val="0"/>
                <w:color w:val="auto"/>
                <w:kern w:val="0"/>
                <w:sz w:val="24"/>
                <w:szCs w:val="24"/>
                <w:u w:val="none"/>
                <w:lang w:val="en-US" w:eastAsia="zh-CN" w:bidi="ar"/>
              </w:rPr>
              <w:t>：管理平台展示所有已发布的信息列表的功能</w:t>
            </w:r>
            <w:bookmarkStart w:id="14" w:name="_Toc146097664"/>
            <w:r>
              <w:rPr>
                <w:rFonts w:hint="eastAsia" w:ascii="仿宋" w:hAnsi="仿宋" w:eastAsia="仿宋" w:cs="仿宋"/>
                <w:b w:val="0"/>
                <w:bCs w:val="0"/>
                <w:i w:val="0"/>
                <w:iCs w:val="0"/>
                <w:color w:val="auto"/>
                <w:kern w:val="0"/>
                <w:sz w:val="24"/>
                <w:szCs w:val="24"/>
                <w:u w:val="none"/>
                <w:lang w:val="en-US" w:eastAsia="zh-CN" w:bidi="ar"/>
              </w:rPr>
              <w:t>。</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（14）执法检查范围</w:t>
            </w:r>
            <w:bookmarkEnd w:id="14"/>
            <w:r>
              <w:rPr>
                <w:rFonts w:hint="eastAsia" w:ascii="仿宋" w:hAnsi="仿宋" w:eastAsia="仿宋" w:cs="仿宋"/>
                <w:b w:val="0"/>
                <w:bCs w:val="0"/>
                <w:i w:val="0"/>
                <w:iCs w:val="0"/>
                <w:color w:val="auto"/>
                <w:kern w:val="0"/>
                <w:sz w:val="24"/>
                <w:szCs w:val="24"/>
                <w:u w:val="none"/>
                <w:lang w:val="en-US" w:eastAsia="zh-CN" w:bidi="ar"/>
              </w:rPr>
              <w:t>：内保单位、重点单位、九小场所、特殊行业。</w:t>
            </w:r>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both"/>
              <w:textAlignment w:val="auto"/>
              <w:rPr>
                <w:rFonts w:hint="eastAsia" w:ascii="仿宋" w:hAnsi="仿宋" w:eastAsia="仿宋" w:cs="仿宋"/>
                <w:b w:val="0"/>
                <w:bCs w:val="0"/>
                <w:i w:val="0"/>
                <w:iCs w:val="0"/>
                <w:color w:val="auto"/>
                <w:kern w:val="0"/>
                <w:sz w:val="24"/>
                <w:szCs w:val="24"/>
                <w:u w:val="none"/>
                <w:lang w:val="en-US" w:eastAsia="zh-CN" w:bidi="ar"/>
              </w:rPr>
            </w:pPr>
            <w:bookmarkStart w:id="15" w:name="_Toc146097681"/>
            <w:r>
              <w:rPr>
                <w:rFonts w:hint="eastAsia" w:ascii="仿宋" w:hAnsi="仿宋" w:eastAsia="仿宋" w:cs="仿宋"/>
                <w:b w:val="0"/>
                <w:bCs w:val="0"/>
                <w:i w:val="0"/>
                <w:iCs w:val="0"/>
                <w:color w:val="auto"/>
                <w:kern w:val="0"/>
                <w:sz w:val="24"/>
                <w:szCs w:val="24"/>
                <w:u w:val="none"/>
                <w:lang w:val="en-US" w:eastAsia="zh-CN" w:bidi="ar"/>
              </w:rPr>
              <w:t>（15）系统管理</w:t>
            </w:r>
            <w:bookmarkEnd w:id="15"/>
            <w:bookmarkStart w:id="16" w:name="_Toc47630830"/>
          </w:p>
          <w:p>
            <w:pPr>
              <w:pStyle w:val="4"/>
              <w:keepNext/>
              <w:keepLines/>
              <w:pageBreakBefore w:val="0"/>
              <w:widowControl w:val="0"/>
              <w:numPr>
                <w:ilvl w:val="2"/>
                <w:numId w:val="0"/>
              </w:numPr>
              <w:kinsoku/>
              <w:wordWrap/>
              <w:overflowPunct/>
              <w:topLinePunct w:val="0"/>
              <w:autoSpaceDE/>
              <w:autoSpaceDN/>
              <w:bidi w:val="0"/>
              <w:adjustRightInd/>
              <w:snapToGrid w:val="0"/>
              <w:spacing w:before="0" w:after="0" w:line="240" w:lineRule="auto"/>
              <w:ind w:leftChars="0"/>
              <w:jc w:val="both"/>
              <w:textAlignment w:val="auto"/>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（16）系统配置</w:t>
            </w:r>
          </w:p>
          <w:bookmarkEnd w:id="16"/>
          <w:p>
            <w:pPr>
              <w:pStyle w:val="3"/>
              <w:keepNext/>
              <w:keepLines/>
              <w:pageBreakBefore w:val="0"/>
              <w:widowControl w:val="0"/>
              <w:numPr>
                <w:ilvl w:val="0"/>
                <w:numId w:val="0"/>
              </w:numPr>
              <w:kinsoku/>
              <w:wordWrap/>
              <w:overflowPunct/>
              <w:topLinePunct w:val="0"/>
              <w:autoSpaceDE/>
              <w:autoSpaceDN/>
              <w:bidi w:val="0"/>
              <w:adjustRightInd/>
              <w:snapToGrid w:val="0"/>
              <w:spacing w:before="0" w:after="0" w:line="240" w:lineRule="auto"/>
              <w:ind w:leftChars="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lang w:eastAsia="zh-CN"/>
              </w:rPr>
              <w:t>）场所治安检查APP</w:t>
            </w:r>
          </w:p>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治安执法检查移动端APP是提供为民警使用的手持移动执法系统，依托4G/5G无线网络，执法检查业务处理的“信息上路”，完成网上记录、网上流转办理。</w:t>
            </w:r>
          </w:p>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（1）企业管理：企业审核、企业退出纳管等；</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）检查任务：</w:t>
            </w:r>
            <w:r>
              <w:rPr>
                <w:rFonts w:hint="eastAsia" w:ascii="仿宋" w:hAnsi="仿宋" w:eastAsia="仿宋" w:cs="仿宋"/>
                <w:color w:val="auto"/>
                <w:sz w:val="24"/>
                <w:szCs w:val="24"/>
              </w:rPr>
              <w:t>任务查看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任务执行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复查任务执行</w:t>
            </w:r>
            <w:r>
              <w:rPr>
                <w:rFonts w:hint="eastAsia" w:ascii="仿宋" w:hAnsi="仿宋" w:eastAsia="仿宋" w:cs="仿宋"/>
                <w:color w:val="auto"/>
                <w:sz w:val="24"/>
                <w:szCs w:val="24"/>
                <w:lang w:val="en-US" w:eastAsia="zh-CN"/>
              </w:rPr>
              <w:t>等；</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）信息查询：执法移动端APP中展示所有管理端发布的办事指南、执法规范、法律法规、行业动态信息列表和信息详情的功能。</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）企业信息查询；（</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）消息中心；（</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）办事指南；</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）执法规范（</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lang w:eastAsia="zh-CN"/>
              </w:rPr>
              <w:t>）警务数据屏（</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eastAsia="zh-CN"/>
              </w:rPr>
              <w:t>）个人中心</w:t>
            </w:r>
          </w:p>
          <w:p>
            <w:pPr>
              <w:pStyle w:val="3"/>
              <w:keepNext/>
              <w:keepLines/>
              <w:pageBreakBefore w:val="0"/>
              <w:widowControl w:val="0"/>
              <w:numPr>
                <w:ilvl w:val="0"/>
                <w:numId w:val="0"/>
              </w:numPr>
              <w:kinsoku/>
              <w:wordWrap/>
              <w:overflowPunct/>
              <w:topLinePunct w:val="0"/>
              <w:autoSpaceDE/>
              <w:autoSpaceDN/>
              <w:bidi w:val="0"/>
              <w:adjustRightInd/>
              <w:snapToGrid w:val="0"/>
              <w:spacing w:before="0" w:after="0" w:line="240" w:lineRule="auto"/>
              <w:ind w:left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）现场执法企业小程序</w:t>
            </w:r>
          </w:p>
          <w:p>
            <w:pPr>
              <w:pageBreakBefore w:val="0"/>
              <w:kinsoku/>
              <w:wordWrap/>
              <w:overflowPunct/>
              <w:topLinePunct w:val="0"/>
              <w:autoSpaceDE/>
              <w:autoSpaceDN/>
              <w:bidi w:val="0"/>
              <w:adjustRightInd/>
              <w:snapToGrid w:val="0"/>
              <w:spacing w:line="24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企业用户以小程序形式，参与社会治安的治理工作、接受监督检查、在线办理相关业务的载体。</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auto"/>
                <w:sz w:val="24"/>
                <w:szCs w:val="24"/>
                <w:lang w:eastAsia="zh-CN"/>
              </w:rPr>
            </w:pPr>
            <w:bookmarkStart w:id="17" w:name="_Toc146097684"/>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）企业注册</w:t>
            </w:r>
            <w:bookmarkEnd w:id="17"/>
            <w:r>
              <w:rPr>
                <w:rFonts w:hint="eastAsia" w:ascii="仿宋" w:hAnsi="仿宋" w:eastAsia="仿宋" w:cs="仿宋"/>
                <w:color w:val="auto"/>
                <w:sz w:val="24"/>
                <w:szCs w:val="24"/>
                <w:lang w:eastAsia="zh-CN"/>
              </w:rPr>
              <w:t>；</w:t>
            </w:r>
            <w:bookmarkStart w:id="18" w:name="_Toc146097685"/>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）审核状态</w:t>
            </w:r>
            <w:bookmarkEnd w:id="18"/>
            <w:r>
              <w:rPr>
                <w:rFonts w:hint="eastAsia" w:ascii="仿宋" w:hAnsi="仿宋" w:eastAsia="仿宋" w:cs="仿宋"/>
                <w:color w:val="auto"/>
                <w:sz w:val="24"/>
                <w:szCs w:val="24"/>
                <w:lang w:eastAsia="zh-CN"/>
              </w:rPr>
              <w:t>；</w:t>
            </w:r>
            <w:bookmarkStart w:id="19" w:name="_Toc146097686"/>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）企业信息维护</w:t>
            </w:r>
            <w:bookmarkEnd w:id="19"/>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auto"/>
                <w:sz w:val="24"/>
                <w:szCs w:val="24"/>
                <w:lang w:eastAsia="zh-CN"/>
              </w:rPr>
            </w:pPr>
            <w:bookmarkStart w:id="20" w:name="_Toc146097687"/>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）责任书管理</w:t>
            </w:r>
            <w:bookmarkEnd w:id="20"/>
            <w:r>
              <w:rPr>
                <w:rFonts w:hint="eastAsia" w:ascii="仿宋" w:hAnsi="仿宋" w:eastAsia="仿宋" w:cs="仿宋"/>
                <w:color w:val="auto"/>
                <w:sz w:val="24"/>
                <w:szCs w:val="24"/>
                <w:lang w:eastAsia="zh-CN"/>
              </w:rPr>
              <w:t>；</w:t>
            </w:r>
            <w:bookmarkStart w:id="21" w:name="_Toc146097688"/>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）个人信息</w:t>
            </w:r>
            <w:bookmarkEnd w:id="21"/>
            <w:r>
              <w:rPr>
                <w:rFonts w:hint="eastAsia" w:ascii="仿宋" w:hAnsi="仿宋" w:eastAsia="仿宋" w:cs="仿宋"/>
                <w:color w:val="auto"/>
                <w:sz w:val="24"/>
                <w:szCs w:val="24"/>
                <w:lang w:eastAsia="zh-CN"/>
              </w:rPr>
              <w:t>；</w:t>
            </w:r>
            <w:bookmarkStart w:id="22" w:name="_Toc146097689"/>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）投诉建议</w:t>
            </w:r>
            <w:bookmarkEnd w:id="22"/>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color w:val="auto"/>
                <w:sz w:val="24"/>
                <w:szCs w:val="24"/>
                <w:lang w:eastAsia="zh-CN"/>
              </w:rPr>
            </w:pPr>
            <w:bookmarkStart w:id="23" w:name="_Toc146097690"/>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）反馈公示</w:t>
            </w:r>
            <w:bookmarkEnd w:id="23"/>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bookmarkStart w:id="24" w:name="_Toc451463758"/>
            <w:r>
              <w:rPr>
                <w:rFonts w:hint="eastAsia" w:ascii="仿宋" w:hAnsi="仿宋" w:eastAsia="仿宋" w:cs="仿宋"/>
                <w:color w:val="auto"/>
                <w:sz w:val="24"/>
                <w:szCs w:val="24"/>
              </w:rPr>
              <w:t>场所治安检查(执法)综合管理平台</w:t>
            </w:r>
            <w:r>
              <w:rPr>
                <w:rFonts w:hint="eastAsia" w:ascii="仿宋" w:hAnsi="仿宋" w:eastAsia="仿宋" w:cs="仿宋"/>
                <w:color w:val="auto"/>
                <w:sz w:val="24"/>
                <w:szCs w:val="24"/>
                <w:lang w:val="en-US" w:eastAsia="zh-CN"/>
              </w:rPr>
              <w:t>软件需要提供</w:t>
            </w:r>
            <w:r>
              <w:rPr>
                <w:rFonts w:hint="eastAsia" w:ascii="仿宋" w:hAnsi="仿宋" w:eastAsia="仿宋" w:cs="仿宋"/>
                <w:color w:val="auto"/>
                <w:sz w:val="24"/>
                <w:szCs w:val="24"/>
              </w:rPr>
              <w:t>公安部</w:t>
            </w:r>
            <w:r>
              <w:rPr>
                <w:rFonts w:hint="eastAsia" w:ascii="仿宋" w:hAnsi="仿宋" w:eastAsia="仿宋" w:cs="仿宋"/>
                <w:color w:val="auto"/>
                <w:sz w:val="24"/>
                <w:szCs w:val="24"/>
                <w:lang w:val="en-US" w:eastAsia="zh-CN"/>
              </w:rPr>
              <w:t>相关单位的检测报告</w:t>
            </w:r>
            <w:bookmarkEnd w:id="24"/>
            <w:r>
              <w:rPr>
                <w:rFonts w:hint="eastAsia" w:ascii="仿宋" w:hAnsi="仿宋" w:eastAsia="仿宋" w:cs="仿宋"/>
                <w:color w:val="auto"/>
                <w:sz w:val="24"/>
                <w:szCs w:val="24"/>
                <w:lang w:val="en-US" w:eastAsia="zh-CN"/>
              </w:rPr>
              <w:t>。</w:t>
            </w:r>
            <w:r>
              <w:rPr>
                <w:rFonts w:ascii="仿宋" w:hAnsi="仿宋" w:eastAsia="仿宋"/>
                <w:color w:val="auto"/>
              </w:rPr>
              <w:br w:type="page"/>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182"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1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集成费</w:t>
            </w:r>
          </w:p>
        </w:tc>
        <w:tc>
          <w:tcPr>
            <w:tcW w:w="4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Style w:val="10"/>
                <w:color w:val="auto"/>
                <w:lang w:val="en-US" w:eastAsia="zh-CN" w:bidi="ar"/>
              </w:rPr>
              <w:t>情指定制开发，按客户要求的行业场景和实际需求进行情指应用功能的定制开发；集成110接处警平台接警、派警、信息核查等接处警实战功能。</w:t>
            </w:r>
          </w:p>
        </w:tc>
        <w:tc>
          <w:tcPr>
            <w:tcW w:w="11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7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9963" w:type="dxa"/>
            <w:gridSpan w:val="11"/>
            <w:tcBorders>
              <w:top w:val="single" w:color="000000" w:sz="4" w:space="0"/>
              <w:left w:val="single" w:color="000000" w:sz="8"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二、执法记录仪平台建设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blHeader/>
        </w:trPr>
        <w:tc>
          <w:tcPr>
            <w:tcW w:w="1182" w:type="dxa"/>
            <w:gridSpan w:val="2"/>
            <w:tcBorders>
              <w:top w:val="single" w:color="000000" w:sz="4" w:space="0"/>
              <w:left w:val="single" w:color="000000" w:sz="8"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移动视音频综合管理平台</w:t>
            </w:r>
          </w:p>
        </w:tc>
        <w:tc>
          <w:tcPr>
            <w:tcW w:w="4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数据管理系统：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1.系统平台设计架构要求:采用B/S架构。</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2.数据统计分析：管理系统能对上传数据信息进行统计查询，对系统管理的执法数据采集终端、执法记录仪等资产信息进行统计查询，并可生成统计图表功能。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3.考勤管理：具有对执法记录仪设备使用人员考勤信息进行统计，并形成统计文件的功能。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4.工作站升级：具有对在线工作站远程升级的功能。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5.同级调阅：具有符合权限账户查看同级单位媒体文件的功能。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6.执法记录仪管理：具有对记录仪进行查询、添加、修改、故障申报、报废、启用、删除等操作的功能。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7.用户管理：具有对用户信息进行编辑、密码设置、权限设置等操作功能。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8.磁盘预警：具有对服务器的剩余存储空间超出设定值时进行预警的功能。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9.公告管理：具有公告信息进行发布、管理的功能。</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10.备份功能：对注册执法数据采集终端上采集的视频、图片等数据自动备份到服务器端。</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11.流量控制：可对执法数据采集终端的上行和下行流量速率进行控制。</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12.文件保护：可对执法数据采集终端上的目录和设定的文件类型的文件进行控制，防止上述的新建、修改、删除和读取等操作。</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数据检索：用户访问权限范围内，可以根据单位、拍摄日期、执法者执法者证号、执法者姓名、记录仪编号、媒体类型、数据标注、关键字、标注类型、重要视频等关键字使用组合或全文检索方式查询各类数据，查询结果可以直接浏览。支持一键重要视频搜索功能。</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87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nil"/>
              <w:bottom w:val="single" w:color="000000" w:sz="4" w:space="0"/>
              <w:right w:val="single" w:color="000000" w:sz="8" w:space="0"/>
            </w:tcBorders>
            <w:shd w:val="clear" w:color="auto" w:fill="FFFFFF"/>
            <w:noWrap w:val="0"/>
            <w:vAlign w:val="center"/>
          </w:tcPr>
          <w:p>
            <w:pPr>
              <w:pageBreakBefore w:val="0"/>
              <w:kinsoku/>
              <w:wordWrap/>
              <w:overflowPunct/>
              <w:topLinePunct w:val="0"/>
              <w:autoSpaceDE/>
              <w:autoSpaceDN/>
              <w:bidi w:val="0"/>
              <w:adjustRightInd/>
              <w:snapToGrid w:val="0"/>
              <w:spacing w:line="240" w:lineRule="auto"/>
              <w:jc w:val="center"/>
              <w:rPr>
                <w:rFonts w:hint="eastAsia" w:ascii="仿宋" w:hAnsi="仿宋" w:eastAsia="仿宋" w:cs="仿宋"/>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6" w:hRule="atLeast"/>
          <w:tblHeader/>
        </w:trPr>
        <w:tc>
          <w:tcPr>
            <w:tcW w:w="1182" w:type="dxa"/>
            <w:gridSpan w:val="2"/>
            <w:tcBorders>
              <w:top w:val="single" w:color="000000" w:sz="4" w:space="0"/>
              <w:left w:val="single" w:color="000000" w:sz="8"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adjustRightInd/>
              <w:snapToGrid w:val="0"/>
              <w:spacing w:line="240" w:lineRule="auto"/>
              <w:ind w:left="0" w:leftChars="0" w:firstLine="0" w:firstLineChars="0"/>
              <w:jc w:val="both"/>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kern w:val="0"/>
                <w:sz w:val="24"/>
                <w:szCs w:val="24"/>
                <w:u w:val="none"/>
                <w:lang w:val="en-US" w:eastAsia="zh-CN" w:bidi="ar"/>
              </w:rPr>
              <w:t>可视化调度系统</w:t>
            </w:r>
          </w:p>
        </w:tc>
        <w:tc>
          <w:tcPr>
            <w:tcW w:w="4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可视化调度系统：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1.系统平台设计架构要求:采用B/S架构。</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2.实时视频查看：将接入系统的记录仪实时图传的视频上传到媒体服务器，可供用户实时查看。</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3.定位查看：调度员通过平台可以将正在上报位置信息的终端位置从后台获取后在地图上相应位置呈现出来。</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4.语音对讲：调度员可通过指挥中心电脑与前端在线记录仪实现双向语音对讲，下发指令。</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5.轨迹查询：用于终端设备历史轨迹显示，轨迹可以回放、暂停。可以根据条件选出历史地理位置信息，根据输入的播放速度倍数在地图上描绘轨迹,暂停轨迹描绘。</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6.电子围栏：电子栅栏用于监测其检测范围内的终端设备是否越界，如越界可报警。本功能提供对电子栅栏列表浏览、添加、删除、显示电子栅栏、添加监控用户。</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top"/>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7.SOS报警：支持SOS一键呼救，在最短时间，以最快捷的方式将信息通报预先制定指挥台、用户或群组。</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87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73" w:type="dxa"/>
            <w:tcBorders>
              <w:top w:val="single" w:color="000000" w:sz="4" w:space="0"/>
              <w:left w:val="nil"/>
              <w:bottom w:val="single" w:color="000000" w:sz="4" w:space="0"/>
              <w:right w:val="single" w:color="000000" w:sz="8" w:space="0"/>
            </w:tcBorders>
            <w:shd w:val="clear" w:color="auto" w:fill="FFFFFF"/>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blHeader/>
        </w:trPr>
        <w:tc>
          <w:tcPr>
            <w:tcW w:w="1182" w:type="dxa"/>
            <w:gridSpan w:val="2"/>
            <w:tcBorders>
              <w:top w:val="single" w:color="000000" w:sz="4" w:space="0"/>
              <w:left w:val="single" w:color="000000" w:sz="8"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服务器</w:t>
            </w:r>
          </w:p>
        </w:tc>
        <w:tc>
          <w:tcPr>
            <w:tcW w:w="4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国产自主研发，2U机架式服务器；2颗国产处理器（其中单颗CPU物理核心16核32线程，单颗CPU主频2.5GHz）；16GB DDR4 3200MHz内存；2块6TB 7.2K SATA硬盘；2GB缓存及以上RAID卡，支持RAID 0/1/5/6/10，同时支持直通模式；2个千兆电口；550W冗余电源；整机提供3年免费原厂质保</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7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73" w:type="dxa"/>
            <w:tcBorders>
              <w:top w:val="single" w:color="000000" w:sz="4" w:space="0"/>
              <w:left w:val="nil"/>
              <w:bottom w:val="single" w:color="000000" w:sz="4" w:space="0"/>
              <w:right w:val="single" w:color="000000" w:sz="8" w:space="0"/>
            </w:tcBorders>
            <w:shd w:val="clear" w:color="auto" w:fill="FFFFFF"/>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blHeader/>
        </w:trPr>
        <w:tc>
          <w:tcPr>
            <w:tcW w:w="1182" w:type="dxa"/>
            <w:gridSpan w:val="2"/>
            <w:tcBorders>
              <w:top w:val="single" w:color="000000" w:sz="4" w:space="0"/>
              <w:left w:val="single" w:color="000000" w:sz="8"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31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执法记录仪流量卡</w:t>
            </w:r>
          </w:p>
        </w:tc>
        <w:tc>
          <w:tcPr>
            <w:tcW w:w="4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一年</w:t>
            </w:r>
            <w:r>
              <w:rPr>
                <w:rFonts w:hint="default"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450G 流量加密卡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876"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73" w:type="dxa"/>
            <w:tcBorders>
              <w:top w:val="single" w:color="000000" w:sz="4" w:space="0"/>
              <w:left w:val="nil"/>
              <w:bottom w:val="single" w:color="000000" w:sz="4" w:space="0"/>
              <w:right w:val="single" w:color="000000" w:sz="8" w:space="0"/>
            </w:tcBorders>
            <w:shd w:val="clear" w:color="auto" w:fill="FFFFFF"/>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blHeader/>
        </w:trPr>
        <w:tc>
          <w:tcPr>
            <w:tcW w:w="9963" w:type="dxa"/>
            <w:gridSpan w:val="11"/>
            <w:tcBorders>
              <w:top w:val="single" w:color="000000" w:sz="4" w:space="0"/>
              <w:left w:val="single" w:color="000000" w:sz="8"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三、配套硬件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blHeader/>
        </w:trPr>
        <w:tc>
          <w:tcPr>
            <w:tcW w:w="117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3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公安内网集群服务器（X86）</w:t>
            </w:r>
          </w:p>
        </w:tc>
        <w:tc>
          <w:tcPr>
            <w:tcW w:w="4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国产自主研发，2U机架式服务器；2颗国产处理器（单颗CPU物理核心16核32线程，单颗CPU主频2.5GHz，总缓存64MB）；512GB DDR4 3200MHz内存；2块480GB SSD后置系统盘，2块960GB 读写均衡型 SSD缓存盘，4块8TB 7.2K SATA数据盘；2GB缓存及以上RAID卡，支持32个内存插槽，支持RAID 0/1/5/6/10，同时支持直通模式；2个千兆电口，4个万兆光口含模块；网卡：2个千兆电口，支持NCSI、网络唤醒，网络冗余，负载均衡等网络高级特性；800W冗余电源；整机提供3年免费原厂质保，硬盘免回退；超薄DVD-RW光驱，导轨；扩展插槽：最大支持10个PCI-E 3.0插槽；</w:t>
            </w: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92" w:type="dxa"/>
            <w:gridSpan w:val="2"/>
            <w:tcBorders>
              <w:top w:val="nil"/>
              <w:left w:val="single" w:color="000000" w:sz="4" w:space="0"/>
              <w:bottom w:val="nil"/>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blHeader/>
        </w:trPr>
        <w:tc>
          <w:tcPr>
            <w:tcW w:w="117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3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超融合软件</w:t>
            </w:r>
          </w:p>
        </w:tc>
        <w:tc>
          <w:tcPr>
            <w:tcW w:w="4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颗CPU的虚拟化授权，含分布式存储授权。包含包含管理平面、计算平面、存储平面。安全可控的服务器虚拟化技术，采用全对称微服务控制平面，提供计算、存储、网络等虚拟化管理服务，统一运维管理、大屏展示、应用中心等功能，具有简单易用、安全可靠、灵活弹性、快速扩展等能力特性。</w:t>
            </w: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颗</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492" w:type="dxa"/>
            <w:gridSpan w:val="2"/>
            <w:tcBorders>
              <w:top w:val="single" w:color="000000" w:sz="4" w:space="0"/>
              <w:left w:val="single" w:color="000000" w:sz="4" w:space="0"/>
              <w:bottom w:val="nil"/>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trPr>
        <w:tc>
          <w:tcPr>
            <w:tcW w:w="117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3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前置服务器</w:t>
            </w:r>
          </w:p>
        </w:tc>
        <w:tc>
          <w:tcPr>
            <w:tcW w:w="4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1颗国产处理器（单颗CPU物理核心8核16线程，单颗CPU主频3.0GHz）；1*16GB DDR4内存；1*2TB 7.2K SATA硬盘；2个千兆电口；整机提供3年免费原厂质保，</w:t>
            </w: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92" w:type="dxa"/>
            <w:gridSpan w:val="2"/>
            <w:tcBorders>
              <w:top w:val="single" w:color="000000" w:sz="4" w:space="0"/>
              <w:left w:val="single" w:color="000000" w:sz="4" w:space="0"/>
              <w:bottom w:val="nil"/>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1178"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30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交换机</w:t>
            </w:r>
          </w:p>
        </w:tc>
        <w:tc>
          <w:tcPr>
            <w:tcW w:w="49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48口千兆电口4个万兆光口可网管三层交换机</w:t>
            </w:r>
          </w:p>
        </w:tc>
        <w:tc>
          <w:tcPr>
            <w:tcW w:w="115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92" w:type="dxa"/>
            <w:gridSpan w:val="2"/>
            <w:tcBorders>
              <w:top w:val="single" w:color="000000" w:sz="4" w:space="0"/>
              <w:left w:val="single" w:color="000000" w:sz="4" w:space="0"/>
              <w:bottom w:val="nil"/>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trPr>
        <w:tc>
          <w:tcPr>
            <w:tcW w:w="1178"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模拟环路语音网关</w:t>
            </w:r>
          </w:p>
        </w:tc>
        <w:tc>
          <w:tcPr>
            <w:tcW w:w="4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模拟环路语音网关，16个模拟环路中继接口，双网口，16路并发；单电源；支持3GPP IMS标准的SIP协议和MGCP协议</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92" w:type="dxa"/>
            <w:gridSpan w:val="2"/>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blHeader/>
        </w:trPr>
        <w:tc>
          <w:tcPr>
            <w:tcW w:w="1178"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无线集群网关（1路）</w:t>
            </w:r>
          </w:p>
        </w:tc>
        <w:tc>
          <w:tcPr>
            <w:tcW w:w="4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无线集群网关，支持1路并发，支持SIP协议。语音编码：G.711，G.729，G.723；电话协议：模拟中继（FXO）、SIP(RFC3261、RFC2543)；包含一台无线集群网关系统、1根定制化连接线。</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92" w:type="dxa"/>
            <w:gridSpan w:val="2"/>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blHeader/>
        </w:trPr>
        <w:tc>
          <w:tcPr>
            <w:tcW w:w="1178"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配套材料</w:t>
            </w:r>
          </w:p>
        </w:tc>
        <w:tc>
          <w:tcPr>
            <w:tcW w:w="4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光收发器20km*5对；千兆光模块20、40km各10对、SD和TF卡各3个（128G);音视频数据转换线（type-c转HDMI、MINIHDMI、DVI、VGA等音视频适配器）：USB拓展*3条；数据硬盘（1T）*2；光纤跳纤lc2、3、5米各10对；音频3.5转6.5*3条；音频线延长线20米；HDMI延长线10、20、30米各3条；其他音视频网络配件等</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92" w:type="dxa"/>
            <w:gridSpan w:val="2"/>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blHeader/>
        </w:trPr>
        <w:tc>
          <w:tcPr>
            <w:tcW w:w="1178"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等保测评</w:t>
            </w:r>
          </w:p>
        </w:tc>
        <w:tc>
          <w:tcPr>
            <w:tcW w:w="4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业务系统的三级等保测评</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92" w:type="dxa"/>
            <w:gridSpan w:val="2"/>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blHeader/>
        </w:trPr>
        <w:tc>
          <w:tcPr>
            <w:tcW w:w="1178"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工控机</w:t>
            </w:r>
          </w:p>
        </w:tc>
        <w:tc>
          <w:tcPr>
            <w:tcW w:w="4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i7/32G/512GSSD/1T机械/2G独显/34"/WIN7x64位/</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92" w:type="dxa"/>
            <w:gridSpan w:val="2"/>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1178" w:type="dxa"/>
            <w:tcBorders>
              <w:top w:val="single" w:color="000000" w:sz="4" w:space="0"/>
              <w:left w:val="single" w:color="000000" w:sz="8"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运维控制台</w:t>
            </w:r>
          </w:p>
        </w:tc>
        <w:tc>
          <w:tcPr>
            <w:tcW w:w="4993"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ind w:left="0" w:leftChars="0" w:firstLine="0" w:firstLineChars="0"/>
              <w:jc w:val="left"/>
              <w:rPr>
                <w:rFonts w:hint="eastAsia" w:ascii="仿宋" w:hAnsi="仿宋" w:eastAsia="仿宋" w:cs="仿宋"/>
                <w:i w:val="0"/>
                <w:iCs w:val="0"/>
                <w:color w:val="auto"/>
                <w:sz w:val="24"/>
                <w:szCs w:val="24"/>
                <w:u w:val="none"/>
              </w:rPr>
            </w:pPr>
            <w:r>
              <w:rPr>
                <w:rFonts w:ascii="仿宋" w:hAnsi="仿宋" w:eastAsia="仿宋" w:cs="仿宋"/>
                <w:color w:val="auto"/>
                <w:kern w:val="0"/>
                <w:sz w:val="24"/>
                <w:szCs w:val="24"/>
                <w:lang w:val="en-US" w:eastAsia="zh-CN" w:bidi="ar"/>
              </w:rPr>
              <w:t>信息中心服务器调试运维pocket3/8"/i7/16/1t/运维拓展模</w:t>
            </w:r>
            <w:r>
              <w:rPr>
                <w:rFonts w:hint="eastAsia" w:ascii="仿宋" w:hAnsi="仿宋" w:eastAsia="仿宋" w:cs="仿宋"/>
                <w:color w:val="auto"/>
                <w:kern w:val="0"/>
                <w:sz w:val="24"/>
                <w:szCs w:val="24"/>
                <w:lang w:val="en-US" w:eastAsia="zh-CN" w:bidi="ar"/>
              </w:rPr>
              <w:t>块</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firstLine="0" w:firstLineChars="0"/>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92" w:type="dxa"/>
            <w:gridSpan w:val="2"/>
            <w:tcBorders>
              <w:top w:val="single" w:color="000000" w:sz="4" w:space="0"/>
              <w:left w:val="single" w:color="000000" w:sz="4" w:space="0"/>
              <w:bottom w:val="single" w:color="000000" w:sz="4" w:space="0"/>
              <w:right w:val="single" w:color="000000" w:sz="8" w:space="0"/>
            </w:tcBorders>
            <w:noWrap w:val="0"/>
            <w:vAlign w:val="center"/>
          </w:tcPr>
          <w:p>
            <w:pPr>
              <w:pageBreakBefore w:val="0"/>
              <w:kinsoku/>
              <w:wordWrap/>
              <w:overflowPunct/>
              <w:topLinePunct w:val="0"/>
              <w:autoSpaceDE/>
              <w:autoSpaceDN/>
              <w:bidi w:val="0"/>
              <w:adjustRightInd/>
              <w:snapToGrid w:val="0"/>
              <w:spacing w:line="240" w:lineRule="auto"/>
              <w:jc w:val="both"/>
              <w:rPr>
                <w:rFonts w:hint="eastAsia" w:ascii="仿宋" w:hAnsi="仿宋" w:eastAsia="仿宋" w:cs="仿宋"/>
                <w:i w:val="0"/>
                <w:iCs w:val="0"/>
                <w:color w:val="auto"/>
                <w:sz w:val="24"/>
                <w:szCs w:val="24"/>
                <w:u w:val="none"/>
              </w:rPr>
            </w:pPr>
          </w:p>
        </w:tc>
      </w:tr>
    </w:tbl>
    <w:p>
      <w:pPr>
        <w:pStyle w:val="2"/>
        <w:shd w:val="clear" w:color="auto" w:fill="auto"/>
        <w:spacing w:before="0" w:after="0" w:line="360" w:lineRule="auto"/>
        <w:ind w:left="0" w:leftChars="0" w:firstLine="0" w:firstLineChars="0"/>
        <w:jc w:val="left"/>
        <w:rPr>
          <w:rFonts w:hint="default"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注：标★项不允许出现负偏离，出现负偏离视为重大负偏离，以上技术参数要求提供证明材料，未提供证明材料的视为负偏离。</w:t>
      </w:r>
    </w:p>
    <w:p>
      <w:bookmarkStart w:id="25" w:name="_GoBack"/>
      <w:bookmarkEnd w:id="2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WNkOWRmMzdkMWY0ODgxYzQ3M2FiOTAxMTEzOTYifQ=="/>
  </w:docVars>
  <w:rsids>
    <w:rsidRoot w:val="5AD61CBE"/>
    <w:rsid w:val="5AD6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32"/>
      <w:szCs w:val="20"/>
    </w:rPr>
  </w:style>
  <w:style w:type="paragraph" w:styleId="3">
    <w:name w:val="heading 2"/>
    <w:basedOn w:val="1"/>
    <w:next w:val="1"/>
    <w:qFormat/>
    <w:uiPriority w:val="0"/>
    <w:pPr>
      <w:keepNext/>
      <w:keepLines/>
      <w:spacing w:before="260" w:after="260" w:line="500" w:lineRule="exact"/>
      <w:outlineLvl w:val="1"/>
    </w:pPr>
    <w:rPr>
      <w:rFonts w:ascii="Arial" w:hAnsi="Arial" w:eastAsia="黑体"/>
      <w:b/>
      <w:sz w:val="28"/>
      <w:szCs w:val="20"/>
    </w:rPr>
  </w:style>
  <w:style w:type="paragraph" w:styleId="4">
    <w:name w:val="heading 3"/>
    <w:basedOn w:val="1"/>
    <w:next w:val="1"/>
    <w:qFormat/>
    <w:uiPriority w:val="0"/>
    <w:pPr>
      <w:keepNext/>
      <w:keepLines/>
      <w:spacing w:before="260" w:after="260" w:line="412" w:lineRule="auto"/>
      <w:outlineLvl w:val="2"/>
    </w:pPr>
    <w:rPr>
      <w:b/>
      <w:sz w:val="32"/>
      <w:szCs w:val="20"/>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character" w:customStyle="1" w:styleId="7">
    <w:name w:val="font91"/>
    <w:basedOn w:val="6"/>
    <w:autoRedefine/>
    <w:qFormat/>
    <w:uiPriority w:val="0"/>
    <w:rPr>
      <w:rFonts w:hint="eastAsia" w:ascii="仿宋" w:hAnsi="仿宋" w:eastAsia="仿宋" w:cs="仿宋"/>
      <w:color w:val="000000"/>
      <w:sz w:val="24"/>
      <w:szCs w:val="24"/>
      <w:u w:val="none"/>
    </w:rPr>
  </w:style>
  <w:style w:type="character" w:customStyle="1" w:styleId="8">
    <w:name w:val="font81"/>
    <w:basedOn w:val="6"/>
    <w:autoRedefine/>
    <w:qFormat/>
    <w:uiPriority w:val="0"/>
    <w:rPr>
      <w:rFonts w:ascii="Wingdings 2" w:hAnsi="Wingdings 2" w:eastAsia="Wingdings 2" w:cs="Wingdings 2"/>
      <w:color w:val="000000"/>
      <w:sz w:val="18"/>
      <w:szCs w:val="18"/>
      <w:u w:val="none"/>
    </w:rPr>
  </w:style>
  <w:style w:type="character" w:customStyle="1" w:styleId="9">
    <w:name w:val="font112"/>
    <w:basedOn w:val="6"/>
    <w:autoRedefine/>
    <w:qFormat/>
    <w:uiPriority w:val="0"/>
    <w:rPr>
      <w:rFonts w:hint="eastAsia" w:ascii="仿宋" w:hAnsi="仿宋" w:eastAsia="仿宋" w:cs="仿宋"/>
      <w:color w:val="000000"/>
      <w:sz w:val="24"/>
      <w:szCs w:val="24"/>
      <w:u w:val="none"/>
    </w:rPr>
  </w:style>
  <w:style w:type="character" w:customStyle="1" w:styleId="10">
    <w:name w:val="font121"/>
    <w:basedOn w:val="6"/>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2023-12-28T07:58:00Z</dcterms:created>
  <dc:creator>Administrator</dc:creator>
  <cp:lastModifiedBy>Administrator</cp:lastModifiedBy>
  <dcterms:modified xsi:type="dcterms:W3CDTF">2023-12-28T07:58:57Z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7252AA0D8F8846AFA5B433FB4D6F009D_11</vt:lpwstr>
  </property>
</Properties>
</file>