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rPr>
          <w:rFonts w:hint="eastAsia" w:ascii="宋体" w:hAnsi="宋体"/>
          <w:b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技术参数及要求</w:t>
      </w:r>
    </w:p>
    <w:p>
      <w:pPr>
        <w:pStyle w:val="7"/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5包：坦桑尼亚国家课程标准和课程资源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服务采购标准</w:t>
      </w:r>
    </w:p>
    <w:p>
      <w:pPr>
        <w:spacing w:line="360" w:lineRule="auto"/>
        <w:ind w:left="64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（一）技术要求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1.建设、管理坦桑尼亚国家数字化教学资源平台；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2.组建项目中方专家工作组，负责遴选评审、过程性指导、专家培训、质量把控等工作；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3.制定项目实施推进计划，联络、对接中方和坦方工作要求；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4.提供会议组织、会议翻译、会议传译等服务；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5.按照流程，配合坦方完成中方输出课程标准和课程资源的认证工作；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6.项目实施结束，坦桑尼亚国家数字化教学资源平台正式上线后，每半年一次，向立项建设单位反馈坦桑尼亚职业院校针对平台的使用情况。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（二）团队要求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有配置合理、经验丰富的技术服务团队</w:t>
      </w:r>
      <w:bookmarkStart w:id="0" w:name="_Hlk114149379"/>
      <w:r>
        <w:rPr>
          <w:rFonts w:hint="eastAsia" w:ascii="宋体" w:hAnsi="宋体" w:cs="宋体"/>
          <w:sz w:val="24"/>
        </w:rPr>
        <w:t>，团队配置</w:t>
      </w:r>
      <w:bookmarkEnd w:id="0"/>
      <w:r>
        <w:rPr>
          <w:rFonts w:hint="eastAsia" w:ascii="宋体" w:hAnsi="宋体" w:cs="宋体"/>
          <w:sz w:val="24"/>
        </w:rPr>
        <w:t>人员不低于4人。</w:t>
      </w: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（三）商务要求</w:t>
      </w:r>
    </w:p>
    <w:p>
      <w:pPr>
        <w:pStyle w:val="3"/>
        <w:spacing w:line="360" w:lineRule="auto"/>
        <w:ind w:left="0" w:leftChars="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1.付款条件：符合技术要求</w:t>
      </w:r>
    </w:p>
    <w:p>
      <w:pPr>
        <w:pStyle w:val="3"/>
        <w:spacing w:line="360" w:lineRule="auto"/>
        <w:ind w:left="0" w:leftChars="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2.保密要求：双方均有义务履行保密义务，未经对方同意，不得向任何第三方披露或透露有关项目资料。</w:t>
      </w:r>
    </w:p>
    <w:p>
      <w:pPr>
        <w:pStyle w:val="3"/>
        <w:spacing w:line="360" w:lineRule="auto"/>
        <w:ind w:left="0" w:leftChars="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3.风险管控措施：因履约时间较长，合同履行时需保留完整的书面往来文件；出现纠纷时应以友好协商的态度来处理问题。</w:t>
      </w: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（四）服务质量承诺及保证措施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</w:rPr>
      </w:pPr>
      <w:r>
        <w:rPr>
          <w:rFonts w:hint="eastAsia"/>
          <w:kern w:val="2"/>
        </w:rPr>
        <w:t>有健全的服务质量保证体系，针对本项目服务要求，工作程序清晰，安排科学，有具体的质量违约责任承诺。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二、翻译标准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提交相应的资料、文件、图表等翻译工作成果。该等工作成果包括但不限于“NTA 5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 xml:space="preserve">基础护理Ⅱ”、“NTA 5外科护理Ⅱ”项目课程标准和课程资源译件。 </w:t>
      </w:r>
    </w:p>
    <w:p>
      <w:pPr>
        <w:pStyle w:val="7"/>
        <w:spacing w:line="400" w:lineRule="exact"/>
        <w:rPr>
          <w:rFonts w:ascii="宋体" w:hAnsi="宋体" w:cs="宋体"/>
          <w:b/>
          <w:bCs/>
          <w:sz w:val="24"/>
        </w:rPr>
      </w:pPr>
    </w:p>
    <w:p>
      <w:pPr>
        <w:pStyle w:val="7"/>
        <w:spacing w:line="400" w:lineRule="exact"/>
        <w:rPr>
          <w:rFonts w:ascii="宋体" w:hAnsi="宋体" w:cs="宋体"/>
          <w:b/>
          <w:bCs/>
          <w:sz w:val="24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  <w:b/>
          <w:bCs/>
          <w:sz w:val="24"/>
        </w:rPr>
        <w:t>6包：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高压开关柜及变压器、高压电缆预防性试验项目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95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试验项目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高压柜一次母线耐压试验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综合保护器传动试验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7台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高压柜小母线检查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所有小母线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高压真空断路器交流耐压、回路电阻、机械特性、绝缘电阻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7台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高压PT手车变比试验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高压电缆进线交流耐压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7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高压电缆出线交流耐压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8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变压器1250绝缘电阻、直流电阻、变比、交流耐压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9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变压器1000绝缘电阻、直流电阻、变比、交流耐压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变压器800绝缘电阻、直流电阻、变比、交流耐压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11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负荷开关交流耐压、绝缘电阻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12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避雷器试验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33只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13</w:t>
            </w:r>
          </w:p>
        </w:tc>
        <w:tc>
          <w:tcPr>
            <w:tcW w:w="34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配电室干式变压器、高压柜、箱式变电站保养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15台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50384"/>
    <w:multiLevelType w:val="singleLevel"/>
    <w:tmpl w:val="34F50384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zhjMzA1NWViZWRkYmZhMTA3NTM5M2U0Y2ViYWMifQ=="/>
  </w:docVars>
  <w:rsids>
    <w:rsidRoot w:val="68AC3D0C"/>
    <w:rsid w:val="68A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4">
    <w:name w:val="Normal (Web)"/>
    <w:basedOn w:val="1"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 10 磅31114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2024-01-09T06:14:00Z</dcterms:created>
  <dc:creator>就是如此</dc:creator>
  <cp:lastModifiedBy>就是如此</cp:lastModifiedBy>
  <dcterms:modified xsi:type="dcterms:W3CDTF">2024-01-09T06:14:20Z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D281E1D95CEA4C1CBF76D6831D944C40_11</vt:lpwstr>
  </property>
</Properties>
</file>