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napToGrid w:val="0"/>
        <w:spacing w:before="20" w:after="0" w:line="360" w:lineRule="auto"/>
        <w:jc w:val="center"/>
        <w:outlineLvl w:val="0"/>
        <w:rPr>
          <w:rFonts w:ascii="宋体" w:hAnsi="宋体" w:eastAsia="宋体" w:cs="Times New Roman"/>
          <w:b/>
          <w:color w:val="000000"/>
          <w:kern w:val="44"/>
          <w:sz w:val="44"/>
          <w:lang w:val="en-US" w:eastAsia="zh-CN" w:bidi="ar-SA"/>
        </w:rPr>
      </w:pPr>
      <w:r>
        <w:rPr>
          <w:rFonts w:hint="eastAsia" w:ascii="宋体" w:hAnsi="宋体" w:eastAsia="宋体" w:cs="Times New Roman"/>
          <w:b/>
          <w:color w:val="000000"/>
          <w:kern w:val="44"/>
          <w:sz w:val="44"/>
          <w:lang w:val="en-US" w:eastAsia="zh-CN" w:bidi="ar-SA"/>
        </w:rPr>
        <w:t>第一章 招标公告</w:t>
      </w:r>
    </w:p>
    <w:tbl>
      <w:tblPr>
        <w:tblStyle w:val="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tcPr>
          <w:p>
            <w:pPr>
              <w:widowControl/>
              <w:snapToGrid w:val="0"/>
              <w:spacing w:line="480" w:lineRule="exact"/>
              <w:ind w:firstLine="480"/>
              <w:jc w:val="both"/>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项目概况</w:t>
            </w:r>
          </w:p>
          <w:p>
            <w:pPr>
              <w:widowControl/>
              <w:snapToGrid w:val="0"/>
              <w:spacing w:line="480" w:lineRule="exact"/>
              <w:ind w:firstLine="480"/>
              <w:jc w:val="both"/>
              <w:rPr>
                <w:rFonts w:hint="eastAsia" w:ascii="宋体" w:hAnsi="宋体" w:eastAsia="宋体" w:cs="Times New Roman"/>
                <w:color w:val="000000"/>
                <w:sz w:val="24"/>
                <w:szCs w:val="24"/>
                <w:vertAlign w:val="baseline"/>
                <w:lang w:val="en-US" w:eastAsia="zh-CN" w:bidi="ar-SA"/>
              </w:rPr>
            </w:pPr>
            <w:r>
              <w:rPr>
                <w:rFonts w:hint="eastAsia" w:ascii="宋体" w:hAnsi="宋体" w:eastAsia="宋体" w:cs="Times New Roman"/>
                <w:color w:val="000000"/>
                <w:sz w:val="24"/>
                <w:szCs w:val="24"/>
                <w:lang w:val="en-US" w:eastAsia="zh-CN" w:bidi="ar-SA"/>
              </w:rPr>
              <w:t>渭南市华州区高塘镇片区乡村振兴产业发展策划项目的潜在供应商可在渭南市华州区子仪东路财政局321室获取采购文件，并于2024年1月24日14时30分（北京时间）前提交响应文件。</w:t>
            </w:r>
          </w:p>
        </w:tc>
      </w:tr>
    </w:tbl>
    <w:p>
      <w:pPr>
        <w:snapToGrid w:val="0"/>
        <w:spacing w:before="0" w:line="480" w:lineRule="exact"/>
        <w:rPr>
          <w:rFonts w:ascii="宋体" w:hAnsi="宋体" w:eastAsia="宋体" w:cs="Times New Roman"/>
          <w:b/>
          <w:color w:val="000000"/>
          <w:sz w:val="24"/>
          <w:szCs w:val="24"/>
          <w:lang w:val="en-US" w:eastAsia="zh-CN" w:bidi="ar-SA"/>
        </w:rPr>
      </w:pPr>
      <w:r>
        <w:rPr>
          <w:rFonts w:hint="eastAsia" w:ascii="宋体" w:hAnsi="宋体" w:eastAsia="宋体" w:cs="Times New Roman"/>
          <w:b/>
          <w:color w:val="000000"/>
          <w:sz w:val="24"/>
          <w:szCs w:val="24"/>
          <w:lang w:val="en-US" w:eastAsia="zh-CN" w:bidi="ar-SA"/>
        </w:rPr>
        <w:t>一、项目基本情况：</w:t>
      </w:r>
    </w:p>
    <w:p>
      <w:pPr>
        <w:widowControl/>
        <w:snapToGrid w:val="0"/>
        <w:spacing w:line="480" w:lineRule="exact"/>
        <w:ind w:firstLine="480"/>
        <w:rPr>
          <w:rFonts w:hint="eastAsia" w:ascii="宋体" w:hAnsi="宋体" w:eastAsia="宋体" w:cs="Times New Roman"/>
          <w:color w:val="FF0000"/>
          <w:sz w:val="24"/>
          <w:szCs w:val="24"/>
          <w:lang w:val="en-US" w:eastAsia="zh-CN" w:bidi="ar-SA"/>
        </w:rPr>
      </w:pPr>
      <w:r>
        <w:rPr>
          <w:rFonts w:hint="eastAsia" w:ascii="宋体" w:hAnsi="宋体" w:eastAsia="宋体" w:cs="Times New Roman"/>
          <w:color w:val="000000"/>
          <w:sz w:val="24"/>
          <w:szCs w:val="24"/>
          <w:lang w:val="en-US" w:eastAsia="zh-CN" w:bidi="ar-SA"/>
        </w:rPr>
        <w:t>项目编号：</w:t>
      </w:r>
      <w:r>
        <w:rPr>
          <w:rFonts w:hint="eastAsia" w:ascii="宋体" w:hAnsi="宋体" w:eastAsia="宋体" w:cs="Times New Roman"/>
          <w:color w:val="auto"/>
          <w:sz w:val="24"/>
          <w:szCs w:val="24"/>
          <w:lang w:val="en-US" w:eastAsia="zh-CN" w:bidi="ar-SA"/>
        </w:rPr>
        <w:t>ZCSP-华县-2024-00001</w:t>
      </w:r>
    </w:p>
    <w:p>
      <w:pPr>
        <w:widowControl/>
        <w:snapToGrid w:val="0"/>
        <w:spacing w:line="480" w:lineRule="exact"/>
        <w:ind w:firstLine="480"/>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项目名称：渭南市华州区高塘镇片区乡村振兴产业发展策划项目</w:t>
      </w:r>
    </w:p>
    <w:p>
      <w:pPr>
        <w:widowControl/>
        <w:snapToGrid w:val="0"/>
        <w:spacing w:line="480" w:lineRule="exact"/>
        <w:ind w:firstLine="480"/>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采购方式：公开招标</w:t>
      </w:r>
    </w:p>
    <w:p>
      <w:pPr>
        <w:widowControl/>
        <w:snapToGrid w:val="0"/>
        <w:spacing w:line="480" w:lineRule="exact"/>
        <w:ind w:firstLine="480"/>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预算金额：3000000.00元</w:t>
      </w:r>
    </w:p>
    <w:p>
      <w:pPr>
        <w:widowControl/>
        <w:snapToGrid w:val="0"/>
        <w:spacing w:line="480" w:lineRule="exact"/>
        <w:ind w:firstLine="480"/>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采购需求：</w:t>
      </w:r>
    </w:p>
    <w:p>
      <w:pPr>
        <w:widowControl/>
        <w:snapToGrid w:val="0"/>
        <w:spacing w:line="480" w:lineRule="exact"/>
        <w:ind w:firstLine="480"/>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合同包1(渭南市华州区高塘镇片区乡村振兴产业发展策划项目):</w:t>
      </w:r>
    </w:p>
    <w:p>
      <w:pPr>
        <w:widowControl/>
        <w:snapToGrid w:val="0"/>
        <w:spacing w:line="480" w:lineRule="exact"/>
        <w:ind w:firstLine="480" w:firstLineChars="200"/>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合同包预算金额：3000000.00元</w:t>
      </w:r>
    </w:p>
    <w:p>
      <w:pPr>
        <w:widowControl/>
        <w:snapToGrid w:val="0"/>
        <w:spacing w:line="480" w:lineRule="exact"/>
        <w:ind w:firstLine="480" w:firstLineChars="200"/>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合同包最高限价</w:t>
      </w:r>
      <w:r>
        <w:rPr>
          <w:rFonts w:hint="eastAsia" w:ascii="宋体" w:hAnsi="宋体" w:eastAsia="Arial" w:cs="Times New Roman"/>
          <w:color w:val="000000"/>
          <w:sz w:val="24"/>
          <w:szCs w:val="24"/>
          <w:lang w:val="en-US" w:eastAsia="zh-CN" w:bidi="ar-SA"/>
        </w:rPr>
        <w:t>：</w:t>
      </w:r>
      <w:r>
        <w:rPr>
          <w:rFonts w:hint="eastAsia" w:ascii="宋体" w:hAnsi="宋体" w:eastAsia="宋体" w:cs="Times New Roman"/>
          <w:color w:val="000000"/>
          <w:sz w:val="24"/>
          <w:szCs w:val="24"/>
          <w:lang w:val="en-US" w:eastAsia="zh-CN" w:bidi="ar-SA"/>
        </w:rPr>
        <w:t>3000000.00</w:t>
      </w:r>
      <w:r>
        <w:rPr>
          <w:rFonts w:hint="eastAsia" w:ascii="宋体" w:hAnsi="宋体" w:eastAsia="Arial" w:cs="Times New Roman"/>
          <w:color w:val="000000"/>
          <w:sz w:val="24"/>
          <w:szCs w:val="24"/>
          <w:lang w:val="en-US" w:eastAsia="zh-CN" w:bidi="ar-SA"/>
        </w:rPr>
        <w:t xml:space="preserve"> 元</w:t>
      </w:r>
    </w:p>
    <w:tbl>
      <w:tblPr>
        <w:tblStyle w:val="2"/>
        <w:tblW w:w="9887" w:type="dxa"/>
        <w:tblInd w:w="-319" w:type="dxa"/>
        <w:tblLayout w:type="fixed"/>
        <w:tblCellMar>
          <w:top w:w="75" w:type="dxa"/>
          <w:left w:w="120" w:type="dxa"/>
          <w:bottom w:w="75" w:type="dxa"/>
          <w:right w:w="120" w:type="dxa"/>
        </w:tblCellMar>
      </w:tblPr>
      <w:tblGrid>
        <w:gridCol w:w="728"/>
        <w:gridCol w:w="1392"/>
        <w:gridCol w:w="1691"/>
        <w:gridCol w:w="1338"/>
        <w:gridCol w:w="1667"/>
        <w:gridCol w:w="1501"/>
        <w:gridCol w:w="1570"/>
      </w:tblGrid>
      <w:tr>
        <w:tblPrEx>
          <w:tblLayout w:type="fixed"/>
          <w:tblCellMar>
            <w:top w:w="75" w:type="dxa"/>
            <w:left w:w="120" w:type="dxa"/>
            <w:bottom w:w="75" w:type="dxa"/>
            <w:right w:w="120" w:type="dxa"/>
          </w:tblCellMar>
        </w:tblPrEx>
        <w:trPr>
          <w:trHeight w:val="843" w:hRule="atLeast"/>
          <w:tblHeader/>
        </w:trPr>
        <w:tc>
          <w:tcPr>
            <w:tcW w:w="728"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widowControl/>
              <w:wordWrap w:val="0"/>
              <w:snapToGrid w:val="0"/>
              <w:spacing w:line="480" w:lineRule="exact"/>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品目号</w:t>
            </w:r>
          </w:p>
        </w:tc>
        <w:tc>
          <w:tcPr>
            <w:tcW w:w="1392"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widowControl/>
              <w:wordWrap w:val="0"/>
              <w:snapToGrid w:val="0"/>
              <w:spacing w:line="480" w:lineRule="exact"/>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品目名称</w:t>
            </w:r>
          </w:p>
        </w:tc>
        <w:tc>
          <w:tcPr>
            <w:tcW w:w="1691"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widowControl/>
              <w:wordWrap w:val="0"/>
              <w:snapToGrid w:val="0"/>
              <w:spacing w:line="480" w:lineRule="exact"/>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采购标的</w:t>
            </w:r>
          </w:p>
        </w:tc>
        <w:tc>
          <w:tcPr>
            <w:tcW w:w="1338"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widowControl/>
              <w:wordWrap w:val="0"/>
              <w:snapToGrid w:val="0"/>
              <w:spacing w:line="480" w:lineRule="exact"/>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数量</w:t>
            </w:r>
          </w:p>
          <w:p>
            <w:pPr>
              <w:widowControl/>
              <w:wordWrap w:val="0"/>
              <w:snapToGrid w:val="0"/>
              <w:spacing w:line="480" w:lineRule="exact"/>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（单位）</w:t>
            </w:r>
          </w:p>
        </w:tc>
        <w:tc>
          <w:tcPr>
            <w:tcW w:w="1667"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widowControl/>
              <w:wordWrap w:val="0"/>
              <w:snapToGrid w:val="0"/>
              <w:spacing w:line="480" w:lineRule="exact"/>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技术规格、参数及要求</w:t>
            </w:r>
          </w:p>
        </w:tc>
        <w:tc>
          <w:tcPr>
            <w:tcW w:w="1501"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widowControl/>
              <w:wordWrap w:val="0"/>
              <w:snapToGrid w:val="0"/>
              <w:spacing w:line="480" w:lineRule="exact"/>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品目预算(元)</w:t>
            </w:r>
          </w:p>
        </w:tc>
        <w:tc>
          <w:tcPr>
            <w:tcW w:w="15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widowControl/>
              <w:wordWrap w:val="0"/>
              <w:snapToGrid w:val="0"/>
              <w:spacing w:line="480" w:lineRule="exact"/>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最高限价(元)</w:t>
            </w:r>
          </w:p>
        </w:tc>
      </w:tr>
      <w:tr>
        <w:tblPrEx>
          <w:tblLayout w:type="fixed"/>
          <w:tblCellMar>
            <w:top w:w="75" w:type="dxa"/>
            <w:left w:w="120" w:type="dxa"/>
            <w:bottom w:w="75" w:type="dxa"/>
            <w:right w:w="120" w:type="dxa"/>
          </w:tblCellMar>
        </w:tblPrEx>
        <w:trPr>
          <w:trHeight w:val="1162" w:hRule="atLeast"/>
        </w:trPr>
        <w:tc>
          <w:tcPr>
            <w:tcW w:w="728"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widowControl/>
              <w:spacing w:line="360" w:lineRule="auto"/>
              <w:jc w:val="center"/>
              <w:rPr>
                <w:rFonts w:ascii="宋体" w:hAnsi="宋体" w:eastAsia="宋体" w:cs="宋体"/>
                <w:color w:val="000000"/>
                <w:kern w:val="0"/>
                <w:sz w:val="24"/>
                <w:szCs w:val="21"/>
              </w:rPr>
            </w:pPr>
            <w:r>
              <w:rPr>
                <w:rFonts w:hint="eastAsia" w:ascii="宋体" w:hAnsi="宋体" w:eastAsia="宋体" w:cs="宋体"/>
                <w:color w:val="000000"/>
                <w:kern w:val="0"/>
                <w:sz w:val="24"/>
                <w:szCs w:val="21"/>
              </w:rPr>
              <w:t>1-1</w:t>
            </w:r>
          </w:p>
        </w:tc>
        <w:tc>
          <w:tcPr>
            <w:tcW w:w="1392"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widowControl/>
              <w:spacing w:line="360" w:lineRule="auto"/>
              <w:jc w:val="center"/>
              <w:rPr>
                <w:rFonts w:hint="default" w:ascii="宋体" w:hAnsi="宋体" w:eastAsia="宋体" w:cs="宋体"/>
                <w:color w:val="000000"/>
                <w:kern w:val="0"/>
                <w:sz w:val="24"/>
                <w:szCs w:val="21"/>
                <w:lang w:val="en-US" w:eastAsia="zh-CN"/>
              </w:rPr>
            </w:pPr>
            <w:r>
              <w:rPr>
                <w:rFonts w:hint="eastAsia" w:ascii="宋体" w:hAnsi="宋体" w:eastAsia="宋体" w:cs="宋体"/>
                <w:color w:val="000000"/>
                <w:kern w:val="0"/>
                <w:sz w:val="24"/>
                <w:szCs w:val="21"/>
                <w:lang w:val="en-US" w:eastAsia="zh-CN"/>
              </w:rPr>
              <w:t>其他专业技术服务</w:t>
            </w:r>
            <w:bookmarkStart w:id="4" w:name="_GoBack"/>
            <w:bookmarkEnd w:id="4"/>
          </w:p>
        </w:tc>
        <w:tc>
          <w:tcPr>
            <w:tcW w:w="1691"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Times New Roman"/>
                <w:color w:val="000000"/>
                <w:kern w:val="0"/>
                <w:sz w:val="24"/>
                <w:szCs w:val="20"/>
                <w:lang w:eastAsia="zh-CN"/>
              </w:rPr>
            </w:pPr>
            <w:r>
              <w:rPr>
                <w:rFonts w:hint="eastAsia" w:ascii="宋体" w:hAnsi="宋体" w:eastAsia="宋体" w:cs="Times New Roman"/>
                <w:color w:val="000000"/>
                <w:kern w:val="0"/>
                <w:sz w:val="24"/>
                <w:szCs w:val="20"/>
                <w:lang w:eastAsia="zh-CN"/>
              </w:rPr>
              <w:t>高塘镇片区乡村振兴产业</w:t>
            </w:r>
          </w:p>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0"/>
                <w:lang w:eastAsia="zh-CN"/>
              </w:rPr>
              <w:t>发展策划</w:t>
            </w:r>
          </w:p>
        </w:tc>
        <w:tc>
          <w:tcPr>
            <w:tcW w:w="1338"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widowControl/>
              <w:wordWrap w:val="0"/>
              <w:snapToGrid w:val="0"/>
              <w:spacing w:line="480" w:lineRule="exact"/>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1项</w:t>
            </w:r>
          </w:p>
        </w:tc>
        <w:tc>
          <w:tcPr>
            <w:tcW w:w="1667"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widowControl/>
              <w:wordWrap w:val="0"/>
              <w:snapToGrid w:val="0"/>
              <w:spacing w:line="480" w:lineRule="exact"/>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 xml:space="preserve"> </w:t>
            </w:r>
            <w:r>
              <w:rPr>
                <w:rFonts w:hint="eastAsia" w:ascii="宋体" w:hAnsi="宋体" w:eastAsia="宋体" w:cs="Times New Roman"/>
                <w:color w:val="000000"/>
                <w:kern w:val="0"/>
                <w:sz w:val="24"/>
                <w:szCs w:val="24"/>
              </w:rPr>
              <w:t>详见采购</w:t>
            </w:r>
            <w:r>
              <w:rPr>
                <w:rFonts w:hint="eastAsia" w:ascii="宋体" w:hAnsi="宋体" w:eastAsia="宋体" w:cs="Times New Roman"/>
                <w:color w:val="000000"/>
                <w:kern w:val="0"/>
                <w:sz w:val="24"/>
                <w:szCs w:val="24"/>
                <w:lang w:val="en-US" w:eastAsia="zh-CN"/>
              </w:rPr>
              <w:t xml:space="preserve">  </w:t>
            </w:r>
            <w:r>
              <w:rPr>
                <w:rFonts w:hint="eastAsia" w:ascii="宋体" w:hAnsi="宋体" w:eastAsia="宋体" w:cs="Times New Roman"/>
                <w:color w:val="000000"/>
                <w:kern w:val="0"/>
                <w:sz w:val="24"/>
                <w:szCs w:val="24"/>
              </w:rPr>
              <w:t>文件</w:t>
            </w:r>
          </w:p>
        </w:tc>
        <w:tc>
          <w:tcPr>
            <w:tcW w:w="1501"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widowControl/>
              <w:wordWrap w:val="0"/>
              <w:snapToGrid w:val="0"/>
              <w:spacing w:line="480" w:lineRule="exact"/>
              <w:jc w:val="center"/>
              <w:rPr>
                <w:rFonts w:hint="eastAsia" w:ascii="宋体" w:hAnsi="宋体" w:eastAsia="宋体" w:cs="Times New Roman"/>
                <w:color w:val="000000"/>
                <w:kern w:val="0"/>
                <w:sz w:val="24"/>
                <w:szCs w:val="24"/>
                <w:lang w:eastAsia="zh-CN"/>
              </w:rPr>
            </w:pPr>
            <w:r>
              <w:rPr>
                <w:rFonts w:hint="eastAsia" w:ascii="宋体" w:hAnsi="宋体" w:eastAsia="宋体" w:cs="Times New Roman"/>
                <w:color w:val="000000"/>
                <w:kern w:val="0"/>
                <w:sz w:val="24"/>
                <w:szCs w:val="24"/>
                <w:lang w:eastAsia="zh-CN"/>
              </w:rPr>
              <w:t>3000000.00</w:t>
            </w:r>
          </w:p>
        </w:tc>
        <w:tc>
          <w:tcPr>
            <w:tcW w:w="15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widowControl/>
              <w:wordWrap w:val="0"/>
              <w:snapToGrid w:val="0"/>
              <w:spacing w:line="480" w:lineRule="exact"/>
              <w:jc w:val="center"/>
              <w:rPr>
                <w:rFonts w:hint="eastAsia" w:ascii="宋体" w:hAnsi="宋体" w:eastAsia="宋体" w:cs="Times New Roman"/>
                <w:color w:val="000000"/>
                <w:kern w:val="0"/>
                <w:sz w:val="24"/>
                <w:szCs w:val="24"/>
                <w:lang w:eastAsia="zh-CN"/>
              </w:rPr>
            </w:pPr>
            <w:r>
              <w:rPr>
                <w:rFonts w:hint="eastAsia" w:ascii="宋体" w:hAnsi="宋体" w:eastAsia="宋体" w:cs="Times New Roman"/>
                <w:color w:val="000000"/>
                <w:kern w:val="0"/>
                <w:sz w:val="24"/>
                <w:szCs w:val="24"/>
                <w:lang w:eastAsia="zh-CN"/>
              </w:rPr>
              <w:t>3000000.00</w:t>
            </w:r>
          </w:p>
        </w:tc>
      </w:tr>
    </w:tbl>
    <w:p>
      <w:pPr>
        <w:widowControl/>
        <w:snapToGrid w:val="0"/>
        <w:spacing w:line="360" w:lineRule="auto"/>
        <w:ind w:firstLine="480"/>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本合同包不接受联合体投标。</w:t>
      </w:r>
    </w:p>
    <w:p>
      <w:pPr>
        <w:widowControl/>
        <w:snapToGrid w:val="0"/>
        <w:spacing w:line="360" w:lineRule="auto"/>
        <w:ind w:firstLine="480"/>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合同履行期限：</w:t>
      </w:r>
      <w:r>
        <w:rPr>
          <w:rFonts w:hint="eastAsia" w:ascii="宋体" w:hAnsi="宋体" w:eastAsia="宋体" w:cs="Times New Roman"/>
          <w:color w:val="000000"/>
          <w:sz w:val="24"/>
          <w:szCs w:val="24"/>
          <w:lang w:val="zh-CN" w:eastAsia="zh-CN" w:bidi="ar-SA"/>
        </w:rPr>
        <w:t>自合同签订之日起</w:t>
      </w:r>
      <w:r>
        <w:rPr>
          <w:rFonts w:hint="eastAsia" w:ascii="宋体" w:hAnsi="宋体" w:eastAsia="宋体" w:cs="Times New Roman"/>
          <w:color w:val="000000"/>
          <w:sz w:val="24"/>
          <w:szCs w:val="24"/>
          <w:lang w:val="en-US" w:eastAsia="zh-CN" w:bidi="ar-SA"/>
        </w:rPr>
        <w:t>90日历天</w:t>
      </w:r>
      <w:r>
        <w:rPr>
          <w:rFonts w:hint="eastAsia" w:ascii="宋体" w:hAnsi="宋体" w:eastAsia="宋体" w:cs="Times New Roman"/>
          <w:color w:val="000000"/>
          <w:sz w:val="24"/>
          <w:szCs w:val="24"/>
          <w:lang w:val="zh-CN" w:eastAsia="zh-CN" w:bidi="ar-SA"/>
        </w:rPr>
        <w:t>。</w:t>
      </w:r>
    </w:p>
    <w:p>
      <w:pPr>
        <w:widowControl/>
        <w:snapToGrid w:val="0"/>
        <w:spacing w:line="360" w:lineRule="auto"/>
        <w:rPr>
          <w:rFonts w:ascii="宋体" w:hAnsi="宋体" w:eastAsia="宋体" w:cs="Times New Roman"/>
          <w:b/>
          <w:bCs/>
          <w:color w:val="000000"/>
          <w:sz w:val="24"/>
          <w:szCs w:val="24"/>
          <w:lang w:val="en-US" w:eastAsia="zh-CN" w:bidi="ar-SA"/>
        </w:rPr>
      </w:pPr>
      <w:r>
        <w:rPr>
          <w:rFonts w:hint="eastAsia" w:ascii="宋体" w:hAnsi="宋体" w:eastAsia="宋体" w:cs="Times New Roman"/>
          <w:b/>
          <w:bCs/>
          <w:color w:val="000000"/>
          <w:sz w:val="24"/>
          <w:szCs w:val="24"/>
          <w:lang w:val="en-US" w:eastAsia="zh-CN" w:bidi="ar-SA"/>
        </w:rPr>
        <w:t>二、 响应供应商的资格要求：</w:t>
      </w:r>
    </w:p>
    <w:p>
      <w:pPr>
        <w:widowControl/>
        <w:snapToGrid w:val="0"/>
        <w:spacing w:line="360" w:lineRule="auto"/>
        <w:ind w:firstLine="480"/>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1.满足《中华人民共和国政府采购法》第二十二条规定;</w:t>
      </w:r>
    </w:p>
    <w:p>
      <w:pPr>
        <w:widowControl/>
        <w:snapToGrid w:val="0"/>
        <w:spacing w:line="360" w:lineRule="auto"/>
        <w:ind w:firstLine="480"/>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2.落实政府采购政策需满足的资格要求：</w:t>
      </w:r>
    </w:p>
    <w:p>
      <w:pPr>
        <w:widowControl/>
        <w:snapToGrid w:val="0"/>
        <w:spacing w:line="360" w:lineRule="auto"/>
        <w:ind w:firstLine="480"/>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2.1《政府采购促进中小企业发展管理办法》（财库〔2020〕46号）；</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2.2《财政部司法部关于政府采购支持监狱企业发展有关问题的通知》（财库〔2014〕68号）； </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2.3 《财政部民政部中国残疾人联合会关于促进残疾人就业政府采购政策的通知》（财库〔2017〕141号）； </w:t>
      </w:r>
    </w:p>
    <w:p>
      <w:pPr>
        <w:widowControl/>
        <w:snapToGrid w:val="0"/>
        <w:spacing w:line="360" w:lineRule="auto"/>
        <w:ind w:firstLine="480"/>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2.4 《财政部国家发展改革委关于印发(节能产品政府采购实施意见)的通知》(财库〔2004〕185号)； </w:t>
      </w:r>
    </w:p>
    <w:p>
      <w:pPr>
        <w:widowControl/>
        <w:snapToGrid w:val="0"/>
        <w:spacing w:line="360" w:lineRule="auto"/>
        <w:ind w:firstLine="482"/>
        <w:jc w:val="both"/>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2.5 《国务院办公厅关于建立政府强制采购节能产品制度的通知》(国办发〔2007〕51号)； </w:t>
      </w:r>
    </w:p>
    <w:p>
      <w:pPr>
        <w:widowControl/>
        <w:snapToGrid w:val="0"/>
        <w:spacing w:line="360" w:lineRule="auto"/>
        <w:ind w:firstLine="480"/>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2.6《财政部环保总局关于环境标志产品政府采购实施的意见》(财库〔2006〕90号)； </w:t>
      </w:r>
    </w:p>
    <w:p>
      <w:pPr>
        <w:widowControl/>
        <w:snapToGrid w:val="0"/>
        <w:spacing w:line="360" w:lineRule="auto"/>
        <w:ind w:firstLine="482"/>
        <w:jc w:val="both"/>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2.7《财政部发展改革委生态环境部市场监管总局关于调整优化节能产品、环境标志产品政府采购执行机制的通知》（财库〔2019〕9号）； </w:t>
      </w:r>
    </w:p>
    <w:p>
      <w:pPr>
        <w:widowControl/>
        <w:snapToGrid w:val="0"/>
        <w:spacing w:line="360" w:lineRule="auto"/>
        <w:ind w:firstLine="482"/>
        <w:jc w:val="both"/>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2.8《关于印发环境标志产品政府采购品目清单的通知》（财库〔2019〕18号）； </w:t>
      </w:r>
    </w:p>
    <w:p>
      <w:pPr>
        <w:widowControl/>
        <w:snapToGrid w:val="0"/>
        <w:spacing w:line="360" w:lineRule="auto"/>
        <w:ind w:firstLine="480"/>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2.9《关于印发节能产品政府采购品目清单的通知》（财库〔2019〕19号）； </w:t>
      </w:r>
    </w:p>
    <w:p>
      <w:pPr>
        <w:widowControl/>
        <w:snapToGrid w:val="0"/>
        <w:spacing w:line="360" w:lineRule="auto"/>
        <w:ind w:firstLine="480"/>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2.10《财政部农业农村部国家乡村振兴局关于运用政府采购政策支持乡村产业振兴的通知》（财库〔2021〕19号）；</w:t>
      </w:r>
    </w:p>
    <w:p>
      <w:pPr>
        <w:widowControl/>
        <w:snapToGrid w:val="0"/>
        <w:spacing w:line="360" w:lineRule="auto"/>
        <w:ind w:firstLine="480"/>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2.11《陕西省财政厅关于印发陕西省中小企业政府采购信用融资办法》（陕财办采〔2018〕23号）； </w:t>
      </w:r>
    </w:p>
    <w:p>
      <w:pPr>
        <w:widowControl/>
        <w:snapToGrid w:val="0"/>
        <w:spacing w:line="360" w:lineRule="auto"/>
        <w:ind w:firstLine="480"/>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2.12《陕西省财政厅关于加快推进我省中小企业政府采购信用融资工作的通知》（陕财办采〔2020〕15号）。</w:t>
      </w:r>
    </w:p>
    <w:p>
      <w:pPr>
        <w:widowControl/>
        <w:snapToGrid w:val="0"/>
        <w:spacing w:line="360" w:lineRule="auto"/>
        <w:ind w:firstLine="480"/>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3.本项目的特定资格要求：</w:t>
      </w:r>
    </w:p>
    <w:p>
      <w:pPr>
        <w:widowControl/>
        <w:snapToGrid w:val="0"/>
        <w:spacing w:line="360" w:lineRule="auto"/>
        <w:ind w:firstLine="480"/>
        <w:rPr>
          <w:rFonts w:hint="eastAsia" w:ascii="宋体" w:hAnsi="宋体" w:eastAsia="宋体" w:cs="Times New Roman"/>
          <w:color w:val="000000"/>
          <w:sz w:val="24"/>
          <w:szCs w:val="24"/>
          <w:lang w:val="zh-TW" w:eastAsia="zh-TW" w:bidi="ar-SA"/>
        </w:rPr>
      </w:pPr>
      <w:r>
        <w:rPr>
          <w:rFonts w:hint="eastAsia" w:ascii="宋体" w:hAnsi="宋体" w:eastAsia="宋体" w:cs="Times New Roman"/>
          <w:color w:val="000000"/>
          <w:sz w:val="24"/>
          <w:szCs w:val="24"/>
          <w:lang w:val="en-US" w:eastAsia="zh-CN" w:bidi="ar-SA"/>
        </w:rPr>
        <w:t xml:space="preserve">3.1 </w:t>
      </w:r>
      <w:r>
        <w:rPr>
          <w:rFonts w:hint="eastAsia" w:ascii="宋体" w:hAnsi="宋体" w:eastAsia="宋体" w:cs="Times New Roman"/>
          <w:color w:val="000000"/>
          <w:sz w:val="24"/>
          <w:szCs w:val="24"/>
          <w:lang w:val="zh-TW" w:eastAsia="zh-TW" w:bidi="ar-SA"/>
        </w:rPr>
        <w:t>供应商须具备独立承担民事责任能力的法人或其他组织，并</w:t>
      </w:r>
      <w:r>
        <w:rPr>
          <w:rFonts w:hint="eastAsia" w:ascii="宋体" w:hAnsi="宋体" w:eastAsia="宋体" w:cs="Times New Roman"/>
          <w:color w:val="000000"/>
          <w:sz w:val="24"/>
          <w:szCs w:val="24"/>
          <w:lang w:val="en-US" w:eastAsia="zh-CN" w:bidi="ar-SA"/>
        </w:rPr>
        <w:t>提供</w:t>
      </w:r>
      <w:r>
        <w:rPr>
          <w:rFonts w:hint="eastAsia" w:ascii="宋体" w:hAnsi="宋体" w:eastAsia="宋体" w:cs="Times New Roman"/>
          <w:color w:val="000000"/>
          <w:sz w:val="24"/>
          <w:szCs w:val="24"/>
          <w:lang w:val="zh-TW" w:eastAsia="zh-TW" w:bidi="ar-SA"/>
        </w:rPr>
        <w:t>合法有效</w:t>
      </w:r>
      <w:r>
        <w:rPr>
          <w:rFonts w:hint="eastAsia" w:ascii="宋体" w:hAnsi="宋体" w:eastAsia="宋体" w:cs="Times New Roman"/>
          <w:color w:val="000000"/>
          <w:sz w:val="24"/>
          <w:szCs w:val="24"/>
          <w:lang w:val="en-US" w:eastAsia="zh-CN" w:bidi="ar-SA"/>
        </w:rPr>
        <w:t>存续</w:t>
      </w:r>
      <w:r>
        <w:rPr>
          <w:rFonts w:hint="eastAsia" w:ascii="宋体" w:hAnsi="宋体" w:eastAsia="宋体" w:cs="Times New Roman"/>
          <w:color w:val="000000"/>
          <w:sz w:val="24"/>
          <w:szCs w:val="24"/>
          <w:lang w:val="zh-TW" w:eastAsia="zh-TW" w:bidi="ar-SA"/>
        </w:rPr>
        <w:t>的营业执照等相关证明</w:t>
      </w:r>
      <w:r>
        <w:rPr>
          <w:rFonts w:hint="eastAsia" w:ascii="宋体" w:hAnsi="宋体" w:eastAsia="宋体" w:cs="Times New Roman"/>
          <w:color w:val="000000"/>
          <w:sz w:val="24"/>
          <w:szCs w:val="24"/>
          <w:lang w:val="zh-TW" w:eastAsia="zh-CN" w:bidi="ar-SA"/>
        </w:rPr>
        <w:t>，</w:t>
      </w:r>
      <w:r>
        <w:rPr>
          <w:rFonts w:hint="eastAsia" w:ascii="宋体" w:hAnsi="宋体" w:eastAsia="宋体" w:cs="Times New Roman"/>
          <w:color w:val="000000"/>
          <w:sz w:val="24"/>
          <w:szCs w:val="24"/>
          <w:lang w:val="zh-TW" w:eastAsia="zh-TW" w:bidi="ar-SA"/>
        </w:rPr>
        <w:t>自然人的提供身份证明文件</w:t>
      </w:r>
      <w:r>
        <w:rPr>
          <w:rFonts w:hint="eastAsia" w:ascii="宋体" w:hAnsi="宋体" w:eastAsia="宋体" w:cs="Times New Roman"/>
          <w:color w:val="000000"/>
          <w:sz w:val="24"/>
          <w:szCs w:val="24"/>
          <w:lang w:val="zh-TW" w:eastAsia="zh-CN" w:bidi="ar-SA"/>
        </w:rPr>
        <w:t>。</w:t>
      </w:r>
    </w:p>
    <w:p>
      <w:pPr>
        <w:widowControl/>
        <w:snapToGrid w:val="0"/>
        <w:spacing w:line="360" w:lineRule="auto"/>
        <w:ind w:firstLine="480"/>
        <w:rPr>
          <w:rFonts w:ascii="宋体" w:hAnsi="宋体" w:eastAsia="宋体" w:cs="Times New Roman"/>
          <w:color w:val="000000"/>
          <w:sz w:val="24"/>
          <w:szCs w:val="24"/>
          <w:lang w:val="zh-TW" w:eastAsia="zh-TW" w:bidi="ar-SA"/>
        </w:rPr>
      </w:pPr>
      <w:r>
        <w:rPr>
          <w:rFonts w:hint="eastAsia" w:ascii="宋体" w:hAnsi="宋体" w:eastAsia="宋体" w:cs="Times New Roman"/>
          <w:color w:val="000000"/>
          <w:sz w:val="24"/>
          <w:szCs w:val="24"/>
          <w:lang w:val="en-US" w:eastAsia="zh-CN" w:bidi="ar-SA"/>
        </w:rPr>
        <w:t>3.2 供应商应授权合法的人员参加开标全过程，其中法定代表人直接参加的，须出具法人身份证件，并与营业执照上信息一致。被授权人参加的，须出具法定代表人授权书及被授权人身份证原件；</w:t>
      </w:r>
    </w:p>
    <w:p>
      <w:pPr>
        <w:widowControl/>
        <w:snapToGrid w:val="0"/>
        <w:spacing w:line="360" w:lineRule="auto"/>
        <w:ind w:firstLine="480"/>
        <w:rPr>
          <w:rFonts w:ascii="宋体" w:hAnsi="宋体" w:eastAsia="宋体" w:cs="Times New Roman"/>
          <w:color w:val="000000"/>
          <w:sz w:val="24"/>
          <w:szCs w:val="24"/>
          <w:lang w:val="zh-TW" w:eastAsia="zh-TW" w:bidi="ar-SA"/>
        </w:rPr>
      </w:pPr>
      <w:r>
        <w:rPr>
          <w:rFonts w:hint="eastAsia" w:ascii="宋体" w:hAnsi="宋体" w:eastAsia="宋体" w:cs="Times New Roman"/>
          <w:color w:val="000000"/>
          <w:sz w:val="24"/>
          <w:szCs w:val="24"/>
          <w:lang w:val="en-US" w:eastAsia="zh-CN" w:bidi="ar-SA"/>
        </w:rPr>
        <w:t xml:space="preserve">3.3 </w:t>
      </w:r>
      <w:r>
        <w:rPr>
          <w:rFonts w:hint="eastAsia" w:ascii="宋体" w:hAnsi="宋体" w:eastAsia="宋体" w:cs="Times New Roman"/>
          <w:color w:val="000000"/>
          <w:sz w:val="24"/>
          <w:szCs w:val="24"/>
          <w:lang w:val="zh-TW" w:eastAsia="zh-TW" w:bidi="ar-SA"/>
        </w:rPr>
        <w:t>具有良好的商业信誉和健全的财务会计制度</w:t>
      </w:r>
    </w:p>
    <w:p>
      <w:pPr>
        <w:widowControl/>
        <w:snapToGrid w:val="0"/>
        <w:spacing w:beforeAutospacing="0" w:afterAutospacing="0" w:line="360" w:lineRule="auto"/>
        <w:ind w:firstLine="480"/>
        <w:rPr>
          <w:rFonts w:ascii="宋体" w:hAnsi="宋体" w:eastAsia="宋体" w:cs="Times New Roman"/>
          <w:color w:val="000000"/>
          <w:sz w:val="24"/>
          <w:szCs w:val="24"/>
          <w:lang w:val="zh-TW" w:eastAsia="zh-TW" w:bidi="ar-SA"/>
        </w:rPr>
      </w:pPr>
      <w:r>
        <w:rPr>
          <w:rFonts w:hint="eastAsia" w:ascii="宋体" w:hAnsi="宋体" w:eastAsia="宋体" w:cs="Times New Roman"/>
          <w:color w:val="000000"/>
          <w:sz w:val="24"/>
          <w:szCs w:val="24"/>
          <w:lang w:val="en-US" w:eastAsia="zh-CN" w:bidi="ar-SA"/>
        </w:rPr>
        <w:t>供应商须提供具有财务审计资质单位出具的2022年经审计的财务报告</w:t>
      </w:r>
      <w:r>
        <w:rPr>
          <w:rFonts w:hint="eastAsia" w:ascii="宋体" w:hAnsi="宋体" w:eastAsia="宋体" w:cs="Times New Roman"/>
          <w:color w:val="000000"/>
          <w:sz w:val="24"/>
          <w:szCs w:val="24"/>
          <w:lang w:val="zh-TW" w:eastAsia="zh-TW" w:bidi="ar-SA"/>
        </w:rPr>
        <w:t>（包括三表一注，即资产负债表、利润表、现金流量表及其附注，成立时间至提交响应文件截止时间不足一年的可提供成立后任意时段的资产负债表）；或在</w:t>
      </w:r>
      <w:r>
        <w:rPr>
          <w:rFonts w:hint="eastAsia" w:ascii="宋体" w:hAnsi="宋体" w:eastAsia="宋体" w:cs="Times New Roman"/>
          <w:color w:val="000000"/>
          <w:sz w:val="24"/>
          <w:szCs w:val="24"/>
          <w:lang w:val="zh-TW" w:eastAsia="zh-CN" w:bidi="ar-SA"/>
        </w:rPr>
        <w:t>开标</w:t>
      </w:r>
      <w:r>
        <w:rPr>
          <w:rFonts w:hint="eastAsia" w:ascii="宋体" w:hAnsi="宋体" w:eastAsia="宋体" w:cs="Times New Roman"/>
          <w:color w:val="000000"/>
          <w:sz w:val="24"/>
          <w:szCs w:val="24"/>
          <w:lang w:val="zh-TW" w:eastAsia="zh-TW" w:bidi="ar-SA"/>
        </w:rPr>
        <w:t>截止日期前六个月内其基本开户银行出具的资信证明（附《基本存款账户信息》或《银行开户许可证》复印件）</w:t>
      </w:r>
      <w:r>
        <w:rPr>
          <w:rFonts w:hint="eastAsia" w:ascii="宋体" w:hAnsi="宋体" w:eastAsia="宋体" w:cs="Times New Roman"/>
          <w:color w:val="000000"/>
          <w:sz w:val="24"/>
          <w:szCs w:val="24"/>
          <w:lang w:val="zh-TW" w:eastAsia="zh-CN" w:bidi="ar-SA"/>
        </w:rPr>
        <w:t>；</w:t>
      </w:r>
      <w:r>
        <w:rPr>
          <w:rFonts w:hint="eastAsia" w:ascii="宋体" w:hAnsi="宋体" w:eastAsia="宋体" w:cs="Times New Roman"/>
          <w:color w:val="auto"/>
          <w:kern w:val="0"/>
          <w:sz w:val="24"/>
          <w:szCs w:val="24"/>
          <w:lang w:val="zh-TW" w:eastAsia="zh-TW" w:bidi="ar"/>
        </w:rPr>
        <w:t>或财政部门认可的政府采购专业担保机构出具的响应担保函</w:t>
      </w:r>
      <w:r>
        <w:rPr>
          <w:rFonts w:hint="eastAsia" w:ascii="宋体" w:hAnsi="宋体" w:eastAsia="宋体" w:cs="Times New Roman"/>
          <w:color w:val="auto"/>
          <w:kern w:val="0"/>
          <w:sz w:val="24"/>
          <w:szCs w:val="24"/>
          <w:lang w:val="zh-TW" w:eastAsia="zh-CN" w:bidi="ar"/>
        </w:rPr>
        <w:t>。</w:t>
      </w:r>
      <w:r>
        <w:rPr>
          <w:rFonts w:hint="eastAsia" w:ascii="宋体" w:hAnsi="宋体" w:eastAsia="宋体" w:cs="Times New Roman"/>
          <w:color w:val="auto"/>
          <w:kern w:val="0"/>
          <w:sz w:val="24"/>
          <w:szCs w:val="24"/>
          <w:lang w:val="zh-TW" w:eastAsia="zh-TW" w:bidi="ar"/>
        </w:rPr>
        <w:t>以上三种形式的资料提供任何一种即可。</w:t>
      </w:r>
    </w:p>
    <w:p>
      <w:pPr>
        <w:widowControl/>
        <w:snapToGrid w:val="0"/>
        <w:spacing w:line="360" w:lineRule="auto"/>
        <w:ind w:firstLine="480"/>
        <w:rPr>
          <w:rFonts w:ascii="宋体" w:hAnsi="宋体" w:eastAsia="宋体" w:cs="Times New Roman"/>
          <w:color w:val="000000"/>
          <w:sz w:val="24"/>
          <w:szCs w:val="24"/>
          <w:lang w:val="zh-TW" w:eastAsia="zh-TW" w:bidi="ar-SA"/>
        </w:rPr>
      </w:pPr>
      <w:r>
        <w:rPr>
          <w:rFonts w:hint="eastAsia" w:ascii="宋体" w:hAnsi="宋体" w:eastAsia="宋体" w:cs="Times New Roman"/>
          <w:color w:val="000000"/>
          <w:sz w:val="24"/>
          <w:szCs w:val="24"/>
          <w:lang w:val="en-US" w:eastAsia="zh-CN" w:bidi="ar-SA"/>
        </w:rPr>
        <w:t xml:space="preserve">3.4 </w:t>
      </w:r>
      <w:r>
        <w:rPr>
          <w:rFonts w:hint="eastAsia" w:ascii="宋体" w:hAnsi="宋体" w:eastAsia="宋体" w:cs="Times New Roman"/>
          <w:color w:val="000000"/>
          <w:sz w:val="24"/>
          <w:szCs w:val="24"/>
          <w:lang w:val="zh-TW" w:eastAsia="zh-TW" w:bidi="ar-SA"/>
        </w:rPr>
        <w:t>具有履行合同所必需的设备和专业技术能力</w:t>
      </w:r>
      <w:r>
        <w:rPr>
          <w:rFonts w:hint="eastAsia" w:ascii="宋体" w:hAnsi="宋体" w:eastAsia="宋体" w:cs="Times New Roman"/>
          <w:color w:val="000000"/>
          <w:sz w:val="24"/>
          <w:szCs w:val="24"/>
          <w:lang w:val="zh-TW" w:eastAsia="zh-CN" w:bidi="ar-SA"/>
        </w:rPr>
        <w:t>，</w:t>
      </w:r>
      <w:r>
        <w:rPr>
          <w:rFonts w:hint="eastAsia" w:ascii="宋体" w:hAnsi="宋体" w:eastAsia="宋体" w:cs="Times New Roman"/>
          <w:color w:val="000000"/>
          <w:sz w:val="24"/>
          <w:szCs w:val="24"/>
          <w:lang w:val="zh-TW" w:eastAsia="zh-TW" w:bidi="ar-SA"/>
        </w:rPr>
        <w:t>提供声明文件。</w:t>
      </w:r>
    </w:p>
    <w:p>
      <w:pPr>
        <w:widowControl/>
        <w:snapToGrid w:val="0"/>
        <w:spacing w:line="360" w:lineRule="auto"/>
        <w:ind w:firstLine="480"/>
        <w:rPr>
          <w:rFonts w:ascii="宋体" w:hAnsi="宋体" w:eastAsia="宋体" w:cs="Times New Roman"/>
          <w:color w:val="000000"/>
          <w:sz w:val="24"/>
          <w:szCs w:val="24"/>
          <w:lang w:val="zh-TW" w:eastAsia="zh-TW" w:bidi="ar-SA"/>
        </w:rPr>
      </w:pPr>
      <w:r>
        <w:rPr>
          <w:rFonts w:hint="eastAsia" w:ascii="宋体" w:hAnsi="宋体" w:eastAsia="宋体" w:cs="Times New Roman"/>
          <w:color w:val="000000"/>
          <w:sz w:val="24"/>
          <w:szCs w:val="24"/>
          <w:lang w:val="en-US" w:eastAsia="zh-CN" w:bidi="ar-SA"/>
        </w:rPr>
        <w:t xml:space="preserve">3.5 </w:t>
      </w:r>
      <w:r>
        <w:rPr>
          <w:rFonts w:hint="eastAsia" w:ascii="宋体" w:hAnsi="宋体" w:eastAsia="宋体" w:cs="Times New Roman"/>
          <w:color w:val="000000"/>
          <w:sz w:val="24"/>
          <w:szCs w:val="24"/>
          <w:lang w:val="zh-TW" w:eastAsia="zh-TW" w:bidi="ar-SA"/>
        </w:rPr>
        <w:t>具有依法缴纳税收的良好记录</w:t>
      </w:r>
    </w:p>
    <w:p>
      <w:pPr>
        <w:widowControl/>
        <w:snapToGrid w:val="0"/>
        <w:spacing w:line="360" w:lineRule="auto"/>
        <w:ind w:firstLine="480"/>
        <w:rPr>
          <w:rFonts w:ascii="宋体" w:hAnsi="宋体" w:eastAsia="宋体" w:cs="Times New Roman"/>
          <w:color w:val="000000"/>
          <w:sz w:val="24"/>
          <w:szCs w:val="24"/>
          <w:lang w:val="zh-TW" w:eastAsia="zh-TW" w:bidi="ar-SA"/>
        </w:rPr>
      </w:pPr>
      <w:r>
        <w:rPr>
          <w:rFonts w:hint="eastAsia" w:ascii="宋体" w:hAnsi="宋体" w:eastAsia="宋体" w:cs="Times New Roman"/>
          <w:color w:val="000000"/>
          <w:sz w:val="24"/>
          <w:szCs w:val="24"/>
          <w:lang w:val="zh-TW" w:eastAsia="zh-CN" w:bidi="ar-SA"/>
        </w:rPr>
        <w:t>提供缴费所属日期为</w:t>
      </w:r>
      <w:r>
        <w:rPr>
          <w:rFonts w:hint="eastAsia" w:ascii="宋体" w:hAnsi="宋体" w:eastAsia="宋体" w:cs="Times New Roman"/>
          <w:color w:val="000000"/>
          <w:sz w:val="24"/>
          <w:szCs w:val="24"/>
          <w:lang w:val="en-US" w:eastAsia="zh-CN" w:bidi="ar-SA"/>
        </w:rPr>
        <w:t>开标</w:t>
      </w:r>
      <w:r>
        <w:rPr>
          <w:rFonts w:hint="eastAsia" w:ascii="宋体" w:hAnsi="宋体" w:eastAsia="宋体" w:cs="Times New Roman"/>
          <w:color w:val="000000"/>
          <w:sz w:val="24"/>
          <w:szCs w:val="24"/>
          <w:lang w:val="zh-TW" w:eastAsia="zh-CN" w:bidi="ar-SA"/>
        </w:rPr>
        <w:t>截止时间前六个月内任意一个月</w:t>
      </w:r>
      <w:r>
        <w:rPr>
          <w:rFonts w:hint="eastAsia" w:ascii="宋体" w:hAnsi="宋体" w:eastAsia="宋体" w:cs="Times New Roman"/>
          <w:color w:val="000000"/>
          <w:sz w:val="24"/>
          <w:szCs w:val="24"/>
          <w:lang w:val="zh-TW" w:eastAsia="zh-TW" w:bidi="ar-SA"/>
        </w:rPr>
        <w:t>（</w:t>
      </w:r>
      <w:r>
        <w:rPr>
          <w:rFonts w:hint="eastAsia" w:ascii="宋体" w:hAnsi="宋体" w:eastAsia="宋体" w:cs="Times New Roman"/>
          <w:color w:val="000000"/>
          <w:sz w:val="24"/>
          <w:szCs w:val="24"/>
          <w:lang w:val="en-US" w:eastAsia="zh-CN" w:bidi="ar-SA"/>
        </w:rPr>
        <w:t>开标</w:t>
      </w:r>
      <w:r>
        <w:rPr>
          <w:rFonts w:hint="eastAsia" w:ascii="宋体" w:hAnsi="宋体" w:eastAsia="宋体" w:cs="Times New Roman"/>
          <w:color w:val="000000"/>
          <w:sz w:val="24"/>
          <w:szCs w:val="24"/>
          <w:lang w:val="zh-TW" w:eastAsia="zh-CN" w:bidi="ar-SA"/>
        </w:rPr>
        <w:t>时间当月不计入</w:t>
      </w:r>
      <w:r>
        <w:rPr>
          <w:rFonts w:hint="eastAsia" w:ascii="宋体" w:hAnsi="宋体" w:eastAsia="宋体" w:cs="Times New Roman"/>
          <w:color w:val="000000"/>
          <w:sz w:val="24"/>
          <w:szCs w:val="24"/>
          <w:lang w:val="zh-TW" w:eastAsia="zh-TW" w:bidi="ar-SA"/>
        </w:rPr>
        <w:t>）的税收缴费凭据或税务机关出具的完税证明</w:t>
      </w:r>
      <w:r>
        <w:rPr>
          <w:rFonts w:hint="eastAsia" w:ascii="宋体" w:hAnsi="宋体" w:eastAsia="宋体" w:cs="Times New Roman"/>
          <w:color w:val="000000"/>
          <w:sz w:val="24"/>
          <w:szCs w:val="24"/>
          <w:lang w:val="zh-TW" w:eastAsia="zh-CN" w:bidi="ar-SA"/>
        </w:rPr>
        <w:t>，</w:t>
      </w:r>
      <w:r>
        <w:rPr>
          <w:rFonts w:hint="eastAsia" w:ascii="宋体" w:hAnsi="宋体" w:eastAsia="宋体" w:cs="Times New Roman"/>
          <w:color w:val="000000"/>
          <w:sz w:val="24"/>
          <w:szCs w:val="24"/>
          <w:lang w:val="en-US" w:eastAsia="zh-CN" w:bidi="ar-SA"/>
        </w:rPr>
        <w:t>依法免税的应提供相关证明文件。</w:t>
      </w:r>
    </w:p>
    <w:p>
      <w:pPr>
        <w:widowControl/>
        <w:snapToGrid w:val="0"/>
        <w:spacing w:line="360" w:lineRule="auto"/>
        <w:ind w:firstLine="480"/>
        <w:rPr>
          <w:rFonts w:ascii="宋体" w:hAnsi="宋体" w:eastAsia="宋体" w:cs="Times New Roman"/>
          <w:color w:val="000000"/>
          <w:sz w:val="24"/>
          <w:szCs w:val="24"/>
          <w:lang w:val="zh-TW" w:eastAsia="zh-TW" w:bidi="ar-SA"/>
        </w:rPr>
      </w:pPr>
      <w:r>
        <w:rPr>
          <w:rFonts w:hint="eastAsia" w:ascii="宋体" w:hAnsi="宋体" w:eastAsia="宋体" w:cs="Times New Roman"/>
          <w:color w:val="000000"/>
          <w:sz w:val="24"/>
          <w:szCs w:val="24"/>
          <w:lang w:val="en-US" w:eastAsia="zh-CN" w:bidi="ar-SA"/>
        </w:rPr>
        <w:t xml:space="preserve">3.6 </w:t>
      </w:r>
      <w:r>
        <w:rPr>
          <w:rFonts w:hint="eastAsia" w:ascii="宋体" w:hAnsi="宋体" w:eastAsia="宋体" w:cs="Times New Roman"/>
          <w:color w:val="000000"/>
          <w:sz w:val="24"/>
          <w:szCs w:val="24"/>
          <w:lang w:val="zh-TW" w:eastAsia="zh-TW" w:bidi="ar-SA"/>
        </w:rPr>
        <w:t>具有依法缴纳社会保障资金的良好记录</w:t>
      </w:r>
    </w:p>
    <w:p>
      <w:pPr>
        <w:widowControl/>
        <w:snapToGrid w:val="0"/>
        <w:spacing w:line="360" w:lineRule="auto"/>
        <w:ind w:firstLine="480"/>
        <w:rPr>
          <w:rFonts w:ascii="宋体" w:hAnsi="宋体" w:eastAsia="宋体" w:cs="Times New Roman"/>
          <w:color w:val="000000"/>
          <w:sz w:val="24"/>
          <w:szCs w:val="24"/>
          <w:lang w:val="zh-TW" w:eastAsia="zh-TW" w:bidi="ar-SA"/>
        </w:rPr>
      </w:pPr>
      <w:r>
        <w:rPr>
          <w:rFonts w:hint="eastAsia" w:ascii="宋体" w:hAnsi="宋体" w:eastAsia="宋体" w:cs="Times New Roman"/>
          <w:color w:val="000000"/>
          <w:sz w:val="24"/>
          <w:szCs w:val="24"/>
          <w:lang w:val="zh-TW" w:eastAsia="zh-CN" w:bidi="ar-SA"/>
        </w:rPr>
        <w:t>提供缴费所属日期为</w:t>
      </w:r>
      <w:r>
        <w:rPr>
          <w:rFonts w:hint="eastAsia" w:ascii="宋体" w:hAnsi="宋体" w:eastAsia="宋体" w:cs="Times New Roman"/>
          <w:color w:val="000000"/>
          <w:sz w:val="24"/>
          <w:szCs w:val="24"/>
          <w:lang w:val="en-US" w:eastAsia="zh-CN" w:bidi="ar-SA"/>
        </w:rPr>
        <w:t>开标</w:t>
      </w:r>
      <w:r>
        <w:rPr>
          <w:rFonts w:hint="eastAsia" w:ascii="宋体" w:hAnsi="宋体" w:eastAsia="宋体" w:cs="Times New Roman"/>
          <w:color w:val="000000"/>
          <w:sz w:val="24"/>
          <w:szCs w:val="24"/>
          <w:lang w:val="zh-TW" w:eastAsia="zh-CN" w:bidi="ar-SA"/>
        </w:rPr>
        <w:t>截止时间前六个月内任意一个月</w:t>
      </w:r>
      <w:r>
        <w:rPr>
          <w:rFonts w:hint="eastAsia" w:ascii="宋体" w:hAnsi="宋体" w:eastAsia="宋体" w:cs="Times New Roman"/>
          <w:color w:val="000000"/>
          <w:sz w:val="24"/>
          <w:szCs w:val="24"/>
          <w:lang w:val="zh-TW" w:eastAsia="zh-TW" w:bidi="ar-SA"/>
        </w:rPr>
        <w:t>（</w:t>
      </w:r>
      <w:r>
        <w:rPr>
          <w:rFonts w:hint="eastAsia" w:ascii="宋体" w:hAnsi="宋体" w:eastAsia="宋体" w:cs="Times New Roman"/>
          <w:color w:val="000000"/>
          <w:sz w:val="24"/>
          <w:szCs w:val="24"/>
          <w:lang w:val="en-US" w:eastAsia="zh-CN" w:bidi="ar-SA"/>
        </w:rPr>
        <w:t>开标</w:t>
      </w:r>
      <w:r>
        <w:rPr>
          <w:rFonts w:hint="eastAsia" w:ascii="宋体" w:hAnsi="宋体" w:eastAsia="宋体" w:cs="Times New Roman"/>
          <w:color w:val="000000"/>
          <w:sz w:val="24"/>
          <w:szCs w:val="24"/>
          <w:lang w:val="zh-TW" w:eastAsia="zh-CN" w:bidi="ar-SA"/>
        </w:rPr>
        <w:t>时间当月不计入</w:t>
      </w:r>
      <w:r>
        <w:rPr>
          <w:rFonts w:hint="eastAsia" w:ascii="宋体" w:hAnsi="宋体" w:eastAsia="宋体" w:cs="Times New Roman"/>
          <w:color w:val="000000"/>
          <w:sz w:val="24"/>
          <w:szCs w:val="24"/>
          <w:lang w:val="zh-TW" w:eastAsia="zh-TW" w:bidi="ar-SA"/>
        </w:rPr>
        <w:t>）的缴费凭据或社保机关出具的缴费证明</w:t>
      </w:r>
      <w:r>
        <w:rPr>
          <w:rFonts w:hint="eastAsia" w:ascii="宋体" w:hAnsi="宋体" w:eastAsia="宋体" w:cs="Times New Roman"/>
          <w:color w:val="000000"/>
          <w:sz w:val="24"/>
          <w:szCs w:val="24"/>
          <w:lang w:val="zh-TW" w:eastAsia="zh-CN" w:bidi="ar-SA"/>
        </w:rPr>
        <w:t>，</w:t>
      </w:r>
      <w:r>
        <w:rPr>
          <w:rFonts w:hint="eastAsia" w:ascii="宋体" w:hAnsi="宋体" w:eastAsia="宋体" w:cs="Times New Roman"/>
          <w:color w:val="000000"/>
          <w:sz w:val="24"/>
          <w:szCs w:val="24"/>
          <w:lang w:val="en-US" w:eastAsia="zh-CN" w:bidi="ar-SA"/>
        </w:rPr>
        <w:t>依法不需要缴纳社会保障资金的应提供相关证明文件。</w:t>
      </w:r>
    </w:p>
    <w:p>
      <w:pPr>
        <w:widowControl/>
        <w:snapToGrid w:val="0"/>
        <w:spacing w:line="360" w:lineRule="auto"/>
        <w:ind w:firstLine="480"/>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 xml:space="preserve">3.7 </w:t>
      </w:r>
      <w:r>
        <w:rPr>
          <w:rFonts w:hint="eastAsia" w:ascii="宋体" w:hAnsi="宋体" w:eastAsia="宋体" w:cs="Times New Roman"/>
          <w:color w:val="000000"/>
          <w:sz w:val="24"/>
          <w:szCs w:val="24"/>
          <w:lang w:val="zh-TW" w:eastAsia="zh-TW" w:bidi="ar-SA"/>
        </w:rPr>
        <w:t>无重大违法记录声明</w:t>
      </w:r>
    </w:p>
    <w:p>
      <w:pPr>
        <w:widowControl/>
        <w:snapToGrid w:val="0"/>
        <w:spacing w:line="360" w:lineRule="auto"/>
        <w:ind w:firstLine="480"/>
        <w:rPr>
          <w:rFonts w:ascii="宋体" w:hAnsi="宋体" w:eastAsia="宋体" w:cs="Times New Roman"/>
          <w:color w:val="000000"/>
          <w:sz w:val="24"/>
          <w:szCs w:val="24"/>
          <w:lang w:val="zh-TW" w:eastAsia="zh-TW" w:bidi="ar-SA"/>
        </w:rPr>
      </w:pPr>
      <w:r>
        <w:rPr>
          <w:rFonts w:hint="eastAsia" w:ascii="宋体" w:hAnsi="宋体" w:eastAsia="宋体" w:cs="Times New Roman"/>
          <w:color w:val="000000"/>
          <w:sz w:val="24"/>
          <w:szCs w:val="24"/>
          <w:lang w:val="en-US" w:eastAsia="zh-CN" w:bidi="ar-SA"/>
        </w:rPr>
        <w:t>参加本次政府采购活动前三年内在经营活动中没有重大违纪，以及未被列入失信被执行人、重大税收违法案件当事人名单、政府采购严重违法失信行为记录名单的书面声明。</w:t>
      </w:r>
    </w:p>
    <w:p>
      <w:pPr>
        <w:widowControl w:val="0"/>
        <w:snapToGrid w:val="0"/>
        <w:spacing w:line="360" w:lineRule="auto"/>
        <w:ind w:firstLine="482"/>
        <w:rPr>
          <w:rFonts w:hint="eastAsia" w:ascii="宋体" w:hAnsi="宋体" w:eastAsia="宋体" w:cs="Times New Roman"/>
          <w:color w:val="000000"/>
          <w:kern w:val="0"/>
          <w:sz w:val="24"/>
          <w:szCs w:val="24"/>
          <w:lang w:val="en-US" w:eastAsia="zh-CN" w:bidi="ar"/>
        </w:rPr>
      </w:pPr>
      <w:r>
        <w:rPr>
          <w:rFonts w:hint="eastAsia" w:ascii="宋体" w:hAnsi="宋体" w:eastAsia="宋体" w:cs="Times New Roman"/>
          <w:color w:val="000000"/>
          <w:sz w:val="24"/>
          <w:szCs w:val="24"/>
          <w:lang w:val="en-US" w:eastAsia="zh-CN" w:bidi="ar-SA"/>
        </w:rPr>
        <w:t xml:space="preserve">3.8 </w:t>
      </w:r>
      <w:r>
        <w:rPr>
          <w:rFonts w:hint="eastAsia" w:ascii="宋体" w:hAnsi="宋体" w:eastAsia="宋体" w:cs="Times New Roman"/>
          <w:color w:val="000000"/>
          <w:kern w:val="0"/>
          <w:sz w:val="24"/>
          <w:szCs w:val="24"/>
          <w:lang w:val="en-US" w:eastAsia="zh-CN" w:bidi="ar"/>
        </w:rPr>
        <w:t>本项目为专门面向中小企业采购项目,须根据《政府采购促进中小企业发展管理办法》（财库﹝2020﹞46号）的规定提供《中小企业声明函》。</w:t>
      </w:r>
    </w:p>
    <w:p>
      <w:pPr>
        <w:widowControl w:val="0"/>
        <w:snapToGrid w:val="0"/>
        <w:spacing w:line="360" w:lineRule="auto"/>
        <w:ind w:firstLine="482"/>
        <w:rPr>
          <w:rFonts w:ascii="宋体" w:hAnsi="宋体" w:eastAsia="宋体" w:cs="Times New Roman"/>
          <w:color w:val="000000"/>
          <w:sz w:val="24"/>
          <w:szCs w:val="24"/>
          <w:lang w:val="en-US" w:eastAsia="zh-CN" w:bidi="ar-SA"/>
        </w:rPr>
      </w:pPr>
      <w:r>
        <w:rPr>
          <w:rFonts w:hint="eastAsia" w:ascii="宋体" w:hAnsi="宋体" w:eastAsia="宋体" w:cs="Times New Roman"/>
          <w:color w:val="000000"/>
          <w:kern w:val="0"/>
          <w:sz w:val="24"/>
          <w:szCs w:val="24"/>
          <w:lang w:val="en-US" w:eastAsia="zh-CN" w:bidi="ar"/>
        </w:rPr>
        <w:t xml:space="preserve">3.9 </w:t>
      </w:r>
      <w:r>
        <w:rPr>
          <w:rFonts w:hint="eastAsia" w:ascii="宋体" w:hAnsi="宋体" w:eastAsia="宋体" w:cs="Times New Roman"/>
          <w:color w:val="000000"/>
          <w:sz w:val="24"/>
          <w:szCs w:val="24"/>
          <w:lang w:val="en-US" w:eastAsia="zh-CN" w:bidi="ar-SA"/>
        </w:rPr>
        <w:t>本项目不接受联合体投标。</w:t>
      </w:r>
    </w:p>
    <w:p>
      <w:pPr>
        <w:widowControl w:val="0"/>
        <w:snapToGrid w:val="0"/>
        <w:spacing w:line="360" w:lineRule="auto"/>
        <w:ind w:firstLine="482"/>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3.10 供应商单位负责人为同一人或者存在控股、管理关系的不同单位不得同时参加投标。</w:t>
      </w:r>
    </w:p>
    <w:p>
      <w:pPr>
        <w:widowControl w:val="0"/>
        <w:snapToGrid w:val="0"/>
        <w:spacing w:before="0" w:line="480" w:lineRule="exact"/>
        <w:ind w:firstLine="482" w:firstLineChars="200"/>
        <w:rPr>
          <w:rFonts w:ascii="宋体" w:hAnsi="宋体" w:eastAsia="宋体" w:cs="Times New Roman"/>
          <w:b/>
          <w:color w:val="000000"/>
          <w:sz w:val="24"/>
          <w:szCs w:val="24"/>
          <w:lang w:val="en-US" w:eastAsia="zh-CN" w:bidi="ar-SA"/>
        </w:rPr>
      </w:pPr>
      <w:r>
        <w:rPr>
          <w:rFonts w:hint="eastAsia" w:ascii="宋体" w:hAnsi="宋体" w:eastAsia="宋体" w:cs="Times New Roman"/>
          <w:b/>
          <w:color w:val="000000"/>
          <w:sz w:val="24"/>
          <w:szCs w:val="24"/>
          <w:lang w:val="en-US" w:eastAsia="zh-CN" w:bidi="ar-SA"/>
        </w:rPr>
        <w:t xml:space="preserve">三、 采购文件的获取方式 </w:t>
      </w:r>
    </w:p>
    <w:p>
      <w:pPr>
        <w:widowControl w:val="0"/>
        <w:snapToGrid w:val="0"/>
        <w:spacing w:before="0" w:line="480" w:lineRule="exact"/>
        <w:ind w:firstLine="480" w:firstLineChars="200"/>
        <w:jc w:val="both"/>
        <w:rPr>
          <w:rFonts w:ascii="宋体" w:hAnsi="宋体" w:eastAsia="宋体" w:cs="Times New Roman"/>
          <w:b w:val="0"/>
          <w:bCs/>
          <w:color w:val="000000"/>
          <w:sz w:val="24"/>
          <w:szCs w:val="24"/>
          <w:lang w:val="en-US" w:eastAsia="zh-CN" w:bidi="ar-SA"/>
        </w:rPr>
      </w:pPr>
      <w:r>
        <w:rPr>
          <w:rFonts w:hint="eastAsia" w:ascii="宋体" w:hAnsi="宋体" w:eastAsia="宋体" w:cs="Times New Roman"/>
          <w:b w:val="0"/>
          <w:bCs/>
          <w:color w:val="000000"/>
          <w:sz w:val="24"/>
          <w:szCs w:val="24"/>
          <w:lang w:val="en-US" w:eastAsia="zh-CN" w:bidi="ar-SA"/>
        </w:rPr>
        <w:t>时间：2024年1月3日至2024年1月10日（节假日除外），每天上午08:00:00至12:00:00，下午14:00:00至18:00:00（北京时间）</w:t>
      </w:r>
    </w:p>
    <w:p>
      <w:pPr>
        <w:snapToGrid w:val="0"/>
        <w:spacing w:before="0" w:line="480" w:lineRule="exact"/>
        <w:ind w:firstLine="480" w:firstLineChars="200"/>
        <w:rPr>
          <w:rFonts w:ascii="宋体" w:hAnsi="宋体" w:eastAsia="宋体" w:cs="Times New Roman"/>
          <w:b w:val="0"/>
          <w:color w:val="000000"/>
          <w:sz w:val="24"/>
          <w:szCs w:val="24"/>
          <w:lang w:val="en-US" w:eastAsia="zh-CN" w:bidi="ar-SA"/>
        </w:rPr>
      </w:pPr>
      <w:r>
        <w:rPr>
          <w:rFonts w:hint="eastAsia" w:ascii="宋体" w:hAnsi="宋体" w:eastAsia="宋体" w:cs="Times New Roman"/>
          <w:b w:val="0"/>
          <w:color w:val="000000"/>
          <w:sz w:val="24"/>
          <w:szCs w:val="24"/>
          <w:lang w:val="en-US" w:eastAsia="zh-CN" w:bidi="ar-SA"/>
        </w:rPr>
        <w:t>途径：渭南市华州区子仪东路财政局321室</w:t>
      </w:r>
    </w:p>
    <w:p>
      <w:pPr>
        <w:snapToGrid w:val="0"/>
        <w:spacing w:before="0" w:line="480" w:lineRule="exact"/>
        <w:ind w:firstLine="480" w:firstLineChars="200"/>
        <w:rPr>
          <w:rFonts w:ascii="宋体" w:hAnsi="宋体" w:eastAsia="宋体" w:cs="Times New Roman"/>
          <w:b w:val="0"/>
          <w:color w:val="000000"/>
          <w:sz w:val="24"/>
          <w:szCs w:val="24"/>
          <w:lang w:val="en-US" w:eastAsia="zh-CN" w:bidi="ar-SA"/>
        </w:rPr>
      </w:pPr>
      <w:r>
        <w:rPr>
          <w:rFonts w:hint="eastAsia" w:ascii="宋体" w:hAnsi="宋体" w:eastAsia="宋体" w:cs="Times New Roman"/>
          <w:b w:val="0"/>
          <w:color w:val="000000"/>
          <w:sz w:val="24"/>
          <w:szCs w:val="24"/>
          <w:lang w:val="en-US" w:eastAsia="zh-CN" w:bidi="ar-SA"/>
        </w:rPr>
        <w:t>方式：现场获取</w:t>
      </w:r>
    </w:p>
    <w:p>
      <w:pPr>
        <w:snapToGrid w:val="0"/>
        <w:spacing w:before="0" w:line="480" w:lineRule="exact"/>
        <w:ind w:firstLine="480" w:firstLineChars="200"/>
        <w:rPr>
          <w:rFonts w:ascii="宋体" w:hAnsi="宋体" w:eastAsia="宋体" w:cs="Times New Roman"/>
          <w:b w:val="0"/>
          <w:color w:val="000000"/>
          <w:sz w:val="24"/>
          <w:szCs w:val="24"/>
          <w:lang w:val="en-US" w:eastAsia="zh-CN" w:bidi="ar-SA"/>
        </w:rPr>
      </w:pPr>
      <w:r>
        <w:rPr>
          <w:rFonts w:hint="eastAsia" w:ascii="宋体" w:hAnsi="宋体" w:eastAsia="宋体" w:cs="Times New Roman"/>
          <w:b w:val="0"/>
          <w:color w:val="000000"/>
          <w:sz w:val="24"/>
          <w:szCs w:val="24"/>
          <w:lang w:val="en-US" w:eastAsia="zh-CN" w:bidi="ar-SA"/>
        </w:rPr>
        <w:t>售价：0元</w:t>
      </w:r>
    </w:p>
    <w:p>
      <w:pPr>
        <w:snapToGrid w:val="0"/>
        <w:spacing w:before="0" w:line="480" w:lineRule="exact"/>
        <w:ind w:firstLine="482" w:firstLineChars="200"/>
        <w:rPr>
          <w:rFonts w:ascii="宋体" w:hAnsi="宋体" w:eastAsia="宋体" w:cs="Times New Roman"/>
          <w:b/>
          <w:color w:val="000000"/>
          <w:sz w:val="24"/>
          <w:szCs w:val="24"/>
          <w:lang w:val="en-US" w:eastAsia="zh-CN" w:bidi="ar-SA"/>
        </w:rPr>
      </w:pPr>
      <w:r>
        <w:rPr>
          <w:rFonts w:hint="eastAsia" w:ascii="宋体" w:hAnsi="宋体" w:eastAsia="宋体" w:cs="Times New Roman"/>
          <w:b/>
          <w:color w:val="000000"/>
          <w:sz w:val="24"/>
          <w:szCs w:val="24"/>
          <w:lang w:val="en-US" w:eastAsia="zh-CN" w:bidi="ar-SA"/>
        </w:rPr>
        <w:t xml:space="preserve">四、 投标文件递交 </w:t>
      </w:r>
    </w:p>
    <w:p>
      <w:pPr>
        <w:widowControl w:val="0"/>
        <w:snapToGrid w:val="0"/>
        <w:spacing w:before="0" w:line="480" w:lineRule="exact"/>
        <w:ind w:firstLine="480" w:firstLineChars="200"/>
        <w:jc w:val="both"/>
        <w:rPr>
          <w:rFonts w:hint="eastAsia" w:ascii="宋体" w:hAnsi="宋体" w:eastAsia="宋体" w:cs="Times New Roman"/>
          <w:b w:val="0"/>
          <w:bCs/>
          <w:color w:val="000000"/>
          <w:sz w:val="24"/>
          <w:szCs w:val="24"/>
          <w:lang w:val="en-US" w:eastAsia="zh-CN" w:bidi="ar-SA"/>
        </w:rPr>
      </w:pPr>
      <w:r>
        <w:rPr>
          <w:rFonts w:hint="eastAsia" w:ascii="宋体" w:hAnsi="宋体" w:eastAsia="宋体" w:cs="Times New Roman"/>
          <w:b w:val="0"/>
          <w:bCs/>
          <w:color w:val="000000"/>
          <w:sz w:val="24"/>
          <w:szCs w:val="24"/>
          <w:lang w:val="en-US" w:eastAsia="zh-CN" w:bidi="ar-SA"/>
        </w:rPr>
        <w:t>截止时间：2024年1月24日14时30分00秒（北京时间）</w:t>
      </w:r>
    </w:p>
    <w:p>
      <w:pPr>
        <w:widowControl w:val="0"/>
        <w:snapToGrid w:val="0"/>
        <w:spacing w:before="0" w:line="480" w:lineRule="exact"/>
        <w:ind w:firstLine="480" w:firstLineChars="200"/>
        <w:jc w:val="both"/>
        <w:rPr>
          <w:rFonts w:hint="eastAsia" w:ascii="宋体" w:hAnsi="宋体" w:eastAsia="宋体" w:cs="Times New Roman"/>
          <w:b w:val="0"/>
          <w:bCs/>
          <w:color w:val="000000"/>
          <w:sz w:val="24"/>
          <w:szCs w:val="24"/>
          <w:lang w:val="en-US" w:eastAsia="zh-CN" w:bidi="ar-SA"/>
        </w:rPr>
      </w:pPr>
      <w:r>
        <w:rPr>
          <w:rFonts w:hint="eastAsia" w:ascii="宋体" w:hAnsi="宋体" w:eastAsia="宋体" w:cs="Times New Roman"/>
          <w:b w:val="0"/>
          <w:bCs/>
          <w:color w:val="000000"/>
          <w:sz w:val="24"/>
          <w:szCs w:val="24"/>
          <w:lang w:val="en-US" w:eastAsia="zh-CN" w:bidi="ar-SA"/>
        </w:rPr>
        <w:t>地点：渭南市华州区子仪东路财政局314室</w:t>
      </w:r>
    </w:p>
    <w:p>
      <w:pPr>
        <w:widowControl w:val="0"/>
        <w:snapToGrid w:val="0"/>
        <w:spacing w:before="0" w:line="480" w:lineRule="exact"/>
        <w:ind w:firstLine="482" w:firstLineChars="200"/>
        <w:jc w:val="both"/>
        <w:rPr>
          <w:rFonts w:hint="eastAsia" w:ascii="宋体" w:hAnsi="宋体" w:eastAsia="宋体" w:cs="Times New Roman"/>
          <w:b/>
          <w:bCs w:val="0"/>
          <w:color w:val="000000"/>
          <w:sz w:val="24"/>
          <w:szCs w:val="24"/>
          <w:lang w:val="en-US" w:eastAsia="zh-CN" w:bidi="ar-SA"/>
        </w:rPr>
      </w:pPr>
      <w:r>
        <w:rPr>
          <w:rFonts w:hint="eastAsia" w:ascii="宋体" w:hAnsi="宋体" w:eastAsia="宋体" w:cs="Times New Roman"/>
          <w:b/>
          <w:bCs w:val="0"/>
          <w:color w:val="000000"/>
          <w:sz w:val="24"/>
          <w:szCs w:val="24"/>
          <w:lang w:val="en-US" w:eastAsia="zh-CN" w:bidi="ar-SA"/>
        </w:rPr>
        <w:t>五、开启</w:t>
      </w:r>
    </w:p>
    <w:p>
      <w:pPr>
        <w:widowControl w:val="0"/>
        <w:snapToGrid w:val="0"/>
        <w:spacing w:before="0" w:line="480" w:lineRule="exact"/>
        <w:ind w:firstLine="480" w:firstLineChars="200"/>
        <w:jc w:val="both"/>
        <w:rPr>
          <w:rFonts w:hint="eastAsia" w:ascii="宋体" w:hAnsi="宋体" w:eastAsia="宋体" w:cs="Times New Roman"/>
          <w:b w:val="0"/>
          <w:bCs/>
          <w:color w:val="000000"/>
          <w:sz w:val="24"/>
          <w:szCs w:val="24"/>
          <w:lang w:val="en-US" w:eastAsia="zh-CN" w:bidi="ar-SA"/>
        </w:rPr>
      </w:pPr>
      <w:r>
        <w:rPr>
          <w:rFonts w:hint="eastAsia" w:ascii="宋体" w:hAnsi="宋体" w:eastAsia="宋体" w:cs="Times New Roman"/>
          <w:b w:val="0"/>
          <w:bCs/>
          <w:color w:val="000000"/>
          <w:sz w:val="24"/>
          <w:szCs w:val="24"/>
          <w:lang w:val="en-US" w:eastAsia="zh-CN" w:bidi="ar-SA"/>
        </w:rPr>
        <w:t>截止时间：2024年1月24日14时30分00秒（北京时间）</w:t>
      </w:r>
    </w:p>
    <w:p>
      <w:pPr>
        <w:snapToGrid w:val="0"/>
        <w:spacing w:before="0" w:line="480" w:lineRule="exact"/>
        <w:ind w:firstLine="482" w:firstLineChars="200"/>
        <w:rPr>
          <w:rFonts w:ascii="宋体" w:hAnsi="宋体" w:eastAsia="宋体" w:cs="Times New Roman"/>
          <w:b/>
          <w:bCs/>
          <w:color w:val="000000"/>
          <w:sz w:val="24"/>
          <w:szCs w:val="24"/>
          <w:lang w:val="en-US" w:eastAsia="zh-CN" w:bidi="ar-SA"/>
        </w:rPr>
      </w:pPr>
      <w:r>
        <w:rPr>
          <w:rFonts w:hint="eastAsia" w:ascii="宋体" w:hAnsi="宋体" w:eastAsia="宋体" w:cs="Times New Roman"/>
          <w:b/>
          <w:bCs/>
          <w:color w:val="000000"/>
          <w:sz w:val="24"/>
          <w:szCs w:val="24"/>
          <w:lang w:val="en-US" w:eastAsia="zh-CN" w:bidi="ar-SA"/>
        </w:rPr>
        <w:t>六、地点</w:t>
      </w:r>
    </w:p>
    <w:p>
      <w:pPr>
        <w:snapToGrid w:val="0"/>
        <w:spacing w:before="0" w:line="480" w:lineRule="exact"/>
        <w:ind w:firstLine="480" w:firstLineChars="200"/>
        <w:rPr>
          <w:rFonts w:ascii="宋体" w:hAnsi="宋体" w:eastAsia="宋体" w:cs="Times New Roman"/>
          <w:b/>
          <w:bCs/>
          <w:color w:val="000000"/>
          <w:sz w:val="24"/>
          <w:szCs w:val="24"/>
          <w:lang w:val="en-US" w:eastAsia="zh-CN" w:bidi="ar-SA"/>
        </w:rPr>
      </w:pPr>
      <w:r>
        <w:rPr>
          <w:rFonts w:hint="eastAsia" w:ascii="宋体" w:hAnsi="宋体" w:eastAsia="宋体" w:cs="Times New Roman"/>
          <w:b w:val="0"/>
          <w:color w:val="000000"/>
          <w:sz w:val="24"/>
          <w:szCs w:val="24"/>
          <w:lang w:val="en-US" w:eastAsia="zh-CN" w:bidi="ar-SA"/>
        </w:rPr>
        <w:t>渭南市华州区子仪东路财政局314室</w:t>
      </w:r>
    </w:p>
    <w:p>
      <w:pPr>
        <w:snapToGrid w:val="0"/>
        <w:spacing w:before="0" w:line="480" w:lineRule="exact"/>
        <w:ind w:firstLine="482" w:firstLineChars="200"/>
        <w:rPr>
          <w:rFonts w:ascii="宋体" w:hAnsi="宋体" w:eastAsia="宋体" w:cs="Times New Roman"/>
          <w:b/>
          <w:color w:val="000000"/>
          <w:sz w:val="24"/>
          <w:szCs w:val="24"/>
          <w:lang w:val="en-US" w:eastAsia="zh-CN" w:bidi="ar-SA"/>
        </w:rPr>
      </w:pPr>
      <w:r>
        <w:rPr>
          <w:rFonts w:hint="eastAsia" w:ascii="宋体" w:hAnsi="宋体" w:eastAsia="宋体" w:cs="Times New Roman"/>
          <w:b/>
          <w:color w:val="000000"/>
          <w:sz w:val="24"/>
          <w:szCs w:val="24"/>
          <w:lang w:val="en-US" w:eastAsia="zh-CN" w:bidi="ar-SA"/>
        </w:rPr>
        <w:t>七、公告期限</w:t>
      </w:r>
    </w:p>
    <w:p>
      <w:pPr>
        <w:widowControl/>
        <w:snapToGrid w:val="0"/>
        <w:spacing w:line="480" w:lineRule="exact"/>
        <w:ind w:firstLine="420"/>
        <w:jc w:val="left"/>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自本公告发布之日起5个工作日。</w:t>
      </w:r>
    </w:p>
    <w:p>
      <w:pPr>
        <w:widowControl/>
        <w:snapToGrid w:val="0"/>
        <w:spacing w:line="480" w:lineRule="exact"/>
        <w:ind w:firstLine="420"/>
        <w:jc w:val="left"/>
        <w:rPr>
          <w:rFonts w:hint="eastAsia"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八、其他补充事宜</w:t>
      </w:r>
    </w:p>
    <w:p>
      <w:pPr>
        <w:widowControl/>
        <w:snapToGrid w:val="0"/>
        <w:spacing w:line="480" w:lineRule="exact"/>
        <w:ind w:firstLine="420"/>
        <w:jc w:val="left"/>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获取文件时，须携带单位介绍信、经办人身份证及身份证复印件加盖公章。（现场获取，谢绝邮寄。）</w:t>
      </w:r>
    </w:p>
    <w:p>
      <w:pPr>
        <w:widowControl/>
        <w:snapToGrid w:val="0"/>
        <w:spacing w:line="480" w:lineRule="exact"/>
        <w:ind w:firstLine="420"/>
        <w:jc w:val="left"/>
        <w:rPr>
          <w:rFonts w:hint="eastAsia"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 xml:space="preserve">九、对本次采购提出询问，请按以下方式联系。 </w:t>
      </w:r>
    </w:p>
    <w:p>
      <w:pPr>
        <w:widowControl/>
        <w:snapToGrid w:val="0"/>
        <w:spacing w:line="480" w:lineRule="exact"/>
        <w:ind w:firstLine="420"/>
        <w:jc w:val="left"/>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1.采购人信息</w:t>
      </w:r>
    </w:p>
    <w:p>
      <w:pPr>
        <w:widowControl/>
        <w:snapToGrid w:val="0"/>
        <w:spacing w:line="480" w:lineRule="exact"/>
        <w:ind w:firstLine="420"/>
        <w:jc w:val="left"/>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rPr>
        <w:t>名 称：渭南市华州区</w:t>
      </w:r>
      <w:r>
        <w:rPr>
          <w:rFonts w:hint="eastAsia" w:ascii="宋体" w:hAnsi="宋体" w:eastAsia="宋体" w:cs="Times New Roman"/>
          <w:color w:val="000000"/>
          <w:kern w:val="0"/>
          <w:sz w:val="24"/>
          <w:szCs w:val="24"/>
          <w:lang w:val="en-US" w:eastAsia="zh-CN"/>
        </w:rPr>
        <w:t>高塘镇人民政府</w:t>
      </w:r>
    </w:p>
    <w:p>
      <w:pPr>
        <w:widowControl/>
        <w:snapToGrid w:val="0"/>
        <w:spacing w:line="480" w:lineRule="exact"/>
        <w:ind w:firstLine="420"/>
        <w:jc w:val="left"/>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rPr>
        <w:t>地址：渭南市华州区</w:t>
      </w:r>
      <w:r>
        <w:rPr>
          <w:rFonts w:hint="eastAsia" w:ascii="宋体" w:hAnsi="宋体" w:eastAsia="宋体" w:cs="Times New Roman"/>
          <w:color w:val="000000"/>
          <w:kern w:val="0"/>
          <w:sz w:val="24"/>
          <w:szCs w:val="24"/>
          <w:lang w:val="en-US" w:eastAsia="zh-CN"/>
        </w:rPr>
        <w:t>高塘镇</w:t>
      </w:r>
    </w:p>
    <w:p>
      <w:pPr>
        <w:widowControl/>
        <w:snapToGrid w:val="0"/>
        <w:spacing w:line="480" w:lineRule="exact"/>
        <w:ind w:firstLine="420"/>
        <w:jc w:val="left"/>
        <w:rPr>
          <w:rFonts w:hint="default" w:ascii="宋体" w:hAnsi="宋体" w:eastAsia="宋体" w:cs="Times New Roman"/>
          <w:color w:val="FF0000"/>
          <w:kern w:val="0"/>
          <w:sz w:val="24"/>
          <w:szCs w:val="24"/>
          <w:lang w:val="en-US" w:eastAsia="zh-CN"/>
        </w:rPr>
      </w:pPr>
      <w:r>
        <w:rPr>
          <w:rFonts w:hint="eastAsia" w:ascii="宋体" w:hAnsi="宋体" w:eastAsia="宋体" w:cs="Times New Roman"/>
          <w:color w:val="000000"/>
          <w:kern w:val="0"/>
          <w:sz w:val="24"/>
          <w:szCs w:val="24"/>
        </w:rPr>
        <w:t>联系方式：</w:t>
      </w:r>
      <w:r>
        <w:rPr>
          <w:rFonts w:hint="eastAsia" w:ascii="宋体" w:hAnsi="宋体" w:eastAsia="宋体" w:cs="Times New Roman"/>
          <w:color w:val="000000"/>
          <w:kern w:val="0"/>
          <w:sz w:val="24"/>
          <w:szCs w:val="24"/>
          <w:lang w:val="en-US" w:eastAsia="zh-CN"/>
        </w:rPr>
        <w:t>0913-4914010</w:t>
      </w:r>
    </w:p>
    <w:p>
      <w:pPr>
        <w:widowControl/>
        <w:snapToGrid w:val="0"/>
        <w:spacing w:line="480" w:lineRule="exact"/>
        <w:ind w:firstLine="420"/>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2.采购代理机构信息</w:t>
      </w:r>
    </w:p>
    <w:p>
      <w:pPr>
        <w:widowControl/>
        <w:snapToGrid w:val="0"/>
        <w:spacing w:line="480" w:lineRule="exact"/>
        <w:ind w:firstLine="420"/>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名 称：渭南市华州区政府采购中心</w:t>
      </w:r>
    </w:p>
    <w:p>
      <w:pPr>
        <w:widowControl/>
        <w:snapToGrid w:val="0"/>
        <w:spacing w:line="480" w:lineRule="exact"/>
        <w:ind w:firstLine="420"/>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地　址：渭南市华州区子仪东路</w:t>
      </w:r>
    </w:p>
    <w:p>
      <w:pPr>
        <w:widowControl/>
        <w:snapToGrid w:val="0"/>
        <w:spacing w:line="480" w:lineRule="exact"/>
        <w:ind w:firstLine="420"/>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联系方式：0913—4720669</w:t>
      </w:r>
    </w:p>
    <w:p>
      <w:pPr>
        <w:widowControl/>
        <w:spacing w:line="360" w:lineRule="auto"/>
        <w:ind w:firstLine="480" w:firstLineChars="200"/>
        <w:jc w:val="left"/>
        <w:rPr>
          <w:rFonts w:ascii="宋体" w:hAnsi="宋体" w:eastAsia="宋体" w:cs="Times New Roman"/>
          <w:color w:val="000000"/>
          <w:kern w:val="0"/>
          <w:sz w:val="24"/>
          <w:szCs w:val="24"/>
        </w:rPr>
      </w:pPr>
    </w:p>
    <w:p>
      <w:bookmarkStart w:id="0" w:name="_Toc28304"/>
      <w:bookmarkEnd w:id="0"/>
      <w:bookmarkStart w:id="1" w:name="_Toc68882988"/>
      <w:bookmarkEnd w:id="1"/>
      <w:bookmarkStart w:id="2" w:name="_Toc1237"/>
      <w:bookmarkEnd w:id="2"/>
      <w:bookmarkStart w:id="3" w:name="_Toc2490"/>
      <w:bookmarkEnd w:id="3"/>
      <w:r>
        <w:rPr>
          <w:rFonts w:hint="eastAsia" w:ascii="宋体" w:hAnsi="宋体" w:eastAsia="宋体" w:cs="Times New Roman"/>
          <w:b/>
          <w:color w:val="000000"/>
          <w:kern w:val="0"/>
          <w:sz w:val="44"/>
          <w:szCs w:val="4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86B6A"/>
    <w:rsid w:val="397C5BE6"/>
    <w:rsid w:val="3DA225FF"/>
    <w:rsid w:val="3E626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2024-01-02T09:08:00Z</dcterms:created>
  <dc:creator>Administrator</dc:creator>
  <cp:lastModifiedBy>C</cp:lastModifiedBy>
  <dcterms:modified xsi:type="dcterms:W3CDTF">2024-01-03T01:23:49Z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