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jc w:val="center"/>
        <w:rPr>
          <w:b/>
          <w:bCs/>
          <w:color w:val="0A82E5"/>
          <w:sz w:val="36"/>
          <w:szCs w:val="36"/>
        </w:rPr>
      </w:pPr>
      <w:r>
        <w:rPr>
          <w:rFonts w:ascii="宋体" w:hAnsi="宋体" w:eastAsia="宋体" w:cs="宋体"/>
          <w:b/>
          <w:bCs/>
          <w:color w:val="0A82E5"/>
          <w:kern w:val="0"/>
          <w:sz w:val="36"/>
          <w:szCs w:val="36"/>
          <w:bdr w:val="none" w:color="auto" w:sz="0" w:space="0"/>
          <w:lang w:val="en-US" w:eastAsia="zh-CN" w:bidi="ar"/>
        </w:rPr>
        <w:t>大荔县2023年省级财政资金渔业绿色发展项目中标（成交）结果公告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一、项目编号：HRC-ZBDL-2023-01756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二、项目名称：大荔县2023年省级财政资金渔业绿色发展项目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合同包1(一标段):</w:t>
      </w:r>
    </w:p>
    <w:tbl>
      <w:tblPr>
        <w:tblW w:w="88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3366"/>
        <w:gridCol w:w="2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浪潮（山东）农业互联网有限公司</w:t>
            </w:r>
          </w:p>
        </w:tc>
        <w:tc>
          <w:tcPr>
            <w:tcW w:w="3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598,640.00元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合同包2(二标段):</w:t>
      </w:r>
    </w:p>
    <w:tbl>
      <w:tblPr>
        <w:tblW w:w="88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8"/>
        <w:gridCol w:w="4347"/>
        <w:gridCol w:w="2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1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陕西中江泰水利水电工程有限公司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陕西省西安市经济技术开发区凤城九路海博广场D座20楼2016室</w:t>
            </w:r>
          </w:p>
        </w:tc>
        <w:tc>
          <w:tcPr>
            <w:tcW w:w="21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495,256.00元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合同包1(一标段):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货物类（浪潮（山东）农业互联网有限公司）</w:t>
      </w:r>
    </w:p>
    <w:tbl>
      <w:tblPr>
        <w:tblW w:w="88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80"/>
        <w:gridCol w:w="1232"/>
        <w:gridCol w:w="794"/>
        <w:gridCol w:w="1918"/>
        <w:gridCol w:w="815"/>
        <w:gridCol w:w="1290"/>
        <w:gridCol w:w="1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其他信息化设备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健康养殖和生态养殖提升、信息化建设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浪潮智稷数字农服系统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健康养殖和生态养殖提升、信息化建设。服务标准：实现渔业现代化养殖模式。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598,640.00</w:t>
            </w:r>
          </w:p>
        </w:tc>
        <w:tc>
          <w:tcPr>
            <w:tcW w:w="1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598,640.00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合同包2(二标段):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货物类（陕西中江泰水利水电工程有限公司）</w:t>
      </w:r>
    </w:p>
    <w:tbl>
      <w:tblPr>
        <w:tblW w:w="887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789"/>
        <w:gridCol w:w="924"/>
        <w:gridCol w:w="519"/>
        <w:gridCol w:w="2215"/>
        <w:gridCol w:w="933"/>
        <w:gridCol w:w="1290"/>
        <w:gridCol w:w="16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其他机械设备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苗种繁育基地建设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苗种繁育基地建设，服务标准：实现渔业现代化养殖模式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495,256.00</w:t>
            </w:r>
          </w:p>
        </w:tc>
        <w:tc>
          <w:tcPr>
            <w:tcW w:w="1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495,256.00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张锋（采购人代表）、何泰伯、张朝生、吕渭红、宋西辰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887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173"/>
        <w:gridCol w:w="3619"/>
        <w:gridCol w:w="33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693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按照国家计委[2011]534号文件规定的服务类标准以采购预算金额为计费基础计算收取。由成交供应商在办理成交通知书手续之前向采购代理机构缴纳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1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3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3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一标段</w:t>
            </w:r>
          </w:p>
        </w:tc>
        <w:tc>
          <w:tcPr>
            <w:tcW w:w="3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二标段</w:t>
            </w:r>
          </w:p>
        </w:tc>
        <w:tc>
          <w:tcPr>
            <w:tcW w:w="3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大荔县水产工作站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陕西省渭南市大荔县城关镇北环路3号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0913-3222275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华睿诚项目管理有限公司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陕西省西安市雁塔区曲江新区雁翔路3269号旺座曲江E座29层2901号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0913-3581777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宋英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0913-3581777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华睿诚项目管理有限公司</w:t>
      </w:r>
    </w:p>
    <w:p>
      <w:pPr>
        <w:keepNext w:val="0"/>
        <w:keepLines w:val="0"/>
        <w:widowControl/>
        <w:suppressLineNumbers w:val="0"/>
        <w:wordWrap w:val="0"/>
        <w:spacing w:line="480" w:lineRule="atLeast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zM4OWNlY2M2ODNkZjcxZjljNmZlYmU5ODJjMzMifQ=="/>
  </w:docVars>
  <w:rsids>
    <w:rsidRoot w:val="59195814"/>
    <w:rsid w:val="591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2024-01-03T07:47:00Z</dcterms:created>
  <dc:creator>huaruicheng2</dc:creator>
  <cp:lastModifiedBy>huaruicheng2</cp:lastModifiedBy>
  <dcterms:modified xsi:type="dcterms:W3CDTF">2024-01-03T07:49:59Z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D530698BBCAE4E8EAA5604CB6D5551A2_11</vt:lpwstr>
  </property>
</Properties>
</file>