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57" w:rsidRPr="000037AC" w:rsidRDefault="00814AC9" w:rsidP="000037AC">
      <w:pPr>
        <w:spacing w:line="600" w:lineRule="exact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  <w:r w:rsidRPr="000037AC">
        <w:rPr>
          <w:rFonts w:ascii="方正小标宋简体" w:eastAsia="方正小标宋简体" w:hAnsi="黑体" w:cs="宋体" w:hint="eastAsia"/>
          <w:bCs/>
          <w:sz w:val="44"/>
          <w:szCs w:val="44"/>
        </w:rPr>
        <w:t>澄城县自然资源局</w:t>
      </w:r>
    </w:p>
    <w:p w:rsidR="00426E90" w:rsidRPr="000037AC" w:rsidRDefault="00814AC9" w:rsidP="000037AC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0037AC">
        <w:rPr>
          <w:rFonts w:ascii="方正小标宋简体" w:eastAsia="方正小标宋简体" w:hAnsi="黑体" w:cs="宋体" w:hint="eastAsia"/>
          <w:bCs/>
          <w:sz w:val="44"/>
          <w:szCs w:val="44"/>
        </w:rPr>
        <w:t>关于</w:t>
      </w:r>
      <w:r w:rsidRPr="000037AC">
        <w:rPr>
          <w:rFonts w:ascii="方正小标宋简体" w:eastAsia="方正小标宋简体" w:hAnsi="黑体" w:cs="黑体" w:hint="eastAsia"/>
          <w:bCs/>
          <w:sz w:val="44"/>
          <w:szCs w:val="44"/>
        </w:rPr>
        <w:t>中心城区控制性详细规划、总体城市设计及重点</w:t>
      </w:r>
      <w:r w:rsidR="000113EE">
        <w:rPr>
          <w:rFonts w:ascii="方正小标宋简体" w:eastAsia="方正小标宋简体" w:hAnsi="黑体" w:cs="黑体" w:hint="eastAsia"/>
          <w:bCs/>
          <w:sz w:val="44"/>
          <w:szCs w:val="44"/>
        </w:rPr>
        <w:t>区域</w:t>
      </w:r>
      <w:r w:rsidRPr="000037AC">
        <w:rPr>
          <w:rFonts w:ascii="方正小标宋简体" w:eastAsia="方正小标宋简体" w:hAnsi="黑体" w:cs="黑体" w:hint="eastAsia"/>
          <w:bCs/>
          <w:sz w:val="44"/>
          <w:szCs w:val="44"/>
        </w:rPr>
        <w:t>城市设计</w:t>
      </w:r>
      <w:r w:rsidRPr="000037AC">
        <w:rPr>
          <w:rFonts w:ascii="方正小标宋简体" w:eastAsia="方正小标宋简体" w:hAnsi="黑体" w:cs="宋体" w:hint="eastAsia"/>
          <w:bCs/>
          <w:sz w:val="44"/>
          <w:szCs w:val="44"/>
        </w:rPr>
        <w:t>采购需求</w:t>
      </w:r>
    </w:p>
    <w:p w:rsidR="00426E90" w:rsidRPr="000037AC" w:rsidRDefault="00426E90" w:rsidP="000037AC">
      <w:pPr>
        <w:spacing w:line="600" w:lineRule="exact"/>
        <w:rPr>
          <w:rFonts w:ascii="仿宋_GB2312" w:eastAsia="仿宋_GB2312" w:hAnsi="仿宋" w:cs="宋体"/>
          <w:sz w:val="32"/>
          <w:szCs w:val="32"/>
        </w:rPr>
      </w:pPr>
    </w:p>
    <w:p w:rsidR="00426E90" w:rsidRPr="000037AC" w:rsidRDefault="00814AC9" w:rsidP="000037AC">
      <w:pPr>
        <w:spacing w:line="60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0037AC">
        <w:rPr>
          <w:rFonts w:ascii="黑体" w:eastAsia="黑体" w:hAnsi="黑体" w:cs="宋体" w:hint="eastAsia"/>
          <w:bCs/>
          <w:sz w:val="32"/>
          <w:szCs w:val="32"/>
        </w:rPr>
        <w:t>一、总体要求</w:t>
      </w:r>
    </w:p>
    <w:p w:rsidR="00426E90" w:rsidRPr="000037AC" w:rsidRDefault="000037AC" w:rsidP="000037A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落实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澄城县国土空间总体规划，加快推进中心城区更新改造，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引导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城市高质量高发展，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结合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相关专项规划，确定具体建设用地的性质和各项控制指标，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规划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成果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叠加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至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国土空间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规划“一张图”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数据库，满足日常规划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建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设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管理需求。</w:t>
      </w:r>
    </w:p>
    <w:p w:rsidR="00426E90" w:rsidRPr="000037AC" w:rsidRDefault="00814AC9" w:rsidP="000037AC">
      <w:pPr>
        <w:spacing w:line="60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0037AC">
        <w:rPr>
          <w:rFonts w:ascii="黑体" w:eastAsia="黑体" w:hAnsi="黑体" w:cs="宋体" w:hint="eastAsia"/>
          <w:bCs/>
          <w:sz w:val="32"/>
          <w:szCs w:val="32"/>
        </w:rPr>
        <w:t>二、项目范围</w:t>
      </w:r>
    </w:p>
    <w:p w:rsidR="00426E90" w:rsidRPr="000037AC" w:rsidRDefault="00814AC9" w:rsidP="000037AC">
      <w:pPr>
        <w:spacing w:line="600" w:lineRule="exact"/>
        <w:ind w:firstLineChars="200" w:firstLine="640"/>
        <w:rPr>
          <w:rFonts w:ascii="仿宋_GB2312" w:eastAsia="仿宋_GB2312" w:hAnsi="仿宋" w:cs="宋体"/>
          <w:b/>
          <w:bCs/>
          <w:sz w:val="32"/>
          <w:szCs w:val="32"/>
        </w:rPr>
      </w:pP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中心城区控制性详细规划按照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批准的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澄城县国土空间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“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三区三线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”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划定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的中心城区用地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范围，面积约2000公顷</w:t>
      </w:r>
      <w:r w:rsid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最终以实际面积为准</w:t>
      </w:r>
      <w:r w:rsid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），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总体城市设计编制范围以控制性详细规划的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编制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范围为准</w:t>
      </w:r>
      <w:r w:rsid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重点地区城市设计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编制范围约1000公顷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（最终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以实际编制面积为准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426E90" w:rsidRPr="000037AC" w:rsidRDefault="00814AC9" w:rsidP="000037AC">
      <w:pPr>
        <w:spacing w:line="60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0037AC">
        <w:rPr>
          <w:rFonts w:ascii="黑体" w:eastAsia="黑体" w:hAnsi="黑体" w:cs="宋体" w:hint="eastAsia"/>
          <w:bCs/>
          <w:sz w:val="32"/>
          <w:szCs w:val="32"/>
        </w:rPr>
        <w:t>三、主要服务内容</w:t>
      </w:r>
    </w:p>
    <w:p w:rsidR="00432F45" w:rsidRPr="000037AC" w:rsidRDefault="00432F45" w:rsidP="000037A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控制性详细规划应当根据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县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国土空间总体规划，结合相关专项规划，确定具体建设用地的性质和各项控制指标，作为建设项目规划许可的依据。编制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深度为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两个层面，单元（街区）层面和地块层面。主要包括:</w:t>
      </w:r>
    </w:p>
    <w:p w:rsidR="00432F45" w:rsidRPr="000037AC" w:rsidRDefault="000037AC" w:rsidP="000037A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1.1</w:t>
      </w:r>
      <w:r w:rsidR="00432F45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具体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地块的用地性质、建筑密度、日照间距、容积率、绿地率、停车位、基础设施和公共服务设施配置、应急避难场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所、建筑高度、建筑后退红线距离等控制性详细规划的强制性内容。</w:t>
      </w:r>
    </w:p>
    <w:p w:rsidR="00432F45" w:rsidRPr="000037AC" w:rsidRDefault="000037AC" w:rsidP="000037A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1.2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城市设计的相关内容：对城市中心城区、历史文化街区等重要片区的空间形态、景观视廊、公共空间、建筑高度和风貌等做出全面、系统的控制和引导，体现地域环境特色和历史人文特色，提出各地块的建筑体量、体型、色彩等城市设计指导原则。</w:t>
      </w:r>
    </w:p>
    <w:p w:rsidR="00432F45" w:rsidRPr="000037AC" w:rsidRDefault="000037AC" w:rsidP="000037A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.3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确定规划范围内不同性质用地的界线，确定各类用地</w:t>
      </w:r>
      <w:proofErr w:type="gramStart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内适建，不适建</w:t>
      </w:r>
      <w:proofErr w:type="gramEnd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或者有条件地允许建设的建筑类型。</w:t>
      </w:r>
    </w:p>
    <w:p w:rsidR="00432F45" w:rsidRPr="000037AC" w:rsidRDefault="000037AC" w:rsidP="000037A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.4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根据交通需求分析，确定地块出入口位置、停车泊位、公共交通场站用地范围和站点位置、步行交通以及其它交通设施。规定各级道路的红线、断面、交叉口形式及渠化措施、控制点坐标和标高。</w:t>
      </w:r>
    </w:p>
    <w:p w:rsidR="00432F45" w:rsidRPr="000037AC" w:rsidRDefault="000037AC" w:rsidP="000037A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.5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根据规划建设容量，确定市政工程管线位置、管径和工程设施的用地界线，进行管线综合。确定地下空间开发利用具体要求。</w:t>
      </w:r>
    </w:p>
    <w:p w:rsidR="000037AC" w:rsidRDefault="00814AC9" w:rsidP="000037A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 w:rsid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 w:rsidR="000037AC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.6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制定相应的土地使用与建筑管理规定。</w:t>
      </w:r>
    </w:p>
    <w:p w:rsidR="00426E90" w:rsidRPr="000037AC" w:rsidRDefault="000037AC" w:rsidP="000037A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.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总体城市设计：落实上位规划，对于城市开放空间、需重点保护的特色空间、特色要素、重要视线通廊、城市设计重点</w:t>
      </w:r>
      <w:proofErr w:type="gramStart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控制区</w:t>
      </w:r>
      <w:proofErr w:type="gramEnd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等城市设计导控要求及开</w:t>
      </w:r>
      <w:proofErr w:type="gramStart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放空问</w:t>
      </w:r>
      <w:proofErr w:type="gramEnd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与设施品质提升措施，街接专项规划。对城市设计内容进行总体宏观管控，整体统筹、协调各类空</w:t>
      </w:r>
      <w:proofErr w:type="gramStart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间资源</w:t>
      </w:r>
      <w:proofErr w:type="gramEnd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的布局与利用，合理组织开</w:t>
      </w:r>
      <w:proofErr w:type="gramStart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放空问</w:t>
      </w:r>
      <w:proofErr w:type="gramEnd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体系，同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时明确重点地区城市设计分类分级，相应地提出城市形态导控要求。明确各重点地区城市设计管</w:t>
      </w:r>
      <w:proofErr w:type="gramStart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控总体</w:t>
      </w:r>
      <w:proofErr w:type="gramEnd"/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要求进行描述，并明确重点地区的分类分级，在图则上划示一级地区、二级地区，相应地提出精细化城市形态导控要求，将其落实到详则的附加图则中。</w:t>
      </w:r>
    </w:p>
    <w:p w:rsidR="00426E90" w:rsidRPr="000037AC" w:rsidRDefault="000037AC" w:rsidP="000037AC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3.1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重点</w:t>
      </w:r>
      <w:r w:rsidR="001C641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区域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城市设计对区域特色空间、景观风貌 、开放空间 、交通组织、建筑布局、建筑体量、界面、风格、色彩、第五立面、天际线等内容提出详细的导控要求，形成城市设计图则。</w:t>
      </w:r>
    </w:p>
    <w:p w:rsidR="00426E90" w:rsidRPr="000037AC" w:rsidRDefault="00814AC9" w:rsidP="000037AC">
      <w:pPr>
        <w:spacing w:line="60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0037AC">
        <w:rPr>
          <w:rFonts w:ascii="黑体" w:eastAsia="黑体" w:hAnsi="黑体" w:cs="宋体" w:hint="eastAsia"/>
          <w:bCs/>
          <w:sz w:val="32"/>
          <w:szCs w:val="32"/>
        </w:rPr>
        <w:t>四、成果要求</w:t>
      </w:r>
    </w:p>
    <w:p w:rsidR="00426E90" w:rsidRPr="000037AC" w:rsidRDefault="00814AC9" w:rsidP="000037AC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中心城区控制性详细规划成果包含但不限于法定文件和技术文件，其中法定文件包括：文本、图则（单元图则、分图则）、数据库，技术文件包括基础资料汇编、说明书、过程审查报告（含征询意见、公示）、技术图纸、汇报演示文件、电子数据库（入库对接完成）。</w:t>
      </w:r>
    </w:p>
    <w:p w:rsidR="00426E90" w:rsidRPr="000037AC" w:rsidRDefault="00814AC9" w:rsidP="000037AC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 w:rsid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.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城市设计</w:t>
      </w:r>
      <w:r w:rsid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成</w:t>
      </w:r>
      <w:r w:rsidR="000037AC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果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包含文本、图则、汇报宣传</w:t>
      </w:r>
      <w:r w:rsid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 w:rsidR="000037AC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视频效果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文件</w:t>
      </w:r>
      <w:r w:rsid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等</w:t>
      </w:r>
      <w:r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0037AC" w:rsidRPr="000037AC" w:rsidRDefault="000037AC" w:rsidP="000037AC">
      <w:pPr>
        <w:pStyle w:val="a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3.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重点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区域</w:t>
      </w:r>
      <w:r w:rsidR="00814AC9" w:rsidRPr="000037AC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城市设计成果包含文本、图则、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视频效果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文件</w:t>
      </w:r>
      <w:r w:rsidRPr="000037AC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37AC" w:rsidRPr="000037AC" w:rsidRDefault="00814AC9" w:rsidP="000037AC">
      <w:pPr>
        <w:spacing w:line="60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0037AC">
        <w:rPr>
          <w:rFonts w:ascii="黑体" w:eastAsia="黑体" w:hAnsi="黑体" w:cs="宋体" w:hint="eastAsia"/>
          <w:bCs/>
          <w:sz w:val="32"/>
          <w:szCs w:val="32"/>
        </w:rPr>
        <w:t>五、付款方式</w:t>
      </w:r>
    </w:p>
    <w:p w:rsidR="00426E90" w:rsidRPr="000037AC" w:rsidRDefault="00814AC9" w:rsidP="000037AC">
      <w:pPr>
        <w:spacing w:line="60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0037AC">
        <w:rPr>
          <w:rFonts w:ascii="仿宋_GB2312" w:eastAsia="仿宋_GB2312" w:hAnsi="仿宋" w:cs="宋体" w:hint="eastAsia"/>
          <w:sz w:val="32"/>
          <w:szCs w:val="32"/>
        </w:rPr>
        <w:t>项目费用分三次</w:t>
      </w:r>
      <w:r w:rsidR="000037AC">
        <w:rPr>
          <w:rFonts w:ascii="仿宋_GB2312" w:eastAsia="仿宋_GB2312" w:hAnsi="仿宋" w:cs="宋体" w:hint="eastAsia"/>
          <w:sz w:val="32"/>
          <w:szCs w:val="32"/>
        </w:rPr>
        <w:t>支付</w:t>
      </w:r>
      <w:r w:rsidRPr="000037AC">
        <w:rPr>
          <w:rFonts w:ascii="仿宋_GB2312" w:eastAsia="仿宋_GB2312" w:hAnsi="仿宋" w:cs="宋体" w:hint="eastAsia"/>
          <w:sz w:val="32"/>
          <w:szCs w:val="32"/>
        </w:rPr>
        <w:t>，现状调研完成后付30%；方案阶段</w:t>
      </w:r>
      <w:r w:rsidR="000037AC">
        <w:rPr>
          <w:rFonts w:ascii="仿宋_GB2312" w:eastAsia="仿宋_GB2312" w:hAnsi="仿宋" w:cs="宋体" w:hint="eastAsia"/>
          <w:sz w:val="32"/>
          <w:szCs w:val="32"/>
        </w:rPr>
        <w:t>编制</w:t>
      </w:r>
      <w:r w:rsidRPr="000037AC">
        <w:rPr>
          <w:rFonts w:ascii="仿宋_GB2312" w:eastAsia="仿宋_GB2312" w:hAnsi="仿宋" w:cs="宋体" w:hint="eastAsia"/>
          <w:sz w:val="32"/>
          <w:szCs w:val="32"/>
        </w:rPr>
        <w:t>完成付30%；完成成果资料编制并入库完成验收合格后付40%。</w:t>
      </w:r>
    </w:p>
    <w:p w:rsidR="002B0557" w:rsidRPr="000037AC" w:rsidRDefault="00814AC9" w:rsidP="000037AC">
      <w:pPr>
        <w:spacing w:line="60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0037AC">
        <w:rPr>
          <w:rFonts w:ascii="黑体" w:eastAsia="黑体" w:hAnsi="黑体" w:cs="宋体" w:hint="eastAsia"/>
          <w:bCs/>
          <w:sz w:val="32"/>
          <w:szCs w:val="32"/>
        </w:rPr>
        <w:t>六、验收标准</w:t>
      </w:r>
    </w:p>
    <w:p w:rsidR="00426E90" w:rsidRPr="000037AC" w:rsidRDefault="00814AC9" w:rsidP="000037AC">
      <w:pPr>
        <w:spacing w:line="60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0037AC">
        <w:rPr>
          <w:rFonts w:ascii="仿宋_GB2312" w:eastAsia="仿宋_GB2312" w:hAnsi="仿宋" w:cs="宋体" w:hint="eastAsia"/>
          <w:sz w:val="32"/>
          <w:szCs w:val="32"/>
        </w:rPr>
        <w:lastRenderedPageBreak/>
        <w:t>所有成果必须符合</w:t>
      </w:r>
      <w:r w:rsidR="0095656A">
        <w:rPr>
          <w:rFonts w:ascii="仿宋_GB2312" w:eastAsia="仿宋_GB2312" w:hAnsi="仿宋" w:cs="宋体" w:hint="eastAsia"/>
          <w:sz w:val="32"/>
          <w:szCs w:val="32"/>
        </w:rPr>
        <w:t>相</w:t>
      </w:r>
      <w:r w:rsidR="0095656A">
        <w:rPr>
          <w:rFonts w:ascii="仿宋_GB2312" w:eastAsia="仿宋_GB2312" w:hAnsi="仿宋" w:cs="宋体"/>
          <w:sz w:val="32"/>
          <w:szCs w:val="32"/>
        </w:rPr>
        <w:t>应技术规范和</w:t>
      </w:r>
      <w:bookmarkStart w:id="0" w:name="_GoBack"/>
      <w:bookmarkEnd w:id="0"/>
      <w:r w:rsidRPr="000037AC">
        <w:rPr>
          <w:rFonts w:ascii="仿宋_GB2312" w:eastAsia="仿宋_GB2312" w:hAnsi="仿宋" w:cs="宋体" w:hint="eastAsia"/>
          <w:sz w:val="32"/>
          <w:szCs w:val="32"/>
        </w:rPr>
        <w:t>上级主管部门的最新要求。</w:t>
      </w:r>
    </w:p>
    <w:p w:rsidR="00426E90" w:rsidRPr="000037AC" w:rsidRDefault="00426E90" w:rsidP="000037AC">
      <w:pPr>
        <w:spacing w:line="60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</w:p>
    <w:p w:rsidR="00426E90" w:rsidRPr="000037AC" w:rsidRDefault="00426E90" w:rsidP="000037AC">
      <w:pPr>
        <w:spacing w:line="600" w:lineRule="exact"/>
        <w:ind w:firstLineChars="200" w:firstLine="640"/>
        <w:jc w:val="right"/>
        <w:rPr>
          <w:rFonts w:ascii="仿宋_GB2312" w:eastAsia="仿宋_GB2312" w:hAnsi="仿宋" w:cs="宋体"/>
          <w:sz w:val="32"/>
          <w:szCs w:val="32"/>
        </w:rPr>
      </w:pPr>
    </w:p>
    <w:p w:rsidR="00426E90" w:rsidRPr="000037AC" w:rsidRDefault="00814AC9" w:rsidP="000037AC">
      <w:pPr>
        <w:spacing w:line="600" w:lineRule="exact"/>
        <w:ind w:firstLineChars="1443" w:firstLine="4618"/>
        <w:rPr>
          <w:rFonts w:ascii="仿宋_GB2312" w:eastAsia="仿宋_GB2312" w:hAnsi="仿宋" w:cs="宋体"/>
          <w:sz w:val="32"/>
          <w:szCs w:val="32"/>
        </w:rPr>
      </w:pPr>
      <w:r w:rsidRPr="000037AC">
        <w:rPr>
          <w:rFonts w:ascii="仿宋_GB2312" w:eastAsia="仿宋_GB2312" w:hAnsi="仿宋" w:cs="宋体" w:hint="eastAsia"/>
          <w:sz w:val="32"/>
          <w:szCs w:val="32"/>
        </w:rPr>
        <w:t>2023年2月24日</w:t>
      </w:r>
    </w:p>
    <w:sectPr w:rsidR="00426E90" w:rsidRPr="000037AC" w:rsidSect="000037AC">
      <w:footerReference w:type="default" r:id="rId7"/>
      <w:pgSz w:w="11906" w:h="16838"/>
      <w:pgMar w:top="1701" w:right="1418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F5E" w:rsidRDefault="004D5F5E">
      <w:r>
        <w:separator/>
      </w:r>
    </w:p>
  </w:endnote>
  <w:endnote w:type="continuationSeparator" w:id="0">
    <w:p w:rsidR="004D5F5E" w:rsidRDefault="004D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90" w:rsidRDefault="00814A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656A" w:rsidRPr="0095656A">
      <w:rPr>
        <w:noProof/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F5E" w:rsidRDefault="004D5F5E">
      <w:r>
        <w:separator/>
      </w:r>
    </w:p>
  </w:footnote>
  <w:footnote w:type="continuationSeparator" w:id="0">
    <w:p w:rsidR="004D5F5E" w:rsidRDefault="004D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8EFA55"/>
    <w:multiLevelType w:val="singleLevel"/>
    <w:tmpl w:val="BC8EFA5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GQ4YTY0Y2E1ZTY0ODU5NGYwOWU2Y2RmYWQ1ODgifQ=="/>
  </w:docVars>
  <w:rsids>
    <w:rsidRoot w:val="001B7557"/>
    <w:rsid w:val="000037AC"/>
    <w:rsid w:val="000113EE"/>
    <w:rsid w:val="0002273D"/>
    <w:rsid w:val="000527F7"/>
    <w:rsid w:val="00081DD6"/>
    <w:rsid w:val="001966AF"/>
    <w:rsid w:val="001A612B"/>
    <w:rsid w:val="001B7557"/>
    <w:rsid w:val="001C641C"/>
    <w:rsid w:val="001D1951"/>
    <w:rsid w:val="001D6AD3"/>
    <w:rsid w:val="00213933"/>
    <w:rsid w:val="0027474B"/>
    <w:rsid w:val="002919BD"/>
    <w:rsid w:val="002A1CAE"/>
    <w:rsid w:val="002B0557"/>
    <w:rsid w:val="002F7B5C"/>
    <w:rsid w:val="00343226"/>
    <w:rsid w:val="003952FC"/>
    <w:rsid w:val="00406278"/>
    <w:rsid w:val="00407FD0"/>
    <w:rsid w:val="00426E90"/>
    <w:rsid w:val="00432F45"/>
    <w:rsid w:val="004515BE"/>
    <w:rsid w:val="0046367C"/>
    <w:rsid w:val="00472627"/>
    <w:rsid w:val="004D5F5E"/>
    <w:rsid w:val="004F246A"/>
    <w:rsid w:val="005733B7"/>
    <w:rsid w:val="005837EF"/>
    <w:rsid w:val="005C1166"/>
    <w:rsid w:val="00610A40"/>
    <w:rsid w:val="006D6496"/>
    <w:rsid w:val="00754EA3"/>
    <w:rsid w:val="007D737F"/>
    <w:rsid w:val="00814AC9"/>
    <w:rsid w:val="00816D33"/>
    <w:rsid w:val="0091074C"/>
    <w:rsid w:val="00910B09"/>
    <w:rsid w:val="0091322E"/>
    <w:rsid w:val="0095656A"/>
    <w:rsid w:val="00A13475"/>
    <w:rsid w:val="00A43FBB"/>
    <w:rsid w:val="00A44B56"/>
    <w:rsid w:val="00A75272"/>
    <w:rsid w:val="00AA68D0"/>
    <w:rsid w:val="00AC5772"/>
    <w:rsid w:val="00AD5D3E"/>
    <w:rsid w:val="00AE27AA"/>
    <w:rsid w:val="00B60A8E"/>
    <w:rsid w:val="00BF348D"/>
    <w:rsid w:val="00C86EAC"/>
    <w:rsid w:val="00CF246D"/>
    <w:rsid w:val="00D466F9"/>
    <w:rsid w:val="00D4732E"/>
    <w:rsid w:val="00D719EC"/>
    <w:rsid w:val="00DB0E1C"/>
    <w:rsid w:val="00E3124D"/>
    <w:rsid w:val="00EA4760"/>
    <w:rsid w:val="00F27FD6"/>
    <w:rsid w:val="00F3499B"/>
    <w:rsid w:val="00F6414C"/>
    <w:rsid w:val="00F66489"/>
    <w:rsid w:val="00F80D13"/>
    <w:rsid w:val="00FD3F3F"/>
    <w:rsid w:val="00FF7014"/>
    <w:rsid w:val="059F750A"/>
    <w:rsid w:val="0F22532B"/>
    <w:rsid w:val="14D96826"/>
    <w:rsid w:val="14F64B10"/>
    <w:rsid w:val="1D0469C5"/>
    <w:rsid w:val="1EE5058A"/>
    <w:rsid w:val="22127AC2"/>
    <w:rsid w:val="239A0508"/>
    <w:rsid w:val="27105A39"/>
    <w:rsid w:val="327E719C"/>
    <w:rsid w:val="33601642"/>
    <w:rsid w:val="34E42B49"/>
    <w:rsid w:val="356C4067"/>
    <w:rsid w:val="39A426B2"/>
    <w:rsid w:val="39A9753C"/>
    <w:rsid w:val="3AA44821"/>
    <w:rsid w:val="3E710DB6"/>
    <w:rsid w:val="40A2464F"/>
    <w:rsid w:val="44713900"/>
    <w:rsid w:val="45731414"/>
    <w:rsid w:val="45FE3DC7"/>
    <w:rsid w:val="464D537D"/>
    <w:rsid w:val="46831F66"/>
    <w:rsid w:val="4C61227C"/>
    <w:rsid w:val="4CA233B8"/>
    <w:rsid w:val="57D54CAF"/>
    <w:rsid w:val="58633926"/>
    <w:rsid w:val="5A8325D1"/>
    <w:rsid w:val="5C6142D7"/>
    <w:rsid w:val="5C923319"/>
    <w:rsid w:val="60BD3632"/>
    <w:rsid w:val="61133A08"/>
    <w:rsid w:val="6269416D"/>
    <w:rsid w:val="63DC138D"/>
    <w:rsid w:val="65972FF9"/>
    <w:rsid w:val="6770493F"/>
    <w:rsid w:val="69110C6C"/>
    <w:rsid w:val="6A4B742D"/>
    <w:rsid w:val="6CF42DF7"/>
    <w:rsid w:val="6D511861"/>
    <w:rsid w:val="71D14C8E"/>
    <w:rsid w:val="747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9E73C-FCD8-4FD2-8820-B586A22F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pPr>
      <w:spacing w:line="0" w:lineRule="atLeast"/>
    </w:pPr>
    <w:rPr>
      <w:sz w:val="30"/>
    </w:rPr>
  </w:style>
  <w:style w:type="paragraph" w:styleId="a4">
    <w:name w:val="Normal Indent"/>
    <w:basedOn w:val="a"/>
    <w:link w:val="Char"/>
    <w:qFormat/>
    <w:pPr>
      <w:ind w:firstLineChars="200" w:firstLine="420"/>
    </w:pPr>
    <w:rPr>
      <w:rFonts w:ascii="Times New Roman" w:eastAsia="宋体" w:hAnsi="Times New Roman"/>
      <w:szCs w:val="24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Pr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缩进 Char"/>
    <w:link w:val="a4"/>
    <w:qFormat/>
    <w:rPr>
      <w:rFonts w:ascii="Times New Roman" w:eastAsia="宋体" w:hAnsi="Times New Roman"/>
      <w:kern w:val="2"/>
      <w:sz w:val="21"/>
      <w:szCs w:val="24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临渭区传染病医院建设项目设计服务商采购项目采购计划</dc:title>
  <dc:creator>何 军</dc:creator>
  <cp:lastModifiedBy>史李宏</cp:lastModifiedBy>
  <cp:revision>28</cp:revision>
  <cp:lastPrinted>2021-10-19T02:45:00Z</cp:lastPrinted>
  <dcterms:created xsi:type="dcterms:W3CDTF">2023-02-24T01:59:00Z</dcterms:created>
  <dcterms:modified xsi:type="dcterms:W3CDTF">2023-02-24T11:15:00Z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5530F10CE4BC465592F507AB32BC9C02</vt:lpwstr>
  </property>
</Properties>
</file>