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HZGH-2023-006</w:t>
      </w:r>
    </w:p>
    <w:p>
      <w:pPr>
        <w:pStyle w:val="11"/>
        <w:rPr>
          <w:rFonts w:hint="eastAsia"/>
          <w:highlight w:val="none"/>
        </w:rPr>
      </w:pP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56"/>
          <w:szCs w:val="56"/>
          <w:highlight w:val="none"/>
          <w:lang w:val="en-US" w:eastAsia="zh-CN" w:bidi="ar-SA"/>
          <w14:textFill>
            <w14:solidFill>
              <w14:schemeClr w14:val="tx1"/>
            </w14:solidFill>
          </w14:textFill>
        </w:rPr>
        <w:t>蒲城县王鼎相国府廉政教育基地布展设计采购项目</w:t>
      </w: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pStyle w:val="14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仿宋"/>
          <w:b/>
          <w:bCs/>
          <w:sz w:val="10"/>
          <w:szCs w:val="11"/>
          <w:highlight w:val="none"/>
          <w:lang w:eastAsia="zh-CN"/>
        </w:rPr>
      </w:pPr>
      <w:r>
        <w:rPr>
          <w:rFonts w:hint="eastAsia" w:ascii="仿宋" w:hAnsi="仿宋" w:eastAsia="仿宋" w:cs="仿宋"/>
          <w:b/>
          <w:bCs/>
          <w:color w:val="auto"/>
          <w:spacing w:val="20"/>
          <w:kern w:val="0"/>
          <w:sz w:val="32"/>
          <w:szCs w:val="32"/>
          <w:highlight w:val="none"/>
          <w:lang w:eastAsia="zh-CN"/>
        </w:rPr>
        <w:t>（</w:t>
      </w:r>
      <w:r>
        <w:rPr>
          <w:rFonts w:hint="eastAsia" w:ascii="仿宋" w:hAnsi="仿宋" w:eastAsia="仿宋" w:cs="仿宋"/>
          <w:b/>
          <w:bCs/>
          <w:color w:val="auto"/>
          <w:spacing w:val="20"/>
          <w:kern w:val="0"/>
          <w:sz w:val="32"/>
          <w:szCs w:val="32"/>
          <w:highlight w:val="none"/>
          <w:lang w:val="en-US" w:eastAsia="zh-CN"/>
        </w:rPr>
        <w:t>专门面向中小企业项目</w:t>
      </w:r>
      <w:r>
        <w:rPr>
          <w:rFonts w:hint="eastAsia" w:ascii="仿宋" w:hAnsi="仿宋" w:eastAsia="仿宋" w:cs="仿宋"/>
          <w:b/>
          <w:bCs/>
          <w:color w:val="auto"/>
          <w:spacing w:val="20"/>
          <w:kern w:val="0"/>
          <w:sz w:val="32"/>
          <w:szCs w:val="32"/>
          <w:highlight w:val="none"/>
          <w:lang w:eastAsia="zh-CN"/>
        </w:rPr>
        <w:t>）</w:t>
      </w:r>
    </w:p>
    <w:p>
      <w:pPr>
        <w:pStyle w:val="8"/>
        <w:rPr>
          <w:rFonts w:hint="eastAsia"/>
          <w:highlight w:val="none"/>
        </w:rPr>
      </w:pPr>
    </w:p>
    <w:p>
      <w:pPr>
        <w:rPr>
          <w:rFonts w:hint="eastAsia"/>
          <w:highlight w:val="none"/>
        </w:rPr>
      </w:pPr>
    </w:p>
    <w:p>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drawing>
          <wp:anchor distT="0" distB="0" distL="114300" distR="114300" simplePos="0" relativeHeight="251661312" behindDoc="1" locked="0" layoutInCell="1" allowOverlap="1">
            <wp:simplePos x="0" y="0"/>
            <wp:positionH relativeFrom="column">
              <wp:posOffset>2015490</wp:posOffset>
            </wp:positionH>
            <wp:positionV relativeFrom="paragraph">
              <wp:posOffset>45720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6"/>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蒲城县王鼎纪念馆</w:t>
      </w:r>
    </w:p>
    <w:p>
      <w:pPr>
        <w:spacing w:line="560" w:lineRule="exact"/>
        <w:ind w:firstLine="1606" w:firstLineChars="5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eastAsia="zh-CN"/>
          <w14:textFill>
            <w14:solidFill>
              <w14:schemeClr w14:val="tx1"/>
            </w14:solidFill>
          </w14:textFill>
        </w:rPr>
        <w:t>三</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5、请于购买竞争性磋商文件后按照规定及时递交磋商保证金。</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highlight w:val="none"/>
        </w:rPr>
        <w:tab/>
      </w:r>
      <w:r>
        <w:rPr>
          <w:sz w:val="22"/>
          <w:szCs w:val="28"/>
          <w:highlight w:val="none"/>
        </w:rPr>
        <w:fldChar w:fldCharType="begin"/>
      </w:r>
      <w:r>
        <w:rPr>
          <w:sz w:val="22"/>
          <w:szCs w:val="28"/>
          <w:highlight w:val="none"/>
        </w:rPr>
        <w:instrText xml:space="preserve"> PAGEREF _Toc20848 \h </w:instrText>
      </w:r>
      <w:r>
        <w:rPr>
          <w:sz w:val="22"/>
          <w:szCs w:val="28"/>
          <w:highlight w:val="none"/>
        </w:rPr>
        <w:fldChar w:fldCharType="separate"/>
      </w:r>
      <w:r>
        <w:rPr>
          <w:sz w:val="22"/>
          <w:szCs w:val="28"/>
          <w:highlight w:val="none"/>
        </w:rPr>
        <w:t>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highlight w:val="none"/>
        </w:rPr>
        <w:tab/>
      </w:r>
      <w:r>
        <w:rPr>
          <w:sz w:val="22"/>
          <w:szCs w:val="28"/>
          <w:highlight w:val="none"/>
        </w:rPr>
        <w:fldChar w:fldCharType="begin"/>
      </w:r>
      <w:r>
        <w:rPr>
          <w:sz w:val="22"/>
          <w:szCs w:val="28"/>
          <w:highlight w:val="none"/>
        </w:rPr>
        <w:instrText xml:space="preserve"> PAGEREF _Toc19749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highlight w:val="none"/>
        </w:rPr>
        <w:tab/>
      </w:r>
      <w:r>
        <w:rPr>
          <w:sz w:val="22"/>
          <w:szCs w:val="28"/>
          <w:highlight w:val="none"/>
        </w:rPr>
        <w:fldChar w:fldCharType="begin"/>
      </w:r>
      <w:r>
        <w:rPr>
          <w:sz w:val="22"/>
          <w:szCs w:val="28"/>
          <w:highlight w:val="none"/>
        </w:rPr>
        <w:instrText xml:space="preserve"> PAGEREF _Toc1739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highlight w:val="none"/>
        </w:rPr>
        <w:tab/>
      </w:r>
      <w:r>
        <w:rPr>
          <w:sz w:val="22"/>
          <w:szCs w:val="28"/>
          <w:highlight w:val="none"/>
        </w:rPr>
        <w:fldChar w:fldCharType="begin"/>
      </w:r>
      <w:r>
        <w:rPr>
          <w:sz w:val="22"/>
          <w:szCs w:val="28"/>
          <w:highlight w:val="none"/>
        </w:rPr>
        <w:instrText xml:space="preserve"> PAGEREF _Toc12152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highlight w:val="none"/>
        </w:rPr>
        <w:tab/>
      </w:r>
      <w:r>
        <w:rPr>
          <w:sz w:val="22"/>
          <w:szCs w:val="28"/>
          <w:highlight w:val="none"/>
        </w:rPr>
        <w:fldChar w:fldCharType="begin"/>
      </w:r>
      <w:r>
        <w:rPr>
          <w:sz w:val="22"/>
          <w:szCs w:val="28"/>
          <w:highlight w:val="none"/>
        </w:rPr>
        <w:instrText xml:space="preserve"> PAGEREF _Toc24776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highlight w:val="none"/>
        </w:rPr>
        <w:tab/>
      </w:r>
      <w:r>
        <w:rPr>
          <w:sz w:val="22"/>
          <w:szCs w:val="28"/>
          <w:highlight w:val="none"/>
        </w:rPr>
        <w:fldChar w:fldCharType="begin"/>
      </w:r>
      <w:r>
        <w:rPr>
          <w:sz w:val="22"/>
          <w:szCs w:val="28"/>
          <w:highlight w:val="none"/>
        </w:rPr>
        <w:instrText xml:space="preserve"> PAGEREF _Toc1600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color w:val="000000" w:themeColor="text1"/>
          <w:sz w:val="22"/>
          <w:szCs w:val="28"/>
          <w:highlight w:val="none"/>
          <w14:textFill>
            <w14:solidFill>
              <w14:schemeClr w14:val="tx1"/>
            </w14:solidFill>
          </w14:textFill>
        </w:rPr>
        <w:instrText xml:space="preserve"> HYPERLINK \l _Toc27461 </w:instrText>
      </w:r>
      <w:r>
        <w:rPr>
          <w:rFonts w:hint="eastAsia" w:ascii="仿宋" w:hAnsi="仿宋" w:eastAsia="仿宋" w:cs="仿宋"/>
          <w:color w:val="000000" w:themeColor="text1"/>
          <w:sz w:val="22"/>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t>五、磋商担保</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六</w:t>
      </w:r>
      <w:r>
        <w:rPr>
          <w:rFonts w:hint="eastAsia" w:ascii="仿宋" w:hAnsi="仿宋" w:eastAsia="仿宋" w:cs="仿宋"/>
          <w:kern w:val="0"/>
          <w:sz w:val="22"/>
          <w:szCs w:val="32"/>
          <w:highlight w:val="none"/>
        </w:rPr>
        <w:t>、磋商响应</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七</w:t>
      </w:r>
      <w:r>
        <w:rPr>
          <w:rFonts w:hint="eastAsia" w:ascii="仿宋" w:hAnsi="仿宋" w:eastAsia="仿宋" w:cs="仿宋"/>
          <w:bCs/>
          <w:sz w:val="22"/>
          <w:szCs w:val="32"/>
          <w:highlight w:val="none"/>
        </w:rPr>
        <w:t>、磋商、评审及定标</w:t>
      </w:r>
      <w:r>
        <w:rPr>
          <w:sz w:val="22"/>
          <w:szCs w:val="28"/>
          <w:highlight w:val="none"/>
        </w:rPr>
        <w:tab/>
      </w:r>
      <w:r>
        <w:rPr>
          <w:sz w:val="22"/>
          <w:szCs w:val="28"/>
          <w:highlight w:val="none"/>
        </w:rPr>
        <w:fldChar w:fldCharType="begin"/>
      </w:r>
      <w:r>
        <w:rPr>
          <w:sz w:val="22"/>
          <w:szCs w:val="28"/>
          <w:highlight w:val="none"/>
        </w:rPr>
        <w:instrText xml:space="preserve"> PAGEREF _Toc23636 \h </w:instrText>
      </w:r>
      <w:r>
        <w:rPr>
          <w:sz w:val="22"/>
          <w:szCs w:val="28"/>
          <w:highlight w:val="none"/>
        </w:rPr>
        <w:fldChar w:fldCharType="separate"/>
      </w:r>
      <w:r>
        <w:rPr>
          <w:sz w:val="22"/>
          <w:szCs w:val="28"/>
          <w:highlight w:val="none"/>
        </w:rPr>
        <w:t>21</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w:t>
      </w:r>
      <w:r>
        <w:rPr>
          <w:sz w:val="22"/>
          <w:szCs w:val="28"/>
          <w:highlight w:val="none"/>
        </w:rPr>
        <w:tab/>
      </w:r>
      <w:r>
        <w:rPr>
          <w:sz w:val="22"/>
          <w:szCs w:val="28"/>
          <w:highlight w:val="none"/>
        </w:rPr>
        <w:fldChar w:fldCharType="begin"/>
      </w:r>
      <w:r>
        <w:rPr>
          <w:sz w:val="22"/>
          <w:szCs w:val="28"/>
          <w:highlight w:val="none"/>
        </w:rPr>
        <w:instrText xml:space="preserve"> PAGEREF _Toc28361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、合同的履约验收</w:t>
      </w:r>
      <w:r>
        <w:rPr>
          <w:sz w:val="22"/>
          <w:szCs w:val="28"/>
          <w:highlight w:val="none"/>
        </w:rPr>
        <w:tab/>
      </w:r>
      <w:r>
        <w:rPr>
          <w:sz w:val="22"/>
          <w:szCs w:val="28"/>
          <w:highlight w:val="none"/>
        </w:rPr>
        <w:fldChar w:fldCharType="begin"/>
      </w:r>
      <w:r>
        <w:rPr>
          <w:sz w:val="22"/>
          <w:szCs w:val="28"/>
          <w:highlight w:val="none"/>
        </w:rPr>
        <w:instrText xml:space="preserve"> PAGEREF _Toc24945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十</w:t>
      </w:r>
      <w:r>
        <w:rPr>
          <w:rFonts w:hint="eastAsia" w:ascii="仿宋" w:hAnsi="仿宋" w:eastAsia="仿宋" w:cs="仿宋"/>
          <w:sz w:val="22"/>
          <w:szCs w:val="32"/>
          <w:highlight w:val="none"/>
        </w:rPr>
        <w:t>、招标服务费</w:t>
      </w:r>
      <w:r>
        <w:rPr>
          <w:sz w:val="22"/>
          <w:szCs w:val="28"/>
          <w:highlight w:val="none"/>
        </w:rPr>
        <w:tab/>
      </w:r>
      <w:r>
        <w:rPr>
          <w:sz w:val="22"/>
          <w:szCs w:val="28"/>
          <w:highlight w:val="none"/>
        </w:rPr>
        <w:fldChar w:fldCharType="begin"/>
      </w:r>
      <w:r>
        <w:rPr>
          <w:sz w:val="22"/>
          <w:szCs w:val="28"/>
          <w:highlight w:val="none"/>
        </w:rPr>
        <w:instrText xml:space="preserve"> PAGEREF _Toc19792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、重新组织采购活动</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lang w:val="en-US" w:eastAsia="zh-CN"/>
          <w14:textFill>
            <w14:solidFill>
              <w14:schemeClr w14:val="tx1"/>
            </w14:solidFill>
          </w14:textFill>
        </w:rPr>
        <w:t>十二、特殊情形的处理</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36</w:t>
      </w:r>
      <w:r>
        <w:rPr>
          <w:sz w:val="22"/>
          <w:szCs w:val="28"/>
          <w:highlight w:val="none"/>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三</w:t>
      </w:r>
      <w:r>
        <w:rPr>
          <w:rFonts w:hint="eastAsia" w:ascii="仿宋" w:hAnsi="仿宋" w:eastAsia="仿宋" w:cs="仿宋"/>
          <w:sz w:val="22"/>
          <w:szCs w:val="32"/>
          <w:highlight w:val="none"/>
        </w:rPr>
        <w:t>、询问、质疑与投诉</w:t>
      </w:r>
      <w:r>
        <w:rPr>
          <w:sz w:val="22"/>
          <w:szCs w:val="28"/>
          <w:highlight w:val="none"/>
        </w:rPr>
        <w:tab/>
      </w:r>
      <w:r>
        <w:rPr>
          <w:sz w:val="22"/>
          <w:szCs w:val="28"/>
          <w:highlight w:val="none"/>
        </w:rPr>
        <w:fldChar w:fldCharType="begin"/>
      </w:r>
      <w:r>
        <w:rPr>
          <w:sz w:val="22"/>
          <w:szCs w:val="28"/>
          <w:highlight w:val="none"/>
        </w:rPr>
        <w:instrText xml:space="preserve"> PAGEREF _Toc15549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四</w:t>
      </w:r>
      <w:r>
        <w:rPr>
          <w:rFonts w:hint="eastAsia" w:ascii="仿宋" w:hAnsi="仿宋" w:eastAsia="仿宋" w:cs="仿宋"/>
          <w:sz w:val="22"/>
          <w:szCs w:val="32"/>
          <w:highlight w:val="none"/>
        </w:rPr>
        <w:t>、拒绝商业贿赂</w:t>
      </w:r>
      <w:r>
        <w:rPr>
          <w:sz w:val="22"/>
          <w:szCs w:val="28"/>
          <w:highlight w:val="none"/>
        </w:rPr>
        <w:tab/>
      </w:r>
      <w:r>
        <w:rPr>
          <w:sz w:val="22"/>
          <w:szCs w:val="28"/>
          <w:highlight w:val="none"/>
        </w:rPr>
        <w:fldChar w:fldCharType="begin"/>
      </w:r>
      <w:r>
        <w:rPr>
          <w:sz w:val="22"/>
          <w:szCs w:val="28"/>
          <w:highlight w:val="none"/>
        </w:rPr>
        <w:instrText xml:space="preserve"> PAGEREF _Toc19464 \h </w:instrText>
      </w:r>
      <w:r>
        <w:rPr>
          <w:sz w:val="22"/>
          <w:szCs w:val="28"/>
          <w:highlight w:val="none"/>
        </w:rPr>
        <w:fldChar w:fldCharType="separate"/>
      </w:r>
      <w:r>
        <w:rPr>
          <w:sz w:val="22"/>
          <w:szCs w:val="28"/>
          <w:highlight w:val="none"/>
        </w:rPr>
        <w:t>38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highlight w:val="none"/>
        </w:rPr>
        <w:tab/>
      </w:r>
      <w:r>
        <w:rPr>
          <w:sz w:val="22"/>
          <w:szCs w:val="28"/>
          <w:highlight w:val="none"/>
        </w:rPr>
        <w:fldChar w:fldCharType="begin"/>
      </w:r>
      <w:r>
        <w:rPr>
          <w:sz w:val="22"/>
          <w:szCs w:val="28"/>
          <w:highlight w:val="none"/>
        </w:rPr>
        <w:instrText xml:space="preserve"> PAGEREF _Toc20324 \h </w:instrText>
      </w:r>
      <w:r>
        <w:rPr>
          <w:sz w:val="22"/>
          <w:szCs w:val="28"/>
          <w:highlight w:val="none"/>
        </w:rPr>
        <w:fldChar w:fldCharType="separate"/>
      </w:r>
      <w:r>
        <w:rPr>
          <w:sz w:val="22"/>
          <w:szCs w:val="28"/>
          <w:highlight w:val="none"/>
        </w:rPr>
        <w:t>39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highlight w:val="none"/>
        </w:rPr>
        <w:tab/>
      </w:r>
      <w:r>
        <w:rPr>
          <w:sz w:val="22"/>
          <w:szCs w:val="28"/>
          <w:highlight w:val="none"/>
        </w:rPr>
        <w:fldChar w:fldCharType="begin"/>
      </w:r>
      <w:r>
        <w:rPr>
          <w:sz w:val="22"/>
          <w:szCs w:val="28"/>
          <w:highlight w:val="none"/>
        </w:rPr>
        <w:instrText xml:space="preserve"> PAGEREF _Toc21581 \h </w:instrText>
      </w:r>
      <w:r>
        <w:rPr>
          <w:sz w:val="22"/>
          <w:szCs w:val="28"/>
          <w:highlight w:val="none"/>
        </w:rPr>
        <w:fldChar w:fldCharType="separate"/>
      </w:r>
      <w:r>
        <w:rPr>
          <w:sz w:val="22"/>
          <w:szCs w:val="28"/>
          <w:highlight w:val="none"/>
        </w:rPr>
        <w:t>50</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highlight w:val="none"/>
        </w:rPr>
        <w:tab/>
      </w:r>
      <w:r>
        <w:rPr>
          <w:sz w:val="22"/>
          <w:szCs w:val="28"/>
          <w:highlight w:val="none"/>
        </w:rPr>
        <w:fldChar w:fldCharType="begin"/>
      </w:r>
      <w:r>
        <w:rPr>
          <w:sz w:val="22"/>
          <w:szCs w:val="28"/>
          <w:highlight w:val="none"/>
        </w:rPr>
        <w:instrText xml:space="preserve"> PAGEREF _Toc2890 \h </w:instrText>
      </w:r>
      <w:r>
        <w:rPr>
          <w:sz w:val="22"/>
          <w:szCs w:val="28"/>
          <w:highlight w:val="none"/>
        </w:rPr>
        <w:fldChar w:fldCharType="separate"/>
      </w:r>
      <w:r>
        <w:rPr>
          <w:sz w:val="22"/>
          <w:szCs w:val="28"/>
          <w:highlight w:val="none"/>
        </w:rPr>
        <w:t>51</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第六章  竞争性磋商响应文件格式</w:t>
      </w:r>
      <w:r>
        <w:rPr>
          <w:sz w:val="22"/>
          <w:szCs w:val="28"/>
          <w:highlight w:val="none"/>
        </w:rPr>
        <w:tab/>
      </w:r>
      <w:r>
        <w:rPr>
          <w:sz w:val="22"/>
          <w:szCs w:val="28"/>
          <w:highlight w:val="none"/>
        </w:rPr>
        <w:fldChar w:fldCharType="begin"/>
      </w:r>
      <w:r>
        <w:rPr>
          <w:sz w:val="22"/>
          <w:szCs w:val="28"/>
          <w:highlight w:val="none"/>
        </w:rPr>
        <w:instrText xml:space="preserve"> PAGEREF _Toc32022 \h </w:instrText>
      </w:r>
      <w:r>
        <w:rPr>
          <w:sz w:val="22"/>
          <w:szCs w:val="28"/>
          <w:highlight w:val="none"/>
        </w:rPr>
        <w:fldChar w:fldCharType="separate"/>
      </w:r>
      <w:r>
        <w:rPr>
          <w:sz w:val="22"/>
          <w:szCs w:val="28"/>
          <w:highlight w:val="none"/>
        </w:rPr>
        <w:t>57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widowControl/>
        <w:spacing w:line="460" w:lineRule="exact"/>
        <w:ind w:right="-197" w:rightChars="-94"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r>
        <w:rPr>
          <w:rFonts w:hint="eastAsia" w:ascii="仿宋" w:hAnsi="仿宋" w:eastAsia="仿宋" w:cs="仿宋"/>
          <w:color w:val="000000" w:themeColor="text1"/>
          <w:sz w:val="24"/>
          <w:highlight w:val="none"/>
          <w14:textFill>
            <w14:solidFill>
              <w14:schemeClr w14:val="tx1"/>
            </w14:solidFill>
          </w14:textFill>
        </w:rPr>
        <w:t>的潜在供应商应在西安市朱雀大街南段1号汇成天玺C座18层1812室获取采购文件，并于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0分（北京时间）前提交响应文件。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HZGH-2023-006</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eastAsia="zh-CN"/>
          <w14:textFill>
            <w14:solidFill>
              <w14:schemeClr w14:val="tx1"/>
            </w14:solidFill>
          </w14:textFill>
        </w:rPr>
        <w:t>650000.00</w:t>
      </w:r>
      <w:r>
        <w:rPr>
          <w:rFonts w:hint="eastAsia" w:ascii="仿宋" w:hAnsi="仿宋" w:eastAsia="仿宋" w:cs="仿宋"/>
          <w:color w:val="000000" w:themeColor="text1"/>
          <w:sz w:val="24"/>
          <w:highlight w:val="none"/>
          <w14:textFill>
            <w14:solidFill>
              <w14:schemeClr w14:val="tx1"/>
            </w14:solidFill>
          </w14:textFill>
        </w:rPr>
        <w:t>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r>
        <w:rPr>
          <w:rFonts w:hint="eastAsia" w:ascii="仿宋" w:hAnsi="仿宋" w:eastAsia="仿宋" w:cs="仿宋"/>
          <w:color w:val="000000" w:themeColor="text1"/>
          <w:sz w:val="24"/>
          <w:highlight w:val="none"/>
          <w14:textFill>
            <w14:solidFill>
              <w14:schemeClr w14:val="tx1"/>
            </w14:solidFill>
          </w14:textFill>
        </w:rPr>
        <w:t>):</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eastAsia="zh-CN"/>
          <w14:textFill>
            <w14:solidFill>
              <w14:schemeClr w14:val="tx1"/>
            </w14:solidFill>
          </w14:textFill>
        </w:rPr>
        <w:t>650000.00</w:t>
      </w:r>
      <w:r>
        <w:rPr>
          <w:rFonts w:hint="eastAsia" w:ascii="仿宋" w:hAnsi="仿宋" w:eastAsia="仿宋" w:cs="仿宋"/>
          <w:color w:val="000000" w:themeColor="text1"/>
          <w:sz w:val="24"/>
          <w:highlight w:val="none"/>
          <w14:textFill>
            <w14:solidFill>
              <w14:schemeClr w14:val="tx1"/>
            </w14:solidFill>
          </w14:textFill>
        </w:rPr>
        <w:t>元</w:t>
      </w:r>
    </w:p>
    <w:tbl>
      <w:tblPr>
        <w:tblStyle w:val="23"/>
        <w:tblW w:w="531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2"/>
        <w:gridCol w:w="1437"/>
        <w:gridCol w:w="2180"/>
        <w:gridCol w:w="1178"/>
        <w:gridCol w:w="1699"/>
        <w:gridCol w:w="1290"/>
        <w:gridCol w:w="15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tblHeader/>
          <w:jc w:val="center"/>
        </w:trPr>
        <w:tc>
          <w:tcPr>
            <w:tcW w:w="332" w:type="pct"/>
            <w:shd w:val="clear" w:color="auto" w:fill="auto"/>
            <w:tcMar>
              <w:top w:w="0" w:type="dxa"/>
              <w:left w:w="0" w:type="dxa"/>
              <w:bottom w:w="0" w:type="dxa"/>
              <w:right w:w="0" w:type="dxa"/>
            </w:tcMar>
            <w:vAlign w:val="center"/>
          </w:tcPr>
          <w:p>
            <w:pPr>
              <w:widowControl/>
              <w:spacing w:line="460" w:lineRule="exact"/>
              <w:ind w:right="-197" w:rightChars="-94"/>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72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1092"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59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851"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及要求</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5"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1" w:hRule="atLeast"/>
          <w:jc w:val="center"/>
        </w:trPr>
        <w:tc>
          <w:tcPr>
            <w:tcW w:w="332" w:type="pct"/>
            <w:shd w:val="clear" w:color="auto" w:fill="auto"/>
            <w:tcMar>
              <w:top w:w="0" w:type="dxa"/>
              <w:left w:w="0" w:type="dxa"/>
              <w:bottom w:w="0" w:type="dxa"/>
              <w:right w:w="0" w:type="dxa"/>
            </w:tcMar>
            <w:vAlign w:val="center"/>
          </w:tcPr>
          <w:p>
            <w:pPr>
              <w:widowControl/>
              <w:spacing w:line="460" w:lineRule="exact"/>
              <w:ind w:right="-197" w:rightChars="-94"/>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72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区域规划和</w:t>
            </w:r>
          </w:p>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设计服务</w:t>
            </w:r>
          </w:p>
        </w:tc>
        <w:tc>
          <w:tcPr>
            <w:tcW w:w="1092"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王鼎相国府廉政教育基地布展设计</w:t>
            </w:r>
          </w:p>
        </w:tc>
        <w:tc>
          <w:tcPr>
            <w:tcW w:w="59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1(项)</w:t>
            </w:r>
          </w:p>
        </w:tc>
        <w:tc>
          <w:tcPr>
            <w:tcW w:w="851"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详见采购文件</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650000.00</w:t>
            </w:r>
          </w:p>
        </w:tc>
        <w:tc>
          <w:tcPr>
            <w:tcW w:w="765"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650000.00</w:t>
            </w:r>
          </w:p>
        </w:tc>
      </w:tr>
    </w:tbl>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合同履行期限：无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（3）、《陕西省财政厅关于加快推进我省中小企业政府采购信用融资工作的通知》（陕财办采〔2020〕15号）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（4）、财政部司法部关于政府采购支持监狱企业发展有关问题的通知--财库〔2014〕68号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（5）、《国务院办公厅关于建立政府强制采购节能产品制度的通知》--国办发〔2007〕51号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（8）、《财政部发展改革委生态环境部市场监督总局关于调整优化节能产品、环境标志产品政府采购执行机制的通知》--（财库[2019]9号）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（9）、《市场监督总局关于发布参与实施政府采购节能产品、环境标志产品认证机构名录的公告》--2019年第16号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（10）、《财政部民政部中国残疾人联合会关于促进残疾人就业政府采购政策的通知》--（财库〔2017〕141号）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（11）、《财政部国务院扶贫办关于运用政府采购政策支持脱贫攻坚的通知》（财库〔2019〕27号）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（12）、《关于进一步加强政府绿色采购有关问题的通知》（陕财办采〔2021〕29号）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（13）、其他需要落实的政府采购政策。</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r>
        <w:rPr>
          <w:rFonts w:hint="eastAsia" w:ascii="仿宋" w:hAnsi="仿宋" w:eastAsia="仿宋" w:cs="仿宋"/>
          <w:color w:val="000000" w:themeColor="text1"/>
          <w:sz w:val="24"/>
          <w:highlight w:val="none"/>
          <w14:textFill>
            <w14:solidFill>
              <w14:schemeClr w14:val="tx1"/>
            </w14:solidFill>
          </w14:textFill>
        </w:rPr>
        <w:t>)特定资格要求如下: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widowControl/>
        <w:spacing w:line="480" w:lineRule="auto"/>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三、获取采购文件</w:t>
      </w:r>
    </w:p>
    <w:p>
      <w:pPr>
        <w:widowControl/>
        <w:spacing w:line="480" w:lineRule="auto"/>
        <w:ind w:left="239" w:leftChars="114"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24</w:t>
      </w:r>
      <w:r>
        <w:rPr>
          <w:rFonts w:hint="eastAsia" w:ascii="仿宋" w:hAnsi="仿宋" w:eastAsia="仿宋" w:cs="仿宋"/>
          <w:color w:val="000000" w:themeColor="text1"/>
          <w:sz w:val="24"/>
          <w:highlight w:val="none"/>
          <w14:textFill>
            <w14:solidFill>
              <w14:schemeClr w14:val="tx1"/>
            </w14:solidFill>
          </w14:textFill>
        </w:rPr>
        <w:t>日至202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14:textFill>
            <w14:solidFill>
              <w14:schemeClr w14:val="tx1"/>
            </w14:solidFill>
          </w14:textFill>
        </w:rPr>
        <w:t>日，每天上午09:00:00至12:00:00，下午14:00:00至17:00:00（北京时间,法定节假日除外）</w:t>
      </w:r>
    </w:p>
    <w:p>
      <w:pPr>
        <w:widowControl/>
        <w:spacing w:line="480" w:lineRule="auto"/>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地点：西安市朱雀大街南段1号汇成天玺C座18层1812室</w:t>
      </w:r>
    </w:p>
    <w:p>
      <w:pPr>
        <w:widowControl/>
        <w:spacing w:line="480" w:lineRule="auto"/>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方式：现场获取</w:t>
      </w:r>
    </w:p>
    <w:p>
      <w:pPr>
        <w:widowControl/>
        <w:spacing w:line="480" w:lineRule="auto"/>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售价：</w:t>
      </w:r>
      <w:r>
        <w:rPr>
          <w:rFonts w:hint="eastAsia" w:ascii="仿宋" w:hAnsi="仿宋" w:eastAsia="仿宋" w:cs="仿宋"/>
          <w:color w:val="000000" w:themeColor="text1"/>
          <w:sz w:val="24"/>
          <w:highlight w:val="none"/>
          <w:lang w:val="en-US" w:eastAsia="zh-CN"/>
          <w14:textFill>
            <w14:solidFill>
              <w14:schemeClr w14:val="tx1"/>
            </w14:solidFill>
          </w14:textFill>
        </w:rPr>
        <w:t>500元</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80" w:lineRule="auto"/>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四、响应文件提交</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截止时间：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地点：西安市朱雀大街南段1号汇成天玺C座18层1818室 </w:t>
      </w:r>
    </w:p>
    <w:p>
      <w:pPr>
        <w:widowControl/>
        <w:spacing w:line="480" w:lineRule="auto"/>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五、开启</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09</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地点：西安市朱雀大街南段1号汇成天玺C座18层1818室</w:t>
      </w:r>
    </w:p>
    <w:p>
      <w:pPr>
        <w:widowControl/>
        <w:spacing w:line="480" w:lineRule="auto"/>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六、公告期限</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widowControl/>
        <w:spacing w:line="480" w:lineRule="auto"/>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七、其他补充事宜</w:t>
      </w:r>
    </w:p>
    <w:p>
      <w:pPr>
        <w:keepNext w:val="0"/>
        <w:keepLines w:val="0"/>
        <w:pageBreakBefore w:val="0"/>
        <w:widowControl/>
        <w:kinsoku/>
        <w:overflowPunct/>
        <w:autoSpaceDE/>
        <w:autoSpaceDN/>
        <w:bidi w:val="0"/>
        <w:adjustRightInd/>
        <w:snapToGrid/>
        <w:spacing w:line="480" w:lineRule="auto"/>
        <w:ind w:right="-197" w:rightChars="-94" w:firstLine="482" w:firstLineChars="200"/>
        <w:jc w:val="left"/>
        <w:textAlignment w:val="auto"/>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1.本项目仅对中小企业发售。</w:t>
      </w:r>
    </w:p>
    <w:p>
      <w:pPr>
        <w:widowControl/>
        <w:spacing w:line="480" w:lineRule="auto"/>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2、获取竞争性磋商文件时（9：00—12：00，14：00--17：00（节假日除外））请携带有效的单位介绍信及被介绍人身份证复印件，加盖供应商公章（鲜章）,可自带 U 盘拷贝电子文件（本项目仅支持现场报名获取，谢绝邮寄）。</w:t>
      </w:r>
    </w:p>
    <w:p>
      <w:pPr>
        <w:widowControl/>
        <w:spacing w:line="480" w:lineRule="auto"/>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八、凡对本次采购提出询问，请按以下方式联系。</w:t>
      </w:r>
    </w:p>
    <w:p>
      <w:pPr>
        <w:widowControl/>
        <w:spacing w:line="480" w:lineRule="auto"/>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蒲城县王鼎纪念馆</w:t>
      </w:r>
    </w:p>
    <w:p>
      <w:pPr>
        <w:widowControl/>
        <w:spacing w:line="480" w:lineRule="auto"/>
        <w:ind w:right="-197" w:rightChars="-94" w:firstLine="480" w:firstLineChars="200"/>
        <w:jc w:val="left"/>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蒲城县达仁巷</w:t>
      </w:r>
      <w:r>
        <w:rPr>
          <w:rFonts w:hint="eastAsia" w:ascii="仿宋" w:hAnsi="仿宋" w:eastAsia="仿宋" w:cs="仿宋"/>
          <w:color w:val="000000" w:themeColor="text1"/>
          <w:sz w:val="24"/>
          <w:highlight w:val="none"/>
          <w:lang w:val="en-US" w:eastAsia="zh-CN"/>
          <w14:textFill>
            <w14:solidFill>
              <w14:schemeClr w14:val="tx1"/>
            </w14:solidFill>
          </w14:textFill>
        </w:rPr>
        <w:t>54号</w:t>
      </w:r>
    </w:p>
    <w:p>
      <w:pPr>
        <w:widowControl/>
        <w:spacing w:line="480" w:lineRule="auto"/>
        <w:ind w:right="-197" w:rightChars="-94"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0913-7233115</w:t>
      </w:r>
    </w:p>
    <w:p>
      <w:pPr>
        <w:widowControl/>
        <w:spacing w:line="480" w:lineRule="auto"/>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名称：华招广和项目管理有限公司</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地址：西安市朱雀大街南段1号汇成天玺C座18层</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联系方式：029-87592321</w:t>
      </w:r>
    </w:p>
    <w:p>
      <w:pPr>
        <w:widowControl/>
        <w:spacing w:line="480" w:lineRule="auto"/>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康工</w:t>
      </w:r>
    </w:p>
    <w:p>
      <w:pPr>
        <w:widowControl/>
        <w:spacing w:line="480" w:lineRule="auto"/>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电话：029-87592321</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4"/>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3"/>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蒲城县王鼎纪念馆</w:t>
            </w:r>
          </w:p>
          <w:p>
            <w:pPr>
              <w:widowControl/>
              <w:spacing w:line="460" w:lineRule="exact"/>
              <w:ind w:right="-197" w:rightChars="-94"/>
              <w:jc w:val="left"/>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址：</w:t>
            </w:r>
            <w:r>
              <w:rPr>
                <w:rFonts w:hint="eastAsia" w:ascii="仿宋" w:hAnsi="仿宋" w:eastAsia="仿宋" w:cs="仿宋"/>
                <w:color w:val="000000" w:themeColor="text1"/>
                <w:sz w:val="24"/>
                <w:highlight w:val="none"/>
                <w:lang w:eastAsia="zh-CN"/>
                <w14:textFill>
                  <w14:solidFill>
                    <w14:schemeClr w14:val="tx1"/>
                  </w14:solidFill>
                </w14:textFill>
              </w:rPr>
              <w:t>蒲城县达仁巷</w:t>
            </w:r>
            <w:r>
              <w:rPr>
                <w:rFonts w:hint="eastAsia" w:ascii="仿宋" w:hAnsi="仿宋" w:eastAsia="仿宋" w:cs="仿宋"/>
                <w:color w:val="000000" w:themeColor="text1"/>
                <w:sz w:val="24"/>
                <w:highlight w:val="none"/>
                <w:lang w:val="en-US" w:eastAsia="zh-CN"/>
                <w14:textFill>
                  <w14:solidFill>
                    <w14:schemeClr w14:val="tx1"/>
                  </w14:solidFill>
                </w14:textFill>
              </w:rPr>
              <w:t>54号</w:t>
            </w:r>
          </w:p>
          <w:p>
            <w:pPr>
              <w:widowControl/>
              <w:spacing w:line="460" w:lineRule="exact"/>
              <w:ind w:right="-197" w:rightChars="-94"/>
              <w:jc w:val="left"/>
              <w:rPr>
                <w:rFonts w:hint="default" w:ascii="仿宋" w:hAnsi="仿宋" w:eastAsia="仿宋" w:cs="仿宋"/>
                <w:color w:val="auto"/>
                <w:sz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0913-7233115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康工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蒲城县王鼎相国府廉政教育基地布展设计采购项目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蒲城县王鼎相国府廉政教育基地布展设计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蒲城县王鼎相国府廉政教育基地布展设计采购项目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40"/>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1、服务期限：自合同签订之日起60天内服务完毕。</w:t>
            </w:r>
          </w:p>
          <w:p>
            <w:pPr>
              <w:pStyle w:val="40"/>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日上午9:00-12:00，下午2:00-5:00时止（节假日除外）。</w:t>
            </w:r>
          </w:p>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2"/>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03</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2"/>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03</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3、磋商地点：华招广和项目管理有限公司会议室（西安市朱雀大街南段1号汇成天玺C座18层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1、磋商保证金：</w:t>
            </w:r>
            <w:r>
              <w:rPr>
                <w:rFonts w:hint="eastAsia" w:ascii="仿宋" w:hAnsi="仿宋" w:eastAsia="仿宋" w:cs="仿宋"/>
                <w:b/>
                <w:bCs w:val="0"/>
                <w:sz w:val="24"/>
                <w:highlight w:val="none"/>
              </w:rPr>
              <w:t>人民币</w:t>
            </w:r>
            <w:r>
              <w:rPr>
                <w:rFonts w:hint="eastAsia" w:ascii="仿宋" w:hAnsi="仿宋" w:eastAsia="仿宋" w:cs="仿宋"/>
                <w:b/>
                <w:bCs w:val="0"/>
                <w:sz w:val="24"/>
                <w:highlight w:val="none"/>
                <w:lang w:val="en-US" w:eastAsia="zh-CN"/>
              </w:rPr>
              <w:t>壹万叁仟元</w:t>
            </w:r>
            <w:r>
              <w:rPr>
                <w:rFonts w:hint="eastAsia" w:ascii="仿宋" w:hAnsi="仿宋" w:eastAsia="仿宋" w:cs="仿宋"/>
                <w:b/>
                <w:bCs w:val="0"/>
                <w:sz w:val="24"/>
                <w:highlight w:val="none"/>
              </w:rPr>
              <w:t>整</w:t>
            </w:r>
            <w:r>
              <w:rPr>
                <w:rFonts w:hint="eastAsia" w:ascii="仿宋" w:hAnsi="仿宋" w:eastAsia="仿宋" w:cs="仿宋"/>
                <w:b w:val="0"/>
                <w:bCs/>
                <w:sz w:val="24"/>
                <w:highlight w:val="none"/>
              </w:rPr>
              <w:t>。</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2、磋商保证金交纳方式：供应商可自主选择以银行网银转账、支票、汇票、本票、保函等非现金形式交纳或提交磋商保证金。</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3、请供应商按规定时间</w:t>
            </w:r>
            <w:r>
              <w:rPr>
                <w:rFonts w:hint="eastAsia" w:ascii="仿宋" w:hAnsi="仿宋" w:eastAsia="仿宋" w:cs="仿宋"/>
                <w:b w:val="0"/>
                <w:bCs/>
                <w:color w:val="auto"/>
                <w:sz w:val="24"/>
                <w:highlight w:val="none"/>
              </w:rPr>
              <w:t>（202</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lang w:val="en-US" w:eastAsia="zh-CN"/>
              </w:rPr>
              <w:t>03</w:t>
            </w:r>
            <w:r>
              <w:rPr>
                <w:rFonts w:hint="eastAsia" w:ascii="仿宋" w:hAnsi="仿宋" w:eastAsia="仿宋" w:cs="仿宋"/>
                <w:b w:val="0"/>
                <w:bCs/>
                <w:color w:val="auto"/>
                <w:sz w:val="24"/>
                <w:highlight w:val="none"/>
              </w:rPr>
              <w:t>月</w:t>
            </w:r>
            <w:r>
              <w:rPr>
                <w:rFonts w:hint="eastAsia" w:ascii="仿宋" w:hAnsi="仿宋" w:eastAsia="仿宋" w:cs="仿宋"/>
                <w:b w:val="0"/>
                <w:bCs/>
                <w:color w:val="auto"/>
                <w:sz w:val="24"/>
                <w:highlight w:val="none"/>
                <w:lang w:val="en-US" w:eastAsia="zh-CN"/>
              </w:rPr>
              <w:t>09</w:t>
            </w:r>
            <w:r>
              <w:rPr>
                <w:rFonts w:hint="eastAsia" w:ascii="仿宋" w:hAnsi="仿宋" w:eastAsia="仿宋" w:cs="仿宋"/>
                <w:b w:val="0"/>
                <w:bCs/>
                <w:color w:val="auto"/>
                <w:sz w:val="24"/>
                <w:highlight w:val="none"/>
              </w:rPr>
              <w:t>日</w:t>
            </w:r>
            <w:r>
              <w:rPr>
                <w:rFonts w:hint="eastAsia" w:ascii="仿宋" w:hAnsi="仿宋" w:eastAsia="仿宋" w:cs="仿宋"/>
                <w:b w:val="0"/>
                <w:bCs/>
                <w:color w:val="auto"/>
                <w:sz w:val="24"/>
                <w:highlight w:val="none"/>
                <w:lang w:val="en-US" w:eastAsia="zh-CN"/>
              </w:rPr>
              <w:t>下午14</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0前）</w:t>
            </w:r>
            <w:r>
              <w:rPr>
                <w:rFonts w:hint="eastAsia" w:ascii="仿宋" w:hAnsi="仿宋" w:eastAsia="仿宋" w:cs="仿宋"/>
                <w:b w:val="0"/>
                <w:bCs/>
                <w:sz w:val="24"/>
                <w:highlight w:val="none"/>
              </w:rPr>
              <w:t>和方式提交保证金，避免银行退票等原因出现保证金未按时到账等情况影响正常投标。请务必在转账时在摘要处注明：项目编号，同时请次日电话查询是否到账：029-875923</w:t>
            </w:r>
            <w:bookmarkStart w:id="95" w:name="_GoBack"/>
            <w:bookmarkEnd w:id="95"/>
            <w:r>
              <w:rPr>
                <w:rFonts w:hint="eastAsia" w:ascii="仿宋" w:hAnsi="仿宋" w:eastAsia="仿宋" w:cs="仿宋"/>
                <w:b w:val="0"/>
                <w:bCs/>
                <w:sz w:val="24"/>
                <w:highlight w:val="none"/>
              </w:rPr>
              <w:t xml:space="preserve">22。 </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4、供应商未按照竞争性磋商文件要求提交保证金的，磋商响应文件无效。磋商保证金提交以到账时间为准。</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rPr>
            </w:pPr>
            <w:r>
              <w:rPr>
                <w:rFonts w:hint="eastAsia" w:ascii="仿宋" w:hAnsi="仿宋" w:eastAsia="仿宋" w:cs="仿宋"/>
                <w:b/>
                <w:bCs w:val="0"/>
                <w:sz w:val="24"/>
                <w:highlight w:val="none"/>
              </w:rPr>
              <w:t>备注：以保函形式提交</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保证金的，</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40"/>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40"/>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40"/>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40"/>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40"/>
              <w:spacing w:line="560" w:lineRule="exact"/>
              <w:ind w:firstLine="0" w:firstLineChars="0"/>
              <w:rPr>
                <w:rFonts w:hint="eastAsia" w:ascii="楷体" w:hAnsi="楷体" w:eastAsia="楷体" w:cs="楷体"/>
                <w:sz w:val="24"/>
                <w:szCs w:val="24"/>
                <w:highlight w:val="none"/>
                <w:lang w:val="en-US" w:eastAsia="zh-CN"/>
              </w:rPr>
            </w:pPr>
          </w:p>
          <w:p>
            <w:pPr>
              <w:pStyle w:val="40"/>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中信</w:t>
            </w:r>
            <w:r>
              <w:rPr>
                <w:rFonts w:hint="eastAsia" w:ascii="仿宋" w:hAnsi="仿宋" w:eastAsia="仿宋" w:cs="仿宋"/>
                <w:sz w:val="24"/>
                <w:szCs w:val="24"/>
                <w:highlight w:val="none"/>
              </w:rPr>
              <w:t>银行：</w:t>
            </w:r>
            <w:r>
              <w:rPr>
                <w:rFonts w:hint="eastAsia" w:ascii="仿宋" w:hAnsi="仿宋" w:eastAsia="仿宋" w:cs="仿宋"/>
                <w:b/>
                <w:bCs/>
                <w:sz w:val="24"/>
                <w:szCs w:val="24"/>
                <w:highlight w:val="none"/>
              </w:rPr>
              <w:t>磋商保证金</w:t>
            </w:r>
            <w:r>
              <w:rPr>
                <w:rFonts w:hint="eastAsia" w:ascii="仿宋" w:hAnsi="仿宋" w:eastAsia="仿宋" w:cs="仿宋"/>
                <w:sz w:val="24"/>
                <w:szCs w:val="24"/>
                <w:highlight w:val="none"/>
              </w:rPr>
              <w:t>（交纳专户）</w:t>
            </w:r>
          </w:p>
          <w:p>
            <w:pPr>
              <w:pStyle w:val="4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账号：8111701011900609835</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开户行：中信银行西安朱雀南路支行</w:t>
            </w:r>
          </w:p>
          <w:p>
            <w:pPr>
              <w:pStyle w:val="40"/>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注:标书费</w:t>
            </w:r>
            <w:r>
              <w:rPr>
                <w:rFonts w:hint="eastAsia" w:ascii="仿宋" w:hAnsi="仿宋" w:eastAsia="仿宋" w:cs="仿宋"/>
                <w:b/>
                <w:sz w:val="24"/>
                <w:szCs w:val="24"/>
                <w:highlight w:val="none"/>
                <w:lang w:eastAsia="zh-CN"/>
              </w:rPr>
              <w:t>可以采用转账</w:t>
            </w:r>
            <w:r>
              <w:rPr>
                <w:rFonts w:hint="eastAsia" w:ascii="仿宋" w:hAnsi="仿宋" w:eastAsia="仿宋" w:cs="仿宋"/>
                <w:b/>
                <w:sz w:val="24"/>
                <w:szCs w:val="24"/>
                <w:highlight w:val="none"/>
              </w:rPr>
              <w:t>、现金形式交纳</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招标服务费、保证金仅限于通过对公账户以转账形式交纳。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本项目为交钥匙项目。</w:t>
            </w:r>
            <w:r>
              <w:rPr>
                <w:rFonts w:hint="eastAsia" w:ascii="仿宋" w:hAnsi="仿宋" w:eastAsia="仿宋" w:cs="仿宋"/>
                <w:color w:val="auto"/>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2"/>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2"/>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eastAsia="zh-CN"/>
              </w:rPr>
              <w:t>商务</w:t>
            </w:r>
            <w:r>
              <w:rPr>
                <w:rFonts w:hint="default" w:ascii="仿宋" w:hAnsi="仿宋" w:eastAsia="仿宋" w:cs="仿宋"/>
                <w:color w:val="auto"/>
                <w:kern w:val="2"/>
                <w:sz w:val="24"/>
                <w:szCs w:val="24"/>
                <w:highlight w:val="none"/>
                <w:lang w:val="en-US" w:eastAsia="zh-CN"/>
              </w:rPr>
              <w:t>服务业</w:t>
            </w:r>
          </w:p>
        </w:tc>
      </w:tr>
    </w:tbl>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24776"/>
      <w:bookmarkStart w:id="5" w:name="_Toc458848734"/>
      <w:bookmarkStart w:id="6" w:name="_Toc458848967"/>
      <w:bookmarkStart w:id="7" w:name="_Toc458848819"/>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968"/>
      <w:bookmarkStart w:id="9" w:name="_Toc458848735"/>
      <w:bookmarkStart w:id="10" w:name="_Toc458848820"/>
      <w:bookmarkStart w:id="11" w:name="_Toc1600"/>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w:t>
      </w:r>
      <w:r>
        <w:rPr>
          <w:rFonts w:hint="eastAsia" w:ascii="仿宋" w:hAnsi="仿宋" w:eastAsia="仿宋" w:cs="仿宋"/>
          <w:color w:val="000000" w:themeColor="text1"/>
          <w:sz w:val="24"/>
          <w:highlight w:val="none"/>
          <w:lang w:val="en-US" w:eastAsia="zh-CN"/>
          <w14:textFill>
            <w14:solidFill>
              <w14:schemeClr w14:val="tx1"/>
            </w14:solidFill>
          </w14:textFill>
        </w:rPr>
        <w:t>19</w:t>
      </w:r>
      <w:r>
        <w:rPr>
          <w:rFonts w:hint="eastAsia" w:ascii="仿宋" w:hAnsi="仿宋" w:eastAsia="仿宋" w:cs="仿宋"/>
          <w:color w:val="000000" w:themeColor="text1"/>
          <w:sz w:val="24"/>
          <w:highlight w:val="none"/>
          <w:lang w:eastAsia="zh-CN"/>
          <w14:textFill>
            <w14:solidFill>
              <w14:schemeClr w14:val="tx1"/>
            </w14:solidFill>
          </w14:textFill>
        </w:rPr>
        <w:t>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4-9、质量保证（格式）</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4-10、服务承诺及合理化建议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4"/>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458848969"/>
      <w:bookmarkStart w:id="14" w:name="_Toc3854"/>
      <w:bookmarkStart w:id="15" w:name="_Toc458848821"/>
      <w:bookmarkStart w:id="16" w:name="_Toc458848736"/>
      <w:bookmarkStart w:id="17" w:name="_Toc14492"/>
      <w:bookmarkStart w:id="18" w:name="_Toc458848822"/>
      <w:bookmarkStart w:id="19" w:name="_Toc458848970"/>
      <w:bookmarkStart w:id="20" w:name="_Toc5793"/>
      <w:bookmarkStart w:id="21" w:name="_Toc458848737"/>
      <w:r>
        <w:rPr>
          <w:rFonts w:hint="eastAsia" w:ascii="仿宋" w:hAnsi="仿宋" w:eastAsia="仿宋" w:cs="仿宋"/>
          <w:color w:val="auto"/>
          <w:kern w:val="0"/>
          <w:sz w:val="28"/>
          <w:szCs w:val="28"/>
          <w:highlight w:val="none"/>
        </w:rPr>
        <w:t>五、磋商担保</w:t>
      </w:r>
      <w:bookmarkEnd w:id="13"/>
      <w:bookmarkEnd w:id="14"/>
      <w:bookmarkEnd w:id="15"/>
      <w:bookmarkEnd w:id="16"/>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未在磋商担保递交截止时间收到足额磋商保证金或有效磋商担保函的，或未在磋商响应文件中附磋商担保凭证的，其磋商响应文件无效。</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磋商响应</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书面撤回通知之日起5个工作日内退还（无息）。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通知书发出后5个工作日内退还（无息）。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保证金，将在签订合同后5个工作日内执合同予以退还（无息）。（</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）若招标终止，采购代理机构将在发布招标终止公告后5个工作日内退还</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保证金（无息）。</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u w:val="single"/>
        </w:rPr>
        <w:t>供应商提供虚假资质谋取成交的；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u w:val="single"/>
        </w:rPr>
        <w:t>供应商有围标、串标现象，经查证属实的；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u w:val="single"/>
        </w:rPr>
        <w:t>供应商在竞争性磋商文件规定的磋商响应有效期内撤回磋商响应文件的；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u w:val="single"/>
        </w:rPr>
        <w:t>供应商自行放弃磋商资格而未在磋商会议前一天以书面形式告知采购代理机构的；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u w:val="single"/>
        </w:rPr>
        <w:t>供应商自行放弃成交资格的；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u w:val="single"/>
        </w:rPr>
        <w:t>成交供应商不在规定的时效内领取《成交通知书》的；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u w:val="single"/>
        </w:rPr>
        <w:t>成交供应商不按规定支付招标服务费的；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auto"/>
          <w:sz w:val="24"/>
          <w:highlight w:val="none"/>
        </w:rPr>
        <w:t>5-8、</w:t>
      </w:r>
      <w:r>
        <w:rPr>
          <w:rFonts w:hint="eastAsia" w:ascii="仿宋" w:hAnsi="仿宋" w:eastAsia="仿宋" w:cs="仿宋"/>
          <w:color w:val="auto"/>
          <w:sz w:val="24"/>
          <w:highlight w:val="none"/>
          <w:u w:val="single"/>
        </w:rPr>
        <w:t>成交供应商因自身原因未能在规定期限内与采购人签订合同的；</w:t>
      </w:r>
      <w:bookmarkEnd w:id="17"/>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1-1、供应商应按规定的时间、地点，于磋商截止时间前递交竞争性磋商响应文件、必备资质文件；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、供应商在规定的磋商截止时间后递交磋商响应文件、必备资质文件，将被拒收。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40"/>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40"/>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40"/>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40"/>
        <w:spacing w:line="560" w:lineRule="exact"/>
        <w:ind w:firstLine="48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kern w:val="2"/>
          <w:sz w:val="24"/>
          <w:szCs w:val="24"/>
          <w:highlight w:val="none"/>
        </w:rPr>
        <w:t>5-6、不同供应商的磋商保证金从同一单位或者个人的账户转出。</w:t>
      </w:r>
    </w:p>
    <w:p>
      <w:pPr>
        <w:pStyle w:val="40"/>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458848823"/>
      <w:bookmarkStart w:id="23" w:name="_Toc458848738"/>
      <w:bookmarkStart w:id="24" w:name="_Toc10685"/>
      <w:bookmarkStart w:id="25" w:name="_Toc23636"/>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磋商会议结束后，</w:t>
      </w:r>
      <w:r>
        <w:rPr>
          <w:rFonts w:hint="eastAsia" w:ascii="仿宋" w:hAnsi="仿宋" w:eastAsia="仿宋" w:cs="仿宋"/>
          <w:b/>
          <w:color w:val="000000" w:themeColor="text1"/>
          <w:sz w:val="24"/>
          <w:highlight w:val="none"/>
          <w:lang w:eastAsia="zh-CN"/>
          <w14:textFill>
            <w14:solidFill>
              <w14:schemeClr w14:val="tx1"/>
            </w14:solidFill>
          </w14:textFill>
        </w:rPr>
        <w:t>由采购人</w:t>
      </w:r>
      <w:r>
        <w:rPr>
          <w:rFonts w:hint="eastAsia" w:ascii="仿宋" w:hAnsi="仿宋" w:eastAsia="仿宋" w:cs="仿宋"/>
          <w:b/>
          <w:color w:val="000000" w:themeColor="text1"/>
          <w:sz w:val="24"/>
          <w:highlight w:val="none"/>
          <w14:textFill>
            <w14:solidFill>
              <w14:schemeClr w14:val="tx1"/>
            </w14:solidFill>
          </w14:textFill>
        </w:rPr>
        <w:t>依法对供应商的资格进行审查，缺项或一项不符合要求即</w:t>
      </w:r>
      <w:r>
        <w:rPr>
          <w:rFonts w:hint="eastAsia" w:ascii="仿宋" w:hAnsi="仿宋" w:eastAsia="仿宋" w:cs="仿宋"/>
          <w:b/>
          <w:color w:val="000000" w:themeColor="text1"/>
          <w:sz w:val="24"/>
          <w:highlight w:val="none"/>
          <w:lang w:eastAsia="zh-CN"/>
          <w14:textFill>
            <w14:solidFill>
              <w14:schemeClr w14:val="tx1"/>
            </w14:solidFill>
          </w14:textFill>
        </w:rPr>
        <w:t>不合格，不合格的供应商其响应无效。资格证明文件须装订在每份</w:t>
      </w:r>
      <w:r>
        <w:rPr>
          <w:rFonts w:hint="eastAsia" w:ascii="仿宋" w:hAnsi="仿宋" w:eastAsia="仿宋" w:cs="仿宋"/>
          <w:b/>
          <w:color w:val="000000" w:themeColor="text1"/>
          <w:sz w:val="24"/>
          <w:highlight w:val="none"/>
          <w:lang w:val="en-US" w:eastAsia="zh-CN"/>
          <w14:textFill>
            <w14:solidFill>
              <w14:schemeClr w14:val="tx1"/>
            </w14:solidFill>
          </w14:textFill>
        </w:rPr>
        <w:t>响应</w:t>
      </w:r>
      <w:r>
        <w:rPr>
          <w:rFonts w:hint="eastAsia" w:ascii="仿宋" w:hAnsi="仿宋" w:eastAsia="仿宋" w:cs="仿宋"/>
          <w:b/>
          <w:color w:val="000000" w:themeColor="text1"/>
          <w:sz w:val="24"/>
          <w:highlight w:val="none"/>
          <w:lang w:eastAsia="zh-CN"/>
          <w14:textFill>
            <w14:solidFill>
              <w14:schemeClr w14:val="tx1"/>
            </w14:solidFill>
          </w14:textFill>
        </w:rPr>
        <w:t>文件中。资格审查以</w:t>
      </w:r>
      <w:r>
        <w:rPr>
          <w:rFonts w:hint="eastAsia" w:ascii="仿宋" w:hAnsi="仿宋" w:eastAsia="仿宋" w:cs="仿宋"/>
          <w:b/>
          <w:color w:val="000000" w:themeColor="text1"/>
          <w:sz w:val="24"/>
          <w:highlight w:val="none"/>
          <w:lang w:val="en-US" w:eastAsia="zh-CN"/>
          <w14:textFill>
            <w14:solidFill>
              <w14:schemeClr w14:val="tx1"/>
            </w14:solidFill>
          </w14:textFill>
        </w:rPr>
        <w:t>响应</w:t>
      </w:r>
      <w:r>
        <w:rPr>
          <w:rFonts w:hint="eastAsia" w:ascii="仿宋" w:hAnsi="仿宋" w:eastAsia="仿宋" w:cs="仿宋"/>
          <w:b/>
          <w:color w:val="000000" w:themeColor="text1"/>
          <w:sz w:val="24"/>
          <w:highlight w:val="none"/>
          <w:lang w:eastAsia="zh-CN"/>
          <w14:textFill>
            <w14:solidFill>
              <w14:schemeClr w14:val="tx1"/>
            </w14:solidFill>
          </w14:textFill>
        </w:rPr>
        <w:t>文件“正本”为准</w:t>
      </w:r>
      <w:r>
        <w:rPr>
          <w:rFonts w:hint="eastAsia" w:ascii="仿宋" w:hAnsi="仿宋" w:eastAsia="仿宋" w:cs="仿宋"/>
          <w:b/>
          <w:color w:val="000000" w:themeColor="text1"/>
          <w:sz w:val="24"/>
          <w:highlight w:val="none"/>
          <w14:textFill>
            <w14:solidFill>
              <w14:schemeClr w14:val="tx1"/>
            </w14:solidFill>
          </w14:textFill>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1"/>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对于专门面向中小企业采购的项目或者采购包,不再执行价格评审优惠的扶持政策</w:t>
            </w:r>
            <w:r>
              <w:rPr>
                <w:rFonts w:hint="default"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p>
            <w:pPr>
              <w:shd w:val="clear" w:color="auto" w:fill="auto"/>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响应</w:t>
            </w:r>
          </w:p>
        </w:tc>
        <w:tc>
          <w:tcPr>
            <w:tcW w:w="843" w:type="dxa"/>
            <w:noWrap w:val="0"/>
            <w:vAlign w:val="center"/>
          </w:tcPr>
          <w:p>
            <w:pPr>
              <w:shd w:val="clear" w:color="auto" w:fill="auto"/>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rPr>
              <w:t>分</w:t>
            </w:r>
          </w:p>
        </w:tc>
        <w:tc>
          <w:tcPr>
            <w:tcW w:w="7554"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1.策划方案结合当地人文特色，创意新颖，构思严谨，特色鲜明，全面（3-6]分，一般[1-3]分，未提供不得分；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2.布展大纲文案策划及展项策划符合展示馆形式与特点全面（3-6]分，一般[1-3]分，未提供不得分；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3.展区各展项内容连贯、展区逻辑关系契合展览脉络，全面（3-6]分，一般[1-3]分，未提供不得分；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4.设计思路贴合主题，满足展示馆设计方案的深化和实施要求全面（3-6]分，一般[1-3]分，未提供不得分；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5.展区布局合理，层次分明，重点展示内容，全面（3-6]分，一般[1-3]分，未提供不得分；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6.展厅环境设计能与展厅建筑、展品、辅助展示装置协调统一，全面（3-5]分，一般[1-3]分，未提供不得分；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7.采用新材料、新工艺、新技术和声光电、多媒体等高科技手段，全面（3-5]分，一般[1-3]分，未提供不得分；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8.功能满足，围绕采购内容及需求，各功能区功能设计合理齐全，细节考虑全面（3-5]分，一般[1-3]分，未提供不得分；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人员配备</w:t>
            </w:r>
          </w:p>
        </w:tc>
        <w:tc>
          <w:tcPr>
            <w:tcW w:w="843" w:type="dxa"/>
            <w:noWrap w:val="0"/>
            <w:vAlign w:val="center"/>
          </w:tcPr>
          <w:p>
            <w:pPr>
              <w:shd w:val="clear" w:color="auto" w:fill="auto"/>
              <w:spacing w:line="5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15分</w:t>
            </w:r>
          </w:p>
        </w:tc>
        <w:tc>
          <w:tcPr>
            <w:tcW w:w="7554" w:type="dxa"/>
            <w:noWrap w:val="0"/>
            <w:vAlign w:val="top"/>
          </w:tcPr>
          <w:p>
            <w:pPr>
              <w:spacing w:line="540" w:lineRule="exact"/>
              <w:rPr>
                <w:rFonts w:hint="eastAsia" w:ascii="仿宋" w:hAnsi="仿宋" w:eastAsia="仿宋" w:cs="仿宋"/>
                <w:sz w:val="24"/>
                <w:highlight w:val="none"/>
              </w:rPr>
            </w:pPr>
            <w:r>
              <w:rPr>
                <w:rFonts w:hint="eastAsia" w:ascii="仿宋" w:hAnsi="仿宋" w:eastAsia="仿宋" w:cs="仿宋"/>
                <w:color w:val="auto"/>
                <w:sz w:val="24"/>
                <w:szCs w:val="24"/>
                <w:highlight w:val="none"/>
                <w:lang w:val="en-US" w:eastAsia="zh-CN"/>
              </w:rPr>
              <w:t>1、项目策划团队</w:t>
            </w:r>
            <w:r>
              <w:rPr>
                <w:rFonts w:hint="eastAsia" w:ascii="仿宋" w:hAnsi="仿宋" w:eastAsia="仿宋" w:cs="仿宋"/>
                <w:sz w:val="24"/>
                <w:highlight w:val="none"/>
              </w:rPr>
              <w:t>人员分工安排合理、职责划分明确，</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一般[1-3]分，未提供不得分。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highlight w:val="none"/>
              </w:rPr>
              <w:t>2、拟派项目负责人及项目组成人员资质优良，结合从业年限、工作经验等因素，</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2019年1月1日至今同类</w:t>
            </w:r>
            <w:r>
              <w:rPr>
                <w:rFonts w:hint="eastAsia" w:ascii="仿宋" w:hAnsi="仿宋" w:eastAsia="仿宋" w:cs="仿宋"/>
                <w:color w:val="auto"/>
                <w:sz w:val="24"/>
                <w:szCs w:val="24"/>
                <w:highlight w:val="none"/>
              </w:rPr>
              <w:t>项目业绩，每份计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分，计满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分为止</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需提供采购合同（含首页、服务内容、签字盖章页）复印件，否则业绩不予认可。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服务承诺及</w:t>
            </w:r>
            <w:r>
              <w:rPr>
                <w:rFonts w:hint="eastAsia" w:ascii="仿宋" w:hAnsi="仿宋" w:eastAsia="仿宋" w:cs="仿宋"/>
                <w:color w:val="auto"/>
                <w:sz w:val="24"/>
                <w:szCs w:val="24"/>
                <w:highlight w:val="none"/>
                <w:lang w:eastAsia="zh-CN"/>
              </w:rPr>
              <w:t>合理化建议</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1、有具体可行的服务承诺，出现问题有可行性方案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2、有其他实质性承诺和合理化建议，评委认为有利于提高项目管理水平或降低项目实施成本的，根据其可行性和可信程度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14886425"/>
      <w:bookmarkStart w:id="30" w:name="_Toc22138"/>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493074178"/>
      <w:bookmarkStart w:id="33" w:name="_Toc24945"/>
      <w:bookmarkStart w:id="34" w:name="_Toc494556650"/>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highlight w:val="none"/>
        </w:rPr>
      </w:pPr>
      <w:bookmarkStart w:id="36" w:name="_Toc458848826"/>
      <w:bookmarkStart w:id="37" w:name="_Toc458848741"/>
      <w:bookmarkStart w:id="38" w:name="_Toc458848974"/>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2、招标服务费应采用转账形式交纳。</w:t>
      </w:r>
    </w:p>
    <w:p>
      <w:pPr>
        <w:tabs>
          <w:tab w:val="left" w:pos="2700"/>
        </w:tabs>
        <w:spacing w:line="560" w:lineRule="exact"/>
        <w:ind w:firstLine="480" w:firstLineChars="200"/>
        <w:rPr>
          <w:rFonts w:hint="eastAsia"/>
          <w:highlight w:val="none"/>
        </w:rPr>
      </w:pPr>
      <w:r>
        <w:rPr>
          <w:rFonts w:hint="eastAsia" w:ascii="仿宋" w:hAnsi="仿宋" w:eastAsia="仿宋" w:cs="仿宋"/>
          <w:sz w:val="24"/>
          <w:highlight w:val="none"/>
        </w:rPr>
        <w:t>3、成交供应商如未按上述第1条规定办理，采购代理机构将没收其磋商保证金。提供</w:t>
      </w:r>
      <w:r>
        <w:rPr>
          <w:rFonts w:hint="eastAsia" w:ascii="仿宋" w:hAnsi="仿宋" w:eastAsia="仿宋" w:cs="仿宋"/>
          <w:sz w:val="24"/>
          <w:highlight w:val="none"/>
          <w:lang w:eastAsia="zh-CN"/>
        </w:rPr>
        <w:t>磋商</w:t>
      </w:r>
      <w:r>
        <w:rPr>
          <w:rFonts w:hint="eastAsia" w:ascii="仿宋" w:hAnsi="仿宋" w:eastAsia="仿宋" w:cs="仿宋"/>
          <w:sz w:val="24"/>
          <w:highlight w:val="none"/>
        </w:rPr>
        <w:t>担保的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将由专业担保机构先行偿付采购代理机构损失。</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975"/>
      <w:bookmarkStart w:id="41" w:name="_Toc458848827"/>
      <w:bookmarkStart w:id="42" w:name="_Toc458848742"/>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pageBreakBefore w:val="0"/>
        <w:wordWrap/>
        <w:topLinePunct w:val="0"/>
        <w:bidi w:val="0"/>
        <w:spacing w:before="0" w:after="0" w:line="560" w:lineRule="exact"/>
        <w:rPr>
          <w:rFonts w:hint="eastAsia" w:ascii="仿宋" w:hAnsi="仿宋" w:eastAsia="仿宋" w:cs="仿宋"/>
          <w:b/>
          <w:bCs/>
          <w:sz w:val="28"/>
          <w:szCs w:val="28"/>
          <w:highlight w:val="none"/>
          <w:lang w:val="en-US" w:eastAsia="zh-CN"/>
        </w:rPr>
      </w:pPr>
      <w:bookmarkStart w:id="43" w:name="_Toc4301"/>
      <w:bookmarkStart w:id="44" w:name="_Toc15549"/>
      <w:r>
        <w:rPr>
          <w:rFonts w:hint="eastAsia" w:ascii="仿宋" w:hAnsi="仿宋" w:eastAsia="仿宋" w:cs="仿宋"/>
          <w:b/>
          <w:bCs/>
          <w:sz w:val="28"/>
          <w:szCs w:val="28"/>
          <w:highlight w:val="none"/>
          <w:lang w:val="en-US" w:eastAsia="zh-CN"/>
        </w:rPr>
        <w:t>十二、特殊情形的处理</w:t>
      </w:r>
      <w:bookmarkEnd w:id="43"/>
    </w:p>
    <w:p>
      <w:pPr>
        <w:pageBreakBefore w:val="0"/>
        <w:wordWrap/>
        <w:topLinePunct w:val="0"/>
        <w:bidi w:val="0"/>
        <w:spacing w:line="56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根据陕西省财政厅关于政府采购信息公告有关事项的通知（陕财办采资〔2018〕26号），参加采购活动或符合采购需求的供应商只有一家，经评审专家审核认为采购文件没有倾向性、歧视性条款，采购人不改变采购需求，拟采用单一来源方式采购的，可以现场自行决定采用，不再进行公示。</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4"/>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5" w:name="_Toc458848828"/>
      <w:bookmarkStart w:id="46" w:name="_Toc458848743"/>
      <w:bookmarkStart w:id="47" w:name="_Toc458848976"/>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康工</w:t>
      </w:r>
      <w:r>
        <w:rPr>
          <w:rFonts w:hint="eastAsia" w:ascii="仿宋" w:hAnsi="仿宋" w:eastAsia="仿宋" w:cs="仿宋"/>
          <w:color w:val="000000" w:themeColor="text1"/>
          <w:sz w:val="24"/>
          <w:highlight w:val="none"/>
          <w14:textFill>
            <w14:solidFill>
              <w14:schemeClr w14:val="tx1"/>
            </w14:solidFill>
          </w14:textFill>
        </w:rPr>
        <w:t>，联系方式：029-87592321，地址：华招广和项目管理有限公司（西安市朱雀大街南段1号汇成天玺C座18层1812室）。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40"/>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蒲城县财政局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8"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5"/>
      <w:bookmarkEnd w:id="46"/>
      <w:bookmarkEnd w:id="47"/>
      <w:bookmarkEnd w:id="48"/>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3"/>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9"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9"/>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王鼎纪念馆，现属省级文物保护单位、全国第二批免费开放单位和国家AAA级旅游景区，系1997年建成开放，陈列内容和形式都非常简单。进入新世纪，王鼎纪念馆本身及所面临的社会环境都发生了巨大变化。政府对博物馆纪念馆的重视前所未有，社会对博物馆纪念馆的关注度空前高涨，观众和游客对博物馆纪念馆的需求日益多元。加之以弘扬廉政文化、文旅融合为契机，落实渭南市“一轴四点”工程的王鼎相国府的建设实施，王鼎纪念馆的规模也在扩大。</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在这种情况下，王鼎纪念馆陈列的提升改造显得特别重要，也特别地具有挑战性。</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一、设计内容</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王鼎廉政教育基地约900平米，王鼎纪念馆约830平米；建筑面积共约1400余平方。</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本次设计为总体设计，包括陈列大纲、概念形式设计方案、项目概算表。</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提交设计成果要求：策划方案、文本大纲、室内设计成果方案、施工图（本项目设计不包含安防、消防图纸）。</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二、设计依据</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1、《中华人民共和国文物保护法》</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2、《中华人民共和国环境保护法》</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3、《陕西省文物保护管理条例》</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三、陈列大纲设计要求</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1、内容设计：定位准确，主题鲜明，体系完整，结构合理，重点突出；</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2、展品组织：文物、标本的选择及数量与内容适配，展品组合科学合理；</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3、辅展设计：各类辅助展品围绕展览主题与重点内容、重点文物组织设计，内容丰富，形式多样，配置合理，数量适当；</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4、文字说明：简明扼要，重点突出，层次清晰，详实准确，雅俗共赏；</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5、设计特色：理念创新，突出历史时代特点和地域文化特色，突出思想性、科学性、知识性、趣味性、独特性。</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四、图纸形式设计要求</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1、设计内容。包括空间布局、展线动线、序厅、分项、重点、艺术品多媒体等；</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2、设计标准。设计理念科学、独到，创新性强；合理利用现代科技手段和艺术成果；展示方式灵活多样，以人为本，含参与、互动、体验项目，趣味性强。力争达到国内一流水平。</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3、设计风格。形式与内容协调统一，雅俗共赏。艺术风格鲜明，体现雄浑大气，精妙雅致。适当结合地域风格、时代特点、当地建筑风格。</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4、空间规划。与内容设计对位准确、相互协调，空间规划合理，流线顺畅，设计要素全面，重点突出；</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5、展线要求。展线设计流畅合理，符合观众参观习惯，便于观众流通，便于值勤人员守卫，便于安全保卫和消防设施系统运转；</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6、分项设计。分项设计全面、合理、细致；图文版面设计科学合理、层次清晰；艺术品、多媒体概念设计方案。</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7、展览设备。体现科技含量，适当运用数字化展示设备。展柜、锁具、展具、灯具、电源等基本硬件，要求坚固美观，安全防火。材料选择体现文保、环保、现代性和超前性。</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8、照明设计。展厅为全封闭型，以人工照明为主，充分采用先进的科技手段及设施。照明设计科学合理，符合文物保护要求，避免眩光。</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9、色彩要求。整体基调统一，局部相应变化，细部色彩运用灵活，与内容统一协调。色调稳重大方，为大多数观众所接受。</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10、音响要求。展厅内根据特定内容可适当配置音响，起到渲染气氛作用。要求音响清晰，音量适度，不影响讲解和参观。</w:t>
      </w:r>
    </w:p>
    <w:p>
      <w:pPr>
        <w:spacing w:line="480" w:lineRule="auto"/>
        <w:ind w:firstLine="480" w:firstLineChars="20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11、设计以人为本，充分考虑观众休息设施的配置。</w:t>
      </w:r>
    </w:p>
    <w:p>
      <w:pPr>
        <w:keepNext/>
        <w:keepLines/>
        <w:pageBreakBefore w:val="0"/>
        <w:widowControl w:val="0"/>
        <w:kinsoku/>
        <w:wordWrap/>
        <w:overflowPunct/>
        <w:topLinePunct w:val="0"/>
        <w:autoSpaceDE/>
        <w:autoSpaceDN/>
        <w:bidi w:val="0"/>
        <w:adjustRightInd/>
        <w:snapToGrid/>
        <w:spacing w:before="0" w:after="0" w:line="560" w:lineRule="exact"/>
        <w:ind w:firstLine="420" w:firstLineChars="200"/>
        <w:jc w:val="both"/>
        <w:textAlignment w:val="auto"/>
        <w:outlineLvl w:val="9"/>
        <w:rPr>
          <w:rFonts w:hint="eastAsia" w:ascii="仿宋" w:hAnsi="仿宋" w:eastAsia="仿宋" w:cs="仿宋"/>
          <w:color w:val="000000" w:themeColor="text1"/>
          <w:kern w:val="0"/>
          <w:highlight w:val="none"/>
          <w14:textFill>
            <w14:solidFill>
              <w14:schemeClr w14:val="tx1"/>
            </w14:solidFill>
          </w14:textFill>
        </w:rPr>
      </w:pPr>
    </w:p>
    <w:p>
      <w:pPr>
        <w:pStyle w:val="13"/>
        <w:rPr>
          <w:rFonts w:hint="eastAsia"/>
          <w:highlight w:val="none"/>
        </w:rPr>
      </w:pPr>
    </w:p>
    <w:p>
      <w:pPr>
        <w:rPr>
          <w:rFonts w:hint="eastAsia" w:ascii="仿宋" w:hAnsi="仿宋" w:eastAsia="仿宋" w:cs="仿宋"/>
          <w:color w:val="000000" w:themeColor="text1"/>
          <w:kern w:val="0"/>
          <w:highlight w:val="none"/>
          <w14:textFill>
            <w14:solidFill>
              <w14:schemeClr w14:val="tx1"/>
            </w14:solidFill>
          </w14:textFill>
        </w:rPr>
      </w:pPr>
      <w:bookmarkStart w:id="50" w:name="_Toc21581"/>
      <w:r>
        <w:rPr>
          <w:rFonts w:hint="eastAsia" w:ascii="仿宋" w:hAnsi="仿宋" w:eastAsia="仿宋" w:cs="仿宋"/>
          <w:color w:val="000000" w:themeColor="text1"/>
          <w:kern w:val="0"/>
          <w:highlight w:val="none"/>
          <w14:textFill>
            <w14:solidFill>
              <w14:schemeClr w14:val="tx1"/>
            </w14:solidFill>
          </w14:textFill>
        </w:rPr>
        <w:br w:type="page"/>
      </w:r>
    </w:p>
    <w:p>
      <w:pPr>
        <w:pStyle w:val="3"/>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50"/>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1" w:name="_Toc167712839"/>
      <w:bookmarkStart w:id="52" w:name="_Toc167715234"/>
      <w:bookmarkStart w:id="53" w:name="_Toc167714037"/>
    </w:p>
    <w:bookmarkEnd w:id="51"/>
    <w:bookmarkEnd w:id="52"/>
    <w:bookmarkEnd w:id="53"/>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自合同签订之日起60天内服务完毕</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bookmarkStart w:id="54" w:name="_Toc167714041"/>
      <w:bookmarkStart w:id="55" w:name="_Toc167715238"/>
      <w:bookmarkStart w:id="56" w:name="_Toc167712843"/>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合同签订后支付合同总金额的40%，剩余价款在项目验收合格无争议后一次性付清。</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7" w:name="_Toc167715264"/>
      <w:bookmarkStart w:id="58" w:name="_Toc167714067"/>
      <w:bookmarkStart w:id="59" w:name="_Toc167712869"/>
    </w:p>
    <w:bookmarkEnd w:id="57"/>
    <w:bookmarkEnd w:id="58"/>
    <w:bookmarkEnd w:id="59"/>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4"/>
      <w:bookmarkEnd w:id="55"/>
      <w:bookmarkEnd w:id="56"/>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60" w:name="_Toc2890"/>
      <w:r>
        <w:rPr>
          <w:rStyle w:val="56"/>
          <w:rFonts w:hint="eastAsia" w:ascii="仿宋" w:hAnsi="仿宋" w:eastAsia="仿宋" w:cs="仿宋"/>
          <w:color w:val="000000" w:themeColor="text1"/>
          <w:highlight w:val="none"/>
          <w14:textFill>
            <w14:solidFill>
              <w14:schemeClr w14:val="tx1"/>
            </w14:solidFill>
          </w14:textFill>
        </w:rPr>
        <w:t>第五章  合同条款</w:t>
      </w:r>
      <w:bookmarkEnd w:id="60"/>
      <w:r>
        <w:rPr>
          <w:rStyle w:val="56"/>
          <w:rFonts w:hint="eastAsia" w:ascii="仿宋" w:hAnsi="仿宋" w:eastAsia="仿宋" w:cs="仿宋"/>
          <w:color w:val="000000" w:themeColor="text1"/>
          <w:highlight w:val="none"/>
          <w:lang w:eastAsia="zh-CN"/>
          <w14:textFill>
            <w14:solidFill>
              <w14:schemeClr w14:val="tx1"/>
            </w14:solidFill>
          </w14:textFill>
        </w:rPr>
        <w:t>（</w:t>
      </w:r>
      <w:r>
        <w:rPr>
          <w:rStyle w:val="56"/>
          <w:rFonts w:hint="eastAsia" w:ascii="仿宋" w:hAnsi="仿宋" w:eastAsia="仿宋" w:cs="仿宋"/>
          <w:color w:val="000000" w:themeColor="text1"/>
          <w:highlight w:val="none"/>
          <w:lang w:val="en-US" w:eastAsia="zh-CN"/>
          <w14:textFill>
            <w14:solidFill>
              <w14:schemeClr w14:val="tx1"/>
            </w14:solidFill>
          </w14:textFill>
        </w:rPr>
        <w:t>参考格式</w:t>
      </w:r>
      <w:r>
        <w:rPr>
          <w:rStyle w:val="56"/>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蒲城县王鼎相国府廉政教育基地布展设计采购项目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：HZGH-2023-006</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蒲城县财政局</w:t>
      </w:r>
      <w:r>
        <w:rPr>
          <w:rFonts w:hint="eastAsia" w:ascii="仿宋" w:hAnsi="仿宋" w:eastAsia="仿宋" w:cs="仿宋"/>
          <w:color w:val="000000" w:themeColor="text1"/>
          <w:sz w:val="24"/>
          <w:highlight w:val="none"/>
          <w14:textFill>
            <w14:solidFill>
              <w14:schemeClr w14:val="tx1"/>
            </w14:solidFill>
          </w14:textFill>
        </w:rPr>
        <w:t>的监督管理下，由华招广和项目管理有限公司组织竞争性磋商。</w:t>
      </w:r>
      <w:r>
        <w:rPr>
          <w:rFonts w:hint="eastAsia" w:ascii="仿宋" w:hAnsi="仿宋" w:eastAsia="仿宋" w:cs="仿宋"/>
          <w:color w:val="000000" w:themeColor="text1"/>
          <w:sz w:val="24"/>
          <w:highlight w:val="none"/>
          <w:lang w:eastAsia="zh-CN"/>
          <w14:textFill>
            <w14:solidFill>
              <w14:schemeClr w14:val="tx1"/>
            </w14:solidFill>
          </w14:textFill>
        </w:rPr>
        <w:t>蒲城县王鼎纪念馆</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1" w:name="_Toc188808831"/>
      <w:bookmarkStart w:id="62" w:name="_Toc194663916"/>
      <w:bookmarkStart w:id="63" w:name="_Toc193187095"/>
      <w:bookmarkStart w:id="64"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spacing w:line="560" w:lineRule="exact"/>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w:t>
      </w:r>
      <w:r>
        <w:rPr>
          <w:rFonts w:hint="eastAsia" w:ascii="仿宋" w:hAnsi="仿宋" w:eastAsia="仿宋" w:cs="仿宋"/>
          <w:color w:val="000000" w:themeColor="text1"/>
          <w:sz w:val="24"/>
          <w:highlight w:val="none"/>
          <w:lang w:val="en-US" w:eastAsia="zh-CN"/>
          <w14:textFill>
            <w14:solidFill>
              <w14:schemeClr w14:val="tx1"/>
            </w14:solidFill>
          </w14:textFill>
        </w:rPr>
        <w:t>售后服务及培训计划</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合同签订后支付合同总金额的40%，剩余价款在项目验收合格无争议后一次性付清。</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3"/>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1"/>
      <w:bookmarkEnd w:id="62"/>
      <w:bookmarkEnd w:id="63"/>
      <w:bookmarkEnd w:id="64"/>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bidi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spacing w:line="560" w:lineRule="exact"/>
        <w:ind w:firstLine="240" w:firstLineChars="100"/>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rPr>
          <w:rFonts w:hint="eastAsia" w:ascii="仿宋" w:hAnsi="仿宋" w:eastAsia="仿宋" w:cs="仿宋"/>
          <w:highlight w:val="none"/>
        </w:rPr>
      </w:pPr>
      <w:bookmarkStart w:id="65" w:name="_Toc32022"/>
      <w:r>
        <w:rPr>
          <w:rFonts w:hint="eastAsia" w:ascii="仿宋" w:hAnsi="仿宋" w:eastAsia="仿宋" w:cs="仿宋"/>
          <w:highlight w:val="none"/>
        </w:rPr>
        <w:br w:type="page"/>
      </w:r>
    </w:p>
    <w:p>
      <w:pPr>
        <w:pStyle w:val="3"/>
        <w:bidi w:val="0"/>
        <w:jc w:val="center"/>
        <w:rPr>
          <w:rFonts w:hint="eastAsia" w:ascii="仿宋" w:hAnsi="仿宋" w:eastAsia="仿宋" w:cs="仿宋"/>
          <w:highlight w:val="none"/>
        </w:rPr>
      </w:pPr>
      <w:r>
        <w:rPr>
          <w:rFonts w:hint="eastAsia" w:ascii="仿宋" w:hAnsi="仿宋" w:eastAsia="仿宋" w:cs="仿宋"/>
          <w:highlight w:val="none"/>
        </w:rPr>
        <w:t>第六章  竞争性磋商响应文件格式</w:t>
      </w:r>
      <w:bookmarkEnd w:id="65"/>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spacing w:line="560" w:lineRule="exact"/>
        <w:jc w:val="both"/>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HZGH-2023-006</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蒲城县王鼎相国府廉政教育基地布展设计</w:t>
      </w:r>
    </w:p>
    <w:p>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采购项目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9.质量保证（格式）</w:t>
      </w:r>
    </w:p>
    <w:p>
      <w:pPr>
        <w:spacing w:line="480" w:lineRule="auto"/>
        <w:ind w:firstLine="2551" w:firstLineChars="1063"/>
        <w:jc w:val="both"/>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服务承诺及合理化建议</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.《中小企业声明函》（格式）</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15.《监狱、戒毒企业声明函》（格式，若有）</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40"/>
        <w:ind w:firstLine="562"/>
        <w:rPr>
          <w:rFonts w:hint="eastAsia" w:ascii="仿宋" w:hAnsi="仿宋" w:eastAsia="仿宋" w:cs="仿宋"/>
          <w:b/>
          <w:color w:val="000000" w:themeColor="text1"/>
          <w:highlight w:val="none"/>
          <w14:textFill>
            <w14:solidFill>
              <w14:schemeClr w14:val="tx1"/>
            </w14:solidFill>
          </w14:textFill>
        </w:rPr>
      </w:pPr>
      <w:bookmarkStart w:id="66" w:name="_Toc193126882"/>
      <w:bookmarkStart w:id="67" w:name="_Toc193187098"/>
      <w:bookmarkStart w:id="68" w:name="_Toc194663919"/>
      <w:bookmarkStart w:id="69" w:name="_Toc188808834"/>
      <w:r>
        <w:rPr>
          <w:rFonts w:hint="eastAsia" w:ascii="仿宋" w:hAnsi="仿宋" w:eastAsia="仿宋" w:cs="仿宋"/>
          <w:b/>
          <w:color w:val="000000" w:themeColor="text1"/>
          <w:highlight w:val="none"/>
          <w14:textFill>
            <w14:solidFill>
              <w14:schemeClr w14:val="tx1"/>
            </w14:solidFill>
          </w14:textFill>
        </w:rPr>
        <w:t>2.磋商报价一览表</w:t>
      </w:r>
      <w:bookmarkEnd w:id="66"/>
      <w:bookmarkEnd w:id="67"/>
      <w:bookmarkEnd w:id="68"/>
      <w:bookmarkEnd w:id="69"/>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3"/>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天</w:t>
            </w:r>
            <w:r>
              <w:rPr>
                <w:rFonts w:hint="eastAsia" w:ascii="仿宋" w:hAnsi="仿宋" w:eastAsia="仿宋" w:cs="仿宋"/>
                <w:b/>
                <w:color w:val="000000" w:themeColor="text1"/>
                <w:sz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highlight w:val="none"/>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1"/>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6"/>
        <w:gridCol w:w="8526"/>
        <w:gridCol w:w="140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类别</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成果形成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策划方案</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空间功能策划案 1份（图文ppt）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文本大纲</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文本大纲word文件及纸质版打印文件6本</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深化设计费</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深化设计方案PPT，方案图册6套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施工图设计费</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施工蓝图6套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平面设计费</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墙面图文版面设计电子版CDR</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文物征集服务费</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与本项目相关陈列实物征集所需服务费（包括人员车住行）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导视设计</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景区内导视设计、施工图设计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外出考察费</w:t>
            </w:r>
          </w:p>
        </w:tc>
        <w:tc>
          <w:tcPr>
            <w:tcW w:w="8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实报实销)中国第一历史档案馆，考察途中机票、食宿、交通、保险、资料费和专家劳务等相关费用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440" w:lineRule="exact"/>
        <w:rPr>
          <w:rFonts w:hint="eastAsia" w:ascii="仿宋" w:hAnsi="仿宋" w:eastAsia="仿宋" w:cs="仿宋"/>
          <w:color w:val="auto"/>
          <w:sz w:val="24"/>
          <w:highlight w:val="none"/>
        </w:rPr>
      </w:pPr>
    </w:p>
    <w:p>
      <w:pPr>
        <w:pStyle w:val="11"/>
        <w:rPr>
          <w:rFonts w:hint="eastAsia" w:ascii="仿宋" w:hAnsi="仿宋" w:eastAsia="仿宋" w:cs="仿宋"/>
          <w:sz w:val="24"/>
          <w:szCs w:val="24"/>
          <w:highlight w:val="none"/>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p>
    <w:p>
      <w:pPr>
        <w:pStyle w:val="40"/>
        <w:ind w:firstLine="562"/>
        <w:rPr>
          <w:rFonts w:hint="eastAsia" w:ascii="仿宋" w:hAnsi="仿宋" w:eastAsia="仿宋" w:cs="仿宋"/>
          <w:b/>
          <w:color w:val="000000" w:themeColor="text1"/>
          <w:szCs w:val="28"/>
          <w:highlight w:val="none"/>
          <w14:textFill>
            <w14:solidFill>
              <w14:schemeClr w14:val="tx1"/>
            </w14:solidFill>
          </w14:textFill>
        </w:rPr>
      </w:pPr>
      <w:bookmarkStart w:id="70" w:name="_Toc458617477"/>
      <w:bookmarkStart w:id="71" w:name="_Toc193187104"/>
      <w:bookmarkStart w:id="72" w:name="_Toc47418938"/>
      <w:bookmarkStart w:id="73" w:name="_Toc237"/>
      <w:bookmarkStart w:id="74" w:name="_Toc13908"/>
      <w:bookmarkStart w:id="75" w:name="_Toc47418731"/>
      <w:bookmarkStart w:id="76" w:name="_Toc49019497"/>
      <w:bookmarkStart w:id="77" w:name="_Toc48791235"/>
      <w:bookmarkStart w:id="78" w:name="_Toc47261885"/>
      <w:bookmarkStart w:id="79" w:name="_Toc194663925"/>
      <w:bookmarkStart w:id="80" w:name="_Toc47261690"/>
      <w:bookmarkStart w:id="81" w:name="_Toc193126888"/>
      <w:bookmarkStart w:id="82" w:name="_Toc188808839"/>
      <w:bookmarkStart w:id="83" w:name="_Toc48995851"/>
      <w:bookmarkStart w:id="84" w:name="_Toc49019236"/>
      <w:bookmarkStart w:id="85" w:name="_Toc47262069"/>
      <w:bookmarkStart w:id="86" w:name="_Toc47418255"/>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3"/>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40"/>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3"/>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40"/>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87" w:name="_Toc188808842"/>
      <w:bookmarkStart w:id="88" w:name="_Toc193126891"/>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6、本项目专门面向中小企业采购；须符合《政府采购促进中小企业发展管理办法》（财库〔2020〕46号）规定的中小企业参加；(提供《中小企业声明函》，式样见竞争性磋商响应文件格式)</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3"/>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40"/>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40"/>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40"/>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40"/>
        <w:ind w:firstLine="562"/>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、2019年1月1日</w:t>
      </w:r>
      <w:r>
        <w:rPr>
          <w:rFonts w:hint="eastAsia" w:ascii="仿宋" w:hAnsi="仿宋" w:eastAsia="仿宋" w:cs="仿宋"/>
          <w:b/>
          <w:color w:val="000000" w:themeColor="text1"/>
          <w:highlight w:val="none"/>
          <w14:textFill>
            <w14:solidFill>
              <w14:schemeClr w14:val="tx1"/>
            </w14:solidFill>
          </w14:textFill>
        </w:rPr>
        <w:t>至今</w:t>
      </w:r>
      <w:r>
        <w:rPr>
          <w:rFonts w:hint="eastAsia" w:ascii="仿宋" w:hAnsi="仿宋" w:eastAsia="仿宋" w:cs="仿宋"/>
          <w:b/>
          <w:color w:val="000000" w:themeColor="text1"/>
          <w:highlight w:val="none"/>
          <w:lang w:val="en-US" w:eastAsia="zh-CN"/>
          <w14:textFill>
            <w14:solidFill>
              <w14:schemeClr w14:val="tx1"/>
            </w14:solidFill>
          </w14:textFill>
        </w:rPr>
        <w:t>同类</w:t>
      </w:r>
      <w:r>
        <w:rPr>
          <w:rFonts w:hint="eastAsia" w:ascii="仿宋" w:hAnsi="仿宋" w:eastAsia="仿宋" w:cs="仿宋"/>
          <w:b/>
          <w:color w:val="000000" w:themeColor="text1"/>
          <w:highlight w:val="none"/>
          <w14:textFill>
            <w14:solidFill>
              <w14:schemeClr w14:val="tx1"/>
            </w14:solidFill>
          </w14:textFill>
        </w:rPr>
        <w:t>项目业绩（提供合同复印件加盖公章）</w:t>
      </w: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w:t>
      </w: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技术部分</w:t>
      </w:r>
    </w:p>
    <w:p>
      <w:pPr>
        <w:pStyle w:val="40"/>
        <w:ind w:firstLine="480"/>
        <w:rPr>
          <w:rFonts w:hint="eastAsia" w:ascii="仿宋" w:hAnsi="仿宋" w:eastAsia="仿宋" w:cs="仿宋"/>
          <w:b/>
          <w:color w:val="000000" w:themeColor="text1"/>
          <w:sz w:val="24"/>
          <w:szCs w:val="24"/>
          <w:highlight w:val="none"/>
          <w14:textFill>
            <w14:solidFill>
              <w14:schemeClr w14:val="tx1"/>
            </w14:solidFill>
          </w14:textFill>
        </w:rPr>
      </w:pPr>
      <w:bookmarkStart w:id="89" w:name="_Toc408785221"/>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40"/>
        <w:ind w:firstLine="482"/>
        <w:rPr>
          <w:rFonts w:hint="eastAsia" w:ascii="仿宋" w:hAnsi="仿宋" w:eastAsia="仿宋" w:cs="仿宋"/>
          <w:b/>
          <w:color w:val="000000" w:themeColor="text1"/>
          <w:sz w:val="24"/>
          <w:szCs w:val="24"/>
          <w:highlight w:val="none"/>
          <w14:textFill>
            <w14:solidFill>
              <w14:schemeClr w14:val="tx1"/>
            </w14:solidFill>
          </w14:textFill>
        </w:rPr>
      </w:pPr>
    </w:p>
    <w:bookmarkEnd w:id="89"/>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bidi w:val="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9、质量保证（格式）</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bookmarkStart w:id="90" w:name="_Toc188808855"/>
      <w:bookmarkStart w:id="91" w:name="_Toc193126905"/>
      <w:bookmarkStart w:id="92" w:name="_Toc193187111"/>
      <w:bookmarkStart w:id="93" w:name="_Toc194663942"/>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default" w:ascii="仿宋" w:hAnsi="仿宋" w:eastAsia="仿宋" w:cs="仿宋"/>
          <w:b/>
          <w:color w:val="000000" w:themeColor="text1"/>
          <w:kern w:val="0"/>
          <w:sz w:val="28"/>
          <w:szCs w:val="22"/>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10.服务承诺及合理化建议</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p>
    <w:p>
      <w:pPr>
        <w:pStyle w:val="40"/>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br w:type="page"/>
      </w:r>
    </w:p>
    <w:p>
      <w:pPr>
        <w:pStyle w:val="40"/>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2</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40"/>
        <w:ind w:firstLine="174" w:firstLineChars="62"/>
        <w:rPr>
          <w:rFonts w:hint="eastAsia" w:ascii="仿宋" w:hAnsi="仿宋" w:eastAsia="仿宋" w:cs="仿宋"/>
          <w:b/>
          <w:bCs/>
          <w:color w:val="000000" w:themeColor="text1"/>
          <w:szCs w:val="28"/>
          <w:highlight w:val="none"/>
          <w:lang w:eastAsia="zh-CN"/>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3</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4" w:name="OLE_LINK19"/>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bookmarkEnd w:id="94"/>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40"/>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w:t>
      </w:r>
      <w:r>
        <w:rPr>
          <w:rFonts w:hint="eastAsia" w:ascii="仿宋" w:hAnsi="仿宋" w:eastAsia="仿宋" w:cs="仿宋"/>
          <w:b/>
          <w:kern w:val="0"/>
          <w:sz w:val="21"/>
          <w:szCs w:val="20"/>
          <w:highlight w:val="none"/>
          <w:lang w:val="en-US" w:eastAsia="zh-CN"/>
        </w:rPr>
        <w:t>供应商</w:t>
      </w:r>
      <w:r>
        <w:rPr>
          <w:rFonts w:hint="eastAsia" w:ascii="仿宋" w:hAnsi="仿宋" w:eastAsia="仿宋" w:cs="仿宋"/>
          <w:b/>
          <w:kern w:val="0"/>
          <w:sz w:val="21"/>
          <w:szCs w:val="20"/>
          <w:highlight w:val="none"/>
          <w:lang w:val="zh-CN"/>
        </w:rPr>
        <w:t>提供的《残疾人福利性单位声明函》必须真实有效，如果被举报经查实出具虚假声明函的，将被取消投标资格，并按有关规定予以处理。</w:t>
      </w: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40"/>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15.</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17"/>
        <w:rPr>
          <w:rFonts w:hint="eastAsia" w:ascii="仿宋" w:hAnsi="仿宋" w:eastAsia="仿宋" w:cs="仿宋"/>
          <w:color w:val="000000" w:themeColor="text1"/>
          <w:kern w:val="0"/>
          <w:sz w:val="28"/>
          <w:szCs w:val="28"/>
          <w:highlight w:val="none"/>
          <w14:textFill>
            <w14:solidFill>
              <w14:schemeClr w14:val="tx1"/>
            </w14:solidFill>
          </w14:textFill>
        </w:rPr>
      </w:pPr>
    </w:p>
    <w:p>
      <w:pPr>
        <w:pStyle w:val="40"/>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6432;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bookmarkEnd w:id="87"/>
    <w:bookmarkEnd w:id="88"/>
    <w:bookmarkEnd w:id="90"/>
    <w:bookmarkEnd w:id="91"/>
    <w:bookmarkEnd w:id="92"/>
    <w:bookmarkEnd w:id="93"/>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pStyle w:val="17"/>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pStyle w:val="38"/>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7"/>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7"/>
        <w:szCs w:val="21"/>
      </w:rPr>
      <w:instrText xml:space="preserve"> PAGE </w:instrText>
    </w:r>
    <w:r>
      <w:rPr>
        <w:szCs w:val="21"/>
      </w:rPr>
      <w:fldChar w:fldCharType="separate"/>
    </w:r>
    <w:r>
      <w:rPr>
        <w:rStyle w:val="27"/>
        <w:szCs w:val="21"/>
      </w:rPr>
      <w:t>41</w:t>
    </w:r>
    <w:r>
      <w:rPr>
        <w:szCs w:val="21"/>
      </w:rPr>
      <w:fldChar w:fldCharType="end"/>
    </w:r>
    <w:r>
      <w:rPr>
        <w:rStyle w:val="27"/>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7"/>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4384;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7"/>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1312;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7"/>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2336;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90" w:firstLineChars="50"/>
      <w:rPr>
        <w:rStyle w:val="27"/>
      </w:rPr>
    </w:pPr>
    <w:r>
      <w:rPr>
        <w:rStyle w:val="27"/>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3360;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7"/>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5408;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7"/>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r>
      <w:rPr>
        <w:rFonts w:hint="eastAsia" w:ascii="仿宋" w:hAnsi="仿宋" w:eastAsia="仿宋" w:cs="仿宋"/>
        <w:b/>
        <w:u w:val="single"/>
        <w:lang w:val="en-US" w:eastAsia="zh-CN"/>
      </w:rPr>
      <w:t>蒲城县王鼎相国府廉政教育基地布展设计采购项目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r>
      <w:rPr>
        <w:rFonts w:hint="eastAsia" w:ascii="仿宋" w:hAnsi="仿宋" w:eastAsia="仿宋" w:cs="仿宋"/>
        <w:b/>
        <w:u w:val="single"/>
        <w:lang w:val="en-US" w:eastAsia="zh-CN"/>
      </w:rPr>
      <w:t>蒲城县王鼎相国府廉政教育基地布展设计采购项目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蒲城县王鼎相国府廉政教育基地布展设计采购项目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21"/>
        <w:shd w:val="pct10" w:color="auto" w:fill="FFFFFF"/>
      </w:rPr>
    </w:pPr>
    <w:r>
      <w:rPr>
        <w:rFonts w:hint="eastAsia" w:ascii="宋体" w:hAnsi="宋体"/>
        <w:b/>
        <w:lang w:eastAsia="zh-CN"/>
      </w:rPr>
      <w:t>蒲城县王鼎纪念馆关于武功县设施农业用地上图入库第二阶段采购项目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r>
      <w:rPr>
        <w:rFonts w:hint="eastAsia" w:ascii="仿宋" w:hAnsi="仿宋" w:eastAsia="仿宋" w:cs="仿宋"/>
        <w:b/>
        <w:u w:val="single"/>
        <w:lang w:val="en-US" w:eastAsia="zh-CN"/>
      </w:rPr>
      <w:t>蒲城县王鼎相国府廉政教育基地布展设计采购项目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jY0MWYzYTQwMjc4YjJhNjA2NzRiYWRlNmZlMWQifQ=="/>
  </w:docVars>
  <w:rsids>
    <w:rsidRoot w:val="5CA52231"/>
    <w:rsid w:val="00295C4C"/>
    <w:rsid w:val="00314C9C"/>
    <w:rsid w:val="004006FE"/>
    <w:rsid w:val="004E284B"/>
    <w:rsid w:val="00574C91"/>
    <w:rsid w:val="00605C8A"/>
    <w:rsid w:val="00716A3F"/>
    <w:rsid w:val="00755DF0"/>
    <w:rsid w:val="0099218B"/>
    <w:rsid w:val="00AE2E12"/>
    <w:rsid w:val="00C56673"/>
    <w:rsid w:val="016D4D4A"/>
    <w:rsid w:val="018848B9"/>
    <w:rsid w:val="01AF53D2"/>
    <w:rsid w:val="01E01AFA"/>
    <w:rsid w:val="026F22F1"/>
    <w:rsid w:val="02A117CD"/>
    <w:rsid w:val="02AA1D26"/>
    <w:rsid w:val="02D33E38"/>
    <w:rsid w:val="030C1D6D"/>
    <w:rsid w:val="031261B3"/>
    <w:rsid w:val="037759E0"/>
    <w:rsid w:val="03AC6219"/>
    <w:rsid w:val="04083177"/>
    <w:rsid w:val="046907DC"/>
    <w:rsid w:val="046B31A0"/>
    <w:rsid w:val="04740EAB"/>
    <w:rsid w:val="047B1417"/>
    <w:rsid w:val="05175953"/>
    <w:rsid w:val="053A59EC"/>
    <w:rsid w:val="05485F66"/>
    <w:rsid w:val="065027ED"/>
    <w:rsid w:val="06707460"/>
    <w:rsid w:val="067F0181"/>
    <w:rsid w:val="06AC3D9C"/>
    <w:rsid w:val="06E36671"/>
    <w:rsid w:val="06FD58FA"/>
    <w:rsid w:val="0708446E"/>
    <w:rsid w:val="071E7D6B"/>
    <w:rsid w:val="07826662"/>
    <w:rsid w:val="07F208D7"/>
    <w:rsid w:val="07FA3B8F"/>
    <w:rsid w:val="089F1C5C"/>
    <w:rsid w:val="08CC0577"/>
    <w:rsid w:val="094B7E72"/>
    <w:rsid w:val="09783466"/>
    <w:rsid w:val="09910924"/>
    <w:rsid w:val="09C126F0"/>
    <w:rsid w:val="09F0034F"/>
    <w:rsid w:val="0A40182F"/>
    <w:rsid w:val="0A441C29"/>
    <w:rsid w:val="0A462C8E"/>
    <w:rsid w:val="0A47098D"/>
    <w:rsid w:val="0A782F46"/>
    <w:rsid w:val="0AC611DC"/>
    <w:rsid w:val="0AE35538"/>
    <w:rsid w:val="0B337DC1"/>
    <w:rsid w:val="0B5F7256"/>
    <w:rsid w:val="0B7432FA"/>
    <w:rsid w:val="0BCE259C"/>
    <w:rsid w:val="0C04209F"/>
    <w:rsid w:val="0C654222"/>
    <w:rsid w:val="0C993304"/>
    <w:rsid w:val="0CA26AF9"/>
    <w:rsid w:val="0CAD7162"/>
    <w:rsid w:val="0D035E0E"/>
    <w:rsid w:val="0D046532"/>
    <w:rsid w:val="0D1B42EE"/>
    <w:rsid w:val="0D2378B7"/>
    <w:rsid w:val="0DC74ACF"/>
    <w:rsid w:val="0E2F54AF"/>
    <w:rsid w:val="0E3B0A63"/>
    <w:rsid w:val="0E535B99"/>
    <w:rsid w:val="0E9852F9"/>
    <w:rsid w:val="0E9D2DA8"/>
    <w:rsid w:val="0EB9746D"/>
    <w:rsid w:val="0EF84A2E"/>
    <w:rsid w:val="0F160CF9"/>
    <w:rsid w:val="0F1E7653"/>
    <w:rsid w:val="0FE65E5D"/>
    <w:rsid w:val="109B1857"/>
    <w:rsid w:val="114206D0"/>
    <w:rsid w:val="11C25421"/>
    <w:rsid w:val="12D77F2E"/>
    <w:rsid w:val="12E85D14"/>
    <w:rsid w:val="13134FCF"/>
    <w:rsid w:val="13532ADC"/>
    <w:rsid w:val="1359299C"/>
    <w:rsid w:val="138A771E"/>
    <w:rsid w:val="13C705E7"/>
    <w:rsid w:val="13D50BD8"/>
    <w:rsid w:val="142F3033"/>
    <w:rsid w:val="145D5190"/>
    <w:rsid w:val="14685C58"/>
    <w:rsid w:val="147C3400"/>
    <w:rsid w:val="14E622ED"/>
    <w:rsid w:val="14FE0622"/>
    <w:rsid w:val="150154C3"/>
    <w:rsid w:val="150729CC"/>
    <w:rsid w:val="150F0169"/>
    <w:rsid w:val="153B4ABB"/>
    <w:rsid w:val="1545594D"/>
    <w:rsid w:val="159E5B20"/>
    <w:rsid w:val="15E52C78"/>
    <w:rsid w:val="15EF74ED"/>
    <w:rsid w:val="163352B2"/>
    <w:rsid w:val="163B5862"/>
    <w:rsid w:val="16666A8E"/>
    <w:rsid w:val="166925C4"/>
    <w:rsid w:val="167960C4"/>
    <w:rsid w:val="16A10FD1"/>
    <w:rsid w:val="188341B0"/>
    <w:rsid w:val="19521B57"/>
    <w:rsid w:val="1958524A"/>
    <w:rsid w:val="196873D3"/>
    <w:rsid w:val="19764F21"/>
    <w:rsid w:val="197D4F2E"/>
    <w:rsid w:val="19925274"/>
    <w:rsid w:val="19A3119E"/>
    <w:rsid w:val="1A083E62"/>
    <w:rsid w:val="1B2E333A"/>
    <w:rsid w:val="1B5D5967"/>
    <w:rsid w:val="1B762CE2"/>
    <w:rsid w:val="1B800E24"/>
    <w:rsid w:val="1B8018F0"/>
    <w:rsid w:val="1B8B6FB4"/>
    <w:rsid w:val="1C2C6107"/>
    <w:rsid w:val="1C3F3B57"/>
    <w:rsid w:val="1C704310"/>
    <w:rsid w:val="1C8A0D7E"/>
    <w:rsid w:val="1C9F1DD3"/>
    <w:rsid w:val="1CBD2782"/>
    <w:rsid w:val="1CC058E0"/>
    <w:rsid w:val="1CE9176D"/>
    <w:rsid w:val="1CEF3C8D"/>
    <w:rsid w:val="1DAD3A24"/>
    <w:rsid w:val="1DAE3C1B"/>
    <w:rsid w:val="1DBF1167"/>
    <w:rsid w:val="1DFA6949"/>
    <w:rsid w:val="1E0D2086"/>
    <w:rsid w:val="1E685343"/>
    <w:rsid w:val="1EC5245F"/>
    <w:rsid w:val="1EE018EF"/>
    <w:rsid w:val="1EF86EC7"/>
    <w:rsid w:val="1F193AD6"/>
    <w:rsid w:val="2090323C"/>
    <w:rsid w:val="20D13F45"/>
    <w:rsid w:val="20F52DBB"/>
    <w:rsid w:val="210851CD"/>
    <w:rsid w:val="218403EA"/>
    <w:rsid w:val="2188475F"/>
    <w:rsid w:val="219D3ACF"/>
    <w:rsid w:val="224729DE"/>
    <w:rsid w:val="22594AA9"/>
    <w:rsid w:val="228D72CD"/>
    <w:rsid w:val="22AA45D0"/>
    <w:rsid w:val="22FB4A29"/>
    <w:rsid w:val="23214339"/>
    <w:rsid w:val="233B6B95"/>
    <w:rsid w:val="234C60E3"/>
    <w:rsid w:val="23667A8F"/>
    <w:rsid w:val="237972CB"/>
    <w:rsid w:val="238460C9"/>
    <w:rsid w:val="2387409E"/>
    <w:rsid w:val="23952DBD"/>
    <w:rsid w:val="23BD364C"/>
    <w:rsid w:val="23BD5C15"/>
    <w:rsid w:val="243F7A48"/>
    <w:rsid w:val="2498323C"/>
    <w:rsid w:val="24AD6618"/>
    <w:rsid w:val="24D24F1B"/>
    <w:rsid w:val="24EB35BF"/>
    <w:rsid w:val="25255D5C"/>
    <w:rsid w:val="253668B6"/>
    <w:rsid w:val="253C5361"/>
    <w:rsid w:val="254B7584"/>
    <w:rsid w:val="25D62632"/>
    <w:rsid w:val="2609650F"/>
    <w:rsid w:val="261C10D2"/>
    <w:rsid w:val="26695200"/>
    <w:rsid w:val="26B00013"/>
    <w:rsid w:val="26B741BD"/>
    <w:rsid w:val="26D23436"/>
    <w:rsid w:val="26E01831"/>
    <w:rsid w:val="270200AF"/>
    <w:rsid w:val="27222C9B"/>
    <w:rsid w:val="27323271"/>
    <w:rsid w:val="27840543"/>
    <w:rsid w:val="27DD3416"/>
    <w:rsid w:val="281A1E64"/>
    <w:rsid w:val="282B61D0"/>
    <w:rsid w:val="283930FA"/>
    <w:rsid w:val="284A0F2F"/>
    <w:rsid w:val="285F3C13"/>
    <w:rsid w:val="2884639A"/>
    <w:rsid w:val="289C18BC"/>
    <w:rsid w:val="28D322DB"/>
    <w:rsid w:val="28EB2A8B"/>
    <w:rsid w:val="29300593"/>
    <w:rsid w:val="294962CA"/>
    <w:rsid w:val="296F5970"/>
    <w:rsid w:val="29C075C6"/>
    <w:rsid w:val="29C673A2"/>
    <w:rsid w:val="29F41216"/>
    <w:rsid w:val="29F51CDA"/>
    <w:rsid w:val="2A2031AC"/>
    <w:rsid w:val="2A4C49A4"/>
    <w:rsid w:val="2A51745D"/>
    <w:rsid w:val="2B6927F8"/>
    <w:rsid w:val="2BB9108D"/>
    <w:rsid w:val="2BCD3D86"/>
    <w:rsid w:val="2C4B7EAE"/>
    <w:rsid w:val="2D306EF8"/>
    <w:rsid w:val="2E55254F"/>
    <w:rsid w:val="2E76670C"/>
    <w:rsid w:val="2E98219C"/>
    <w:rsid w:val="2EBA2A9C"/>
    <w:rsid w:val="2EC30FD3"/>
    <w:rsid w:val="2F3D365B"/>
    <w:rsid w:val="2FFD6A02"/>
    <w:rsid w:val="3042089F"/>
    <w:rsid w:val="307D1B7F"/>
    <w:rsid w:val="308121AA"/>
    <w:rsid w:val="30882EF9"/>
    <w:rsid w:val="30CF184C"/>
    <w:rsid w:val="30D6704C"/>
    <w:rsid w:val="30E42811"/>
    <w:rsid w:val="312D5C40"/>
    <w:rsid w:val="3179279B"/>
    <w:rsid w:val="318F07B1"/>
    <w:rsid w:val="321A765E"/>
    <w:rsid w:val="322F33E6"/>
    <w:rsid w:val="324A6E8E"/>
    <w:rsid w:val="324C4540"/>
    <w:rsid w:val="325F636A"/>
    <w:rsid w:val="3285675A"/>
    <w:rsid w:val="32BE30D4"/>
    <w:rsid w:val="3306189B"/>
    <w:rsid w:val="33441EEA"/>
    <w:rsid w:val="33C8035F"/>
    <w:rsid w:val="34285437"/>
    <w:rsid w:val="34B67359"/>
    <w:rsid w:val="34BD6422"/>
    <w:rsid w:val="35474D1B"/>
    <w:rsid w:val="35635AE6"/>
    <w:rsid w:val="35FC0885"/>
    <w:rsid w:val="36607BFC"/>
    <w:rsid w:val="36647515"/>
    <w:rsid w:val="366B68D7"/>
    <w:rsid w:val="36754531"/>
    <w:rsid w:val="36960592"/>
    <w:rsid w:val="36A6383E"/>
    <w:rsid w:val="36C86E67"/>
    <w:rsid w:val="36CF2484"/>
    <w:rsid w:val="36D45F5B"/>
    <w:rsid w:val="36E765D4"/>
    <w:rsid w:val="36E81B47"/>
    <w:rsid w:val="37015A67"/>
    <w:rsid w:val="37696A12"/>
    <w:rsid w:val="37D672E5"/>
    <w:rsid w:val="37D82BA9"/>
    <w:rsid w:val="37E902B6"/>
    <w:rsid w:val="385B7D01"/>
    <w:rsid w:val="39565AB7"/>
    <w:rsid w:val="3A0C2363"/>
    <w:rsid w:val="3A612FFC"/>
    <w:rsid w:val="3A991BBE"/>
    <w:rsid w:val="3AAA1667"/>
    <w:rsid w:val="3AAD0891"/>
    <w:rsid w:val="3B0648C2"/>
    <w:rsid w:val="3B2A69F2"/>
    <w:rsid w:val="3BF0451E"/>
    <w:rsid w:val="3C0C0C6E"/>
    <w:rsid w:val="3C3245BA"/>
    <w:rsid w:val="3CF66938"/>
    <w:rsid w:val="3CFA113A"/>
    <w:rsid w:val="3D474C33"/>
    <w:rsid w:val="3D5F716B"/>
    <w:rsid w:val="3DAA35EA"/>
    <w:rsid w:val="3DAB59FE"/>
    <w:rsid w:val="3DBB3A26"/>
    <w:rsid w:val="3E072A46"/>
    <w:rsid w:val="3E1168FA"/>
    <w:rsid w:val="3E3D638D"/>
    <w:rsid w:val="3E59316B"/>
    <w:rsid w:val="3E7A5E78"/>
    <w:rsid w:val="3E8F35BB"/>
    <w:rsid w:val="3EA96557"/>
    <w:rsid w:val="3EB218A7"/>
    <w:rsid w:val="3EE06A33"/>
    <w:rsid w:val="3EFA6BAE"/>
    <w:rsid w:val="3F370BCB"/>
    <w:rsid w:val="3F7A43AD"/>
    <w:rsid w:val="3F8E5C59"/>
    <w:rsid w:val="3FAF3201"/>
    <w:rsid w:val="3FF543F2"/>
    <w:rsid w:val="40287CFB"/>
    <w:rsid w:val="40642868"/>
    <w:rsid w:val="407C02A4"/>
    <w:rsid w:val="40AF73C0"/>
    <w:rsid w:val="41F07ECA"/>
    <w:rsid w:val="420B00B0"/>
    <w:rsid w:val="425D4330"/>
    <w:rsid w:val="427101FB"/>
    <w:rsid w:val="427136EC"/>
    <w:rsid w:val="42B36D52"/>
    <w:rsid w:val="43211C22"/>
    <w:rsid w:val="4360708A"/>
    <w:rsid w:val="43BB7949"/>
    <w:rsid w:val="44AC070C"/>
    <w:rsid w:val="44AC45F6"/>
    <w:rsid w:val="44C0719C"/>
    <w:rsid w:val="44DB0AFB"/>
    <w:rsid w:val="45283340"/>
    <w:rsid w:val="45612478"/>
    <w:rsid w:val="45BF1A3F"/>
    <w:rsid w:val="45D4091B"/>
    <w:rsid w:val="45E00128"/>
    <w:rsid w:val="45FC0156"/>
    <w:rsid w:val="46322C1D"/>
    <w:rsid w:val="46D2182F"/>
    <w:rsid w:val="47174AD8"/>
    <w:rsid w:val="474536FB"/>
    <w:rsid w:val="47876441"/>
    <w:rsid w:val="478B389E"/>
    <w:rsid w:val="48962D4B"/>
    <w:rsid w:val="48C107A7"/>
    <w:rsid w:val="48F3112A"/>
    <w:rsid w:val="493004E9"/>
    <w:rsid w:val="49350D52"/>
    <w:rsid w:val="49D768C0"/>
    <w:rsid w:val="49EB3140"/>
    <w:rsid w:val="49FE675C"/>
    <w:rsid w:val="4A03006A"/>
    <w:rsid w:val="4AA519CD"/>
    <w:rsid w:val="4AF10388"/>
    <w:rsid w:val="4AF94070"/>
    <w:rsid w:val="4AFB5E63"/>
    <w:rsid w:val="4B286EE8"/>
    <w:rsid w:val="4B7727C5"/>
    <w:rsid w:val="4B965FB0"/>
    <w:rsid w:val="4C256914"/>
    <w:rsid w:val="4C306F36"/>
    <w:rsid w:val="4C5A1013"/>
    <w:rsid w:val="4C96549F"/>
    <w:rsid w:val="4CAD74C4"/>
    <w:rsid w:val="4CC674CA"/>
    <w:rsid w:val="4CCA0DF3"/>
    <w:rsid w:val="4D3944DB"/>
    <w:rsid w:val="4D3D1756"/>
    <w:rsid w:val="4D49565B"/>
    <w:rsid w:val="4E0C743C"/>
    <w:rsid w:val="4E93715A"/>
    <w:rsid w:val="4E9F6F1B"/>
    <w:rsid w:val="4EC14B14"/>
    <w:rsid w:val="4F141B05"/>
    <w:rsid w:val="4F1B0161"/>
    <w:rsid w:val="4F7810D0"/>
    <w:rsid w:val="4F8A7B60"/>
    <w:rsid w:val="4FC245D7"/>
    <w:rsid w:val="4FDE5127"/>
    <w:rsid w:val="50357D7D"/>
    <w:rsid w:val="50CC1400"/>
    <w:rsid w:val="50FA6915"/>
    <w:rsid w:val="514345C9"/>
    <w:rsid w:val="518270C9"/>
    <w:rsid w:val="519266B2"/>
    <w:rsid w:val="519C1B26"/>
    <w:rsid w:val="51E27AE8"/>
    <w:rsid w:val="51F43A67"/>
    <w:rsid w:val="52242BD3"/>
    <w:rsid w:val="52560272"/>
    <w:rsid w:val="527821A3"/>
    <w:rsid w:val="527A4BCD"/>
    <w:rsid w:val="527E492B"/>
    <w:rsid w:val="52BD596D"/>
    <w:rsid w:val="52DE7D41"/>
    <w:rsid w:val="53195734"/>
    <w:rsid w:val="531D2DA5"/>
    <w:rsid w:val="535A5075"/>
    <w:rsid w:val="53774E9B"/>
    <w:rsid w:val="53B94DB8"/>
    <w:rsid w:val="54075DCC"/>
    <w:rsid w:val="54387BD1"/>
    <w:rsid w:val="5447089E"/>
    <w:rsid w:val="548D5DC1"/>
    <w:rsid w:val="54A14884"/>
    <w:rsid w:val="54BA1808"/>
    <w:rsid w:val="54EB6E03"/>
    <w:rsid w:val="54FD69B2"/>
    <w:rsid w:val="550601C8"/>
    <w:rsid w:val="55132319"/>
    <w:rsid w:val="55146E5E"/>
    <w:rsid w:val="552C7BAF"/>
    <w:rsid w:val="553B5415"/>
    <w:rsid w:val="553C5232"/>
    <w:rsid w:val="554372DB"/>
    <w:rsid w:val="554B2CF1"/>
    <w:rsid w:val="556D3230"/>
    <w:rsid w:val="55C43442"/>
    <w:rsid w:val="569B3AE2"/>
    <w:rsid w:val="57E15B41"/>
    <w:rsid w:val="5812279B"/>
    <w:rsid w:val="585554B6"/>
    <w:rsid w:val="58862037"/>
    <w:rsid w:val="58AF1A95"/>
    <w:rsid w:val="58E805C8"/>
    <w:rsid w:val="58F61C6D"/>
    <w:rsid w:val="59047ECD"/>
    <w:rsid w:val="592D49A0"/>
    <w:rsid w:val="59416802"/>
    <w:rsid w:val="59AC7E01"/>
    <w:rsid w:val="5A2F12C4"/>
    <w:rsid w:val="5A351EEE"/>
    <w:rsid w:val="5A521346"/>
    <w:rsid w:val="5B191112"/>
    <w:rsid w:val="5B8155F3"/>
    <w:rsid w:val="5BA31738"/>
    <w:rsid w:val="5BA6792C"/>
    <w:rsid w:val="5BD25514"/>
    <w:rsid w:val="5BF13950"/>
    <w:rsid w:val="5C0974B2"/>
    <w:rsid w:val="5C186F88"/>
    <w:rsid w:val="5C73777D"/>
    <w:rsid w:val="5C7B185A"/>
    <w:rsid w:val="5C922CA1"/>
    <w:rsid w:val="5CA52231"/>
    <w:rsid w:val="5CAA3CE0"/>
    <w:rsid w:val="5CB315BE"/>
    <w:rsid w:val="5CD05EC4"/>
    <w:rsid w:val="5CEE67CC"/>
    <w:rsid w:val="5D9C44BA"/>
    <w:rsid w:val="5DD3719E"/>
    <w:rsid w:val="5DEC5D6F"/>
    <w:rsid w:val="5DF32237"/>
    <w:rsid w:val="5E1B365D"/>
    <w:rsid w:val="5E245395"/>
    <w:rsid w:val="5E370EEC"/>
    <w:rsid w:val="5E68355E"/>
    <w:rsid w:val="5E693E0B"/>
    <w:rsid w:val="5EF51B46"/>
    <w:rsid w:val="5F716DD1"/>
    <w:rsid w:val="5F9A1C0C"/>
    <w:rsid w:val="60EF7936"/>
    <w:rsid w:val="615D15B4"/>
    <w:rsid w:val="617C53D9"/>
    <w:rsid w:val="619C3FB1"/>
    <w:rsid w:val="61B77CE2"/>
    <w:rsid w:val="61BE4845"/>
    <w:rsid w:val="62014DE8"/>
    <w:rsid w:val="62434373"/>
    <w:rsid w:val="62954FBF"/>
    <w:rsid w:val="629B7F14"/>
    <w:rsid w:val="63245663"/>
    <w:rsid w:val="63420DA4"/>
    <w:rsid w:val="637D74E4"/>
    <w:rsid w:val="63DD2A68"/>
    <w:rsid w:val="64166B12"/>
    <w:rsid w:val="64392515"/>
    <w:rsid w:val="64725A90"/>
    <w:rsid w:val="64EC4D35"/>
    <w:rsid w:val="651265B7"/>
    <w:rsid w:val="6517248E"/>
    <w:rsid w:val="653918E3"/>
    <w:rsid w:val="653D1756"/>
    <w:rsid w:val="657C1F97"/>
    <w:rsid w:val="65EE67B8"/>
    <w:rsid w:val="660B62FC"/>
    <w:rsid w:val="66E43193"/>
    <w:rsid w:val="67267CB5"/>
    <w:rsid w:val="67341171"/>
    <w:rsid w:val="674F3DFC"/>
    <w:rsid w:val="676C5425"/>
    <w:rsid w:val="677775CA"/>
    <w:rsid w:val="681F1432"/>
    <w:rsid w:val="68227E19"/>
    <w:rsid w:val="682526C4"/>
    <w:rsid w:val="68384664"/>
    <w:rsid w:val="683E40AC"/>
    <w:rsid w:val="686925AE"/>
    <w:rsid w:val="6894063F"/>
    <w:rsid w:val="68AA0374"/>
    <w:rsid w:val="690C3C0F"/>
    <w:rsid w:val="698915CD"/>
    <w:rsid w:val="69C87321"/>
    <w:rsid w:val="69E7087D"/>
    <w:rsid w:val="69F92CBD"/>
    <w:rsid w:val="6A1A76FF"/>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B31991"/>
    <w:rsid w:val="6DCE340F"/>
    <w:rsid w:val="6E8F55C7"/>
    <w:rsid w:val="6E910FE5"/>
    <w:rsid w:val="6E9B76DB"/>
    <w:rsid w:val="6EFE55DA"/>
    <w:rsid w:val="6F5A0AAF"/>
    <w:rsid w:val="6F8932E6"/>
    <w:rsid w:val="701D3C4D"/>
    <w:rsid w:val="70200256"/>
    <w:rsid w:val="70501F38"/>
    <w:rsid w:val="705B5D23"/>
    <w:rsid w:val="70865CFA"/>
    <w:rsid w:val="70981F36"/>
    <w:rsid w:val="70E919C6"/>
    <w:rsid w:val="71427881"/>
    <w:rsid w:val="725A52FD"/>
    <w:rsid w:val="729E0707"/>
    <w:rsid w:val="72D33A44"/>
    <w:rsid w:val="736A2FD2"/>
    <w:rsid w:val="73B26F4B"/>
    <w:rsid w:val="73DF1469"/>
    <w:rsid w:val="74B17D02"/>
    <w:rsid w:val="74E06AEF"/>
    <w:rsid w:val="75384BC5"/>
    <w:rsid w:val="75661286"/>
    <w:rsid w:val="75B46528"/>
    <w:rsid w:val="75D648AF"/>
    <w:rsid w:val="75ED55FA"/>
    <w:rsid w:val="75FB2DFF"/>
    <w:rsid w:val="764B713D"/>
    <w:rsid w:val="76895E06"/>
    <w:rsid w:val="77312EA9"/>
    <w:rsid w:val="77371E97"/>
    <w:rsid w:val="778C38DC"/>
    <w:rsid w:val="77B455D4"/>
    <w:rsid w:val="77B6365C"/>
    <w:rsid w:val="77C117B8"/>
    <w:rsid w:val="77D63E3F"/>
    <w:rsid w:val="7815335E"/>
    <w:rsid w:val="78361EBF"/>
    <w:rsid w:val="784349DE"/>
    <w:rsid w:val="78867CF8"/>
    <w:rsid w:val="79083935"/>
    <w:rsid w:val="790C3251"/>
    <w:rsid w:val="793547C6"/>
    <w:rsid w:val="79616F10"/>
    <w:rsid w:val="799500C0"/>
    <w:rsid w:val="7A476702"/>
    <w:rsid w:val="7A5113F9"/>
    <w:rsid w:val="7A537FDD"/>
    <w:rsid w:val="7AD216C8"/>
    <w:rsid w:val="7B005BEC"/>
    <w:rsid w:val="7C15026F"/>
    <w:rsid w:val="7C5E091E"/>
    <w:rsid w:val="7D0D1638"/>
    <w:rsid w:val="7D144297"/>
    <w:rsid w:val="7D163F2E"/>
    <w:rsid w:val="7D43638A"/>
    <w:rsid w:val="7D636A70"/>
    <w:rsid w:val="7D891CD5"/>
    <w:rsid w:val="7DC35135"/>
    <w:rsid w:val="7E190276"/>
    <w:rsid w:val="7E532D12"/>
    <w:rsid w:val="7EA41B0D"/>
    <w:rsid w:val="7EAA41D5"/>
    <w:rsid w:val="7EB03176"/>
    <w:rsid w:val="7EC87E8B"/>
    <w:rsid w:val="7F0F6FFB"/>
    <w:rsid w:val="7F23573B"/>
    <w:rsid w:val="7F3E27FD"/>
    <w:rsid w:val="7F543DBA"/>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szCs w:val="22"/>
    </w:rPr>
  </w:style>
  <w:style w:type="paragraph" w:styleId="7">
    <w:name w:val="Note Heading"/>
    <w:basedOn w:val="1"/>
    <w:next w:val="1"/>
    <w:qFormat/>
    <w:uiPriority w:val="0"/>
    <w:pPr>
      <w:jc w:val="center"/>
    </w:pPr>
  </w:style>
  <w:style w:type="paragraph" w:styleId="8">
    <w:name w:val="Normal Indent"/>
    <w:basedOn w:val="1"/>
    <w:next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2"/>
    <w:qFormat/>
    <w:uiPriority w:val="0"/>
    <w:pPr>
      <w:jc w:val="left"/>
    </w:pPr>
  </w:style>
  <w:style w:type="paragraph" w:styleId="11">
    <w:name w:val="Body Text"/>
    <w:basedOn w:val="1"/>
    <w:next w:val="1"/>
    <w:unhideWhenUsed/>
    <w:qFormat/>
    <w:uiPriority w:val="99"/>
    <w:pPr>
      <w:spacing w:after="120"/>
    </w:pPr>
    <w:rPr>
      <w:rFonts w:eastAsia="Times New Roman"/>
    </w:rPr>
  </w:style>
  <w:style w:type="paragraph" w:styleId="12">
    <w:name w:val="Body Text Indent"/>
    <w:basedOn w:val="1"/>
    <w:next w:val="13"/>
    <w:qFormat/>
    <w:uiPriority w:val="0"/>
    <w:pPr>
      <w:spacing w:after="120" w:afterLines="0"/>
      <w:ind w:left="420" w:leftChars="200"/>
    </w:pPr>
  </w:style>
  <w:style w:type="paragraph" w:styleId="13">
    <w:name w:val="Body Text First Indent 2"/>
    <w:basedOn w:val="12"/>
    <w:qFormat/>
    <w:uiPriority w:val="99"/>
    <w:pPr>
      <w:ind w:firstLine="420" w:firstLineChars="200"/>
    </w:pPr>
    <w:rPr>
      <w:szCs w:val="21"/>
    </w:rPr>
  </w:style>
  <w:style w:type="paragraph" w:styleId="14">
    <w:name w:val="Block Text"/>
    <w:basedOn w:val="1"/>
    <w:qFormat/>
    <w:uiPriority w:val="99"/>
    <w:pPr>
      <w:spacing w:after="120" w:line="240" w:lineRule="auto"/>
      <w:ind w:left="1440" w:leftChars="700" w:right="1440" w:rightChars="700"/>
    </w:pPr>
    <w:rPr>
      <w:rFonts w:ascii="Calibri" w:hAnsi="Calibri"/>
      <w:szCs w:val="22"/>
    </w:rPr>
  </w:style>
  <w:style w:type="paragraph" w:styleId="15">
    <w:name w:val="Plain Text"/>
    <w:basedOn w:val="1"/>
    <w:qFormat/>
    <w:uiPriority w:val="0"/>
    <w:rPr>
      <w:rFonts w:ascii="宋体" w:hAnsi="Courier New"/>
      <w:szCs w:val="20"/>
    </w:rPr>
  </w:style>
  <w:style w:type="paragraph" w:styleId="16">
    <w:name w:val="Balloon Text"/>
    <w:basedOn w:val="1"/>
    <w:link w:val="54"/>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next w:val="1"/>
    <w:qFormat/>
    <w:uiPriority w:val="0"/>
    <w:pPr>
      <w:spacing w:beforeAutospacing="1" w:afterAutospacing="1"/>
      <w:jc w:val="left"/>
    </w:pPr>
    <w:rPr>
      <w:kern w:val="0"/>
      <w:sz w:val="24"/>
    </w:rPr>
  </w:style>
  <w:style w:type="paragraph" w:styleId="22">
    <w:name w:val="annotation subject"/>
    <w:basedOn w:val="10"/>
    <w:next w:val="10"/>
    <w:link w:val="53"/>
    <w:qFormat/>
    <w:uiPriority w:val="0"/>
    <w:rPr>
      <w:b/>
      <w:bCs/>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color w:val="0000FF"/>
      <w:u w:val="none"/>
    </w:rPr>
  </w:style>
  <w:style w:type="character" w:styleId="32">
    <w:name w:val="HTML Code"/>
    <w:basedOn w:val="25"/>
    <w:qFormat/>
    <w:uiPriority w:val="0"/>
    <w:rPr>
      <w:rFonts w:ascii="Consolas" w:hAnsi="Consolas" w:eastAsia="Consolas" w:cs="Consolas"/>
      <w:color w:val="C7254E"/>
      <w:sz w:val="21"/>
      <w:szCs w:val="21"/>
      <w:shd w:val="clear" w:fill="F9F2F4"/>
    </w:rPr>
  </w:style>
  <w:style w:type="character" w:styleId="33">
    <w:name w:val="annotation reference"/>
    <w:basedOn w:val="25"/>
    <w:qFormat/>
    <w:uiPriority w:val="0"/>
    <w:rPr>
      <w:sz w:val="21"/>
      <w:szCs w:val="21"/>
    </w:rPr>
  </w:style>
  <w:style w:type="character" w:styleId="34">
    <w:name w:val="HTML Keyboard"/>
    <w:basedOn w:val="25"/>
    <w:qFormat/>
    <w:uiPriority w:val="0"/>
    <w:rPr>
      <w:rFonts w:hint="default" w:ascii="Consolas" w:hAnsi="Consolas" w:eastAsia="Consolas" w:cs="Consolas"/>
      <w:color w:val="FFFFFF"/>
      <w:sz w:val="21"/>
      <w:szCs w:val="21"/>
      <w:shd w:val="clear" w:fill="333333"/>
    </w:rPr>
  </w:style>
  <w:style w:type="character" w:styleId="35">
    <w:name w:val="HTML Sample"/>
    <w:basedOn w:val="25"/>
    <w:qFormat/>
    <w:uiPriority w:val="0"/>
    <w:rPr>
      <w:rFonts w:hint="default" w:ascii="Consolas" w:hAnsi="Consolas" w:eastAsia="Consolas" w:cs="Consolas"/>
      <w:sz w:val="21"/>
      <w:szCs w:val="21"/>
    </w:rPr>
  </w:style>
  <w:style w:type="paragraph" w:customStyle="1" w:styleId="36">
    <w:name w:val="No Spacing1"/>
    <w:qFormat/>
    <w:uiPriority w:val="0"/>
    <w:rPr>
      <w:rFonts w:ascii="Calibri" w:hAnsi="Calibri" w:eastAsia="宋体" w:cs="Calibri"/>
      <w:sz w:val="22"/>
      <w:szCs w:val="22"/>
      <w:lang w:val="en-US" w:eastAsia="zh-CN" w:bidi="ar-SA"/>
    </w:rPr>
  </w:style>
  <w:style w:type="paragraph" w:customStyle="1" w:styleId="37">
    <w:name w:val="Normal Indent1"/>
    <w:basedOn w:val="1"/>
    <w:qFormat/>
    <w:uiPriority w:val="0"/>
    <w:pPr>
      <w:ind w:firstLine="420"/>
    </w:pPr>
    <w:rPr>
      <w:sz w:val="21"/>
    </w:rPr>
  </w:style>
  <w:style w:type="paragraph" w:customStyle="1" w:styleId="38">
    <w:name w:val="正文缩进1"/>
    <w:basedOn w:val="1"/>
    <w:qFormat/>
    <w:uiPriority w:val="0"/>
    <w:pPr>
      <w:autoSpaceDE w:val="0"/>
      <w:autoSpaceDN w:val="0"/>
      <w:adjustRightInd w:val="0"/>
      <w:ind w:firstLine="420"/>
      <w:jc w:val="left"/>
    </w:pPr>
    <w:rPr>
      <w:rFonts w:ascii="宋体"/>
      <w:kern w:val="0"/>
      <w:sz w:val="24"/>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1">
    <w:name w:val="title1"/>
    <w:basedOn w:val="1"/>
    <w:qFormat/>
    <w:uiPriority w:val="0"/>
    <w:pPr>
      <w:spacing w:before="150" w:line="450" w:lineRule="atLeast"/>
      <w:jc w:val="left"/>
    </w:pPr>
    <w:rPr>
      <w:b/>
      <w:kern w:val="0"/>
      <w:sz w:val="24"/>
    </w:rPr>
  </w:style>
  <w:style w:type="paragraph" w:customStyle="1" w:styleId="42">
    <w:name w:val="p15"/>
    <w:basedOn w:val="1"/>
    <w:qFormat/>
    <w:uiPriority w:val="99"/>
    <w:pPr>
      <w:widowControl/>
    </w:pPr>
    <w:rPr>
      <w:kern w:val="0"/>
      <w:szCs w:val="21"/>
    </w:rPr>
  </w:style>
  <w:style w:type="character" w:customStyle="1" w:styleId="43">
    <w:name w:val="font21"/>
    <w:basedOn w:val="25"/>
    <w:qFormat/>
    <w:uiPriority w:val="99"/>
    <w:rPr>
      <w:rFonts w:ascii="宋体" w:hAnsi="宋体" w:eastAsia="宋体"/>
      <w:color w:val="000000"/>
      <w:sz w:val="20"/>
      <w:u w:val="none"/>
    </w:rPr>
  </w:style>
  <w:style w:type="paragraph" w:customStyle="1" w:styleId="44">
    <w:name w:val="List Paragraph"/>
    <w:basedOn w:val="1"/>
    <w:qFormat/>
    <w:uiPriority w:val="34"/>
    <w:pPr>
      <w:ind w:firstLine="420" w:firstLineChars="200"/>
    </w:pPr>
    <w:rPr>
      <w:rFonts w:ascii="Calibri" w:hAnsi="Calibri"/>
      <w:szCs w:val="22"/>
    </w:rPr>
  </w:style>
  <w:style w:type="paragraph" w:customStyle="1" w:styleId="45">
    <w:name w:val="title11"/>
    <w:basedOn w:val="1"/>
    <w:qFormat/>
    <w:uiPriority w:val="0"/>
    <w:pPr>
      <w:spacing w:before="100"/>
      <w:jc w:val="left"/>
    </w:pPr>
    <w:rPr>
      <w:b/>
      <w:kern w:val="0"/>
      <w:sz w:val="15"/>
      <w:szCs w:val="15"/>
    </w:rPr>
  </w:style>
  <w:style w:type="paragraph" w:customStyle="1" w:styleId="46">
    <w:name w:val="title13"/>
    <w:basedOn w:val="1"/>
    <w:qFormat/>
    <w:uiPriority w:val="0"/>
    <w:pPr>
      <w:spacing w:before="100"/>
      <w:jc w:val="left"/>
    </w:pPr>
    <w:rPr>
      <w:b/>
      <w:kern w:val="0"/>
      <w:sz w:val="15"/>
      <w:szCs w:val="15"/>
    </w:rPr>
  </w:style>
  <w:style w:type="character" w:customStyle="1" w:styleId="47">
    <w:name w:val="phone"/>
    <w:basedOn w:val="25"/>
    <w:qFormat/>
    <w:uiPriority w:val="0"/>
    <w:rPr>
      <w:color w:val="FF8833"/>
      <w:sz w:val="12"/>
      <w:szCs w:val="12"/>
    </w:rPr>
  </w:style>
  <w:style w:type="character" w:customStyle="1" w:styleId="48">
    <w:name w:val="number"/>
    <w:basedOn w:val="25"/>
    <w:qFormat/>
    <w:uiPriority w:val="0"/>
    <w:rPr>
      <w:color w:val="FF8833"/>
      <w:sz w:val="12"/>
      <w:szCs w:val="12"/>
    </w:rPr>
  </w:style>
  <w:style w:type="character" w:customStyle="1" w:styleId="49">
    <w:name w:val="stclosebtn"/>
    <w:basedOn w:val="25"/>
    <w:qFormat/>
    <w:uiPriority w:val="0"/>
  </w:style>
  <w:style w:type="character" w:customStyle="1" w:styleId="50">
    <w:name w:val="proollist"/>
    <w:basedOn w:val="25"/>
    <w:qFormat/>
    <w:uiPriority w:val="0"/>
  </w:style>
  <w:style w:type="character" w:customStyle="1" w:styleId="51">
    <w:name w:val="beforeinfotext"/>
    <w:basedOn w:val="25"/>
    <w:qFormat/>
    <w:uiPriority w:val="0"/>
    <w:rPr>
      <w:color w:val="666666"/>
    </w:rPr>
  </w:style>
  <w:style w:type="character" w:customStyle="1" w:styleId="52">
    <w:name w:val="批注文字 Char"/>
    <w:basedOn w:val="25"/>
    <w:link w:val="10"/>
    <w:qFormat/>
    <w:uiPriority w:val="0"/>
    <w:rPr>
      <w:kern w:val="2"/>
      <w:sz w:val="21"/>
      <w:szCs w:val="24"/>
    </w:rPr>
  </w:style>
  <w:style w:type="character" w:customStyle="1" w:styleId="53">
    <w:name w:val="批注主题 Char"/>
    <w:basedOn w:val="52"/>
    <w:link w:val="22"/>
    <w:qFormat/>
    <w:uiPriority w:val="0"/>
    <w:rPr>
      <w:b/>
      <w:bCs/>
      <w:kern w:val="2"/>
      <w:sz w:val="21"/>
      <w:szCs w:val="24"/>
    </w:rPr>
  </w:style>
  <w:style w:type="character" w:customStyle="1" w:styleId="54">
    <w:name w:val="批注框文本 Char"/>
    <w:basedOn w:val="25"/>
    <w:link w:val="16"/>
    <w:qFormat/>
    <w:uiPriority w:val="0"/>
    <w:rPr>
      <w:kern w:val="2"/>
      <w:sz w:val="18"/>
      <w:szCs w:val="18"/>
    </w:rPr>
  </w:style>
  <w:style w:type="paragraph" w:customStyle="1" w:styleId="55">
    <w:name w:val="正文首行缩进两字符"/>
    <w:basedOn w:val="1"/>
    <w:qFormat/>
    <w:uiPriority w:val="0"/>
    <w:pPr>
      <w:spacing w:line="360" w:lineRule="auto"/>
      <w:ind w:firstLine="200" w:firstLineChars="200"/>
    </w:pPr>
    <w:rPr>
      <w:rFonts w:ascii="Times New Roman" w:hAnsi="Times New Roman"/>
    </w:rPr>
  </w:style>
  <w:style w:type="character" w:customStyle="1" w:styleId="56">
    <w:name w:val="标题 1 Char"/>
    <w:link w:val="3"/>
    <w:qFormat/>
    <w:uiPriority w:val="99"/>
    <w:rPr>
      <w:b/>
      <w:bCs/>
      <w:kern w:val="44"/>
      <w:sz w:val="44"/>
      <w:szCs w:val="44"/>
    </w:rPr>
  </w:style>
  <w:style w:type="paragraph" w:customStyle="1" w:styleId="57">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8">
    <w:name w:val="Table Paragraph"/>
    <w:basedOn w:val="1"/>
    <w:qFormat/>
    <w:uiPriority w:val="1"/>
    <w:pPr>
      <w:adjustRightInd/>
    </w:pPr>
    <w:rPr>
      <w:rFonts w:ascii="宋体" w:hAnsi="宋体" w:cs="宋体"/>
      <w:sz w:val="22"/>
      <w:szCs w:val="22"/>
      <w:lang w:val="zh-CN" w:bidi="zh-CN"/>
    </w:rPr>
  </w:style>
  <w:style w:type="table" w:customStyle="1" w:styleId="59">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60">
    <w:name w:val="hover25"/>
    <w:basedOn w:val="25"/>
    <w:qFormat/>
    <w:uiPriority w:val="0"/>
    <w:rPr>
      <w:color w:val="167AE0"/>
    </w:rPr>
  </w:style>
  <w:style w:type="character" w:customStyle="1" w:styleId="61">
    <w:name w:val="nth-of-type(5)"/>
    <w:basedOn w:val="25"/>
    <w:qFormat/>
    <w:uiPriority w:val="0"/>
  </w:style>
  <w:style w:type="character" w:customStyle="1" w:styleId="62">
    <w:name w:val="nth-child(2)"/>
    <w:basedOn w:val="25"/>
    <w:qFormat/>
    <w:uiPriority w:val="0"/>
  </w:style>
  <w:style w:type="character" w:customStyle="1" w:styleId="63">
    <w:name w:val="layui-this"/>
    <w:basedOn w:val="25"/>
    <w:qFormat/>
    <w:uiPriority w:val="0"/>
    <w:rPr>
      <w:bdr w:val="single" w:color="EEEEEE" w:sz="6" w:space="0"/>
      <w:shd w:val="clear" w:fill="FFFFFF"/>
    </w:rPr>
  </w:style>
  <w:style w:type="character" w:customStyle="1" w:styleId="64">
    <w:name w:val="first-child"/>
    <w:basedOn w:val="25"/>
    <w:qFormat/>
    <w:uiPriority w:val="0"/>
  </w:style>
  <w:style w:type="character" w:customStyle="1" w:styleId="65">
    <w:name w:val="first-child1"/>
    <w:basedOn w:val="25"/>
    <w:qFormat/>
    <w:uiPriority w:val="0"/>
  </w:style>
  <w:style w:type="character" w:customStyle="1" w:styleId="66">
    <w:name w:val="first-child2"/>
    <w:basedOn w:val="25"/>
    <w:qFormat/>
    <w:uiPriority w:val="0"/>
  </w:style>
  <w:style w:type="character" w:customStyle="1" w:styleId="67">
    <w:name w:val="first-child3"/>
    <w:basedOn w:val="25"/>
    <w:qFormat/>
    <w:uiPriority w:val="0"/>
  </w:style>
  <w:style w:type="character" w:customStyle="1" w:styleId="68">
    <w:name w:val="nth-of-type(8)"/>
    <w:basedOn w:val="25"/>
    <w:qFormat/>
    <w:uiPriority w:val="0"/>
  </w:style>
  <w:style w:type="character" w:customStyle="1" w:styleId="69">
    <w:name w:val="layui-laypage-curr"/>
    <w:basedOn w:val="25"/>
    <w:qFormat/>
    <w:uiPriority w:val="0"/>
  </w:style>
  <w:style w:type="character" w:customStyle="1" w:styleId="70">
    <w:name w:val="nth-of-type(7)"/>
    <w:basedOn w:val="25"/>
    <w:qFormat/>
    <w:uiPriority w:val="0"/>
  </w:style>
  <w:style w:type="character" w:customStyle="1" w:styleId="71">
    <w:name w:val="nth-of-type(7)1"/>
    <w:basedOn w:val="25"/>
    <w:qFormat/>
    <w:uiPriority w:val="0"/>
  </w:style>
  <w:style w:type="character" w:customStyle="1" w:styleId="72">
    <w:name w:val="nth-of-type(7)2"/>
    <w:basedOn w:val="25"/>
    <w:qFormat/>
    <w:uiPriority w:val="0"/>
  </w:style>
  <w:style w:type="character" w:customStyle="1" w:styleId="73">
    <w:name w:val="nth-of-type(6)"/>
    <w:basedOn w:val="25"/>
    <w:qFormat/>
    <w:uiPriority w:val="0"/>
  </w:style>
  <w:style w:type="character" w:customStyle="1" w:styleId="74">
    <w:name w:val="lineshow"/>
    <w:basedOn w:val="25"/>
    <w:qFormat/>
    <w:uiPriority w:val="0"/>
  </w:style>
  <w:style w:type="character" w:customStyle="1" w:styleId="75">
    <w:name w:val="lineshow1"/>
    <w:basedOn w:val="25"/>
    <w:qFormat/>
    <w:uiPriority w:val="0"/>
  </w:style>
  <w:style w:type="character" w:customStyle="1" w:styleId="76">
    <w:name w:val="nth-of-type(9)"/>
    <w:basedOn w:val="25"/>
    <w:qFormat/>
    <w:uiPriority w:val="0"/>
  </w:style>
  <w:style w:type="character" w:customStyle="1" w:styleId="77">
    <w:name w:val="nth-of-type(3)"/>
    <w:basedOn w:val="25"/>
    <w:qFormat/>
    <w:uiPriority w:val="0"/>
  </w:style>
  <w:style w:type="character" w:customStyle="1" w:styleId="78">
    <w:name w:val="nth-of-type(4)"/>
    <w:basedOn w:val="25"/>
    <w:qFormat/>
    <w:uiPriority w:val="0"/>
  </w:style>
  <w:style w:type="character" w:customStyle="1" w:styleId="79">
    <w:name w:val="nth-of-type(1)"/>
    <w:basedOn w:val="25"/>
    <w:qFormat/>
    <w:uiPriority w:val="0"/>
  </w:style>
  <w:style w:type="character" w:customStyle="1" w:styleId="80">
    <w:name w:val="nth-of-type(1)1"/>
    <w:basedOn w:val="25"/>
    <w:qFormat/>
    <w:uiPriority w:val="0"/>
  </w:style>
  <w:style w:type="character" w:customStyle="1" w:styleId="81">
    <w:name w:val="nth-of-type(1)2"/>
    <w:basedOn w:val="25"/>
    <w:qFormat/>
    <w:uiPriority w:val="0"/>
  </w:style>
  <w:style w:type="character" w:customStyle="1" w:styleId="82">
    <w:name w:val="nth-of-type(1)3"/>
    <w:basedOn w:val="25"/>
    <w:qFormat/>
    <w:uiPriority w:val="0"/>
  </w:style>
  <w:style w:type="character" w:customStyle="1" w:styleId="83">
    <w:name w:val="nth-of-type(1)4"/>
    <w:basedOn w:val="25"/>
    <w:qFormat/>
    <w:uiPriority w:val="0"/>
  </w:style>
  <w:style w:type="character" w:customStyle="1" w:styleId="84">
    <w:name w:val="nth-of-type(1)5"/>
    <w:basedOn w:val="25"/>
    <w:qFormat/>
    <w:uiPriority w:val="0"/>
  </w:style>
  <w:style w:type="character" w:customStyle="1" w:styleId="85">
    <w:name w:val="nth-of-type(1)6"/>
    <w:basedOn w:val="25"/>
    <w:qFormat/>
    <w:uiPriority w:val="0"/>
  </w:style>
  <w:style w:type="character" w:customStyle="1" w:styleId="86">
    <w:name w:val="nth-of-type(1)7"/>
    <w:basedOn w:val="25"/>
    <w:qFormat/>
    <w:uiPriority w:val="0"/>
    <w:rPr>
      <w:rFonts w:ascii="SourceHanSansCN-Regular" w:hAnsi="SourceHanSansCN-Regular" w:eastAsia="SourceHanSansCN-Regular" w:cs="SourceHanSansCN-Regular"/>
      <w:color w:val="FB560A"/>
      <w:sz w:val="21"/>
      <w:szCs w:val="21"/>
    </w:rPr>
  </w:style>
  <w:style w:type="character" w:customStyle="1" w:styleId="87">
    <w:name w:val="nth-of-type(1)8"/>
    <w:basedOn w:val="25"/>
    <w:qFormat/>
    <w:uiPriority w:val="0"/>
  </w:style>
  <w:style w:type="character" w:customStyle="1" w:styleId="88">
    <w:name w:val="nth-of-type(1)9"/>
    <w:basedOn w:val="25"/>
    <w:qFormat/>
    <w:uiPriority w:val="0"/>
  </w:style>
  <w:style w:type="character" w:customStyle="1" w:styleId="89">
    <w:name w:val="nth-of-type(1)10"/>
    <w:basedOn w:val="25"/>
    <w:qFormat/>
    <w:uiPriority w:val="0"/>
  </w:style>
  <w:style w:type="character" w:customStyle="1" w:styleId="90">
    <w:name w:val="nth-of-type(1)11"/>
    <w:basedOn w:val="25"/>
    <w:qFormat/>
    <w:uiPriority w:val="0"/>
  </w:style>
  <w:style w:type="character" w:customStyle="1" w:styleId="91">
    <w:name w:val="nth-of-type(1)12"/>
    <w:basedOn w:val="25"/>
    <w:qFormat/>
    <w:uiPriority w:val="0"/>
  </w:style>
  <w:style w:type="character" w:customStyle="1" w:styleId="92">
    <w:name w:val="nth-of-type(1)13"/>
    <w:basedOn w:val="25"/>
    <w:qFormat/>
    <w:uiPriority w:val="0"/>
  </w:style>
  <w:style w:type="character" w:customStyle="1" w:styleId="93">
    <w:name w:val="nth-of-type(1)14"/>
    <w:basedOn w:val="25"/>
    <w:qFormat/>
    <w:uiPriority w:val="0"/>
  </w:style>
  <w:style w:type="character" w:customStyle="1" w:styleId="94">
    <w:name w:val="nth-of-type(1)15"/>
    <w:basedOn w:val="25"/>
    <w:qFormat/>
    <w:uiPriority w:val="0"/>
    <w:rPr>
      <w:color w:val="0082DF"/>
    </w:rPr>
  </w:style>
  <w:style w:type="character" w:customStyle="1" w:styleId="95">
    <w:name w:val="nth-of-type(1)16"/>
    <w:basedOn w:val="25"/>
    <w:qFormat/>
    <w:uiPriority w:val="0"/>
  </w:style>
  <w:style w:type="character" w:customStyle="1" w:styleId="96">
    <w:name w:val="nth-of-type(1)17"/>
    <w:basedOn w:val="25"/>
    <w:qFormat/>
    <w:uiPriority w:val="0"/>
    <w:rPr>
      <w:sz w:val="21"/>
      <w:szCs w:val="21"/>
    </w:rPr>
  </w:style>
  <w:style w:type="character" w:customStyle="1" w:styleId="97">
    <w:name w:val="last-child1"/>
    <w:basedOn w:val="25"/>
    <w:qFormat/>
    <w:uiPriority w:val="0"/>
    <w:rPr>
      <w:color w:val="FFFFFF"/>
    </w:rPr>
  </w:style>
  <w:style w:type="character" w:customStyle="1" w:styleId="98">
    <w:name w:val="last-child2"/>
    <w:basedOn w:val="25"/>
    <w:qFormat/>
    <w:uiPriority w:val="0"/>
  </w:style>
  <w:style w:type="character" w:customStyle="1" w:styleId="99">
    <w:name w:val="last-child3"/>
    <w:basedOn w:val="25"/>
    <w:qFormat/>
    <w:uiPriority w:val="0"/>
  </w:style>
  <w:style w:type="character" w:customStyle="1" w:styleId="100">
    <w:name w:val="nth-of-type(2)"/>
    <w:basedOn w:val="25"/>
    <w:qFormat/>
    <w:uiPriority w:val="0"/>
  </w:style>
  <w:style w:type="character" w:customStyle="1" w:styleId="101">
    <w:name w:val="nth-of-type(2)1"/>
    <w:basedOn w:val="25"/>
    <w:qFormat/>
    <w:uiPriority w:val="0"/>
  </w:style>
  <w:style w:type="character" w:customStyle="1" w:styleId="102">
    <w:name w:val="nth-of-type(2)2"/>
    <w:basedOn w:val="25"/>
    <w:qFormat/>
    <w:uiPriority w:val="0"/>
  </w:style>
  <w:style w:type="character" w:customStyle="1" w:styleId="103">
    <w:name w:val="nth-of-type(2)3"/>
    <w:basedOn w:val="25"/>
    <w:qFormat/>
    <w:uiPriority w:val="0"/>
  </w:style>
  <w:style w:type="character" w:customStyle="1" w:styleId="104">
    <w:name w:val="nth-of-type(2)4"/>
    <w:basedOn w:val="25"/>
    <w:qFormat/>
    <w:uiPriority w:val="0"/>
  </w:style>
  <w:style w:type="character" w:customStyle="1" w:styleId="105">
    <w:name w:val="nth-of-type(2)5"/>
    <w:basedOn w:val="25"/>
    <w:qFormat/>
    <w:uiPriority w:val="0"/>
  </w:style>
  <w:style w:type="character" w:customStyle="1" w:styleId="106">
    <w:name w:val="nth-of-type(2)6"/>
    <w:basedOn w:val="25"/>
    <w:qFormat/>
    <w:uiPriority w:val="0"/>
  </w:style>
  <w:style w:type="character" w:customStyle="1" w:styleId="107">
    <w:name w:val="nth-of-type(2)7"/>
    <w:basedOn w:val="25"/>
    <w:qFormat/>
    <w:uiPriority w:val="0"/>
  </w:style>
  <w:style w:type="character" w:customStyle="1" w:styleId="108">
    <w:name w:val="nth-of-type(2)8"/>
    <w:basedOn w:val="25"/>
    <w:qFormat/>
    <w:uiPriority w:val="0"/>
  </w:style>
  <w:style w:type="character" w:customStyle="1" w:styleId="109">
    <w:name w:val="nth-of-type(2)9"/>
    <w:basedOn w:val="25"/>
    <w:qFormat/>
    <w:uiPriority w:val="0"/>
  </w:style>
  <w:style w:type="character" w:customStyle="1" w:styleId="110">
    <w:name w:val="nth-of-type(2)10"/>
    <w:basedOn w:val="25"/>
    <w:qFormat/>
    <w:uiPriority w:val="0"/>
  </w:style>
  <w:style w:type="character" w:customStyle="1" w:styleId="111">
    <w:name w:val="nth-of-type(2)11"/>
    <w:basedOn w:val="25"/>
    <w:qFormat/>
    <w:uiPriority w:val="0"/>
  </w:style>
  <w:style w:type="character" w:customStyle="1" w:styleId="112">
    <w:name w:val="nth-of-type(2)12"/>
    <w:basedOn w:val="25"/>
    <w:qFormat/>
    <w:uiPriority w:val="0"/>
  </w:style>
  <w:style w:type="character" w:customStyle="1" w:styleId="113">
    <w:name w:val="nth-of-type(2)13"/>
    <w:basedOn w:val="25"/>
    <w:qFormat/>
    <w:uiPriority w:val="0"/>
    <w:rPr>
      <w:sz w:val="21"/>
      <w:szCs w:val="21"/>
    </w:rPr>
  </w:style>
  <w:style w:type="character" w:customStyle="1" w:styleId="114">
    <w:name w:val="nth-child(1)"/>
    <w:basedOn w:val="25"/>
    <w:qFormat/>
    <w:uiPriority w:val="0"/>
  </w:style>
  <w:style w:type="character" w:customStyle="1" w:styleId="115">
    <w:name w:val="nth-of-type(10)"/>
    <w:basedOn w:val="25"/>
    <w:qFormat/>
    <w:uiPriority w:val="0"/>
  </w:style>
  <w:style w:type="character" w:customStyle="1" w:styleId="116">
    <w:name w:val="nth-child(3)"/>
    <w:basedOn w:val="25"/>
    <w:qFormat/>
    <w:uiPriority w:val="0"/>
  </w:style>
  <w:style w:type="character" w:customStyle="1" w:styleId="117">
    <w:name w:val="titleshow"/>
    <w:basedOn w:val="25"/>
    <w:qFormat/>
    <w:uiPriority w:val="0"/>
    <w:rPr>
      <w:color w:val="3E464C"/>
    </w:rPr>
  </w:style>
  <w:style w:type="character" w:customStyle="1" w:styleId="118">
    <w:name w:val="before2"/>
    <w:basedOn w:val="25"/>
    <w:qFormat/>
    <w:uiPriority w:val="0"/>
    <w:rPr>
      <w:shd w:val="clear" w:fill="C20E0C"/>
    </w:rPr>
  </w:style>
  <w:style w:type="character" w:customStyle="1" w:styleId="119">
    <w:name w:val="nth-of-type(6)1"/>
    <w:basedOn w:val="25"/>
    <w:qFormat/>
    <w:uiPriority w:val="0"/>
  </w:style>
  <w:style w:type="character" w:customStyle="1" w:styleId="120">
    <w:name w:val="nth-of-type(6)2"/>
    <w:basedOn w:val="25"/>
    <w:qFormat/>
    <w:uiPriority w:val="0"/>
    <w:rPr>
      <w:color w:val="0082DF"/>
    </w:rPr>
  </w:style>
  <w:style w:type="character" w:customStyle="1" w:styleId="121">
    <w:name w:val="nth-of-type(6)3"/>
    <w:basedOn w:val="25"/>
    <w:qFormat/>
    <w:uiPriority w:val="0"/>
  </w:style>
  <w:style w:type="character" w:customStyle="1" w:styleId="122">
    <w:name w:val="nth-of-type(6)4"/>
    <w:basedOn w:val="25"/>
    <w:qFormat/>
    <w:uiPriority w:val="0"/>
  </w:style>
  <w:style w:type="character" w:customStyle="1" w:styleId="123">
    <w:name w:val="nth-of-type(6)5"/>
    <w:basedOn w:val="25"/>
    <w:qFormat/>
    <w:uiPriority w:val="0"/>
  </w:style>
  <w:style w:type="character" w:customStyle="1" w:styleId="124">
    <w:name w:val="nth-of-type(3)1"/>
    <w:basedOn w:val="25"/>
    <w:qFormat/>
    <w:uiPriority w:val="0"/>
  </w:style>
  <w:style w:type="character" w:customStyle="1" w:styleId="125">
    <w:name w:val="nth-of-type(3)2"/>
    <w:basedOn w:val="25"/>
    <w:qFormat/>
    <w:uiPriority w:val="0"/>
  </w:style>
  <w:style w:type="character" w:customStyle="1" w:styleId="126">
    <w:name w:val="nth-of-type(3)3"/>
    <w:basedOn w:val="25"/>
    <w:qFormat/>
    <w:uiPriority w:val="0"/>
  </w:style>
  <w:style w:type="character" w:customStyle="1" w:styleId="127">
    <w:name w:val="nth-of-type(3)4"/>
    <w:basedOn w:val="25"/>
    <w:qFormat/>
    <w:uiPriority w:val="0"/>
  </w:style>
  <w:style w:type="character" w:customStyle="1" w:styleId="128">
    <w:name w:val="nth-of-type(3)5"/>
    <w:basedOn w:val="25"/>
    <w:qFormat/>
    <w:uiPriority w:val="0"/>
  </w:style>
  <w:style w:type="character" w:customStyle="1" w:styleId="129">
    <w:name w:val="nth-of-type(3)6"/>
    <w:basedOn w:val="25"/>
    <w:qFormat/>
    <w:uiPriority w:val="0"/>
  </w:style>
  <w:style w:type="character" w:customStyle="1" w:styleId="130">
    <w:name w:val="nth-of-type(3)7"/>
    <w:basedOn w:val="25"/>
    <w:qFormat/>
    <w:uiPriority w:val="0"/>
    <w:rPr>
      <w:sz w:val="21"/>
      <w:szCs w:val="21"/>
    </w:rPr>
  </w:style>
  <w:style w:type="character" w:customStyle="1" w:styleId="131">
    <w:name w:val="nth-of-type(4)1"/>
    <w:basedOn w:val="25"/>
    <w:qFormat/>
    <w:uiPriority w:val="0"/>
  </w:style>
  <w:style w:type="character" w:customStyle="1" w:styleId="132">
    <w:name w:val="nth-of-type(4)2"/>
    <w:basedOn w:val="25"/>
    <w:qFormat/>
    <w:uiPriority w:val="0"/>
  </w:style>
  <w:style w:type="character" w:customStyle="1" w:styleId="133">
    <w:name w:val="nth-of-type(4)3"/>
    <w:basedOn w:val="25"/>
    <w:qFormat/>
    <w:uiPriority w:val="0"/>
  </w:style>
  <w:style w:type="character" w:customStyle="1" w:styleId="134">
    <w:name w:val="nth-of-type(4)4"/>
    <w:basedOn w:val="25"/>
    <w:qFormat/>
    <w:uiPriority w:val="0"/>
  </w:style>
  <w:style w:type="character" w:customStyle="1" w:styleId="135">
    <w:name w:val="nth-of-type(4)5"/>
    <w:basedOn w:val="25"/>
    <w:qFormat/>
    <w:uiPriority w:val="0"/>
  </w:style>
  <w:style w:type="character" w:customStyle="1" w:styleId="136">
    <w:name w:val="nth-of-type(4)6"/>
    <w:basedOn w:val="25"/>
    <w:qFormat/>
    <w:uiPriority w:val="0"/>
  </w:style>
  <w:style w:type="character" w:customStyle="1" w:styleId="137">
    <w:name w:val="nth-of-type(4)7"/>
    <w:basedOn w:val="25"/>
    <w:qFormat/>
    <w:uiPriority w:val="0"/>
  </w:style>
  <w:style w:type="character" w:customStyle="1" w:styleId="138">
    <w:name w:val="nth-of-type(4)8"/>
    <w:basedOn w:val="25"/>
    <w:qFormat/>
    <w:uiPriority w:val="0"/>
    <w:rPr>
      <w:sz w:val="21"/>
      <w:szCs w:val="21"/>
    </w:rPr>
  </w:style>
  <w:style w:type="character" w:customStyle="1" w:styleId="139">
    <w:name w:val="layui-this4"/>
    <w:basedOn w:val="25"/>
    <w:qFormat/>
    <w:uiPriority w:val="0"/>
    <w:rPr>
      <w:bdr w:val="single" w:color="EEEEEE" w:sz="6" w:space="0"/>
      <w:shd w:val="clear" w:fill="FFFFFF"/>
    </w:rPr>
  </w:style>
  <w:style w:type="paragraph" w:customStyle="1" w:styleId="14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1">
    <w:name w:val="标题 1 Char1"/>
    <w:qFormat/>
    <w:uiPriority w:val="99"/>
    <w:rPr>
      <w:rFonts w:ascii="黑体" w:eastAsia="黑体"/>
      <w:sz w:val="5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31848</Words>
  <Characters>33277</Characters>
  <Lines>289</Lines>
  <Paragraphs>81</Paragraphs>
  <TotalTime>9</TotalTime>
  <ScaleCrop>false</ScaleCrop>
  <LinksUpToDate>false</LinksUpToDate>
  <CharactersWithSpaces>35282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cp:lastPrinted>2022-05-10T07:51:00Z</cp:lastPrinted>
  <dcterms:modified xsi:type="dcterms:W3CDTF">2023-03-06T01:27:48Z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90D884A30ACE4E0EB8954C91811176FD</vt:lpwstr>
  </property>
</Properties>
</file>