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9"/>
          <w:szCs w:val="39"/>
        </w:rPr>
      </w:pPr>
      <w:r>
        <w:rPr>
          <w:rFonts w:hint="eastAsia"/>
          <w:b/>
          <w:bCs/>
          <w:sz w:val="39"/>
          <w:szCs w:val="39"/>
        </w:rPr>
        <w:t>关于</w:t>
      </w:r>
      <w:r>
        <w:rPr>
          <w:rFonts w:hint="eastAsia"/>
          <w:b/>
          <w:bCs/>
          <w:sz w:val="39"/>
          <w:szCs w:val="39"/>
          <w:lang w:eastAsia="zh-CN"/>
        </w:rPr>
        <w:t>白水县中医医院康复能力及信息化建设项目</w:t>
      </w:r>
      <w:r>
        <w:rPr>
          <w:rFonts w:hint="eastAsia"/>
          <w:b/>
          <w:bCs/>
          <w:sz w:val="39"/>
          <w:szCs w:val="39"/>
        </w:rPr>
        <w:t>的采购需求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bidi="ar"/>
        </w:rPr>
        <w:t>一、项目概况及预算情况：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项目名称：白水县中医医院康复能力及信息化建设项目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采购人：白水县中医医院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项目实施地点：采购人指定地点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采购内容：白水县中医医院康复能力及信息化建设项目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项目预算1,615,241.00元，共划分两个合同包：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合同包1：白水县中医医院信息化建设，主要采购防火墙、日志审计、堡垒机、数据库审计等硬件及软件系统，预算450,000.00元；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合同包2：白水县中医医院康复能力建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设，主要采购生物反馈刺激仪、产后康复治疗仪等设备共15台，预算1,165,241.00元。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bidi="ar"/>
        </w:rPr>
        <w:t>采购标的具体情况：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1.项目名称：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白水县中医医院康复能力及信息化建设项目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2.采购内容、数量：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合同包1：</w:t>
      </w:r>
    </w:p>
    <w:tbl>
      <w:tblPr>
        <w:tblStyle w:val="9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00"/>
        <w:gridCol w:w="5031"/>
        <w:gridCol w:w="696"/>
        <w:gridCol w:w="72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规模参数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right="13" w:rightChars="6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下一代防火墙</w:t>
            </w:r>
          </w:p>
        </w:tc>
        <w:tc>
          <w:tcPr>
            <w:tcW w:w="5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U标准机架式，含交流双电源，1个RJ45串口，2个GE管理口，2个USB接口，6个千兆电口代防(3对bypass)，4个千兆光口，2个接口扩展槽(4GE4SFP/4SFP+/2SFP+)，面板带液晶显，硬盘256G固态硬盘，三层吞吐量8Gbps，应用层吞吐量3Gbps，最大并发会话数400台，每秒新增会话数8万；配置入侵防护模块。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日志审计</w:t>
            </w:r>
          </w:p>
        </w:tc>
        <w:tc>
          <w:tcPr>
            <w:tcW w:w="5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U标准机架式，交流双电源，专用硬件平台和安全操作系统，1个Concole口，2个GE口，支持多端口采集，4个GE电口，3个接口扩展槽(4GE/4SFP/8GE/8SFP/2SFP+/4SFP+)，存储容量4TB，授权可接入50个日志源，可购买授权扩展，单台日志处理性能：平均3000EPS。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堡垒机</w:t>
            </w:r>
          </w:p>
        </w:tc>
        <w:tc>
          <w:tcPr>
            <w:tcW w:w="5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1U标准机架式，交流单电源，1个RJ45串口，1个GE管理口，4个千兆电口，1个接口扩展槽机(4GE/4SFP/8GE/8SFP/4GE4SFP/2SFP+)，最大字符并发会话数770，最大图形并发会话数350，2T硬盘，授权管理50台设备。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5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U标准机架式，交流双电源，1个RJ45串口，1个GE管理口，1个HA口，2个USB接口，6个千库审兆电口，4个千兆光口，2个接口扩展槽位，SQL处理性能30000条/秒，入库语句量30000条秒，并发会话3000个，纯数据库网络吞吐量平均值300Mbit/秒，在线日志量15亿条，归档日志量40亿条，建议最大添加数据库实例数12个。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终端病毒防护</w:t>
            </w:r>
          </w:p>
        </w:tc>
        <w:tc>
          <w:tcPr>
            <w:tcW w:w="5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系统中心，实现终端安全系统的集中管理、策略配置、报表查看等功能。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终端1OO点Windows客户端全功能版授权许可，提供病毒防护、漏洞管理、边界管理、网络管控XP防护盾、流量管控、资产管理、外设管控、U盘管控、远程桌面等功能。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5点Windows服务器全功能版授权许可，提供病毒防护、漏洞管理、边界管理、软件管理、XP防护盾、流量管控、资产管理、外设管控、U盘管控、远程桌面等功能。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5点Liux服务器端授权许可，提供智能更新、定时查杀等功能。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设备小计（带安装，3年升级维保）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2个三级系统测评费用(HIS系统、LIS系统)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2" w:firstLineChars="200"/>
        <w:textAlignment w:val="auto"/>
        <w:outlineLvl w:val="9"/>
        <w:rPr>
          <w:rFonts w:hint="eastAsia" w:ascii="宋体" w:hAnsi="宋体" w:cs="宋体"/>
          <w:b/>
          <w:bCs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合同包2：</w:t>
      </w:r>
    </w:p>
    <w:tbl>
      <w:tblPr>
        <w:tblStyle w:val="8"/>
        <w:tblW w:w="8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908"/>
        <w:gridCol w:w="1327"/>
        <w:gridCol w:w="1687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需求设备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生物反馈刺激仪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185333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产后康复治疗仪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79413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吞咽功能评定康复训练系统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脑循环功能治疗仪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70000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上下肢自反馈康复训练仪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118259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195000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骨科牵引床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2张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84720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红外线灸疗机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30093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氦氖激光治疗仪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46157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风湿治疗仪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20943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骨质增生治疗仪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46280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1165240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400" w:lineRule="exact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21"/>
          <w:szCs w:val="21"/>
        </w:rPr>
        <w:t>生物反馈助力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21"/>
          <w:szCs w:val="21"/>
          <w:shd w:val="clear" w:color="auto" w:fill="auto"/>
          <w:lang w:val="en-US" w:eastAsia="zh-CN"/>
        </w:rPr>
        <w:t>电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21"/>
          <w:szCs w:val="21"/>
        </w:rPr>
        <w:t>刺激仪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电源：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  <w:t>输入交流100V～240V，50Hz～60Hz，0.3A；输出为直流5V，2A；电池输出为直流8V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±5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  <w:t>系统噪声：≤luV。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差模输入阻抗：≥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  <w:t>5MΩ。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共模抑制比：≥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  <w:t>100dB。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反馈值：10uV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eastAsia="zh-CN"/>
        </w:rPr>
        <w:t>～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1000uV，允差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  <w:t>±2uV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示值准确度：误差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eastAsia="zh-CN"/>
        </w:rPr>
        <w:t>±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2uV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  <w:t>分辨率（测量灵敏度）：≤2uV。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通频带：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  <w:t>20Hz～500Hz（-3dB）（不包括陷波波段）。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工频陷波器：50Hz/100uV，信号衰减后幅值≤5uV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工作模式：电刺激模式、触发电刺激模式、助力电刺激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  <w:t>、镜像电刺激（主机）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11.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输出强度：0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eastAsia="zh-CN"/>
        </w:rPr>
        <w:t>～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60mA，允差±2mA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  <w:t>一主多从，轻巧便携，治疗场所无限制；满足多患者同时使用主机操作；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可定制个性化的治疗方案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zh-CN"/>
        </w:rPr>
        <w:t>治疗过程中患者只需佩带低频电刺激仪即可。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400" w:lineRule="exact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lang w:val="en-US" w:eastAsia="zh-CN"/>
        </w:rPr>
        <w:t>二、产后康复治疗仪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1.显示方式：≥12英寸触摸液晶屏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2.尺寸规格：（长510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sym w:font="Symbol" w:char="F0B4"/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宽480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sym w:font="Symbol" w:char="F0B4"/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高960）mm，允差±10%；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3.输出通道：≥六通道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4.两种治疗模式：产后康复+盆底康复；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5.产后电极片：椭圆形电极片、环形电极片和半圆形电极片；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6.产后治疗处方：≥三种治疗处方（乳汁分泌少、术后镇痛、子宫复旧）；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7.输出强度：电极片输出幅度≤30V；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8.电极片输出载波频率：800Hz；允差±20%；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9.电极片输出调制波频率：0Hz，1.1Hz，1.7Hz，3.3Hz，4.5Hz，5Hz，6.3Hz，6.7Hz，8.3Hz，12.5Hz。允差±10%；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10.电极片输出载波波形：方波；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11.电极片输出调制波波形：连续波、三角波、梯形波等；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12.电极片输出脉冲宽度：300us，允差±10%；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13.盆底电极：腔内电极和腔内探头；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14.腔内电极输出频率：2Hz～100Hz，步进1Hz，允差±10%；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15.腔内电极输出波形：双向不对称方波；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★16.盆底检测基础气压：≥7kpa，肌力等级≥8级可调；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17.腔内电极输出幅度≤50V；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18.盆底模块有≥12种治疗处方，其中≥3个自定义处方。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19.具备腔内电极报警功能，通道停止输出，并有声音提示；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20.治疗时间：定时范围1min～99min可调，级差1min，允差±30s。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21.电极片具有一类医疗器械备案信息；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6651625</wp:posOffset>
            </wp:positionH>
            <wp:positionV relativeFrom="paragraph">
              <wp:posOffset>-2655570</wp:posOffset>
            </wp:positionV>
            <wp:extent cx="1624965" cy="2586990"/>
            <wp:effectExtent l="0" t="0" r="13335" b="381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258699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22.生产企业通过环境管理体系认证和职业健康安全管理体系认证。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400" w:lineRule="exact"/>
        <w:ind w:left="0" w:leftChars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21"/>
          <w:szCs w:val="21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sz w:val="21"/>
          <w:szCs w:val="21"/>
          <w:lang w:val="en-US" w:eastAsia="zh-CN"/>
        </w:rPr>
        <w:t>吞咽功能评定康复训练系统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1.治疗模式：连续脉冲治疗模式；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★2.GAME模式具有力量训练、耐力训练、协调性训练等≥三种主动肌电反馈训练程序，并在软件程序上有显示；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3.具备电极分离技术；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4.sEMG和NMES模式使用1电极电缆。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5.低电量报警提示功能。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6.具有输出保护功能。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7.输出波形：双向方波。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8.充电式锂离子聚合电池及微型USB充电端口。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9.程序具有数据存储功能。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10.储存的数据信息可通过蓝牙传输下载到iPad。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11.最大使用电流限制保护功能：具有电流安全保护程序，软件程序可控制主机进行二次电流限制保护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12.反馈阈值：10μV～1000μV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13.分辨率(测量灵敏度)：1μV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14.通频带：通频带应20Hz～500Hz(±3dB)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15.电源：电压d.c.8.0V，容量≥650mAh；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16.工作电流：0-60mA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17.频率：2Hz～100Hz可调。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18.脉冲宽度：200μs，允差±10%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19.脉冲强度：幅度0～60mA可调；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20.输出强度：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left="0" w:leftChars="0" w:firstLine="793" w:firstLineChars="378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sz w:val="21"/>
          <w:szCs w:val="21"/>
        </w:rPr>
        <w:t>0-5mA时，强度增量为1mA</w:t>
      </w:r>
      <w:r>
        <w:rPr>
          <w:rFonts w:hint="eastAsia" w:ascii="宋体" w:hAnsi="宋体" w:eastAsia="宋体" w:cs="宋体"/>
          <w:color w:val="000000"/>
          <w:spacing w:val="0"/>
          <w:w w:val="1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left="0" w:leftChars="0" w:firstLine="793" w:firstLineChars="378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sz w:val="21"/>
          <w:szCs w:val="21"/>
        </w:rPr>
        <w:t>5-21mA时，强度增量为0.5mA</w:t>
      </w:r>
      <w:r>
        <w:rPr>
          <w:rFonts w:hint="eastAsia" w:ascii="宋体" w:hAnsi="宋体" w:eastAsia="宋体" w:cs="宋体"/>
          <w:color w:val="000000"/>
          <w:spacing w:val="0"/>
          <w:w w:val="1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Autospacing="0" w:afterAutospacing="0" w:line="400" w:lineRule="exact"/>
        <w:ind w:left="0" w:leftChars="0" w:firstLine="793" w:firstLineChars="378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sz w:val="21"/>
          <w:szCs w:val="21"/>
        </w:rPr>
        <w:t>21mA以上时，强度增量为0.1mA。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400" w:lineRule="exact"/>
        <w:ind w:left="0" w:leftChars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四、脑循环功能治疗仪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1.额定输入功率：255VA。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2.两路磁场输出：两路小脑顶核电刺激输出和四路肢体电刺激输出。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3.尺寸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3.1主机尺寸：长570mm、宽620mm、高990mm，允差±10%。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3.2治疗帽尺寸：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3.2.1治疗帽是由≥9个电磁体用导线连接而成，电磁体大号外径80mm、厚25mm，小号外径52mm、厚20mm，允差±3mm。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3.2.2治疗帽连线：长1800mm，允差±100mm。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3.3电极板电极线：长1800mm，允差±100mm。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3.4电极板尺寸：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3.4.1硅胶电极板两种：长85mm、宽55mm和长107mm、宽72mm，允差±10%；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3.4.2自粘电极板两种：方形：长95mm、宽60mm，允差±10%；月牙形：长61mm，宽35mm，允差±10%。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4.磁场输出性能：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4.1变频磁场感应频率有5Hz、10Hz、20Hz、30Hz、40Hz、50Hz六种频率输出，允差±10%。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4.2定频模式：可在≥六种频率中选定任一频率输出。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4.3变频模式：可自动连续变频，自动切换一次需10s允差±1s。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4.4磁感应强度：每个电磁体磁感应强度分两档输出，弱档：3mT～13mT；强档：13mT～25mT；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4.5治疗时间可分20min和30min两档，允差±1min。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highlight w:val="none"/>
          <w:lang w:val="en-US" w:eastAsia="zh-CN"/>
        </w:rPr>
        <w:t>★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5.小脑顶核刺激性能：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5"/>
        </w:tabs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5.1治疗仪输出波形有：连续波、疏密波、轻捶波、按摩波E1、按摩波E2、按摩波E3。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5.2连续波、疏密波、轻捶波为非对称双向三角尖波，性能有：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5.2.1连续波、轻捶波脉冲周期范围：0.01s～2.0s可调，允差±10％；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5.2.2疏密波中密波脉冲周期范围：0.01s～2.0s可调，允差±10%，疏波脉冲周期范围：0.025s～5.0s可调，允差±10％；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5.2.3密波频率：疏波频率＝5：2。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5.3按摩波E1：由三角波对轻捶波进行幅度调制波形。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5.3.1调制波为三角波，调制波周期为10s，允差±10%；载波周期20ms～240ms可调，允差±10%。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5.3.2调幅度为100％，允差±15％。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5.4按摩波E2：由锯齿波对轻捶波进行幅度调制波形。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5.4.1调制波为锯齿波，调制波周期为10s，允差±10%；载波周期20ms～240ms可调，允差±10%。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5.4.2调幅度为100％，允差±15％。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5.5按摩波E3由变宽度的连续波、变周期的轻捶波、疏密波组成。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5.6输出脉冲强度为：0～42Vpp，允差±10％，分0～99级可调（负载电阻500Ω）。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5.7小脑顶核电刺激治疗时间为20min，允差±1min。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highlight w:val="none"/>
          <w:lang w:val="en-US" w:eastAsia="zh-CN"/>
        </w:rPr>
        <w:t>★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6.肢体电刺激性能：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6.1工作频率范围：2kHz～10kHz，单一频率允差±10%。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6.2调制频率范围：0～150Hz，单一频率允差±10%。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6.3波形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6.3.1载波：双向方波，脉宽50us～250us，允差±10％；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6.3.2调制波形有正弦波、方波、三角波、指数波、锯齿波、尖波、等幅波。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6.4调制方式有连续、断续、间歇、变频和交替调制。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6.5肢体电刺激处方≥60个。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6.6输出电流≤100mA，分0～99级可调，。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6.7加热电极板表面温度范围：38℃～55℃，分级可调，允差±15%。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6.8中频治疗时间：治疗时间结束，有声音提示，并停止输出，允差±1min。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6.9中频调幅度范围：0%、25%、50%、75%、100%，允差±5％。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7.干扰电性能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7.1工作频率：4kHz，允差±10％。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7.2调制频率：0.125Hz，允差±10％。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7.3差频频率：8Hz，16Hz，24Hz，32Hz，40Hz，48Hz，64Hz，80Hz，96Hz，112Hz，允差±10％或±1Hz取较大值。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7.4调幅度：0%、100%，允差±5％。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7.5输出电流：在500Ω的负载下，每路输出电流≤100mA。分0～99级可调，步进1。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7.6输出电流稳定度≤10%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8.电源电压波动：允差±10%。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9.输出峰值电压：输出峰值电压≤500V。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10.运行：输出设定到最大值时，将输出端开路运行10min后再短路运行5min。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11.电极板：具有第一类备案凭证的产品。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12.工作噪音≤60dB(A)。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13.公司通过环境管理体系认证和职业健康安全管理体系认证。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14.产品通过ISO9001、13485医疗器械质量管理体系认证。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16.入选国家中医药管理局中医诊疗设备推荐产品目录。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400" w:lineRule="exact"/>
        <w:ind w:left="0" w:leftChars="0" w:firstLine="42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0"/>
          <w:w w:val="100"/>
          <w:sz w:val="21"/>
          <w:szCs w:val="21"/>
          <w:lang w:eastAsia="zh-CN"/>
        </w:rPr>
        <w:t>五、上下肢自动反馈康复训练仪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1.额定输入功率：80VA。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2.外形尺寸（长×宽×高）：700mm×650mm×1200mm，允差±10%。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3.显示方式：触摸屏。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4.屏幕水平方向0°～180°可调，允差±10%；上肢训练部分水平方向0°～180°可调，允差±10%；产品立杆伸缩调节，可调节范围0～100mm，允差±10%。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5.可选配情景互动。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★6.主动模式：主动阻力矩，1Nm～15Nm，允差±5%，分≥15档设定，步进为1Nm；初始设定为1档，每档递增1Nm；在训练过程中显示屏会显示当前的速度，训练时间和阻力；训练结束后，训练结果会在屏幕上显示。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★7.被动模式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7.1训练时间可调，调节范围：1min～60min，允差±30s，步进为1min，默认20min；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7.2训练速度可调，调节范围：5rpm～55rpm，允差±5rpm，步进1rpm，默认20rpm；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7.3运动方向可调，有正和逆两种运动方向；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7.4电机输出分为高、中、低3档（允差±20%）：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7.5痉挛功能可选择开启和关闭，痉挛次数训练结束后会在屏幕上显示；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7.6痉挛后方向可调，其方向为固向和变向；固向是痉挛后，旋转方向都与原方向一致；变向是痉挛后，旋转方向都与原方向相反。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8.训练结果显示：显示屏会显示锻炼时间，主动时间，左平衡比例、右平衡比例、被动时间、痉挛次数、卡路里、距离。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9.训练仪工作噪音≤60dB（A）。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10.产品通过CE认证。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11.公司通过环境管理体系认证和职业健康安全管理体系认证。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12.产品通ISO9001、13485医疗器械质量管理体系认证。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13.具有医疗器械注册证。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400" w:lineRule="exact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pacing w:val="0"/>
          <w:w w:val="100"/>
          <w:sz w:val="21"/>
          <w:szCs w:val="21"/>
          <w:lang w:eastAsia="zh-CN"/>
        </w:rPr>
        <w:t>六、微波治疗仪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1.额定输入功率：800VA；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2.辐射器尺寸：Φ80×95mm，允差±5mm；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3.配有可旋转支臂；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4.治疗时间：0～30min，连续可调，级差1min；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5.输出方式：连续式和脉冲式；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6.辐射器驻波比≤3；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7.外形尺寸：390mm×440mm×845mm，允差±5㎜；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8.工作频率：2450MHz±50MHz；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★9.输出功率：双路输出，每路为0～50W连续可调，级差1W；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10.双路辐射器输出；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11.入选国家中医药管理局中医诊疗设备推荐目录；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12.产品通过IS09001、13485医疗器械质量管理体系认证；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13.生产厂家通过环境管理体系和职业健康安全管理体系认证。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400" w:lineRule="exact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sz w:val="21"/>
          <w:szCs w:val="21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21"/>
          <w:szCs w:val="21"/>
          <w:highlight w:val="none"/>
          <w:lang w:eastAsia="zh-CN"/>
        </w:rPr>
        <w:t>骨科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21"/>
          <w:szCs w:val="21"/>
          <w:highlight w:val="none"/>
        </w:rPr>
        <w:t>牵引床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1.额定输入功率：100VA；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2.尺寸：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2.1牵引床板：长1200mm×宽600mm，允差±10%；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2.2升降床板：长735mm×宽600mm，允差±10%，床板各部分之间的间隙≤8mm；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3.颈椎牵引立柱横梁到地面高度为2150mm，允差±10%；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4.微电脑控制牵引，时间力量均由程序控制；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5.总时间、持续及间歇时间、牵引力均由数码管显示；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6.腰椎牵引行程：0～200mm，允差±10mm；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7.腰椎牵引总时间：0～99min范围内设定，级差1min，允差≤30s。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8.腰椎牵引速度：腰椎牵引时空载运行牵引床板的牵引速度在5mm/s～12mm/s范围内；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9.腰椎牵引力：0～990N范围内可调，级差10N，实际输出的牵引力与预置值的偏差：牵引力≤200N时，允差±10N；牵引力&gt;200N时，允差±50N；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10.颈椎牵引力：0～300N范围内可调，级差10N，实际输出的牵引力与预置值的偏差：牵引力≤200N时，允差±10N；牵引力于&gt;200N时，允差±50N。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11.牵引床的牵引时间调节范围：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11.1腰椎牵引：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牵引总时间可在0～99min范围内设定，级差1min，允差≤30s；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牵引时间可在0～9min范围内设定，级差1min，误差≤30s；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间歇时间可在0～9min范围内设定，级差1min，误差≤30s。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11.2颈椎牵引：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牵引总时间可在0～99min范围内设定，级差1min，允差≤于30s；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牵引时间可在0～9min范围内设定，级差1min，允差≤30s；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间歇时间可在0～9min范围内设定，级差1min，允差≤30s。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12.牵引床显示功能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数码管显示：停机状态时显示牵引力、牵引时间的设定数值；运行状态时显示牵引力、牵引时间的实际数值。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13.颈椎牵引行程：0～300mm，允差±10mm；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14.颈椎牵引总时间：0～99min范围内设定，级差1min，允差≤30s；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15.成角动作范围：-10°～+30°连续可调*，允差±2°，成角零位误差≤±1°；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16旋转动作范围：左右各25°连续可调*，允差±2°，左右旋转动作速度：165°/min，允差±15%；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17.热疗功能：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17.1牵引床加热功能：床面工作温度45℃，允差±3℃；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17.2牵引床具有两路独立的超温保护装置。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17.3当温度超过工作温度时，第一路加热保护装置启动，停止加热，当温度降低到工作温度以下后可以恢复加热，保护装置动作温度不得超过工作温度的±3℃；如果第一路加热保护装置失效时，造成温度升高到60℃时，第二路加热保护装置动作，切断输出且不可自动恢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18.拥有腰部热疗系统。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19.承载：牵引床。承载患者体重≤150kg；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20.牵引床设有应急复位线控手柄开关，牵引力变化速率≤80N/s。若紧急保护措施失效，则治疗过程不能开始。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21.三维立体牵引，可做平面纵向牵引、上成角牵引、下成角牵引、自动旋转侧扳牵引，上述三种功能可单独使用，也可组合使用。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22.具有≥8种牵引模式；牵引力自动补偿功能。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23.20种治疗方案存储并读取。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24.颈腰椎一体化牵引，可以针对两个患者分别或同时进行颈椎或腰椎牵引。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25.多种安全设计（最大牵引力990N，患者应急线控手柄开关、医务人员操作急退键）。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26.具有上位机软件功能：设置及查看设置参数，启动/停止牵引，手动调节腰椎牵引成角、旋转、和平摆角度，查看实时牵引力、时间、牵引力-时间曲线，治疗处方管理，病历档案管理功能，储存功能，打印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27.牵引床噪音≤60dB；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28.产品通过（NQA）CE认证证书；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29.入选国家中医药管理局中医诊疗设备推荐产品目录；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30.产品通过ISO9001、13485医疗器械质量管理体系认证。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400" w:lineRule="exact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</w:rPr>
        <w:t>红外光灸疗机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1.安全类型：I类，B型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2.电源：AC220V，频率：50Hz。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★3.红外光波长范围580nm～1050nm；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4.红外光治疗光功率输出≥10W，允差±2W；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5.红外光光疗档位三档可调；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6.光疗频率：on、60Hz、50Hz、25Hz、10Hz、5Hz，on为常亮；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7.艾灸加热温度100—160度；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8.红光与艾灸可同时输出；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9.工作时间1min-99min可调，级差1min，允差±10s；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10.支臂调节方便，艾灸治疗头三维方向可调；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11.具有艾灸能量裙；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12.具有防倾倒保护功能；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13.入选新冠肺炎疫情防治急需医学装备目录；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14.公司通过环境管理体系认证和职业健康安全管理体系认证；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15.产品通过ISO9001、13485医疗器械质量管理体系认证。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bidi w:val="0"/>
        <w:spacing w:beforeAutospacing="0" w:afterAutospacing="0" w:line="400" w:lineRule="exact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t>九、氦氖激光治疗仪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1.激光器类型：封离型氦氖激光器；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2.工作波长：≥630nm；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3.最大输出功率：50mW；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★4.激光输出功率可调：30mW，40mW，50mW三档输出；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5.光纤输出末端功率：20mW×2；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6.电压：9KV；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7.光斑模式：多模；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8.稳定工作电流：18毫安±1；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9.定时时间：0-99小时；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10.相对湿度：≤80%；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11.大气压力：860～1060hpa；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12.运输储存条件：环境温度范围：-40℃～+70℃；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13.相对湿度范围：10%～100%，包括冷凝；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14.大气压力范围：500～1060hpa；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15.外型尺寸：320×220×1050毫米，±10㎜；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16.仪器配有功率检测装置，可检测功率；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17.仪器配有圆筒型扩束镜。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十、GF-1型风湿治疗仪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1.输出直流电流：用500Ω误差≤10%负载测量时，测量值0～40mA±10％，可调；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2.输出脉冲电压：用500Ω误差≤10%负载测量时，测量值0～35V（峰值）±20％，可调；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3.输出脉冲频率：用500Ω误差≤10%负载测量时，测量值1～140Hz±10％，可调；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4.输出脉冲宽度：用500Ω误差≤10%负载测量时，测量值≤1.2ms±25％。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5.输出路数：≥4路；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6.运行模式：连续工作；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7.输入功率：≤40VA(加热≤100VA)；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8.定时时间：30min±20％（液晶、触摸屏60min±20％可调）；定时结束时应能发出提示信号；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9.开路输出：电压≤500V；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10.结构型式：台式。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400" w:lineRule="exact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spacing w:val="0"/>
          <w:w w:val="100"/>
          <w:kern w:val="0"/>
          <w:sz w:val="21"/>
          <w:szCs w:val="21"/>
          <w:lang w:eastAsia="zh-CN"/>
        </w:rPr>
        <w:t>十一、</w:t>
      </w: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lang w:val="en-US" w:eastAsia="zh-CN"/>
        </w:rPr>
        <w:t>GF-1A型</w:t>
      </w: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lang w:eastAsia="zh-CN"/>
        </w:rPr>
        <w:t>骨质增生</w:t>
      </w: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</w:rPr>
        <w:t>治疗仪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1.输出直流电流：用500Ω误差≤10%负载测量时，测量值0～40mA±10％，可调；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2.输出脉冲电压：用500Ω误差≤10%负载测量时，测量值0～35V（峰值）±20％，可调；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3.输出脉冲频率：用500Ω误差≤10%负载测量时，测量值1～140Hz±10％，可调；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4.输出脉冲宽度：用500Ω误差≤10%负载测量时，测量值≤1.2ms±25％。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5.输出路数：≥4路；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6.运行模式：连续工作；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7.输入功率：≤40VA(加热≤100VA)；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8.辅助热疗：高、中、低三挡可选；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9.定时时间：30min±20％（液晶、触摸屏60min±20％可调）；定时结束时应能发出提示信号；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10.显示模式：液晶屏显示；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11.开路输出：电压≤500V(峰值)；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  <w:t>12.结构型式：立式（推车）。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3.需实现的功能或者目标：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随着科学技术的不断发展，高科技医疗诊治设备越来越多地应用于临床，医院为了进一步改善诊查条件，提高诊查水平，方便患者就医，切实提高医疗服务质量，促进医院发展；需满足的要求:产品合格，满足临床诊查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4.需满足的国家相关标准、行业标准、地方标准或者其他标准、规范：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满足国家相关标准、行业标准、地方标准或者其他标准、规范。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5.需满足的采购政策：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落实节约能源、保护环境。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6.项目交付或者实施的时间和地点：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签订合同后按采购人要求时间供货，接到采购人供货通知之日起60天内完成安装调试；地点：采购人指定地点。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7.付款条件（进度和方式）：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付款进度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/>
        </w:rPr>
        <w:t>双方协商确定，付款方式按照支付程序进行银行转账。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8.需满足的服务标准、期限、效率等要求：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（1）服务标准要求：执行采购要求。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（2）服务期限要求：签订合同后按采购人要求时间供货，接到采购人供货通知之日起60天内完成安装调试。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9.项目售后服务及验收标准：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国家、省市相关规范，满足《白水县中医医院康复能力及信息化建设项目项目供货合同》中的标准要求及其他相关专业现行规范。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10.其他技术、服务等要求：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执行采购要求。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4800" w:firstLineChars="20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白水县中医医院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4800" w:firstLineChars="200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sectPr>
      <w:footerReference r:id="rId3" w:type="default"/>
      <w:pgSz w:w="11906" w:h="16838"/>
      <w:pgMar w:top="1417" w:right="1417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C9958"/>
    <w:multiLevelType w:val="multilevel"/>
    <w:tmpl w:val="E41C9958"/>
    <w:lvl w:ilvl="0" w:tentative="0">
      <w:start w:val="1"/>
      <w:numFmt w:val="chineseCountingThousand"/>
      <w:pStyle w:val="2"/>
      <w:suff w:val="space"/>
      <w:lvlText w:val="第 %1 章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Arial" w:hAnsi="Arial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36"/>
        <w:u w:val="none"/>
        <w:shd w:val="clear" w:color="auto" w:fill="auto"/>
        <w:vertAlign w:val="baseline"/>
        <w:lang w:val="en-US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Arial" w:hAnsi="Arial" w:eastAsia="黑体"/>
        <w:b w:val="0"/>
        <w:i w:val="0"/>
        <w:sz w:val="30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 w:ascii="Arial" w:hAnsi="Arial" w:eastAsia="黑体"/>
        <w:b w:val="0"/>
        <w:i w:val="0"/>
        <w:sz w:val="28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</w:abstractNum>
  <w:abstractNum w:abstractNumId="1">
    <w:nsid w:val="FD461E82"/>
    <w:multiLevelType w:val="singleLevel"/>
    <w:tmpl w:val="FD461E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MzIzNjBlNDAwZTc4OGY3YWFhZGZiMmRjYTMzYTAifQ=="/>
  </w:docVars>
  <w:rsids>
    <w:rsidRoot w:val="00172A27"/>
    <w:rsid w:val="00122BD2"/>
    <w:rsid w:val="00412AA9"/>
    <w:rsid w:val="005571C2"/>
    <w:rsid w:val="00635C19"/>
    <w:rsid w:val="00CE3907"/>
    <w:rsid w:val="00E05BFE"/>
    <w:rsid w:val="00F12F49"/>
    <w:rsid w:val="024C3E77"/>
    <w:rsid w:val="050D470B"/>
    <w:rsid w:val="058F34B0"/>
    <w:rsid w:val="06CE3BC3"/>
    <w:rsid w:val="08F17FDE"/>
    <w:rsid w:val="0AAC5250"/>
    <w:rsid w:val="0B403EC7"/>
    <w:rsid w:val="0C7E7DDA"/>
    <w:rsid w:val="0C992E66"/>
    <w:rsid w:val="0CBB4B8B"/>
    <w:rsid w:val="0E0D7668"/>
    <w:rsid w:val="0F672DA8"/>
    <w:rsid w:val="10A67900"/>
    <w:rsid w:val="113F222E"/>
    <w:rsid w:val="115B311E"/>
    <w:rsid w:val="11E46932"/>
    <w:rsid w:val="139879D4"/>
    <w:rsid w:val="14BA60F5"/>
    <w:rsid w:val="15057A69"/>
    <w:rsid w:val="167A3002"/>
    <w:rsid w:val="16BE1E47"/>
    <w:rsid w:val="170B670F"/>
    <w:rsid w:val="17464CDE"/>
    <w:rsid w:val="17AF1790"/>
    <w:rsid w:val="17E4768B"/>
    <w:rsid w:val="18694637"/>
    <w:rsid w:val="18E45469"/>
    <w:rsid w:val="19C0147E"/>
    <w:rsid w:val="1A9464B7"/>
    <w:rsid w:val="1AAD755E"/>
    <w:rsid w:val="1AD70263"/>
    <w:rsid w:val="1AEB1DCA"/>
    <w:rsid w:val="1C0262FB"/>
    <w:rsid w:val="1C882225"/>
    <w:rsid w:val="1D263240"/>
    <w:rsid w:val="1D882867"/>
    <w:rsid w:val="1E8355C8"/>
    <w:rsid w:val="1EA347AD"/>
    <w:rsid w:val="20AD7B13"/>
    <w:rsid w:val="20E24984"/>
    <w:rsid w:val="21612EEB"/>
    <w:rsid w:val="21C376EF"/>
    <w:rsid w:val="22C04851"/>
    <w:rsid w:val="23065623"/>
    <w:rsid w:val="24E76A0D"/>
    <w:rsid w:val="256B326E"/>
    <w:rsid w:val="25BF34E6"/>
    <w:rsid w:val="28B06B6E"/>
    <w:rsid w:val="29D56336"/>
    <w:rsid w:val="2A7B3B35"/>
    <w:rsid w:val="2A824193"/>
    <w:rsid w:val="2CD31625"/>
    <w:rsid w:val="2D3860EC"/>
    <w:rsid w:val="2F661BFB"/>
    <w:rsid w:val="2FA71273"/>
    <w:rsid w:val="30656A38"/>
    <w:rsid w:val="309B0A3D"/>
    <w:rsid w:val="312F1291"/>
    <w:rsid w:val="31C53C32"/>
    <w:rsid w:val="3261426C"/>
    <w:rsid w:val="341B3FDD"/>
    <w:rsid w:val="34E22D4D"/>
    <w:rsid w:val="359159AE"/>
    <w:rsid w:val="363E4A4D"/>
    <w:rsid w:val="36BB5604"/>
    <w:rsid w:val="373977C8"/>
    <w:rsid w:val="39D0586A"/>
    <w:rsid w:val="3A664B30"/>
    <w:rsid w:val="3C4F4D84"/>
    <w:rsid w:val="3CAB6BC1"/>
    <w:rsid w:val="3CB43221"/>
    <w:rsid w:val="3CD411CD"/>
    <w:rsid w:val="3DF245B0"/>
    <w:rsid w:val="3E1C369B"/>
    <w:rsid w:val="407C22A8"/>
    <w:rsid w:val="411F59E6"/>
    <w:rsid w:val="417E7959"/>
    <w:rsid w:val="41DA7CFA"/>
    <w:rsid w:val="42254279"/>
    <w:rsid w:val="42D308D1"/>
    <w:rsid w:val="435B61A4"/>
    <w:rsid w:val="436F1305"/>
    <w:rsid w:val="446D00CE"/>
    <w:rsid w:val="46345E62"/>
    <w:rsid w:val="4666270E"/>
    <w:rsid w:val="469617B7"/>
    <w:rsid w:val="47EF7803"/>
    <w:rsid w:val="498513D6"/>
    <w:rsid w:val="49D00F6E"/>
    <w:rsid w:val="4A752364"/>
    <w:rsid w:val="4B8110A8"/>
    <w:rsid w:val="4B913A23"/>
    <w:rsid w:val="4BF3159C"/>
    <w:rsid w:val="4CE91508"/>
    <w:rsid w:val="4CFD02CC"/>
    <w:rsid w:val="4D57555B"/>
    <w:rsid w:val="4E2215E3"/>
    <w:rsid w:val="4E383A52"/>
    <w:rsid w:val="4E5140C8"/>
    <w:rsid w:val="4E546612"/>
    <w:rsid w:val="4E731D5A"/>
    <w:rsid w:val="501F0559"/>
    <w:rsid w:val="506F14E1"/>
    <w:rsid w:val="50C80BF1"/>
    <w:rsid w:val="50DD4108"/>
    <w:rsid w:val="51595750"/>
    <w:rsid w:val="51B3364F"/>
    <w:rsid w:val="51E57600"/>
    <w:rsid w:val="523E2950"/>
    <w:rsid w:val="52B02FC6"/>
    <w:rsid w:val="5333068D"/>
    <w:rsid w:val="546D3F89"/>
    <w:rsid w:val="54E91CC1"/>
    <w:rsid w:val="55537CF3"/>
    <w:rsid w:val="5576709D"/>
    <w:rsid w:val="5619787A"/>
    <w:rsid w:val="569D7392"/>
    <w:rsid w:val="572B6867"/>
    <w:rsid w:val="58496ABB"/>
    <w:rsid w:val="58B33AC4"/>
    <w:rsid w:val="58F50A67"/>
    <w:rsid w:val="5BA85460"/>
    <w:rsid w:val="5C9D1184"/>
    <w:rsid w:val="5FD44EBD"/>
    <w:rsid w:val="60AC5E39"/>
    <w:rsid w:val="60EF5D26"/>
    <w:rsid w:val="6204575C"/>
    <w:rsid w:val="62845581"/>
    <w:rsid w:val="62F966DA"/>
    <w:rsid w:val="65175CA2"/>
    <w:rsid w:val="685D3A37"/>
    <w:rsid w:val="692F7C46"/>
    <w:rsid w:val="697B284D"/>
    <w:rsid w:val="6A0D5B9B"/>
    <w:rsid w:val="6A3C71C2"/>
    <w:rsid w:val="6D4E53E0"/>
    <w:rsid w:val="6D7E686E"/>
    <w:rsid w:val="70802483"/>
    <w:rsid w:val="71096635"/>
    <w:rsid w:val="71324139"/>
    <w:rsid w:val="72241F34"/>
    <w:rsid w:val="724C122A"/>
    <w:rsid w:val="72671BC0"/>
    <w:rsid w:val="732E2C83"/>
    <w:rsid w:val="734D7008"/>
    <w:rsid w:val="734E4B2E"/>
    <w:rsid w:val="735230C5"/>
    <w:rsid w:val="738C7273"/>
    <w:rsid w:val="74F364FB"/>
    <w:rsid w:val="753B54AF"/>
    <w:rsid w:val="762A65D6"/>
    <w:rsid w:val="78571C40"/>
    <w:rsid w:val="78891D06"/>
    <w:rsid w:val="78CF226D"/>
    <w:rsid w:val="79A33EC4"/>
    <w:rsid w:val="7A252B5E"/>
    <w:rsid w:val="7BAE6AB2"/>
    <w:rsid w:val="7BE73D72"/>
    <w:rsid w:val="7C8A307B"/>
    <w:rsid w:val="7CE107C1"/>
    <w:rsid w:val="7CE52C2B"/>
    <w:rsid w:val="7DA46A65"/>
    <w:rsid w:val="7E7E6C0F"/>
    <w:rsid w:val="7F50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link w:val="11"/>
    <w:qFormat/>
    <w:uiPriority w:val="0"/>
    <w:pPr>
      <w:spacing w:line="420" w:lineRule="auto"/>
    </w:pPr>
    <w:rPr>
      <w:rFonts w:ascii="Calibri" w:hAnsi="Calibri" w:eastAsia="宋体" w:cs="Times New Roman"/>
      <w:sz w:val="2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 2 字符"/>
    <w:basedOn w:val="10"/>
    <w:link w:val="6"/>
    <w:qFormat/>
    <w:uiPriority w:val="0"/>
    <w:rPr>
      <w:rFonts w:ascii="Calibri" w:hAnsi="Calibri"/>
      <w:kern w:val="2"/>
      <w:sz w:val="28"/>
      <w:szCs w:val="24"/>
    </w:rPr>
  </w:style>
  <w:style w:type="paragraph" w:customStyle="1" w:styleId="12">
    <w:name w:val="正常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14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7082</Words>
  <Characters>9049</Characters>
  <Lines>4</Lines>
  <Paragraphs>2</Paragraphs>
  <TotalTime>25</TotalTime>
  <ScaleCrop>false</ScaleCrop>
  <LinksUpToDate>false</LinksUpToDate>
  <CharactersWithSpaces>9049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2020-08-17T03:22:00Z</dcterms:created>
  <dc:creator>银狐</dc:creator>
  <cp:lastModifiedBy>芳芳</cp:lastModifiedBy>
  <cp:lastPrinted>2021-05-21T06:52:00Z</cp:lastPrinted>
  <dcterms:modified xsi:type="dcterms:W3CDTF">2023-03-09T08:25:16Z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9266AC107A0D4B25885AB9426EF98A1E</vt:lpwstr>
  </property>
</Properties>
</file>