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hint="eastAsia" w:ascii="宋体" w:hAnsi="宋体" w:eastAsia="宋体" w:cs="宋体"/>
          <w:b/>
          <w:bCs/>
          <w:color w:val="auto"/>
          <w:sz w:val="36"/>
          <w:szCs w:val="36"/>
          <w:highlight w:val="none"/>
        </w:rPr>
      </w:pPr>
    </w:p>
    <w:p>
      <w:pPr>
        <w:rPr>
          <w:rFonts w:hint="eastAsia" w:ascii="宋体" w:hAnsi="宋体" w:eastAsia="宋体" w:cs="宋体"/>
          <w:color w:val="auto"/>
          <w:highlight w:val="none"/>
        </w:rPr>
      </w:pPr>
    </w:p>
    <w:p>
      <w:pPr>
        <w:pStyle w:val="15"/>
        <w:spacing w:line="460" w:lineRule="exact"/>
        <w:rPr>
          <w:rFonts w:hint="eastAsia" w:ascii="宋体" w:hAnsi="宋体" w:eastAsia="宋体" w:cs="宋体"/>
          <w:b/>
          <w:bCs/>
          <w:color w:val="auto"/>
          <w:sz w:val="48"/>
          <w:szCs w:val="48"/>
          <w:highlight w:val="none"/>
        </w:rPr>
      </w:pPr>
    </w:p>
    <w:p>
      <w:pPr>
        <w:pStyle w:val="15"/>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8"/>
          <w:szCs w:val="48"/>
          <w:highlight w:val="none"/>
          <w:lang w:eastAsia="zh-CN"/>
        </w:rPr>
        <w:t>白水县西固镇人民政府2023年西固镇集体经济总社“固果果”品牌平台建设及县域农特产品销售推广项目</w:t>
      </w:r>
    </w:p>
    <w:p>
      <w:pPr>
        <w:pStyle w:val="15"/>
        <w:spacing w:line="460" w:lineRule="exact"/>
        <w:ind w:firstLine="880" w:firstLineChars="200"/>
        <w:rPr>
          <w:rFonts w:hint="eastAsia" w:ascii="宋体" w:hAnsi="宋体" w:eastAsia="宋体" w:cs="宋体"/>
          <w:color w:val="auto"/>
          <w:sz w:val="44"/>
          <w:szCs w:val="44"/>
          <w:highlight w:val="none"/>
        </w:rPr>
      </w:pPr>
    </w:p>
    <w:p>
      <w:pPr>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15"/>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公开招标文件</w:t>
      </w:r>
    </w:p>
    <w:p>
      <w:pPr>
        <w:pStyle w:val="15"/>
        <w:ind w:firstLine="420" w:firstLineChars="200"/>
        <w:rPr>
          <w:rFonts w:hint="eastAsia" w:ascii="宋体" w:hAnsi="宋体" w:eastAsia="宋体" w:cs="宋体"/>
          <w:color w:val="auto"/>
          <w:highlight w:val="none"/>
        </w:rPr>
      </w:pPr>
    </w:p>
    <w:p>
      <w:pPr>
        <w:pStyle w:val="15"/>
        <w:ind w:firstLine="420" w:firstLineChars="200"/>
        <w:rPr>
          <w:rFonts w:hint="eastAsia" w:ascii="宋体" w:hAnsi="宋体" w:eastAsia="宋体" w:cs="宋体"/>
          <w:color w:val="auto"/>
          <w:highlight w:val="none"/>
        </w:rPr>
      </w:pPr>
    </w:p>
    <w:p>
      <w:pPr>
        <w:pStyle w:val="15"/>
        <w:ind w:firstLine="420" w:firstLineChars="200"/>
        <w:rPr>
          <w:rFonts w:hint="eastAsia" w:ascii="宋体" w:hAnsi="宋体" w:eastAsia="宋体" w:cs="宋体"/>
          <w:color w:val="auto"/>
          <w:highlight w:val="none"/>
        </w:rPr>
      </w:pPr>
    </w:p>
    <w:p>
      <w:pPr>
        <w:pStyle w:val="15"/>
        <w:ind w:firstLine="420" w:firstLineChars="200"/>
        <w:rPr>
          <w:rFonts w:hint="eastAsia" w:ascii="宋体" w:hAnsi="宋体" w:eastAsia="宋体" w:cs="宋体"/>
          <w:color w:val="auto"/>
          <w:highlight w:val="none"/>
        </w:rPr>
      </w:pPr>
    </w:p>
    <w:p>
      <w:pPr>
        <w:pStyle w:val="15"/>
        <w:ind w:firstLine="420" w:firstLineChars="200"/>
        <w:rPr>
          <w:rFonts w:hint="eastAsia" w:ascii="宋体" w:hAnsi="宋体" w:eastAsia="宋体" w:cs="宋体"/>
          <w:color w:val="auto"/>
          <w:highlight w:val="none"/>
        </w:rPr>
      </w:pPr>
    </w:p>
    <w:p>
      <w:pPr>
        <w:pStyle w:val="15"/>
        <w:ind w:firstLine="420" w:firstLineChars="200"/>
        <w:rPr>
          <w:rFonts w:hint="eastAsia" w:ascii="宋体" w:hAnsi="宋体" w:eastAsia="宋体" w:cs="宋体"/>
          <w:color w:val="auto"/>
          <w:highlight w:val="none"/>
        </w:rPr>
      </w:pPr>
    </w:p>
    <w:p>
      <w:pPr>
        <w:pStyle w:val="15"/>
        <w:ind w:firstLine="420" w:firstLineChars="200"/>
        <w:rPr>
          <w:rFonts w:hint="eastAsia" w:ascii="宋体" w:hAnsi="宋体" w:eastAsia="宋体" w:cs="宋体"/>
          <w:color w:val="auto"/>
          <w:highlight w:val="none"/>
        </w:rPr>
      </w:pPr>
    </w:p>
    <w:p>
      <w:pPr>
        <w:pStyle w:val="15"/>
        <w:spacing w:line="720" w:lineRule="auto"/>
        <w:ind w:left="2163" w:leftChars="456" w:hanging="1205" w:hangingChars="5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lang w:eastAsia="zh-CN"/>
        </w:rPr>
        <w:t>白水县西固镇人民政府2023年西固镇集体经济总社“固果果”品牌平台建设及县域农特产品销售推广项目</w:t>
      </w:r>
    </w:p>
    <w:p>
      <w:pPr>
        <w:pStyle w:val="15"/>
        <w:spacing w:line="720" w:lineRule="auto"/>
        <w:ind w:firstLine="964" w:firstLineChars="40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项目编号：</w:t>
      </w:r>
      <w:r>
        <w:rPr>
          <w:rFonts w:hint="eastAsia" w:ascii="宋体" w:hAnsi="宋体" w:eastAsia="宋体" w:cs="宋体"/>
          <w:b/>
          <w:bCs/>
          <w:color w:val="auto"/>
          <w:sz w:val="24"/>
          <w:szCs w:val="24"/>
          <w:highlight w:val="none"/>
          <w:lang w:eastAsia="zh-CN"/>
        </w:rPr>
        <w:t>HSGJ2023-207</w:t>
      </w:r>
    </w:p>
    <w:p>
      <w:pPr>
        <w:pStyle w:val="15"/>
        <w:spacing w:line="720" w:lineRule="auto"/>
        <w:ind w:firstLine="964" w:firstLineChars="4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采购人名称：</w:t>
      </w:r>
      <w:r>
        <w:rPr>
          <w:rFonts w:hint="eastAsia" w:ascii="宋体" w:hAnsi="宋体" w:eastAsia="宋体" w:cs="宋体"/>
          <w:b/>
          <w:bCs/>
          <w:color w:val="auto"/>
          <w:sz w:val="24"/>
          <w:szCs w:val="24"/>
          <w:highlight w:val="none"/>
          <w:lang w:eastAsia="zh-CN"/>
        </w:rPr>
        <w:t>白水县西固镇人民政府</w:t>
      </w:r>
    </w:p>
    <w:p>
      <w:pPr>
        <w:pStyle w:val="15"/>
        <w:spacing w:line="72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采购代理机构：</w:t>
      </w:r>
      <w:r>
        <w:rPr>
          <w:rFonts w:hint="eastAsia" w:ascii="宋体" w:hAnsi="宋体" w:eastAsia="宋体" w:cs="宋体"/>
          <w:b/>
          <w:bCs/>
          <w:color w:val="auto"/>
          <w:sz w:val="24"/>
          <w:szCs w:val="24"/>
          <w:highlight w:val="none"/>
          <w:lang w:eastAsia="zh-CN"/>
        </w:rPr>
        <w:t>华晟国际项目管理有限公司</w:t>
      </w:r>
    </w:p>
    <w:p>
      <w:pPr>
        <w:pStyle w:val="15"/>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pStyle w:val="15"/>
        <w:spacing w:line="720" w:lineRule="auto"/>
        <w:ind w:firstLine="1124" w:firstLineChars="4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202</w:t>
      </w:r>
      <w:r>
        <w:rPr>
          <w:rFonts w:hint="eastAsia"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年</w:t>
      </w:r>
      <w:r>
        <w:rPr>
          <w:rFonts w:hint="eastAsia"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月</w:t>
      </w: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pStyle w:val="18"/>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"1-1"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_Toc17984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第一部分  商务部分</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_Toc17984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3</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pPr>
        <w:pStyle w:val="18"/>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_Toc26947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第一章  招标公告</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_Toc26947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3</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pPr>
        <w:pStyle w:val="18"/>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_Toc1377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第二章  投标人须知</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_Toc1377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7</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pPr>
        <w:pStyle w:val="18"/>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_Toc29446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第三章  评标办法及标准</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_Toc29446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28</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pPr>
        <w:pStyle w:val="18"/>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_Toc12235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第四章 商务及合同主要条款</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_Toc12235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31</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pPr>
        <w:pStyle w:val="18"/>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_Toc17748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rPr>
        <w:t xml:space="preserve">第五章 </w:t>
      </w:r>
      <w:r>
        <w:rPr>
          <w:rFonts w:hint="eastAsia" w:ascii="宋体" w:hAnsi="宋体" w:eastAsia="宋体" w:cs="宋体"/>
          <w:b/>
          <w:bCs/>
          <w:sz w:val="24"/>
          <w:szCs w:val="28"/>
          <w:highlight w:val="none"/>
        </w:rPr>
        <w:t>投标文件组成</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_Toc17748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35</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pPr>
        <w:pStyle w:val="18"/>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_Toc19039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6"/>
          <w:highlight w:val="none"/>
          <w:lang w:eastAsia="zh-CN"/>
        </w:rPr>
        <w:t>第二部分</w:t>
      </w:r>
      <w:r>
        <w:rPr>
          <w:rFonts w:hint="eastAsia" w:ascii="宋体" w:hAnsi="宋体" w:eastAsia="宋体" w:cs="宋体"/>
          <w:b/>
          <w:bCs/>
          <w:sz w:val="24"/>
          <w:szCs w:val="36"/>
          <w:highlight w:val="none"/>
          <w:lang w:val="en-US" w:eastAsia="zh-CN"/>
        </w:rPr>
        <w:t xml:space="preserve">  </w:t>
      </w:r>
      <w:r>
        <w:rPr>
          <w:rFonts w:hint="eastAsia" w:ascii="宋体" w:hAnsi="宋体" w:eastAsia="宋体" w:cs="宋体"/>
          <w:b/>
          <w:bCs/>
          <w:sz w:val="24"/>
          <w:szCs w:val="36"/>
          <w:highlight w:val="none"/>
        </w:rPr>
        <w:t>技术部分</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_Toc19039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59</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pPr>
        <w:pStyle w:val="18"/>
        <w:tabs>
          <w:tab w:val="right" w:leader="dot" w:pos="9746"/>
          <w:tab w:val="clear" w:pos="9000"/>
        </w:tabs>
        <w:rPr>
          <w:rFonts w:hint="eastAsia" w:ascii="宋体" w:hAnsi="宋体" w:eastAsia="宋体" w:cs="宋体"/>
          <w:b/>
          <w:bCs/>
          <w:sz w:val="24"/>
          <w:szCs w:val="28"/>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_Toc11963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36"/>
          <w:highlight w:val="none"/>
          <w:lang w:eastAsia="zh-CN"/>
        </w:rPr>
        <w:t>第六章</w:t>
      </w:r>
      <w:r>
        <w:rPr>
          <w:rFonts w:hint="eastAsia" w:ascii="宋体" w:hAnsi="宋体" w:eastAsia="宋体" w:cs="宋体"/>
          <w:b/>
          <w:bCs/>
          <w:sz w:val="24"/>
          <w:szCs w:val="36"/>
          <w:highlight w:val="none"/>
          <w:lang w:val="en-US" w:eastAsia="zh-CN"/>
        </w:rPr>
        <w:t xml:space="preserve">  </w:t>
      </w:r>
      <w:r>
        <w:rPr>
          <w:rFonts w:hint="eastAsia" w:ascii="宋体" w:hAnsi="宋体" w:eastAsia="宋体" w:cs="宋体"/>
          <w:b/>
          <w:bCs/>
          <w:sz w:val="24"/>
          <w:szCs w:val="36"/>
          <w:highlight w:val="none"/>
          <w:lang w:eastAsia="zh-CN"/>
        </w:rPr>
        <w:t>项目采购需求</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_Toc11963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59</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pPr>
        <w:pStyle w:val="18"/>
        <w:tabs>
          <w:tab w:val="right" w:leader="dot" w:pos="9746"/>
          <w:tab w:val="clear" w:pos="9000"/>
        </w:tabs>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sz w:val="24"/>
          <w:szCs w:val="32"/>
          <w:highlight w:val="none"/>
        </w:rPr>
        <w:instrText xml:space="preserve"> HYPERLINK \l _Toc6624 </w:instrText>
      </w:r>
      <w:r>
        <w:rPr>
          <w:rFonts w:hint="eastAsia" w:ascii="宋体" w:hAnsi="宋体" w:eastAsia="宋体" w:cs="宋体"/>
          <w:b/>
          <w:bCs/>
          <w:sz w:val="24"/>
          <w:szCs w:val="32"/>
          <w:highlight w:val="none"/>
        </w:rPr>
        <w:fldChar w:fldCharType="separate"/>
      </w:r>
      <w:r>
        <w:rPr>
          <w:rFonts w:hint="eastAsia" w:ascii="宋体" w:hAnsi="宋体" w:eastAsia="宋体" w:cs="宋体"/>
          <w:b/>
          <w:bCs/>
          <w:sz w:val="24"/>
          <w:szCs w:val="28"/>
          <w:highlight w:val="none"/>
        </w:rPr>
        <w:t>第三部分  封面标识式样</w:t>
      </w:r>
      <w:r>
        <w:rPr>
          <w:rFonts w:hint="eastAsia" w:ascii="宋体" w:hAnsi="宋体" w:eastAsia="宋体" w:cs="宋体"/>
          <w:b/>
          <w:bCs/>
          <w:sz w:val="24"/>
          <w:szCs w:val="28"/>
        </w:rPr>
        <w:tab/>
      </w:r>
      <w:r>
        <w:rPr>
          <w:rFonts w:hint="eastAsia" w:ascii="宋体" w:hAnsi="宋体" w:eastAsia="宋体" w:cs="宋体"/>
          <w:b/>
          <w:bCs/>
          <w:sz w:val="24"/>
          <w:szCs w:val="28"/>
        </w:rPr>
        <w:fldChar w:fldCharType="begin"/>
      </w:r>
      <w:r>
        <w:rPr>
          <w:rFonts w:hint="eastAsia" w:ascii="宋体" w:hAnsi="宋体" w:eastAsia="宋体" w:cs="宋体"/>
          <w:b/>
          <w:bCs/>
          <w:sz w:val="24"/>
          <w:szCs w:val="28"/>
        </w:rPr>
        <w:instrText xml:space="preserve"> PAGEREF _Toc6624 \h </w:instrText>
      </w:r>
      <w:r>
        <w:rPr>
          <w:rFonts w:hint="eastAsia" w:ascii="宋体" w:hAnsi="宋体" w:eastAsia="宋体" w:cs="宋体"/>
          <w:b/>
          <w:bCs/>
          <w:sz w:val="24"/>
          <w:szCs w:val="28"/>
        </w:rPr>
        <w:fldChar w:fldCharType="separate"/>
      </w:r>
      <w:r>
        <w:rPr>
          <w:rFonts w:hint="eastAsia" w:ascii="宋体" w:hAnsi="宋体" w:eastAsia="宋体" w:cs="宋体"/>
          <w:b/>
          <w:bCs/>
          <w:sz w:val="24"/>
          <w:szCs w:val="28"/>
        </w:rPr>
        <w:t>84</w:t>
      </w:r>
      <w:r>
        <w:rPr>
          <w:rFonts w:hint="eastAsia" w:ascii="宋体" w:hAnsi="宋体" w:eastAsia="宋体" w:cs="宋体"/>
          <w:b/>
          <w:bCs/>
          <w:sz w:val="24"/>
          <w:szCs w:val="28"/>
        </w:rPr>
        <w:fldChar w:fldCharType="end"/>
      </w:r>
      <w:r>
        <w:rPr>
          <w:rFonts w:hint="eastAsia" w:ascii="宋体" w:hAnsi="宋体" w:eastAsia="宋体" w:cs="宋体"/>
          <w:b/>
          <w:bCs/>
          <w:color w:val="auto"/>
          <w:sz w:val="24"/>
          <w:szCs w:val="32"/>
          <w:highlight w:val="none"/>
        </w:rPr>
        <w:fldChar w:fldCharType="end"/>
      </w:r>
    </w:p>
    <w:p>
      <w:pPr>
        <w:spacing w:line="720" w:lineRule="auto"/>
        <w:rPr>
          <w:rFonts w:hint="eastAsia" w:ascii="宋体" w:hAnsi="宋体" w:eastAsia="宋体" w:cs="宋体"/>
          <w:color w:val="auto"/>
          <w:highlight w:val="none"/>
        </w:rPr>
        <w:sectPr>
          <w:headerReference r:id="rId3" w:type="default"/>
          <w:pgSz w:w="11906" w:h="16838"/>
          <w:pgMar w:top="1440" w:right="1080" w:bottom="1440" w:left="1080" w:header="720" w:footer="720" w:gutter="0"/>
          <w:pgNumType w:start="1"/>
          <w:cols w:space="720" w:num="1"/>
          <w:docGrid w:type="lines" w:linePitch="312" w:charSpace="0"/>
        </w:sectPr>
      </w:pPr>
      <w:r>
        <w:rPr>
          <w:rFonts w:hint="eastAsia" w:ascii="宋体" w:hAnsi="宋体" w:eastAsia="宋体" w:cs="宋体"/>
          <w:bCs/>
          <w:color w:val="auto"/>
          <w:szCs w:val="24"/>
          <w:highlight w:val="none"/>
        </w:rPr>
        <w:fldChar w:fldCharType="end"/>
      </w: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sectPr>
          <w:headerReference r:id="rId4" w:type="default"/>
          <w:footerReference r:id="rId5" w:type="default"/>
          <w:type w:val="continuous"/>
          <w:pgSz w:w="11906" w:h="16838"/>
          <w:pgMar w:top="1134" w:right="1134" w:bottom="1134" w:left="1134" w:header="851" w:footer="992" w:gutter="0"/>
          <w:cols w:space="425" w:num="1"/>
          <w:docGrid w:type="lines" w:linePitch="312" w:charSpace="0"/>
        </w:sectPr>
      </w:pPr>
    </w:p>
    <w:p>
      <w:pPr>
        <w:pStyle w:val="3"/>
        <w:rPr>
          <w:rFonts w:hint="eastAsia" w:ascii="宋体" w:hAnsi="宋体" w:eastAsia="宋体" w:cs="宋体"/>
          <w:color w:val="auto"/>
          <w:highlight w:val="none"/>
        </w:rPr>
      </w:pPr>
      <w:bookmarkStart w:id="0" w:name="_Toc13922"/>
      <w:bookmarkStart w:id="1" w:name="_Toc17984"/>
      <w:r>
        <w:rPr>
          <w:rFonts w:hint="eastAsia" w:ascii="宋体" w:hAnsi="宋体" w:eastAsia="宋体" w:cs="宋体"/>
          <w:color w:val="auto"/>
          <w:highlight w:val="none"/>
        </w:rPr>
        <w:t>第一部分  商务部分</w:t>
      </w:r>
      <w:bookmarkEnd w:id="0"/>
      <w:bookmarkEnd w:id="1"/>
    </w:p>
    <w:p>
      <w:pPr>
        <w:pStyle w:val="3"/>
        <w:spacing w:line="360" w:lineRule="auto"/>
        <w:rPr>
          <w:rFonts w:hint="eastAsia" w:ascii="宋体" w:hAnsi="宋体" w:eastAsia="宋体" w:cs="宋体"/>
          <w:color w:val="auto"/>
          <w:highlight w:val="none"/>
        </w:rPr>
      </w:pPr>
      <w:bookmarkStart w:id="2" w:name="_Toc8176"/>
      <w:bookmarkStart w:id="3" w:name="_Toc26947"/>
      <w:r>
        <w:rPr>
          <w:rFonts w:hint="eastAsia" w:ascii="宋体" w:hAnsi="宋体" w:eastAsia="宋体" w:cs="宋体"/>
          <w:color w:val="auto"/>
          <w:highlight w:val="none"/>
        </w:rPr>
        <w:t xml:space="preserve">第一章  </w:t>
      </w:r>
      <w:bookmarkEnd w:id="2"/>
      <w:r>
        <w:rPr>
          <w:rFonts w:hint="eastAsia" w:ascii="宋体" w:hAnsi="宋体" w:eastAsia="宋体" w:cs="宋体"/>
          <w:color w:val="auto"/>
          <w:highlight w:val="none"/>
        </w:rPr>
        <w:t>招标公告</w:t>
      </w:r>
      <w:bookmarkEnd w:id="3"/>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outlineLvl w:val="9"/>
        <w:rPr>
          <w:rFonts w:hint="eastAsia" w:ascii="宋体" w:hAnsi="宋体" w:eastAsia="宋体" w:cs="宋体"/>
          <w:b w:val="0"/>
          <w:bCs w:val="0"/>
          <w:color w:val="auto"/>
          <w:sz w:val="24"/>
          <w:szCs w:val="24"/>
          <w:highlight w:val="none"/>
        </w:rPr>
      </w:pPr>
      <w:r>
        <w:rPr>
          <w:rStyle w:val="26"/>
          <w:rFonts w:hint="eastAsia" w:ascii="宋体" w:hAnsi="宋体" w:eastAsia="宋体" w:cs="宋体"/>
          <w:b/>
          <w:bCs/>
          <w:i w:val="0"/>
          <w:iCs w:val="0"/>
          <w:caps w:val="0"/>
          <w:color w:val="auto"/>
          <w:spacing w:val="0"/>
          <w:sz w:val="24"/>
          <w:szCs w:val="24"/>
          <w:highlight w:val="none"/>
          <w:shd w:val="clear" w:fill="FFFFFF"/>
          <w:vertAlign w:val="baseline"/>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lang w:eastAsia="zh-CN"/>
        </w:rPr>
        <w:t>白水县西固镇人民政府2023年西固镇集体经济总社“固果果”品牌平台建设及县域农特产品销售推广项目</w:t>
      </w:r>
      <w:r>
        <w:rPr>
          <w:rFonts w:hint="eastAsia" w:ascii="宋体" w:hAnsi="宋体" w:eastAsia="宋体" w:cs="宋体"/>
          <w:i w:val="0"/>
          <w:iCs w:val="0"/>
          <w:caps w:val="0"/>
          <w:color w:val="auto"/>
          <w:spacing w:val="0"/>
          <w:sz w:val="24"/>
          <w:szCs w:val="24"/>
          <w:highlight w:val="none"/>
          <w:shd w:val="clear" w:fill="FFFFFF"/>
          <w:vertAlign w:val="baseline"/>
        </w:rPr>
        <w:t>招标项目的潜在投标人</w:t>
      </w:r>
      <w:r>
        <w:rPr>
          <w:rFonts w:hint="eastAsia" w:ascii="宋体" w:hAnsi="宋体" w:eastAsia="宋体" w:cs="宋体"/>
          <w:i w:val="0"/>
          <w:iCs w:val="0"/>
          <w:caps w:val="0"/>
          <w:color w:val="auto"/>
          <w:spacing w:val="0"/>
          <w:sz w:val="24"/>
          <w:szCs w:val="24"/>
          <w:highlight w:val="none"/>
          <w:u w:val="none"/>
        </w:rPr>
        <w:t>应在西安市高新区高新路88号尚品国际B幢25层获取招标文件</w:t>
      </w:r>
      <w:r>
        <w:rPr>
          <w:rFonts w:hint="eastAsia" w:ascii="宋体" w:hAnsi="宋体" w:eastAsia="宋体" w:cs="宋体"/>
          <w:i w:val="0"/>
          <w:iCs w:val="0"/>
          <w:caps w:val="0"/>
          <w:color w:val="auto"/>
          <w:spacing w:val="0"/>
          <w:sz w:val="24"/>
          <w:szCs w:val="24"/>
          <w:highlight w:val="none"/>
          <w:shd w:val="clear" w:fill="FFFFFF"/>
          <w:vertAlign w:val="baseline"/>
        </w:rPr>
        <w:t>，并于20</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23</w:t>
      </w:r>
      <w:r>
        <w:rPr>
          <w:rFonts w:hint="eastAsia" w:ascii="宋体" w:hAnsi="宋体" w:eastAsia="宋体" w:cs="宋体"/>
          <w:i w:val="0"/>
          <w:iCs w:val="0"/>
          <w:caps w:val="0"/>
          <w:color w:val="auto"/>
          <w:spacing w:val="0"/>
          <w:sz w:val="24"/>
          <w:szCs w:val="24"/>
          <w:highlight w:val="none"/>
          <w:shd w:val="clear" w:fill="FFFFFF"/>
          <w:vertAlign w:val="baseline"/>
        </w:rPr>
        <w:t>年</w:t>
      </w:r>
      <w:r>
        <w:rPr>
          <w:rFonts w:hint="eastAsia" w:ascii="宋体" w:hAnsi="宋体" w:cs="宋体"/>
          <w:i w:val="0"/>
          <w:iCs w:val="0"/>
          <w:caps w:val="0"/>
          <w:color w:val="auto"/>
          <w:spacing w:val="0"/>
          <w:sz w:val="24"/>
          <w:szCs w:val="24"/>
          <w:highlight w:val="none"/>
          <w:shd w:val="clear" w:fill="FFFFFF"/>
          <w:vertAlign w:val="baseline"/>
          <w:lang w:val="en-US" w:eastAsia="zh-CN"/>
        </w:rPr>
        <w:t>08</w:t>
      </w:r>
      <w:r>
        <w:rPr>
          <w:rFonts w:hint="eastAsia" w:ascii="宋体" w:hAnsi="宋体" w:eastAsia="宋体" w:cs="宋体"/>
          <w:i w:val="0"/>
          <w:iCs w:val="0"/>
          <w:caps w:val="0"/>
          <w:color w:val="auto"/>
          <w:spacing w:val="0"/>
          <w:sz w:val="24"/>
          <w:szCs w:val="24"/>
          <w:highlight w:val="none"/>
          <w:shd w:val="clear" w:fill="FFFFFF"/>
          <w:vertAlign w:val="baseline"/>
        </w:rPr>
        <w:t>月</w:t>
      </w:r>
      <w:r>
        <w:rPr>
          <w:rFonts w:hint="eastAsia" w:ascii="宋体" w:hAnsi="宋体" w:cs="宋体"/>
          <w:i w:val="0"/>
          <w:iCs w:val="0"/>
          <w:caps w:val="0"/>
          <w:color w:val="auto"/>
          <w:spacing w:val="0"/>
          <w:sz w:val="24"/>
          <w:szCs w:val="24"/>
          <w:highlight w:val="none"/>
          <w:shd w:val="clear" w:fill="FFFFFF"/>
          <w:vertAlign w:val="baseline"/>
          <w:lang w:val="en-US" w:eastAsia="zh-CN"/>
        </w:rPr>
        <w:t>08</w:t>
      </w:r>
      <w:r>
        <w:rPr>
          <w:rFonts w:hint="eastAsia" w:ascii="宋体" w:hAnsi="宋体" w:eastAsia="宋体" w:cs="宋体"/>
          <w:i w:val="0"/>
          <w:iCs w:val="0"/>
          <w:caps w:val="0"/>
          <w:color w:val="auto"/>
          <w:spacing w:val="0"/>
          <w:sz w:val="24"/>
          <w:szCs w:val="24"/>
          <w:highlight w:val="none"/>
          <w:shd w:val="clear" w:fill="FFFFFF"/>
          <w:vertAlign w:val="baseline"/>
        </w:rPr>
        <w:t>日</w:t>
      </w:r>
      <w:r>
        <w:rPr>
          <w:rFonts w:hint="eastAsia" w:ascii="宋体" w:hAnsi="宋体" w:cs="宋体"/>
          <w:i w:val="0"/>
          <w:iCs w:val="0"/>
          <w:caps w:val="0"/>
          <w:color w:val="auto"/>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auto"/>
          <w:spacing w:val="0"/>
          <w:sz w:val="24"/>
          <w:szCs w:val="24"/>
          <w:highlight w:val="none"/>
          <w:shd w:val="clear" w:fill="FFFFFF"/>
          <w:vertAlign w:val="baseline"/>
        </w:rPr>
        <w:t>时30分（北京时间）前递交投标文件。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2" w:firstLineChars="200"/>
        <w:jc w:val="both"/>
        <w:textAlignment w:val="auto"/>
        <w:outlineLvl w:val="9"/>
        <w:rPr>
          <w:rStyle w:val="26"/>
          <w:rFonts w:hint="eastAsia" w:ascii="宋体" w:hAnsi="宋体" w:eastAsia="宋体" w:cs="宋体"/>
          <w:b/>
          <w:bCs/>
          <w:i w:val="0"/>
          <w:iCs w:val="0"/>
          <w:caps w:val="0"/>
          <w:color w:val="auto"/>
          <w:spacing w:val="0"/>
          <w:sz w:val="24"/>
          <w:szCs w:val="24"/>
          <w:highlight w:val="none"/>
          <w:u w:val="none"/>
          <w:lang w:val="en-US" w:eastAsia="zh-CN"/>
        </w:rPr>
      </w:pPr>
      <w:r>
        <w:rPr>
          <w:rStyle w:val="26"/>
          <w:rFonts w:hint="eastAsia" w:ascii="宋体" w:hAnsi="宋体" w:eastAsia="宋体" w:cs="宋体"/>
          <w:b/>
          <w:bCs/>
          <w:i w:val="0"/>
          <w:iCs w:val="0"/>
          <w:caps w:val="0"/>
          <w:color w:val="auto"/>
          <w:spacing w:val="0"/>
          <w:sz w:val="24"/>
          <w:szCs w:val="24"/>
          <w:highlight w:val="none"/>
          <w:u w:val="none"/>
          <w:lang w:val="en-US" w:eastAsia="zh-CN"/>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项目编号：HSGJ2023-207</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项目名称：白水县西固镇人民政府2023年西固镇集体经济总社“固果果”品牌平台建设及县域农特产品销售推广项目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预算金额：1272476.55元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合同包1(白水县西固镇人民政府2023年西固镇集体经济总社“固果果”品牌平台建设及县域农特产品销售推广项目):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firstLine="480" w:firstLineChars="200"/>
        <w:jc w:val="both"/>
        <w:textAlignment w:val="auto"/>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合同包预算金额：1272476.55元</w:t>
      </w:r>
    </w:p>
    <w:tbl>
      <w:tblPr>
        <w:tblStyle w:val="23"/>
        <w:tblW w:w="0" w:type="auto"/>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1"/>
        <w:gridCol w:w="1328"/>
        <w:gridCol w:w="1735"/>
        <w:gridCol w:w="1192"/>
        <w:gridCol w:w="1411"/>
        <w:gridCol w:w="1683"/>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7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（单位）</w:t>
            </w:r>
          </w:p>
        </w:tc>
        <w:tc>
          <w:tcPr>
            <w:tcW w:w="14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leftChars="0" w:right="0" w:rightChars="0"/>
              <w:jc w:val="center"/>
              <w:textAlignment w:val="center"/>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其他信息化设备</w:t>
            </w:r>
          </w:p>
        </w:tc>
        <w:tc>
          <w:tcPr>
            <w:tcW w:w="1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货物 产品展销货柜及配套设施、电子运营系统、多功能直播系统设备、降噪收音系统、仓储隔间、冷链运输车、小型冷库和配套降温系统等。</w:t>
            </w:r>
          </w:p>
        </w:tc>
        <w:tc>
          <w:tcPr>
            <w:tcW w:w="11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1(批)</w:t>
            </w:r>
          </w:p>
        </w:tc>
        <w:tc>
          <w:tcPr>
            <w:tcW w:w="14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Style w:val="26"/>
                <w:rFonts w:hint="eastAsia" w:ascii="宋体" w:hAnsi="宋体" w:eastAsia="宋体" w:cs="宋体"/>
                <w:b w:val="0"/>
                <w:bCs w:val="0"/>
                <w:i w:val="0"/>
                <w:iCs w:val="0"/>
                <w:caps w:val="0"/>
                <w:color w:val="auto"/>
                <w:spacing w:val="0"/>
                <w:sz w:val="24"/>
                <w:szCs w:val="24"/>
                <w:highlight w:val="none"/>
                <w:u w:val="none"/>
                <w:lang w:val="en-US" w:eastAsia="zh-CN"/>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详见采购文件</w:t>
            </w:r>
          </w:p>
        </w:tc>
        <w:tc>
          <w:tcPr>
            <w:tcW w:w="16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Fonts w:hint="eastAsia" w:ascii="宋体" w:hAnsi="宋体" w:eastAsia="宋体" w:cs="宋体"/>
                <w:color w:val="auto"/>
                <w:sz w:val="24"/>
                <w:szCs w:val="24"/>
                <w:highlight w:val="none"/>
              </w:rPr>
            </w:pPr>
            <w:r>
              <w:rPr>
                <w:rStyle w:val="26"/>
                <w:rFonts w:hint="eastAsia" w:ascii="宋体" w:hAnsi="宋体" w:eastAsia="宋体" w:cs="宋体"/>
                <w:b w:val="0"/>
                <w:bCs w:val="0"/>
                <w:i w:val="0"/>
                <w:iCs w:val="0"/>
                <w:caps w:val="0"/>
                <w:color w:val="auto"/>
                <w:spacing w:val="0"/>
                <w:sz w:val="24"/>
                <w:szCs w:val="24"/>
                <w:highlight w:val="none"/>
                <w:u w:val="none"/>
                <w:lang w:val="en-US" w:eastAsia="zh-CN"/>
              </w:rPr>
              <w:t>1272476.55</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leftChars="0" w:right="0" w:rightChars="0"/>
              <w:jc w:val="right"/>
              <w:textAlignment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outlineLvl w:val="9"/>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none"/>
          <w:shd w:val="clear" w:fill="FFFFFF"/>
          <w:vertAlign w:val="baseline"/>
        </w:rPr>
        <w:t>合同履行期限：</w:t>
      </w:r>
      <w:r>
        <w:rPr>
          <w:rFonts w:hint="eastAsia" w:ascii="宋体" w:hAnsi="宋体" w:cs="宋体"/>
          <w:color w:val="auto"/>
          <w:sz w:val="24"/>
          <w:szCs w:val="24"/>
          <w:highlight w:val="none"/>
          <w:lang w:val="en-US" w:eastAsia="zh-CN"/>
        </w:rPr>
        <w:t>合同签订后30日内。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2" w:firstLineChars="200"/>
        <w:jc w:val="both"/>
        <w:textAlignment w:val="auto"/>
        <w:outlineLvl w:val="9"/>
        <w:rPr>
          <w:rFonts w:hint="eastAsia" w:ascii="宋体" w:hAnsi="宋体" w:eastAsia="宋体" w:cs="宋体"/>
          <w:b w:val="0"/>
          <w:bCs w:val="0"/>
          <w:color w:val="auto"/>
          <w:sz w:val="24"/>
          <w:szCs w:val="24"/>
          <w:highlight w:val="none"/>
          <w:u w:val="none"/>
        </w:rPr>
      </w:pPr>
      <w:r>
        <w:rPr>
          <w:rStyle w:val="26"/>
          <w:rFonts w:hint="eastAsia" w:ascii="宋体" w:hAnsi="宋体" w:eastAsia="宋体" w:cs="宋体"/>
          <w:b/>
          <w:bCs/>
          <w:i w:val="0"/>
          <w:iCs w:val="0"/>
          <w:caps w:val="0"/>
          <w:color w:val="auto"/>
          <w:spacing w:val="0"/>
          <w:sz w:val="24"/>
          <w:szCs w:val="24"/>
          <w:highlight w:val="none"/>
          <w:u w:val="none"/>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b w:val="0"/>
          <w:bCs w:val="0"/>
          <w:color w:val="auto"/>
          <w:sz w:val="24"/>
          <w:szCs w:val="24"/>
          <w:highlight w:val="none"/>
          <w:u w:val="none"/>
          <w:shd w:val="clear" w:color="auto" w:fill="auto"/>
        </w:rPr>
      </w:pPr>
      <w:r>
        <w:rPr>
          <w:rStyle w:val="26"/>
          <w:rFonts w:hint="eastAsia" w:ascii="宋体" w:hAnsi="宋体" w:eastAsia="宋体" w:cs="宋体"/>
          <w:b/>
          <w:bCs/>
          <w:i w:val="0"/>
          <w:iCs w:val="0"/>
          <w:caps w:val="0"/>
          <w:color w:val="auto"/>
          <w:spacing w:val="0"/>
          <w:sz w:val="24"/>
          <w:szCs w:val="24"/>
          <w:highlight w:val="none"/>
          <w:u w:val="none"/>
          <w:shd w:val="clear" w:color="auto" w:fill="auto"/>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合同包1(</w:t>
      </w:r>
      <w:r>
        <w:rPr>
          <w:rFonts w:hint="eastAsia" w:ascii="宋体" w:hAnsi="宋体" w:eastAsia="宋体" w:cs="宋体"/>
          <w:i w:val="0"/>
          <w:iCs w:val="0"/>
          <w:caps w:val="0"/>
          <w:color w:val="auto"/>
          <w:spacing w:val="0"/>
          <w:sz w:val="24"/>
          <w:szCs w:val="24"/>
          <w:highlight w:val="none"/>
          <w:u w:val="none"/>
          <w:lang w:eastAsia="zh-CN"/>
        </w:rPr>
        <w:t>白水县西固镇人民政府2023年西固镇集体经济总社“固果果”品牌平台建设及县域农特产品销售推广项目</w:t>
      </w:r>
      <w:r>
        <w:rPr>
          <w:rFonts w:hint="eastAsia" w:ascii="宋体" w:hAnsi="宋体" w:eastAsia="宋体" w:cs="宋体"/>
          <w:i w:val="0"/>
          <w:iCs w:val="0"/>
          <w:caps w:val="0"/>
          <w:color w:val="auto"/>
          <w:spacing w:val="0"/>
          <w:sz w:val="24"/>
          <w:szCs w:val="24"/>
          <w:highlight w:val="none"/>
          <w:u w:val="none"/>
        </w:rPr>
        <w:t>)落实政府采购政策需满足的资格要求如下:</w:t>
      </w:r>
    </w:p>
    <w:p>
      <w:pPr>
        <w:pStyle w:val="2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《政府采购促进中小企业发展管理办法》（财库﹝2020﹞46号）；</w:t>
      </w:r>
    </w:p>
    <w:p>
      <w:pPr>
        <w:pStyle w:val="2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《财政部司法部关于政府采购支持监狱企业发展有关问题的通知》（财库〔2014〕68号；</w:t>
      </w:r>
    </w:p>
    <w:p>
      <w:pPr>
        <w:pStyle w:val="2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《国务院办公厅关于建立政府强制采购节能产品制度的通知》（国办发〔2007〕51号）；</w:t>
      </w:r>
    </w:p>
    <w:p>
      <w:pPr>
        <w:pStyle w:val="2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《财政部环保总局关于环境标志产品政府采购实施的意见》（财库[2006]90号）；</w:t>
      </w:r>
    </w:p>
    <w:p>
      <w:pPr>
        <w:pStyle w:val="2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《财政部国家发展改革委关于印发〈节能产品政府采购实施意见〉的通知》（财库〔2004〕185号）；</w:t>
      </w:r>
    </w:p>
    <w:p>
      <w:pPr>
        <w:pStyle w:val="2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《三部门联合发布关于促进残疾人就业政府采购政策的通知》（财库〔2017〕141号）；</w:t>
      </w:r>
    </w:p>
    <w:p>
      <w:pPr>
        <w:pStyle w:val="2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《财政部发展改革委生态环境部市场监管总局关于调整优化节能产品、环境标志产品政府采购执行机制的通知》（财库〔2019〕9号）；</w:t>
      </w:r>
    </w:p>
    <w:p>
      <w:pPr>
        <w:pStyle w:val="2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《关于运用政府采购政策支持乡村产业振兴的通知》财库〔2021〕19号；</w:t>
      </w:r>
    </w:p>
    <w:p>
      <w:pPr>
        <w:pStyle w:val="2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150" w:leftChars="0" w:right="0" w:firstLine="480" w:firstLineChars="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合同包1(</w:t>
      </w:r>
      <w:r>
        <w:rPr>
          <w:rFonts w:hint="eastAsia" w:ascii="宋体" w:hAnsi="宋体" w:eastAsia="宋体" w:cs="宋体"/>
          <w:i w:val="0"/>
          <w:iCs w:val="0"/>
          <w:caps w:val="0"/>
          <w:color w:val="auto"/>
          <w:spacing w:val="0"/>
          <w:sz w:val="24"/>
          <w:szCs w:val="24"/>
          <w:highlight w:val="none"/>
          <w:u w:val="none"/>
          <w:lang w:eastAsia="zh-CN"/>
        </w:rPr>
        <w:t>白水县西固镇人民政府2023年西固镇集体经济总社“固果果”品牌平台建设及县域农特产品销售推广项目</w:t>
      </w:r>
      <w:r>
        <w:rPr>
          <w:rFonts w:hint="eastAsia" w:ascii="宋体" w:hAnsi="宋体" w:eastAsia="宋体" w:cs="宋体"/>
          <w:i w:val="0"/>
          <w:iCs w:val="0"/>
          <w:caps w:val="0"/>
          <w:color w:val="auto"/>
          <w:spacing w:val="0"/>
          <w:sz w:val="24"/>
          <w:szCs w:val="24"/>
          <w:highlight w:val="none"/>
          <w:u w:val="none"/>
        </w:rPr>
        <w:t>)特定资格要求如下:</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（1）提供合格有效的法人或者其他组织的营业执照等证明文件或自然人的身份证明；</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color w:val="auto"/>
          <w:sz w:val="24"/>
          <w:szCs w:val="24"/>
          <w:highlight w:val="none"/>
          <w:lang w:eastAsia="zh-CN"/>
        </w:rPr>
        <w:t>提供2022年度</w:t>
      </w:r>
      <w:r>
        <w:rPr>
          <w:rFonts w:hint="eastAsia" w:ascii="宋体" w:hAnsi="宋体" w:eastAsia="宋体" w:cs="宋体"/>
          <w:color w:val="auto"/>
          <w:sz w:val="24"/>
          <w:szCs w:val="24"/>
          <w:highlight w:val="none"/>
        </w:rPr>
        <w:t>的财务审计报告或开标前六个月内</w:t>
      </w:r>
      <w:r>
        <w:rPr>
          <w:rFonts w:hint="eastAsia" w:ascii="宋体" w:hAnsi="宋体" w:eastAsia="宋体" w:cs="宋体"/>
          <w:color w:val="auto"/>
          <w:sz w:val="24"/>
          <w:szCs w:val="24"/>
          <w:highlight w:val="none"/>
          <w:lang w:eastAsia="zh-CN"/>
        </w:rPr>
        <w:t>其基本存款账户开户银行出具的资信证明（附开户许可证或开户备案证明或基本账户信息）</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（3）税收缴纳证明：提供</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至今已缴存的至少一个月的纳税证明或完税证明，依法免税的单位应提供相关证明材料；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（4）社会保障资金缴纳证明：</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至今已缴存的至少一个月的社会保障资金缴存单据或社保机构开具的社会保险参保缴费情况证明，依法不需要缴纳社会保障资金的单位应提供相关证明材料；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（6）具备履行合同所必需的设备和专业技术能力的证明材料(由供应商根据项目需求提供说明材料或者承诺)；</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i w:val="0"/>
          <w:iCs w:val="0"/>
          <w:caps w:val="0"/>
          <w:color w:val="auto"/>
          <w:spacing w:val="0"/>
          <w:sz w:val="24"/>
          <w:szCs w:val="24"/>
          <w:highlight w:val="none"/>
          <w:u w:val="none"/>
          <w:lang w:eastAsia="zh-CN"/>
        </w:rPr>
        <w:t>供应商应授权合法的人员参加投标全过程，其中法定代表人直接参加投标的，须出具法定代表人身份证，并与营业执照上信息一致。法定代表人授权代表参加投标的，须出具法定代表人授权书及授权代表身份证；</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（8）在“信用中国”网站（www.creditchina.gov.cn）和“中国政府采购网”（ccgp.gov.cn）对投标单位信用信息进行查询，如果投标单位被查实在开标前已列入失信被执行人、</w:t>
      </w:r>
      <w:r>
        <w:rPr>
          <w:rFonts w:hint="eastAsia" w:ascii="宋体" w:hAnsi="宋体" w:cs="宋体"/>
          <w:i w:val="0"/>
          <w:iCs w:val="0"/>
          <w:caps w:val="0"/>
          <w:color w:val="auto"/>
          <w:spacing w:val="0"/>
          <w:sz w:val="24"/>
          <w:szCs w:val="24"/>
          <w:highlight w:val="none"/>
          <w:u w:val="none"/>
          <w:lang w:eastAsia="zh-CN"/>
        </w:rPr>
        <w:t>重大税收违法失信主体</w:t>
      </w:r>
      <w:r>
        <w:rPr>
          <w:rFonts w:hint="eastAsia" w:ascii="宋体" w:hAnsi="宋体" w:eastAsia="宋体" w:cs="宋体"/>
          <w:i w:val="0"/>
          <w:iCs w:val="0"/>
          <w:caps w:val="0"/>
          <w:color w:val="auto"/>
          <w:spacing w:val="0"/>
          <w:sz w:val="24"/>
          <w:szCs w:val="24"/>
          <w:highlight w:val="none"/>
          <w:u w:val="none"/>
          <w:lang w:eastAsia="zh-CN"/>
        </w:rPr>
        <w:t>、政府采购严重违法失信行为记录名单，其投标为无效；</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w:t>
      </w:r>
      <w:r>
        <w:rPr>
          <w:rFonts w:hint="eastAsia" w:ascii="宋体" w:hAnsi="宋体" w:eastAsia="宋体" w:cs="宋体"/>
          <w:i w:val="0"/>
          <w:iCs w:val="0"/>
          <w:caps w:val="0"/>
          <w:color w:val="auto"/>
          <w:spacing w:val="0"/>
          <w:sz w:val="24"/>
          <w:szCs w:val="24"/>
          <w:highlight w:val="none"/>
          <w:u w:val="none"/>
          <w:lang w:val="en-US" w:eastAsia="zh-CN"/>
        </w:rPr>
        <w:t>9</w:t>
      </w:r>
      <w:r>
        <w:rPr>
          <w:rFonts w:hint="eastAsia" w:ascii="宋体" w:hAnsi="宋体" w:eastAsia="宋体" w:cs="宋体"/>
          <w:i w:val="0"/>
          <w:iCs w:val="0"/>
          <w:caps w:val="0"/>
          <w:color w:val="auto"/>
          <w:spacing w:val="0"/>
          <w:sz w:val="24"/>
          <w:szCs w:val="24"/>
          <w:highlight w:val="none"/>
          <w:u w:val="none"/>
          <w:lang w:eastAsia="zh-CN"/>
        </w:rPr>
        <w:t>）投标保证金转账凭证或投标担保函</w:t>
      </w:r>
      <w:r>
        <w:rPr>
          <w:rFonts w:hint="eastAsia" w:ascii="宋体" w:hAnsi="宋体" w:cs="宋体"/>
          <w:i w:val="0"/>
          <w:iCs w:val="0"/>
          <w:caps w:val="0"/>
          <w:color w:val="auto"/>
          <w:spacing w:val="0"/>
          <w:sz w:val="24"/>
          <w:szCs w:val="24"/>
          <w:highlight w:val="none"/>
          <w:u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u w:val="none"/>
        </w:rPr>
      </w:pPr>
      <w:r>
        <w:rPr>
          <w:rStyle w:val="26"/>
          <w:rFonts w:hint="eastAsia" w:ascii="宋体" w:hAnsi="宋体" w:eastAsia="宋体" w:cs="宋体"/>
          <w:b/>
          <w:bCs/>
          <w:i w:val="0"/>
          <w:iCs w:val="0"/>
          <w:caps w:val="0"/>
          <w:color w:val="auto"/>
          <w:spacing w:val="0"/>
          <w:sz w:val="24"/>
          <w:szCs w:val="24"/>
          <w:highlight w:val="none"/>
          <w:u w:val="none"/>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时间：202</w:t>
      </w:r>
      <w:r>
        <w:rPr>
          <w:rFonts w:hint="eastAsia" w:ascii="宋体" w:hAnsi="宋体" w:eastAsia="宋体" w:cs="宋体"/>
          <w:i w:val="0"/>
          <w:iCs w:val="0"/>
          <w:caps w:val="0"/>
          <w:color w:val="auto"/>
          <w:spacing w:val="0"/>
          <w:sz w:val="24"/>
          <w:szCs w:val="24"/>
          <w:highlight w:val="none"/>
          <w:u w:val="none"/>
          <w:lang w:val="en-US" w:eastAsia="zh-CN"/>
        </w:rPr>
        <w:t>3</w:t>
      </w:r>
      <w:r>
        <w:rPr>
          <w:rFonts w:hint="eastAsia" w:ascii="宋体" w:hAnsi="宋体" w:eastAsia="宋体" w:cs="宋体"/>
          <w:i w:val="0"/>
          <w:iCs w:val="0"/>
          <w:caps w:val="0"/>
          <w:color w:val="auto"/>
          <w:spacing w:val="0"/>
          <w:sz w:val="24"/>
          <w:szCs w:val="24"/>
          <w:highlight w:val="none"/>
          <w:u w:val="none"/>
        </w:rPr>
        <w:t>年</w:t>
      </w:r>
      <w:r>
        <w:rPr>
          <w:rFonts w:hint="eastAsia" w:ascii="宋体" w:hAnsi="宋体" w:cs="宋体"/>
          <w:i w:val="0"/>
          <w:iCs w:val="0"/>
          <w:caps w:val="0"/>
          <w:color w:val="auto"/>
          <w:spacing w:val="0"/>
          <w:sz w:val="24"/>
          <w:szCs w:val="24"/>
          <w:highlight w:val="none"/>
          <w:u w:val="none"/>
          <w:lang w:val="en-US" w:eastAsia="zh-CN"/>
        </w:rPr>
        <w:t>07</w:t>
      </w:r>
      <w:r>
        <w:rPr>
          <w:rFonts w:hint="eastAsia" w:ascii="宋体" w:hAnsi="宋体" w:eastAsia="宋体" w:cs="宋体"/>
          <w:i w:val="0"/>
          <w:iCs w:val="0"/>
          <w:caps w:val="0"/>
          <w:color w:val="auto"/>
          <w:spacing w:val="0"/>
          <w:sz w:val="24"/>
          <w:szCs w:val="24"/>
          <w:highlight w:val="none"/>
          <w:u w:val="none"/>
        </w:rPr>
        <w:t>月</w:t>
      </w:r>
      <w:r>
        <w:rPr>
          <w:rFonts w:hint="eastAsia" w:ascii="宋体" w:hAnsi="宋体" w:cs="宋体"/>
          <w:i w:val="0"/>
          <w:iCs w:val="0"/>
          <w:caps w:val="0"/>
          <w:color w:val="auto"/>
          <w:spacing w:val="0"/>
          <w:sz w:val="24"/>
          <w:szCs w:val="24"/>
          <w:highlight w:val="none"/>
          <w:u w:val="none"/>
          <w:lang w:val="en-US" w:eastAsia="zh-CN"/>
        </w:rPr>
        <w:t>17</w:t>
      </w:r>
      <w:r>
        <w:rPr>
          <w:rFonts w:hint="eastAsia" w:ascii="宋体" w:hAnsi="宋体" w:eastAsia="宋体" w:cs="宋体"/>
          <w:i w:val="0"/>
          <w:iCs w:val="0"/>
          <w:caps w:val="0"/>
          <w:color w:val="auto"/>
          <w:spacing w:val="0"/>
          <w:sz w:val="24"/>
          <w:szCs w:val="24"/>
          <w:highlight w:val="none"/>
          <w:u w:val="none"/>
        </w:rPr>
        <w:t>日至2022年</w:t>
      </w:r>
      <w:r>
        <w:rPr>
          <w:rFonts w:hint="eastAsia" w:ascii="宋体" w:hAnsi="宋体" w:cs="宋体"/>
          <w:i w:val="0"/>
          <w:iCs w:val="0"/>
          <w:caps w:val="0"/>
          <w:color w:val="auto"/>
          <w:spacing w:val="0"/>
          <w:sz w:val="24"/>
          <w:szCs w:val="24"/>
          <w:highlight w:val="none"/>
          <w:u w:val="none"/>
          <w:lang w:val="en-US" w:eastAsia="zh-CN"/>
        </w:rPr>
        <w:t>07</w:t>
      </w:r>
      <w:r>
        <w:rPr>
          <w:rFonts w:hint="eastAsia" w:ascii="宋体" w:hAnsi="宋体" w:eastAsia="宋体" w:cs="宋体"/>
          <w:i w:val="0"/>
          <w:iCs w:val="0"/>
          <w:caps w:val="0"/>
          <w:color w:val="auto"/>
          <w:spacing w:val="0"/>
          <w:sz w:val="24"/>
          <w:szCs w:val="24"/>
          <w:highlight w:val="none"/>
          <w:u w:val="none"/>
        </w:rPr>
        <w:t>月</w:t>
      </w:r>
      <w:r>
        <w:rPr>
          <w:rFonts w:hint="eastAsia" w:ascii="宋体" w:hAnsi="宋体" w:cs="宋体"/>
          <w:i w:val="0"/>
          <w:iCs w:val="0"/>
          <w:caps w:val="0"/>
          <w:color w:val="auto"/>
          <w:spacing w:val="0"/>
          <w:sz w:val="24"/>
          <w:szCs w:val="24"/>
          <w:highlight w:val="none"/>
          <w:u w:val="none"/>
          <w:lang w:val="en-US" w:eastAsia="zh-CN"/>
        </w:rPr>
        <w:t>24</w:t>
      </w:r>
      <w:r>
        <w:rPr>
          <w:rFonts w:hint="eastAsia" w:ascii="宋体" w:hAnsi="宋体" w:eastAsia="宋体" w:cs="宋体"/>
          <w:i w:val="0"/>
          <w:iCs w:val="0"/>
          <w:caps w:val="0"/>
          <w:color w:val="auto"/>
          <w:spacing w:val="0"/>
          <w:sz w:val="24"/>
          <w:szCs w:val="24"/>
          <w:highlight w:val="none"/>
          <w:u w:val="none"/>
        </w:rPr>
        <w:t>日，每天上午09:00:00至12:00:00，下午13:30:00至17:00:00（北京时间,法定节假日除外）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cs="宋体"/>
          <w:i w:val="0"/>
          <w:iCs w:val="0"/>
          <w:caps w:val="0"/>
          <w:color w:val="auto"/>
          <w:spacing w:val="0"/>
          <w:sz w:val="24"/>
          <w:szCs w:val="24"/>
          <w:highlight w:val="none"/>
          <w:u w:val="none"/>
          <w:lang w:eastAsia="zh-CN"/>
        </w:rPr>
        <w:t>途径</w:t>
      </w:r>
      <w:r>
        <w:rPr>
          <w:rFonts w:hint="eastAsia" w:ascii="宋体" w:hAnsi="宋体" w:eastAsia="宋体" w:cs="宋体"/>
          <w:i w:val="0"/>
          <w:iCs w:val="0"/>
          <w:caps w:val="0"/>
          <w:color w:val="auto"/>
          <w:spacing w:val="0"/>
          <w:sz w:val="24"/>
          <w:szCs w:val="24"/>
          <w:highlight w:val="none"/>
          <w:u w:val="none"/>
        </w:rPr>
        <w:t>：西安市高新路88号尚品国际B幢25层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方式：</w:t>
      </w:r>
      <w:r>
        <w:rPr>
          <w:rFonts w:hint="eastAsia" w:ascii="宋体" w:hAnsi="宋体" w:eastAsia="宋体" w:cs="宋体"/>
          <w:i w:val="0"/>
          <w:iCs w:val="0"/>
          <w:caps w:val="0"/>
          <w:color w:val="auto"/>
          <w:spacing w:val="0"/>
          <w:sz w:val="24"/>
          <w:szCs w:val="24"/>
          <w:highlight w:val="none"/>
          <w:u w:val="none"/>
          <w:lang w:eastAsia="zh-CN"/>
        </w:rPr>
        <w:t>现场</w:t>
      </w:r>
      <w:r>
        <w:rPr>
          <w:rFonts w:hint="eastAsia" w:ascii="宋体" w:hAnsi="宋体" w:eastAsia="宋体" w:cs="宋体"/>
          <w:i w:val="0"/>
          <w:iCs w:val="0"/>
          <w:caps w:val="0"/>
          <w:color w:val="auto"/>
          <w:spacing w:val="0"/>
          <w:sz w:val="24"/>
          <w:szCs w:val="24"/>
          <w:highlight w:val="none"/>
          <w:u w:val="none"/>
        </w:rPr>
        <w:t>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rPr>
        <w:t>售价：</w:t>
      </w:r>
      <w:r>
        <w:rPr>
          <w:rFonts w:hint="eastAsia" w:ascii="宋体" w:hAnsi="宋体" w:eastAsia="宋体" w:cs="宋体"/>
          <w:i w:val="0"/>
          <w:iCs w:val="0"/>
          <w:caps w:val="0"/>
          <w:color w:val="auto"/>
          <w:spacing w:val="0"/>
          <w:sz w:val="24"/>
          <w:szCs w:val="24"/>
          <w:highlight w:val="none"/>
          <w:u w:val="none"/>
          <w:lang w:val="en-US" w:eastAsia="zh-CN"/>
        </w:rPr>
        <w:t>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u w:val="none"/>
        </w:rPr>
      </w:pPr>
      <w:r>
        <w:rPr>
          <w:rStyle w:val="26"/>
          <w:rFonts w:hint="eastAsia" w:ascii="宋体" w:hAnsi="宋体" w:eastAsia="宋体" w:cs="宋体"/>
          <w:b/>
          <w:bCs/>
          <w:i w:val="0"/>
          <w:iCs w:val="0"/>
          <w:caps w:val="0"/>
          <w:color w:val="auto"/>
          <w:spacing w:val="0"/>
          <w:sz w:val="24"/>
          <w:szCs w:val="24"/>
          <w:highlight w:val="none"/>
          <w:u w:val="none"/>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cs="宋体"/>
          <w:i w:val="0"/>
          <w:iCs w:val="0"/>
          <w:caps w:val="0"/>
          <w:color w:val="auto"/>
          <w:spacing w:val="0"/>
          <w:sz w:val="24"/>
          <w:szCs w:val="24"/>
          <w:highlight w:val="none"/>
          <w:u w:val="none"/>
          <w:lang w:eastAsia="zh-CN"/>
        </w:rPr>
        <w:t>时间：</w:t>
      </w:r>
      <w:r>
        <w:rPr>
          <w:rFonts w:hint="eastAsia" w:ascii="宋体" w:hAnsi="宋体" w:eastAsia="宋体" w:cs="宋体"/>
          <w:i w:val="0"/>
          <w:iCs w:val="0"/>
          <w:caps w:val="0"/>
          <w:color w:val="auto"/>
          <w:spacing w:val="0"/>
          <w:sz w:val="24"/>
          <w:szCs w:val="24"/>
          <w:highlight w:val="none"/>
          <w:u w:val="none"/>
        </w:rPr>
        <w:t>202</w:t>
      </w:r>
      <w:r>
        <w:rPr>
          <w:rFonts w:hint="eastAsia" w:ascii="宋体" w:hAnsi="宋体" w:eastAsia="宋体" w:cs="宋体"/>
          <w:i w:val="0"/>
          <w:iCs w:val="0"/>
          <w:caps w:val="0"/>
          <w:color w:val="auto"/>
          <w:spacing w:val="0"/>
          <w:sz w:val="24"/>
          <w:szCs w:val="24"/>
          <w:highlight w:val="none"/>
          <w:u w:val="none"/>
          <w:lang w:val="en-US" w:eastAsia="zh-CN"/>
        </w:rPr>
        <w:t>3</w:t>
      </w:r>
      <w:r>
        <w:rPr>
          <w:rFonts w:hint="eastAsia" w:ascii="宋体" w:hAnsi="宋体" w:eastAsia="宋体" w:cs="宋体"/>
          <w:i w:val="0"/>
          <w:iCs w:val="0"/>
          <w:caps w:val="0"/>
          <w:color w:val="auto"/>
          <w:spacing w:val="0"/>
          <w:sz w:val="24"/>
          <w:szCs w:val="24"/>
          <w:highlight w:val="none"/>
          <w:u w:val="none"/>
        </w:rPr>
        <w:t>年</w:t>
      </w:r>
      <w:r>
        <w:rPr>
          <w:rFonts w:hint="eastAsia" w:ascii="宋体" w:hAnsi="宋体" w:cs="宋体"/>
          <w:i w:val="0"/>
          <w:iCs w:val="0"/>
          <w:caps w:val="0"/>
          <w:color w:val="auto"/>
          <w:spacing w:val="0"/>
          <w:sz w:val="24"/>
          <w:szCs w:val="24"/>
          <w:highlight w:val="none"/>
          <w:u w:val="none"/>
          <w:lang w:val="en-US" w:eastAsia="zh-CN"/>
        </w:rPr>
        <w:t>08</w:t>
      </w:r>
      <w:r>
        <w:rPr>
          <w:rFonts w:hint="eastAsia" w:ascii="宋体" w:hAnsi="宋体" w:eastAsia="宋体" w:cs="宋体"/>
          <w:i w:val="0"/>
          <w:iCs w:val="0"/>
          <w:caps w:val="0"/>
          <w:color w:val="auto"/>
          <w:spacing w:val="0"/>
          <w:sz w:val="24"/>
          <w:szCs w:val="24"/>
          <w:highlight w:val="none"/>
          <w:u w:val="none"/>
        </w:rPr>
        <w:t>月</w:t>
      </w:r>
      <w:r>
        <w:rPr>
          <w:rFonts w:hint="eastAsia" w:ascii="宋体" w:hAnsi="宋体" w:cs="宋体"/>
          <w:i w:val="0"/>
          <w:iCs w:val="0"/>
          <w:caps w:val="0"/>
          <w:color w:val="auto"/>
          <w:spacing w:val="0"/>
          <w:sz w:val="24"/>
          <w:szCs w:val="24"/>
          <w:highlight w:val="none"/>
          <w:u w:val="none"/>
          <w:lang w:val="en-US" w:eastAsia="zh-CN"/>
        </w:rPr>
        <w:t>08</w:t>
      </w:r>
      <w:r>
        <w:rPr>
          <w:rFonts w:hint="eastAsia" w:ascii="宋体" w:hAnsi="宋体" w:eastAsia="宋体" w:cs="宋体"/>
          <w:i w:val="0"/>
          <w:iCs w:val="0"/>
          <w:caps w:val="0"/>
          <w:color w:val="auto"/>
          <w:spacing w:val="0"/>
          <w:sz w:val="24"/>
          <w:szCs w:val="24"/>
          <w:highlight w:val="none"/>
          <w:u w:val="none"/>
        </w:rPr>
        <w:t>日</w:t>
      </w:r>
      <w:r>
        <w:rPr>
          <w:rFonts w:hint="eastAsia" w:ascii="宋体" w:hAnsi="宋体" w:cs="宋体"/>
          <w:i w:val="0"/>
          <w:iCs w:val="0"/>
          <w:caps w:val="0"/>
          <w:color w:val="auto"/>
          <w:spacing w:val="0"/>
          <w:sz w:val="24"/>
          <w:szCs w:val="24"/>
          <w:highlight w:val="none"/>
          <w:u w:val="none"/>
          <w:lang w:val="en-US" w:eastAsia="zh-CN"/>
        </w:rPr>
        <w:t>14</w:t>
      </w:r>
      <w:r>
        <w:rPr>
          <w:rFonts w:hint="eastAsia" w:ascii="宋体" w:hAnsi="宋体" w:eastAsia="宋体" w:cs="宋体"/>
          <w:i w:val="0"/>
          <w:iCs w:val="0"/>
          <w:caps w:val="0"/>
          <w:color w:val="auto"/>
          <w:spacing w:val="0"/>
          <w:sz w:val="24"/>
          <w:szCs w:val="24"/>
          <w:highlight w:val="none"/>
          <w:u w:val="none"/>
        </w:rPr>
        <w:t>时30分00秒（北京时间）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cs="宋体"/>
          <w:i w:val="0"/>
          <w:iCs w:val="0"/>
          <w:caps w:val="0"/>
          <w:color w:val="auto"/>
          <w:spacing w:val="0"/>
          <w:sz w:val="24"/>
          <w:szCs w:val="24"/>
          <w:highlight w:val="none"/>
          <w:u w:val="none"/>
          <w:lang w:eastAsia="zh-CN"/>
        </w:rPr>
        <w:t>提交投标文件</w:t>
      </w:r>
      <w:r>
        <w:rPr>
          <w:rFonts w:hint="eastAsia" w:ascii="宋体" w:hAnsi="宋体" w:eastAsia="宋体" w:cs="宋体"/>
          <w:i w:val="0"/>
          <w:iCs w:val="0"/>
          <w:caps w:val="0"/>
          <w:color w:val="auto"/>
          <w:spacing w:val="0"/>
          <w:sz w:val="24"/>
          <w:szCs w:val="24"/>
          <w:highlight w:val="none"/>
          <w:u w:val="none"/>
        </w:rPr>
        <w:t>地点：西安市高新区高新路88号尚品国际B幢25层开标</w:t>
      </w:r>
      <w:r>
        <w:rPr>
          <w:rFonts w:hint="eastAsia" w:ascii="宋体" w:hAnsi="宋体" w:eastAsia="宋体" w:cs="宋体"/>
          <w:i w:val="0"/>
          <w:iCs w:val="0"/>
          <w:caps w:val="0"/>
          <w:color w:val="auto"/>
          <w:spacing w:val="0"/>
          <w:sz w:val="24"/>
          <w:szCs w:val="24"/>
          <w:highlight w:val="none"/>
          <w:u w:val="none"/>
          <w:lang w:eastAsia="zh-CN"/>
        </w:rPr>
        <w:t>二</w:t>
      </w:r>
      <w:r>
        <w:rPr>
          <w:rFonts w:hint="eastAsia" w:ascii="宋体" w:hAnsi="宋体" w:eastAsia="宋体" w:cs="宋体"/>
          <w:i w:val="0"/>
          <w:iCs w:val="0"/>
          <w:caps w:val="0"/>
          <w:color w:val="auto"/>
          <w:spacing w:val="0"/>
          <w:sz w:val="24"/>
          <w:szCs w:val="24"/>
          <w:highlight w:val="none"/>
          <w:u w:val="none"/>
        </w:rPr>
        <w:t>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开标地点：西安市高新区高新路88号尚品国际B幢25层开标二室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u w:val="none"/>
        </w:rPr>
      </w:pPr>
      <w:r>
        <w:rPr>
          <w:rStyle w:val="26"/>
          <w:rFonts w:hint="eastAsia" w:ascii="宋体" w:hAnsi="宋体" w:eastAsia="宋体" w:cs="宋体"/>
          <w:b/>
          <w:bCs/>
          <w:i w:val="0"/>
          <w:iCs w:val="0"/>
          <w:caps w:val="0"/>
          <w:color w:val="auto"/>
          <w:spacing w:val="0"/>
          <w:sz w:val="24"/>
          <w:szCs w:val="24"/>
          <w:highlight w:val="none"/>
          <w:u w:val="none"/>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自本公告发布之日起5个工作日。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u w:val="none"/>
        </w:rPr>
      </w:pPr>
      <w:r>
        <w:rPr>
          <w:rStyle w:val="26"/>
          <w:rFonts w:hint="eastAsia" w:ascii="宋体" w:hAnsi="宋体" w:eastAsia="宋体" w:cs="宋体"/>
          <w:b/>
          <w:bCs/>
          <w:i w:val="0"/>
          <w:iCs w:val="0"/>
          <w:caps w:val="0"/>
          <w:color w:val="auto"/>
          <w:spacing w:val="0"/>
          <w:sz w:val="24"/>
          <w:szCs w:val="24"/>
          <w:highlight w:val="none"/>
          <w:u w:val="none"/>
        </w:rPr>
        <w:t>六、其他补充事宜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lang w:val="en-US" w:eastAsia="zh-CN"/>
        </w:rPr>
        <w:t>1、获取招标文件时请携带单位介绍信原件、经办人身份证原件及复印件加盖公章。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2、请各投标人获取招标文件后，按照陕西省财政厅《关于政府采购供应商注册登记有关事项的通知》要求，通过陕西省政府采购网注册登记加入陕西省政府采购供应商库。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3、本项目非专门面向中小企业。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2" w:firstLineChars="200"/>
        <w:jc w:val="both"/>
        <w:textAlignment w:val="auto"/>
        <w:outlineLvl w:val="9"/>
        <w:rPr>
          <w:rFonts w:hint="eastAsia" w:ascii="宋体" w:hAnsi="宋体" w:eastAsia="宋体" w:cs="宋体"/>
          <w:b w:val="0"/>
          <w:bCs w:val="0"/>
          <w:color w:val="auto"/>
          <w:sz w:val="24"/>
          <w:szCs w:val="24"/>
          <w:highlight w:val="none"/>
          <w:u w:val="none"/>
        </w:rPr>
      </w:pPr>
      <w:r>
        <w:rPr>
          <w:rStyle w:val="26"/>
          <w:rFonts w:hint="eastAsia" w:ascii="宋体" w:hAnsi="宋体" w:eastAsia="宋体" w:cs="宋体"/>
          <w:b/>
          <w:bCs/>
          <w:i w:val="0"/>
          <w:iCs w:val="0"/>
          <w:caps w:val="0"/>
          <w:color w:val="auto"/>
          <w:spacing w:val="0"/>
          <w:sz w:val="24"/>
          <w:szCs w:val="24"/>
          <w:highlight w:val="none"/>
          <w:u w:val="none"/>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rPr>
        <w:t>名称：</w:t>
      </w:r>
      <w:r>
        <w:rPr>
          <w:rFonts w:hint="eastAsia" w:ascii="宋体" w:hAnsi="宋体" w:eastAsia="宋体" w:cs="宋体"/>
          <w:i w:val="0"/>
          <w:iCs w:val="0"/>
          <w:caps w:val="0"/>
          <w:color w:val="auto"/>
          <w:spacing w:val="0"/>
          <w:sz w:val="24"/>
          <w:szCs w:val="24"/>
          <w:highlight w:val="none"/>
          <w:u w:val="none"/>
          <w:lang w:eastAsia="zh-CN"/>
        </w:rPr>
        <w:t>白水县西固镇人民政府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rPr>
        <w:t>地址：</w:t>
      </w:r>
      <w:r>
        <w:rPr>
          <w:rFonts w:hint="eastAsia" w:ascii="宋体" w:hAnsi="宋体" w:eastAsia="宋体" w:cs="宋体"/>
          <w:color w:val="auto"/>
          <w:sz w:val="24"/>
          <w:szCs w:val="24"/>
          <w:highlight w:val="none"/>
          <w:u w:val="none"/>
          <w:lang w:eastAsia="zh-CN"/>
        </w:rPr>
        <w:t>白水县西固镇街道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联系方式：段老师0913-6482888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名称：华晟国际项目管理有限公司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地址：西安市高新路88号尚品国际B幢25层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rPr>
        <w:t>联系方式：029-81779899转8009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rPr>
        <w:t>项目联系人：屈晨、杨帆、贾娜娜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i w:val="0"/>
          <w:iCs w:val="0"/>
          <w:caps w:val="0"/>
          <w:color w:val="auto"/>
          <w:spacing w:val="0"/>
          <w:sz w:val="24"/>
          <w:szCs w:val="24"/>
          <w:highlight w:val="none"/>
          <w:u w:val="none"/>
        </w:rPr>
        <w:t>电话：029-81779899转8009</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outlineLvl w:val="9"/>
        <w:rPr>
          <w:rFonts w:hint="eastAsia" w:ascii="宋体" w:hAnsi="宋体" w:eastAsia="宋体" w:cs="宋体"/>
          <w:i w:val="0"/>
          <w:iCs w:val="0"/>
          <w:caps w:val="0"/>
          <w:color w:val="auto"/>
          <w:spacing w:val="0"/>
          <w:sz w:val="24"/>
          <w:szCs w:val="24"/>
          <w:highlight w:val="none"/>
          <w:u w:val="none"/>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outlineLvl w:val="9"/>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rPr>
        <w:t>华晟国际项目管理有限公司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jc w:val="right"/>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lang w:val="en-US" w:eastAsia="zh-CN"/>
        </w:rPr>
        <w:t>2023年07月</w:t>
      </w:r>
      <w:r>
        <w:rPr>
          <w:rFonts w:hint="eastAsia" w:ascii="宋体" w:hAnsi="宋体" w:cs="宋体"/>
          <w:i w:val="0"/>
          <w:iCs w:val="0"/>
          <w:caps w:val="0"/>
          <w:color w:val="auto"/>
          <w:spacing w:val="0"/>
          <w:sz w:val="24"/>
          <w:szCs w:val="24"/>
          <w:highlight w:val="none"/>
          <w:u w:val="none"/>
          <w:lang w:val="en-US" w:eastAsia="zh-CN"/>
        </w:rPr>
        <w:t>17</w:t>
      </w:r>
      <w:r>
        <w:rPr>
          <w:rFonts w:hint="eastAsia" w:ascii="宋体" w:hAnsi="宋体" w:eastAsia="宋体" w:cs="宋体"/>
          <w:i w:val="0"/>
          <w:iCs w:val="0"/>
          <w:caps w:val="0"/>
          <w:color w:val="auto"/>
          <w:spacing w:val="0"/>
          <w:sz w:val="24"/>
          <w:szCs w:val="24"/>
          <w:highlight w:val="none"/>
          <w:u w:val="none"/>
          <w:lang w:val="en-US" w:eastAsia="zh-CN"/>
        </w:rPr>
        <w:t>日</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textAlignment w:val="baseline"/>
        <w:outlineLvl w:val="9"/>
        <w:rPr>
          <w:rFonts w:hint="eastAsia" w:ascii="宋体" w:hAnsi="宋体" w:eastAsia="宋体" w:cs="宋体"/>
          <w:i w:val="0"/>
          <w:iCs w:val="0"/>
          <w:caps w:val="0"/>
          <w:color w:val="auto"/>
          <w:spacing w:val="0"/>
          <w:sz w:val="24"/>
          <w:szCs w:val="24"/>
          <w:highlight w:val="none"/>
        </w:rPr>
      </w:pPr>
    </w:p>
    <w:p>
      <w:pPr>
        <w:pStyle w:val="3"/>
        <w:jc w:val="center"/>
        <w:rPr>
          <w:rFonts w:hint="eastAsia" w:ascii="宋体" w:hAnsi="宋体" w:eastAsia="宋体" w:cs="宋体"/>
          <w:color w:val="auto"/>
          <w:highlight w:val="none"/>
        </w:rPr>
      </w:pPr>
      <w:bookmarkStart w:id="4" w:name="_Toc1798"/>
      <w:bookmarkStart w:id="5" w:name="_Toc1377"/>
      <w:r>
        <w:rPr>
          <w:rFonts w:hint="eastAsia" w:ascii="宋体" w:hAnsi="宋体" w:eastAsia="宋体" w:cs="宋体"/>
          <w:color w:val="auto"/>
          <w:highlight w:val="none"/>
        </w:rPr>
        <w:t>第二章  投标人须知</w:t>
      </w:r>
      <w:bookmarkEnd w:id="4"/>
      <w:bookmarkEnd w:id="5"/>
    </w:p>
    <w:p>
      <w:pPr>
        <w:pStyle w:val="15"/>
        <w:spacing w:before="156" w:beforeLines="50"/>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投标人须知前附表</w:t>
      </w:r>
    </w:p>
    <w:p>
      <w:pPr>
        <w:pStyle w:val="15"/>
        <w:rPr>
          <w:rFonts w:hint="eastAsia" w:ascii="宋体" w:hAnsi="宋体" w:eastAsia="宋体" w:cs="宋体"/>
          <w:color w:val="auto"/>
          <w:sz w:val="24"/>
          <w:szCs w:val="24"/>
          <w:highlight w:val="none"/>
        </w:rPr>
      </w:pPr>
    </w:p>
    <w:tbl>
      <w:tblPr>
        <w:tblStyle w:val="23"/>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19"/>
        <w:gridCol w:w="6384"/>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65"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6384"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41" w:hRule="atLeast"/>
          <w:jc w:val="center"/>
        </w:trPr>
        <w:tc>
          <w:tcPr>
            <w:tcW w:w="797" w:type="dxa"/>
            <w:vMerge w:val="restart"/>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384" w:type="dxa"/>
            <w:vAlign w:val="center"/>
          </w:tcPr>
          <w:p>
            <w:pPr>
              <w:pStyle w:val="1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白水县西固镇人民政府2023年西固镇集体经济总社“固果果”品牌平台建设及县域农特产品销售推广项目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108" w:hRule="atLeast"/>
          <w:jc w:val="center"/>
        </w:trPr>
        <w:tc>
          <w:tcPr>
            <w:tcW w:w="797" w:type="dxa"/>
            <w:vMerge w:val="continue"/>
            <w:vAlign w:val="center"/>
          </w:tcPr>
          <w:p>
            <w:pPr>
              <w:pStyle w:val="15"/>
              <w:jc w:val="center"/>
              <w:rPr>
                <w:rFonts w:hint="eastAsia" w:ascii="宋体" w:hAnsi="宋体" w:eastAsia="宋体" w:cs="宋体"/>
                <w:color w:val="auto"/>
                <w:sz w:val="24"/>
                <w:szCs w:val="24"/>
                <w:highlight w:val="none"/>
              </w:rPr>
            </w:pPr>
          </w:p>
        </w:tc>
        <w:tc>
          <w:tcPr>
            <w:tcW w:w="2219" w:type="dxa"/>
            <w:vAlign w:val="center"/>
          </w:tcPr>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lang w:eastAsia="zh-CN"/>
              </w:rPr>
              <w:t>采购预算</w:t>
            </w:r>
          </w:p>
        </w:tc>
        <w:tc>
          <w:tcPr>
            <w:tcW w:w="6384" w:type="dxa"/>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right="0"/>
              <w:jc w:val="both"/>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lang w:eastAsia="zh-CN"/>
              </w:rPr>
              <w:t>本项目采购预算为：</w:t>
            </w:r>
            <w:r>
              <w:rPr>
                <w:rStyle w:val="26"/>
                <w:rFonts w:hint="eastAsia" w:ascii="宋体" w:hAnsi="宋体" w:eastAsia="宋体" w:cs="宋体"/>
                <w:b w:val="0"/>
                <w:bCs w:val="0"/>
                <w:i w:val="0"/>
                <w:iCs w:val="0"/>
                <w:caps w:val="0"/>
                <w:color w:val="auto"/>
                <w:spacing w:val="0"/>
                <w:sz w:val="24"/>
                <w:szCs w:val="24"/>
                <w:highlight w:val="none"/>
                <w:u w:val="none"/>
                <w:lang w:val="en-US" w:eastAsia="zh-CN"/>
              </w:rPr>
              <w:t>1272476.55元</w:t>
            </w:r>
            <w:r>
              <w:rPr>
                <w:rFonts w:hint="eastAsia" w:ascii="宋体" w:hAnsi="宋体" w:eastAsia="宋体" w:cs="宋体"/>
                <w:i w:val="0"/>
                <w:iCs w:val="0"/>
                <w:caps w:val="0"/>
                <w:color w:val="auto"/>
                <w:spacing w:val="0"/>
                <w:sz w:val="24"/>
                <w:szCs w:val="24"/>
                <w:highlight w:val="none"/>
                <w:u w:val="none"/>
                <w:lang w:eastAsia="zh-CN"/>
              </w:rPr>
              <w:t>；</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宋体" w:hAnsi="宋体" w:eastAsia="宋体" w:cs="宋体"/>
                <w:i w:val="0"/>
                <w:iCs w:val="0"/>
                <w:caps w:val="0"/>
                <w:color w:val="auto"/>
                <w:spacing w:val="0"/>
                <w:sz w:val="24"/>
                <w:szCs w:val="24"/>
                <w:highlight w:val="none"/>
                <w:u w:val="none"/>
                <w:lang w:eastAsia="zh-CN"/>
              </w:rPr>
            </w:pPr>
            <w:r>
              <w:rPr>
                <w:rFonts w:hint="eastAsia" w:ascii="宋体" w:hAnsi="宋体" w:eastAsia="宋体" w:cs="宋体"/>
                <w:i w:val="0"/>
                <w:iCs w:val="0"/>
                <w:caps w:val="0"/>
                <w:color w:val="auto"/>
                <w:spacing w:val="0"/>
                <w:sz w:val="24"/>
                <w:szCs w:val="24"/>
                <w:highlight w:val="none"/>
                <w:u w:val="none"/>
                <w:lang w:eastAsia="zh-CN"/>
              </w:rPr>
              <w:t>注：供应商报价不得超出本项目采购预算，否则按无效响应处理。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65" w:hRule="atLeast"/>
          <w:jc w:val="center"/>
        </w:trPr>
        <w:tc>
          <w:tcPr>
            <w:tcW w:w="797" w:type="dxa"/>
            <w:vMerge w:val="continue"/>
            <w:vAlign w:val="center"/>
          </w:tcPr>
          <w:p>
            <w:pPr>
              <w:pStyle w:val="15"/>
              <w:jc w:val="center"/>
              <w:rPr>
                <w:rFonts w:hint="eastAsia" w:ascii="宋体" w:hAnsi="宋体" w:eastAsia="宋体" w:cs="宋体"/>
                <w:color w:val="auto"/>
                <w:sz w:val="24"/>
                <w:szCs w:val="24"/>
                <w:highlight w:val="none"/>
              </w:rPr>
            </w:pPr>
          </w:p>
        </w:tc>
        <w:tc>
          <w:tcPr>
            <w:tcW w:w="2219" w:type="dxa"/>
            <w:vAlign w:val="center"/>
          </w:tcPr>
          <w:p>
            <w:pPr>
              <w:pStyle w:val="1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核心产品</w:t>
            </w:r>
          </w:p>
        </w:tc>
        <w:tc>
          <w:tcPr>
            <w:tcW w:w="6384" w:type="dxa"/>
            <w:vAlign w:val="center"/>
          </w:tcPr>
          <w:p>
            <w:pPr>
              <w:pStyle w:val="15"/>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直播录播一体机4K导播台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65" w:hRule="atLeast"/>
          <w:jc w:val="center"/>
        </w:trPr>
        <w:tc>
          <w:tcPr>
            <w:tcW w:w="797" w:type="dxa"/>
            <w:vMerge w:val="continue"/>
            <w:vAlign w:val="center"/>
          </w:tcPr>
          <w:p>
            <w:pPr>
              <w:pStyle w:val="15"/>
              <w:jc w:val="center"/>
              <w:rPr>
                <w:rFonts w:hint="eastAsia" w:ascii="宋体" w:hAnsi="宋体" w:eastAsia="宋体" w:cs="宋体"/>
                <w:color w:val="auto"/>
                <w:sz w:val="24"/>
                <w:szCs w:val="24"/>
                <w:highlight w:val="none"/>
              </w:rPr>
            </w:pP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公告媒体</w:t>
            </w:r>
          </w:p>
        </w:tc>
        <w:tc>
          <w:tcPr>
            <w:tcW w:w="6384" w:type="dxa"/>
            <w:vAlign w:val="center"/>
          </w:tcPr>
          <w:p>
            <w:pPr>
              <w:pStyle w:val="1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920"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384" w:type="dxa"/>
            <w:vAlign w:val="center"/>
          </w:tcPr>
          <w:p>
            <w:pPr>
              <w:pStyle w:val="51"/>
              <w:spacing w:line="40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白水县西固镇人民政府</w:t>
            </w:r>
          </w:p>
          <w:p>
            <w:pPr>
              <w:pStyle w:val="51"/>
              <w:spacing w:line="400" w:lineRule="atLeas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r>
              <w:rPr>
                <w:rFonts w:hint="eastAsia" w:ascii="宋体" w:hAnsi="宋体" w:cs="宋体"/>
                <w:color w:val="auto"/>
                <w:highlight w:val="none"/>
                <w:lang w:eastAsia="zh-CN"/>
              </w:rPr>
              <w:t>白水县西</w:t>
            </w:r>
            <w:r>
              <w:rPr>
                <w:rFonts w:hint="eastAsia" w:ascii="宋体" w:hAnsi="宋体" w:eastAsia="宋体" w:cs="宋体"/>
                <w:color w:val="auto"/>
                <w:highlight w:val="none"/>
                <w:lang w:eastAsia="zh-CN"/>
              </w:rPr>
              <w:t>固</w:t>
            </w:r>
            <w:r>
              <w:rPr>
                <w:rFonts w:hint="eastAsia" w:ascii="宋体" w:hAnsi="宋体" w:cs="宋体"/>
                <w:color w:val="auto"/>
                <w:highlight w:val="none"/>
                <w:lang w:eastAsia="zh-CN"/>
              </w:rPr>
              <w:t>镇</w:t>
            </w:r>
          </w:p>
          <w:p>
            <w:pPr>
              <w:pStyle w:val="51"/>
              <w:spacing w:line="400" w:lineRule="atLeas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联系人：段老师</w:t>
            </w:r>
          </w:p>
          <w:p>
            <w:pPr>
              <w:pStyle w:val="15"/>
              <w:spacing w:line="4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2"/>
                <w:highlight w:val="none"/>
                <w:lang w:val="en-US" w:eastAsia="zh-CN" w:bidi="ar-SA"/>
              </w:rPr>
              <w:t>联系方式：0913-6482888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769"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384" w:type="dxa"/>
            <w:vAlign w:val="center"/>
          </w:tcPr>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名称：华晟国际项目管理有限公司</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地址：西安市高新路88号尚品国际B幢25层</w:t>
            </w:r>
          </w:p>
          <w:p>
            <w:pPr>
              <w:spacing w:line="40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i w:val="0"/>
                <w:iCs w:val="0"/>
                <w:caps w:val="0"/>
                <w:color w:val="auto"/>
                <w:spacing w:val="0"/>
                <w:sz w:val="24"/>
                <w:szCs w:val="24"/>
                <w:highlight w:val="none"/>
                <w:u w:val="none"/>
              </w:rPr>
              <w:t>屈晨、杨帆、贾娜娜</w:t>
            </w:r>
          </w:p>
          <w:p>
            <w:pPr>
              <w:pStyle w:val="15"/>
              <w:spacing w:line="460" w:lineRule="exact"/>
              <w:jc w:val="left"/>
              <w:rPr>
                <w:rFonts w:hint="eastAsia" w:ascii="宋体" w:hAnsi="宋体" w:eastAsia="宋体" w:cs="宋体"/>
                <w:color w:val="auto"/>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029-81779899转8009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344"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投标人资格条件</w:t>
            </w:r>
          </w:p>
        </w:tc>
        <w:tc>
          <w:tcPr>
            <w:tcW w:w="6384" w:type="dxa"/>
            <w:vAlign w:val="center"/>
          </w:tcPr>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（1）提供合格有效的法人或者其他组织的营业执照等证明文件或自然人的身份证明；</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color w:val="auto"/>
                <w:sz w:val="24"/>
                <w:szCs w:val="24"/>
                <w:highlight w:val="none"/>
                <w:lang w:eastAsia="zh-CN"/>
              </w:rPr>
              <w:t>提供2022年度</w:t>
            </w:r>
            <w:r>
              <w:rPr>
                <w:rFonts w:hint="eastAsia" w:ascii="宋体" w:hAnsi="宋体" w:eastAsia="宋体" w:cs="宋体"/>
                <w:color w:val="auto"/>
                <w:sz w:val="24"/>
                <w:szCs w:val="24"/>
                <w:highlight w:val="none"/>
              </w:rPr>
              <w:t>的财务审计报告或开标前六个月内</w:t>
            </w:r>
            <w:r>
              <w:rPr>
                <w:rFonts w:hint="eastAsia" w:ascii="宋体" w:hAnsi="宋体" w:eastAsia="宋体" w:cs="宋体"/>
                <w:color w:val="auto"/>
                <w:sz w:val="24"/>
                <w:szCs w:val="24"/>
                <w:highlight w:val="none"/>
                <w:lang w:eastAsia="zh-CN"/>
              </w:rPr>
              <w:t>其基本存款账户开户银行出具的资信证明（附开户许可证或开户备案证明或基本账户信息）</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（3）税收缴纳证明：提供</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至今已缴存的至少一个月的纳税证明或完税证明，依法免税的单位应提供相关证明材料；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（4）社会保障资金缴纳证明：</w:t>
            </w:r>
            <w:r>
              <w:rPr>
                <w:rFonts w:hint="eastAsia" w:ascii="宋体" w:hAnsi="宋体" w:eastAsia="宋体" w:cs="宋体"/>
                <w:color w:val="auto"/>
                <w:sz w:val="24"/>
                <w:szCs w:val="24"/>
                <w:highlight w:val="none"/>
                <w:lang w:eastAsia="zh-CN"/>
              </w:rPr>
              <w:t>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月1日</w:t>
            </w:r>
            <w:r>
              <w:rPr>
                <w:rFonts w:hint="eastAsia" w:ascii="宋体" w:hAnsi="宋体" w:eastAsia="宋体" w:cs="宋体"/>
                <w:color w:val="auto"/>
                <w:sz w:val="24"/>
                <w:szCs w:val="24"/>
                <w:highlight w:val="none"/>
              </w:rPr>
              <w:t>至今已缴存的至少一个月的社会保障资金缴存单据或社保机构开具的社会保险参保缴费情况证明，依法不需要缴纳社会保障资金的单位应提供相关证明材料；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（6）具备履行合同所必需的设备和专业技术能力的证明材料(由供应商根据项目需求提供说明材料或者承诺)；</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i w:val="0"/>
                <w:iCs w:val="0"/>
                <w:caps w:val="0"/>
                <w:color w:val="auto"/>
                <w:spacing w:val="0"/>
                <w:sz w:val="24"/>
                <w:szCs w:val="24"/>
                <w:highlight w:val="none"/>
                <w:u w:val="none"/>
                <w:lang w:eastAsia="zh-CN"/>
              </w:rPr>
              <w:t>供应商应授权合法的人员参加投标全过程，其中法定代表人直接参加投标的，须出具法定代表人身份证，并与营业执照上信息一致。法定代表人授权代表参加投标的，须出具法定代表人授权书及授权代表身份证；</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（8）在“信用中国”网站（www.creditchina.gov.cn）和“中国政府采购网”（ccgp.gov.cn）对投标单位信用信息进行查询，如果投标单位被查实在开标前已列入失信被执行人、</w:t>
            </w:r>
            <w:r>
              <w:rPr>
                <w:rFonts w:hint="eastAsia" w:ascii="宋体" w:hAnsi="宋体" w:cs="宋体"/>
                <w:i w:val="0"/>
                <w:iCs w:val="0"/>
                <w:caps w:val="0"/>
                <w:color w:val="auto"/>
                <w:spacing w:val="0"/>
                <w:sz w:val="24"/>
                <w:szCs w:val="24"/>
                <w:highlight w:val="none"/>
                <w:u w:val="none"/>
                <w:lang w:eastAsia="zh-CN"/>
              </w:rPr>
              <w:t>重大税收违法失信主体</w:t>
            </w:r>
            <w:r>
              <w:rPr>
                <w:rFonts w:hint="eastAsia" w:ascii="宋体" w:hAnsi="宋体" w:eastAsia="宋体" w:cs="宋体"/>
                <w:i w:val="0"/>
                <w:iCs w:val="0"/>
                <w:caps w:val="0"/>
                <w:color w:val="auto"/>
                <w:spacing w:val="0"/>
                <w:sz w:val="24"/>
                <w:szCs w:val="24"/>
                <w:highlight w:val="none"/>
                <w:u w:val="none"/>
                <w:lang w:eastAsia="zh-CN"/>
              </w:rPr>
              <w:t>、政府采购严重违法失信行为记录名单，其投标为无效；</w:t>
            </w:r>
            <w:r>
              <w:rPr>
                <w:rFonts w:hint="eastAsia" w:ascii="宋体" w:hAnsi="宋体" w:eastAsia="宋体" w:cs="宋体"/>
                <w:i w:val="0"/>
                <w:iCs w:val="0"/>
                <w:caps w:val="0"/>
                <w:color w:val="auto"/>
                <w:spacing w:val="0"/>
                <w:sz w:val="24"/>
                <w:szCs w:val="24"/>
                <w:highlight w:val="none"/>
                <w:u w:val="none"/>
                <w:lang w:eastAsia="zh-CN"/>
              </w:rPr>
              <w:br w:type="textWrapping"/>
            </w:r>
            <w:r>
              <w:rPr>
                <w:rFonts w:hint="eastAsia" w:ascii="宋体" w:hAnsi="宋体" w:eastAsia="宋体" w:cs="宋体"/>
                <w:i w:val="0"/>
                <w:iCs w:val="0"/>
                <w:caps w:val="0"/>
                <w:color w:val="auto"/>
                <w:spacing w:val="0"/>
                <w:sz w:val="24"/>
                <w:szCs w:val="24"/>
                <w:highlight w:val="none"/>
                <w:u w:val="none"/>
                <w:lang w:val="en-US" w:eastAsia="zh-CN"/>
              </w:rPr>
              <w:t xml:space="preserve">    </w:t>
            </w:r>
            <w:r>
              <w:rPr>
                <w:rFonts w:hint="eastAsia" w:ascii="宋体" w:hAnsi="宋体" w:eastAsia="宋体" w:cs="宋体"/>
                <w:i w:val="0"/>
                <w:iCs w:val="0"/>
                <w:caps w:val="0"/>
                <w:color w:val="auto"/>
                <w:spacing w:val="0"/>
                <w:sz w:val="24"/>
                <w:szCs w:val="24"/>
                <w:highlight w:val="none"/>
                <w:u w:val="none"/>
                <w:lang w:eastAsia="zh-CN"/>
              </w:rPr>
              <w:t>（</w:t>
            </w:r>
            <w:r>
              <w:rPr>
                <w:rFonts w:hint="eastAsia" w:ascii="宋体" w:hAnsi="宋体" w:eastAsia="宋体" w:cs="宋体"/>
                <w:i w:val="0"/>
                <w:iCs w:val="0"/>
                <w:caps w:val="0"/>
                <w:color w:val="auto"/>
                <w:spacing w:val="0"/>
                <w:sz w:val="24"/>
                <w:szCs w:val="24"/>
                <w:highlight w:val="none"/>
                <w:u w:val="none"/>
                <w:lang w:val="en-US" w:eastAsia="zh-CN"/>
              </w:rPr>
              <w:t>9</w:t>
            </w:r>
            <w:r>
              <w:rPr>
                <w:rFonts w:hint="eastAsia" w:ascii="宋体" w:hAnsi="宋体" w:eastAsia="宋体" w:cs="宋体"/>
                <w:i w:val="0"/>
                <w:iCs w:val="0"/>
                <w:caps w:val="0"/>
                <w:color w:val="auto"/>
                <w:spacing w:val="0"/>
                <w:sz w:val="24"/>
                <w:szCs w:val="24"/>
                <w:highlight w:val="none"/>
                <w:u w:val="none"/>
                <w:lang w:eastAsia="zh-CN"/>
              </w:rPr>
              <w:t>）投标保证金转账凭证或投标担保函。</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90"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项目现场勘察</w:t>
            </w:r>
          </w:p>
        </w:tc>
        <w:tc>
          <w:tcPr>
            <w:tcW w:w="6384" w:type="dxa"/>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495"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384" w:type="dxa"/>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75" w:hRule="atLeast"/>
          <w:jc w:val="center"/>
        </w:trPr>
        <w:tc>
          <w:tcPr>
            <w:tcW w:w="797" w:type="dxa"/>
            <w:vMerge w:val="restart"/>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384" w:type="dxa"/>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05" w:hRule="atLeast"/>
          <w:jc w:val="center"/>
        </w:trPr>
        <w:tc>
          <w:tcPr>
            <w:tcW w:w="797" w:type="dxa"/>
            <w:vMerge w:val="continue"/>
            <w:vAlign w:val="center"/>
          </w:tcPr>
          <w:p>
            <w:pPr>
              <w:pStyle w:val="15"/>
              <w:jc w:val="center"/>
              <w:rPr>
                <w:rFonts w:hint="eastAsia" w:ascii="宋体" w:hAnsi="宋体" w:eastAsia="宋体" w:cs="宋体"/>
                <w:color w:val="auto"/>
                <w:sz w:val="24"/>
                <w:szCs w:val="24"/>
                <w:highlight w:val="none"/>
              </w:rPr>
            </w:pP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384" w:type="dxa"/>
            <w:vAlign w:val="center"/>
          </w:tcPr>
          <w:p>
            <w:pPr>
              <w:tabs>
                <w:tab w:val="left" w:pos="0"/>
              </w:tabs>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本项目不允许合同分包。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50"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384" w:type="dxa"/>
            <w:vAlign w:val="center"/>
          </w:tcPr>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u w:val="none"/>
                <w:lang w:val="en-US" w:eastAsia="zh-CN" w:bidi="ar-SA"/>
              </w:rPr>
              <w:t>本采购项目拒绝进口产品参加投标，若供应商用进口产品参加投标，按无效投标处理。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04" w:hRule="atLeast"/>
          <w:jc w:val="center"/>
        </w:trPr>
        <w:tc>
          <w:tcPr>
            <w:tcW w:w="797" w:type="dxa"/>
            <w:vMerge w:val="restart"/>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政府采购强制采购：节能产品</w:t>
            </w:r>
          </w:p>
        </w:tc>
        <w:tc>
          <w:tcPr>
            <w:tcW w:w="6384" w:type="dxa"/>
            <w:vAlign w:val="center"/>
          </w:tcPr>
          <w:p>
            <w:pPr>
              <w:pStyle w:val="1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048" w:hRule="atLeast"/>
          <w:jc w:val="center"/>
        </w:trPr>
        <w:tc>
          <w:tcPr>
            <w:tcW w:w="797" w:type="dxa"/>
            <w:vMerge w:val="continue"/>
            <w:vAlign w:val="center"/>
          </w:tcPr>
          <w:p>
            <w:pPr>
              <w:pStyle w:val="15"/>
              <w:jc w:val="center"/>
              <w:rPr>
                <w:rFonts w:hint="eastAsia" w:ascii="宋体" w:hAnsi="宋体" w:eastAsia="宋体" w:cs="宋体"/>
                <w:color w:val="auto"/>
                <w:sz w:val="24"/>
                <w:szCs w:val="24"/>
                <w:highlight w:val="none"/>
              </w:rPr>
            </w:pP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政府采购强制采购：信息安全认证</w:t>
            </w:r>
          </w:p>
        </w:tc>
        <w:tc>
          <w:tcPr>
            <w:tcW w:w="6384" w:type="dxa"/>
            <w:vAlign w:val="center"/>
          </w:tcPr>
          <w:p>
            <w:pPr>
              <w:pStyle w:val="1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97" w:type="dxa"/>
            <w:vMerge w:val="restart"/>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政府采购优先采购：节能产品(非强制类)</w:t>
            </w:r>
          </w:p>
        </w:tc>
        <w:tc>
          <w:tcPr>
            <w:tcW w:w="6420" w:type="dxa"/>
            <w:gridSpan w:val="2"/>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97" w:type="dxa"/>
            <w:vMerge w:val="continue"/>
            <w:vAlign w:val="center"/>
          </w:tcPr>
          <w:p>
            <w:pPr>
              <w:pStyle w:val="15"/>
              <w:jc w:val="center"/>
              <w:rPr>
                <w:rFonts w:hint="eastAsia" w:ascii="宋体" w:hAnsi="宋体" w:eastAsia="宋体" w:cs="宋体"/>
                <w:color w:val="auto"/>
                <w:sz w:val="24"/>
                <w:szCs w:val="24"/>
                <w:highlight w:val="none"/>
              </w:rPr>
            </w:pPr>
          </w:p>
        </w:tc>
        <w:tc>
          <w:tcPr>
            <w:tcW w:w="2219"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政府采购优先采购：环境标志产品</w:t>
            </w:r>
          </w:p>
        </w:tc>
        <w:tc>
          <w:tcPr>
            <w:tcW w:w="6420" w:type="dxa"/>
            <w:gridSpan w:val="2"/>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7" w:type="dxa"/>
            <w:vMerge w:val="restart"/>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支持中小企业发展</w:t>
            </w:r>
          </w:p>
        </w:tc>
        <w:tc>
          <w:tcPr>
            <w:tcW w:w="6420" w:type="dxa"/>
            <w:gridSpan w:val="2"/>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非专门面向中小企业采购项目(价格扣除)：</w:t>
            </w:r>
          </w:p>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①对小型和微型企业产品的价格给予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%的扣除，用扣除后的价格参与评审。本项目的扣除比例为：小型企业扣除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%，微型企业扣除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②货物服务采购项目联合协议或者分包意向协议约定小微企业的合同份额占到合同总金额30%以上的，对联合体或者大中型企业的报价给予 4%—6%的扣除，用扣除后的价格参加评审。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7" w:type="dxa"/>
            <w:vMerge w:val="continue"/>
            <w:vAlign w:val="center"/>
          </w:tcPr>
          <w:p>
            <w:pPr>
              <w:pStyle w:val="15"/>
              <w:jc w:val="center"/>
              <w:rPr>
                <w:rFonts w:hint="eastAsia" w:ascii="宋体" w:hAnsi="宋体" w:eastAsia="宋体" w:cs="宋体"/>
                <w:color w:val="auto"/>
                <w:sz w:val="24"/>
                <w:szCs w:val="24"/>
                <w:highlight w:val="none"/>
              </w:rPr>
            </w:pP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支持监狱企业</w:t>
            </w:r>
          </w:p>
        </w:tc>
        <w:tc>
          <w:tcPr>
            <w:tcW w:w="6420" w:type="dxa"/>
            <w:gridSpan w:val="2"/>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非专门面向监狱采购项目(价格扣除)：监狱企业可视同小微企业在价格评审时给予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%的扣除，用扣除后的价格参与评审。本项目的扣除比例为：扣除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420" w:type="dxa"/>
            <w:gridSpan w:val="2"/>
            <w:vAlign w:val="center"/>
          </w:tcPr>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残疾人福利性单位可视同小微企业在价格评审时给予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%的扣除，用扣除后的价格参与评审。本项目的扣除比例为：扣除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%。但应满足下列条件：</w:t>
            </w:r>
          </w:p>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1、残疾人福利性单位应符合《财政部、民政部、中国残疾人联合会关于促进残疾人就业政府采购政策的通知》（财库[2017]141号）文件规定，并提供《残疾人福利性单位声明函》。</w:t>
            </w:r>
          </w:p>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219" w:type="dxa"/>
            <w:vAlign w:val="center"/>
          </w:tcPr>
          <w:p>
            <w:pPr>
              <w:pStyle w:val="1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投标人须提供的其他资料</w:t>
            </w:r>
          </w:p>
        </w:tc>
        <w:tc>
          <w:tcPr>
            <w:tcW w:w="6420" w:type="dxa"/>
            <w:gridSpan w:val="2"/>
            <w:vAlign w:val="center"/>
          </w:tcPr>
          <w:p>
            <w:pPr>
              <w:pStyle w:val="15"/>
              <w:jc w:val="left"/>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澄清或者修改时间</w:t>
            </w:r>
          </w:p>
        </w:tc>
        <w:tc>
          <w:tcPr>
            <w:tcW w:w="6420" w:type="dxa"/>
            <w:gridSpan w:val="2"/>
            <w:vAlign w:val="center"/>
          </w:tcPr>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对已发出的招标文件进行必要的澄清或者修改的，应在招标文件要求提交投标文件截止时间十五日前，不足十五日应延长至十五日。澄清或者修改内容在政府采购发布媒体上发布更正公告，并以书面形式通知所有招标文件收受人，且作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提交投标文件的截止时间、地点</w:t>
            </w:r>
          </w:p>
        </w:tc>
        <w:tc>
          <w:tcPr>
            <w:tcW w:w="6420" w:type="dxa"/>
            <w:gridSpan w:val="2"/>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i w:val="0"/>
                <w:iCs w:val="0"/>
                <w:caps w:val="0"/>
                <w:color w:val="auto"/>
                <w:spacing w:val="0"/>
                <w:sz w:val="24"/>
                <w:szCs w:val="24"/>
                <w:highlight w:val="none"/>
                <w:u w:val="none"/>
              </w:rPr>
              <w:t>202</w:t>
            </w:r>
            <w:r>
              <w:rPr>
                <w:rFonts w:hint="eastAsia" w:ascii="宋体" w:hAnsi="宋体" w:eastAsia="宋体" w:cs="宋体"/>
                <w:i w:val="0"/>
                <w:iCs w:val="0"/>
                <w:caps w:val="0"/>
                <w:color w:val="auto"/>
                <w:spacing w:val="0"/>
                <w:sz w:val="24"/>
                <w:szCs w:val="24"/>
                <w:highlight w:val="none"/>
                <w:u w:val="none"/>
                <w:lang w:val="en-US" w:eastAsia="zh-CN"/>
              </w:rPr>
              <w:t>3</w:t>
            </w:r>
            <w:r>
              <w:rPr>
                <w:rFonts w:hint="eastAsia" w:ascii="宋体" w:hAnsi="宋体" w:eastAsia="宋体" w:cs="宋体"/>
                <w:i w:val="0"/>
                <w:iCs w:val="0"/>
                <w:caps w:val="0"/>
                <w:color w:val="auto"/>
                <w:spacing w:val="0"/>
                <w:sz w:val="24"/>
                <w:szCs w:val="24"/>
                <w:highlight w:val="none"/>
                <w:u w:val="none"/>
              </w:rPr>
              <w:t>年</w:t>
            </w:r>
            <w:r>
              <w:rPr>
                <w:rFonts w:hint="eastAsia" w:ascii="宋体" w:hAnsi="宋体" w:cs="宋体"/>
                <w:i w:val="0"/>
                <w:iCs w:val="0"/>
                <w:caps w:val="0"/>
                <w:color w:val="auto"/>
                <w:spacing w:val="0"/>
                <w:sz w:val="24"/>
                <w:szCs w:val="24"/>
                <w:highlight w:val="none"/>
                <w:u w:val="none"/>
                <w:lang w:val="en-US" w:eastAsia="zh-CN"/>
              </w:rPr>
              <w:t>08</w:t>
            </w:r>
            <w:r>
              <w:rPr>
                <w:rFonts w:hint="eastAsia" w:ascii="宋体" w:hAnsi="宋体" w:eastAsia="宋体" w:cs="宋体"/>
                <w:i w:val="0"/>
                <w:iCs w:val="0"/>
                <w:caps w:val="0"/>
                <w:color w:val="auto"/>
                <w:spacing w:val="0"/>
                <w:sz w:val="24"/>
                <w:szCs w:val="24"/>
                <w:highlight w:val="none"/>
                <w:u w:val="none"/>
              </w:rPr>
              <w:t>月</w:t>
            </w:r>
            <w:r>
              <w:rPr>
                <w:rFonts w:hint="eastAsia" w:ascii="宋体" w:hAnsi="宋体" w:cs="宋体"/>
                <w:i w:val="0"/>
                <w:iCs w:val="0"/>
                <w:caps w:val="0"/>
                <w:color w:val="auto"/>
                <w:spacing w:val="0"/>
                <w:sz w:val="24"/>
                <w:szCs w:val="24"/>
                <w:highlight w:val="none"/>
                <w:u w:val="none"/>
                <w:lang w:val="en-US" w:eastAsia="zh-CN"/>
              </w:rPr>
              <w:t>08</w:t>
            </w:r>
            <w:r>
              <w:rPr>
                <w:rFonts w:hint="eastAsia" w:ascii="宋体" w:hAnsi="宋体" w:eastAsia="宋体" w:cs="宋体"/>
                <w:i w:val="0"/>
                <w:iCs w:val="0"/>
                <w:caps w:val="0"/>
                <w:color w:val="auto"/>
                <w:spacing w:val="0"/>
                <w:sz w:val="24"/>
                <w:szCs w:val="24"/>
                <w:highlight w:val="none"/>
                <w:u w:val="none"/>
              </w:rPr>
              <w:t>日</w:t>
            </w:r>
            <w:r>
              <w:rPr>
                <w:rFonts w:hint="eastAsia" w:ascii="宋体" w:hAnsi="宋体" w:cs="宋体"/>
                <w:i w:val="0"/>
                <w:iCs w:val="0"/>
                <w:caps w:val="0"/>
                <w:color w:val="auto"/>
                <w:spacing w:val="0"/>
                <w:sz w:val="24"/>
                <w:szCs w:val="24"/>
                <w:highlight w:val="none"/>
                <w:u w:val="none"/>
                <w:lang w:val="en-US" w:eastAsia="zh-CN"/>
              </w:rPr>
              <w:t>14</w:t>
            </w:r>
            <w:r>
              <w:rPr>
                <w:rFonts w:hint="eastAsia" w:ascii="宋体" w:hAnsi="宋体" w:eastAsia="宋体" w:cs="宋体"/>
                <w:i w:val="0"/>
                <w:iCs w:val="0"/>
                <w:caps w:val="0"/>
                <w:color w:val="auto"/>
                <w:spacing w:val="0"/>
                <w:sz w:val="24"/>
                <w:szCs w:val="24"/>
                <w:highlight w:val="none"/>
                <w:u w:val="none"/>
              </w:rPr>
              <w:t>时30分00秒</w:t>
            </w:r>
            <w:r>
              <w:rPr>
                <w:rFonts w:hint="eastAsia" w:ascii="宋体" w:hAnsi="宋体" w:eastAsia="宋体" w:cs="宋体"/>
                <w:color w:val="auto"/>
                <w:sz w:val="24"/>
                <w:szCs w:val="24"/>
                <w:highlight w:val="none"/>
              </w:rPr>
              <w:t>(北京时间)</w:t>
            </w:r>
          </w:p>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地点：西安市高新路88号尚品国际B幢25层开标</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开标时间、地点</w:t>
            </w:r>
          </w:p>
        </w:tc>
        <w:tc>
          <w:tcPr>
            <w:tcW w:w="6420" w:type="dxa"/>
            <w:gridSpan w:val="2"/>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i w:val="0"/>
                <w:iCs w:val="0"/>
                <w:caps w:val="0"/>
                <w:color w:val="auto"/>
                <w:spacing w:val="0"/>
                <w:sz w:val="24"/>
                <w:szCs w:val="24"/>
                <w:highlight w:val="none"/>
                <w:u w:val="none"/>
              </w:rPr>
              <w:t>202</w:t>
            </w:r>
            <w:r>
              <w:rPr>
                <w:rFonts w:hint="eastAsia" w:ascii="宋体" w:hAnsi="宋体" w:eastAsia="宋体" w:cs="宋体"/>
                <w:i w:val="0"/>
                <w:iCs w:val="0"/>
                <w:caps w:val="0"/>
                <w:color w:val="auto"/>
                <w:spacing w:val="0"/>
                <w:sz w:val="24"/>
                <w:szCs w:val="24"/>
                <w:highlight w:val="none"/>
                <w:u w:val="none"/>
                <w:lang w:val="en-US" w:eastAsia="zh-CN"/>
              </w:rPr>
              <w:t>3</w:t>
            </w:r>
            <w:r>
              <w:rPr>
                <w:rFonts w:hint="eastAsia" w:ascii="宋体" w:hAnsi="宋体" w:eastAsia="宋体" w:cs="宋体"/>
                <w:i w:val="0"/>
                <w:iCs w:val="0"/>
                <w:caps w:val="0"/>
                <w:color w:val="auto"/>
                <w:spacing w:val="0"/>
                <w:sz w:val="24"/>
                <w:szCs w:val="24"/>
                <w:highlight w:val="none"/>
                <w:u w:val="none"/>
              </w:rPr>
              <w:t>年</w:t>
            </w:r>
            <w:r>
              <w:rPr>
                <w:rFonts w:hint="eastAsia" w:ascii="宋体" w:hAnsi="宋体" w:cs="宋体"/>
                <w:i w:val="0"/>
                <w:iCs w:val="0"/>
                <w:caps w:val="0"/>
                <w:color w:val="auto"/>
                <w:spacing w:val="0"/>
                <w:sz w:val="24"/>
                <w:szCs w:val="24"/>
                <w:highlight w:val="none"/>
                <w:u w:val="none"/>
                <w:lang w:val="en-US" w:eastAsia="zh-CN"/>
              </w:rPr>
              <w:t>08</w:t>
            </w:r>
            <w:r>
              <w:rPr>
                <w:rFonts w:hint="eastAsia" w:ascii="宋体" w:hAnsi="宋体" w:eastAsia="宋体" w:cs="宋体"/>
                <w:i w:val="0"/>
                <w:iCs w:val="0"/>
                <w:caps w:val="0"/>
                <w:color w:val="auto"/>
                <w:spacing w:val="0"/>
                <w:sz w:val="24"/>
                <w:szCs w:val="24"/>
                <w:highlight w:val="none"/>
                <w:u w:val="none"/>
              </w:rPr>
              <w:t>月</w:t>
            </w:r>
            <w:r>
              <w:rPr>
                <w:rFonts w:hint="eastAsia" w:ascii="宋体" w:hAnsi="宋体" w:cs="宋体"/>
                <w:i w:val="0"/>
                <w:iCs w:val="0"/>
                <w:caps w:val="0"/>
                <w:color w:val="auto"/>
                <w:spacing w:val="0"/>
                <w:sz w:val="24"/>
                <w:szCs w:val="24"/>
                <w:highlight w:val="none"/>
                <w:u w:val="none"/>
                <w:lang w:val="en-US" w:eastAsia="zh-CN"/>
              </w:rPr>
              <w:t>08</w:t>
            </w:r>
            <w:r>
              <w:rPr>
                <w:rFonts w:hint="eastAsia" w:ascii="宋体" w:hAnsi="宋体" w:eastAsia="宋体" w:cs="宋体"/>
                <w:i w:val="0"/>
                <w:iCs w:val="0"/>
                <w:caps w:val="0"/>
                <w:color w:val="auto"/>
                <w:spacing w:val="0"/>
                <w:sz w:val="24"/>
                <w:szCs w:val="24"/>
                <w:highlight w:val="none"/>
                <w:u w:val="none"/>
              </w:rPr>
              <w:t>日</w:t>
            </w:r>
            <w:r>
              <w:rPr>
                <w:rFonts w:hint="eastAsia" w:ascii="宋体" w:hAnsi="宋体" w:cs="宋体"/>
                <w:i w:val="0"/>
                <w:iCs w:val="0"/>
                <w:caps w:val="0"/>
                <w:color w:val="auto"/>
                <w:spacing w:val="0"/>
                <w:sz w:val="24"/>
                <w:szCs w:val="24"/>
                <w:highlight w:val="none"/>
                <w:u w:val="none"/>
                <w:lang w:val="en-US" w:eastAsia="zh-CN"/>
              </w:rPr>
              <w:t>14</w:t>
            </w:r>
            <w:r>
              <w:rPr>
                <w:rFonts w:hint="eastAsia" w:ascii="宋体" w:hAnsi="宋体" w:eastAsia="宋体" w:cs="宋体"/>
                <w:i w:val="0"/>
                <w:iCs w:val="0"/>
                <w:caps w:val="0"/>
                <w:color w:val="auto"/>
                <w:spacing w:val="0"/>
                <w:sz w:val="24"/>
                <w:szCs w:val="24"/>
                <w:highlight w:val="none"/>
                <w:u w:val="none"/>
              </w:rPr>
              <w:t>时30分00秒</w:t>
            </w:r>
            <w:r>
              <w:rPr>
                <w:rFonts w:hint="eastAsia" w:ascii="宋体" w:hAnsi="宋体" w:eastAsia="宋体" w:cs="宋体"/>
                <w:color w:val="auto"/>
                <w:sz w:val="24"/>
                <w:szCs w:val="24"/>
                <w:highlight w:val="none"/>
              </w:rPr>
              <w:t>(北京时间)</w:t>
            </w:r>
          </w:p>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地点：西安市高新路88号尚品国际B幢25层开标</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其他唱标内容</w:t>
            </w:r>
          </w:p>
        </w:tc>
        <w:tc>
          <w:tcPr>
            <w:tcW w:w="6420" w:type="dxa"/>
            <w:gridSpan w:val="2"/>
            <w:vAlign w:val="center"/>
          </w:tcPr>
          <w:p>
            <w:pPr>
              <w:pStyle w:val="1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420" w:type="dxa"/>
            <w:gridSpan w:val="2"/>
            <w:vAlign w:val="center"/>
          </w:tcPr>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在投标截止时间前提交投标保证金到采购代理机构指定账户转账，以代理公司开户银行到账时间为准。由投标人通过银行转账、电汇或保函等非现金形式交纳，并将其交纳凭证附在投标文件中。（联系人及电话：张渴楠 029-81779899）</w:t>
            </w:r>
          </w:p>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保证金的金额：人民币</w:t>
            </w:r>
            <w:r>
              <w:rPr>
                <w:rFonts w:hint="eastAsia" w:ascii="宋体" w:hAnsi="宋体" w:cs="宋体"/>
                <w:color w:val="auto"/>
                <w:sz w:val="24"/>
                <w:szCs w:val="24"/>
                <w:highlight w:val="none"/>
                <w:lang w:eastAsia="zh-CN"/>
              </w:rPr>
              <w:t>贰万元整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200</w:t>
            </w:r>
            <w:r>
              <w:rPr>
                <w:rFonts w:hint="eastAsia" w:ascii="宋体" w:hAnsi="宋体" w:eastAsia="宋体" w:cs="宋体"/>
                <w:color w:val="auto"/>
                <w:sz w:val="24"/>
                <w:szCs w:val="24"/>
                <w:highlight w:val="none"/>
                <w:lang w:val="en-US" w:eastAsia="zh-CN"/>
              </w:rPr>
              <w:t>00.00</w:t>
            </w:r>
            <w:r>
              <w:rPr>
                <w:rFonts w:hint="eastAsia" w:ascii="宋体" w:hAnsi="宋体" w:eastAsia="宋体" w:cs="宋体"/>
                <w:color w:val="auto"/>
                <w:sz w:val="24"/>
                <w:szCs w:val="24"/>
                <w:highlight w:val="none"/>
                <w:lang w:eastAsia="zh-CN"/>
              </w:rPr>
              <w:t>元）</w:t>
            </w:r>
          </w:p>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收款单位：华晟国际项目管理有限公司</w:t>
            </w:r>
          </w:p>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开户银行：建设银行西安劳动路支行</w:t>
            </w:r>
          </w:p>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号：610501 740015 00000 427</w:t>
            </w:r>
          </w:p>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转账事由：HSGJ2023-207投标保证金</w:t>
            </w:r>
          </w:p>
          <w:p>
            <w:pPr>
              <w:spacing w:line="4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投标保证金有效期：从提交投标文件的截止时间起九十（90）个日历日。</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注：若因转账事由未标注清晰而引起的任何后果由供应商自行承担。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420" w:type="dxa"/>
            <w:gridSpan w:val="2"/>
            <w:vAlign w:val="center"/>
          </w:tcPr>
          <w:p>
            <w:pPr>
              <w:pStyle w:val="1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自投标文件递交截止时间起90日(日历天)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6420" w:type="dxa"/>
            <w:gridSpan w:val="2"/>
            <w:vAlign w:val="center"/>
          </w:tcPr>
          <w:p>
            <w:pPr>
              <w:tabs>
                <w:tab w:val="left" w:pos="7013"/>
              </w:tabs>
              <w:spacing w:line="40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文件采用书籍（胶装）方式装订。</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文件正本壹份、副本贰份，电子版</w:t>
            </w:r>
            <w:r>
              <w:rPr>
                <w:rFonts w:hint="eastAsia" w:ascii="宋体" w:hAnsi="宋体" w:eastAsia="宋体" w:cs="宋体"/>
                <w:color w:val="auto"/>
                <w:sz w:val="24"/>
                <w:highlight w:val="none"/>
                <w:lang w:eastAsia="zh-CN"/>
              </w:rPr>
              <w:t>壹</w:t>
            </w:r>
            <w:r>
              <w:rPr>
                <w:rFonts w:hint="eastAsia" w:ascii="宋体" w:hAnsi="宋体" w:eastAsia="宋体" w:cs="宋体"/>
                <w:color w:val="auto"/>
                <w:sz w:val="24"/>
                <w:highlight w:val="none"/>
              </w:rPr>
              <w:t>份（</w:t>
            </w:r>
            <w:r>
              <w:rPr>
                <w:rFonts w:hint="eastAsia" w:ascii="宋体" w:hAnsi="宋体" w:eastAsia="宋体" w:cs="宋体"/>
                <w:b/>
                <w:bCs/>
                <w:color w:val="auto"/>
                <w:sz w:val="24"/>
                <w:highlight w:val="none"/>
              </w:rPr>
              <w:t>包含word</w:t>
            </w:r>
            <w:r>
              <w:rPr>
                <w:rFonts w:hint="eastAsia" w:ascii="宋体" w:hAnsi="宋体" w:eastAsia="宋体" w:cs="宋体"/>
                <w:b/>
                <w:bCs/>
                <w:color w:val="auto"/>
                <w:sz w:val="24"/>
                <w:highlight w:val="none"/>
                <w:lang w:eastAsia="zh-CN"/>
              </w:rPr>
              <w:t>或</w:t>
            </w:r>
            <w:r>
              <w:rPr>
                <w:rFonts w:hint="eastAsia" w:ascii="宋体" w:hAnsi="宋体" w:eastAsia="宋体" w:cs="宋体"/>
                <w:b/>
                <w:bCs/>
                <w:color w:val="auto"/>
                <w:sz w:val="24"/>
                <w:highlight w:val="none"/>
              </w:rPr>
              <w:t>PDF格式投标文件所有内容</w:t>
            </w:r>
            <w:r>
              <w:rPr>
                <w:rFonts w:hint="eastAsia" w:ascii="宋体" w:hAnsi="宋体" w:eastAsia="宋体" w:cs="宋体"/>
                <w:color w:val="auto"/>
                <w:sz w:val="24"/>
                <w:highlight w:val="none"/>
              </w:rPr>
              <w:t>）、开标一览表壹份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纸质</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文件建议A4纸双面打印，正、副本分别各自装订成册并编制目录和页码，单独密封。电子版放置“正本”密封袋内并加贴不掉标贴，注写</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w:t>
            </w:r>
          </w:p>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为方便开标唱标，投标人除在投标文件中附开标一览表外，还应单独将开标一览表另行封装在同一密封袋内，并标明开标一览表字样，递交投标文件时提交。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420" w:type="dxa"/>
            <w:gridSpan w:val="2"/>
            <w:vAlign w:val="center"/>
          </w:tcPr>
          <w:p>
            <w:pPr>
              <w:pStyle w:val="15"/>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在“信用中国”网站（www.creditchina.gov.cn）和“中国政府采购网”（ccgp.gov.cn）对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信用信息进行查询，如果</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被查实在开标前已列入失信被执行人、</w:t>
            </w:r>
            <w:r>
              <w:rPr>
                <w:rFonts w:hint="eastAsia" w:hAnsi="宋体" w:cs="宋体"/>
                <w:color w:val="auto"/>
                <w:kern w:val="0"/>
                <w:sz w:val="24"/>
                <w:highlight w:val="none"/>
                <w:lang w:eastAsia="zh-CN"/>
              </w:rPr>
              <w:t>重大税收违法失信主体</w:t>
            </w:r>
            <w:r>
              <w:rPr>
                <w:rFonts w:hint="eastAsia" w:ascii="宋体" w:hAnsi="宋体" w:eastAsia="宋体" w:cs="宋体"/>
                <w:color w:val="auto"/>
                <w:kern w:val="0"/>
                <w:sz w:val="24"/>
                <w:highlight w:val="none"/>
              </w:rPr>
              <w:t>、政府采购严重违法失信行为记录名单，其</w:t>
            </w:r>
            <w:r>
              <w:rPr>
                <w:rFonts w:hint="eastAsia" w:ascii="宋体" w:hAnsi="宋体" w:eastAsia="宋体" w:cs="宋体"/>
                <w:color w:val="auto"/>
                <w:kern w:val="0"/>
                <w:sz w:val="24"/>
                <w:highlight w:val="none"/>
                <w:lang w:eastAsia="zh-CN"/>
              </w:rPr>
              <w:t>投标</w:t>
            </w:r>
            <w:r>
              <w:rPr>
                <w:rFonts w:hint="eastAsia" w:ascii="宋体" w:hAnsi="宋体" w:eastAsia="宋体" w:cs="宋体"/>
                <w:color w:val="auto"/>
                <w:kern w:val="0"/>
                <w:sz w:val="24"/>
                <w:highlight w:val="none"/>
              </w:rPr>
              <w:t>为无效</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lang w:eastAsia="zh-CN"/>
              </w:rPr>
              <w:t>开标</w:t>
            </w:r>
            <w:r>
              <w:rPr>
                <w:rFonts w:hint="eastAsia" w:ascii="宋体" w:hAnsi="宋体" w:eastAsia="宋体" w:cs="宋体"/>
                <w:color w:val="auto"/>
                <w:sz w:val="24"/>
                <w:highlight w:val="none"/>
              </w:rPr>
              <w:t>当天代理公司核查为准，</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2219" w:type="dxa"/>
            <w:vAlign w:val="center"/>
          </w:tcPr>
          <w:p>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是否授权评标委员会确定中标人</w:t>
            </w:r>
          </w:p>
        </w:tc>
        <w:tc>
          <w:tcPr>
            <w:tcW w:w="6420" w:type="dxa"/>
            <w:gridSpan w:val="2"/>
            <w:vAlign w:val="center"/>
          </w:tcPr>
          <w:p>
            <w:pPr>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2219"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同品牌多家投标人处理原则</w:t>
            </w:r>
          </w:p>
        </w:tc>
        <w:tc>
          <w:tcPr>
            <w:tcW w:w="6420" w:type="dxa"/>
            <w:gridSpan w:val="2"/>
            <w:vAlign w:val="center"/>
          </w:tcPr>
          <w:p>
            <w:pPr>
              <w:pStyle w:val="15"/>
              <w:numPr>
                <w:ilvl w:val="0"/>
                <w:numId w:val="4"/>
              </w:numPr>
              <w:spacing w:line="460" w:lineRule="exact"/>
              <w:jc w:val="left"/>
              <w:rPr>
                <w:rFonts w:hint="eastAsia"/>
                <w:lang w:val="en-US" w:eastAsia="zh-CN"/>
              </w:rPr>
            </w:pPr>
            <w:r>
              <w:rPr>
                <w:rFonts w:hint="eastAsia" w:ascii="宋体" w:hAnsi="宋体" w:eastAsia="宋体" w:cs="宋体"/>
                <w:color w:val="auto"/>
                <w:sz w:val="24"/>
                <w:szCs w:val="24"/>
                <w:highlight w:val="none"/>
              </w:rPr>
              <w:t>综合评分法：相同品牌产品</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 得分相同的，按投标报价由低到高顺序排列。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2219" w:type="dxa"/>
            <w:vAlign w:val="center"/>
          </w:tcPr>
          <w:p>
            <w:pPr>
              <w:pStyle w:val="15"/>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w:t>
            </w:r>
          </w:p>
        </w:tc>
        <w:tc>
          <w:tcPr>
            <w:tcW w:w="6420" w:type="dxa"/>
            <w:gridSpan w:val="2"/>
            <w:vAlign w:val="center"/>
          </w:tcPr>
          <w:p>
            <w:pPr>
              <w:pStyle w:val="15"/>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合同签订后支付合同价款的50%，剩余款项待</w:t>
            </w:r>
            <w:r>
              <w:rPr>
                <w:rFonts w:hint="eastAsia" w:hAnsi="宋体" w:cs="宋体"/>
                <w:color w:val="auto"/>
                <w:sz w:val="24"/>
                <w:szCs w:val="24"/>
                <w:highlight w:val="none"/>
                <w:lang w:eastAsia="zh-CN"/>
              </w:rPr>
              <w:t>交货并验收合格后一次性付清</w:t>
            </w:r>
            <w:r>
              <w:rPr>
                <w:rFonts w:hint="eastAsia"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420" w:type="dxa"/>
            <w:gridSpan w:val="2"/>
            <w:vAlign w:val="center"/>
          </w:tcPr>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219" w:type="dxa"/>
            <w:vAlign w:val="center"/>
          </w:tcPr>
          <w:p>
            <w:pPr>
              <w:pStyle w:val="1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6420" w:type="dxa"/>
            <w:gridSpan w:val="2"/>
            <w:vAlign w:val="center"/>
          </w:tcPr>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1、中标单位在领取中标通知书前，须要向采购代理机构支付中标服务费。</w:t>
            </w:r>
          </w:p>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2、中标服务费参照国家发展与改革委员会《招标代理服务收费暂行办法》（计价格[2002]1980号）和国家发展改革委（发改价格[2003]857号）文件规定标准。</w:t>
            </w:r>
          </w:p>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3、代理服务费账户：</w:t>
            </w:r>
          </w:p>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收款单位：华晟国际项目管理有限公司</w:t>
            </w:r>
          </w:p>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开户银行：建设银行西安劳动路支行</w:t>
            </w:r>
          </w:p>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号：610501 740015 00000 427</w:t>
            </w:r>
          </w:p>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转账事由：</w:t>
            </w:r>
            <w:r>
              <w:rPr>
                <w:rFonts w:hint="eastAsia" w:ascii="宋体" w:hAnsi="宋体" w:eastAsia="宋体" w:cs="宋体"/>
                <w:color w:val="auto"/>
                <w:sz w:val="24"/>
                <w:szCs w:val="24"/>
                <w:highlight w:val="none"/>
                <w:lang w:eastAsia="zh-CN"/>
              </w:rPr>
              <w:t>HSGJ2023-207</w:t>
            </w:r>
            <w:r>
              <w:rPr>
                <w:rFonts w:hint="eastAsia" w:ascii="宋体" w:hAnsi="宋体" w:eastAsia="宋体" w:cs="宋体"/>
                <w:color w:val="auto"/>
                <w:sz w:val="24"/>
                <w:szCs w:val="24"/>
                <w:highlight w:val="none"/>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219" w:type="dxa"/>
            <w:vAlign w:val="center"/>
          </w:tcPr>
          <w:p>
            <w:pPr>
              <w:pStyle w:val="1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评标</w:t>
            </w:r>
            <w:r>
              <w:rPr>
                <w:rFonts w:hint="eastAsia" w:ascii="宋体" w:hAnsi="宋体" w:eastAsia="宋体" w:cs="宋体"/>
                <w:color w:val="auto"/>
                <w:sz w:val="24"/>
                <w:highlight w:val="none"/>
              </w:rPr>
              <w:t>小组的组建</w:t>
            </w:r>
          </w:p>
        </w:tc>
        <w:tc>
          <w:tcPr>
            <w:tcW w:w="6420" w:type="dxa"/>
            <w:gridSpan w:val="2"/>
            <w:vAlign w:val="center"/>
          </w:tcPr>
          <w:p>
            <w:pPr>
              <w:spacing w:line="40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评标</w:t>
            </w:r>
            <w:r>
              <w:rPr>
                <w:rFonts w:hint="eastAsia" w:ascii="宋体" w:hAnsi="宋体" w:eastAsia="宋体" w:cs="宋体"/>
                <w:color w:val="auto"/>
                <w:sz w:val="24"/>
                <w:highlight w:val="none"/>
              </w:rPr>
              <w:t>小组构成：</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其中采购人代表1人，专家4人；</w:t>
            </w:r>
          </w:p>
          <w:p>
            <w:pPr>
              <w:pStyle w:val="15"/>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评标</w:t>
            </w:r>
            <w:r>
              <w:rPr>
                <w:rFonts w:hint="eastAsia" w:ascii="宋体" w:hAnsi="宋体" w:eastAsia="宋体" w:cs="宋体"/>
                <w:color w:val="auto"/>
                <w:sz w:val="24"/>
                <w:highlight w:val="none"/>
              </w:rPr>
              <w:t>专家确定方式：在省级财政部门的政府采购专家库中随机抽取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2219" w:type="dxa"/>
            <w:vAlign w:val="center"/>
          </w:tcPr>
          <w:p>
            <w:pPr>
              <w:pStyle w:val="1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6420" w:type="dxa"/>
            <w:gridSpan w:val="2"/>
            <w:vAlign w:val="center"/>
          </w:tcPr>
          <w:p>
            <w:pPr>
              <w:pStyle w:val="15"/>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合同签订后30日内。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信用担保及信用融资</w:t>
            </w:r>
          </w:p>
        </w:tc>
        <w:tc>
          <w:tcPr>
            <w:tcW w:w="642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陕西省政府采购信用担保及信用融资政策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w:t>
            </w: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lang w:eastAsia="zh-CN"/>
              </w:rPr>
              <w:t>缴纳履约保证金时可自愿选择通过担保机构保函的形式缴纳；</w:t>
            </w: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lang w:eastAsia="zh-CN"/>
              </w:rPr>
              <w:t>如果需要融资贷款服务的，根据《陕西省中小企业政府采购信用融资办法》（陕财办采〔2018〕23号），可凭中标通知书、政府采购合同等相关资料，按照文件规定的程序申请办理，具体规定可登陆陕西省政府采购网(www.ccgp-shaanxi.gov.cn)重要通知专栏中查询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97" w:type="dxa"/>
            <w:vAlign w:val="center"/>
          </w:tcPr>
          <w:p>
            <w:pPr>
              <w:pStyle w:val="15"/>
              <w:spacing w:line="360" w:lineRule="auto"/>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30</w:t>
            </w:r>
          </w:p>
        </w:tc>
        <w:tc>
          <w:tcPr>
            <w:tcW w:w="2219" w:type="dxa"/>
            <w:vAlign w:val="center"/>
          </w:tcPr>
          <w:p>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是否专门面向中小企业或小微型企业采购</w:t>
            </w:r>
          </w:p>
        </w:tc>
        <w:tc>
          <w:tcPr>
            <w:tcW w:w="6420" w:type="dxa"/>
            <w:gridSpan w:val="2"/>
            <w:vAlign w:val="center"/>
          </w:tcPr>
          <w:p>
            <w:pPr>
              <w:pStyle w:val="45"/>
              <w:widowControl w:val="0"/>
              <w:spacing w:line="360" w:lineRule="auto"/>
              <w:ind w:left="0" w:leftChars="0" w:firstLine="42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lang w:val="en-US" w:eastAsia="zh-CN"/>
              </w:rPr>
              <w:t>否</w:t>
            </w:r>
          </w:p>
        </w:tc>
      </w:tr>
    </w:tbl>
    <w:p>
      <w:pPr>
        <w:rPr>
          <w:rFonts w:hint="eastAsia" w:ascii="宋体" w:hAnsi="宋体" w:eastAsia="宋体" w:cs="宋体"/>
          <w:b/>
          <w:bCs/>
          <w:color w:val="auto"/>
          <w:sz w:val="28"/>
          <w:szCs w:val="32"/>
          <w:highlight w:val="none"/>
        </w:rPr>
      </w:pPr>
      <w:r>
        <w:rPr>
          <w:rFonts w:hint="eastAsia" w:ascii="宋体" w:hAnsi="宋体" w:eastAsia="宋体" w:cs="宋体"/>
          <w:b/>
          <w:bCs/>
          <w:color w:val="auto"/>
          <w:sz w:val="24"/>
          <w:szCs w:val="24"/>
          <w:highlight w:val="none"/>
        </w:rPr>
        <w:br w:type="page"/>
      </w:r>
    </w:p>
    <w:p>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投标人须知正文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一、总则</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“采购人”是指依法进行政府采购的国家机关、事业单位、团体组织。本次政府采购的采购人名称、地址、电话、联系人见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“采购代理机构”是指集中采购机构和集中采购机构以外的采购代理机构。本次政府采购的采购代理机构名称、地址、电话、联系人见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“投标人”是响应招标文件并且符合招标文件规定资格条件和参加投标竞争的法人、其他组织或者自然人。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“供应商”是指向采购人提供货物、工程或者服务的法人、其他组织或者自然人。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“评标委员会”是依据《政府采购货物和服务招标投标管理办法》有关规定组建，依法履行评审采购活动职责的评审成员。</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“货物”是指各种形态和种类的物品，包括原材料、燃料、设备、产品等。</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“服务”是指除货物和工程以外的其他政府采购对象。</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“进口产品”是指通过中国海关报关验放进入中国境内且产自关境外的产品。</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2.采购项目预算及最高限价</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本项目采购资金已列入政府采购预算，预算金额见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本项目最高限价要求见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★3.供应商的资格要求</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供应商应当符合</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中规定的下列资格条件要求：</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符合《政府采购法》第二十二条规定的供应商条件：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(6)政府采购法律法规相关规定的其他条件。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其他特定资格条件。(详见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供应商存在下列情形之一的不得参加投标：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投标人应自行承担所有参与投标的相关费用，不论投标的结果如何，采购人或者采购代理机构均无义务和责任承担这些费用。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★5.授权委托</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投标人代表不是投标人的法定代表人的，应当持有法定代表人的授权委托书，同时提供投标人代表身份证明。</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6.联合体投标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本项目是否接受联合体形式参与详见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供应商为联合体形式的，应遵守以下规定：</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(1)联合体各方必须签订联合体协议书，明确联合体牵头人和各方权利、义务及分工、合同工作量比例；</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(2)联合体各方均应当符合</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规定的供应商基本资格条件；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(3)除另有规定外，联合体各方中至少有一方应当符合投标须知前附表规定的供应商特定资格条件；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(4)联合体中有同类资质的供应商按照联合体分工承担相同工作的，应当按照资质等级较低的供应商确定资质等级；</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(5)联合体各方不得再单独或与其他供应商组成新的联合体参加同一项目的采购活动。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7.项目现场考察</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本项目是否组织现场考察详见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供应商应按</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中规定的时间及地点，对采购项目现场和周围环境进行考察。供应商未在指定时间进行考察的，采购人不再另行组织。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考察现场的费用由供应商自己承担，考察期间所发生的人身伤害及财产损失由供应商自己负责。</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采购人不对供应商据此而做出的推论、理解和结论负责。一旦中标，供应商不得以任何借口，提出额外补偿，或延长合同期限的要求。</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8.采购进口产品</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本项目是否采购进口产品及相关要求见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9.政策与其他规定</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供应商享受支持中小企业发展政策优惠的，可用扣除后的最后报价参与价格比较。本项目价格扣除比例及相关要求见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监狱企业视同小型、微型企业，享受促进中小企业发展政策优惠，可用扣除后的最后报价参与价格比较。本项目价格扣除比例及相关要求见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投标人须知前附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其他法律法规强制性规定或扶持政策。本项目的详细要求见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二、招标文件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10.招标文件的构成</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招标文件各章节的内容如下：</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评标方法及标准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拟签订的合同文本</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技术部分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项目需求</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封面标识式样</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投标人应仔细阅读招标文件的全部内容，按照招标文件要求编制投标文件。任何对招标文件的忽略或误解，不能作为投标文件存在缺陷或瑕疵的理由，其风险由投标人承担。</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11.招标文件的澄清与修改</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采购人或采购代理机构对已发出的招标文件进行必要澄清或者修改的，应当在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规定的提交投标文件截止时间15日前，在原刊登招标公告的媒体上发布更正公告，并以书面形式通知所有招标文件收受人。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如果澄清或者修改时间距本章</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规定的投标截止时间不足15日，将相应顺延提交投标文件的截止时间，澄清或者修改时间具体见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澄清或者修改内容为招标文件的组成部分，对所有领取了招标文件的潜在投标人均具有约束力。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11.4质疑和投诉（供应商须在法定质疑期内一次性提出针对同一采购程序环节的质疑）。</w:t>
      </w:r>
    </w:p>
    <w:p>
      <w:pPr>
        <w:autoSpaceDE w:val="0"/>
        <w:autoSpaceDN w:val="0"/>
        <w:adjustRightIn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结果使自身的合法权益受到损害，可以在法定期限内，以书面形式向代理机构提出质疑。符合要求的质疑，采购代理机构将予以受理并答复，具体联系方式如下：</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屈晨、杨帆、贾娜娜</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联系电话：029-81779899</w:t>
      </w:r>
      <w:r>
        <w:rPr>
          <w:rFonts w:hint="eastAsia" w:ascii="宋体" w:hAnsi="宋体" w:eastAsia="宋体" w:cs="宋体"/>
          <w:color w:val="auto"/>
          <w:sz w:val="24"/>
          <w:szCs w:val="24"/>
          <w:highlight w:val="none"/>
          <w:lang w:eastAsia="zh-CN"/>
        </w:rPr>
        <w:t>转</w:t>
      </w:r>
      <w:r>
        <w:rPr>
          <w:rFonts w:hint="eastAsia" w:ascii="宋体" w:hAnsi="宋体" w:eastAsia="宋体" w:cs="宋体"/>
          <w:color w:val="auto"/>
          <w:sz w:val="24"/>
          <w:szCs w:val="24"/>
          <w:highlight w:val="none"/>
          <w:lang w:val="en-US" w:eastAsia="zh-CN"/>
        </w:rPr>
        <w:t>8009</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地址：陕西省西安市高新区88号尚品国际B幢25层</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11.4.1、质疑函应当包括以下主要内容：供应商的姓名或者名称、地址、邮编、联系人及联系电话；质疑项目的名称、编号；具体、明确的质疑事项和与质疑事项相关的请求；事实依据；必要的法律依据；提出质疑的日期。</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11.4.3、有下列情形之一的，属于无效质疑，代理机构和采购人不予受理：</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（1）质疑人不是参与本次政府采购项目的供应商或潜在供应商；</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（2）质疑人与质疑事项不存在利害关系的；</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（3）未在法定期限内提出质疑的；</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（4）质疑未以书面形式提出，或质疑函主要内容构成不完整的，或缺乏必要的证明材料及证明材料不完整的；</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（5）质疑函没有合法有效的签字、盖章或授权的；</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（6）以非法手段取得证据、材料的；</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（7）质疑答复后，同一质疑人就同一事项再次提出质疑的；</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（8）不符合法律、法规、规章和政府采购监管机构规定的其他条件的。</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11.4.4、代理机构或采购人将在收到书面质疑后7个工作日内做出答复，并以书面形式通知质疑人和其他有关供应商。</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11.4.5、质疑人对代理机构或采购人的答复不满意，以及代理机构或采购人未在规定时间内做出答复的，可以在答复期满后15个工作日内向政府采购监管机构提出投诉。</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11.4.6、供应商投诉的事项不得超出已质疑事项的范围。</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11.4.7、对捏造事实、提供虚假材料进行质疑、投诉的行为予以严肃处理：</w:t>
      </w:r>
    </w:p>
    <w:p>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11.4.8、对捏造事实诬告陷害他人、诽谤他人的法律适用：</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《中华人民共和国刑法》第246条【侮辱罪、诽谤罪】以暴力或者其他方法公然侮辱他人或者捏造事实诽谤他人，情节严重的，处三年以下有期徒刑、拘役、管制或者剥夺政治权利。</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附件：质疑函范本</w:t>
      </w:r>
    </w:p>
    <w:tbl>
      <w:tblPr>
        <w:tblStyle w:val="23"/>
        <w:tblW w:w="8838"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9" w:hRule="atLeast"/>
        </w:trPr>
        <w:tc>
          <w:tcPr>
            <w:tcW w:w="8838" w:type="dxa"/>
          </w:tcPr>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邮编：</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联系电话</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邮编：</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三、质疑项目具体内容</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12.偏离</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本条所称偏离为投标文件对招标文件的偏离，即不满足或不响应招标文件的要求。</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除法律、法规和规章规定外，招标文件中用“拒绝”“不接受”“无效”“不得”“必须”“应当”等文字规定或标注“★”符号的条款为实质性要求条款(即重要条款)，对其中任何一条的偏离，在评标时将其视为无效投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一般要求</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投标人应仔细阅读招标文件的所有内容，按招标文件的要求编制投标文件，并保证所提供的全部资料的真实性，以使其投标文件对招标文件做出实质性的响应。</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投标人提交的投标文件及投标人与采购人或采购代理机构、评标委员会就有关投标的所有来往函电必须使用中文。投标人可以提交其他语言的资料，但应附有中文注释，有差异时以中文为准。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除技术要求另有规定外，本文件所要求使用的计量单位均采用国家法定的度、量、衡标准单位计量。未列明时亦默认为我国法定计量单位。</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供应商应按招标文件中提供的投标文件格式填写。</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投标文件应采用书面形式，招标文件中要求提供电子版的，必须按要求提供。</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14.投标文件的组成</w:t>
      </w:r>
    </w:p>
    <w:p>
      <w:pPr>
        <w:pStyle w:val="15"/>
        <w:spacing w:line="460" w:lineRule="exact"/>
        <w:ind w:firstLine="480" w:firstLineChars="200"/>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14.1　投标文件包括但不限于下列内容</w:t>
      </w:r>
      <w:r>
        <w:rPr>
          <w:rFonts w:hint="eastAsia" w:ascii="宋体" w:hAnsi="宋体" w:eastAsia="宋体" w:cs="宋体"/>
          <w:b/>
          <w:bCs/>
          <w:color w:val="auto"/>
          <w:sz w:val="36"/>
          <w:szCs w:val="36"/>
          <w:highlight w:val="none"/>
        </w:rPr>
        <w:t>（注：商务部分与技术部分应编制在同一投标文件中，若页数过多可分册。）</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14.1.1　价格及商务部分：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(1)投标函(含法定代表人身份证明或授权委托书)</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(3)分项价格表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(4)商务条款偏离表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)供应商的资格证明材料</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提供</w:t>
      </w:r>
      <w:r>
        <w:rPr>
          <w:rFonts w:hint="eastAsia" w:ascii="宋体" w:hAnsi="宋体" w:eastAsia="宋体" w:cs="宋体"/>
          <w:color w:val="auto"/>
          <w:sz w:val="24"/>
          <w:szCs w:val="24"/>
          <w:highlight w:val="none"/>
        </w:rPr>
        <w:t>符合政府采购政策的证明材料</w:t>
      </w:r>
    </w:p>
    <w:p>
      <w:pPr>
        <w:pStyle w:val="15"/>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供应商认为需提供的其他材料</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14.1.2　技术部分</w:t>
      </w:r>
    </w:p>
    <w:p>
      <w:pPr>
        <w:pStyle w:val="15"/>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技术方案</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投标人服务承诺</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用于本项目人员简历表</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规定供应商在投标时提供样品的，供应商有以下情形之一的，在投标时将其视为无效响应文件。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规定的提交时间、地点提交的；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(2)供应商提供的样品与投标文件中型号、规格不一致的。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在投标过程中，投标人根据评标委员会书面形式要求提供的澄清文件是投标文件的有效组成部分。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供应商无论中标与否，其投标文件不予退还。</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15.投标报价</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投标人应按招标文件规定的供货及服务要求、责任范围和合同条件以人民币形式进行报价。投标报价应为完税价。</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投标人必须按开标一览表和分项价格表的内容和格式要求填写各项货物及服务的分项价格和总价。投标人在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规定的投标文件截止之日前修改开标一览表中的报价的，应同时修改其分项价格表中的报价。</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投标人对每种货物及服务只允许有一个报价，不接受可变动性报价、赠送及“零”报价，否则，在评标时将其视为无效投标。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项目有特殊要求的见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16.投标保证金</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本项目是否交纳投标保证金见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规定交纳投标保证金的，投标人应以支票、汇票、本票或金融机构、担保机构出具的保函等非现金形式，在本章</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规定的投标截止时间前，向采购人或采购代理机构提交</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规定的投标保证金(数额采用四舍五入，计算至元)。投标保证金有效期应与本章</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规定的投标有效期一致。投标人未按照招标文件要求提交投标保证金的，采购人或采购代理机构应当拒绝接收投标人的投标文件或评标委员会在评标时将其视为无效投标。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联合体投标的，可以由联合体中的一方或者共同提交投标保证金。以一方名义提交投标保证金的，对联合体各方均具有约束力。</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未中标的投标人的投标保证金，将在中标通知书发出后5个工作日内退还，但因投标人自身原因导致无法及时退还的除外。</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中标的投标人的投标保证金，将在政府采购合同签订后5个工作日内退还。</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投标人有以下情形之一的，投标保证金可以不予退还：</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规定的投标有效期内撤销投标文件。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(2)中标后无正当理由不与采购人签订合同的。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17.投标有效期</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投标有效期见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，在此期间投标文件对投标人具有法律约束力，以保证采购人有足够的时间完成评标、定标以及签订合同。投标有效期从</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规定的投标截止之日起计算。投标有效期不足的，在评标时将其视为无效投标。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18.投标文件的签署和规定</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投标人应根据</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规定提交投标文件。纸质文件的正本和副本应分别胶装装订成册。正本和副本的封面应注明“正本”或“副本”的字样，当正本和副本、电子版不一致时，以正本为准。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投标文件应用不褪色的材料打印</w:t>
      </w:r>
      <w:r>
        <w:rPr>
          <w:rFonts w:hint="eastAsia" w:ascii="宋体" w:hAnsi="宋体" w:eastAsia="宋体" w:cs="宋体"/>
          <w:b/>
          <w:bCs/>
          <w:color w:val="auto"/>
          <w:sz w:val="32"/>
          <w:szCs w:val="32"/>
          <w:highlight w:val="none"/>
        </w:rPr>
        <w:t>（提倡A4纸双面打印）</w:t>
      </w:r>
      <w:r>
        <w:rPr>
          <w:rFonts w:hint="eastAsia" w:ascii="宋体" w:hAnsi="宋体" w:eastAsia="宋体" w:cs="宋体"/>
          <w:color w:val="auto"/>
          <w:sz w:val="24"/>
          <w:szCs w:val="24"/>
          <w:highlight w:val="none"/>
        </w:rPr>
        <w:t>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19.投标文件的密封和标记</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投标文件按正本和副本分别包装，注明“正本”或“副本”，加贴封条，并在封套的封口处加盖投标人单位公章或由法定代表人或其授权的代理人签字。电子版文件应放入正本封袋中。</w:t>
      </w:r>
      <w:r>
        <w:rPr>
          <w:rFonts w:hint="eastAsia" w:ascii="宋体" w:hAnsi="宋体" w:eastAsia="宋体" w:cs="宋体"/>
          <w:b/>
          <w:bCs/>
          <w:color w:val="auto"/>
          <w:sz w:val="24"/>
          <w:szCs w:val="24"/>
          <w:highlight w:val="none"/>
        </w:rPr>
        <w:t>（备注：电子版文件需加贴不掉标签，并注明投标供应商名称。）</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投标文件封套或外包装上应载明的内容见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投标文件如果未按上述规定密封和标记，采购人或采购代理机构应当拒绝接收。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w:t>
      </w:r>
      <w:r>
        <w:rPr>
          <w:rFonts w:hint="eastAsia" w:ascii="宋体" w:hAnsi="宋体" w:eastAsia="宋体" w:cs="宋体"/>
          <w:b/>
          <w:bCs/>
          <w:color w:val="auto"/>
          <w:sz w:val="24"/>
          <w:szCs w:val="24"/>
          <w:highlight w:val="none"/>
        </w:rPr>
        <w:t>为方便开标唱标，投标人除在投标文件中附开标一览表，还应单独将开标一览表另行封装在同一密封套内，并标明开标一览表字样，投标时单独提交。</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20.投标文件的递交</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投标文件应在本章</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规定的投标截止时间之前密封送到</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指定的地点。</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采购人或者采购代理机构收到投标文件后，应当如实记载投标文件的送达时间和密封情况，签收保存，并向投标人出具签收回执。任何单位和个人不得在开标前开启投标文件。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逾期送达或者未按照招标文件要求密封的投标文件，采购人、采购代理机构应当拒收。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21.投标文件的修改和撤回</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规定的投标截止时间前，投标人可以书面形式修改、补充或撤回已递交的投标文件，但应以书面形式通知采购人或采购代理机构。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修改、补充的内容为投标文件的组成部分。修改、补充的投标文件应按本章第18、19、20项规定编制、签署、密封、标记和递交，并标明“修改、补充”字样。</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投标人按本章21.1款撤回投标文件的，采购人或采购代理机构自收到投标人书面撤回通知之日起5个工作日内，退还已收取的投标保证金，但因投标人自身原因导致无法及时退还的除外。</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投标人在投标有效期内不得修改、撤销其投标文件。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四、开标和评标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22.开标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采购人或采购代理机构在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规定的开标时间和开标地点组织公开开标，邀请投标人参加。评标委员会成员不得参加开标活动。投标人不足3家的，不得开标。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开标时，公布在投标截止时间前递交投标文件的投标人名称；由投标人或其推选的代表检查投标文件的密封情况；经确认无误后，由采购人或采购代理机构当众拆封投标文件，宣读投标人名称、投标价格和</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规定的投标文件的其他主要内容，并记录在案。投标人若有报价和优惠未被唱出，应在开标时及时声明或提请注意，否则采购代理机构和采购人对此不承担任何责任。</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未宣读的投标价格等实质性内容，评标时不予承认。</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投标人代表及有关人员在开标记录上签字确认。</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★23.资格审查</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公开招标采购项目开标结束后，采购人或者采购代理机构应当依法对投标人的资格进行审查。合格投标人不足3家的，不得评标</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正本与副本不一致的，以正本为准</w:t>
      </w:r>
      <w:r>
        <w:rPr>
          <w:rFonts w:hint="eastAsia" w:ascii="宋体" w:hAnsi="宋体" w:eastAsia="宋体" w:cs="宋体"/>
          <w:color w:val="auto"/>
          <w:sz w:val="24"/>
          <w:szCs w:val="24"/>
          <w:highlight w:val="none"/>
          <w:lang w:eastAsia="zh-CN"/>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有下列情形之一的，应在资格审查时按照无效投标处理：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(1)投标人不具备招标文件规定的投标人资格条件的；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(2)报价超过招标文件中规定的预算金额的；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已经进行资格预审的，可以不再对供应商资格进行审查，资格预审合格的供应商在评审阶段资格发生变化的，应当通知采购人和采购代理机构。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24.评标委员会</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评标由采购人或采购代理机构依法组建的评标委员会负责。评标委员会由政府采购评审专家和采购人代表组成。</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25.评标方法和标准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本项目评标方法和标准见招标文件第三章。</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26.评标程序</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投标文件的符合性审查。</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26.1.1评标委员会应当对符合资格的投标人的投标文件进行符合性审查，以确定其是否满足招标文件的实质性要求</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正本与副本不一致的，以正本为准</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26.1.2　有下列情形之一的，应在符合性审查时按照无效投标处理：</w:t>
      </w:r>
    </w:p>
    <w:p>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kern w:val="0"/>
          <w:sz w:val="24"/>
          <w:highlight w:val="none"/>
        </w:rPr>
        <w:t>投标内容出现漏项或数量与要求不符，出现重大负偏差</w:t>
      </w:r>
      <w:r>
        <w:rPr>
          <w:rFonts w:hint="eastAsia" w:ascii="宋体" w:hAnsi="宋体" w:eastAsia="宋体" w:cs="宋体"/>
          <w:color w:val="auto"/>
          <w:sz w:val="24"/>
          <w:highlight w:val="none"/>
        </w:rPr>
        <w:t xml:space="preserve">； </w:t>
      </w:r>
    </w:p>
    <w:p>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B.投标文件的签署、加盖</w:t>
      </w:r>
      <w:r>
        <w:rPr>
          <w:rFonts w:hint="eastAsia" w:ascii="宋体" w:hAnsi="宋体" w:eastAsia="宋体" w:cs="宋体"/>
          <w:color w:val="auto"/>
          <w:sz w:val="24"/>
          <w:highlight w:val="none"/>
          <w:lang w:eastAsia="zh-CN"/>
        </w:rPr>
        <w:t>公章无效</w:t>
      </w:r>
      <w:r>
        <w:rPr>
          <w:rFonts w:hint="eastAsia" w:ascii="宋体" w:hAnsi="宋体" w:eastAsia="宋体" w:cs="宋体"/>
          <w:color w:val="auto"/>
          <w:sz w:val="24"/>
          <w:highlight w:val="none"/>
        </w:rPr>
        <w:t xml:space="preserve">； </w:t>
      </w:r>
    </w:p>
    <w:p>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color w:val="auto"/>
          <w:kern w:val="0"/>
          <w:sz w:val="24"/>
          <w:highlight w:val="none"/>
        </w:rPr>
        <w:t>.投标文件没有盖单位公章，无有效期或有效期达不到招标文件的要求</w:t>
      </w:r>
      <w:r>
        <w:rPr>
          <w:rFonts w:hint="eastAsia" w:ascii="宋体" w:hAnsi="宋体" w:eastAsia="宋体" w:cs="宋体"/>
          <w:color w:val="auto"/>
          <w:sz w:val="24"/>
          <w:highlight w:val="none"/>
        </w:rPr>
        <w:t>；</w:t>
      </w:r>
    </w:p>
    <w:p>
      <w:pPr>
        <w:spacing w:line="44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D</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投标人针对同一项目递交两份或多份内容不同的投标文件，出现选择性报价的</w:t>
      </w:r>
      <w:r>
        <w:rPr>
          <w:rFonts w:hint="eastAsia" w:ascii="宋体" w:hAnsi="宋体" w:eastAsia="宋体" w:cs="宋体"/>
          <w:color w:val="auto"/>
          <w:sz w:val="24"/>
          <w:highlight w:val="none"/>
        </w:rPr>
        <w:t>；</w:t>
      </w:r>
    </w:p>
    <w:p>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E</w:t>
      </w:r>
      <w:r>
        <w:rPr>
          <w:rFonts w:hint="eastAsia" w:ascii="宋体" w:hAnsi="宋体" w:eastAsia="宋体" w:cs="宋体"/>
          <w:color w:val="auto"/>
          <w:sz w:val="24"/>
          <w:highlight w:val="none"/>
        </w:rPr>
        <w:t>.投标报价低于成本价，涉嫌不正当竞争；（如果评标委员会认为某投标报价明显不合理或者低于成本，应当要求该投标人在评审现场合理时间内作出书面说明并提供相关证明材料；投标人不能证明其报价合理性的，评标委员会应当将其作为无效标处理）；</w:t>
      </w:r>
    </w:p>
    <w:p>
      <w:pPr>
        <w:spacing w:line="4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F</w:t>
      </w:r>
      <w:r>
        <w:rPr>
          <w:rFonts w:hint="eastAsia" w:ascii="宋体" w:hAnsi="宋体" w:eastAsia="宋体" w:cs="宋体"/>
          <w:color w:val="auto"/>
          <w:sz w:val="24"/>
          <w:highlight w:val="none"/>
        </w:rPr>
        <w:t>.符合法律、法规和招标文件规定的其他无效情形的。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核价原则</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投标文件报价出现前后不一致的，除招标文件另有规定外，按照下列规定修正：</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同时出现两种以上不一致的，按照前款规定的顺序修正。修正后的报价按照上述规定经投标人确认后产生约束力，投标人不确认的，其投标无效。</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投标文件澄清</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26.3.1　对于投标文件中含义不明确、同类问题表述不一致或者有明显文字和计算错误的内容，评标委员会应当以书面形式要求投标人作出必要的澄清、说明或者补正。</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26.3.2　投标人的澄清、说明或者补正应当采用书面形式，并加盖公章，或者由法定代表人或其授权的代表签字。投标人的澄清、说明或者补正不得超出投标文件的范围或者改变投标文件的实质性内容。</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26.3.3　评标委员会不接受投标人主动提出的澄清、说明。</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26.3.4　有效的书面澄清材料，是投标文件的补充材料，成为投标文件的组成部分。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　同品牌多家投标人处理原则</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26.4.3　非单一产品采购项目，根据采购项目技术构成、产品价格比重等合理确定核心产品，核心产品见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。多家投标人提供的核心产品品牌相同的，按前两款规定处理。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　比较与评价</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26.5.1　评标委员会应当按照招标文件中规定的评标方法和标准，对符合性审查合格的投标文件进行商务和技术评估，综合比较与评价。</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　推荐中标候选人名单</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26.6.1  采用最低评标价法的，评标结果按投标报价由低到高顺序排列。投标报价相同的并列。投标文件满足招标文件全部实质性要求且投标报价最低的投标人为排名第一的中标候选人。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26.6.2　采用综合评分法的，评标结果按评审后得分由高到低顺序排列。得分相同的，按投标报价由低到高顺序排列。得分且投标报价相同的按须知前附表。投标文件满足招标文件全部实质性要求，且按照评审因素的量化指标评审得分最高的投标人为排名第一的中标候选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27.确定中标供应商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采购代理机构应当在评标结束之日起2个工作日内将评标报告送采购人。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采购人应当在收到评标报告之日起5个工作日内，在评标报告确定的中标候选人名单中确定中标人。中标候选人并列的，由采购人或者采购人委托评标委员会按照</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规定的方式确定中标人。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采购人自行组织招标的，应当在评标结束后5个工作日内确定中标人。中标候选人并列的，由采购人或者采购人委托评标委员会按照</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规定的方式确定中标人。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28.废标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有下列情形之一时，招标采购单位应予废标，并将废标理由通知所有投标人：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(1)符合专业条件的投标人或者对招标文件作实质性响应的投标人不足三家的；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29.保密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评标委员会成员以及与评标工作有关的人员不得泄露评标情况以及评标过程中获悉的国家秘密、商业秘密。</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30.禁止行为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　投标人应当遵循公平竞争的原则，不得恶意串通，不得妨碍其他投标人的竞争行为，不得损害采购人或者其他投标人的合法权益。</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有下列情形之一的，视为投标人串通投标，其投标无效：</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(3)不同投标人的投标文件载明的项目管理成员或者联系人员为同一人；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(6)不同投标人的投标保证金从同一单位或者个人的账户转出。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五、中标信息公告与签订合同</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31.中标信息公告</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中标人确定之日起2个工作日内，采购人或者采购代理机构应将中标结果在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中规定的公告媒体上公布。</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招标文件随中标结果同时公告。但中标结果公告前招标文件已公告的，不再重复公告。</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采购人或者采购代理机构应当自发布中标公告的同时，发出中标通知书，中标通知书对采购人和中标人具有同等法律效力。</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中标通知书发出后，中标人无正当理由不得放弃中标。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33.履约保证金</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本项目是否缴纳履约保证金见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规定交纳履约保证金的，中标人在签订采购合同前，向采购人提交履约保证金。联合体</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的，履约保证金以联合体各方或联合体中牵头人的名义提交。</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中标人没有按照</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的规定提交履约保证金的，视为放弃中标，其投标保证金不予退还。</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34.签订合同</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招标文件和中标供应商的投标文件均为签订政府采购合同的依据。</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中标供应商应当在中标通知书发出之日起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日内，与采购人签订政府采购合同。</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自政府采购合同签订之日起2个工作日内，本项目政府采购合同在</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规定的媒体上公告，但政府采购合同中涉及国家秘密、商业秘密的内容除外。</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六、其他规定</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35.招标代理服务费。</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中标人是否交纳投招标代理服务费及相关要求见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36.询问、质疑、投诉</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供应商对政府采购活动事项有疑问的，可以向采购人或采购代理机构提出询问</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认为招标文件、招标过程和中标结果使自己的权益受到损害的，可以在知道或者应知其权益受到损害之日起7个工作日内，以书面形式向采购人或采购代理机构提出质疑。供应商须在法定质疑期内一次性提出针对同一采购程序环节的质疑。</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供应商提出质疑的，应提供质疑书原件。</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质疑书应当由投标人法定代表人或其授权的投标代表签字并加盖投标人单位章，质疑书由授权的投标代表签字的应附投标人法定代表人委托授权书。</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投标人对采购人或采购代理机构的答复不满意，或采购人或采购代理机构未在规定的期限作出答复的，可在答复期满后15个工作日内，按政府采购法律法规规定及程序，向财政部提出投诉。</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37.发生下列情况之一，投标人将被列入不良记录名单，在1～3年内禁止参加政府采购活动，并予以公告：</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(1)开标后在投标有效期内，投标人撤回其投标；</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(2)中标后无正当理由不与采购人签订政府采购合同；</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(3)中标后未按照招标文件和中标供应商的投标文件订立政府采购合同，或者与采购人另行订立背离合同实质性内容的协议的；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(4)将中标项目转让给他人，或者在投标文件中未说明，且未经采购招标机构同意，将中标项目分包给他人；</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(5)拒绝履行合同义务的；</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(6)《政府采购法》第七十七条和《政府采购法实施条例》第七十二条规定的其他情形；</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(7)其他违反法律法规相关规定的情形。</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38.其他规定。</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　投标文件的其他规定见</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39.未尽事宜</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其他未尽事宜按政府采购法律法规的规定执行。</w:t>
      </w:r>
    </w:p>
    <w:p>
      <w:pPr>
        <w:pStyle w:val="15"/>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40.文件解释权</w:t>
      </w:r>
    </w:p>
    <w:p>
      <w:pPr>
        <w:spacing w:line="44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40.1　本招标文件的解释权归采购人(或采购代理机构)所有。</w:t>
      </w:r>
    </w:p>
    <w:p>
      <w:pPr>
        <w:pStyle w:val="3"/>
        <w:rPr>
          <w:rFonts w:hint="eastAsia" w:ascii="宋体" w:hAnsi="宋体" w:eastAsia="宋体" w:cs="宋体"/>
          <w:color w:val="auto"/>
          <w:highlight w:val="none"/>
        </w:rPr>
        <w:sectPr>
          <w:headerReference r:id="rId6" w:type="default"/>
          <w:footerReference r:id="rId7" w:type="default"/>
          <w:pgSz w:w="11906" w:h="16838"/>
          <w:pgMar w:top="1440" w:right="1080" w:bottom="1440" w:left="1080" w:header="851" w:footer="992" w:gutter="0"/>
          <w:cols w:space="425" w:num="1"/>
          <w:docGrid w:type="lines" w:linePitch="312" w:charSpace="0"/>
        </w:sectPr>
      </w:pPr>
      <w:bookmarkStart w:id="6" w:name="_Toc22020"/>
    </w:p>
    <w:p>
      <w:pPr>
        <w:pStyle w:val="3"/>
        <w:rPr>
          <w:rFonts w:hint="eastAsia" w:ascii="宋体" w:hAnsi="宋体" w:eastAsia="宋体" w:cs="宋体"/>
          <w:color w:val="auto"/>
          <w:highlight w:val="none"/>
        </w:rPr>
      </w:pPr>
      <w:bookmarkStart w:id="7" w:name="_Toc29446"/>
      <w:r>
        <w:rPr>
          <w:rFonts w:hint="eastAsia" w:ascii="宋体" w:hAnsi="宋体" w:eastAsia="宋体" w:cs="宋体"/>
          <w:color w:val="auto"/>
          <w:highlight w:val="none"/>
        </w:rPr>
        <w:t>第三章  评标办法及标准</w:t>
      </w:r>
      <w:bookmarkEnd w:id="6"/>
      <w:bookmarkEnd w:id="7"/>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1.采用综合评分法</w:t>
      </w:r>
    </w:p>
    <w:p>
      <w:pPr>
        <w:pStyle w:val="1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(1)评审因素见下表：</w:t>
      </w:r>
    </w:p>
    <w:p>
      <w:pPr>
        <w:pStyle w:val="1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综合评分明细表如下：</w:t>
      </w:r>
    </w:p>
    <w:tbl>
      <w:tblPr>
        <w:tblStyle w:val="24"/>
        <w:tblW w:w="9004"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241"/>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63" w:type="dxa"/>
            <w:noWrap w:val="0"/>
            <w:vAlign w:val="center"/>
          </w:tcPr>
          <w:p>
            <w:pPr>
              <w:spacing w:line="460" w:lineRule="exac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highlight w:val="none"/>
                <w:lang w:val="zh-CN"/>
              </w:rPr>
              <w:t>序号</w:t>
            </w:r>
          </w:p>
        </w:tc>
        <w:tc>
          <w:tcPr>
            <w:tcW w:w="1241" w:type="dxa"/>
            <w:noWrap w:val="0"/>
            <w:vAlign w:val="center"/>
          </w:tcPr>
          <w:p>
            <w:pPr>
              <w:spacing w:line="46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highlight w:val="none"/>
                <w:lang w:val="zh-CN"/>
              </w:rPr>
              <w:t>评标因素及分值</w:t>
            </w:r>
          </w:p>
        </w:tc>
        <w:tc>
          <w:tcPr>
            <w:tcW w:w="6900" w:type="dxa"/>
            <w:noWrap w:val="0"/>
            <w:vAlign w:val="center"/>
          </w:tcPr>
          <w:p>
            <w:pPr>
              <w:spacing w:line="460" w:lineRule="exact"/>
              <w:ind w:left="120" w:leftChars="57" w:firstLine="2640" w:firstLineChars="1100"/>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highlight w:val="none"/>
                <w:lang w:val="zh-CN"/>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863" w:type="dxa"/>
            <w:noWrap w:val="0"/>
            <w:vAlign w:val="center"/>
          </w:tcPr>
          <w:p>
            <w:pPr>
              <w:spacing w:line="460" w:lineRule="exact"/>
              <w:ind w:firstLine="240" w:firstLineChars="100"/>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highlight w:val="none"/>
                <w:lang w:val="en-US" w:eastAsia="zh-CN"/>
              </w:rPr>
              <w:t>1</w:t>
            </w:r>
          </w:p>
        </w:tc>
        <w:tc>
          <w:tcPr>
            <w:tcW w:w="1241" w:type="dxa"/>
            <w:noWrap w:val="0"/>
            <w:vAlign w:val="center"/>
          </w:tcPr>
          <w:p>
            <w:pPr>
              <w:spacing w:line="460" w:lineRule="exact"/>
              <w:ind w:firstLine="240" w:firstLineChars="100"/>
              <w:jc w:val="lef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highlight w:val="none"/>
              </w:rPr>
              <w:t>价格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30分</w:t>
            </w:r>
            <w:r>
              <w:rPr>
                <w:rFonts w:hint="eastAsia" w:ascii="宋体" w:hAnsi="宋体" w:eastAsia="宋体" w:cs="宋体"/>
                <w:color w:val="auto"/>
                <w:sz w:val="24"/>
                <w:highlight w:val="none"/>
                <w:lang w:eastAsia="zh-CN"/>
              </w:rPr>
              <w:t>）</w:t>
            </w:r>
          </w:p>
        </w:tc>
        <w:tc>
          <w:tcPr>
            <w:tcW w:w="6900" w:type="dxa"/>
            <w:noWrap w:val="0"/>
            <w:vAlign w:val="center"/>
          </w:tcPr>
          <w:p>
            <w:pPr>
              <w:spacing w:line="4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满足招标文件要求且投标价格最低的投标报价为评标基准价，其价格分为满分。其他投标人的价格分统一按照下列公式计算：投标报价报价得分=（评标基准价/投标报价）×价格权值</w:t>
            </w:r>
          </w:p>
          <w:p>
            <w:pPr>
              <w:spacing w:line="460" w:lineRule="exac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highlight w:val="none"/>
                <w:lang w:val="zh-CN" w:eastAsia="zh-CN"/>
              </w:rPr>
              <w:t>符合招标文件规定的小微企业、监狱企业、残疾人福利性单位优惠条件的投标人，价格给予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val="zh-CN" w:eastAsia="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63" w:type="dxa"/>
            <w:noWrap w:val="0"/>
            <w:vAlign w:val="center"/>
          </w:tcPr>
          <w:p>
            <w:pPr>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highlight w:val="none"/>
                <w:lang w:val="en-US" w:eastAsia="zh-CN"/>
              </w:rPr>
              <w:t>2</w:t>
            </w:r>
          </w:p>
        </w:tc>
        <w:tc>
          <w:tcPr>
            <w:tcW w:w="1241" w:type="dxa"/>
            <w:noWrap w:val="0"/>
            <w:vAlign w:val="center"/>
          </w:tcPr>
          <w:p>
            <w:pPr>
              <w:spacing w:line="4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产品配置及方案（</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lang w:val="en-US" w:eastAsia="zh-CN"/>
              </w:rPr>
              <w:t>分）</w:t>
            </w:r>
          </w:p>
        </w:tc>
        <w:tc>
          <w:tcPr>
            <w:tcW w:w="6900" w:type="dxa"/>
            <w:noWrap w:val="0"/>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实施方案：供应商针对本项目备货、供货进度及保证措施，应急处理措施，拟投入本项目的人员安排及责任制度，安装措施，并针对本项目特点做出合理计划及调配，能保证设备的顺利使用，方案清晰明确合理可行完全满足采购需求得（</w:t>
            </w:r>
            <w:r>
              <w:rPr>
                <w:rFonts w:hint="eastAsia" w:ascii="宋体" w:hAnsi="宋体" w:cs="宋体"/>
                <w:color w:val="auto"/>
                <w:sz w:val="24"/>
                <w:highlight w:val="none"/>
                <w:lang w:val="en-US" w:eastAsia="zh-CN"/>
              </w:rPr>
              <w:t>7-10</w:t>
            </w:r>
            <w:r>
              <w:rPr>
                <w:rFonts w:hint="eastAsia" w:ascii="宋体" w:hAnsi="宋体" w:eastAsia="宋体" w:cs="宋体"/>
                <w:color w:val="auto"/>
                <w:sz w:val="24"/>
                <w:highlight w:val="none"/>
                <w:lang w:val="en-US" w:eastAsia="zh-CN"/>
              </w:rPr>
              <w:t>]分，方案清晰明确合理可行基本满足采购需求得（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]分，方案清晰明确合理可行部分满足采购需求得（0-</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2、技术配置：</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根据供应商</w:t>
            </w:r>
            <w:r>
              <w:rPr>
                <w:rFonts w:hint="eastAsia" w:ascii="宋体" w:hAnsi="宋体" w:eastAsia="宋体" w:cs="宋体"/>
                <w:color w:val="auto"/>
                <w:sz w:val="24"/>
                <w:highlight w:val="none"/>
                <w:lang w:val="en-US" w:eastAsia="zh-CN"/>
              </w:rPr>
              <w:t>对“采购需求及技术参数要求”</w:t>
            </w:r>
            <w:r>
              <w:rPr>
                <w:rFonts w:hint="eastAsia" w:ascii="宋体" w:hAnsi="宋体" w:cs="宋体"/>
                <w:color w:val="auto"/>
                <w:sz w:val="24"/>
                <w:highlight w:val="none"/>
                <w:lang w:val="en-US" w:eastAsia="zh-CN"/>
              </w:rPr>
              <w:t>中的各项技术参数的响应情况，由评委进行评议并评分。50项以内（含50项），技术参数每负偏离1项扣0.5分，技术参数完全满足招标文件要求得25分，负偏离超过50项得0分。</w:t>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质量保证：</w:t>
            </w:r>
            <w:r>
              <w:rPr>
                <w:rFonts w:hint="eastAsia" w:ascii="宋体" w:hAnsi="宋体" w:eastAsia="宋体" w:cs="宋体"/>
                <w:color w:val="auto"/>
                <w:sz w:val="24"/>
                <w:highlight w:val="none"/>
                <w:lang w:val="zh-CN"/>
              </w:rPr>
              <w:t>产品货源渠道正规，确保产品无假货、水货、翻新货且无产权纠纷，投标人需提供主要产品来源渠道证明文件,（包括但不限于销售协议或代理协议或原厂授权</w:t>
            </w:r>
            <w:r>
              <w:rPr>
                <w:rFonts w:hint="eastAsia" w:ascii="宋体" w:hAnsi="宋体" w:eastAsia="宋体" w:cs="宋体"/>
                <w:color w:val="auto"/>
                <w:sz w:val="24"/>
                <w:highlight w:val="none"/>
              </w:rPr>
              <w:t>等</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复印或扫描件并加盖公章</w:t>
            </w:r>
            <w:r>
              <w:rPr>
                <w:rFonts w:hint="eastAsia" w:ascii="宋体" w:hAnsi="宋体" w:eastAsia="宋体" w:cs="宋体"/>
                <w:color w:val="auto"/>
                <w:sz w:val="24"/>
                <w:highlight w:val="none"/>
                <w:lang w:val="zh-CN"/>
              </w:rPr>
              <w:t>，完全满足要求且资料齐全的计（</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基本满足</w:t>
            </w:r>
            <w:r>
              <w:rPr>
                <w:rFonts w:hint="eastAsia" w:ascii="宋体" w:hAnsi="宋体" w:eastAsia="宋体" w:cs="宋体"/>
                <w:color w:val="auto"/>
                <w:sz w:val="24"/>
                <w:highlight w:val="none"/>
                <w:lang w:val="zh-CN"/>
              </w:rPr>
              <w:t>要求且资料基本齐全的计（</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zh-CN"/>
              </w:rPr>
              <w:t>部分满足或提供相关资料不全者计（</w:t>
            </w: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lang w:val="zh-CN"/>
              </w:rPr>
              <w:t>分。</w:t>
            </w:r>
          </w:p>
          <w:p>
            <w:pPr>
              <w:pStyle w:val="1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w:t>
            </w:r>
            <w:r>
              <w:rPr>
                <w:rFonts w:hint="eastAsia" w:ascii="宋体" w:hAnsi="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eastAsia="zh-CN" w:bidi="ar-SA"/>
              </w:rPr>
              <w:t>针对本项目提供具体可行的安装方案及保证按期交货</w:t>
            </w:r>
            <w:r>
              <w:rPr>
                <w:rFonts w:hint="eastAsia" w:ascii="宋体" w:hAnsi="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eastAsia="zh-CN" w:bidi="ar-SA"/>
              </w:rPr>
              <w:t>安装方案详细，可行性、针对性强</w:t>
            </w:r>
            <w:r>
              <w:rPr>
                <w:rFonts w:hint="eastAsia" w:ascii="宋体" w:hAnsi="宋体" w:cs="宋体"/>
                <w:color w:val="auto"/>
                <w:kern w:val="2"/>
                <w:sz w:val="24"/>
                <w:szCs w:val="22"/>
                <w:highlight w:val="none"/>
                <w:lang w:val="en-US" w:eastAsia="zh-CN" w:bidi="ar-SA"/>
              </w:rPr>
              <w:t>，保证交货措施合理、可行性强</w:t>
            </w:r>
            <w:r>
              <w:rPr>
                <w:rFonts w:hint="eastAsia" w:ascii="宋体" w:hAnsi="宋体" w:eastAsia="宋体" w:cs="宋体"/>
                <w:color w:val="auto"/>
                <w:kern w:val="2"/>
                <w:sz w:val="24"/>
                <w:szCs w:val="22"/>
                <w:highlight w:val="none"/>
                <w:lang w:val="en-US" w:eastAsia="zh-CN" w:bidi="ar-SA"/>
              </w:rPr>
              <w:t>计（3-6]分；安装方案</w:t>
            </w:r>
            <w:r>
              <w:rPr>
                <w:rFonts w:hint="eastAsia" w:ascii="宋体" w:hAnsi="宋体" w:cs="宋体"/>
                <w:color w:val="auto"/>
                <w:kern w:val="2"/>
                <w:sz w:val="24"/>
                <w:szCs w:val="22"/>
                <w:highlight w:val="none"/>
                <w:lang w:val="en-US" w:eastAsia="zh-CN" w:bidi="ar-SA"/>
              </w:rPr>
              <w:t>较</w:t>
            </w:r>
            <w:r>
              <w:rPr>
                <w:rFonts w:hint="eastAsia" w:ascii="宋体" w:hAnsi="宋体" w:eastAsia="宋体" w:cs="宋体"/>
                <w:color w:val="auto"/>
                <w:kern w:val="2"/>
                <w:sz w:val="24"/>
                <w:szCs w:val="22"/>
                <w:highlight w:val="none"/>
                <w:lang w:val="en-US" w:eastAsia="zh-CN" w:bidi="ar-SA"/>
              </w:rPr>
              <w:t>详细，可行性、针对性</w:t>
            </w:r>
            <w:r>
              <w:rPr>
                <w:rFonts w:hint="eastAsia" w:ascii="宋体" w:hAnsi="宋体" w:cs="宋体"/>
                <w:color w:val="auto"/>
                <w:kern w:val="2"/>
                <w:sz w:val="24"/>
                <w:szCs w:val="22"/>
                <w:highlight w:val="none"/>
                <w:lang w:val="en-US" w:eastAsia="zh-CN" w:bidi="ar-SA"/>
              </w:rPr>
              <w:t>较</w:t>
            </w:r>
            <w:r>
              <w:rPr>
                <w:rFonts w:hint="eastAsia" w:ascii="宋体" w:hAnsi="宋体" w:eastAsia="宋体" w:cs="宋体"/>
                <w:color w:val="auto"/>
                <w:kern w:val="2"/>
                <w:sz w:val="24"/>
                <w:szCs w:val="22"/>
                <w:highlight w:val="none"/>
                <w:lang w:val="en-US" w:eastAsia="zh-CN" w:bidi="ar-SA"/>
              </w:rPr>
              <w:t>强</w:t>
            </w:r>
            <w:r>
              <w:rPr>
                <w:rFonts w:hint="eastAsia" w:ascii="宋体" w:hAnsi="宋体" w:cs="宋体"/>
                <w:color w:val="auto"/>
                <w:kern w:val="2"/>
                <w:sz w:val="24"/>
                <w:szCs w:val="22"/>
                <w:highlight w:val="none"/>
                <w:lang w:val="en-US" w:eastAsia="zh-CN" w:bidi="ar-SA"/>
              </w:rPr>
              <w:t>，保证交货措施较合理、可行性一般</w:t>
            </w:r>
            <w:r>
              <w:rPr>
                <w:rFonts w:hint="eastAsia" w:ascii="宋体" w:hAnsi="宋体" w:eastAsia="宋体" w:cs="宋体"/>
                <w:color w:val="auto"/>
                <w:kern w:val="2"/>
                <w:sz w:val="24"/>
                <w:szCs w:val="22"/>
                <w:highlight w:val="none"/>
                <w:lang w:val="en-US" w:eastAsia="zh-CN" w:bidi="ar-SA"/>
              </w:rPr>
              <w:t>计（0-3]分。</w:t>
            </w:r>
          </w:p>
          <w:p>
            <w:pPr>
              <w:spacing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2"/>
                <w:sz w:val="24"/>
                <w:szCs w:val="22"/>
                <w:highlight w:val="none"/>
                <w:lang w:val="en-US" w:eastAsia="zh-CN" w:bidi="ar-SA"/>
              </w:rPr>
              <w:t>5、若所投产品被认定为节能产品的得1分；若所投产品被认定为环境标志产品的得1分；既是节能产品又是环境标志产品可同时得分，最高得2分，非节能、环境标志产品的不得分。（注：1.节能产品、环境标志产品为品目清单中属于强制采购的产品，不再给予加分；2.节能产品、环境标志产品必须在认证证书有效期之内才可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863" w:type="dxa"/>
            <w:noWrap w:val="0"/>
            <w:vAlign w:val="center"/>
          </w:tcPr>
          <w:p>
            <w:pPr>
              <w:spacing w:line="460" w:lineRule="exact"/>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highlight w:val="none"/>
                <w:lang w:val="en-US" w:eastAsia="zh-CN"/>
              </w:rPr>
              <w:t>3</w:t>
            </w:r>
          </w:p>
        </w:tc>
        <w:tc>
          <w:tcPr>
            <w:tcW w:w="1241" w:type="dxa"/>
            <w:noWrap w:val="0"/>
            <w:vAlign w:val="center"/>
          </w:tcPr>
          <w:p>
            <w:pPr>
              <w:spacing w:line="46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售后及培训服务</w:t>
            </w:r>
          </w:p>
          <w:p>
            <w:pPr>
              <w:spacing w:line="460" w:lineRule="exac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w:t>
            </w:r>
            <w:r>
              <w:rPr>
                <w:rFonts w:hint="eastAsia" w:ascii="宋体" w:hAnsi="宋体" w:cs="宋体"/>
                <w:color w:val="auto"/>
                <w:kern w:val="2"/>
                <w:sz w:val="24"/>
                <w:szCs w:val="24"/>
                <w:highlight w:val="none"/>
                <w:vertAlign w:val="baseline"/>
                <w:lang w:val="en-US" w:eastAsia="zh-CN" w:bidi="ar-SA"/>
              </w:rPr>
              <w:t>5</w:t>
            </w:r>
            <w:r>
              <w:rPr>
                <w:rFonts w:hint="eastAsia" w:ascii="宋体" w:hAnsi="宋体" w:eastAsia="宋体" w:cs="宋体"/>
                <w:color w:val="auto"/>
                <w:kern w:val="2"/>
                <w:sz w:val="24"/>
                <w:szCs w:val="24"/>
                <w:highlight w:val="none"/>
                <w:vertAlign w:val="baseline"/>
                <w:lang w:val="en-US" w:eastAsia="zh-CN" w:bidi="ar-SA"/>
              </w:rPr>
              <w:t>分）</w:t>
            </w:r>
          </w:p>
        </w:tc>
        <w:tc>
          <w:tcPr>
            <w:tcW w:w="6900" w:type="dxa"/>
            <w:noWrap w:val="0"/>
            <w:vAlign w:val="center"/>
          </w:tcPr>
          <w:p>
            <w:pPr>
              <w:spacing w:line="4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根据本项目实际需求提供售后</w:t>
            </w:r>
            <w:r>
              <w:rPr>
                <w:rFonts w:hint="eastAsia" w:ascii="宋体" w:hAnsi="宋体" w:eastAsia="宋体" w:cs="宋体"/>
                <w:color w:val="auto"/>
                <w:sz w:val="24"/>
                <w:highlight w:val="none"/>
                <w:lang w:val="zh-CN" w:eastAsia="zh-CN"/>
              </w:rPr>
              <w:t>服务措施，包括但不限于零配件及易损件储备</w:t>
            </w:r>
            <w:r>
              <w:rPr>
                <w:rFonts w:hint="eastAsia" w:ascii="宋体" w:hAnsi="宋体" w:eastAsia="宋体" w:cs="宋体"/>
                <w:color w:val="auto"/>
                <w:sz w:val="24"/>
                <w:highlight w:val="none"/>
                <w:lang w:eastAsia="zh-CN"/>
              </w:rPr>
              <w:t>、发生故障后的补救措施，配备有专业服务人员以及维修响应时间，措施</w:t>
            </w:r>
            <w:r>
              <w:rPr>
                <w:rFonts w:hint="eastAsia" w:ascii="宋体" w:hAnsi="宋体" w:eastAsia="宋体" w:cs="宋体"/>
                <w:color w:val="auto"/>
                <w:sz w:val="24"/>
                <w:highlight w:val="none"/>
                <w:lang w:val="zh-CN"/>
              </w:rPr>
              <w:t>完全满足要求且执行性强得（</w:t>
            </w:r>
            <w:r>
              <w:rPr>
                <w:rFonts w:hint="eastAsia" w:ascii="宋体" w:hAnsi="宋体" w:cs="宋体"/>
                <w:color w:val="auto"/>
                <w:sz w:val="24"/>
                <w:highlight w:val="none"/>
                <w:lang w:val="en-US" w:eastAsia="zh-CN"/>
              </w:rPr>
              <w:t>4-8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措施部分</w:t>
            </w:r>
            <w:r>
              <w:rPr>
                <w:rFonts w:hint="eastAsia" w:ascii="宋体" w:hAnsi="宋体" w:eastAsia="宋体" w:cs="宋体"/>
                <w:color w:val="auto"/>
                <w:sz w:val="24"/>
                <w:highlight w:val="none"/>
                <w:lang w:val="zh-CN"/>
              </w:rPr>
              <w:t>满足要求且执行性一般强得（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zh-CN"/>
              </w:rPr>
              <w:t>。</w:t>
            </w:r>
          </w:p>
          <w:p>
            <w:pPr>
              <w:spacing w:line="460" w:lineRule="exac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highlight w:val="none"/>
                <w:lang w:val="zh-CN"/>
              </w:rPr>
              <w:t>2</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eastAsia="zh-CN"/>
              </w:rPr>
              <w:t>根据本项目实际需求提供技术培训方案，包括但不限于设备的基本结构、主要部件的构造，日常使用操作、保养与管理、常见故障的排除、紧急情况的处理等，保证最终用户能够熟练操作和日常维护、保养及简单故障的排除，方案</w:t>
            </w:r>
            <w:r>
              <w:rPr>
                <w:rFonts w:hint="eastAsia" w:ascii="宋体" w:hAnsi="宋体" w:eastAsia="宋体" w:cs="宋体"/>
                <w:color w:val="auto"/>
                <w:sz w:val="24"/>
                <w:highlight w:val="none"/>
                <w:lang w:val="zh-CN"/>
              </w:rPr>
              <w:t>完全满足要求且执行性强得（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方案部分</w:t>
            </w:r>
            <w:r>
              <w:rPr>
                <w:rFonts w:hint="eastAsia" w:ascii="宋体" w:hAnsi="宋体" w:eastAsia="宋体" w:cs="宋体"/>
                <w:color w:val="auto"/>
                <w:sz w:val="24"/>
                <w:highlight w:val="none"/>
                <w:lang w:val="zh-CN"/>
              </w:rPr>
              <w:t>满足要求且执行性一般强得（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863" w:type="dxa"/>
            <w:noWrap w:val="0"/>
            <w:vAlign w:val="center"/>
          </w:tcPr>
          <w:p>
            <w:pPr>
              <w:spacing w:line="460" w:lineRule="exact"/>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highlight w:val="none"/>
                <w:lang w:val="en-US" w:eastAsia="zh-CN"/>
              </w:rPr>
              <w:t>4</w:t>
            </w:r>
          </w:p>
        </w:tc>
        <w:tc>
          <w:tcPr>
            <w:tcW w:w="1241" w:type="dxa"/>
            <w:noWrap w:val="0"/>
            <w:vAlign w:val="center"/>
          </w:tcPr>
          <w:p>
            <w:pPr>
              <w:spacing w:line="460" w:lineRule="exact"/>
              <w:jc w:val="center"/>
              <w:rPr>
                <w:rFonts w:hint="eastAsia" w:ascii="宋体" w:hAnsi="宋体" w:eastAsia="宋体" w:cs="宋体"/>
                <w:color w:val="auto"/>
                <w:kern w:val="2"/>
                <w:sz w:val="24"/>
                <w:szCs w:val="22"/>
                <w:highlight w:val="none"/>
                <w:lang w:val="zh-CN" w:eastAsia="zh-CN" w:bidi="ar-SA"/>
              </w:rPr>
            </w:pPr>
            <w:r>
              <w:rPr>
                <w:rFonts w:hint="eastAsia" w:ascii="宋体" w:hAnsi="宋体" w:eastAsia="宋体" w:cs="宋体"/>
                <w:color w:val="auto"/>
                <w:kern w:val="2"/>
                <w:sz w:val="24"/>
                <w:szCs w:val="22"/>
                <w:highlight w:val="none"/>
                <w:lang w:val="zh-CN" w:eastAsia="zh-CN" w:bidi="ar-SA"/>
              </w:rPr>
              <w:t>业绩</w:t>
            </w:r>
          </w:p>
          <w:p>
            <w:pPr>
              <w:pStyle w:val="16"/>
              <w:jc w:val="center"/>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2"/>
                <w:highlight w:val="none"/>
                <w:lang w:val="zh-CN" w:eastAsia="zh-CN" w:bidi="ar-SA"/>
              </w:rPr>
              <w:t>（</w:t>
            </w:r>
            <w:r>
              <w:rPr>
                <w:rFonts w:hint="eastAsia" w:ascii="宋体" w:hAnsi="宋体" w:eastAsia="宋体" w:cs="宋体"/>
                <w:color w:val="auto"/>
                <w:kern w:val="2"/>
                <w:sz w:val="24"/>
                <w:szCs w:val="22"/>
                <w:highlight w:val="none"/>
                <w:lang w:val="en-US" w:eastAsia="zh-CN" w:bidi="ar-SA"/>
              </w:rPr>
              <w:t>5分</w:t>
            </w:r>
            <w:r>
              <w:rPr>
                <w:rFonts w:hint="eastAsia" w:ascii="宋体" w:hAnsi="宋体" w:eastAsia="宋体" w:cs="宋体"/>
                <w:color w:val="auto"/>
                <w:kern w:val="2"/>
                <w:sz w:val="24"/>
                <w:szCs w:val="22"/>
                <w:highlight w:val="none"/>
                <w:lang w:val="zh-CN" w:eastAsia="zh-CN" w:bidi="ar-SA"/>
              </w:rPr>
              <w:t>）</w:t>
            </w:r>
          </w:p>
        </w:tc>
        <w:tc>
          <w:tcPr>
            <w:tcW w:w="6900" w:type="dxa"/>
            <w:noWrap w:val="0"/>
            <w:vAlign w:val="center"/>
          </w:tcPr>
          <w:p>
            <w:pPr>
              <w:pStyle w:val="12"/>
              <w:spacing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2"/>
                <w:sz w:val="24"/>
                <w:szCs w:val="22"/>
                <w:highlight w:val="none"/>
                <w:lang w:val="zh-CN" w:eastAsia="zh-CN" w:bidi="ar-SA"/>
              </w:rPr>
              <w:t>投标人具有</w:t>
            </w:r>
            <w:r>
              <w:rPr>
                <w:rFonts w:hint="eastAsia" w:ascii="宋体" w:hAnsi="宋体" w:eastAsia="宋体" w:cs="宋体"/>
                <w:color w:val="auto"/>
                <w:kern w:val="2"/>
                <w:sz w:val="24"/>
                <w:szCs w:val="22"/>
                <w:highlight w:val="none"/>
                <w:lang w:val="en-US" w:eastAsia="zh-CN" w:bidi="ar-SA"/>
              </w:rPr>
              <w:t>2020年1月至今（以合同签订时间为准）的类似</w:t>
            </w:r>
            <w:r>
              <w:rPr>
                <w:rFonts w:hint="eastAsia" w:ascii="宋体" w:hAnsi="宋体" w:eastAsia="宋体" w:cs="宋体"/>
                <w:color w:val="auto"/>
                <w:kern w:val="2"/>
                <w:sz w:val="24"/>
                <w:szCs w:val="22"/>
                <w:highlight w:val="none"/>
                <w:lang w:val="zh-CN" w:eastAsia="zh-CN" w:bidi="ar-SA"/>
              </w:rPr>
              <w:t>项目业绩</w:t>
            </w:r>
            <w:r>
              <w:rPr>
                <w:rFonts w:hint="eastAsia" w:ascii="宋体" w:hAnsi="宋体" w:eastAsia="宋体" w:cs="宋体"/>
                <w:color w:val="auto"/>
                <w:kern w:val="2"/>
                <w:sz w:val="24"/>
                <w:szCs w:val="22"/>
                <w:highlight w:val="none"/>
                <w:lang w:val="en-US" w:eastAsia="zh-CN" w:bidi="ar-SA"/>
              </w:rPr>
              <w:t>，每提供一份得1分，满分5分。业绩证明（以投标文件中的合同复印件为准）。</w:t>
            </w:r>
          </w:p>
        </w:tc>
      </w:tr>
    </w:tbl>
    <w:p>
      <w:pPr>
        <w:pStyle w:val="1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符合性审查相关要求详见投标人须知26.1。</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核价原则详见投标人须知26.2</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价格扣除原则：</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对小型或微型企业以及监狱企业，在评审时按</w:t>
      </w:r>
      <w:r>
        <w:rPr>
          <w:rFonts w:hint="eastAsia" w:ascii="宋体" w:hAnsi="宋体" w:eastAsia="宋体" w:cs="宋体"/>
          <w:b/>
          <w:bCs/>
          <w:color w:val="auto"/>
          <w:sz w:val="24"/>
          <w:szCs w:val="24"/>
          <w:highlight w:val="none"/>
        </w:rPr>
        <w:t>投标人须知前附表</w:t>
      </w:r>
      <w:r>
        <w:rPr>
          <w:rFonts w:hint="eastAsia" w:ascii="宋体" w:hAnsi="宋体" w:eastAsia="宋体" w:cs="宋体"/>
          <w:color w:val="auto"/>
          <w:sz w:val="24"/>
          <w:szCs w:val="24"/>
          <w:highlight w:val="none"/>
        </w:rPr>
        <w:t>的规定对其投标价格给予价格扣除。供应商须在投标文件中提供《中小企业声明函》(格式见“第五章　投标文件格式”)及其要求的证明文件，监狱企业须在投标文件中提</w:t>
      </w:r>
      <w:bookmarkStart w:id="57" w:name="_GoBack"/>
      <w:bookmarkEnd w:id="57"/>
      <w:r>
        <w:rPr>
          <w:rFonts w:hint="eastAsia" w:ascii="宋体" w:hAnsi="宋体" w:eastAsia="宋体" w:cs="宋体"/>
          <w:color w:val="auto"/>
          <w:sz w:val="24"/>
          <w:szCs w:val="24"/>
          <w:highlight w:val="none"/>
        </w:rPr>
        <w:t>供相关证明文件，否则在评审时将不给予价格扣除。</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小型或微型企业应当符合以下条件：符合小型或微型企业划型标准，提供本企业制造的货物或者提供其他小型或微型企业制造的货物；</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组成联合体的大中型企业和其他自然人、法人或者其他组织，与小型、微型企业之间不得存在投资关系。</w:t>
      </w:r>
    </w:p>
    <w:p>
      <w:pPr>
        <w:pStyle w:val="15"/>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符合招标文件规定的小微企业、监狱企业、残疾人福利性单位优惠条件的投标人，价格给予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%的扣除，若同时满足两个条件也只给予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w:t>
      </w: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rPr>
          <w:rFonts w:hint="eastAsia" w:ascii="宋体" w:hAnsi="宋体" w:eastAsia="宋体" w:cs="宋体"/>
          <w:color w:val="auto"/>
          <w:highlight w:val="none"/>
        </w:rPr>
      </w:pPr>
      <w:bookmarkStart w:id="8" w:name="_Toc12235"/>
      <w:bookmarkStart w:id="9" w:name="_Toc6743"/>
      <w:r>
        <w:rPr>
          <w:rFonts w:hint="eastAsia" w:ascii="宋体" w:hAnsi="宋体" w:eastAsia="宋体" w:cs="宋体"/>
          <w:color w:val="auto"/>
          <w:highlight w:val="none"/>
        </w:rPr>
        <w:t>第四章 商务及合同主要条款</w:t>
      </w:r>
      <w:bookmarkEnd w:id="8"/>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sz w:val="28"/>
          <w:szCs w:val="28"/>
        </w:rPr>
      </w:pPr>
      <w:r>
        <w:rPr>
          <w:rFonts w:hint="eastAsia" w:ascii="宋体" w:hAnsi="宋体" w:cs="宋体"/>
          <w:b/>
          <w:bCs/>
          <w:sz w:val="28"/>
          <w:szCs w:val="28"/>
        </w:rPr>
        <w:t>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eastAsia="宋体" w:cs="宋体"/>
          <w:kern w:val="2"/>
          <w:sz w:val="24"/>
          <w:szCs w:val="22"/>
          <w:lang w:val="en-US" w:eastAsia="zh-CN" w:bidi="ar-SA"/>
        </w:rPr>
        <w:t>1</w:t>
      </w:r>
      <w:r>
        <w:rPr>
          <w:rFonts w:hint="eastAsia" w:ascii="宋体" w:hAnsi="宋体" w:eastAsia="宋体" w:cs="宋体"/>
          <w:kern w:val="2"/>
          <w:sz w:val="24"/>
          <w:szCs w:val="22"/>
          <w:highlight w:val="none"/>
          <w:lang w:val="en-US" w:eastAsia="zh-CN" w:bidi="ar-SA"/>
        </w:rPr>
        <w:t>、</w:t>
      </w:r>
      <w:r>
        <w:rPr>
          <w:rFonts w:hint="eastAsia" w:ascii="宋体" w:hAnsi="宋体" w:cs="宋体"/>
          <w:sz w:val="24"/>
          <w:highlight w:val="none"/>
          <w:lang w:eastAsia="zh-CN"/>
        </w:rPr>
        <w:t>交货</w:t>
      </w:r>
      <w:r>
        <w:rPr>
          <w:rFonts w:hint="eastAsia" w:ascii="宋体" w:hAnsi="宋体" w:cs="宋体"/>
          <w:sz w:val="24"/>
          <w:highlight w:val="none"/>
        </w:rPr>
        <w:t>地点：采购人指定地点。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eastAsia="宋体" w:cs="宋体"/>
          <w:kern w:val="2"/>
          <w:sz w:val="24"/>
          <w:szCs w:val="22"/>
          <w:highlight w:val="none"/>
          <w:lang w:val="en-US" w:eastAsia="zh-CN" w:bidi="ar-SA"/>
        </w:rPr>
        <w:t>2、</w:t>
      </w:r>
      <w:r>
        <w:rPr>
          <w:rFonts w:hint="eastAsia" w:ascii="宋体" w:hAnsi="宋体" w:cs="宋体"/>
          <w:sz w:val="24"/>
          <w:highlight w:val="none"/>
        </w:rPr>
        <w:t>交</w:t>
      </w:r>
      <w:r>
        <w:rPr>
          <w:rFonts w:hint="eastAsia" w:ascii="宋体" w:hAnsi="宋体" w:cs="宋体"/>
          <w:sz w:val="24"/>
          <w:highlight w:val="none"/>
          <w:lang w:eastAsia="zh-CN"/>
        </w:rPr>
        <w:t>货</w:t>
      </w:r>
      <w:r>
        <w:rPr>
          <w:rFonts w:hint="eastAsia" w:ascii="宋体" w:hAnsi="宋体" w:cs="宋体"/>
          <w:sz w:val="24"/>
          <w:highlight w:val="none"/>
        </w:rPr>
        <w:t>期：</w:t>
      </w:r>
      <w:r>
        <w:rPr>
          <w:rFonts w:hint="eastAsia" w:ascii="宋体" w:hAnsi="宋体" w:cs="宋体"/>
          <w:color w:val="auto"/>
          <w:sz w:val="24"/>
          <w:szCs w:val="24"/>
          <w:highlight w:val="none"/>
          <w:lang w:val="en-US" w:eastAsia="zh-CN"/>
        </w:rPr>
        <w:t>合同签订后30日内。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yellow"/>
          <w:lang w:val="en-US" w:eastAsia="zh-CN"/>
        </w:rPr>
      </w:pPr>
      <w:r>
        <w:rPr>
          <w:rFonts w:hint="eastAsia" w:ascii="宋体" w:hAnsi="宋体" w:eastAsia="宋体" w:cs="宋体"/>
          <w:kern w:val="2"/>
          <w:sz w:val="24"/>
          <w:szCs w:val="22"/>
          <w:highlight w:val="none"/>
          <w:lang w:val="en-US" w:eastAsia="zh-CN" w:bidi="ar-SA"/>
        </w:rPr>
        <w:t>3、</w:t>
      </w:r>
      <w:r>
        <w:rPr>
          <w:rFonts w:hint="eastAsia" w:ascii="宋体" w:hAnsi="宋体" w:eastAsia="宋体" w:cs="宋体"/>
          <w:sz w:val="24"/>
          <w:highlight w:val="none"/>
        </w:rPr>
        <w:t>付款方式：</w:t>
      </w:r>
      <w:r>
        <w:rPr>
          <w:rFonts w:hint="eastAsia" w:ascii="宋体" w:hAnsi="宋体" w:cs="宋体"/>
          <w:color w:val="auto"/>
          <w:sz w:val="24"/>
          <w:szCs w:val="24"/>
          <w:highlight w:val="none"/>
          <w:lang w:val="en-US" w:eastAsia="zh-CN"/>
        </w:rPr>
        <w:t>合同签订后支付合同价款的50%，剩余款项待</w:t>
      </w:r>
      <w:r>
        <w:rPr>
          <w:rFonts w:hint="eastAsia" w:hAnsi="宋体" w:cs="宋体"/>
          <w:color w:val="auto"/>
          <w:sz w:val="24"/>
          <w:szCs w:val="24"/>
          <w:highlight w:val="none"/>
          <w:lang w:eastAsia="zh-CN"/>
        </w:rPr>
        <w:t>交货并验收合格后一次性付清</w:t>
      </w:r>
      <w:r>
        <w:rPr>
          <w:rFonts w:hint="eastAsia" w:hAnsi="宋体" w:cs="宋体"/>
          <w:color w:val="auto"/>
          <w:sz w:val="24"/>
          <w:szCs w:val="24"/>
          <w:highlight w:val="none"/>
          <w:lang w:val="en-US" w:eastAsia="zh-CN"/>
        </w:rPr>
        <w:t>。</w:t>
      </w: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keepNext/>
        <w:keepLines/>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拟签订的合同文本</w:t>
      </w:r>
      <w:bookmarkEnd w:id="9"/>
    </w:p>
    <w:p>
      <w:pPr>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合同主要条款</w:t>
      </w:r>
    </w:p>
    <w:p>
      <w:pPr>
        <w:tabs>
          <w:tab w:val="left" w:pos="735"/>
        </w:tabs>
        <w:autoSpaceDE w:val="0"/>
        <w:autoSpaceDN w:val="0"/>
        <w:adjustRightInd w:val="0"/>
        <w:snapToGrid w:val="0"/>
        <w:spacing w:line="360" w:lineRule="auto"/>
        <w:ind w:firstLine="63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甲方：</w:t>
      </w:r>
      <w:r>
        <w:rPr>
          <w:rFonts w:hint="eastAsia" w:ascii="宋体" w:hAnsi="宋体" w:eastAsia="宋体" w:cs="宋体"/>
          <w:b/>
          <w:bCs/>
          <w:color w:val="auto"/>
          <w:sz w:val="24"/>
          <w:highlight w:val="none"/>
          <w:u w:val="single"/>
          <w:lang w:val="zh-CN"/>
        </w:rPr>
        <w:t>白水县西固镇人民政府</w:t>
      </w:r>
    </w:p>
    <w:p>
      <w:pPr>
        <w:tabs>
          <w:tab w:val="left" w:pos="735"/>
        </w:tabs>
        <w:autoSpaceDE w:val="0"/>
        <w:autoSpaceDN w:val="0"/>
        <w:adjustRightInd w:val="0"/>
        <w:snapToGrid w:val="0"/>
        <w:spacing w:line="360" w:lineRule="auto"/>
        <w:ind w:firstLine="631"/>
        <w:rPr>
          <w:rFonts w:hint="eastAsia" w:ascii="宋体" w:hAnsi="宋体" w:eastAsia="宋体" w:cs="宋体"/>
          <w:bCs/>
          <w:color w:val="auto"/>
          <w:sz w:val="24"/>
          <w:highlight w:val="none"/>
          <w:lang w:val="zh-CN"/>
        </w:rPr>
      </w:pPr>
      <w:r>
        <w:rPr>
          <w:rFonts w:hint="eastAsia" w:ascii="宋体" w:hAnsi="宋体" w:eastAsia="宋体" w:cs="宋体"/>
          <w:b/>
          <w:bCs/>
          <w:color w:val="auto"/>
          <w:sz w:val="24"/>
          <w:highlight w:val="none"/>
          <w:lang w:val="zh-CN"/>
        </w:rPr>
        <w:t>乙方：</w:t>
      </w:r>
      <w:r>
        <w:rPr>
          <w:rFonts w:hint="eastAsia" w:ascii="宋体" w:hAnsi="宋体" w:eastAsia="宋体" w:cs="宋体"/>
          <w:b/>
          <w:bCs/>
          <w:color w:val="auto"/>
          <w:sz w:val="24"/>
          <w:highlight w:val="none"/>
          <w:u w:val="single"/>
          <w:lang w:val="zh-CN"/>
        </w:rPr>
        <w:t xml:space="preserve">                         </w:t>
      </w:r>
    </w:p>
    <w:p>
      <w:pPr>
        <w:numPr>
          <w:ilvl w:val="0"/>
          <w:numId w:val="5"/>
        </w:numPr>
        <w:spacing w:line="360" w:lineRule="auto"/>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合同内容及金额：</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lang w:val="en-US" w:eastAsia="zh-CN"/>
        </w:rPr>
        <w:t xml:space="preserve"> </w:t>
      </w:r>
    </w:p>
    <w:p>
      <w:pPr>
        <w:pStyle w:val="45"/>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本报价为固定总价，供应商为完成本项目所需的全部费用（产品供应费、运输费（含保险费）、安装调试费、验收费、税金及其它一切费用。）</w:t>
      </w:r>
    </w:p>
    <w:p>
      <w:pPr>
        <w:pStyle w:val="45"/>
        <w:spacing w:line="360" w:lineRule="auto"/>
        <w:ind w:left="0" w:firstLine="482"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二、质量保证</w:t>
      </w:r>
      <w:r>
        <w:rPr>
          <w:rFonts w:hint="eastAsia" w:ascii="宋体" w:hAnsi="宋体" w:eastAsia="宋体" w:cs="宋体"/>
          <w:color w:val="auto"/>
          <w:kern w:val="2"/>
          <w:sz w:val="24"/>
          <w:szCs w:val="22"/>
          <w:highlight w:val="none"/>
          <w:lang w:val="en-US" w:eastAsia="zh-CN" w:bidi="ar-SA"/>
        </w:rPr>
        <w:t>：</w:t>
      </w:r>
    </w:p>
    <w:p>
      <w:pPr>
        <w:spacing w:line="360" w:lineRule="auto"/>
        <w:ind w:firstLine="480" w:firstLineChars="200"/>
        <w:rPr>
          <w:rFonts w:hint="eastAsia" w:ascii="宋体" w:hAnsi="宋体" w:eastAsia="宋体" w:cs="宋体"/>
          <w:color w:val="auto"/>
          <w:sz w:val="24"/>
          <w:highlight w:val="none"/>
        </w:rPr>
      </w:pPr>
      <w:bookmarkStart w:id="10" w:name="_Toc167712855"/>
      <w:bookmarkStart w:id="11" w:name="_Toc167714053"/>
      <w:bookmarkStart w:id="12" w:name="_Toc167715250"/>
      <w:bookmarkStart w:id="13" w:name="_Toc167714055"/>
      <w:bookmarkStart w:id="14" w:name="_Toc167715252"/>
      <w:bookmarkStart w:id="15" w:name="_Toc167712857"/>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、所有货物质量必须符合国家有关规范和相关政策。所有货物及辅材必须是未使用过的新货物，质量优良、渠道正当，配置合理。</w:t>
      </w:r>
      <w:bookmarkEnd w:id="10"/>
      <w:bookmarkEnd w:id="11"/>
      <w:bookmarkEnd w:id="12"/>
      <w:bookmarkStart w:id="16" w:name="_Toc167714054"/>
      <w:bookmarkStart w:id="17" w:name="_Toc167712856"/>
      <w:bookmarkStart w:id="18" w:name="_Toc16771525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、质保期出现的质量问题由</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负责解决并承担所有费用。质保期后如需更换零部件，</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应以优惠价提供。</w:t>
      </w:r>
      <w:bookmarkEnd w:id="13"/>
      <w:bookmarkEnd w:id="14"/>
      <w:bookmarkEnd w:id="15"/>
      <w:bookmarkEnd w:id="16"/>
      <w:bookmarkEnd w:id="17"/>
      <w:bookmarkEnd w:id="18"/>
    </w:p>
    <w:p>
      <w:pPr>
        <w:pStyle w:val="15"/>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三、交货时间与服务地点：</w:t>
      </w:r>
    </w:p>
    <w:p>
      <w:pPr>
        <w:pStyle w:val="12"/>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1、交货期：</w:t>
      </w:r>
      <w:r>
        <w:rPr>
          <w:rFonts w:hint="eastAsia" w:ascii="宋体" w:hAnsi="宋体" w:eastAsia="宋体" w:cs="宋体"/>
          <w:color w:val="auto"/>
          <w:kern w:val="2"/>
          <w:sz w:val="24"/>
          <w:szCs w:val="24"/>
          <w:highlight w:val="none"/>
          <w:u w:val="single"/>
          <w:lang w:val="en-US" w:eastAsia="zh-CN" w:bidi="ar-SA"/>
        </w:rPr>
        <w:t xml:space="preserve"> 合同签订后30日内。 </w:t>
      </w:r>
    </w:p>
    <w:p>
      <w:pPr>
        <w:pStyle w:val="12"/>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2、地  点：</w:t>
      </w:r>
      <w:r>
        <w:rPr>
          <w:rFonts w:hint="eastAsia" w:ascii="宋体" w:hAnsi="宋体" w:eastAsia="宋体" w:cs="宋体"/>
          <w:color w:val="auto"/>
          <w:kern w:val="2"/>
          <w:sz w:val="24"/>
          <w:szCs w:val="24"/>
          <w:highlight w:val="none"/>
          <w:u w:val="single"/>
          <w:lang w:val="en-US" w:eastAsia="zh-CN" w:bidi="ar-SA"/>
        </w:rPr>
        <w:t xml:space="preserve"> 采购人指定地点  </w:t>
      </w:r>
      <w:r>
        <w:rPr>
          <w:rFonts w:hint="eastAsia" w:ascii="宋体" w:hAnsi="宋体" w:eastAsia="宋体" w:cs="宋体"/>
          <w:color w:val="auto"/>
          <w:kern w:val="2"/>
          <w:sz w:val="24"/>
          <w:szCs w:val="24"/>
          <w:highlight w:val="none"/>
          <w:lang w:val="en-US" w:eastAsia="zh-CN" w:bidi="ar-SA"/>
        </w:rPr>
        <w:t>。</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四、安装、调试及培训要求：</w:t>
      </w:r>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安装、调试及培训：</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负责所有货物（设备）的安装、调试、培训工作，所有费用一次包死在总价内。</w:t>
      </w:r>
      <w:r>
        <w:rPr>
          <w:rFonts w:hint="eastAsia" w:ascii="宋体" w:hAnsi="宋体" w:cs="宋体"/>
          <w:color w:val="auto"/>
          <w:sz w:val="24"/>
          <w:highlight w:val="none"/>
          <w:lang w:eastAsia="zh-CN"/>
        </w:rPr>
        <w:t>所有</w:t>
      </w:r>
      <w:r>
        <w:rPr>
          <w:rFonts w:hint="eastAsia" w:ascii="宋体" w:hAnsi="宋体" w:eastAsia="宋体" w:cs="宋体"/>
          <w:color w:val="auto"/>
          <w:sz w:val="24"/>
          <w:highlight w:val="none"/>
        </w:rPr>
        <w:t>货物（设备）安装调试完毕后，</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必须安排技术人员对使用单位的系统管理人员进行操作应用及维护保养方面的技能培训，使其掌握基本技能。</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五、验收</w:t>
      </w:r>
      <w:bookmarkStart w:id="19" w:name="_Toc167715238"/>
      <w:bookmarkStart w:id="20" w:name="_Toc167712843"/>
      <w:bookmarkStart w:id="21" w:name="_Toc167714041"/>
      <w:r>
        <w:rPr>
          <w:rFonts w:hint="eastAsia" w:ascii="宋体" w:hAnsi="宋体" w:eastAsia="宋体" w:cs="宋体"/>
          <w:b/>
          <w:bCs/>
          <w:color w:val="auto"/>
          <w:sz w:val="24"/>
          <w:highlight w:val="none"/>
        </w:rPr>
        <w:t>:</w:t>
      </w:r>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1、项目验收分初验和终验:</w:t>
      </w:r>
      <w:bookmarkEnd w:id="19"/>
      <w:bookmarkEnd w:id="20"/>
      <w:bookmarkEnd w:id="21"/>
      <w:bookmarkStart w:id="22" w:name="_Toc167712844"/>
      <w:bookmarkStart w:id="23" w:name="_Toc167715239"/>
      <w:bookmarkStart w:id="24" w:name="_Toc167714042"/>
    </w:p>
    <w:bookmarkEnd w:id="22"/>
    <w:bookmarkEnd w:id="23"/>
    <w:bookmarkEnd w:id="24"/>
    <w:p>
      <w:pPr>
        <w:spacing w:line="360" w:lineRule="auto"/>
        <w:ind w:left="1" w:firstLine="600" w:firstLineChars="250"/>
        <w:rPr>
          <w:rFonts w:hint="eastAsia" w:ascii="宋体" w:hAnsi="宋体" w:eastAsia="宋体" w:cs="宋体"/>
          <w:color w:val="auto"/>
          <w:sz w:val="24"/>
          <w:highlight w:val="none"/>
        </w:rPr>
      </w:pPr>
      <w:bookmarkStart w:id="25" w:name="_Toc167715241"/>
      <w:bookmarkStart w:id="26" w:name="_Toc167714044"/>
      <w:bookmarkStart w:id="27" w:name="_Toc167712846"/>
      <w:r>
        <w:rPr>
          <w:rFonts w:hint="eastAsia" w:ascii="宋体" w:hAnsi="宋体" w:eastAsia="宋体" w:cs="宋体"/>
          <w:color w:val="auto"/>
          <w:sz w:val="24"/>
          <w:highlight w:val="none"/>
        </w:rPr>
        <w:t>初验：货物（设备）到达交货地点后，由使用单位根据合同对货物（设备）的名称、品牌、规格、型号、产地、数量进行检查。</w:t>
      </w:r>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终验：所有货物（设备）安装、调试、培训、正常运行完毕，正常使用60个日历日内由采购人、使用单位进行终验（最终验收），合格后签发《终验合格单》。</w:t>
      </w:r>
    </w:p>
    <w:p>
      <w:pPr>
        <w:numPr>
          <w:ilvl w:val="0"/>
          <w:numId w:val="0"/>
        </w:num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kern w:val="2"/>
          <w:sz w:val="24"/>
          <w:szCs w:val="22"/>
          <w:lang w:val="en-US" w:eastAsia="zh-CN" w:bidi="ar-SA"/>
        </w:rPr>
        <w:t>2、</w:t>
      </w:r>
      <w:r>
        <w:rPr>
          <w:rFonts w:hint="eastAsia" w:ascii="宋体" w:hAnsi="宋体" w:eastAsia="宋体" w:cs="宋体"/>
          <w:color w:val="auto"/>
          <w:sz w:val="24"/>
          <w:highlight w:val="none"/>
        </w:rPr>
        <w:t>验收不合格的</w:t>
      </w:r>
      <w:r>
        <w:rPr>
          <w:rFonts w:hint="eastAsia" w:ascii="宋体" w:hAnsi="宋体" w:cs="宋体"/>
          <w:color w:val="auto"/>
          <w:sz w:val="24"/>
          <w:highlight w:val="none"/>
          <w:lang w:eastAsia="zh-CN"/>
        </w:rPr>
        <w:t>货物</w:t>
      </w:r>
      <w:r>
        <w:rPr>
          <w:rFonts w:hint="eastAsia" w:ascii="宋体" w:hAnsi="宋体" w:eastAsia="宋体" w:cs="宋体"/>
          <w:color w:val="auto"/>
          <w:sz w:val="24"/>
          <w:highlight w:val="none"/>
        </w:rPr>
        <w:t>（设备），</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必须在接到</w:t>
      </w:r>
      <w:r>
        <w:rPr>
          <w:rFonts w:hint="eastAsia" w:ascii="宋体" w:hAnsi="宋体" w:cs="宋体"/>
          <w:color w:val="auto"/>
          <w:sz w:val="24"/>
          <w:highlight w:val="none"/>
          <w:lang w:eastAsia="zh-CN"/>
        </w:rPr>
        <w:t>甲方书面</w:t>
      </w:r>
      <w:r>
        <w:rPr>
          <w:rFonts w:hint="eastAsia" w:ascii="宋体" w:hAnsi="宋体" w:eastAsia="宋体" w:cs="宋体"/>
          <w:color w:val="auto"/>
          <w:sz w:val="24"/>
          <w:highlight w:val="none"/>
        </w:rPr>
        <w:t>通知后7个日历日内确保货物（设备）通过验收。如接到通知后7个日历日内验收仍不合格，采购人可提出索赔</w:t>
      </w:r>
      <w:r>
        <w:rPr>
          <w:rFonts w:hint="eastAsia" w:ascii="宋体" w:hAnsi="宋体" w:cs="宋体"/>
          <w:color w:val="auto"/>
          <w:sz w:val="24"/>
          <w:highlight w:val="none"/>
          <w:lang w:eastAsia="zh-CN"/>
        </w:rPr>
        <w:t>或取消其供货合同。</w:t>
      </w:r>
    </w:p>
    <w:p>
      <w:pPr>
        <w:numPr>
          <w:ilvl w:val="0"/>
          <w:numId w:val="0"/>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3、验收标准：符合国家及行业相关规范及标准</w:t>
      </w:r>
    </w:p>
    <w:p>
      <w:pPr>
        <w:numPr>
          <w:ilvl w:val="0"/>
          <w:numId w:val="0"/>
        </w:num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、验收依据</w:t>
      </w:r>
      <w:bookmarkEnd w:id="25"/>
      <w:bookmarkEnd w:id="26"/>
      <w:bookmarkEnd w:id="27"/>
      <w:bookmarkStart w:id="28" w:name="_Toc167714045"/>
      <w:bookmarkStart w:id="29" w:name="_Toc167712847"/>
      <w:bookmarkStart w:id="30" w:name="_Toc167715242"/>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（1）合同文本及合同补充文件（条款）</w:t>
      </w:r>
      <w:bookmarkEnd w:id="28"/>
      <w:bookmarkEnd w:id="29"/>
      <w:bookmarkEnd w:id="30"/>
      <w:r>
        <w:rPr>
          <w:rFonts w:hint="eastAsia" w:ascii="宋体" w:hAnsi="宋体" w:eastAsia="宋体" w:cs="宋体"/>
          <w:color w:val="auto"/>
          <w:sz w:val="24"/>
          <w:highlight w:val="none"/>
        </w:rPr>
        <w:t>。</w:t>
      </w:r>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（2）生产厂家授权书及售后服务承诺函。</w:t>
      </w:r>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文件。</w:t>
      </w:r>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w:t>
      </w:r>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（5）合同货物清单。</w:t>
      </w:r>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（6）生产厂家的企业资质、货物的执行标准。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六、结算方式：</w:t>
      </w:r>
    </w:p>
    <w:p>
      <w:pPr>
        <w:keepNext w:val="0"/>
        <w:keepLines w:val="0"/>
        <w:pageBreakBefore w:val="0"/>
        <w:widowControl/>
        <w:suppressLineNumbers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1、付款：</w:t>
      </w:r>
      <w:r>
        <w:rPr>
          <w:rFonts w:hint="eastAsia" w:ascii="宋体" w:hAnsi="宋体" w:cs="宋体"/>
          <w:color w:val="auto"/>
          <w:sz w:val="24"/>
          <w:szCs w:val="24"/>
          <w:highlight w:val="none"/>
          <w:lang w:val="en-US" w:eastAsia="zh-CN"/>
        </w:rPr>
        <w:t>合同签订后支付合同价款的50%，剩余款项待</w:t>
      </w:r>
      <w:r>
        <w:rPr>
          <w:rFonts w:hint="eastAsia" w:hAnsi="宋体" w:cs="宋体"/>
          <w:color w:val="auto"/>
          <w:sz w:val="24"/>
          <w:szCs w:val="24"/>
          <w:highlight w:val="none"/>
          <w:lang w:eastAsia="zh-CN"/>
        </w:rPr>
        <w:t>交货并验收合格后一次性付清</w:t>
      </w:r>
      <w:r>
        <w:rPr>
          <w:rFonts w:hint="eastAsia" w:ascii="宋体" w:hAnsi="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2、结算单位：由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结算，</w:t>
      </w:r>
      <w:r>
        <w:rPr>
          <w:rFonts w:hint="eastAsia" w:ascii="宋体" w:hAnsi="宋体" w:cs="宋体"/>
          <w:sz w:val="24"/>
        </w:rPr>
        <w:t>甲方付款前，乙方应向甲方开具正式等额发票，否则甲方有权延迟履行付款义务。</w:t>
      </w:r>
      <w:r>
        <w:rPr>
          <w:rFonts w:hint="eastAsia" w:ascii="宋体" w:hAnsi="宋体" w:eastAsia="宋体" w:cs="宋体"/>
          <w:color w:val="auto"/>
          <w:sz w:val="24"/>
          <w:highlight w:val="none"/>
        </w:rPr>
        <w:t>。</w:t>
      </w:r>
    </w:p>
    <w:p>
      <w:pPr>
        <w:autoSpaceDE w:val="0"/>
        <w:autoSpaceDN w:val="0"/>
        <w:adjustRightInd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七、技术资料：</w:t>
      </w:r>
    </w:p>
    <w:p>
      <w:pPr>
        <w:spacing w:line="360" w:lineRule="auto"/>
        <w:ind w:left="1"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提供更换配件的合格证、说明书等相关资料。</w:t>
      </w:r>
    </w:p>
    <w:p>
      <w:pPr>
        <w:autoSpaceDE w:val="0"/>
        <w:autoSpaceDN w:val="0"/>
        <w:adjustRightInd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八、双方责任</w:t>
      </w:r>
    </w:p>
    <w:p>
      <w:pPr>
        <w:autoSpaceDE w:val="0"/>
        <w:autoSpaceDN w:val="0"/>
        <w:adjustRightInd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1、甲方责任</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（1）按合同规定向乙方支付费用。</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（2）负责协调乙方工作过程中与本项目有关单位的配合问题。 </w:t>
      </w:r>
    </w:p>
    <w:p>
      <w:pPr>
        <w:autoSpaceDE w:val="0"/>
        <w:autoSpaceDN w:val="0"/>
        <w:adjustRightInd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2、乙方责任</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（1）乙方应根据合同的规定，在双方约定的时间内完成</w:t>
      </w:r>
      <w:r>
        <w:rPr>
          <w:rFonts w:hint="eastAsia" w:ascii="宋体" w:hAnsi="宋体" w:cs="宋体"/>
          <w:color w:val="auto"/>
          <w:sz w:val="24"/>
          <w:highlight w:val="none"/>
          <w:lang w:eastAsia="zh-CN"/>
        </w:rPr>
        <w:t>供货、安装调试等</w:t>
      </w:r>
      <w:r>
        <w:rPr>
          <w:rFonts w:hint="eastAsia" w:ascii="宋体" w:hAnsi="宋体" w:eastAsia="宋体" w:cs="宋体"/>
          <w:color w:val="auto"/>
          <w:sz w:val="24"/>
          <w:highlight w:val="none"/>
        </w:rPr>
        <w:t>项目内容。</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（2）乙方应根据工作需要，派出相关专业的工作人员</w:t>
      </w:r>
      <w:r>
        <w:rPr>
          <w:rFonts w:hint="eastAsia" w:ascii="宋体" w:hAnsi="宋体" w:cs="宋体"/>
          <w:color w:val="auto"/>
          <w:sz w:val="24"/>
          <w:highlight w:val="none"/>
          <w:lang w:eastAsia="zh-CN"/>
        </w:rPr>
        <w:t>完成本</w:t>
      </w:r>
      <w:r>
        <w:rPr>
          <w:rFonts w:hint="eastAsia" w:ascii="宋体" w:hAnsi="宋体" w:eastAsia="宋体" w:cs="宋体"/>
          <w:color w:val="auto"/>
          <w:sz w:val="24"/>
          <w:highlight w:val="none"/>
        </w:rPr>
        <w:t>项目</w:t>
      </w:r>
      <w:r>
        <w:rPr>
          <w:rFonts w:hint="eastAsia" w:ascii="宋体" w:hAnsi="宋体" w:cs="宋体"/>
          <w:color w:val="auto"/>
          <w:sz w:val="24"/>
          <w:highlight w:val="none"/>
          <w:lang w:eastAsia="zh-CN"/>
        </w:rPr>
        <w:t>工作内容</w:t>
      </w:r>
      <w:r>
        <w:rPr>
          <w:rFonts w:hint="eastAsia" w:ascii="宋体" w:hAnsi="宋体" w:eastAsia="宋体" w:cs="宋体"/>
          <w:color w:val="auto"/>
          <w:sz w:val="24"/>
          <w:highlight w:val="none"/>
        </w:rPr>
        <w:t>。</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（3）乙方应按国家规定和本合同及</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文件约定的规范和要求进行服务，并对货物（设备）质量负责。</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九、合同争议的解决：合同执行中发生争议的，当事人双方应协商解决，协商达不成一致时，可向人民法院提请诉讼。</w:t>
      </w:r>
    </w:p>
    <w:p>
      <w:pPr>
        <w:pStyle w:val="88"/>
        <w:spacing w:line="360" w:lineRule="auto"/>
        <w:ind w:firstLine="480"/>
        <w:rPr>
          <w:rFonts w:hint="eastAsia" w:ascii="宋体" w:hAnsi="宋体" w:cs="宋体"/>
          <w:bCs/>
          <w:sz w:val="24"/>
        </w:rPr>
      </w:pPr>
      <w:r>
        <w:rPr>
          <w:rFonts w:hint="eastAsia" w:ascii="宋体" w:hAnsi="宋体" w:eastAsia="宋体" w:cs="宋体"/>
          <w:b/>
          <w:bCs/>
          <w:color w:val="auto"/>
          <w:sz w:val="24"/>
          <w:highlight w:val="none"/>
        </w:rPr>
        <w:t>十、</w:t>
      </w:r>
      <w:r>
        <w:rPr>
          <w:rFonts w:hint="eastAsia" w:ascii="宋体" w:hAnsi="宋体" w:cs="宋体"/>
          <w:b/>
          <w:bCs/>
          <w:sz w:val="24"/>
        </w:rPr>
        <w:t>不可抗力</w:t>
      </w:r>
      <w:r>
        <w:rPr>
          <w:rFonts w:hint="eastAsia" w:ascii="宋体" w:hAnsi="宋体" w:cs="宋体"/>
          <w:b/>
          <w:bCs/>
          <w:sz w:val="24"/>
          <w:lang w:eastAsia="zh-CN"/>
        </w:rPr>
        <w:t>：</w:t>
      </w:r>
      <w:r>
        <w:rPr>
          <w:rFonts w:hint="eastAsia" w:ascii="宋体" w:hAnsi="宋体" w:cs="宋体"/>
          <w:b w:val="0"/>
          <w:bCs w:val="0"/>
          <w:sz w:val="24"/>
          <w:lang w:val="en-US" w:eastAsia="zh-CN"/>
        </w:rPr>
        <w:t>1、</w:t>
      </w:r>
      <w:r>
        <w:rPr>
          <w:rFonts w:hint="eastAsia" w:ascii="宋体" w:hAnsi="宋体" w:cs="宋体"/>
          <w:sz w:val="24"/>
        </w:rPr>
        <w:t>如果双方任何一方由于遭受诸如战争、严重火灾、洪水、台风、地震等重大自然灾害、以及双方同意的其他不可抗力的事故，致使影响合同履行，履行合同的期限应予以延长，延长的期限应相当于事故所影响的时间。不可抗力事故系指甲乙双方在缔结合同时所不能预见的，并且它的发生及其后果是无法避免和无法克服的事故。</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sz w:val="24"/>
        </w:rPr>
        <w:t>2、遭受不可抗力一方应在不可抗力事故发生后尽快以书面形式通知另一方；并在事故发生后</w:t>
      </w:r>
      <w:r>
        <w:rPr>
          <w:rFonts w:hint="eastAsia" w:ascii="宋体" w:hAnsi="宋体" w:cs="宋体"/>
          <w:sz w:val="24"/>
          <w:u w:val="single"/>
        </w:rPr>
        <w:t>十（10）</w:t>
      </w:r>
      <w:r>
        <w:rPr>
          <w:rFonts w:hint="eastAsia" w:ascii="宋体" w:hAnsi="宋体" w:cs="宋体"/>
          <w:sz w:val="24"/>
        </w:rPr>
        <w:t>个日历日内，将有关部门出具的证明文件、详细情况报告以及不可抗力对合同影响程度的说明用特快专递或挂号信的形式寄给另一方。如果不可抗力影响时间延续</w:t>
      </w:r>
      <w:r>
        <w:rPr>
          <w:rFonts w:hint="eastAsia" w:ascii="宋体" w:hAnsi="宋体" w:cs="宋体"/>
          <w:sz w:val="24"/>
          <w:u w:val="single"/>
        </w:rPr>
        <w:t>二十（20）</w:t>
      </w:r>
      <w:r>
        <w:rPr>
          <w:rFonts w:hint="eastAsia" w:ascii="宋体" w:hAnsi="宋体" w:cs="宋体"/>
          <w:sz w:val="24"/>
        </w:rPr>
        <w:t>个日历日以上，双方应通过友好协商在合理的时间内达成进一步履行合同或终止合同的协议。</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十一、合同一经签订，不得擅自变更、中止或者终止合同。对确需变更、调整或者中止、终止合同的，应按规定履行相应的手续。</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十二、违约责任</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依据《中华人民共和国民法典》、《中华人民共和国政府采购法》的相关条款和本合同约定，</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未全面履行合同义务或者发生违约，采购人会同采购代理机构有权终止合同，依法向</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要求经济索赔，并报请政府采购监督管理机关进行相应的行政处罚。采购人违约的，应当赔偿给</w:t>
      </w:r>
      <w:r>
        <w:rPr>
          <w:rFonts w:hint="eastAsia" w:ascii="宋体" w:hAnsi="宋体" w:cs="宋体"/>
          <w:color w:val="auto"/>
          <w:sz w:val="24"/>
          <w:highlight w:val="none"/>
          <w:lang w:eastAsia="zh-CN"/>
        </w:rPr>
        <w:t>乙方</w:t>
      </w:r>
      <w:r>
        <w:rPr>
          <w:rFonts w:hint="eastAsia" w:ascii="宋体" w:hAnsi="宋体" w:eastAsia="宋体" w:cs="宋体"/>
          <w:color w:val="auto"/>
          <w:sz w:val="24"/>
          <w:highlight w:val="none"/>
        </w:rPr>
        <w:t>造成的经济损失。</w:t>
      </w:r>
    </w:p>
    <w:p>
      <w:pPr>
        <w:spacing w:line="360" w:lineRule="auto"/>
        <w:ind w:firstLine="48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十三、本合同壹式</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份，甲方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份，乙方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份。各方签字盖章后生效，合同执行完毕自动失效。</w:t>
      </w:r>
    </w:p>
    <w:p>
      <w:pPr>
        <w:widowControl/>
        <w:tabs>
          <w:tab w:val="left" w:pos="8391"/>
        </w:tabs>
        <w:autoSpaceDE w:val="0"/>
        <w:autoSpaceDN w:val="0"/>
        <w:snapToGrid w:val="0"/>
        <w:spacing w:line="360" w:lineRule="auto"/>
        <w:ind w:right="-69" w:firstLine="840" w:firstLineChars="350"/>
        <w:textAlignment w:val="bottom"/>
        <w:rPr>
          <w:rFonts w:hint="eastAsia" w:ascii="宋体" w:hAnsi="宋体" w:eastAsia="宋体" w:cs="宋体"/>
          <w:color w:val="auto"/>
          <w:kern w:val="0"/>
          <w:sz w:val="24"/>
          <w:highlight w:val="none"/>
        </w:rPr>
      </w:pPr>
    </w:p>
    <w:p>
      <w:pPr>
        <w:widowControl/>
        <w:jc w:val="left"/>
        <w:rPr>
          <w:rFonts w:hint="eastAsia" w:ascii="宋体" w:hAnsi="宋体" w:eastAsia="宋体" w:cs="宋体"/>
          <w:color w:val="auto"/>
          <w:highlight w:val="none"/>
        </w:rPr>
      </w:pPr>
    </w:p>
    <w:tbl>
      <w:tblPr>
        <w:tblStyle w:val="23"/>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甲方名称</w:t>
            </w:r>
            <w:r>
              <w:rPr>
                <w:rFonts w:hint="eastAsia" w:ascii="宋体" w:hAnsi="宋体" w:eastAsia="宋体" w:cs="宋体"/>
                <w:color w:val="auto"/>
                <w:spacing w:val="-20"/>
                <w:kern w:val="0"/>
                <w:sz w:val="24"/>
                <w:highlight w:val="none"/>
              </w:rPr>
              <w:t>（盖章）</w:t>
            </w:r>
            <w:r>
              <w:rPr>
                <w:rFonts w:hint="eastAsia" w:ascii="宋体" w:hAnsi="宋体" w:eastAsia="宋体" w:cs="宋体"/>
                <w:color w:val="auto"/>
                <w:kern w:val="0"/>
                <w:sz w:val="24"/>
                <w:highlight w:val="none"/>
              </w:rPr>
              <w:t>:</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代表人（签字）：</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帐号：</w:t>
            </w:r>
          </w:p>
        </w:tc>
        <w:tc>
          <w:tcPr>
            <w:tcW w:w="4643" w:type="dxa"/>
            <w:noWrap w:val="0"/>
            <w:vAlign w:val="top"/>
          </w:tcPr>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乙方名称</w:t>
            </w:r>
            <w:r>
              <w:rPr>
                <w:rFonts w:hint="eastAsia" w:ascii="宋体" w:hAnsi="宋体" w:eastAsia="宋体" w:cs="宋体"/>
                <w:color w:val="auto"/>
                <w:spacing w:val="-20"/>
                <w:kern w:val="0"/>
                <w:sz w:val="24"/>
                <w:highlight w:val="none"/>
              </w:rPr>
              <w:t>（盖章）</w:t>
            </w:r>
            <w:r>
              <w:rPr>
                <w:rFonts w:hint="eastAsia" w:ascii="宋体" w:hAnsi="宋体" w:eastAsia="宋体" w:cs="宋体"/>
                <w:color w:val="auto"/>
                <w:kern w:val="0"/>
                <w:sz w:val="24"/>
                <w:highlight w:val="none"/>
              </w:rPr>
              <w:t>:</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代表人（签字）：</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电话：</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w:t>
            </w:r>
          </w:p>
          <w:p>
            <w:pPr>
              <w:widowControl/>
              <w:autoSpaceDE w:val="0"/>
              <w:autoSpaceDN w:val="0"/>
              <w:snapToGrid w:val="0"/>
              <w:spacing w:line="360" w:lineRule="auto"/>
              <w:ind w:right="-154"/>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帐号：</w:t>
            </w:r>
          </w:p>
        </w:tc>
      </w:tr>
    </w:tbl>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
        <w:numPr>
          <w:ilvl w:val="0"/>
          <w:numId w:val="6"/>
        </w:numPr>
        <w:rPr>
          <w:rFonts w:hint="eastAsia" w:ascii="宋体" w:hAnsi="宋体" w:eastAsia="宋体" w:cs="宋体"/>
          <w:color w:val="auto"/>
          <w:highlight w:val="none"/>
        </w:rPr>
      </w:pPr>
      <w:bookmarkStart w:id="31" w:name="_Toc27553"/>
      <w:r>
        <w:rPr>
          <w:rFonts w:hint="eastAsia" w:ascii="宋体" w:hAnsi="宋体" w:eastAsia="宋体" w:cs="宋体"/>
          <w:color w:val="auto"/>
          <w:highlight w:val="none"/>
        </w:rPr>
        <w:t xml:space="preserve"> </w:t>
      </w:r>
      <w:bookmarkStart w:id="32" w:name="_Toc17748"/>
      <w:r>
        <w:rPr>
          <w:rFonts w:hint="eastAsia" w:ascii="宋体" w:hAnsi="宋体" w:eastAsia="宋体" w:cs="宋体"/>
          <w:color w:val="auto"/>
          <w:highlight w:val="none"/>
        </w:rPr>
        <w:t>投标文件组成</w:t>
      </w:r>
      <w:bookmarkEnd w:id="31"/>
      <w:bookmarkEnd w:id="32"/>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pPr>
        <w:pStyle w:val="12"/>
        <w:rPr>
          <w:rFonts w:hint="eastAsia" w:ascii="宋体" w:hAnsi="宋体" w:eastAsia="宋体" w:cs="宋体"/>
          <w:lang w:val="en-US" w:eastAsia="zh-CN"/>
        </w:rPr>
      </w:pPr>
    </w:p>
    <w:p>
      <w:pPr>
        <w:rPr>
          <w:rFonts w:hint="eastAsia" w:ascii="宋体" w:hAnsi="宋体" w:eastAsia="宋体" w:cs="宋体"/>
          <w:lang w:val="en-US" w:eastAsia="zh-CN"/>
        </w:rPr>
      </w:pPr>
    </w:p>
    <w:p>
      <w:pPr>
        <w:adjustRightInd w:val="0"/>
        <w:snapToGrid w:val="0"/>
        <w:spacing w:line="360" w:lineRule="auto"/>
        <w:ind w:right="6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HSGJ2023-207</w:t>
      </w:r>
    </w:p>
    <w:p>
      <w:pPr>
        <w:adjustRightInd w:val="0"/>
        <w:snapToGrid w:val="0"/>
        <w:spacing w:line="360" w:lineRule="auto"/>
        <w:ind w:right="600" w:firstLine="6465" w:firstLineChars="2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（正本或副本）</w:t>
      </w:r>
    </w:p>
    <w:p>
      <w:pPr>
        <w:wordWrap w:val="0"/>
        <w:spacing w:line="360" w:lineRule="auto"/>
        <w:ind w:right="980"/>
        <w:rPr>
          <w:rFonts w:hint="eastAsia" w:ascii="宋体" w:hAnsi="宋体" w:eastAsia="宋体" w:cs="宋体"/>
          <w:b/>
          <w:color w:val="auto"/>
          <w:sz w:val="28"/>
          <w:szCs w:val="28"/>
          <w:highlight w:val="none"/>
        </w:rPr>
      </w:pPr>
    </w:p>
    <w:p>
      <w:pPr>
        <w:spacing w:line="360" w:lineRule="auto"/>
        <w:ind w:right="420"/>
        <w:rPr>
          <w:rFonts w:hint="eastAsia" w:ascii="宋体" w:hAnsi="宋体" w:eastAsia="宋体" w:cs="宋体"/>
          <w:b/>
          <w:color w:val="auto"/>
          <w:sz w:val="28"/>
          <w:szCs w:val="28"/>
          <w:highlight w:val="none"/>
        </w:rPr>
      </w:pPr>
    </w:p>
    <w:p>
      <w:pPr>
        <w:pStyle w:val="12"/>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白水县西固镇人民政府2023年西固镇集体经济总社“固果果”品牌平台建设及县域农特产品销售推广项目</w:t>
      </w:r>
    </w:p>
    <w:p>
      <w:pPr>
        <w:rPr>
          <w:rFonts w:hint="eastAsia" w:ascii="宋体" w:hAnsi="宋体" w:eastAsia="宋体" w:cs="宋体"/>
          <w:color w:val="auto"/>
          <w:highlight w:val="none"/>
          <w:lang w:eastAsia="zh-CN"/>
        </w:rPr>
      </w:pPr>
    </w:p>
    <w:p>
      <w:pPr>
        <w:adjustRightInd w:val="0"/>
        <w:snapToGrid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eastAsia="zh-CN"/>
        </w:rPr>
        <w:t>投标</w:t>
      </w:r>
      <w:r>
        <w:rPr>
          <w:rFonts w:hint="eastAsia" w:ascii="宋体" w:hAnsi="宋体" w:eastAsia="宋体" w:cs="宋体"/>
          <w:b/>
          <w:color w:val="auto"/>
          <w:sz w:val="48"/>
          <w:szCs w:val="48"/>
          <w:highlight w:val="none"/>
        </w:rPr>
        <w:t>文件</w:t>
      </w:r>
    </w:p>
    <w:p>
      <w:pPr>
        <w:adjustRightInd w:val="0"/>
        <w:snapToGrid w:val="0"/>
        <w:spacing w:line="360" w:lineRule="auto"/>
        <w:jc w:val="center"/>
        <w:rPr>
          <w:rFonts w:hint="eastAsia" w:ascii="宋体" w:hAnsi="宋体" w:eastAsia="宋体" w:cs="宋体"/>
          <w:b/>
          <w:color w:val="auto"/>
          <w:sz w:val="42"/>
          <w:highlight w:val="none"/>
        </w:rPr>
      </w:pPr>
      <w:r>
        <w:rPr>
          <w:rFonts w:hint="eastAsia" w:ascii="宋体" w:hAnsi="宋体" w:eastAsia="宋体" w:cs="宋体"/>
          <w:b/>
          <w:color w:val="auto"/>
          <w:sz w:val="32"/>
          <w:szCs w:val="32"/>
          <w:highlight w:val="none"/>
        </w:rPr>
        <w:t>（格式）</w:t>
      </w:r>
    </w:p>
    <w:p>
      <w:pPr>
        <w:adjustRightInd w:val="0"/>
        <w:snapToGrid w:val="0"/>
        <w:spacing w:line="360" w:lineRule="auto"/>
        <w:jc w:val="center"/>
        <w:rPr>
          <w:rFonts w:hint="eastAsia" w:ascii="宋体" w:hAnsi="宋体" w:eastAsia="宋体" w:cs="宋体"/>
          <w:b/>
          <w:color w:val="auto"/>
          <w:sz w:val="30"/>
          <w:highlight w:val="none"/>
        </w:rPr>
      </w:pPr>
    </w:p>
    <w:p>
      <w:pPr>
        <w:adjustRightInd w:val="0"/>
        <w:snapToGrid w:val="0"/>
        <w:spacing w:line="360" w:lineRule="auto"/>
        <w:jc w:val="center"/>
        <w:rPr>
          <w:rFonts w:hint="eastAsia" w:ascii="宋体" w:hAnsi="宋体" w:eastAsia="宋体" w:cs="宋体"/>
          <w:b/>
          <w:color w:val="auto"/>
          <w:sz w:val="30"/>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adjustRightInd w:val="0"/>
        <w:snapToGrid w:val="0"/>
        <w:spacing w:line="360" w:lineRule="auto"/>
        <w:rPr>
          <w:rFonts w:hint="eastAsia" w:ascii="宋体" w:hAnsi="宋体" w:eastAsia="宋体" w:cs="宋体"/>
          <w:b/>
          <w:color w:val="auto"/>
          <w:sz w:val="30"/>
          <w:highlight w:val="none"/>
        </w:rPr>
      </w:pPr>
    </w:p>
    <w:p>
      <w:pPr>
        <w:spacing w:line="360" w:lineRule="auto"/>
        <w:ind w:firstLine="1807" w:firstLineChars="600"/>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lang w:eastAsia="zh-CN"/>
        </w:rPr>
        <w:t>投</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lang w:eastAsia="zh-CN"/>
        </w:rPr>
        <w:t>标</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lang w:eastAsia="zh-CN"/>
        </w:rPr>
        <w:t>人</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u w:val="single"/>
        </w:rPr>
        <w:t xml:space="preserve">                 （盖章）</w:t>
      </w:r>
    </w:p>
    <w:p>
      <w:pPr>
        <w:pStyle w:val="16"/>
        <w:rPr>
          <w:rFonts w:hint="eastAsia" w:ascii="宋体" w:hAnsi="宋体" w:eastAsia="宋体" w:cs="宋体"/>
          <w:color w:val="auto"/>
          <w:highlight w:val="none"/>
        </w:rPr>
      </w:pPr>
    </w:p>
    <w:p>
      <w:pPr>
        <w:spacing w:line="360" w:lineRule="auto"/>
        <w:ind w:firstLine="1807" w:firstLineChars="6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    期：     年  月  日</w:t>
      </w:r>
    </w:p>
    <w:p>
      <w:pPr>
        <w:pStyle w:val="12"/>
        <w:rPr>
          <w:rFonts w:hint="eastAsia" w:ascii="宋体" w:hAnsi="宋体" w:eastAsia="宋体" w:cs="宋体"/>
          <w:lang w:val="en-US" w:eastAsia="zh-CN"/>
        </w:rPr>
      </w:pPr>
    </w:p>
    <w:p>
      <w:pPr>
        <w:rPr>
          <w:rFonts w:hint="eastAsia" w:ascii="宋体" w:hAnsi="宋体" w:eastAsia="宋体" w:cs="宋体"/>
          <w:lang w:val="en-US" w:eastAsia="zh-CN"/>
        </w:rPr>
      </w:pPr>
    </w:p>
    <w:p>
      <w:pPr>
        <w:pStyle w:val="12"/>
        <w:rPr>
          <w:rFonts w:hint="eastAsia" w:ascii="宋体" w:hAnsi="宋体" w:eastAsia="宋体" w:cs="宋体"/>
          <w:lang w:val="en-US" w:eastAsia="zh-CN"/>
        </w:rPr>
      </w:pPr>
    </w:p>
    <w:p>
      <w:pPr>
        <w:rPr>
          <w:rFonts w:hint="eastAsia" w:ascii="宋体" w:hAnsi="宋体" w:eastAsia="宋体" w:cs="宋体"/>
          <w:lang w:val="en-US" w:eastAsia="zh-CN"/>
        </w:rPr>
      </w:pPr>
    </w:p>
    <w:p>
      <w:pPr>
        <w:pStyle w:val="12"/>
        <w:rPr>
          <w:rFonts w:hint="eastAsia" w:ascii="宋体" w:hAnsi="宋体" w:eastAsia="宋体" w:cs="宋体"/>
          <w:lang w:val="en-US" w:eastAsia="zh-CN"/>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pStyle w:val="15"/>
        <w:spacing w:line="400" w:lineRule="exact"/>
        <w:ind w:firstLine="482" w:firstLineChars="20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 商务部分</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一、投标函(格式附后)</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　法定代表人身份证明复印件(法定代表人参加投标)</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　法定代表人授权书(授权代表参加投标)</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　授权委托书(格式二)(适用于自然人委托投标)</w:t>
      </w:r>
    </w:p>
    <w:p>
      <w:pPr>
        <w:pStyle w:val="15"/>
        <w:numPr>
          <w:ilvl w:val="0"/>
          <w:numId w:val="7"/>
        </w:num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开标一览表(格式附后)</w:t>
      </w:r>
    </w:p>
    <w:p>
      <w:pPr>
        <w:pStyle w:val="15"/>
        <w:numPr>
          <w:ilvl w:val="0"/>
          <w:numId w:val="7"/>
        </w:num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分项价格表</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四、商务条款偏离表(格式附后)</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、供应商的资格证明材料（所有资格证明材料复印件均需加盖公章）</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、提供符合政府采购政策的证明材料</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、供应商认为需提供的其他资料</w:t>
      </w:r>
    </w:p>
    <w:p>
      <w:pPr>
        <w:spacing w:line="460" w:lineRule="exact"/>
        <w:rPr>
          <w:rFonts w:hint="eastAsia" w:ascii="宋体" w:hAnsi="宋体" w:eastAsia="宋体" w:cs="宋体"/>
          <w:color w:val="auto"/>
          <w:sz w:val="24"/>
          <w:szCs w:val="24"/>
          <w:highlight w:val="none"/>
        </w:rPr>
      </w:pPr>
    </w:p>
    <w:p>
      <w:pPr>
        <w:pStyle w:val="12"/>
        <w:spacing w:line="460" w:lineRule="exact"/>
        <w:rPr>
          <w:rFonts w:hint="eastAsia" w:ascii="宋体" w:hAnsi="宋体" w:eastAsia="宋体" w:cs="宋体"/>
          <w:color w:val="auto"/>
          <w:highlight w:val="none"/>
        </w:rPr>
      </w:pPr>
    </w:p>
    <w:p>
      <w:pPr>
        <w:pStyle w:val="15"/>
        <w:spacing w:line="460" w:lineRule="exact"/>
        <w:ind w:firstLine="482" w:firstLineChars="20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技术部分</w:t>
      </w:r>
    </w:p>
    <w:p>
      <w:pPr>
        <w:pStyle w:val="15"/>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一、技术方案</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二、投标人服务承诺</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三、用于本项目人员简历表</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2"/>
        <w:rPr>
          <w:rFonts w:hint="eastAsia" w:ascii="宋体" w:hAnsi="宋体" w:eastAsia="宋体" w:cs="宋体"/>
          <w:color w:val="auto"/>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(商务部分)</w:t>
      </w:r>
    </w:p>
    <w:p>
      <w:pPr>
        <w:pStyle w:val="15"/>
        <w:ind w:firstLine="562" w:firstLineChars="200"/>
        <w:jc w:val="center"/>
        <w:rPr>
          <w:rFonts w:hint="eastAsia" w:ascii="宋体" w:hAnsi="宋体" w:eastAsia="宋体" w:cs="宋体"/>
          <w:b/>
          <w:bCs/>
          <w:color w:val="auto"/>
          <w:sz w:val="28"/>
          <w:szCs w:val="28"/>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5"/>
        <w:spacing w:line="460" w:lineRule="exac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一、投标函</w:t>
      </w:r>
    </w:p>
    <w:p>
      <w:pPr>
        <w:pStyle w:val="15"/>
        <w:spacing w:line="46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 标 函</w:t>
      </w:r>
    </w:p>
    <w:p>
      <w:pPr>
        <w:pStyle w:val="15"/>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致____________(采购代理机构)：</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根据________(项目名称)(项目编号：________)的投标邀请，________(姓名、职务)代表投标人________(投标人名称、地址)参加本项目招标的有关活动。据此函，作如下承诺：</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1.同意在本项目招标文件中规定的开标日起______天遵守本投标文件中的承诺，且在期满之前均具有约束力。</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(5)参加此项采购活动前3年内，在经营活动中没有重大违法记录。</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3.具备本项目招标文件中规定的其他资格条件。</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4.提供投标人须知规定的全部投标文件，包括投标文件正本______份，副本______份，电子文档______份，开标一览表______份。</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5.已详细审阅全部招标文件(包括招标文件澄清函)，理解投标人须知的所有条款。</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6.完全理解贵方“最低报价不能作为中标的保证”的规定。</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7.接受招标文件中全部合同条款，且无任何异议；保证忠实地执行双方所签订的合同，并承担合同规定的责任和义务。</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8.完全满足和响应招标文件中的各项商务和技术要求，若有偏差，已在投标文件中明确说明。</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9.如果在开标后规定的投标有效期内撤回投标，贵方可不予退还我方的投标保证金。</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10.愿意提供任何与投标有关的数据、情况和技术资料等。</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11.我方已详细审核全部投标文件、参考资料及有关附件，确认无误。</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12.对本次招标内容及与本项目有关的知识产权、技术资料、商业秘密及相关信息保密。</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13.与采购人和采购代理机构无任何的隶属关系或者其他利害关系。</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附件1－1：法定代表人身份证明复印件(法定代表人参加投标)</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附件1－2：法定代表人授权书(授权代表参加投标)</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附件1－3：授权委托书(自然人提供)</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投标人地址：____________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法定代表人或投标人代表(签字或盖章)：____________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5"/>
        <w:spacing w:line="460" w:lineRule="exact"/>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pStyle w:val="15"/>
        <w:spacing w:line="460" w:lineRule="exact"/>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附件1－1  法定代表人身份证明复印件(法定代表人参加投标的)</w:t>
      </w:r>
    </w:p>
    <w:p>
      <w:pPr>
        <w:pStyle w:val="15"/>
        <w:spacing w:line="460" w:lineRule="exact"/>
        <w:ind w:firstLine="480" w:firstLineChars="200"/>
        <w:rPr>
          <w:rFonts w:hint="eastAsia" w:ascii="宋体" w:hAnsi="宋体" w:eastAsia="宋体" w:cs="宋体"/>
          <w:color w:val="auto"/>
          <w:sz w:val="24"/>
          <w:szCs w:val="24"/>
          <w:highlight w:val="none"/>
        </w:rPr>
      </w:pPr>
    </w:p>
    <w:tbl>
      <w:tblPr>
        <w:tblStyle w:val="23"/>
        <w:tblW w:w="89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5" w:hRule="atLeast"/>
          <w:jc w:val="center"/>
        </w:trPr>
        <w:tc>
          <w:tcPr>
            <w:tcW w:w="8909" w:type="dxa"/>
            <w:tcBorders>
              <w:top w:val="single" w:color="auto" w:sz="4" w:space="0"/>
              <w:bottom w:val="single" w:color="auto" w:sz="4" w:space="0"/>
            </w:tcBorders>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tc>
      </w:tr>
    </w:tbl>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pStyle w:val="15"/>
        <w:spacing w:line="460" w:lineRule="exact"/>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附件1－2  法定代表人授权委托书(授权代表参加投标的)</w:t>
      </w:r>
    </w:p>
    <w:p>
      <w:pPr>
        <w:pStyle w:val="15"/>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法定代表人授权委托书(格式一)(适用于法人投标)</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____________(投标人名称)的法定代表人________(姓名、职务)授权________(投标人代表姓名、职务)为本公司的投标人代表，就________(项目名称)投标及相关事务代表本公司处理与之有关的一切事务。</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委托期限：____________________。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本授权书于______年____月____日签字生效，特此声明。</w:t>
      </w:r>
    </w:p>
    <w:p>
      <w:pPr>
        <w:pStyle w:val="15"/>
        <w:spacing w:line="460" w:lineRule="exact"/>
        <w:ind w:firstLine="480" w:firstLineChars="200"/>
        <w:rPr>
          <w:rFonts w:hint="eastAsia" w:ascii="宋体" w:hAnsi="宋体" w:eastAsia="宋体" w:cs="宋体"/>
          <w:color w:val="auto"/>
          <w:sz w:val="24"/>
          <w:szCs w:val="24"/>
          <w:highlight w:val="none"/>
        </w:rPr>
      </w:pPr>
    </w:p>
    <w:tbl>
      <w:tblPr>
        <w:tblStyle w:val="23"/>
        <w:tblW w:w="6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6" w:hRule="atLeast"/>
          <w:jc w:val="center"/>
        </w:trPr>
        <w:tc>
          <w:tcPr>
            <w:tcW w:w="6820" w:type="dxa"/>
            <w:tcBorders>
              <w:top w:val="single" w:color="auto" w:sz="4" w:space="0"/>
              <w:bottom w:val="single" w:color="auto" w:sz="4" w:space="0"/>
            </w:tcBorders>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法定代表人身份证明复印件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2" w:hRule="atLeast"/>
          <w:jc w:val="center"/>
        </w:trPr>
        <w:tc>
          <w:tcPr>
            <w:tcW w:w="6820" w:type="dxa"/>
            <w:tcBorders>
              <w:top w:val="single" w:color="auto" w:sz="4" w:space="0"/>
              <w:bottom w:val="single" w:color="auto" w:sz="4" w:space="0"/>
            </w:tcBorders>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授权代表身份证明复印件</w:t>
            </w:r>
          </w:p>
        </w:tc>
      </w:tr>
    </w:tbl>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法定代表人(签字或盖章)：____________________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授权代表(签字或盖章)：____________________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说明：授权用投标专用章的，与公章具有相同法律效力。</w:t>
      </w:r>
    </w:p>
    <w:p>
      <w:pPr>
        <w:pStyle w:val="15"/>
        <w:spacing w:line="460" w:lineRule="exact"/>
        <w:rPr>
          <w:rFonts w:hint="eastAsia" w:ascii="宋体" w:hAnsi="宋体" w:eastAsia="宋体" w:cs="宋体"/>
          <w:color w:val="auto"/>
          <w:sz w:val="24"/>
          <w:szCs w:val="24"/>
          <w:highlight w:val="none"/>
        </w:rPr>
      </w:pPr>
    </w:p>
    <w:p>
      <w:pPr>
        <w:pStyle w:val="15"/>
        <w:spacing w:line="460" w:lineRule="exact"/>
        <w:rPr>
          <w:rFonts w:hint="eastAsia" w:ascii="宋体" w:hAnsi="宋体" w:eastAsia="宋体" w:cs="宋体"/>
          <w:b/>
          <w:bCs/>
          <w:color w:val="auto"/>
          <w:sz w:val="24"/>
          <w:szCs w:val="24"/>
          <w:highlight w:val="none"/>
        </w:rPr>
      </w:pPr>
    </w:p>
    <w:p>
      <w:pPr>
        <w:rPr>
          <w:rFonts w:hint="eastAsia" w:ascii="宋体" w:hAnsi="宋体" w:eastAsia="宋体" w:cs="宋体"/>
          <w:color w:val="auto"/>
          <w:highlight w:val="none"/>
        </w:rPr>
      </w:pPr>
    </w:p>
    <w:p>
      <w:pPr>
        <w:pStyle w:val="15"/>
        <w:spacing w:line="460" w:lineRule="exact"/>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附件1－3  授权委托书(格式二)(适用于自然人投标)</w:t>
      </w:r>
    </w:p>
    <w:p>
      <w:pPr>
        <w:pStyle w:val="15"/>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我________(姓名)系自然人，现授权委托____________(姓名)以本人名义参加____________(项目名称)的投标活动，并代表本人全权办理针对上述项目的投标、签约等具体事务和签署相关文件。</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pStyle w:val="15"/>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二、开标一览表</w:t>
      </w:r>
    </w:p>
    <w:p>
      <w:pPr>
        <w:rPr>
          <w:rFonts w:hint="eastAsia" w:ascii="宋体" w:hAnsi="宋体" w:eastAsia="宋体" w:cs="宋体"/>
          <w:color w:val="auto"/>
          <w:highlight w:val="none"/>
        </w:rPr>
      </w:pPr>
    </w:p>
    <w:p>
      <w:pPr>
        <w:pStyle w:val="1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开标一览表</w:t>
      </w:r>
    </w:p>
    <w:tbl>
      <w:tblPr>
        <w:tblStyle w:val="23"/>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488"/>
        <w:gridCol w:w="2409"/>
        <w:gridCol w:w="1313"/>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56"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409" w:type="dxa"/>
            <w:vAlign w:val="center"/>
          </w:tcPr>
          <w:p>
            <w:pPr>
              <w:pStyle w:val="15"/>
              <w:jc w:val="center"/>
              <w:rPr>
                <w:rFonts w:hint="eastAsia" w:ascii="宋体" w:hAnsi="宋体" w:eastAsia="宋体" w:cs="宋体"/>
                <w:color w:val="auto"/>
                <w:sz w:val="24"/>
                <w:szCs w:val="24"/>
                <w:highlight w:val="none"/>
              </w:rPr>
            </w:pPr>
          </w:p>
        </w:tc>
        <w:tc>
          <w:tcPr>
            <w:tcW w:w="131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1834"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056"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8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投标总价（元）</w:t>
            </w:r>
          </w:p>
        </w:tc>
        <w:tc>
          <w:tcPr>
            <w:tcW w:w="5556" w:type="dxa"/>
            <w:gridSpan w:val="3"/>
            <w:vAlign w:val="center"/>
          </w:tcPr>
          <w:p>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p>
          <w:p>
            <w:pPr>
              <w:pStyle w:val="15"/>
              <w:ind w:firstLine="960" w:firstLineChars="400"/>
              <w:rPr>
                <w:rFonts w:hint="eastAsia" w:ascii="宋体" w:hAnsi="宋体" w:eastAsia="宋体" w:cs="宋体"/>
                <w:color w:val="auto"/>
                <w:sz w:val="24"/>
                <w:szCs w:val="24"/>
                <w:highlight w:val="none"/>
              </w:rPr>
            </w:pPr>
          </w:p>
          <w:p>
            <w:pPr>
              <w:pStyle w:val="15"/>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056"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8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5556" w:type="dxa"/>
            <w:gridSpan w:val="3"/>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56"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48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556" w:type="dxa"/>
            <w:gridSpan w:val="3"/>
            <w:vAlign w:val="center"/>
          </w:tcPr>
          <w:p>
            <w:pPr>
              <w:pStyle w:val="15"/>
              <w:jc w:val="center"/>
              <w:rPr>
                <w:rFonts w:hint="eastAsia" w:ascii="宋体" w:hAnsi="宋体" w:eastAsia="宋体" w:cs="宋体"/>
                <w:color w:val="auto"/>
                <w:sz w:val="24"/>
                <w:szCs w:val="24"/>
                <w:highlight w:val="none"/>
              </w:rPr>
            </w:pPr>
          </w:p>
        </w:tc>
      </w:tr>
    </w:tbl>
    <w:p>
      <w:pPr>
        <w:pStyle w:val="15"/>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注：本报价为固定总价，供应商为完成本项目所需的全部费用（产品供应费、运输费（含保险费）、安装调试费、验收费、税金及其它一切费用。）均应计入报价中。</w:t>
      </w: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说明：授权用投标专用章的，与公章具有相同法律效力。</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三、分项价格表</w:t>
      </w:r>
    </w:p>
    <w:p>
      <w:pPr>
        <w:pStyle w:val="15"/>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分项价格表</w:t>
      </w:r>
    </w:p>
    <w:p>
      <w:pPr>
        <w:pStyle w:val="1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p>
    <w:p>
      <w:pPr>
        <w:pStyle w:val="15"/>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金额单位：元</w:t>
      </w:r>
    </w:p>
    <w:tbl>
      <w:tblPr>
        <w:tblStyle w:val="23"/>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954"/>
        <w:gridCol w:w="953"/>
        <w:gridCol w:w="954"/>
        <w:gridCol w:w="954"/>
        <w:gridCol w:w="953"/>
        <w:gridCol w:w="954"/>
        <w:gridCol w:w="819"/>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95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54"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5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954"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w:t>
            </w:r>
          </w:p>
        </w:tc>
        <w:tc>
          <w:tcPr>
            <w:tcW w:w="954"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95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54"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19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5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54" w:type="dxa"/>
            <w:vAlign w:val="center"/>
          </w:tcPr>
          <w:p>
            <w:pPr>
              <w:pStyle w:val="15"/>
              <w:jc w:val="center"/>
              <w:rPr>
                <w:rFonts w:hint="eastAsia" w:ascii="宋体" w:hAnsi="宋体" w:eastAsia="宋体" w:cs="宋体"/>
                <w:color w:val="auto"/>
                <w:sz w:val="24"/>
                <w:szCs w:val="24"/>
                <w:highlight w:val="none"/>
              </w:rPr>
            </w:pPr>
          </w:p>
        </w:tc>
        <w:tc>
          <w:tcPr>
            <w:tcW w:w="953"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953"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819" w:type="dxa"/>
            <w:vAlign w:val="center"/>
          </w:tcPr>
          <w:p>
            <w:pPr>
              <w:pStyle w:val="15"/>
              <w:jc w:val="center"/>
              <w:rPr>
                <w:rFonts w:hint="eastAsia" w:ascii="宋体" w:hAnsi="宋体" w:eastAsia="宋体" w:cs="宋体"/>
                <w:color w:val="auto"/>
                <w:sz w:val="24"/>
                <w:szCs w:val="24"/>
                <w:highlight w:val="none"/>
              </w:rPr>
            </w:pPr>
          </w:p>
        </w:tc>
        <w:tc>
          <w:tcPr>
            <w:tcW w:w="1193"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5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54" w:type="dxa"/>
            <w:vAlign w:val="center"/>
          </w:tcPr>
          <w:p>
            <w:pPr>
              <w:pStyle w:val="15"/>
              <w:jc w:val="center"/>
              <w:rPr>
                <w:rFonts w:hint="eastAsia" w:ascii="宋体" w:hAnsi="宋体" w:eastAsia="宋体" w:cs="宋体"/>
                <w:color w:val="auto"/>
                <w:sz w:val="24"/>
                <w:szCs w:val="24"/>
                <w:highlight w:val="none"/>
              </w:rPr>
            </w:pPr>
          </w:p>
        </w:tc>
        <w:tc>
          <w:tcPr>
            <w:tcW w:w="953"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953"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819" w:type="dxa"/>
            <w:vAlign w:val="center"/>
          </w:tcPr>
          <w:p>
            <w:pPr>
              <w:pStyle w:val="15"/>
              <w:jc w:val="center"/>
              <w:rPr>
                <w:rFonts w:hint="eastAsia" w:ascii="宋体" w:hAnsi="宋体" w:eastAsia="宋体" w:cs="宋体"/>
                <w:color w:val="auto"/>
                <w:sz w:val="24"/>
                <w:szCs w:val="24"/>
                <w:highlight w:val="none"/>
              </w:rPr>
            </w:pPr>
          </w:p>
        </w:tc>
        <w:tc>
          <w:tcPr>
            <w:tcW w:w="1193"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5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54" w:type="dxa"/>
            <w:vAlign w:val="center"/>
          </w:tcPr>
          <w:p>
            <w:pPr>
              <w:pStyle w:val="15"/>
              <w:jc w:val="center"/>
              <w:rPr>
                <w:rFonts w:hint="eastAsia" w:ascii="宋体" w:hAnsi="宋体" w:eastAsia="宋体" w:cs="宋体"/>
                <w:color w:val="auto"/>
                <w:sz w:val="24"/>
                <w:szCs w:val="24"/>
                <w:highlight w:val="none"/>
              </w:rPr>
            </w:pPr>
          </w:p>
        </w:tc>
        <w:tc>
          <w:tcPr>
            <w:tcW w:w="953"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953"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819" w:type="dxa"/>
            <w:vAlign w:val="center"/>
          </w:tcPr>
          <w:p>
            <w:pPr>
              <w:pStyle w:val="15"/>
              <w:jc w:val="center"/>
              <w:rPr>
                <w:rFonts w:hint="eastAsia" w:ascii="宋体" w:hAnsi="宋体" w:eastAsia="宋体" w:cs="宋体"/>
                <w:color w:val="auto"/>
                <w:sz w:val="24"/>
                <w:szCs w:val="24"/>
                <w:highlight w:val="none"/>
              </w:rPr>
            </w:pPr>
          </w:p>
        </w:tc>
        <w:tc>
          <w:tcPr>
            <w:tcW w:w="1193"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5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54" w:type="dxa"/>
            <w:vAlign w:val="center"/>
          </w:tcPr>
          <w:p>
            <w:pPr>
              <w:pStyle w:val="15"/>
              <w:jc w:val="center"/>
              <w:rPr>
                <w:rFonts w:hint="eastAsia" w:ascii="宋体" w:hAnsi="宋体" w:eastAsia="宋体" w:cs="宋体"/>
                <w:color w:val="auto"/>
                <w:sz w:val="24"/>
                <w:szCs w:val="24"/>
                <w:highlight w:val="none"/>
              </w:rPr>
            </w:pPr>
          </w:p>
        </w:tc>
        <w:tc>
          <w:tcPr>
            <w:tcW w:w="953"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953" w:type="dxa"/>
            <w:vAlign w:val="center"/>
          </w:tcPr>
          <w:p>
            <w:pPr>
              <w:pStyle w:val="15"/>
              <w:jc w:val="center"/>
              <w:rPr>
                <w:rFonts w:hint="eastAsia" w:ascii="宋体" w:hAnsi="宋体" w:eastAsia="宋体" w:cs="宋体"/>
                <w:color w:val="auto"/>
                <w:sz w:val="24"/>
                <w:szCs w:val="24"/>
                <w:highlight w:val="none"/>
              </w:rPr>
            </w:pPr>
          </w:p>
        </w:tc>
        <w:tc>
          <w:tcPr>
            <w:tcW w:w="954" w:type="dxa"/>
            <w:vAlign w:val="center"/>
          </w:tcPr>
          <w:p>
            <w:pPr>
              <w:pStyle w:val="15"/>
              <w:jc w:val="center"/>
              <w:rPr>
                <w:rFonts w:hint="eastAsia" w:ascii="宋体" w:hAnsi="宋体" w:eastAsia="宋体" w:cs="宋体"/>
                <w:color w:val="auto"/>
                <w:sz w:val="24"/>
                <w:szCs w:val="24"/>
                <w:highlight w:val="none"/>
              </w:rPr>
            </w:pPr>
          </w:p>
        </w:tc>
        <w:tc>
          <w:tcPr>
            <w:tcW w:w="819" w:type="dxa"/>
            <w:vAlign w:val="center"/>
          </w:tcPr>
          <w:p>
            <w:pPr>
              <w:pStyle w:val="15"/>
              <w:jc w:val="center"/>
              <w:rPr>
                <w:rFonts w:hint="eastAsia" w:ascii="宋体" w:hAnsi="宋体" w:eastAsia="宋体" w:cs="宋体"/>
                <w:color w:val="auto"/>
                <w:sz w:val="24"/>
                <w:szCs w:val="24"/>
                <w:highlight w:val="none"/>
              </w:rPr>
            </w:pPr>
          </w:p>
        </w:tc>
        <w:tc>
          <w:tcPr>
            <w:tcW w:w="1193"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53"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总费用总计</w:t>
            </w:r>
          </w:p>
        </w:tc>
        <w:tc>
          <w:tcPr>
            <w:tcW w:w="7734" w:type="dxa"/>
            <w:gridSpan w:val="8"/>
            <w:vAlign w:val="center"/>
          </w:tcPr>
          <w:p>
            <w:pPr>
              <w:pStyle w:val="15"/>
              <w:jc w:val="center"/>
              <w:rPr>
                <w:rFonts w:hint="eastAsia" w:ascii="宋体" w:hAnsi="宋体" w:eastAsia="宋体" w:cs="宋体"/>
                <w:color w:val="auto"/>
                <w:sz w:val="24"/>
                <w:szCs w:val="24"/>
                <w:highlight w:val="none"/>
              </w:rPr>
            </w:pPr>
          </w:p>
        </w:tc>
      </w:tr>
    </w:tbl>
    <w:p>
      <w:pPr>
        <w:pStyle w:val="15"/>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供应商名称(盖公章)：____________________</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法定代表人或授权代表(签字或盖章)：____________________</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说明：授权用投标专用章的，与公章具有相同法律效力。</w:t>
      </w: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15"/>
        <w:rPr>
          <w:rFonts w:hint="eastAsia" w:ascii="宋体" w:hAnsi="宋体" w:eastAsia="宋体" w:cs="宋体"/>
          <w:b/>
          <w:bCs/>
          <w:color w:val="auto"/>
          <w:sz w:val="24"/>
          <w:szCs w:val="24"/>
          <w:highlight w:val="none"/>
        </w:rPr>
      </w:pPr>
    </w:p>
    <w:p>
      <w:pPr>
        <w:pStyle w:val="15"/>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pStyle w:val="15"/>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四、商务条款偏离表</w:t>
      </w:r>
    </w:p>
    <w:p>
      <w:pPr>
        <w:pStyle w:val="15"/>
        <w:ind w:firstLine="480" w:firstLineChars="200"/>
        <w:rPr>
          <w:rFonts w:hint="eastAsia" w:ascii="宋体" w:hAnsi="宋体" w:eastAsia="宋体" w:cs="宋体"/>
          <w:color w:val="auto"/>
          <w:sz w:val="24"/>
          <w:szCs w:val="24"/>
          <w:highlight w:val="none"/>
        </w:rPr>
      </w:pPr>
    </w:p>
    <w:p>
      <w:pPr>
        <w:pStyle w:val="15"/>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商务条款偏离表</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w:t>
      </w:r>
    </w:p>
    <w:tbl>
      <w:tblPr>
        <w:tblStyle w:val="23"/>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981"/>
        <w:gridCol w:w="2039"/>
        <w:gridCol w:w="2400"/>
        <w:gridCol w:w="136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8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81"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招标文件条目号</w:t>
            </w:r>
          </w:p>
        </w:tc>
        <w:tc>
          <w:tcPr>
            <w:tcW w:w="203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400"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360"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780"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pPr>
              <w:pStyle w:val="15"/>
              <w:jc w:val="center"/>
              <w:rPr>
                <w:rFonts w:hint="eastAsia" w:ascii="宋体" w:hAnsi="宋体" w:eastAsia="宋体" w:cs="宋体"/>
                <w:color w:val="auto"/>
                <w:sz w:val="24"/>
                <w:szCs w:val="24"/>
                <w:highlight w:val="none"/>
              </w:rPr>
            </w:pPr>
          </w:p>
        </w:tc>
        <w:tc>
          <w:tcPr>
            <w:tcW w:w="1981" w:type="dxa"/>
            <w:vAlign w:val="center"/>
          </w:tcPr>
          <w:p>
            <w:pPr>
              <w:pStyle w:val="15"/>
              <w:jc w:val="center"/>
              <w:rPr>
                <w:rFonts w:hint="eastAsia" w:ascii="宋体" w:hAnsi="宋体" w:eastAsia="宋体" w:cs="宋体"/>
                <w:color w:val="auto"/>
                <w:sz w:val="24"/>
                <w:szCs w:val="24"/>
                <w:highlight w:val="none"/>
              </w:rPr>
            </w:pPr>
          </w:p>
        </w:tc>
        <w:tc>
          <w:tcPr>
            <w:tcW w:w="203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360" w:type="dxa"/>
            <w:vAlign w:val="center"/>
          </w:tcPr>
          <w:p>
            <w:pPr>
              <w:pStyle w:val="15"/>
              <w:jc w:val="center"/>
              <w:rPr>
                <w:rFonts w:hint="eastAsia" w:ascii="宋体" w:hAnsi="宋体" w:eastAsia="宋体" w:cs="宋体"/>
                <w:color w:val="auto"/>
                <w:sz w:val="24"/>
                <w:szCs w:val="24"/>
                <w:highlight w:val="none"/>
              </w:rPr>
            </w:pPr>
          </w:p>
        </w:tc>
        <w:tc>
          <w:tcPr>
            <w:tcW w:w="780"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pPr>
              <w:pStyle w:val="15"/>
              <w:jc w:val="center"/>
              <w:rPr>
                <w:rFonts w:hint="eastAsia" w:ascii="宋体" w:hAnsi="宋体" w:eastAsia="宋体" w:cs="宋体"/>
                <w:color w:val="auto"/>
                <w:sz w:val="24"/>
                <w:szCs w:val="24"/>
                <w:highlight w:val="none"/>
              </w:rPr>
            </w:pPr>
          </w:p>
        </w:tc>
        <w:tc>
          <w:tcPr>
            <w:tcW w:w="1981" w:type="dxa"/>
            <w:vAlign w:val="center"/>
          </w:tcPr>
          <w:p>
            <w:pPr>
              <w:pStyle w:val="15"/>
              <w:jc w:val="center"/>
              <w:rPr>
                <w:rFonts w:hint="eastAsia" w:ascii="宋体" w:hAnsi="宋体" w:eastAsia="宋体" w:cs="宋体"/>
                <w:color w:val="auto"/>
                <w:sz w:val="24"/>
                <w:szCs w:val="24"/>
                <w:highlight w:val="none"/>
              </w:rPr>
            </w:pPr>
          </w:p>
        </w:tc>
        <w:tc>
          <w:tcPr>
            <w:tcW w:w="203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360" w:type="dxa"/>
            <w:vAlign w:val="center"/>
          </w:tcPr>
          <w:p>
            <w:pPr>
              <w:pStyle w:val="15"/>
              <w:jc w:val="center"/>
              <w:rPr>
                <w:rFonts w:hint="eastAsia" w:ascii="宋体" w:hAnsi="宋体" w:eastAsia="宋体" w:cs="宋体"/>
                <w:color w:val="auto"/>
                <w:sz w:val="24"/>
                <w:szCs w:val="24"/>
                <w:highlight w:val="none"/>
              </w:rPr>
            </w:pPr>
          </w:p>
        </w:tc>
        <w:tc>
          <w:tcPr>
            <w:tcW w:w="780"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pPr>
              <w:pStyle w:val="15"/>
              <w:jc w:val="center"/>
              <w:rPr>
                <w:rFonts w:hint="eastAsia" w:ascii="宋体" w:hAnsi="宋体" w:eastAsia="宋体" w:cs="宋体"/>
                <w:color w:val="auto"/>
                <w:sz w:val="24"/>
                <w:szCs w:val="24"/>
                <w:highlight w:val="none"/>
              </w:rPr>
            </w:pPr>
          </w:p>
        </w:tc>
        <w:tc>
          <w:tcPr>
            <w:tcW w:w="1981" w:type="dxa"/>
            <w:vAlign w:val="center"/>
          </w:tcPr>
          <w:p>
            <w:pPr>
              <w:pStyle w:val="15"/>
              <w:jc w:val="center"/>
              <w:rPr>
                <w:rFonts w:hint="eastAsia" w:ascii="宋体" w:hAnsi="宋体" w:eastAsia="宋体" w:cs="宋体"/>
                <w:color w:val="auto"/>
                <w:sz w:val="24"/>
                <w:szCs w:val="24"/>
                <w:highlight w:val="none"/>
              </w:rPr>
            </w:pPr>
          </w:p>
        </w:tc>
        <w:tc>
          <w:tcPr>
            <w:tcW w:w="203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360" w:type="dxa"/>
            <w:vAlign w:val="center"/>
          </w:tcPr>
          <w:p>
            <w:pPr>
              <w:pStyle w:val="15"/>
              <w:jc w:val="center"/>
              <w:rPr>
                <w:rFonts w:hint="eastAsia" w:ascii="宋体" w:hAnsi="宋体" w:eastAsia="宋体" w:cs="宋体"/>
                <w:color w:val="auto"/>
                <w:sz w:val="24"/>
                <w:szCs w:val="24"/>
                <w:highlight w:val="none"/>
              </w:rPr>
            </w:pPr>
          </w:p>
        </w:tc>
        <w:tc>
          <w:tcPr>
            <w:tcW w:w="780"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pPr>
              <w:pStyle w:val="15"/>
              <w:jc w:val="center"/>
              <w:rPr>
                <w:rFonts w:hint="eastAsia" w:ascii="宋体" w:hAnsi="宋体" w:eastAsia="宋体" w:cs="宋体"/>
                <w:color w:val="auto"/>
                <w:sz w:val="24"/>
                <w:szCs w:val="24"/>
                <w:highlight w:val="none"/>
              </w:rPr>
            </w:pPr>
          </w:p>
        </w:tc>
        <w:tc>
          <w:tcPr>
            <w:tcW w:w="1981" w:type="dxa"/>
            <w:vAlign w:val="center"/>
          </w:tcPr>
          <w:p>
            <w:pPr>
              <w:pStyle w:val="15"/>
              <w:jc w:val="center"/>
              <w:rPr>
                <w:rFonts w:hint="eastAsia" w:ascii="宋体" w:hAnsi="宋体" w:eastAsia="宋体" w:cs="宋体"/>
                <w:color w:val="auto"/>
                <w:sz w:val="24"/>
                <w:szCs w:val="24"/>
                <w:highlight w:val="none"/>
              </w:rPr>
            </w:pPr>
          </w:p>
        </w:tc>
        <w:tc>
          <w:tcPr>
            <w:tcW w:w="203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360" w:type="dxa"/>
            <w:vAlign w:val="center"/>
          </w:tcPr>
          <w:p>
            <w:pPr>
              <w:pStyle w:val="15"/>
              <w:jc w:val="center"/>
              <w:rPr>
                <w:rFonts w:hint="eastAsia" w:ascii="宋体" w:hAnsi="宋体" w:eastAsia="宋体" w:cs="宋体"/>
                <w:color w:val="auto"/>
                <w:sz w:val="24"/>
                <w:szCs w:val="24"/>
                <w:highlight w:val="none"/>
              </w:rPr>
            </w:pPr>
          </w:p>
        </w:tc>
        <w:tc>
          <w:tcPr>
            <w:tcW w:w="780"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8" w:type="dxa"/>
            <w:vAlign w:val="center"/>
          </w:tcPr>
          <w:p>
            <w:pPr>
              <w:pStyle w:val="15"/>
              <w:jc w:val="center"/>
              <w:rPr>
                <w:rFonts w:hint="eastAsia" w:ascii="宋体" w:hAnsi="宋体" w:eastAsia="宋体" w:cs="宋体"/>
                <w:color w:val="auto"/>
                <w:sz w:val="24"/>
                <w:szCs w:val="24"/>
                <w:highlight w:val="none"/>
              </w:rPr>
            </w:pPr>
          </w:p>
        </w:tc>
        <w:tc>
          <w:tcPr>
            <w:tcW w:w="1981" w:type="dxa"/>
            <w:vAlign w:val="center"/>
          </w:tcPr>
          <w:p>
            <w:pPr>
              <w:pStyle w:val="15"/>
              <w:jc w:val="center"/>
              <w:rPr>
                <w:rFonts w:hint="eastAsia" w:ascii="宋体" w:hAnsi="宋体" w:eastAsia="宋体" w:cs="宋体"/>
                <w:color w:val="auto"/>
                <w:sz w:val="24"/>
                <w:szCs w:val="24"/>
                <w:highlight w:val="none"/>
              </w:rPr>
            </w:pPr>
          </w:p>
        </w:tc>
        <w:tc>
          <w:tcPr>
            <w:tcW w:w="203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360" w:type="dxa"/>
            <w:vAlign w:val="center"/>
          </w:tcPr>
          <w:p>
            <w:pPr>
              <w:pStyle w:val="15"/>
              <w:jc w:val="center"/>
              <w:rPr>
                <w:rFonts w:hint="eastAsia" w:ascii="宋体" w:hAnsi="宋体" w:eastAsia="宋体" w:cs="宋体"/>
                <w:color w:val="auto"/>
                <w:sz w:val="24"/>
                <w:szCs w:val="24"/>
                <w:highlight w:val="none"/>
              </w:rPr>
            </w:pPr>
          </w:p>
        </w:tc>
        <w:tc>
          <w:tcPr>
            <w:tcW w:w="780"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78" w:type="dxa"/>
            <w:vAlign w:val="center"/>
          </w:tcPr>
          <w:p>
            <w:pPr>
              <w:pStyle w:val="15"/>
              <w:jc w:val="center"/>
              <w:rPr>
                <w:rFonts w:hint="eastAsia" w:ascii="宋体" w:hAnsi="宋体" w:eastAsia="宋体" w:cs="宋体"/>
                <w:color w:val="auto"/>
                <w:sz w:val="24"/>
                <w:szCs w:val="24"/>
                <w:highlight w:val="none"/>
              </w:rPr>
            </w:pPr>
          </w:p>
        </w:tc>
        <w:tc>
          <w:tcPr>
            <w:tcW w:w="1981" w:type="dxa"/>
            <w:vAlign w:val="center"/>
          </w:tcPr>
          <w:p>
            <w:pPr>
              <w:pStyle w:val="15"/>
              <w:jc w:val="center"/>
              <w:rPr>
                <w:rFonts w:hint="eastAsia" w:ascii="宋体" w:hAnsi="宋体" w:eastAsia="宋体" w:cs="宋体"/>
                <w:color w:val="auto"/>
                <w:sz w:val="24"/>
                <w:szCs w:val="24"/>
                <w:highlight w:val="none"/>
              </w:rPr>
            </w:pPr>
          </w:p>
        </w:tc>
        <w:tc>
          <w:tcPr>
            <w:tcW w:w="203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360" w:type="dxa"/>
            <w:vAlign w:val="center"/>
          </w:tcPr>
          <w:p>
            <w:pPr>
              <w:pStyle w:val="15"/>
              <w:jc w:val="center"/>
              <w:rPr>
                <w:rFonts w:hint="eastAsia" w:ascii="宋体" w:hAnsi="宋体" w:eastAsia="宋体" w:cs="宋体"/>
                <w:color w:val="auto"/>
                <w:sz w:val="24"/>
                <w:szCs w:val="24"/>
                <w:highlight w:val="none"/>
              </w:rPr>
            </w:pPr>
          </w:p>
        </w:tc>
        <w:tc>
          <w:tcPr>
            <w:tcW w:w="780" w:type="dxa"/>
            <w:vAlign w:val="center"/>
          </w:tcPr>
          <w:p>
            <w:pPr>
              <w:pStyle w:val="15"/>
              <w:jc w:val="center"/>
              <w:rPr>
                <w:rFonts w:hint="eastAsia" w:ascii="宋体" w:hAnsi="宋体" w:eastAsia="宋体" w:cs="宋体"/>
                <w:color w:val="auto"/>
                <w:sz w:val="24"/>
                <w:szCs w:val="24"/>
                <w:highlight w:val="none"/>
              </w:rPr>
            </w:pPr>
          </w:p>
        </w:tc>
      </w:tr>
    </w:tbl>
    <w:p>
      <w:pPr>
        <w:pStyle w:val="15"/>
        <w:ind w:firstLine="480" w:firstLineChars="200"/>
        <w:rPr>
          <w:rFonts w:hint="eastAsia" w:ascii="宋体" w:hAnsi="宋体" w:eastAsia="宋体" w:cs="宋体"/>
          <w:color w:val="auto"/>
          <w:sz w:val="24"/>
          <w:szCs w:val="24"/>
          <w:highlight w:val="none"/>
        </w:rPr>
      </w:pPr>
    </w:p>
    <w:p>
      <w:pPr>
        <w:pStyle w:val="19"/>
        <w:spacing w:line="360" w:lineRule="auto"/>
        <w:ind w:left="-206" w:leftChars="-98"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声明：除本偏离表所列的偏离外，其他均完全响应</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文件中的要求。</w:t>
      </w:r>
    </w:p>
    <w:p>
      <w:pPr>
        <w:spacing w:before="10"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注：</w:t>
      </w:r>
      <w:r>
        <w:rPr>
          <w:rFonts w:hint="eastAsia" w:ascii="宋体" w:hAnsi="宋体" w:cs="宋体"/>
          <w:sz w:val="24"/>
        </w:rPr>
        <w:t>根据</w:t>
      </w:r>
      <w:r>
        <w:rPr>
          <w:rFonts w:hint="eastAsia" w:ascii="宋体" w:hAnsi="宋体" w:cs="宋体"/>
          <w:sz w:val="24"/>
          <w:lang w:eastAsia="zh-CN"/>
        </w:rPr>
        <w:t>招标</w:t>
      </w:r>
      <w:r>
        <w:rPr>
          <w:rFonts w:hint="eastAsia" w:ascii="宋体" w:hAnsi="宋体" w:cs="宋体"/>
          <w:sz w:val="24"/>
        </w:rPr>
        <w:t>文件中</w:t>
      </w:r>
      <w:r>
        <w:rPr>
          <w:rFonts w:hint="eastAsia" w:ascii="宋体" w:hAnsi="宋体" w:cs="宋体"/>
          <w:b/>
          <w:bCs/>
          <w:sz w:val="24"/>
        </w:rPr>
        <w:t>“第四部分商务及合同主要条款”中的商务要求</w:t>
      </w:r>
      <w:r>
        <w:rPr>
          <w:rFonts w:hint="eastAsia" w:ascii="宋体" w:hAnsi="宋体" w:cs="宋体"/>
          <w:sz w:val="24"/>
        </w:rPr>
        <w:t>在“响应情况”项中填写“负偏离”或“响应”</w:t>
      </w:r>
      <w:r>
        <w:rPr>
          <w:rFonts w:hint="eastAsia" w:ascii="宋体" w:hAnsi="宋体" w:eastAsia="宋体" w:cs="宋体"/>
          <w:color w:val="auto"/>
          <w:sz w:val="24"/>
          <w:highlight w:val="none"/>
        </w:rPr>
        <w:t>在“响应情况”项中填写“负偏离”或“响应</w:t>
      </w:r>
      <w:r>
        <w:rPr>
          <w:rFonts w:hint="eastAsia" w:ascii="宋体" w:hAnsi="宋体" w:eastAsia="宋体" w:cs="宋体"/>
          <w:b w:val="0"/>
          <w:bCs w:val="0"/>
          <w:color w:val="auto"/>
          <w:sz w:val="24"/>
          <w:highlight w:val="none"/>
        </w:rPr>
        <w:t>”，</w:t>
      </w:r>
      <w:r>
        <w:rPr>
          <w:rFonts w:hint="eastAsia" w:ascii="宋体" w:hAnsi="宋体" w:eastAsia="宋体" w:cs="宋体"/>
          <w:b/>
          <w:bCs/>
          <w:color w:val="auto"/>
          <w:sz w:val="24"/>
          <w:highlight w:val="none"/>
        </w:rPr>
        <w:t>如无偏离，供应商不需要填表，但应声明：“本文件完全响应</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highlight w:val="none"/>
        </w:rPr>
        <w:t>文件所有条款的要求，无偏离。</w:t>
      </w:r>
    </w:p>
    <w:p>
      <w:pPr>
        <w:pStyle w:val="15"/>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p>
    <w:p>
      <w:pPr>
        <w:pStyle w:val="19"/>
        <w:spacing w:line="360" w:lineRule="auto"/>
        <w:ind w:left="-206" w:leftChars="-98"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投标人名称(公章)：____________________</w:t>
      </w:r>
    </w:p>
    <w:p>
      <w:pPr>
        <w:pStyle w:val="19"/>
        <w:spacing w:line="360" w:lineRule="auto"/>
        <w:ind w:left="-206" w:leftChars="-98"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pPr>
        <w:pStyle w:val="19"/>
        <w:spacing w:line="360" w:lineRule="auto"/>
        <w:ind w:left="-206" w:leftChars="-98"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9"/>
        <w:spacing w:line="360" w:lineRule="auto"/>
        <w:ind w:left="-206" w:leftChars="-98" w:firstLine="240" w:firstLineChars="100"/>
        <w:rPr>
          <w:rFonts w:hint="eastAsia" w:ascii="宋体" w:hAnsi="宋体" w:eastAsia="宋体" w:cs="宋体"/>
          <w:color w:val="auto"/>
          <w:sz w:val="24"/>
          <w:szCs w:val="24"/>
          <w:highlight w:val="none"/>
        </w:rPr>
      </w:pPr>
    </w:p>
    <w:p>
      <w:pPr>
        <w:pStyle w:val="19"/>
        <w:spacing w:line="360" w:lineRule="auto"/>
        <w:ind w:left="-206" w:leftChars="-98"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说明：授权用投标专用章的，与公章具有相同法律效力。</w:t>
      </w:r>
    </w:p>
    <w:p>
      <w:pPr>
        <w:pStyle w:val="19"/>
        <w:spacing w:line="360" w:lineRule="auto"/>
        <w:ind w:left="-206" w:leftChars="-98" w:firstLine="240" w:firstLineChars="100"/>
        <w:rPr>
          <w:rFonts w:hint="eastAsia" w:ascii="宋体" w:hAnsi="宋体" w:eastAsia="宋体" w:cs="宋体"/>
          <w:color w:val="auto"/>
          <w:sz w:val="24"/>
          <w:szCs w:val="24"/>
          <w:highlight w:val="none"/>
        </w:rPr>
      </w:pPr>
    </w:p>
    <w:p>
      <w:pPr>
        <w:pStyle w:val="15"/>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、供应商的资格证明材料</w:t>
      </w:r>
    </w:p>
    <w:p>
      <w:pPr>
        <w:pStyle w:val="15"/>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供应商基本情况表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2219"/>
        <w:gridCol w:w="2400"/>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702"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702"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702"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702"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702"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702"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702"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2219"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2400"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702"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702"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702"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27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2219" w:type="dxa"/>
            <w:vAlign w:val="center"/>
          </w:tcPr>
          <w:p>
            <w:pPr>
              <w:pStyle w:val="15"/>
              <w:jc w:val="center"/>
              <w:rPr>
                <w:rFonts w:hint="eastAsia" w:ascii="宋体" w:hAnsi="宋体" w:eastAsia="宋体" w:cs="宋体"/>
                <w:color w:val="auto"/>
                <w:sz w:val="24"/>
                <w:szCs w:val="24"/>
                <w:highlight w:val="none"/>
              </w:rPr>
            </w:pPr>
          </w:p>
        </w:tc>
        <w:tc>
          <w:tcPr>
            <w:tcW w:w="2400" w:type="dxa"/>
            <w:vAlign w:val="center"/>
          </w:tcPr>
          <w:p>
            <w:pPr>
              <w:pStyle w:val="15"/>
              <w:jc w:val="center"/>
              <w:rPr>
                <w:rFonts w:hint="eastAsia" w:ascii="宋体" w:hAnsi="宋体" w:eastAsia="宋体" w:cs="宋体"/>
                <w:color w:val="auto"/>
                <w:sz w:val="24"/>
                <w:szCs w:val="24"/>
                <w:highlight w:val="none"/>
              </w:rPr>
            </w:pPr>
          </w:p>
        </w:tc>
        <w:tc>
          <w:tcPr>
            <w:tcW w:w="1702" w:type="dxa"/>
            <w:vAlign w:val="center"/>
          </w:tcPr>
          <w:p>
            <w:pPr>
              <w:pStyle w:val="15"/>
              <w:jc w:val="center"/>
              <w:rPr>
                <w:rFonts w:hint="eastAsia" w:ascii="宋体" w:hAnsi="宋体" w:eastAsia="宋体" w:cs="宋体"/>
                <w:color w:val="auto"/>
                <w:sz w:val="24"/>
                <w:szCs w:val="24"/>
                <w:highlight w:val="none"/>
              </w:rPr>
            </w:pPr>
          </w:p>
        </w:tc>
      </w:tr>
    </w:tbl>
    <w:p>
      <w:pPr>
        <w:pStyle w:val="15"/>
        <w:ind w:firstLine="480" w:firstLineChars="200"/>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pStyle w:val="15"/>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（1）提供合格有效的法人或者其他组织的营业执照等证明文件或自然人的身份证明；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（2）财务状况报告：提供202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年度的财务审计报告或开标前六个月内其基本存款账户开户银行出具的资信证明；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（3）税收缴纳证明：提供202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月1日至今已缴存的至少一个月的纳税证明或完税证明，依法免税的单位应提供相关证明材料；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（4）社会保障资金缴纳证明：提供20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（5）参加政府采购活动前3年内，在经营活动中没有重大违法记录的书面声明；</w:t>
      </w:r>
      <w:r>
        <w:rPr>
          <w:rFonts w:hint="eastAsia" w:ascii="宋体" w:hAnsi="宋体" w:eastAsia="宋体" w:cs="宋体"/>
          <w:b/>
          <w:bCs/>
          <w:color w:val="auto"/>
          <w:sz w:val="24"/>
          <w:szCs w:val="24"/>
          <w:highlight w:val="none"/>
          <w:lang w:eastAsia="zh-CN"/>
        </w:rPr>
        <w:t>（格式见附件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br w:type="textWrapping"/>
      </w:r>
      <w:r>
        <w:rPr>
          <w:rFonts w:hint="eastAsia" w:ascii="宋体" w:hAnsi="宋体" w:eastAsia="宋体" w:cs="宋体"/>
          <w:color w:val="auto"/>
          <w:sz w:val="24"/>
          <w:szCs w:val="24"/>
          <w:highlight w:val="none"/>
        </w:rPr>
        <w:t>（6）具备履行合同所必需的设备和专业技术能力的证明材料(由供应商根据项目需求提供说明材料或者承诺)；</w:t>
      </w:r>
      <w:r>
        <w:rPr>
          <w:rFonts w:hint="eastAsia" w:ascii="宋体" w:hAnsi="宋体" w:eastAsia="宋体" w:cs="宋体"/>
          <w:b/>
          <w:bCs/>
          <w:color w:val="auto"/>
          <w:sz w:val="24"/>
          <w:szCs w:val="24"/>
          <w:highlight w:val="none"/>
          <w:lang w:eastAsia="zh-CN"/>
        </w:rPr>
        <w:t>（格式见附件</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供应商应授权合法的人员参加投标全过程，其中法定代表人直接参加投标的，须出具法定代表人身份证，并与营业执照上信息一致。法定代表人授权代表参加投标的，须出具法定代表人授权书及授权代表身份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（8）在“信用中国”网站（www.creditchina.gov.cn）和“中国政府采购网”（ccgp.gov.cn）对投标单位信用信息进行查询，如果投标单位被查实在开标前已列入失信被执行人、</w:t>
      </w:r>
      <w:r>
        <w:rPr>
          <w:rFonts w:hint="eastAsia" w:hAnsi="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、政府采购严重违法失信行为记录名单，其投标为无效；（以</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当天代理公司核查为准，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无需提供）</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）投标保证金转账凭证或投标担保函。</w:t>
      </w:r>
    </w:p>
    <w:p>
      <w:pPr>
        <w:pStyle w:val="15"/>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（10）单位负责人为同一人或者存在直接控股、管理关系的不同供应商，不得参加同一合同项下的政府采购活动。</w:t>
      </w:r>
      <w:r>
        <w:rPr>
          <w:rFonts w:hint="eastAsia" w:ascii="宋体" w:hAnsi="宋体" w:eastAsia="宋体" w:cs="宋体"/>
          <w:b/>
          <w:bCs/>
          <w:color w:val="auto"/>
          <w:sz w:val="24"/>
          <w:szCs w:val="24"/>
          <w:highlight w:val="none"/>
          <w:lang w:eastAsia="zh-CN"/>
        </w:rPr>
        <w:t>（格式见附件</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注：以上资格证明文件均需复印件并加盖公章，投标文件中已提供资格的可不重复提供。</w:t>
      </w:r>
    </w:p>
    <w:p>
      <w:pPr>
        <w:pStyle w:val="15"/>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30" w:lineRule="atLeast"/>
        <w:textAlignment w:val="auto"/>
        <w:outlineLvl w:val="9"/>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30" w:lineRule="atLeast"/>
        <w:textAlignment w:val="auto"/>
        <w:outlineLvl w:val="9"/>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30" w:lineRule="atLeast"/>
        <w:textAlignment w:val="auto"/>
        <w:outlineLvl w:val="9"/>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30" w:lineRule="atLeast"/>
        <w:textAlignment w:val="auto"/>
        <w:outlineLvl w:val="9"/>
        <w:rPr>
          <w:rFonts w:hint="eastAsia" w:ascii="宋体" w:hAnsi="宋体" w:eastAsia="宋体" w:cs="宋体"/>
          <w:b/>
          <w:color w:val="auto"/>
          <w:sz w:val="28"/>
          <w:szCs w:val="28"/>
          <w:highlight w:val="none"/>
        </w:rPr>
      </w:pPr>
    </w:p>
    <w:p>
      <w:pPr>
        <w:spacing w:line="430" w:lineRule="atLeas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1</w:t>
      </w:r>
    </w:p>
    <w:p>
      <w:pPr>
        <w:spacing w:line="430" w:lineRule="atLeast"/>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参加政府采购活动前三年内在经营活动中没有重大违法记录的</w:t>
      </w:r>
    </w:p>
    <w:p>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书面声明</w:t>
      </w:r>
    </w:p>
    <w:p>
      <w:pPr>
        <w:widowControl/>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(采购代理机构)</w:t>
      </w:r>
    </w:p>
    <w:p>
      <w:pPr>
        <w:widowControl/>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我单位在参加采购活动前三年内在经营活动中没有政府采购法第二十二条第一款第(五)项所称重大违法记录，包括：</w:t>
      </w:r>
    </w:p>
    <w:p>
      <w:pPr>
        <w:widowControl/>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我单位或者其法定代表人、董事、监事、高级管理人员因经营活动中的违法行为受到刑事处罚。</w:t>
      </w:r>
    </w:p>
    <w:p>
      <w:pPr>
        <w:widowControl/>
        <w:spacing w:line="48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特此声明!</w:t>
      </w:r>
    </w:p>
    <w:p>
      <w:pPr>
        <w:widowControl/>
        <w:spacing w:line="480" w:lineRule="auto"/>
        <w:jc w:val="left"/>
        <w:rPr>
          <w:rFonts w:hint="eastAsia" w:ascii="宋体" w:hAnsi="宋体" w:eastAsia="宋体" w:cs="宋体"/>
          <w:color w:val="auto"/>
          <w:kern w:val="0"/>
          <w:sz w:val="24"/>
          <w:highlight w:val="none"/>
        </w:rPr>
      </w:pPr>
    </w:p>
    <w:p>
      <w:pPr>
        <w:widowControl/>
        <w:spacing w:line="480" w:lineRule="auto"/>
        <w:jc w:val="left"/>
        <w:rPr>
          <w:rFonts w:hint="eastAsia" w:ascii="宋体" w:hAnsi="宋体" w:eastAsia="宋体" w:cs="宋体"/>
          <w:color w:val="auto"/>
          <w:kern w:val="0"/>
          <w:sz w:val="24"/>
          <w:highlight w:val="none"/>
        </w:rPr>
      </w:pPr>
    </w:p>
    <w:p>
      <w:pPr>
        <w:widowControl/>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8"/>
          <w:szCs w:val="28"/>
          <w:highlight w:val="none"/>
        </w:rPr>
        <w:t>(盖章)</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xml:space="preserve">                              法定代表人</w:t>
      </w:r>
      <w:r>
        <w:rPr>
          <w:rFonts w:hint="eastAsia" w:ascii="宋体" w:hAnsi="宋体" w:eastAsia="宋体" w:cs="宋体"/>
          <w:color w:val="auto"/>
          <w:kern w:val="0"/>
          <w:sz w:val="24"/>
          <w:highlight w:val="none"/>
          <w:lang w:eastAsia="zh-CN"/>
        </w:rPr>
        <w:t>或被授权人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pPr>
        <w:widowControl/>
        <w:spacing w:line="480" w:lineRule="auto"/>
        <w:ind w:firstLine="3600" w:firstLineChars="15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spacing w:line="360" w:lineRule="auto"/>
        <w:rPr>
          <w:rFonts w:hint="eastAsia" w:ascii="宋体" w:hAnsi="宋体" w:eastAsia="宋体" w:cs="宋体"/>
          <w:b/>
          <w:color w:val="auto"/>
          <w:kern w:val="0"/>
          <w:sz w:val="32"/>
          <w:szCs w:val="32"/>
          <w:highlight w:val="none"/>
        </w:rPr>
      </w:pPr>
    </w:p>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注：成立不足三年的供应商提供自成立之日起至开标之日止的无重大违法记录声明。</w:t>
      </w:r>
    </w:p>
    <w:p>
      <w:pPr>
        <w:spacing w:line="360" w:lineRule="auto"/>
        <w:outlineLvl w:val="3"/>
        <w:rPr>
          <w:rFonts w:hint="eastAsia" w:ascii="宋体" w:hAnsi="宋体" w:eastAsia="宋体" w:cs="宋体"/>
          <w:b/>
          <w:bCs/>
          <w:color w:val="auto"/>
          <w:sz w:val="24"/>
          <w:szCs w:val="24"/>
          <w:highlight w:val="none"/>
        </w:rPr>
      </w:pPr>
    </w:p>
    <w:p>
      <w:pPr>
        <w:spacing w:line="360" w:lineRule="auto"/>
        <w:outlineLvl w:val="3"/>
        <w:rPr>
          <w:rFonts w:hint="eastAsia" w:ascii="宋体" w:hAnsi="宋体" w:eastAsia="宋体" w:cs="宋体"/>
          <w:b/>
          <w:bCs/>
          <w:color w:val="auto"/>
          <w:sz w:val="24"/>
          <w:szCs w:val="24"/>
          <w:highlight w:val="none"/>
        </w:rPr>
      </w:pPr>
    </w:p>
    <w:p>
      <w:pPr>
        <w:spacing w:line="360" w:lineRule="auto"/>
        <w:outlineLvl w:val="3"/>
        <w:rPr>
          <w:rFonts w:hint="eastAsia" w:ascii="宋体" w:hAnsi="宋体" w:eastAsia="宋体" w:cs="宋体"/>
          <w:b/>
          <w:bCs/>
          <w:color w:val="auto"/>
          <w:sz w:val="24"/>
          <w:szCs w:val="24"/>
          <w:highlight w:val="none"/>
        </w:rPr>
      </w:pPr>
    </w:p>
    <w:p>
      <w:pPr>
        <w:spacing w:line="360" w:lineRule="auto"/>
        <w:outlineLvl w:val="3"/>
        <w:rPr>
          <w:rFonts w:hint="eastAsia" w:ascii="宋体" w:hAnsi="宋体" w:eastAsia="宋体" w:cs="宋体"/>
          <w:b/>
          <w:bCs/>
          <w:color w:val="auto"/>
          <w:sz w:val="24"/>
          <w:szCs w:val="24"/>
          <w:highlight w:val="none"/>
        </w:rPr>
      </w:pPr>
    </w:p>
    <w:p>
      <w:pPr>
        <w:spacing w:line="360" w:lineRule="auto"/>
        <w:outlineLvl w:val="3"/>
        <w:rPr>
          <w:rFonts w:hint="eastAsia" w:ascii="宋体" w:hAnsi="宋体" w:eastAsia="宋体" w:cs="宋体"/>
          <w:b/>
          <w:bCs/>
          <w:color w:val="auto"/>
          <w:sz w:val="24"/>
          <w:szCs w:val="24"/>
          <w:highlight w:val="none"/>
        </w:rPr>
      </w:pPr>
    </w:p>
    <w:p>
      <w:pPr>
        <w:spacing w:line="360" w:lineRule="auto"/>
        <w:outlineLvl w:val="3"/>
        <w:rPr>
          <w:rFonts w:hint="eastAsia" w:ascii="宋体" w:hAnsi="宋体" w:eastAsia="宋体" w:cs="宋体"/>
          <w:b/>
          <w:bCs/>
          <w:color w:val="auto"/>
          <w:sz w:val="24"/>
          <w:szCs w:val="24"/>
          <w:highlight w:val="none"/>
        </w:rPr>
      </w:pPr>
    </w:p>
    <w:p>
      <w:pPr>
        <w:spacing w:line="360" w:lineRule="auto"/>
        <w:outlineLvl w:val="3"/>
        <w:rPr>
          <w:rFonts w:hint="eastAsia" w:ascii="宋体" w:hAnsi="宋体" w:eastAsia="宋体" w:cs="宋体"/>
          <w:b/>
          <w:bCs/>
          <w:color w:val="auto"/>
          <w:sz w:val="24"/>
          <w:szCs w:val="24"/>
          <w:highlight w:val="none"/>
        </w:rPr>
      </w:pPr>
    </w:p>
    <w:p>
      <w:pPr>
        <w:pStyle w:val="15"/>
        <w:spacing w:line="360" w:lineRule="auto"/>
        <w:jc w:val="left"/>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15"/>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p>
    <w:p>
      <w:pPr>
        <w:pStyle w:val="15"/>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具备履行合同所必需的设备和专业技术能力的证明材料</w:t>
      </w:r>
    </w:p>
    <w:p>
      <w:pPr>
        <w:pStyle w:val="15"/>
        <w:spacing w:line="360" w:lineRule="auto"/>
        <w:jc w:val="center"/>
        <w:rPr>
          <w:rFonts w:hint="eastAsia" w:ascii="宋体" w:hAnsi="宋体" w:eastAsia="宋体" w:cs="宋体"/>
          <w:b/>
          <w:bCs/>
          <w:color w:val="auto"/>
          <w:sz w:val="28"/>
          <w:szCs w:val="28"/>
          <w:highlight w:val="none"/>
        </w:rPr>
      </w:pPr>
    </w:p>
    <w:p>
      <w:pPr>
        <w:spacing w:line="360" w:lineRule="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u w:val="single"/>
        </w:rPr>
        <w:t xml:space="preserve">               （采购</w:t>
      </w:r>
      <w:r>
        <w:rPr>
          <w:rFonts w:hint="eastAsia" w:ascii="宋体" w:hAnsi="宋体" w:eastAsia="宋体" w:cs="宋体"/>
          <w:color w:val="auto"/>
          <w:spacing w:val="4"/>
          <w:sz w:val="24"/>
          <w:highlight w:val="none"/>
          <w:u w:val="single"/>
          <w:lang w:eastAsia="zh-CN"/>
        </w:rPr>
        <w:t>代理机构</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w:t>
      </w:r>
    </w:p>
    <w:p>
      <w:pPr>
        <w:pStyle w:val="12"/>
        <w:spacing w:line="480" w:lineRule="auto"/>
        <w:rPr>
          <w:rFonts w:hint="eastAsia" w:ascii="宋体" w:hAnsi="宋体" w:eastAsia="宋体" w:cs="宋体"/>
          <w:color w:val="auto"/>
          <w:highlight w:val="none"/>
        </w:rPr>
      </w:pPr>
    </w:p>
    <w:p>
      <w:pPr>
        <w:widowControl/>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spacing w:val="4"/>
          <w:sz w:val="24"/>
          <w:highlight w:val="none"/>
          <w:u w:val="single"/>
        </w:rPr>
        <w:t xml:space="preserve">         （供应商名称）</w:t>
      </w:r>
      <w:r>
        <w:rPr>
          <w:rFonts w:hint="eastAsia" w:ascii="宋体" w:hAnsi="宋体" w:eastAsia="宋体" w:cs="宋体"/>
          <w:color w:val="auto"/>
          <w:spacing w:val="4"/>
          <w:sz w:val="24"/>
          <w:highlight w:val="none"/>
        </w:rPr>
        <w:t>于</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月</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日在中华人民共和国境内</w:t>
      </w:r>
      <w:r>
        <w:rPr>
          <w:rFonts w:hint="eastAsia" w:ascii="宋体" w:hAnsi="宋体" w:eastAsia="宋体" w:cs="宋体"/>
          <w:color w:val="auto"/>
          <w:spacing w:val="4"/>
          <w:sz w:val="24"/>
          <w:highlight w:val="none"/>
          <w:u w:val="single"/>
        </w:rPr>
        <w:t xml:space="preserve">    （详细注册地址）</w:t>
      </w:r>
      <w:r>
        <w:rPr>
          <w:rFonts w:hint="eastAsia" w:ascii="宋体" w:hAnsi="宋体" w:eastAsia="宋体" w:cs="宋体"/>
          <w:color w:val="auto"/>
          <w:spacing w:val="4"/>
          <w:sz w:val="24"/>
          <w:highlight w:val="none"/>
        </w:rPr>
        <w:t>合法注册并经营，公司主营业务为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，营业（生产经营）面积为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，现有员工数量为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w:t>
      </w:r>
      <w:r>
        <w:rPr>
          <w:rFonts w:hint="eastAsia" w:ascii="宋体" w:hAnsi="宋体" w:eastAsia="宋体" w:cs="宋体"/>
          <w:color w:val="auto"/>
          <w:kern w:val="0"/>
          <w:sz w:val="24"/>
          <w:highlight w:val="none"/>
        </w:rPr>
        <w:t>其中与履行本合同相关的专业技术人员有（</w:t>
      </w:r>
      <w:r>
        <w:rPr>
          <w:rFonts w:hint="eastAsia" w:ascii="宋体" w:hAnsi="宋体" w:eastAsia="宋体" w:cs="宋体"/>
          <w:color w:val="auto"/>
          <w:kern w:val="0"/>
          <w:sz w:val="24"/>
          <w:highlight w:val="none"/>
          <w:u w:val="single"/>
        </w:rPr>
        <w:t xml:space="preserve">    专业能力、数量     </w:t>
      </w:r>
      <w:r>
        <w:rPr>
          <w:rFonts w:hint="eastAsia" w:ascii="宋体" w:hAnsi="宋体" w:eastAsia="宋体" w:cs="宋体"/>
          <w:color w:val="auto"/>
          <w:kern w:val="0"/>
          <w:sz w:val="24"/>
          <w:highlight w:val="none"/>
        </w:rPr>
        <w:t>），本公司郑重承诺，具有履行本合同所必需的设备和专业技术能力。</w:t>
      </w:r>
    </w:p>
    <w:p>
      <w:pPr>
        <w:spacing w:line="48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本公司郑重承诺，具有履行本合同所必需的设备和专业技术能力。</w:t>
      </w:r>
    </w:p>
    <w:p>
      <w:pPr>
        <w:spacing w:line="360" w:lineRule="auto"/>
        <w:rPr>
          <w:rFonts w:hint="eastAsia" w:ascii="宋体" w:hAnsi="宋体" w:eastAsia="宋体" w:cs="宋体"/>
          <w:color w:val="auto"/>
          <w:spacing w:val="4"/>
          <w:sz w:val="24"/>
          <w:highlight w:val="none"/>
        </w:rPr>
      </w:pPr>
    </w:p>
    <w:p>
      <w:pPr>
        <w:pStyle w:val="15"/>
        <w:adjustRightInd w:val="0"/>
        <w:snapToGrid w:val="0"/>
        <w:spacing w:line="360" w:lineRule="auto"/>
        <w:rPr>
          <w:rFonts w:hint="eastAsia" w:ascii="宋体" w:hAnsi="宋体" w:eastAsia="宋体" w:cs="宋体"/>
          <w:color w:val="auto"/>
          <w:spacing w:val="4"/>
          <w:sz w:val="32"/>
          <w:szCs w:val="32"/>
          <w:highlight w:val="none"/>
        </w:rPr>
      </w:pPr>
    </w:p>
    <w:p>
      <w:pPr>
        <w:pStyle w:val="15"/>
        <w:adjustRightInd w:val="0"/>
        <w:snapToGrid w:val="0"/>
        <w:spacing w:line="360" w:lineRule="auto"/>
        <w:rPr>
          <w:rFonts w:hint="eastAsia" w:ascii="宋体" w:hAnsi="宋体" w:eastAsia="宋体" w:cs="宋体"/>
          <w:color w:val="auto"/>
          <w:spacing w:val="4"/>
          <w:sz w:val="32"/>
          <w:szCs w:val="32"/>
          <w:highlight w:val="none"/>
        </w:rPr>
      </w:pPr>
    </w:p>
    <w:p>
      <w:pPr>
        <w:spacing w:after="480" w:afterLines="200" w:line="360" w:lineRule="auto"/>
        <w:ind w:firstLine="3120" w:firstLineChars="1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spacing w:line="360" w:lineRule="auto"/>
        <w:ind w:firstLine="3120" w:firstLineChars="1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kern w:val="0"/>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pPr>
        <w:spacing w:before="480" w:beforeLines="200" w:line="360" w:lineRule="auto"/>
        <w:ind w:firstLine="3120" w:firstLineChars="1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5"/>
        <w:spacing w:line="288" w:lineRule="auto"/>
        <w:jc w:val="left"/>
        <w:rPr>
          <w:rFonts w:hint="eastAsia" w:ascii="宋体" w:hAnsi="宋体" w:eastAsia="宋体" w:cs="宋体"/>
          <w:color w:val="auto"/>
          <w:sz w:val="24"/>
          <w:szCs w:val="24"/>
          <w:highlight w:val="none"/>
        </w:rPr>
      </w:pPr>
    </w:p>
    <w:p>
      <w:pPr>
        <w:pStyle w:val="15"/>
        <w:spacing w:line="288" w:lineRule="auto"/>
        <w:jc w:val="left"/>
        <w:rPr>
          <w:rFonts w:hint="eastAsia" w:ascii="宋体" w:hAnsi="宋体" w:eastAsia="宋体" w:cs="宋体"/>
          <w:color w:val="auto"/>
          <w:sz w:val="24"/>
          <w:szCs w:val="24"/>
          <w:highlight w:val="none"/>
        </w:rPr>
      </w:pPr>
    </w:p>
    <w:p>
      <w:pPr>
        <w:pStyle w:val="15"/>
        <w:spacing w:line="288" w:lineRule="auto"/>
        <w:jc w:val="left"/>
        <w:rPr>
          <w:rFonts w:hint="eastAsia" w:ascii="宋体" w:hAnsi="宋体" w:eastAsia="宋体" w:cs="宋体"/>
          <w:color w:val="auto"/>
          <w:sz w:val="24"/>
          <w:szCs w:val="24"/>
          <w:highlight w:val="none"/>
        </w:rPr>
      </w:pPr>
    </w:p>
    <w:p>
      <w:pPr>
        <w:pStyle w:val="15"/>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如有其它证明材料，可后附</w:t>
      </w:r>
    </w:p>
    <w:p>
      <w:pPr>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p>
    <w:p>
      <w:pPr>
        <w:pStyle w:val="15"/>
        <w:spacing w:line="36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3</w:t>
      </w:r>
    </w:p>
    <w:p>
      <w:pPr>
        <w:spacing w:line="420" w:lineRule="atLeast"/>
        <w:ind w:firstLine="482" w:firstLineChars="200"/>
        <w:rPr>
          <w:rFonts w:hint="eastAsia" w:ascii="宋体" w:hAnsi="宋体" w:cs="宋体"/>
          <w:b/>
          <w:bCs/>
        </w:rPr>
      </w:pPr>
      <w:r>
        <w:rPr>
          <w:rFonts w:hint="eastAsia" w:ascii="宋体" w:hAnsi="宋体" w:cs="宋体"/>
          <w:b/>
          <w:bCs/>
          <w:sz w:val="24"/>
        </w:rPr>
        <w:t>单位负责人为同一人或者存在直接控股、管理关系的不同供应商，不得参加同一合同项下的政府采购活动</w:t>
      </w:r>
    </w:p>
    <w:p>
      <w:pPr>
        <w:pStyle w:val="89"/>
        <w:rPr>
          <w:rFonts w:hint="eastAsia" w:ascii="宋体" w:hAnsi="宋体"/>
          <w:b/>
          <w:bCs w:val="0"/>
          <w:szCs w:val="28"/>
        </w:rPr>
      </w:pPr>
      <w:r>
        <w:rPr>
          <w:rFonts w:hint="eastAsia" w:ascii="宋体" w:hAnsi="宋体"/>
          <w:b/>
          <w:bCs w:val="0"/>
          <w:szCs w:val="28"/>
          <w:lang w:val="en-US" w:eastAsia="zh-CN"/>
        </w:rPr>
        <w:t>供应商</w:t>
      </w:r>
      <w:r>
        <w:rPr>
          <w:rFonts w:hint="eastAsia" w:ascii="宋体" w:hAnsi="宋体"/>
          <w:b/>
          <w:bCs w:val="0"/>
          <w:szCs w:val="28"/>
        </w:rPr>
        <w:t>关联关系</w:t>
      </w:r>
    </w:p>
    <w:p>
      <w:pPr>
        <w:spacing w:line="500" w:lineRule="exact"/>
        <w:ind w:firstLine="480" w:firstLineChars="200"/>
        <w:rPr>
          <w:rFonts w:hint="eastAsia" w:ascii="宋体" w:hAnsi="宋体" w:cs="宋体"/>
          <w:sz w:val="24"/>
        </w:rPr>
      </w:pPr>
      <w:r>
        <w:rPr>
          <w:rFonts w:hint="eastAsia" w:ascii="宋体" w:hAnsi="宋体" w:cs="宋体"/>
          <w:sz w:val="24"/>
        </w:rPr>
        <w:t>1、供应商单位负责人在其他单位任职情况</w:t>
      </w:r>
    </w:p>
    <w:p>
      <w:pPr>
        <w:spacing w:line="500" w:lineRule="exact"/>
        <w:ind w:firstLine="480" w:firstLineChars="200"/>
        <w:rPr>
          <w:rFonts w:hint="eastAsia" w:ascii="宋体" w:hAnsi="宋体" w:cs="宋体"/>
          <w:sz w:val="24"/>
          <w:u w:val="single"/>
        </w:rPr>
      </w:pPr>
      <w:r>
        <w:rPr>
          <w:rFonts w:hint="eastAsia" w:ascii="宋体" w:hAnsi="宋体" w:cs="宋体"/>
          <w:sz w:val="24"/>
          <w:u w:val="single"/>
        </w:rPr>
        <w:t xml:space="preserve">                             </w:t>
      </w:r>
    </w:p>
    <w:p>
      <w:pPr>
        <w:spacing w:line="500" w:lineRule="exact"/>
        <w:ind w:firstLine="480" w:firstLineChars="200"/>
        <w:rPr>
          <w:rFonts w:hint="eastAsia" w:ascii="宋体" w:hAnsi="宋体" w:cs="宋体"/>
          <w:sz w:val="24"/>
        </w:rPr>
      </w:pPr>
      <w:r>
        <w:rPr>
          <w:rFonts w:hint="eastAsia" w:ascii="宋体" w:hAnsi="宋体" w:cs="宋体"/>
          <w:sz w:val="24"/>
        </w:rPr>
        <w:t>2、供应商控股关系说明</w:t>
      </w:r>
    </w:p>
    <w:p>
      <w:pPr>
        <w:spacing w:line="500" w:lineRule="exact"/>
        <w:ind w:firstLine="480" w:firstLineChars="200"/>
        <w:rPr>
          <w:rFonts w:hint="eastAsia" w:ascii="宋体" w:hAnsi="宋体" w:cs="宋体"/>
          <w:sz w:val="24"/>
          <w:u w:val="single"/>
        </w:rPr>
      </w:pPr>
      <w:r>
        <w:rPr>
          <w:rFonts w:hint="eastAsia" w:ascii="宋体" w:hAnsi="宋体" w:cs="宋体"/>
          <w:sz w:val="24"/>
        </w:rPr>
        <w:t>（1）供应商下属控股单位：</w:t>
      </w:r>
      <w:r>
        <w:rPr>
          <w:rFonts w:hint="eastAsia" w:ascii="宋体" w:hAnsi="宋体" w:cs="宋体"/>
          <w:sz w:val="24"/>
          <w:u w:val="single"/>
        </w:rPr>
        <w:t xml:space="preserve">                 </w:t>
      </w:r>
    </w:p>
    <w:p>
      <w:pPr>
        <w:spacing w:line="500" w:lineRule="exact"/>
        <w:ind w:firstLine="480" w:firstLineChars="200"/>
        <w:rPr>
          <w:rFonts w:hint="eastAsia" w:ascii="宋体" w:hAnsi="宋体" w:cs="宋体"/>
          <w:sz w:val="24"/>
          <w:u w:val="single"/>
        </w:rPr>
      </w:pPr>
      <w:r>
        <w:rPr>
          <w:rFonts w:hint="eastAsia" w:ascii="宋体" w:hAnsi="宋体" w:cs="宋体"/>
          <w:sz w:val="24"/>
        </w:rPr>
        <w:t>（2）供应商上属被控股单位：</w:t>
      </w:r>
      <w:r>
        <w:rPr>
          <w:rFonts w:hint="eastAsia" w:ascii="宋体" w:hAnsi="宋体" w:cs="宋体"/>
          <w:sz w:val="24"/>
          <w:u w:val="single"/>
        </w:rPr>
        <w:t xml:space="preserve">              </w:t>
      </w:r>
    </w:p>
    <w:p>
      <w:pPr>
        <w:spacing w:line="500" w:lineRule="exact"/>
        <w:ind w:firstLine="480" w:firstLineChars="200"/>
        <w:rPr>
          <w:rFonts w:hint="eastAsia" w:ascii="宋体" w:hAnsi="宋体" w:cs="宋体"/>
          <w:sz w:val="24"/>
        </w:rPr>
      </w:pPr>
    </w:p>
    <w:p>
      <w:pPr>
        <w:spacing w:line="500" w:lineRule="exact"/>
        <w:ind w:firstLine="480" w:firstLineChars="200"/>
        <w:rPr>
          <w:rFonts w:hint="eastAsia" w:ascii="宋体" w:hAnsi="宋体" w:cs="宋体"/>
          <w:sz w:val="24"/>
        </w:rPr>
      </w:pPr>
      <w:r>
        <w:rPr>
          <w:rFonts w:hint="eastAsia" w:ascii="宋体" w:hAnsi="宋体" w:cs="宋体"/>
          <w:sz w:val="24"/>
        </w:rPr>
        <w:t>3、供应商管理关系说明</w:t>
      </w:r>
    </w:p>
    <w:p>
      <w:pPr>
        <w:spacing w:line="500" w:lineRule="exact"/>
        <w:ind w:firstLine="480" w:firstLineChars="200"/>
        <w:rPr>
          <w:rFonts w:hint="eastAsia" w:ascii="宋体" w:hAnsi="宋体" w:cs="宋体"/>
          <w:sz w:val="24"/>
          <w:u w:val="single"/>
        </w:rPr>
      </w:pPr>
      <w:r>
        <w:rPr>
          <w:rFonts w:hint="eastAsia" w:ascii="宋体" w:hAnsi="宋体" w:cs="宋体"/>
          <w:sz w:val="24"/>
        </w:rPr>
        <w:t>（1）供应商下属管理单位：</w:t>
      </w:r>
      <w:r>
        <w:rPr>
          <w:rFonts w:hint="eastAsia" w:ascii="宋体" w:hAnsi="宋体" w:cs="宋体"/>
          <w:sz w:val="24"/>
          <w:u w:val="single"/>
        </w:rPr>
        <w:t xml:space="preserve">                </w:t>
      </w:r>
    </w:p>
    <w:p>
      <w:pPr>
        <w:spacing w:line="500" w:lineRule="exact"/>
        <w:ind w:firstLine="1080" w:firstLineChars="450"/>
        <w:rPr>
          <w:rFonts w:hint="eastAsia" w:ascii="宋体" w:hAnsi="宋体" w:cs="宋体"/>
          <w:sz w:val="24"/>
          <w:u w:val="single"/>
        </w:rPr>
      </w:pPr>
      <w:r>
        <w:rPr>
          <w:rFonts w:hint="eastAsia" w:ascii="宋体" w:hAnsi="宋体" w:cs="宋体"/>
          <w:sz w:val="24"/>
        </w:rPr>
        <w:t>管理职责（行政、人事等）：</w:t>
      </w:r>
      <w:r>
        <w:rPr>
          <w:rFonts w:hint="eastAsia" w:ascii="宋体" w:hAnsi="宋体" w:cs="宋体"/>
          <w:sz w:val="24"/>
          <w:u w:val="single"/>
        </w:rPr>
        <w:t xml:space="preserve">              </w:t>
      </w:r>
    </w:p>
    <w:p>
      <w:pPr>
        <w:spacing w:line="500" w:lineRule="exact"/>
        <w:ind w:firstLine="480" w:firstLineChars="200"/>
        <w:rPr>
          <w:rFonts w:hint="eastAsia" w:ascii="宋体" w:hAnsi="宋体" w:cs="宋体"/>
          <w:sz w:val="24"/>
          <w:u w:val="single"/>
        </w:rPr>
      </w:pPr>
      <w:r>
        <w:rPr>
          <w:rFonts w:hint="eastAsia" w:ascii="宋体" w:hAnsi="宋体" w:cs="宋体"/>
          <w:sz w:val="24"/>
        </w:rPr>
        <w:t>（2）供应商上属被管理单位：</w:t>
      </w:r>
      <w:r>
        <w:rPr>
          <w:rFonts w:hint="eastAsia" w:ascii="宋体" w:hAnsi="宋体" w:cs="宋体"/>
          <w:sz w:val="24"/>
          <w:u w:val="single"/>
        </w:rPr>
        <w:t xml:space="preserve">                        </w:t>
      </w:r>
    </w:p>
    <w:p>
      <w:pPr>
        <w:spacing w:line="500" w:lineRule="exact"/>
        <w:ind w:firstLine="1080" w:firstLineChars="450"/>
        <w:rPr>
          <w:rFonts w:hint="eastAsia" w:ascii="宋体" w:hAnsi="宋体" w:cs="宋体"/>
          <w:sz w:val="24"/>
        </w:rPr>
      </w:pPr>
      <w:r>
        <w:rPr>
          <w:rFonts w:hint="eastAsia" w:ascii="宋体" w:hAnsi="宋体" w:cs="宋体"/>
          <w:sz w:val="24"/>
        </w:rPr>
        <w:t>管理职责（行政、人事等）：</w:t>
      </w:r>
      <w:r>
        <w:rPr>
          <w:rFonts w:hint="eastAsia" w:ascii="宋体" w:hAnsi="宋体" w:cs="宋体"/>
          <w:sz w:val="24"/>
          <w:u w:val="single"/>
        </w:rPr>
        <w:t xml:space="preserve">                  </w:t>
      </w:r>
    </w:p>
    <w:p>
      <w:pPr>
        <w:spacing w:after="480" w:line="300" w:lineRule="exact"/>
        <w:ind w:firstLine="3600" w:firstLineChars="1500"/>
        <w:jc w:val="left"/>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after="480" w:line="300" w:lineRule="exact"/>
        <w:ind w:firstLine="3600" w:firstLineChars="1500"/>
        <w:jc w:val="left"/>
        <w:rPr>
          <w:rFonts w:hint="eastAsia" w:ascii="宋体" w:hAnsi="宋体" w:cs="宋体"/>
          <w:sz w:val="24"/>
        </w:rPr>
      </w:pPr>
      <w:r>
        <w:rPr>
          <w:rFonts w:hint="eastAsia" w:ascii="宋体" w:hAnsi="宋体" w:cs="宋体"/>
          <w:sz w:val="24"/>
        </w:rPr>
        <w:t>法定代表人</w:t>
      </w:r>
    </w:p>
    <w:p>
      <w:pPr>
        <w:spacing w:after="480" w:line="300" w:lineRule="exact"/>
        <w:ind w:firstLine="3600" w:firstLineChars="1500"/>
        <w:jc w:val="left"/>
        <w:rPr>
          <w:rFonts w:hint="eastAsia" w:ascii="宋体" w:hAnsi="宋体" w:cs="宋体"/>
          <w:kern w:val="0"/>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kern w:val="0"/>
          <w:sz w:val="24"/>
        </w:rPr>
        <w:t>(签字或盖章)</w:t>
      </w:r>
    </w:p>
    <w:p>
      <w:pPr>
        <w:spacing w:after="480" w:line="300" w:lineRule="exact"/>
        <w:ind w:firstLine="3600" w:firstLineChars="1500"/>
        <w:jc w:val="left"/>
        <w:rPr>
          <w:rFonts w:hint="eastAsia" w:ascii="宋体" w:hAnsi="宋体" w:cs="宋体"/>
          <w:sz w:val="32"/>
          <w:szCs w:val="40"/>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hint="eastAsia" w:ascii="宋体" w:hAnsi="宋体" w:cs="宋体"/>
          <w:b/>
          <w:bCs/>
          <w:sz w:val="24"/>
        </w:rPr>
      </w:pPr>
      <w:r>
        <w:rPr>
          <w:rFonts w:hint="eastAsia" w:ascii="宋体" w:hAnsi="宋体" w:cs="宋体"/>
          <w:b/>
          <w:bCs/>
          <w:sz w:val="24"/>
        </w:rPr>
        <w:t>注：请如实填写，若未如实填写则视为虚假材料应标，造成的后果由供应商自行承担。</w:t>
      </w:r>
    </w:p>
    <w:p>
      <w:pPr>
        <w:pStyle w:val="12"/>
        <w:rPr>
          <w:rFonts w:hint="eastAsia" w:ascii="宋体" w:hAnsi="宋体" w:cs="宋体"/>
        </w:rPr>
        <w:sectPr>
          <w:pgSz w:w="11906" w:h="16838"/>
          <w:pgMar w:top="1417" w:right="1417" w:bottom="1417" w:left="1417" w:header="851" w:footer="992" w:gutter="0"/>
          <w:cols w:space="720" w:num="1"/>
          <w:docGrid w:linePitch="312" w:charSpace="0"/>
        </w:sectPr>
      </w:pPr>
    </w:p>
    <w:p>
      <w:pPr>
        <w:rPr>
          <w:rFonts w:hint="eastAsia"/>
          <w:lang w:eastAsia="zh-CN"/>
        </w:rPr>
      </w:pP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、提供符合政府采购政策的证明材料</w:t>
      </w:r>
    </w:p>
    <w:p>
      <w:pPr>
        <w:pStyle w:val="12"/>
        <w:spacing w:line="360" w:lineRule="auto"/>
        <w:ind w:right="415" w:firstLine="64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pPr>
        <w:pStyle w:val="12"/>
        <w:spacing w:line="360" w:lineRule="auto"/>
        <w:ind w:right="415" w:firstLine="640"/>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中小企业声明函</w:t>
      </w:r>
    </w:p>
    <w:p>
      <w:pPr>
        <w:pStyle w:val="12"/>
        <w:spacing w:line="360" w:lineRule="auto"/>
        <w:ind w:right="41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（单位名称）的（项目名称）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pPr>
        <w:pStyle w:val="45"/>
        <w:keepNext w:val="0"/>
        <w:keepLines w:val="0"/>
        <w:pageBreakBefore w:val="0"/>
        <w:widowControl w:val="0"/>
        <w:tabs>
          <w:tab w:val="left" w:pos="124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eastAsia="zh-CN" w:bidi="ar-SA"/>
        </w:rPr>
        <w:t>1.</w:t>
      </w:r>
      <w:r>
        <w:rPr>
          <w:rFonts w:hint="eastAsia" w:ascii="宋体" w:hAnsi="宋体" w:eastAsia="宋体" w:cs="宋体"/>
          <w:color w:val="auto"/>
          <w:kern w:val="2"/>
          <w:sz w:val="24"/>
          <w:szCs w:val="24"/>
          <w:highlight w:val="none"/>
          <w:u w:val="single"/>
          <w:lang w:eastAsia="zh-CN" w:bidi="ar-SA"/>
        </w:rPr>
        <w:t>（标的名称）</w:t>
      </w:r>
      <w:r>
        <w:rPr>
          <w:rFonts w:hint="eastAsia" w:ascii="宋体" w:hAnsi="宋体" w:eastAsia="宋体" w:cs="宋体"/>
          <w:color w:val="auto"/>
          <w:kern w:val="2"/>
          <w:sz w:val="24"/>
          <w:szCs w:val="24"/>
          <w:highlight w:val="none"/>
          <w:lang w:eastAsia="zh-CN" w:bidi="ar-SA"/>
        </w:rPr>
        <w:t>，属于</w:t>
      </w:r>
      <w:r>
        <w:rPr>
          <w:rFonts w:hint="eastAsia" w:ascii="宋体" w:hAnsi="宋体" w:eastAsia="宋体" w:cs="宋体"/>
          <w:color w:val="auto"/>
          <w:kern w:val="2"/>
          <w:sz w:val="24"/>
          <w:szCs w:val="24"/>
          <w:highlight w:val="none"/>
          <w:u w:val="single"/>
          <w:lang w:eastAsia="zh-CN" w:bidi="ar-SA"/>
        </w:rPr>
        <w:t>（工业）；</w:t>
      </w:r>
      <w:r>
        <w:rPr>
          <w:rFonts w:hint="eastAsia" w:ascii="宋体" w:hAnsi="宋体" w:eastAsia="宋体" w:cs="宋体"/>
          <w:color w:val="auto"/>
          <w:kern w:val="2"/>
          <w:sz w:val="24"/>
          <w:szCs w:val="24"/>
          <w:highlight w:val="none"/>
          <w:lang w:eastAsia="zh-CN" w:bidi="ar-SA"/>
        </w:rPr>
        <w:t>制造商为</w:t>
      </w:r>
      <w:r>
        <w:rPr>
          <w:rFonts w:hint="eastAsia" w:ascii="宋体" w:hAnsi="宋体" w:eastAsia="宋体" w:cs="宋体"/>
          <w:color w:val="auto"/>
          <w:kern w:val="2"/>
          <w:sz w:val="24"/>
          <w:szCs w:val="24"/>
          <w:highlight w:val="none"/>
          <w:u w:val="single"/>
          <w:lang w:eastAsia="zh-CN" w:bidi="ar-SA"/>
        </w:rPr>
        <w:t>（企业名称）</w:t>
      </w:r>
      <w:r>
        <w:rPr>
          <w:rFonts w:hint="eastAsia" w:ascii="宋体" w:hAnsi="宋体" w:eastAsia="宋体" w:cs="宋体"/>
          <w:color w:val="auto"/>
          <w:kern w:val="2"/>
          <w:sz w:val="24"/>
          <w:szCs w:val="24"/>
          <w:highlight w:val="none"/>
          <w:lang w:eastAsia="zh-CN" w:bidi="ar-SA"/>
        </w:rPr>
        <w:t>，从业人员</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人，营业收入为</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万元，资产总额为</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eastAsia="zh-CN" w:bidi="ar-SA"/>
        </w:rPr>
        <w:t>（中型企业、小型企业、微型企业）</w:t>
      </w:r>
      <w:r>
        <w:rPr>
          <w:rFonts w:hint="eastAsia" w:ascii="宋体" w:hAnsi="宋体" w:eastAsia="宋体" w:cs="宋体"/>
          <w:color w:val="auto"/>
          <w:kern w:val="2"/>
          <w:sz w:val="24"/>
          <w:szCs w:val="24"/>
          <w:highlight w:val="none"/>
          <w:lang w:eastAsia="zh-CN" w:bidi="ar-SA"/>
        </w:rPr>
        <w:t>；</w:t>
      </w:r>
    </w:p>
    <w:p>
      <w:pPr>
        <w:pStyle w:val="45"/>
        <w:tabs>
          <w:tab w:val="left" w:pos="1243"/>
          <w:tab w:val="left" w:pos="1806"/>
          <w:tab w:val="left" w:pos="5005"/>
          <w:tab w:val="left" w:pos="7213"/>
        </w:tabs>
        <w:spacing w:line="360" w:lineRule="auto"/>
        <w:ind w:left="0" w:right="258"/>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eastAsia="zh-CN" w:bidi="ar-SA"/>
        </w:rPr>
        <w:t>2.</w:t>
      </w:r>
      <w:r>
        <w:rPr>
          <w:rFonts w:hint="eastAsia" w:ascii="宋体" w:hAnsi="宋体" w:eastAsia="宋体" w:cs="宋体"/>
          <w:color w:val="auto"/>
          <w:kern w:val="2"/>
          <w:sz w:val="24"/>
          <w:szCs w:val="24"/>
          <w:highlight w:val="none"/>
          <w:u w:val="single"/>
          <w:lang w:eastAsia="zh-CN" w:bidi="ar-SA"/>
        </w:rPr>
        <w:t>（标的名称）</w:t>
      </w:r>
      <w:r>
        <w:rPr>
          <w:rFonts w:hint="eastAsia" w:ascii="宋体" w:hAnsi="宋体" w:eastAsia="宋体" w:cs="宋体"/>
          <w:color w:val="auto"/>
          <w:kern w:val="2"/>
          <w:sz w:val="24"/>
          <w:szCs w:val="24"/>
          <w:highlight w:val="none"/>
          <w:lang w:eastAsia="zh-CN" w:bidi="ar-SA"/>
        </w:rPr>
        <w:t>，属于</w:t>
      </w:r>
      <w:r>
        <w:rPr>
          <w:rFonts w:hint="eastAsia" w:ascii="宋体" w:hAnsi="宋体" w:eastAsia="宋体" w:cs="宋体"/>
          <w:color w:val="auto"/>
          <w:kern w:val="2"/>
          <w:sz w:val="24"/>
          <w:szCs w:val="24"/>
          <w:highlight w:val="none"/>
          <w:u w:val="single"/>
          <w:lang w:eastAsia="zh-CN" w:bidi="ar-SA"/>
        </w:rPr>
        <w:t>（工业）</w:t>
      </w:r>
      <w:r>
        <w:rPr>
          <w:rFonts w:hint="eastAsia" w:ascii="宋体" w:hAnsi="宋体" w:eastAsia="宋体" w:cs="宋体"/>
          <w:color w:val="auto"/>
          <w:kern w:val="2"/>
          <w:sz w:val="24"/>
          <w:szCs w:val="24"/>
          <w:highlight w:val="none"/>
          <w:lang w:eastAsia="zh-CN" w:bidi="ar-SA"/>
        </w:rPr>
        <w:t>；制造商为</w:t>
      </w:r>
      <w:r>
        <w:rPr>
          <w:rFonts w:hint="eastAsia" w:ascii="宋体" w:hAnsi="宋体" w:eastAsia="宋体" w:cs="宋体"/>
          <w:color w:val="auto"/>
          <w:kern w:val="2"/>
          <w:sz w:val="24"/>
          <w:szCs w:val="24"/>
          <w:highlight w:val="none"/>
          <w:u w:val="single"/>
          <w:lang w:eastAsia="zh-CN" w:bidi="ar-SA"/>
        </w:rPr>
        <w:t>（企业名称）</w:t>
      </w:r>
      <w:r>
        <w:rPr>
          <w:rFonts w:hint="eastAsia" w:ascii="宋体" w:hAnsi="宋体" w:eastAsia="宋体" w:cs="宋体"/>
          <w:color w:val="auto"/>
          <w:kern w:val="2"/>
          <w:sz w:val="24"/>
          <w:szCs w:val="24"/>
          <w:highlight w:val="none"/>
          <w:lang w:eastAsia="zh-CN" w:bidi="ar-SA"/>
        </w:rPr>
        <w:t>，从业人员</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人，营业收入为</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万元，资产总额为</w:t>
      </w:r>
      <w:r>
        <w:rPr>
          <w:rFonts w:hint="eastAsia" w:ascii="宋体" w:hAnsi="宋体" w:eastAsia="宋体" w:cs="宋体"/>
          <w:color w:val="auto"/>
          <w:kern w:val="2"/>
          <w:sz w:val="24"/>
          <w:szCs w:val="24"/>
          <w:highlight w:val="none"/>
          <w:u w:val="single"/>
          <w:lang w:eastAsia="zh-CN" w:bidi="ar-SA"/>
        </w:rPr>
        <w:t xml:space="preserve">    </w:t>
      </w:r>
      <w:r>
        <w:rPr>
          <w:rFonts w:hint="eastAsia" w:ascii="宋体" w:hAnsi="宋体" w:eastAsia="宋体" w:cs="宋体"/>
          <w:color w:val="auto"/>
          <w:kern w:val="2"/>
          <w:sz w:val="24"/>
          <w:szCs w:val="24"/>
          <w:highlight w:val="none"/>
          <w:lang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eastAsia="zh-CN" w:bidi="ar-SA"/>
        </w:rPr>
        <w:t>（中型企业、小型企业、微型企业）</w:t>
      </w:r>
      <w:r>
        <w:rPr>
          <w:rFonts w:hint="eastAsia" w:ascii="宋体" w:hAnsi="宋体" w:eastAsia="宋体" w:cs="宋体"/>
          <w:color w:val="auto"/>
          <w:kern w:val="2"/>
          <w:sz w:val="24"/>
          <w:szCs w:val="24"/>
          <w:highlight w:val="none"/>
          <w:lang w:eastAsia="zh-CN" w:bidi="ar-SA"/>
        </w:rPr>
        <w:t>；</w:t>
      </w:r>
    </w:p>
    <w:p>
      <w:pPr>
        <w:pStyle w:val="12"/>
        <w:spacing w:before="11" w:line="360" w:lineRule="auto"/>
        <w:ind w:left="8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2"/>
        <w:spacing w:before="108" w:line="360" w:lineRule="auto"/>
        <w:ind w:right="417"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2"/>
        <w:spacing w:line="360" w:lineRule="auto"/>
        <w:ind w:right="375" w:firstLine="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15"/>
        <w:spacing w:line="360" w:lineRule="auto"/>
        <w:ind w:firstLine="480" w:firstLineChars="200"/>
        <w:jc w:val="right"/>
        <w:rPr>
          <w:rFonts w:hint="eastAsia" w:ascii="宋体" w:hAnsi="宋体" w:eastAsia="宋体" w:cs="宋体"/>
          <w:color w:val="auto"/>
          <w:sz w:val="24"/>
          <w:szCs w:val="24"/>
          <w:highlight w:val="none"/>
        </w:rPr>
      </w:pPr>
    </w:p>
    <w:p>
      <w:pPr>
        <w:pStyle w:val="15"/>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pPr>
        <w:pStyle w:val="15"/>
        <w:spacing w:line="360" w:lineRule="auto"/>
        <w:ind w:firstLine="480" w:firstLineChars="200"/>
        <w:jc w:val="right"/>
        <w:rPr>
          <w:rFonts w:hint="eastAsia" w:ascii="宋体" w:hAnsi="宋体" w:eastAsia="宋体" w:cs="宋体"/>
          <w:color w:val="auto"/>
          <w:sz w:val="24"/>
          <w:szCs w:val="24"/>
          <w:highlight w:val="none"/>
        </w:rPr>
      </w:pPr>
    </w:p>
    <w:p>
      <w:pPr>
        <w:pStyle w:val="15"/>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p>
    <w:p>
      <w:pPr>
        <w:rPr>
          <w:rFonts w:hint="eastAsia" w:ascii="宋体" w:hAnsi="宋体" w:eastAsia="宋体" w:cs="宋体"/>
          <w:color w:val="auto"/>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1.授权用投标专用章的，与公章具有相同法律效力。</w:t>
      </w:r>
    </w:p>
    <w:p>
      <w:pPr>
        <w:pStyle w:val="15"/>
        <w:spacing w:line="4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2.非中小微企业可不提供</w:t>
      </w:r>
      <w:r>
        <w:rPr>
          <w:rFonts w:hint="eastAsia" w:ascii="宋体" w:hAnsi="宋体" w:eastAsia="宋体" w:cs="宋体"/>
          <w:color w:val="auto"/>
          <w:sz w:val="24"/>
          <w:szCs w:val="24"/>
          <w:highlight w:val="none"/>
        </w:rPr>
        <w:t>。</w:t>
      </w:r>
    </w:p>
    <w:p>
      <w:pPr>
        <w:pStyle w:val="15"/>
        <w:spacing w:line="460" w:lineRule="exact"/>
        <w:ind w:firstLine="480" w:firstLineChars="200"/>
        <w:rPr>
          <w:rFonts w:hint="eastAsia" w:ascii="宋体" w:hAnsi="宋体" w:eastAsia="宋体" w:cs="宋体"/>
          <w:color w:val="auto"/>
          <w:kern w:val="0"/>
          <w:sz w:val="28"/>
          <w:szCs w:val="28"/>
          <w:highlight w:val="none"/>
          <w:lang w:bidi="ar"/>
        </w:rPr>
      </w:pPr>
      <w:r>
        <w:rPr>
          <w:rFonts w:hint="eastAsia" w:ascii="宋体" w:hAnsi="宋体" w:eastAsia="宋体" w:cs="宋体"/>
          <w:color w:val="auto"/>
          <w:sz w:val="24"/>
          <w:highlight w:val="none"/>
        </w:rPr>
        <w:t>3.供应商请认真阅读《关于印发中小企业划型标准规定的通知》工信部联企业〔2011〕300号文。</w:t>
      </w:r>
    </w:p>
    <w:p>
      <w:pPr>
        <w:pStyle w:val="12"/>
        <w:rPr>
          <w:rFonts w:hint="eastAsia" w:ascii="宋体" w:hAnsi="宋体" w:eastAsia="宋体" w:cs="宋体"/>
          <w:color w:val="auto"/>
          <w:kern w:val="0"/>
          <w:sz w:val="28"/>
          <w:szCs w:val="28"/>
          <w:highlight w:val="none"/>
          <w:lang w:bidi="ar"/>
        </w:rPr>
      </w:pPr>
    </w:p>
    <w:p>
      <w:pPr>
        <w:pStyle w:val="15"/>
        <w:spacing w:line="460" w:lineRule="exact"/>
        <w:ind w:firstLine="360" w:firstLineChars="200"/>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从业人员、营业收入、资产总额填报上一年度数据，无上一年度数据的新成立企业可不填报。</w:t>
      </w:r>
    </w:p>
    <w:p>
      <w:pPr>
        <w:rPr>
          <w:rFonts w:hint="eastAsia" w:ascii="宋体" w:hAnsi="宋体" w:eastAsia="宋体" w:cs="宋体"/>
          <w:b/>
          <w:bCs/>
          <w:color w:val="auto"/>
          <w:sz w:val="24"/>
          <w:szCs w:val="32"/>
          <w:highlight w:val="none"/>
        </w:rPr>
      </w:pPr>
      <w:bookmarkStart w:id="33" w:name="_Toc499739990"/>
      <w:bookmarkStart w:id="34" w:name="_Toc1541"/>
      <w:bookmarkStart w:id="35" w:name="_Toc21356"/>
      <w:bookmarkStart w:id="36" w:name="_Toc5155"/>
      <w:bookmarkStart w:id="37" w:name="_Toc10913"/>
      <w:bookmarkStart w:id="38" w:name="_Toc607"/>
      <w:bookmarkStart w:id="39" w:name="_Toc255"/>
      <w:bookmarkStart w:id="40" w:name="_Toc24443"/>
      <w:bookmarkStart w:id="41" w:name="_Toc18592"/>
    </w:p>
    <w:p>
      <w:pP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w:t>
      </w:r>
      <w:bookmarkEnd w:id="33"/>
      <w:bookmarkEnd w:id="34"/>
      <w:bookmarkEnd w:id="35"/>
      <w:bookmarkEnd w:id="36"/>
      <w:bookmarkEnd w:id="37"/>
      <w:bookmarkEnd w:id="38"/>
      <w:bookmarkEnd w:id="39"/>
      <w:bookmarkEnd w:id="40"/>
      <w:bookmarkEnd w:id="41"/>
      <w:r>
        <w:rPr>
          <w:rFonts w:hint="eastAsia" w:ascii="宋体" w:hAnsi="宋体" w:eastAsia="宋体" w:cs="宋体"/>
          <w:b/>
          <w:bCs/>
          <w:color w:val="auto"/>
          <w:sz w:val="24"/>
          <w:szCs w:val="32"/>
          <w:highlight w:val="none"/>
        </w:rPr>
        <w:t>2</w:t>
      </w:r>
    </w:p>
    <w:p>
      <w:pPr>
        <w:widowControl/>
        <w:spacing w:after="24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监狱企业证明文件</w:t>
      </w:r>
    </w:p>
    <w:p>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rPr>
          <w:rFonts w:hint="eastAsia" w:ascii="宋体" w:hAnsi="宋体" w:eastAsia="宋体" w:cs="宋体"/>
          <w:b/>
          <w:color w:val="auto"/>
          <w:kern w:val="0"/>
          <w:sz w:val="24"/>
          <w:szCs w:val="22"/>
          <w:highlight w:val="none"/>
          <w:lang w:val="en-US" w:eastAsia="zh-CN" w:bidi="ar-SA"/>
        </w:rPr>
      </w:pPr>
      <w:bookmarkStart w:id="42" w:name="_Toc499739991"/>
      <w:r>
        <w:rPr>
          <w:rFonts w:hint="eastAsia" w:ascii="宋体" w:hAnsi="宋体" w:eastAsia="宋体" w:cs="宋体"/>
          <w:b/>
          <w:color w:val="auto"/>
          <w:kern w:val="0"/>
          <w:sz w:val="24"/>
          <w:szCs w:val="22"/>
          <w:highlight w:val="none"/>
          <w:lang w:val="en-US" w:eastAsia="zh-CN" w:bidi="ar-SA"/>
        </w:rPr>
        <w:t>注：非监狱企业可不提供</w:t>
      </w:r>
    </w:p>
    <w:p>
      <w:pPr>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43" w:name="_Toc16753"/>
      <w:bookmarkStart w:id="44" w:name="_Toc30838"/>
      <w:bookmarkStart w:id="45" w:name="_Toc11296"/>
      <w:bookmarkStart w:id="46" w:name="_Toc30090"/>
      <w:bookmarkStart w:id="47" w:name="_Toc2290"/>
      <w:bookmarkStart w:id="48" w:name="_Toc16824"/>
    </w:p>
    <w:p>
      <w:pPr>
        <w:rPr>
          <w:rFonts w:hint="eastAsia" w:ascii="宋体" w:hAnsi="宋体" w:eastAsia="宋体" w:cs="宋体"/>
          <w:color w:val="auto"/>
          <w:highlight w:val="none"/>
        </w:rPr>
      </w:pPr>
    </w:p>
    <w:p>
      <w:pPr>
        <w:rPr>
          <w:rFonts w:hint="eastAsia" w:ascii="宋体" w:hAnsi="宋体" w:eastAsia="宋体" w:cs="宋体"/>
          <w:b/>
          <w:bCs/>
          <w:color w:val="auto"/>
          <w:sz w:val="28"/>
          <w:szCs w:val="36"/>
          <w:highlight w:val="none"/>
        </w:rPr>
      </w:pPr>
      <w:bookmarkStart w:id="49" w:name="_Toc28279"/>
      <w:bookmarkStart w:id="50" w:name="_Toc3073"/>
      <w:r>
        <w:rPr>
          <w:rFonts w:hint="eastAsia" w:ascii="宋体" w:hAnsi="宋体" w:eastAsia="宋体" w:cs="宋体"/>
          <w:b/>
          <w:bCs/>
          <w:color w:val="auto"/>
          <w:sz w:val="28"/>
          <w:szCs w:val="36"/>
          <w:highlight w:val="none"/>
        </w:rPr>
        <w:t>附件</w:t>
      </w:r>
      <w:bookmarkEnd w:id="42"/>
      <w:bookmarkEnd w:id="43"/>
      <w:bookmarkEnd w:id="44"/>
      <w:bookmarkEnd w:id="45"/>
      <w:bookmarkEnd w:id="46"/>
      <w:bookmarkEnd w:id="47"/>
      <w:bookmarkEnd w:id="48"/>
      <w:bookmarkEnd w:id="49"/>
      <w:bookmarkEnd w:id="50"/>
      <w:r>
        <w:rPr>
          <w:rFonts w:hint="eastAsia" w:ascii="宋体" w:hAnsi="宋体" w:eastAsia="宋体" w:cs="宋体"/>
          <w:b/>
          <w:bCs/>
          <w:color w:val="auto"/>
          <w:sz w:val="28"/>
          <w:szCs w:val="36"/>
          <w:highlight w:val="none"/>
        </w:rPr>
        <w:t>3</w:t>
      </w:r>
    </w:p>
    <w:p>
      <w:pPr>
        <w:widowControl/>
        <w:spacing w:after="24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残疾人福利性单位声明函</w:t>
      </w:r>
    </w:p>
    <w:p>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中国残疾人联合会关于促进残疾人就业政府采购政策的通知》（财库〔2017〕141号）的规定，本单位为符合条件的残疾人福利性单位，应当提供规定中满足条件的相关证明文件及《残疾人福利性单位声明函》。</w:t>
      </w:r>
    </w:p>
    <w:p>
      <w:pPr>
        <w:pStyle w:val="2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注：非残疾人福利性单位不填写此声明函。</w:t>
      </w:r>
    </w:p>
    <w:p>
      <w:pPr>
        <w:rPr>
          <w:rFonts w:hint="eastAsia" w:ascii="宋体" w:hAnsi="宋体" w:eastAsia="宋体" w:cs="宋体"/>
        </w:rPr>
      </w:pPr>
    </w:p>
    <w:p>
      <w:pPr>
        <w:pStyle w:val="15"/>
        <w:spacing w:line="460" w:lineRule="exact"/>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pStyle w:val="15"/>
        <w:spacing w:line="460" w:lineRule="exact"/>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七</w:t>
      </w:r>
      <w:r>
        <w:rPr>
          <w:rFonts w:hint="eastAsia" w:ascii="宋体" w:hAnsi="宋体" w:eastAsia="宋体" w:cs="宋体"/>
          <w:b/>
          <w:bCs/>
          <w:color w:val="auto"/>
          <w:sz w:val="28"/>
          <w:szCs w:val="28"/>
          <w:highlight w:val="none"/>
        </w:rPr>
        <w:t>、供应商认为需提供的其他资料</w:t>
      </w:r>
    </w:p>
    <w:p>
      <w:pPr>
        <w:pStyle w:val="15"/>
        <w:spacing w:line="460" w:lineRule="exact"/>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pStyle w:val="12"/>
        <w:rPr>
          <w:rFonts w:hint="eastAsia" w:ascii="宋体" w:hAnsi="宋体" w:eastAsia="宋体" w:cs="宋体"/>
          <w:b/>
          <w:bCs/>
          <w:color w:val="auto"/>
          <w:sz w:val="24"/>
          <w:szCs w:val="24"/>
          <w:highlight w:val="none"/>
        </w:rPr>
      </w:pPr>
    </w:p>
    <w:p>
      <w:pPr>
        <w:pStyle w:val="12"/>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ind w:firstLine="883" w:firstLineChars="200"/>
        <w:jc w:val="center"/>
        <w:rPr>
          <w:rFonts w:hint="eastAsia" w:ascii="宋体" w:hAnsi="宋体" w:eastAsia="宋体" w:cs="宋体"/>
          <w:b/>
          <w:bCs/>
          <w:color w:val="auto"/>
          <w:sz w:val="44"/>
          <w:szCs w:val="44"/>
          <w:highlight w:val="none"/>
        </w:rPr>
      </w:pPr>
    </w:p>
    <w:p>
      <w:pPr>
        <w:pStyle w:val="15"/>
        <w:jc w:val="both"/>
        <w:rPr>
          <w:rFonts w:hint="eastAsia" w:ascii="宋体" w:hAnsi="宋体" w:eastAsia="宋体" w:cs="宋体"/>
          <w:b/>
          <w:bCs/>
          <w:color w:val="auto"/>
          <w:sz w:val="44"/>
          <w:szCs w:val="44"/>
          <w:highlight w:val="none"/>
        </w:rPr>
      </w:pPr>
    </w:p>
    <w:p>
      <w:pPr>
        <w:pStyle w:val="15"/>
        <w:ind w:firstLine="883" w:firstLineChars="200"/>
        <w:jc w:val="center"/>
        <w:outlineLvl w:val="1"/>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(技术部分)</w:t>
      </w: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5"/>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技术方案（根据招标文件的评标方法及标准、项目采购需求编写，包括但不限于以下内容）</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产品配置及方案</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售后及培训服务</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pPr>
        <w:pStyle w:val="15"/>
        <w:spacing w:line="440" w:lineRule="exact"/>
        <w:ind w:firstLine="482" w:firstLineChars="20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格式自拟</w:t>
      </w:r>
    </w:p>
    <w:p>
      <w:pPr>
        <w:pStyle w:val="15"/>
        <w:spacing w:line="440" w:lineRule="exact"/>
        <w:ind w:firstLine="482" w:firstLineChars="200"/>
        <w:jc w:val="center"/>
        <w:rPr>
          <w:rFonts w:hint="eastAsia" w:ascii="宋体" w:hAnsi="宋体" w:eastAsia="宋体" w:cs="宋体"/>
          <w:b/>
          <w:bCs/>
          <w:color w:val="auto"/>
          <w:sz w:val="24"/>
          <w:szCs w:val="24"/>
          <w:highlight w:val="none"/>
        </w:rPr>
        <w:sectPr>
          <w:pgSz w:w="11906" w:h="16838"/>
          <w:pgMar w:top="1440" w:right="1080" w:bottom="1440" w:left="1080" w:header="851" w:footer="992" w:gutter="0"/>
          <w:cols w:space="425" w:num="1"/>
          <w:docGrid w:type="lines" w:linePitch="312" w:charSpace="0"/>
        </w:sectPr>
      </w:pPr>
    </w:p>
    <w:p>
      <w:pPr>
        <w:pStyle w:val="15"/>
        <w:spacing w:line="460" w:lineRule="exact"/>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rPr>
        <w:t>技术响应与偏离表</w:t>
      </w: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技术响应与偏离表</w:t>
      </w:r>
    </w:p>
    <w:p>
      <w:pPr>
        <w:pStyle w:val="1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p>
    <w:tbl>
      <w:tblPr>
        <w:tblStyle w:val="23"/>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144"/>
        <w:gridCol w:w="1068"/>
        <w:gridCol w:w="1688"/>
        <w:gridCol w:w="1856"/>
        <w:gridCol w:w="1621"/>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57"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w:t>
            </w:r>
          </w:p>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1144"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品牌</w:t>
            </w:r>
          </w:p>
        </w:tc>
        <w:tc>
          <w:tcPr>
            <w:tcW w:w="1068"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型号和规格</w:t>
            </w:r>
          </w:p>
        </w:tc>
        <w:tc>
          <w:tcPr>
            <w:tcW w:w="168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要求</w:t>
            </w:r>
          </w:p>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w:t>
            </w:r>
          </w:p>
        </w:tc>
        <w:tc>
          <w:tcPr>
            <w:tcW w:w="1856" w:type="dxa"/>
            <w:vAlign w:val="center"/>
          </w:tcPr>
          <w:p>
            <w:pPr>
              <w:pStyle w:val="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w:t>
            </w:r>
          </w:p>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w:t>
            </w:r>
          </w:p>
        </w:tc>
        <w:tc>
          <w:tcPr>
            <w:tcW w:w="1621"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偏离</w:t>
            </w:r>
            <w:r>
              <w:rPr>
                <w:rFonts w:hint="eastAsia" w:ascii="宋体" w:hAnsi="宋体" w:eastAsia="宋体" w:cs="宋体"/>
                <w:color w:val="auto"/>
                <w:sz w:val="24"/>
                <w:szCs w:val="24"/>
                <w:highlight w:val="none"/>
              </w:rPr>
              <w:t>响应情况</w:t>
            </w:r>
          </w:p>
        </w:tc>
        <w:tc>
          <w:tcPr>
            <w:tcW w:w="858" w:type="dxa"/>
            <w:vAlign w:val="center"/>
          </w:tcPr>
          <w:p>
            <w:pPr>
              <w:pStyle w:val="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pPr>
              <w:pStyle w:val="15"/>
              <w:jc w:val="center"/>
              <w:rPr>
                <w:rFonts w:hint="eastAsia" w:ascii="宋体" w:hAnsi="宋体" w:eastAsia="宋体" w:cs="宋体"/>
                <w:color w:val="auto"/>
                <w:sz w:val="24"/>
                <w:szCs w:val="24"/>
                <w:highlight w:val="none"/>
              </w:rPr>
            </w:pPr>
          </w:p>
        </w:tc>
        <w:tc>
          <w:tcPr>
            <w:tcW w:w="1144" w:type="dxa"/>
            <w:vAlign w:val="center"/>
          </w:tcPr>
          <w:p>
            <w:pPr>
              <w:pStyle w:val="15"/>
              <w:jc w:val="center"/>
              <w:rPr>
                <w:rFonts w:hint="eastAsia" w:ascii="宋体" w:hAnsi="宋体" w:eastAsia="宋体" w:cs="宋体"/>
                <w:color w:val="auto"/>
                <w:sz w:val="24"/>
                <w:szCs w:val="24"/>
                <w:highlight w:val="none"/>
              </w:rPr>
            </w:pPr>
          </w:p>
        </w:tc>
        <w:tc>
          <w:tcPr>
            <w:tcW w:w="1068" w:type="dxa"/>
            <w:vAlign w:val="center"/>
          </w:tcPr>
          <w:p>
            <w:pPr>
              <w:pStyle w:val="15"/>
              <w:jc w:val="center"/>
              <w:rPr>
                <w:rFonts w:hint="eastAsia" w:ascii="宋体" w:hAnsi="宋体" w:eastAsia="宋体" w:cs="宋体"/>
                <w:color w:val="auto"/>
                <w:sz w:val="24"/>
                <w:szCs w:val="24"/>
                <w:highlight w:val="none"/>
              </w:rPr>
            </w:pPr>
          </w:p>
        </w:tc>
        <w:tc>
          <w:tcPr>
            <w:tcW w:w="1688" w:type="dxa"/>
            <w:vAlign w:val="center"/>
          </w:tcPr>
          <w:p>
            <w:pPr>
              <w:pStyle w:val="15"/>
              <w:jc w:val="center"/>
              <w:rPr>
                <w:rFonts w:hint="eastAsia" w:ascii="宋体" w:hAnsi="宋体" w:eastAsia="宋体" w:cs="宋体"/>
                <w:color w:val="auto"/>
                <w:sz w:val="24"/>
                <w:szCs w:val="24"/>
                <w:highlight w:val="none"/>
              </w:rPr>
            </w:pPr>
          </w:p>
        </w:tc>
        <w:tc>
          <w:tcPr>
            <w:tcW w:w="1856" w:type="dxa"/>
            <w:vAlign w:val="center"/>
          </w:tcPr>
          <w:p>
            <w:pPr>
              <w:pStyle w:val="15"/>
              <w:jc w:val="center"/>
              <w:rPr>
                <w:rFonts w:hint="eastAsia" w:ascii="宋体" w:hAnsi="宋体" w:eastAsia="宋体" w:cs="宋体"/>
                <w:color w:val="auto"/>
                <w:sz w:val="24"/>
                <w:szCs w:val="24"/>
                <w:highlight w:val="none"/>
              </w:rPr>
            </w:pPr>
          </w:p>
        </w:tc>
        <w:tc>
          <w:tcPr>
            <w:tcW w:w="1621" w:type="dxa"/>
            <w:vAlign w:val="center"/>
          </w:tcPr>
          <w:p>
            <w:pPr>
              <w:pStyle w:val="15"/>
              <w:jc w:val="center"/>
              <w:rPr>
                <w:rFonts w:hint="eastAsia" w:ascii="宋体" w:hAnsi="宋体" w:eastAsia="宋体" w:cs="宋体"/>
                <w:color w:val="auto"/>
                <w:sz w:val="24"/>
                <w:szCs w:val="24"/>
                <w:highlight w:val="none"/>
              </w:rPr>
            </w:pPr>
          </w:p>
        </w:tc>
        <w:tc>
          <w:tcPr>
            <w:tcW w:w="858"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pPr>
              <w:pStyle w:val="15"/>
              <w:jc w:val="center"/>
              <w:rPr>
                <w:rFonts w:hint="eastAsia" w:ascii="宋体" w:hAnsi="宋体" w:eastAsia="宋体" w:cs="宋体"/>
                <w:color w:val="auto"/>
                <w:sz w:val="24"/>
                <w:szCs w:val="24"/>
                <w:highlight w:val="none"/>
              </w:rPr>
            </w:pPr>
          </w:p>
        </w:tc>
        <w:tc>
          <w:tcPr>
            <w:tcW w:w="1144" w:type="dxa"/>
            <w:vAlign w:val="center"/>
          </w:tcPr>
          <w:p>
            <w:pPr>
              <w:pStyle w:val="15"/>
              <w:jc w:val="center"/>
              <w:rPr>
                <w:rFonts w:hint="eastAsia" w:ascii="宋体" w:hAnsi="宋体" w:eastAsia="宋体" w:cs="宋体"/>
                <w:color w:val="auto"/>
                <w:sz w:val="24"/>
                <w:szCs w:val="24"/>
                <w:highlight w:val="none"/>
              </w:rPr>
            </w:pPr>
          </w:p>
        </w:tc>
        <w:tc>
          <w:tcPr>
            <w:tcW w:w="1068" w:type="dxa"/>
            <w:vAlign w:val="center"/>
          </w:tcPr>
          <w:p>
            <w:pPr>
              <w:pStyle w:val="15"/>
              <w:jc w:val="center"/>
              <w:rPr>
                <w:rFonts w:hint="eastAsia" w:ascii="宋体" w:hAnsi="宋体" w:eastAsia="宋体" w:cs="宋体"/>
                <w:color w:val="auto"/>
                <w:sz w:val="24"/>
                <w:szCs w:val="24"/>
                <w:highlight w:val="none"/>
              </w:rPr>
            </w:pPr>
          </w:p>
        </w:tc>
        <w:tc>
          <w:tcPr>
            <w:tcW w:w="1688" w:type="dxa"/>
            <w:vAlign w:val="center"/>
          </w:tcPr>
          <w:p>
            <w:pPr>
              <w:pStyle w:val="15"/>
              <w:jc w:val="center"/>
              <w:rPr>
                <w:rFonts w:hint="eastAsia" w:ascii="宋体" w:hAnsi="宋体" w:eastAsia="宋体" w:cs="宋体"/>
                <w:color w:val="auto"/>
                <w:sz w:val="24"/>
                <w:szCs w:val="24"/>
                <w:highlight w:val="none"/>
              </w:rPr>
            </w:pPr>
          </w:p>
        </w:tc>
        <w:tc>
          <w:tcPr>
            <w:tcW w:w="1856" w:type="dxa"/>
            <w:vAlign w:val="center"/>
          </w:tcPr>
          <w:p>
            <w:pPr>
              <w:pStyle w:val="15"/>
              <w:jc w:val="center"/>
              <w:rPr>
                <w:rFonts w:hint="eastAsia" w:ascii="宋体" w:hAnsi="宋体" w:eastAsia="宋体" w:cs="宋体"/>
                <w:color w:val="auto"/>
                <w:sz w:val="24"/>
                <w:szCs w:val="24"/>
                <w:highlight w:val="none"/>
              </w:rPr>
            </w:pPr>
          </w:p>
        </w:tc>
        <w:tc>
          <w:tcPr>
            <w:tcW w:w="1621" w:type="dxa"/>
            <w:vAlign w:val="center"/>
          </w:tcPr>
          <w:p>
            <w:pPr>
              <w:pStyle w:val="15"/>
              <w:jc w:val="center"/>
              <w:rPr>
                <w:rFonts w:hint="eastAsia" w:ascii="宋体" w:hAnsi="宋体" w:eastAsia="宋体" w:cs="宋体"/>
                <w:color w:val="auto"/>
                <w:sz w:val="24"/>
                <w:szCs w:val="24"/>
                <w:highlight w:val="none"/>
              </w:rPr>
            </w:pPr>
          </w:p>
        </w:tc>
        <w:tc>
          <w:tcPr>
            <w:tcW w:w="858"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pPr>
              <w:pStyle w:val="15"/>
              <w:jc w:val="center"/>
              <w:rPr>
                <w:rFonts w:hint="eastAsia" w:ascii="宋体" w:hAnsi="宋体" w:eastAsia="宋体" w:cs="宋体"/>
                <w:color w:val="auto"/>
                <w:sz w:val="24"/>
                <w:szCs w:val="24"/>
                <w:highlight w:val="none"/>
              </w:rPr>
            </w:pPr>
          </w:p>
        </w:tc>
        <w:tc>
          <w:tcPr>
            <w:tcW w:w="1144" w:type="dxa"/>
            <w:vAlign w:val="center"/>
          </w:tcPr>
          <w:p>
            <w:pPr>
              <w:pStyle w:val="15"/>
              <w:jc w:val="center"/>
              <w:rPr>
                <w:rFonts w:hint="eastAsia" w:ascii="宋体" w:hAnsi="宋体" w:eastAsia="宋体" w:cs="宋体"/>
                <w:color w:val="auto"/>
                <w:sz w:val="24"/>
                <w:szCs w:val="24"/>
                <w:highlight w:val="none"/>
              </w:rPr>
            </w:pPr>
          </w:p>
        </w:tc>
        <w:tc>
          <w:tcPr>
            <w:tcW w:w="1068" w:type="dxa"/>
            <w:vAlign w:val="center"/>
          </w:tcPr>
          <w:p>
            <w:pPr>
              <w:pStyle w:val="15"/>
              <w:jc w:val="center"/>
              <w:rPr>
                <w:rFonts w:hint="eastAsia" w:ascii="宋体" w:hAnsi="宋体" w:eastAsia="宋体" w:cs="宋体"/>
                <w:color w:val="auto"/>
                <w:sz w:val="24"/>
                <w:szCs w:val="24"/>
                <w:highlight w:val="none"/>
              </w:rPr>
            </w:pPr>
          </w:p>
        </w:tc>
        <w:tc>
          <w:tcPr>
            <w:tcW w:w="1688" w:type="dxa"/>
            <w:vAlign w:val="center"/>
          </w:tcPr>
          <w:p>
            <w:pPr>
              <w:pStyle w:val="15"/>
              <w:jc w:val="center"/>
              <w:rPr>
                <w:rFonts w:hint="eastAsia" w:ascii="宋体" w:hAnsi="宋体" w:eastAsia="宋体" w:cs="宋体"/>
                <w:color w:val="auto"/>
                <w:sz w:val="24"/>
                <w:szCs w:val="24"/>
                <w:highlight w:val="none"/>
              </w:rPr>
            </w:pPr>
          </w:p>
        </w:tc>
        <w:tc>
          <w:tcPr>
            <w:tcW w:w="1856" w:type="dxa"/>
            <w:vAlign w:val="center"/>
          </w:tcPr>
          <w:p>
            <w:pPr>
              <w:pStyle w:val="15"/>
              <w:jc w:val="center"/>
              <w:rPr>
                <w:rFonts w:hint="eastAsia" w:ascii="宋体" w:hAnsi="宋体" w:eastAsia="宋体" w:cs="宋体"/>
                <w:color w:val="auto"/>
                <w:sz w:val="24"/>
                <w:szCs w:val="24"/>
                <w:highlight w:val="none"/>
              </w:rPr>
            </w:pPr>
          </w:p>
        </w:tc>
        <w:tc>
          <w:tcPr>
            <w:tcW w:w="1621" w:type="dxa"/>
            <w:vAlign w:val="center"/>
          </w:tcPr>
          <w:p>
            <w:pPr>
              <w:pStyle w:val="15"/>
              <w:jc w:val="center"/>
              <w:rPr>
                <w:rFonts w:hint="eastAsia" w:ascii="宋体" w:hAnsi="宋体" w:eastAsia="宋体" w:cs="宋体"/>
                <w:color w:val="auto"/>
                <w:sz w:val="24"/>
                <w:szCs w:val="24"/>
                <w:highlight w:val="none"/>
              </w:rPr>
            </w:pPr>
          </w:p>
        </w:tc>
        <w:tc>
          <w:tcPr>
            <w:tcW w:w="858"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pPr>
              <w:pStyle w:val="15"/>
              <w:jc w:val="center"/>
              <w:rPr>
                <w:rFonts w:hint="eastAsia" w:ascii="宋体" w:hAnsi="宋体" w:eastAsia="宋体" w:cs="宋体"/>
                <w:color w:val="auto"/>
                <w:sz w:val="24"/>
                <w:szCs w:val="24"/>
                <w:highlight w:val="none"/>
              </w:rPr>
            </w:pPr>
          </w:p>
        </w:tc>
        <w:tc>
          <w:tcPr>
            <w:tcW w:w="1144" w:type="dxa"/>
            <w:vAlign w:val="center"/>
          </w:tcPr>
          <w:p>
            <w:pPr>
              <w:pStyle w:val="15"/>
              <w:jc w:val="center"/>
              <w:rPr>
                <w:rFonts w:hint="eastAsia" w:ascii="宋体" w:hAnsi="宋体" w:eastAsia="宋体" w:cs="宋体"/>
                <w:color w:val="auto"/>
                <w:sz w:val="24"/>
                <w:szCs w:val="24"/>
                <w:highlight w:val="none"/>
              </w:rPr>
            </w:pPr>
          </w:p>
        </w:tc>
        <w:tc>
          <w:tcPr>
            <w:tcW w:w="1068" w:type="dxa"/>
            <w:vAlign w:val="center"/>
          </w:tcPr>
          <w:p>
            <w:pPr>
              <w:pStyle w:val="15"/>
              <w:jc w:val="center"/>
              <w:rPr>
                <w:rFonts w:hint="eastAsia" w:ascii="宋体" w:hAnsi="宋体" w:eastAsia="宋体" w:cs="宋体"/>
                <w:color w:val="auto"/>
                <w:sz w:val="24"/>
                <w:szCs w:val="24"/>
                <w:highlight w:val="none"/>
              </w:rPr>
            </w:pPr>
          </w:p>
        </w:tc>
        <w:tc>
          <w:tcPr>
            <w:tcW w:w="1688" w:type="dxa"/>
            <w:vAlign w:val="center"/>
          </w:tcPr>
          <w:p>
            <w:pPr>
              <w:pStyle w:val="15"/>
              <w:jc w:val="center"/>
              <w:rPr>
                <w:rFonts w:hint="eastAsia" w:ascii="宋体" w:hAnsi="宋体" w:eastAsia="宋体" w:cs="宋体"/>
                <w:color w:val="auto"/>
                <w:sz w:val="24"/>
                <w:szCs w:val="24"/>
                <w:highlight w:val="none"/>
              </w:rPr>
            </w:pPr>
          </w:p>
        </w:tc>
        <w:tc>
          <w:tcPr>
            <w:tcW w:w="1856" w:type="dxa"/>
            <w:vAlign w:val="center"/>
          </w:tcPr>
          <w:p>
            <w:pPr>
              <w:pStyle w:val="15"/>
              <w:jc w:val="center"/>
              <w:rPr>
                <w:rFonts w:hint="eastAsia" w:ascii="宋体" w:hAnsi="宋体" w:eastAsia="宋体" w:cs="宋体"/>
                <w:color w:val="auto"/>
                <w:sz w:val="24"/>
                <w:szCs w:val="24"/>
                <w:highlight w:val="none"/>
              </w:rPr>
            </w:pPr>
          </w:p>
        </w:tc>
        <w:tc>
          <w:tcPr>
            <w:tcW w:w="1621" w:type="dxa"/>
            <w:vAlign w:val="center"/>
          </w:tcPr>
          <w:p>
            <w:pPr>
              <w:pStyle w:val="15"/>
              <w:jc w:val="center"/>
              <w:rPr>
                <w:rFonts w:hint="eastAsia" w:ascii="宋体" w:hAnsi="宋体" w:eastAsia="宋体" w:cs="宋体"/>
                <w:color w:val="auto"/>
                <w:sz w:val="24"/>
                <w:szCs w:val="24"/>
                <w:highlight w:val="none"/>
              </w:rPr>
            </w:pPr>
          </w:p>
        </w:tc>
        <w:tc>
          <w:tcPr>
            <w:tcW w:w="858"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57" w:type="dxa"/>
            <w:vAlign w:val="center"/>
          </w:tcPr>
          <w:p>
            <w:pPr>
              <w:pStyle w:val="15"/>
              <w:jc w:val="center"/>
              <w:rPr>
                <w:rFonts w:hint="eastAsia" w:ascii="宋体" w:hAnsi="宋体" w:eastAsia="宋体" w:cs="宋体"/>
                <w:color w:val="auto"/>
                <w:sz w:val="24"/>
                <w:szCs w:val="24"/>
                <w:highlight w:val="none"/>
              </w:rPr>
            </w:pPr>
          </w:p>
        </w:tc>
        <w:tc>
          <w:tcPr>
            <w:tcW w:w="1144" w:type="dxa"/>
            <w:vAlign w:val="center"/>
          </w:tcPr>
          <w:p>
            <w:pPr>
              <w:pStyle w:val="15"/>
              <w:jc w:val="center"/>
              <w:rPr>
                <w:rFonts w:hint="eastAsia" w:ascii="宋体" w:hAnsi="宋体" w:eastAsia="宋体" w:cs="宋体"/>
                <w:color w:val="auto"/>
                <w:sz w:val="24"/>
                <w:szCs w:val="24"/>
                <w:highlight w:val="none"/>
              </w:rPr>
            </w:pPr>
          </w:p>
        </w:tc>
        <w:tc>
          <w:tcPr>
            <w:tcW w:w="1068" w:type="dxa"/>
            <w:vAlign w:val="center"/>
          </w:tcPr>
          <w:p>
            <w:pPr>
              <w:pStyle w:val="15"/>
              <w:jc w:val="center"/>
              <w:rPr>
                <w:rFonts w:hint="eastAsia" w:ascii="宋体" w:hAnsi="宋体" w:eastAsia="宋体" w:cs="宋体"/>
                <w:color w:val="auto"/>
                <w:sz w:val="24"/>
                <w:szCs w:val="24"/>
                <w:highlight w:val="none"/>
              </w:rPr>
            </w:pPr>
          </w:p>
        </w:tc>
        <w:tc>
          <w:tcPr>
            <w:tcW w:w="1688" w:type="dxa"/>
            <w:vAlign w:val="center"/>
          </w:tcPr>
          <w:p>
            <w:pPr>
              <w:pStyle w:val="15"/>
              <w:jc w:val="center"/>
              <w:rPr>
                <w:rFonts w:hint="eastAsia" w:ascii="宋体" w:hAnsi="宋体" w:eastAsia="宋体" w:cs="宋体"/>
                <w:color w:val="auto"/>
                <w:sz w:val="24"/>
                <w:szCs w:val="24"/>
                <w:highlight w:val="none"/>
              </w:rPr>
            </w:pPr>
          </w:p>
        </w:tc>
        <w:tc>
          <w:tcPr>
            <w:tcW w:w="1856" w:type="dxa"/>
            <w:vAlign w:val="center"/>
          </w:tcPr>
          <w:p>
            <w:pPr>
              <w:pStyle w:val="15"/>
              <w:jc w:val="center"/>
              <w:rPr>
                <w:rFonts w:hint="eastAsia" w:ascii="宋体" w:hAnsi="宋体" w:eastAsia="宋体" w:cs="宋体"/>
                <w:color w:val="auto"/>
                <w:sz w:val="24"/>
                <w:szCs w:val="24"/>
                <w:highlight w:val="none"/>
              </w:rPr>
            </w:pPr>
          </w:p>
        </w:tc>
        <w:tc>
          <w:tcPr>
            <w:tcW w:w="1621" w:type="dxa"/>
            <w:vAlign w:val="center"/>
          </w:tcPr>
          <w:p>
            <w:pPr>
              <w:pStyle w:val="15"/>
              <w:jc w:val="center"/>
              <w:rPr>
                <w:rFonts w:hint="eastAsia" w:ascii="宋体" w:hAnsi="宋体" w:eastAsia="宋体" w:cs="宋体"/>
                <w:color w:val="auto"/>
                <w:sz w:val="24"/>
                <w:szCs w:val="24"/>
                <w:highlight w:val="none"/>
              </w:rPr>
            </w:pPr>
          </w:p>
        </w:tc>
        <w:tc>
          <w:tcPr>
            <w:tcW w:w="858" w:type="dxa"/>
            <w:vAlign w:val="center"/>
          </w:tcPr>
          <w:p>
            <w:pPr>
              <w:pStyle w:val="15"/>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7" w:type="dxa"/>
            <w:vAlign w:val="center"/>
          </w:tcPr>
          <w:p>
            <w:pPr>
              <w:pStyle w:val="15"/>
              <w:jc w:val="center"/>
              <w:rPr>
                <w:rFonts w:hint="eastAsia" w:ascii="宋体" w:hAnsi="宋体" w:eastAsia="宋体" w:cs="宋体"/>
                <w:color w:val="auto"/>
                <w:sz w:val="24"/>
                <w:szCs w:val="24"/>
                <w:highlight w:val="none"/>
              </w:rPr>
            </w:pPr>
          </w:p>
        </w:tc>
        <w:tc>
          <w:tcPr>
            <w:tcW w:w="1144" w:type="dxa"/>
            <w:vAlign w:val="center"/>
          </w:tcPr>
          <w:p>
            <w:pPr>
              <w:pStyle w:val="15"/>
              <w:jc w:val="center"/>
              <w:rPr>
                <w:rFonts w:hint="eastAsia" w:ascii="宋体" w:hAnsi="宋体" w:eastAsia="宋体" w:cs="宋体"/>
                <w:color w:val="auto"/>
                <w:sz w:val="24"/>
                <w:szCs w:val="24"/>
                <w:highlight w:val="none"/>
              </w:rPr>
            </w:pPr>
          </w:p>
        </w:tc>
        <w:tc>
          <w:tcPr>
            <w:tcW w:w="1068" w:type="dxa"/>
            <w:vAlign w:val="center"/>
          </w:tcPr>
          <w:p>
            <w:pPr>
              <w:pStyle w:val="15"/>
              <w:jc w:val="center"/>
              <w:rPr>
                <w:rFonts w:hint="eastAsia" w:ascii="宋体" w:hAnsi="宋体" w:eastAsia="宋体" w:cs="宋体"/>
                <w:color w:val="auto"/>
                <w:sz w:val="24"/>
                <w:szCs w:val="24"/>
                <w:highlight w:val="none"/>
              </w:rPr>
            </w:pPr>
          </w:p>
        </w:tc>
        <w:tc>
          <w:tcPr>
            <w:tcW w:w="1688" w:type="dxa"/>
            <w:vAlign w:val="center"/>
          </w:tcPr>
          <w:p>
            <w:pPr>
              <w:pStyle w:val="15"/>
              <w:jc w:val="center"/>
              <w:rPr>
                <w:rFonts w:hint="eastAsia" w:ascii="宋体" w:hAnsi="宋体" w:eastAsia="宋体" w:cs="宋体"/>
                <w:color w:val="auto"/>
                <w:sz w:val="24"/>
                <w:szCs w:val="24"/>
                <w:highlight w:val="none"/>
              </w:rPr>
            </w:pPr>
          </w:p>
        </w:tc>
        <w:tc>
          <w:tcPr>
            <w:tcW w:w="1856" w:type="dxa"/>
            <w:vAlign w:val="center"/>
          </w:tcPr>
          <w:p>
            <w:pPr>
              <w:pStyle w:val="15"/>
              <w:jc w:val="center"/>
              <w:rPr>
                <w:rFonts w:hint="eastAsia" w:ascii="宋体" w:hAnsi="宋体" w:eastAsia="宋体" w:cs="宋体"/>
                <w:color w:val="auto"/>
                <w:sz w:val="24"/>
                <w:szCs w:val="24"/>
                <w:highlight w:val="none"/>
              </w:rPr>
            </w:pPr>
          </w:p>
        </w:tc>
        <w:tc>
          <w:tcPr>
            <w:tcW w:w="1621" w:type="dxa"/>
            <w:vAlign w:val="center"/>
          </w:tcPr>
          <w:p>
            <w:pPr>
              <w:pStyle w:val="15"/>
              <w:jc w:val="center"/>
              <w:rPr>
                <w:rFonts w:hint="eastAsia" w:ascii="宋体" w:hAnsi="宋体" w:eastAsia="宋体" w:cs="宋体"/>
                <w:color w:val="auto"/>
                <w:sz w:val="24"/>
                <w:szCs w:val="24"/>
                <w:highlight w:val="none"/>
              </w:rPr>
            </w:pPr>
          </w:p>
        </w:tc>
        <w:tc>
          <w:tcPr>
            <w:tcW w:w="858" w:type="dxa"/>
            <w:vAlign w:val="center"/>
          </w:tcPr>
          <w:p>
            <w:pPr>
              <w:pStyle w:val="15"/>
              <w:jc w:val="center"/>
              <w:rPr>
                <w:rFonts w:hint="eastAsia" w:ascii="宋体" w:hAnsi="宋体" w:eastAsia="宋体" w:cs="宋体"/>
                <w:color w:val="auto"/>
                <w:sz w:val="24"/>
                <w:szCs w:val="24"/>
                <w:highlight w:val="none"/>
              </w:rPr>
            </w:pPr>
          </w:p>
        </w:tc>
      </w:tr>
    </w:tbl>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应对照</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项目采购需求”的</w:t>
      </w:r>
      <w:r>
        <w:rPr>
          <w:rFonts w:hint="eastAsia" w:ascii="宋体" w:hAnsi="宋体" w:cs="宋体"/>
          <w:b/>
          <w:bCs/>
          <w:color w:val="auto"/>
          <w:sz w:val="24"/>
          <w:highlight w:val="none"/>
          <w:lang w:val="en-US" w:eastAsia="zh-CN"/>
        </w:rPr>
        <w:t>采购需求及技术参数要求</w:t>
      </w:r>
      <w:r>
        <w:rPr>
          <w:rFonts w:hint="eastAsia" w:ascii="宋体" w:hAnsi="宋体" w:eastAsia="宋体" w:cs="宋体"/>
          <w:color w:val="auto"/>
          <w:sz w:val="24"/>
          <w:szCs w:val="24"/>
          <w:highlight w:val="none"/>
        </w:rPr>
        <w:t>，在“偏离响应情况”项中填写“正</w:t>
      </w:r>
      <w:r>
        <w:rPr>
          <w:rFonts w:hint="eastAsia" w:ascii="宋体" w:hAnsi="宋体" w:eastAsia="宋体" w:cs="宋体"/>
          <w:color w:val="auto"/>
          <w:sz w:val="24"/>
          <w:szCs w:val="24"/>
          <w:highlight w:val="none"/>
          <w:lang w:eastAsia="zh-CN"/>
        </w:rPr>
        <w:t>偏离</w:t>
      </w:r>
      <w:r>
        <w:rPr>
          <w:rFonts w:hint="eastAsia" w:ascii="宋体" w:hAnsi="宋体" w:eastAsia="宋体" w:cs="宋体"/>
          <w:color w:val="auto"/>
          <w:sz w:val="24"/>
          <w:szCs w:val="24"/>
          <w:highlight w:val="none"/>
        </w:rPr>
        <w:t>”、“负</w:t>
      </w:r>
      <w:r>
        <w:rPr>
          <w:rFonts w:hint="eastAsia" w:ascii="宋体" w:hAnsi="宋体" w:eastAsia="宋体" w:cs="宋体"/>
          <w:color w:val="auto"/>
          <w:sz w:val="24"/>
          <w:szCs w:val="24"/>
          <w:highlight w:val="none"/>
          <w:lang w:eastAsia="zh-CN"/>
        </w:rPr>
        <w:t>偏离</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”，逐条说明已对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内容做出了实质性的响应，并</w:t>
      </w:r>
      <w:r>
        <w:rPr>
          <w:rFonts w:hint="eastAsia" w:ascii="宋体" w:hAnsi="宋体" w:eastAsia="宋体" w:cs="宋体"/>
          <w:color w:val="auto"/>
          <w:sz w:val="24"/>
          <w:szCs w:val="24"/>
          <w:highlight w:val="none"/>
          <w:lang w:eastAsia="zh-CN"/>
        </w:rPr>
        <w:t>声明</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文件的偏差和例外</w:t>
      </w:r>
      <w:r>
        <w:rPr>
          <w:rFonts w:hint="eastAsia" w:ascii="宋体" w:hAnsi="宋体" w:eastAsia="宋体" w:cs="宋体"/>
          <w:color w:val="auto"/>
          <w:sz w:val="24"/>
          <w:szCs w:val="24"/>
          <w:highlight w:val="none"/>
          <w:lang w:eastAsia="zh-CN"/>
        </w:rPr>
        <w:t>。</w:t>
      </w:r>
    </w:p>
    <w:p>
      <w:pPr>
        <w:pStyle w:val="15"/>
        <w:ind w:firstLine="480" w:firstLineChars="200"/>
        <w:rPr>
          <w:rFonts w:hint="eastAsia" w:ascii="宋体" w:hAnsi="宋体" w:eastAsia="宋体" w:cs="宋体"/>
          <w:color w:val="auto"/>
          <w:sz w:val="24"/>
          <w:szCs w:val="24"/>
          <w:highlight w:val="none"/>
        </w:rPr>
      </w:pPr>
    </w:p>
    <w:p>
      <w:pPr>
        <w:pStyle w:val="15"/>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投标人名称(公章)：____________</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说明：授权用投标专用章的，与公章具有相同法律效力。</w:t>
      </w:r>
    </w:p>
    <w:p>
      <w:pPr>
        <w:pStyle w:val="15"/>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w:t>
      </w:r>
      <w:r>
        <w:rPr>
          <w:rFonts w:hint="eastAsia" w:hAnsi="宋体" w:cs="宋体"/>
          <w:b/>
          <w:bCs/>
          <w:color w:val="auto"/>
          <w:sz w:val="24"/>
          <w:szCs w:val="24"/>
          <w:highlight w:val="none"/>
          <w:lang w:eastAsia="zh-CN"/>
        </w:rPr>
        <w:t>可后附“第六章</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lang w:eastAsia="zh-CN"/>
        </w:rPr>
        <w:t>项目采购需求”</w:t>
      </w:r>
      <w:r>
        <w:rPr>
          <w:rFonts w:hint="eastAsia" w:ascii="宋体" w:hAnsi="宋体" w:cs="宋体"/>
          <w:b/>
          <w:bCs/>
          <w:color w:val="auto"/>
          <w:sz w:val="24"/>
          <w:highlight w:val="none"/>
          <w:lang w:val="en-US" w:eastAsia="zh-CN"/>
        </w:rPr>
        <w:t>采购需求及技术参数要求</w:t>
      </w:r>
      <w:r>
        <w:rPr>
          <w:rFonts w:hint="eastAsia" w:hAnsi="宋体" w:cs="宋体"/>
          <w:b/>
          <w:bCs/>
          <w:color w:val="auto"/>
          <w:sz w:val="24"/>
          <w:szCs w:val="24"/>
          <w:highlight w:val="none"/>
          <w:lang w:eastAsia="zh-CN"/>
        </w:rPr>
        <w:t>中所投产品的相关技术资料等内容。</w:t>
      </w:r>
    </w:p>
    <w:p>
      <w:pPr>
        <w:pStyle w:val="15"/>
        <w:spacing w:line="460" w:lineRule="exact"/>
        <w:jc w:val="center"/>
        <w:outlineLvl w:val="1"/>
        <w:rPr>
          <w:rFonts w:hint="eastAsia" w:ascii="宋体" w:hAnsi="宋体" w:eastAsia="宋体" w:cs="宋体"/>
          <w:b/>
          <w:bCs/>
          <w:color w:val="auto"/>
          <w:sz w:val="28"/>
          <w:szCs w:val="28"/>
          <w:highlight w:val="none"/>
          <w:lang w:eastAsia="zh-CN"/>
        </w:rPr>
      </w:pPr>
    </w:p>
    <w:p>
      <w:pPr>
        <w:pStyle w:val="15"/>
        <w:spacing w:line="460" w:lineRule="exact"/>
        <w:jc w:val="center"/>
        <w:outlineLvl w:val="1"/>
        <w:rPr>
          <w:rFonts w:hint="eastAsia" w:ascii="宋体" w:hAnsi="宋体" w:eastAsia="宋体" w:cs="宋体"/>
          <w:b/>
          <w:bCs/>
          <w:color w:val="auto"/>
          <w:sz w:val="28"/>
          <w:szCs w:val="28"/>
          <w:highlight w:val="none"/>
          <w:lang w:eastAsia="zh-CN"/>
        </w:rPr>
      </w:pPr>
    </w:p>
    <w:p>
      <w:pPr>
        <w:pStyle w:val="15"/>
        <w:spacing w:line="460" w:lineRule="exact"/>
        <w:jc w:val="center"/>
        <w:outlineLvl w:val="1"/>
        <w:rPr>
          <w:rFonts w:hint="eastAsia" w:ascii="宋体" w:hAnsi="宋体" w:eastAsia="宋体" w:cs="宋体"/>
          <w:b/>
          <w:bCs/>
          <w:color w:val="auto"/>
          <w:sz w:val="28"/>
          <w:szCs w:val="28"/>
          <w:highlight w:val="none"/>
          <w:lang w:eastAsia="zh-CN"/>
        </w:rPr>
      </w:pPr>
    </w:p>
    <w:p>
      <w:pPr>
        <w:pStyle w:val="15"/>
        <w:spacing w:line="460" w:lineRule="exact"/>
        <w:jc w:val="center"/>
        <w:outlineLvl w:val="1"/>
        <w:rPr>
          <w:rFonts w:hint="eastAsia" w:ascii="宋体" w:hAnsi="宋体" w:eastAsia="宋体" w:cs="宋体"/>
          <w:b/>
          <w:bCs/>
          <w:color w:val="auto"/>
          <w:sz w:val="28"/>
          <w:szCs w:val="28"/>
          <w:highlight w:val="none"/>
          <w:lang w:eastAsia="zh-CN"/>
        </w:rPr>
      </w:pPr>
    </w:p>
    <w:p>
      <w:pPr>
        <w:pStyle w:val="15"/>
        <w:spacing w:line="460" w:lineRule="exact"/>
        <w:jc w:val="center"/>
        <w:outlineLvl w:val="1"/>
        <w:rPr>
          <w:rFonts w:hint="eastAsia" w:ascii="宋体" w:hAnsi="宋体" w:eastAsia="宋体" w:cs="宋体"/>
          <w:b/>
          <w:bCs/>
          <w:color w:val="auto"/>
          <w:sz w:val="28"/>
          <w:szCs w:val="28"/>
          <w:highlight w:val="none"/>
          <w:lang w:eastAsia="zh-CN"/>
        </w:rPr>
      </w:pPr>
    </w:p>
    <w:p>
      <w:pPr>
        <w:pStyle w:val="15"/>
        <w:spacing w:line="46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、投标人服务承诺</w:t>
      </w:r>
    </w:p>
    <w:p>
      <w:pPr>
        <w:spacing w:line="440" w:lineRule="exact"/>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格式自拟</w:t>
      </w: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5"/>
        <w:spacing w:line="46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、用于本项目人员简历表</w:t>
      </w:r>
    </w:p>
    <w:p>
      <w:pPr>
        <w:pStyle w:val="15"/>
        <w:spacing w:line="460" w:lineRule="exact"/>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用于本项目人员简历表</w:t>
      </w:r>
    </w:p>
    <w:tbl>
      <w:tblPr>
        <w:tblStyle w:val="23"/>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1898"/>
        <w:gridCol w:w="2140"/>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毕业学校、专业</w:t>
            </w:r>
          </w:p>
        </w:tc>
        <w:tc>
          <w:tcPr>
            <w:tcW w:w="6659" w:type="dxa"/>
            <w:gridSpan w:val="3"/>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拟在本项目任职</w:t>
            </w: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w:t>
            </w: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执业资格证书号</w:t>
            </w: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20" w:type="dxa"/>
            <w:gridSpan w:val="4"/>
            <w:vAlign w:val="center"/>
          </w:tcPr>
          <w:p>
            <w:pPr>
              <w:pStyle w:val="15"/>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类似项目名称</w:t>
            </w: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61" w:type="dxa"/>
            <w:vAlign w:val="center"/>
          </w:tcPr>
          <w:p>
            <w:pPr>
              <w:pStyle w:val="15"/>
              <w:spacing w:line="460" w:lineRule="exact"/>
              <w:jc w:val="center"/>
              <w:rPr>
                <w:rFonts w:hint="eastAsia" w:ascii="宋体" w:hAnsi="宋体" w:eastAsia="宋体" w:cs="宋体"/>
                <w:color w:val="auto"/>
                <w:sz w:val="24"/>
                <w:szCs w:val="24"/>
                <w:highlight w:val="none"/>
              </w:rPr>
            </w:pPr>
          </w:p>
        </w:tc>
        <w:tc>
          <w:tcPr>
            <w:tcW w:w="1898"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140" w:type="dxa"/>
            <w:vAlign w:val="center"/>
          </w:tcPr>
          <w:p>
            <w:pPr>
              <w:pStyle w:val="15"/>
              <w:spacing w:line="460" w:lineRule="exact"/>
              <w:jc w:val="center"/>
              <w:rPr>
                <w:rFonts w:hint="eastAsia" w:ascii="宋体" w:hAnsi="宋体" w:eastAsia="宋体" w:cs="宋体"/>
                <w:color w:val="auto"/>
                <w:sz w:val="24"/>
                <w:szCs w:val="24"/>
                <w:highlight w:val="none"/>
              </w:rPr>
            </w:pPr>
          </w:p>
        </w:tc>
        <w:tc>
          <w:tcPr>
            <w:tcW w:w="2621" w:type="dxa"/>
            <w:vAlign w:val="center"/>
          </w:tcPr>
          <w:p>
            <w:pPr>
              <w:pStyle w:val="15"/>
              <w:spacing w:line="460" w:lineRule="exact"/>
              <w:jc w:val="center"/>
              <w:rPr>
                <w:rFonts w:hint="eastAsia" w:ascii="宋体" w:hAnsi="宋体" w:eastAsia="宋体" w:cs="宋体"/>
                <w:color w:val="auto"/>
                <w:sz w:val="24"/>
                <w:szCs w:val="24"/>
                <w:highlight w:val="none"/>
              </w:rPr>
            </w:pPr>
          </w:p>
        </w:tc>
      </w:tr>
    </w:tbl>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法定代表人或授权代表(签字或盖章)：____________</w:t>
      </w: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5"/>
        <w:spacing w:line="460" w:lineRule="exact"/>
        <w:ind w:firstLine="480" w:firstLineChars="200"/>
        <w:rPr>
          <w:rFonts w:hint="eastAsia" w:ascii="宋体" w:hAnsi="宋体" w:eastAsia="宋体" w:cs="宋体"/>
          <w:color w:val="auto"/>
          <w:sz w:val="24"/>
          <w:szCs w:val="24"/>
          <w:highlight w:val="none"/>
        </w:rPr>
      </w:pPr>
    </w:p>
    <w:p>
      <w:pPr>
        <w:pStyle w:val="15"/>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说明：授权用投标专用章的，与公章具有相同法律效力。</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2"/>
        <w:rPr>
          <w:rFonts w:hint="eastAsia" w:ascii="宋体" w:hAnsi="宋体" w:eastAsia="宋体" w:cs="宋体"/>
          <w:color w:val="auto"/>
          <w:highlight w:val="none"/>
        </w:rPr>
        <w:sectPr>
          <w:pgSz w:w="11906" w:h="16838"/>
          <w:pgMar w:top="1134" w:right="1134" w:bottom="1134" w:left="1134" w:header="851" w:footer="992" w:gutter="0"/>
          <w:cols w:space="425" w:num="1"/>
          <w:docGrid w:type="lines" w:linePitch="312" w:charSpace="0"/>
        </w:sectPr>
      </w:pPr>
    </w:p>
    <w:p>
      <w:pPr>
        <w:pStyle w:val="3"/>
        <w:numPr>
          <w:ilvl w:val="0"/>
          <w:numId w:val="0"/>
        </w:numPr>
        <w:spacing w:line="360" w:lineRule="auto"/>
        <w:jc w:val="center"/>
        <w:outlineLvl w:val="0"/>
        <w:rPr>
          <w:rFonts w:hint="eastAsia" w:ascii="宋体" w:hAnsi="宋体" w:eastAsia="宋体" w:cs="宋体"/>
          <w:color w:val="auto"/>
          <w:sz w:val="30"/>
          <w:szCs w:val="30"/>
          <w:highlight w:val="none"/>
        </w:rPr>
      </w:pPr>
      <w:bookmarkStart w:id="51" w:name="_Toc18049"/>
      <w:bookmarkStart w:id="52" w:name="_Toc19039"/>
      <w:r>
        <w:rPr>
          <w:rFonts w:hint="eastAsia" w:ascii="宋体" w:hAnsi="宋体" w:eastAsia="宋体" w:cs="宋体"/>
          <w:color w:val="auto"/>
          <w:sz w:val="30"/>
          <w:szCs w:val="30"/>
          <w:highlight w:val="none"/>
          <w:lang w:eastAsia="zh-CN"/>
        </w:rPr>
        <w:t>第二部分</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技术部分</w:t>
      </w:r>
      <w:bookmarkEnd w:id="51"/>
      <w:bookmarkEnd w:id="52"/>
    </w:p>
    <w:p>
      <w:pPr>
        <w:numPr>
          <w:ilvl w:val="0"/>
          <w:numId w:val="0"/>
        </w:numPr>
        <w:jc w:val="center"/>
        <w:outlineLvl w:val="0"/>
        <w:rPr>
          <w:rFonts w:hint="eastAsia" w:ascii="宋体" w:hAnsi="宋体" w:eastAsia="宋体" w:cs="宋体"/>
          <w:b/>
          <w:bCs/>
          <w:color w:val="auto"/>
          <w:sz w:val="30"/>
          <w:szCs w:val="30"/>
          <w:highlight w:val="none"/>
          <w:lang w:eastAsia="zh-CN"/>
        </w:rPr>
      </w:pPr>
      <w:bookmarkStart w:id="53" w:name="_Toc11963"/>
      <w:bookmarkStart w:id="54" w:name="_Toc28661"/>
      <w:bookmarkStart w:id="55" w:name="_Toc20803"/>
      <w:r>
        <w:rPr>
          <w:rFonts w:hint="eastAsia" w:ascii="宋体" w:hAnsi="宋体" w:eastAsia="宋体" w:cs="宋体"/>
          <w:b/>
          <w:bCs/>
          <w:color w:val="auto"/>
          <w:sz w:val="30"/>
          <w:szCs w:val="30"/>
          <w:highlight w:val="none"/>
          <w:lang w:eastAsia="zh-CN"/>
        </w:rPr>
        <w:t>第六章</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lang w:eastAsia="zh-CN"/>
        </w:rPr>
        <w:t>项目采购需求</w:t>
      </w:r>
      <w:bookmarkEnd w:id="53"/>
    </w:p>
    <w:p>
      <w:pPr>
        <w:rPr>
          <w:rFonts w:hint="eastAsia" w:ascii="宋体" w:hAnsi="宋体" w:eastAsia="宋体" w:cs="宋体"/>
          <w:color w:val="auto"/>
          <w:highlight w:val="none"/>
        </w:rPr>
      </w:pPr>
    </w:p>
    <w:p>
      <w:pPr>
        <w:numPr>
          <w:ilvl w:val="0"/>
          <w:numId w:val="0"/>
        </w:numPr>
        <w:ind w:left="420" w:left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采购需求及技术参数要求</w:t>
      </w:r>
      <w:r>
        <w:rPr>
          <w:rFonts w:hint="eastAsia" w:ascii="宋体" w:hAnsi="宋体" w:eastAsia="宋体" w:cs="宋体"/>
          <w:b/>
          <w:bCs/>
          <w:color w:val="auto"/>
          <w:sz w:val="24"/>
          <w:szCs w:val="24"/>
          <w:highlight w:val="none"/>
          <w:lang w:eastAsia="zh-CN"/>
        </w:rPr>
        <w:t>：</w:t>
      </w:r>
    </w:p>
    <w:p>
      <w:pPr>
        <w:rPr>
          <w:rFonts w:hint="eastAsia" w:ascii="宋体" w:hAnsi="宋体" w:eastAsia="宋体" w:cs="宋体"/>
          <w:color w:val="auto"/>
          <w:highlight w:val="none"/>
        </w:rPr>
      </w:pP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1413"/>
        <w:gridCol w:w="6389"/>
        <w:gridCol w:w="778"/>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产品展销货柜及配套设施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参数规格</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数量</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2"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靠墙展柜</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2.尺寸：1100*2200*500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3.参数：橡木色实木钢结构组合展柜，国标级木工板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4.根据国家标准，细木工板的甲醛释放限量指标为E0级新标准≤0.5mg/L、E1级≤1.5 mg/L、E2级≤5.0mg/L。</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大厅货柜</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2.尺寸：2000*1000*1500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3.参数：橡木色实木钢结构组合展柜，国标级木工板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4.根据国家标准，细木工板的甲醛释放限量指标为E0级新标准≤0.5mg/L、E1级≤1.5 mg/L、E2级≤5.0mg/L。</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背景墙 </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2.尺寸：3200*5600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3.参数：</w:t>
            </w:r>
            <w:r>
              <w:rPr>
                <w:rFonts w:hint="eastAsia" w:ascii="宋体" w:hAnsi="宋体" w:eastAsia="宋体" w:cs="宋体"/>
                <w:i w:val="0"/>
                <w:iCs w:val="0"/>
                <w:color w:val="000000"/>
                <w:kern w:val="0"/>
                <w:sz w:val="20"/>
                <w:szCs w:val="20"/>
                <w:highlight w:val="none"/>
                <w:u w:val="none"/>
                <w:lang w:val="en-US" w:eastAsia="zh-CN" w:bidi="ar"/>
              </w:rPr>
              <w:t>背景墙要求木工板打底，铝塑板包边，岩板1200*3600*5mm现场进行定制，耐高温、不含有机材料，其防火耐高温性能通过A1级防火标准认定，</w:t>
            </w:r>
            <w:r>
              <w:rPr>
                <w:rFonts w:hint="eastAsia" w:ascii="宋体" w:hAnsi="宋体" w:eastAsia="宋体" w:cs="宋体"/>
                <w:i w:val="0"/>
                <w:iCs w:val="0"/>
                <w:color w:val="auto"/>
                <w:kern w:val="0"/>
                <w:sz w:val="20"/>
                <w:szCs w:val="20"/>
                <w:highlight w:val="none"/>
                <w:u w:val="none"/>
                <w:lang w:val="en-US" w:eastAsia="zh-CN" w:bidi="ar"/>
              </w:rPr>
              <w:t>透光性：漫射光渗透率最高可达2.5%</w:t>
            </w:r>
            <w:r>
              <w:rPr>
                <w:rFonts w:hint="eastAsia" w:ascii="宋体" w:hAnsi="宋体" w:eastAsia="宋体" w:cs="宋体"/>
                <w:i w:val="0"/>
                <w:iCs w:val="0"/>
                <w:color w:val="000000"/>
                <w:kern w:val="0"/>
                <w:sz w:val="20"/>
                <w:szCs w:val="20"/>
                <w:highlight w:val="none"/>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根据现场进行调色处理，功率：5W，色度：3000K-5700K，铝制导热散热材料，卡扣弹簧钢制，智能型光源驱动。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前台</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尺寸：3800*1500*1000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参数：橡木色岩板造型，国标级木工板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1．根据国家标准，细木工板的甲醛释放限量指标为E0级新标准≤0.5mg/L、E1级≤1.5 mg/L、E2级≤5.0mg/L。</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三联开关</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尺寸：安装孔距：60mm，厚度≤6.4mm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参数：≥16A,材质：白色，锰钢弹簧，耐磨耐高温，银合金触点，PC材质固定架，阻燃材质，自带儿童保护门，180V-250V~</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双联开关</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尺寸：安装孔距：60mm，厚度≤6.4mm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参数：≥16A,材质：白色，锰钢弹簧，耐磨耐高温，银合金触点，PC材质固定架，阻燃材质，自带儿童保护门，180V-250V~</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尺寸：安装孔距：60mm，厚度≤6.4mm，面板尺</w:t>
            </w:r>
            <w:r>
              <w:rPr>
                <w:rFonts w:hint="eastAsia" w:ascii="宋体" w:hAnsi="宋体" w:eastAsia="宋体" w:cs="宋体"/>
                <w:i w:val="0"/>
                <w:iCs w:val="0"/>
                <w:color w:val="000000"/>
                <w:kern w:val="0"/>
                <w:sz w:val="20"/>
                <w:szCs w:val="20"/>
                <w:highlight w:val="none"/>
                <w:u w:val="none"/>
                <w:lang w:val="en-US" w:eastAsia="zh-CN" w:bidi="ar"/>
              </w:rPr>
              <w:t>寸86*14*86（±5）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参数：≥16A,材质：白色，锰钢弹簧，耐磨耐高温，银合金触点，PC材质固定架，阻燃材质，自带儿童保护门，180V-250V~</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三孔插座</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尺寸：安装孔距：60mm，厚度≤6.4mm，面板尺寸</w:t>
            </w:r>
            <w:r>
              <w:rPr>
                <w:rFonts w:hint="eastAsia" w:ascii="宋体" w:hAnsi="宋体" w:eastAsia="宋体" w:cs="宋体"/>
                <w:i w:val="0"/>
                <w:iCs w:val="0"/>
                <w:color w:val="000000"/>
                <w:kern w:val="0"/>
                <w:sz w:val="20"/>
                <w:szCs w:val="20"/>
                <w:highlight w:val="none"/>
                <w:u w:val="none"/>
                <w:lang w:val="en-US" w:eastAsia="zh-CN" w:bidi="ar"/>
              </w:rPr>
              <w:t>86*14*86（±5）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参数：≥32A,材质：白色，锰钢弹簧，耐磨耐高温，银合金触点，PC材质固定架，阻燃材质，自带儿童保护门，180V-250V~</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网络插座</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尺寸：安装孔距：60mm，厚度≤6.4mm，面板尺寸</w:t>
            </w:r>
            <w:r>
              <w:rPr>
                <w:rFonts w:hint="eastAsia" w:ascii="宋体" w:hAnsi="宋体" w:eastAsia="宋体" w:cs="宋体"/>
                <w:i w:val="0"/>
                <w:iCs w:val="0"/>
                <w:color w:val="000000"/>
                <w:kern w:val="0"/>
                <w:sz w:val="20"/>
                <w:szCs w:val="20"/>
                <w:highlight w:val="none"/>
                <w:u w:val="none"/>
                <w:lang w:val="en-US" w:eastAsia="zh-CN" w:bidi="ar"/>
              </w:rPr>
              <w:t>86*14*86（±5）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参数：接触点为无氧铜材质，材质：白色，锰钢弹簧，耐磨耐高温，银合金触点，PC材质固定架，阻燃材质，自带儿童保护门，适用于万兆以上传输</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平板灯</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参数：发光柔和，可根据现场进行调色处理，色度：3000K-5700K，嵌入式LED，功率：≥32W</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64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铝塑板及发光字</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要求：现场定制，钢材干挂折边处理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尺寸：19500*1950*750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参数：发光字logo定制，LOGO发光字要求定制全封闭式迷你发光字，发光立体一斜雕刻前后错落明显，可根据需要定制，其他颜色光亮</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73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网布工学椅</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要求：椅背支持升级功能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尺寸：820*780*1300（±20）</w:t>
            </w:r>
          </w:p>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参数：三挡升降、3D调节扶手，转椅靠背最大角度：120-155度(含)，扶手类型：联动扶手，升降方式：气压升降附加组件：调节式头枕五星脚材质：锦纶/尼龙(聚酰胺纤维)。</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办公室-单人沙发</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highlight w:val="none"/>
                <w:u w:val="none"/>
                <w:lang w:val="en-US" w:eastAsia="zh-CN" w:bidi="ar"/>
              </w:rPr>
              <w:t>1000*900*650（±20）</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参数：搭配组合，材质类别：皮艺沙发，</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尺寸：3400*1600*800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参数：E1级环保材质，纯实木材质贴皮，根据需求进行造型设计制作，包含五金辅材，桌面开孔，工艺要求：加厚无缝隙处理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会议椅</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网布600*600*800（±20）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会议平板</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bidi w:val="0"/>
              <w:snapToGrid/>
              <w:ind w:left="0" w:leftChars="0" w:firstLine="0" w:firstLineChars="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显示器65英寸，系统内存≧8GB，内置存储≧64GB；网卡内置千兆网卡，支持路由功能，支持手写、WiFi，分辨率：优于或等于4K,摄像头：2倍数字变焦，像素≧2000W。支持无线投屏,远程协作,信息窗,负一屏,纪要发送,反向操控,随页批注,SVC多流选看,首页自定义,应用市场,云会议,语音唤醒,手写触摸,音响,视频会议，反控功能等</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要求：现场拆卸、清理、安装，</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档案柜</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要求：定制型，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尺寸：1200*900*400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参数：防水耐脏、环保板材、加厚玻璃、超强承重，颜色定制，金属拉手，防火等级一级，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边几</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尺寸：600*600*600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参数：黑胡桃实木，防火等级一级。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要求：定制型</w:t>
            </w:r>
          </w:p>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尺寸：1600*1200*750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参数：黑胡桃实木，防火等级一级，厚度≥25mm，桌下面配过线槽、旋转键盘架、电脑主机活动托架柜。</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highlight w:val="none"/>
                <w:u w:val="none"/>
                <w:lang w:val="en-US" w:eastAsia="zh-CN" w:bidi="ar"/>
              </w:rPr>
              <w:t>816*784*1300（±5）</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参数：联动扶手、转椅、气压升降、大角度：155-180度(含)、带滚轮、聚酰胺纤维、固定式头枕、带搁脚。包裹式皮质材质，U形环抱，加厚底盘，实木，边角圆弧形，耐刮耐磨，防火等级一级。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办公室沙发</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颜色：黑棕色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尺寸：2300*880*880（±20）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材质类别：皮艺沙发，适用人数：3人</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尺寸：800*450*420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参数：黑胡桃实木、防火等级一级，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衣柜</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尺寸：2200*620*2000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参数：平开门式，颜色定制，金属拉手，防火等级一级，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穿衣镜</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尺寸：1800*550*440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参数：置地式全景，颜色定制，防火等级一级，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化妆间-衣架</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尺寸：1000*430*1500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参数：烤漆，黑胡桃实木，颜色定制，防火等级一级，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梳妆台、化妆桌</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尺寸：1100*600*750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参数：烤漆，黑胡桃实木、颜色定制，防火等级一级，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功能：带抽屉，带柜子</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直播间货柜</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要求：现场定制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尺寸：1200*2000*600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参数：橡木色实木钢结构组合展柜，国标级木工板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1.根据国家标准，细木工板的甲醛释放限量指标为E0级新标准≤0.5mg/L、E1级≤1.5 mg/L、E2级≤5.0mg/L。</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纯毛滚筒</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规格:9英寸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产品用途: 室内墙面乳胶漆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产品等级:专家级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面料毛高:9.5mm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50中挂</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规格:50x19x0.5mm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产品等级:1级，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3寸木柄棕毛刷</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规格:3英寸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产品用途:室内墙面处理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产品等级:专家级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面料毛高:9.5mm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白胶</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规格:4KG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材质:白乳胶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产品等级:无毒无污染、无味、高速快干、耐霉防潮，用于木材粘合、家具制作、纸张加工、皮革粘合及印染，涂料上的固着剂等亦可用作批墙及墙纸粘贴的添加剂，家具及板材加工</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轻钢龙骨50中龙骨</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w:t>
            </w:r>
            <w:r>
              <w:rPr>
                <w:rFonts w:hint="eastAsia" w:ascii="宋体" w:hAnsi="宋体" w:eastAsia="宋体" w:cs="宋体"/>
                <w:i w:val="0"/>
                <w:iCs w:val="0"/>
                <w:color w:val="000000"/>
                <w:kern w:val="0"/>
                <w:sz w:val="20"/>
                <w:szCs w:val="20"/>
                <w:highlight w:val="none"/>
                <w:u w:val="none"/>
                <w:lang w:val="en-US" w:eastAsia="zh-CN" w:bidi="ar"/>
              </w:rPr>
              <w:t>：约50*20*0.6mm</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参数：优质的连续热镀锌板带，经冷弯工艺轧制而成的建筑用金属骨架，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1116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网格布</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尺寸：网眼尺寸：5*5，宽度：1000mm； 长度：300米</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参数：1、耐碱玻纤网格布;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2、抗冲击性好，抗拉强度高;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3、耐碱玻纤网格布涂塑量大，网格不易错位: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4、柔韧度好，不易折断。</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接缝纸绷带</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尺寸：5cm*150米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参数：加厚型</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膨胀螺丝</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尺寸：M8*80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参数：材质碳钢，镀彩锌膨胀螺栓 拉爆螺栓铁彩锌 外膨胀螺丝</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77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多效净味型漆</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参数：1L,可调色，金属防腐涂料涂刷工序，面漆金属涂料，氟碳涂料涂层，面漆涂料光泽哑光.</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副接</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参数：D50,镀锌不锈钢，定制型</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422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钢油灰刀</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参数：3寸,不锈钢刀身，PP+TPR材质手柄</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杉木细木工板</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highlight w:val="none"/>
                <w:u w:val="none"/>
                <w:lang w:val="en-US" w:eastAsia="zh-CN" w:bidi="ar"/>
              </w:rPr>
              <w:t>2440*1220*18</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参数：生态免漆板，E1级环保，马六甲木芯，甲醛释放量≤0.5mg/L,防水防潮，耐磨耐脏，</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50大吊</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规格：50*40*0.8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参数：优质的连续热镀锌板带，经冷弯工艺轧制而成的建筑用金属骨架，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F30气动枪钉</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规格：30*1.26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参数：国标材质，镀锌。</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打磨砂纸架</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参数：颗粒钢制,海绵握把，防滑锯齿，强力弹簧夹，高密度海绵底板</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干壁钉</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规格：M3.5*25mm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参数：国标材质，镀锌。，</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铁镀锌膨胀螺栓</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尺寸：M8*100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参数：材质碳钢，镀彩锌膨胀螺栓 拉爆螺栓铁彩锌 外膨胀螺丝</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羊毛刷</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规格:4英寸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产品用途: 室内墙面乳胶漆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产品等级:专家级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面料毛高:</w:t>
            </w:r>
            <w:r>
              <w:rPr>
                <w:rFonts w:hint="eastAsia" w:ascii="宋体" w:hAnsi="宋体" w:eastAsia="宋体" w:cs="宋体"/>
                <w:i w:val="0"/>
                <w:iCs w:val="0"/>
                <w:color w:val="000000"/>
                <w:kern w:val="0"/>
                <w:sz w:val="20"/>
                <w:szCs w:val="20"/>
                <w:highlight w:val="none"/>
                <w:u w:val="none"/>
                <w:lang w:val="en-US" w:eastAsia="zh-CN" w:bidi="ar"/>
              </w:rPr>
              <w:t>约6.5mm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滚筒</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规格:中毛9英寸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产品用途: 室内墙面乳胶漆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产品等级:专家级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面料毛高:约</w:t>
            </w:r>
            <w:r>
              <w:rPr>
                <w:rFonts w:hint="eastAsia" w:ascii="宋体" w:hAnsi="宋体" w:eastAsia="宋体" w:cs="宋体"/>
                <w:i w:val="0"/>
                <w:iCs w:val="0"/>
                <w:color w:val="000000"/>
                <w:kern w:val="0"/>
                <w:sz w:val="20"/>
                <w:szCs w:val="20"/>
                <w:highlight w:val="none"/>
                <w:u w:val="none"/>
                <w:lang w:val="en-US" w:eastAsia="zh-CN" w:bidi="ar"/>
              </w:rPr>
              <w:t>9.5mm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底层快干腻子</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参数：20KG，基层含水率≤30%，施工温度5-32℃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150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支托</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规格：50*20*0.8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参数：优质的连续热镀锌板带，经冷弯工艺轧制而成的建筑用金属骨架，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2630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不锈钢抹泥刀</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参数：大号，不锈钢刀身，木质材质手柄</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电锤钻头方柄四坑</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参数：8*150mm，锰钢材质，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基嵌缝膏</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参数：18KG，丙烯酸酷乳液无溶剂污染、无毒、不易燃</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水性油漆金属防锈漆</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参数：1L，水性防锈涂料无毒、无味、不燃、污染少、光泽可调</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精筛中粗黄沙</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参数：15KG，水洗沙</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镀锌全牙丝杆</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尺寸：M8*1m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参数：碳钢级，镀锌处理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轻钢龙骨20边龙骨</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尺寸：20*30*0.5mm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产品等级:1级，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226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不锈钢外六角螺栓</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尺寸：M8*50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参数：碳钢级，镀锌处理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铜线</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参数：无氧铜芯，绝缘层为聚氯乙烯。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尼龙压线帽</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参数：绝缘阻燃，符合国标防火，耐高温150°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八角灯头盒</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尺寸：约75*75*50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参数：PVC材质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PVC穿线波纹管dn20</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尺寸：Dn20 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参数：包塑镀锌金属管，国标加厚，阻燃级高。</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160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强力型糯米胶</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参数：2KG，水性无污染，无异味，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轻钢龙骨50主龙骨</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规格：50*15*1.2mm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参数：优质的连续热镀锌板带，经冷弯工艺轧制而成的建筑用金属骨架，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PVC穿线波纹管锁母dn20</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尺寸：Dn20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参数：包塑镀锌金属管，国标加厚，阻燃级高。</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145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木柄棕毛刷</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规格:2寸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产品等级:专家级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面料毛高:约6.5mm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34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美纹纸胶带</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尺寸：10mm*50m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参数：强力抗裂接缝，免浸水，加厚型</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美工刀片大号</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钢制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223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砂纸280目</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尺寸：280目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材质：碳化硅水纸，纳米纸砂</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275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50主接</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材质：优质的连续热镀锌板带，经冷弯工艺轧制而成的建筑用金属骨架，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羊毛刷</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规格:3寸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产品等级:专家级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面料毛高:约6.5mm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c32.5水泥</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规格：50KG</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纸面石膏板</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尺寸：1200*2400*9.5mm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参数：纸面石膏板应具有耐火性，隔声性能强、环保性较强。</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132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304不锈钢螺母</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尺寸：M8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参数：304不锈钢</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腻子</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参数：20KG，基层含水率≤30%，施工温度5-32℃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78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羊毛刷</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规格:5寸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产品等级:专家级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面料毛高</w:t>
            </w:r>
            <w:r>
              <w:rPr>
                <w:rFonts w:hint="eastAsia" w:ascii="宋体" w:hAnsi="宋体" w:eastAsia="宋体" w:cs="宋体"/>
                <w:i w:val="0"/>
                <w:iCs w:val="0"/>
                <w:color w:val="000000"/>
                <w:kern w:val="0"/>
                <w:sz w:val="20"/>
                <w:szCs w:val="20"/>
                <w:highlight w:val="none"/>
                <w:u w:val="none"/>
                <w:lang w:val="en-US" w:eastAsia="zh-CN" w:bidi="ar"/>
              </w:rPr>
              <w:t>:约6.5mm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墙固</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规格：18KG</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木柄棕毛刷</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规格:4寸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产品等级:专家级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面料毛高:</w:t>
            </w:r>
            <w:r>
              <w:rPr>
                <w:rFonts w:hint="eastAsia" w:ascii="宋体" w:hAnsi="宋体" w:eastAsia="宋体" w:cs="宋体"/>
                <w:i w:val="0"/>
                <w:iCs w:val="0"/>
                <w:color w:val="000000"/>
                <w:kern w:val="0"/>
                <w:sz w:val="20"/>
                <w:szCs w:val="20"/>
                <w:highlight w:val="none"/>
                <w:u w:val="none"/>
                <w:lang w:val="en-US" w:eastAsia="zh-CN" w:bidi="ar"/>
              </w:rPr>
              <w:t>约6.5mm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长毛滚筒</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规格:9寸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材质:羊毛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产品等级:专家级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面料毛高:</w:t>
            </w:r>
            <w:r>
              <w:rPr>
                <w:rFonts w:hint="eastAsia" w:ascii="宋体" w:hAnsi="宋体" w:eastAsia="宋体" w:cs="宋体"/>
                <w:i w:val="0"/>
                <w:iCs w:val="0"/>
                <w:color w:val="000000"/>
                <w:kern w:val="0"/>
                <w:sz w:val="20"/>
                <w:szCs w:val="20"/>
                <w:highlight w:val="none"/>
                <w:u w:val="none"/>
                <w:lang w:val="en-US" w:eastAsia="zh-CN" w:bidi="ar"/>
              </w:rPr>
              <w:t>约9.5mm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柔韧型防水涂料</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参数：18KG，水性材料，无毒无害，无污染</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PVC86型暗盒单盒</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参数：PVC86型暗盒单盒</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20杯梳</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参数：20杯梳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8mm尼龙压线帽</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参数：绝缘阻燃，符合国标防火，耐高温150°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平口泥锹头</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平口泥锹头</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大容量塑料水箱</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尺寸：85*60*65cm（±5）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参数：300L 材质硬塑料</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牛筋水泥桶</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参数：牛筋水泥桶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二合一装修除尘扫把</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参数：二合一装修除尘扫把</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U形保护门槛</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参数：80*13*5cm（±2）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装修下水管道保护盖</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w:t>
            </w:r>
            <w:r>
              <w:rPr>
                <w:rFonts w:hint="eastAsia" w:ascii="宋体" w:hAnsi="宋体" w:eastAsia="宋体" w:cs="宋体"/>
                <w:i w:val="0"/>
                <w:iCs w:val="0"/>
                <w:color w:val="000000"/>
                <w:kern w:val="2"/>
                <w:sz w:val="20"/>
                <w:szCs w:val="20"/>
                <w:u w:val="none"/>
                <w:lang w:val="en-US" w:eastAsia="zh-CN" w:bidi="ar-SA"/>
              </w:rPr>
              <w:t>110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水电标识胶带</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参数：30mm*50m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单面黑色布基胶带</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参数：50mm*50m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棉纱线手套加</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参数：棉纱线手套加</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和纸遮蔽保护膜</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参数：110cm*25m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七层带阀挂钩式口罩</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参数：防尘、防毒型</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装修保护角条</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参数：1.2m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装修下水管道保护盖</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参数：50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加厚480克PVC复合针织棉地膜</w:t>
            </w:r>
          </w:p>
        </w:tc>
        <w:tc>
          <w:tcPr>
            <w:tcW w:w="3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参数：10㎡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编织蛇皮袋加厚</w:t>
            </w:r>
          </w:p>
        </w:tc>
        <w:tc>
          <w:tcPr>
            <w:tcW w:w="324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参数：65*100灰加厚</w:t>
            </w:r>
          </w:p>
        </w:tc>
        <w:tc>
          <w:tcPr>
            <w:tcW w:w="39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 </w:t>
            </w:r>
          </w:p>
        </w:tc>
        <w:tc>
          <w:tcPr>
            <w:tcW w:w="38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59"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717"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装修线盒保护盖</w:t>
            </w:r>
          </w:p>
        </w:tc>
        <w:tc>
          <w:tcPr>
            <w:tcW w:w="32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参数：86型</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bl>
    <w:p>
      <w:pPr>
        <w:pStyle w:val="2"/>
        <w:keepNext w:val="0"/>
        <w:keepLines w:val="0"/>
        <w:pageBreakBefore w:val="0"/>
        <w:kinsoku/>
        <w:wordWrap/>
        <w:overflowPunct/>
        <w:topLinePunct w:val="0"/>
        <w:bidi w:val="0"/>
        <w:snapToGrid/>
        <w:rPr>
          <w:rFonts w:hint="eastAsia" w:ascii="宋体" w:hAnsi="宋体" w:eastAsia="宋体" w:cs="宋体"/>
          <w:color w:val="auto"/>
          <w:highlight w:val="none"/>
        </w:rPr>
      </w:pPr>
    </w:p>
    <w:p>
      <w:pPr>
        <w:pStyle w:val="2"/>
        <w:keepNext w:val="0"/>
        <w:keepLines w:val="0"/>
        <w:pageBreakBefore w:val="0"/>
        <w:widowControl w:val="0"/>
        <w:kinsoku/>
        <w:wordWrap/>
        <w:overflowPunct/>
        <w:topLinePunct w:val="0"/>
        <w:bidi w:val="0"/>
        <w:snapToGrid/>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snapToGrid/>
        <w:textAlignment w:val="auto"/>
      </w:pPr>
      <w:r>
        <w:br w:type="page"/>
      </w:r>
    </w:p>
    <w:p>
      <w:pPr>
        <w:pStyle w:val="2"/>
        <w:keepNext w:val="0"/>
        <w:keepLines w:val="0"/>
        <w:pageBreakBefore w:val="0"/>
        <w:kinsoku/>
        <w:wordWrap/>
        <w:overflowPunct/>
        <w:topLinePunct w:val="0"/>
        <w:bidi w:val="0"/>
        <w:snapToGrid/>
        <w:outlineLvl w:val="9"/>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983"/>
        <w:gridCol w:w="1016"/>
        <w:gridCol w:w="628"/>
        <w:gridCol w:w="5216"/>
        <w:gridCol w:w="747"/>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电子运营系统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w:t>
            </w: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5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需求分解</w:t>
            </w:r>
          </w:p>
        </w:tc>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需求分解</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用户业务需求分析</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0"/>
                <w:sz w:val="20"/>
                <w:szCs w:val="20"/>
                <w:u w:val="none"/>
                <w:lang w:val="en-US" w:eastAsia="zh-CN" w:bidi="ar"/>
              </w:rPr>
            </w:pP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定制收银库存管理</w:t>
            </w:r>
          </w:p>
        </w:tc>
        <w:tc>
          <w:tcPr>
            <w:tcW w:w="7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定制前端收银系统</w:t>
            </w: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管理系统用户的组织架构</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管理系统中的用户信息，以及分配角色、锁定、启用用户</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管理用户的使用角色等等</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管理系统中的功能菜单</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给系统中的角色绑定菜单功能</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自定义系统中的业务相关类型参数</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自定义系统中的业务参数</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登录系统，以及安全策略日志信息</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正常业务操作日志信息</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正常访问系统日志</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在线用户检测</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管理点信息</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查询，分配配送信息</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定制库存管理系统</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库存跟踪：记录库存数量、位置、状态和价值等信息，以便及时了解库存情况。</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采购管理：根据库存水平和销售预测等因素，制定采购计划，确保库存充足。</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销售管理：记录销售订单和出库信息，以便及时更新库存数量。</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库存盘点：定期进行库存盘点，确保库存数量和实际情况相符。</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库存报告：生成库存报告，包括库存水平、库存周转率、库存价值等信息，以便管理者了解库存状况。</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库存预警：根据库存水平和销售预测等因素，设置库存预警，及时发现库存过多或过少的情况。</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库存优化：根据库存报告和库存预警等信息，制定库存优化策略，提高库存周转率和利润率。</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3"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3" w:type="pct"/>
            <w:vMerge w:val="continue"/>
            <w:tcBorders>
              <w:left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前端</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3" w:type="pct"/>
            <w:vMerge w:val="continue"/>
            <w:tcBorders>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729" w:type="pct"/>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库存</w:t>
            </w: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3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系统设计</w:t>
            </w:r>
          </w:p>
        </w:tc>
        <w:tc>
          <w:tcPr>
            <w:tcW w:w="33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系统设计</w:t>
            </w:r>
          </w:p>
        </w:tc>
        <w:tc>
          <w:tcPr>
            <w:tcW w:w="424"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0"/>
                <w:sz w:val="20"/>
                <w:szCs w:val="20"/>
                <w:u w:val="none"/>
                <w:lang w:val="en-US" w:eastAsia="zh-CN" w:bidi="ar"/>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UE/UX设计</w:t>
            </w:r>
          </w:p>
        </w:tc>
        <w:tc>
          <w:tcPr>
            <w:tcW w:w="33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用户体验设计</w:t>
            </w:r>
          </w:p>
        </w:tc>
        <w:tc>
          <w:tcPr>
            <w:tcW w:w="4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3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0"/>
                <w:sz w:val="20"/>
                <w:szCs w:val="20"/>
                <w:u w:val="none"/>
                <w:lang w:val="en-US" w:eastAsia="zh-CN" w:bidi="ar"/>
              </w:rPr>
            </w:pPr>
          </w:p>
        </w:tc>
        <w:tc>
          <w:tcPr>
            <w:tcW w:w="5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UI设计</w:t>
            </w:r>
          </w:p>
        </w:tc>
        <w:tc>
          <w:tcPr>
            <w:tcW w:w="33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小程序样式设计</w:t>
            </w:r>
          </w:p>
        </w:tc>
        <w:tc>
          <w:tcPr>
            <w:tcW w:w="4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3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3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PC端样式设计</w:t>
            </w:r>
          </w:p>
        </w:tc>
        <w:tc>
          <w:tcPr>
            <w:tcW w:w="4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3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3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设计切割及风格搭配</w:t>
            </w:r>
          </w:p>
        </w:tc>
        <w:tc>
          <w:tcPr>
            <w:tcW w:w="424"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小程序端</w:t>
            </w:r>
          </w:p>
        </w:tc>
        <w:tc>
          <w:tcPr>
            <w:tcW w:w="365" w:type="pct"/>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小程序端</w:t>
            </w:r>
          </w:p>
        </w:tc>
        <w:tc>
          <w:tcPr>
            <w:tcW w:w="36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食品溯源查看</w:t>
            </w:r>
          </w:p>
        </w:tc>
        <w:tc>
          <w:tcPr>
            <w:tcW w:w="2571"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企业主体信息查看</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产品档案信息查看</w:t>
            </w:r>
          </w:p>
        </w:tc>
        <w:tc>
          <w:tcPr>
            <w:tcW w:w="42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农产品生产记录查看</w:t>
            </w:r>
          </w:p>
        </w:tc>
        <w:tc>
          <w:tcPr>
            <w:tcW w:w="42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溯源报告生成查看</w:t>
            </w:r>
          </w:p>
        </w:tc>
        <w:tc>
          <w:tcPr>
            <w:tcW w:w="42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溯源二维码生成</w:t>
            </w:r>
          </w:p>
        </w:tc>
        <w:tc>
          <w:tcPr>
            <w:tcW w:w="42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手机扫描识别</w:t>
            </w:r>
          </w:p>
        </w:tc>
        <w:tc>
          <w:tcPr>
            <w:tcW w:w="42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3"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用户登录注册</w:t>
            </w:r>
          </w:p>
        </w:tc>
        <w:tc>
          <w:tcPr>
            <w:tcW w:w="257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用户中心</w:t>
            </w:r>
          </w:p>
        </w:tc>
        <w:tc>
          <w:tcPr>
            <w:tcW w:w="424"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5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后台及PC端管理</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后台管理</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管理后台</w:t>
            </w: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数据采集</w:t>
            </w:r>
          </w:p>
        </w:tc>
        <w:tc>
          <w:tcPr>
            <w:tcW w:w="42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信息审核</w:t>
            </w:r>
          </w:p>
        </w:tc>
        <w:tc>
          <w:tcPr>
            <w:tcW w:w="42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溯源数据管理</w:t>
            </w:r>
          </w:p>
        </w:tc>
        <w:tc>
          <w:tcPr>
            <w:tcW w:w="42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溯源报告生成</w:t>
            </w:r>
          </w:p>
        </w:tc>
        <w:tc>
          <w:tcPr>
            <w:tcW w:w="42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35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55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2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溯源二维码</w:t>
            </w:r>
          </w:p>
        </w:tc>
        <w:tc>
          <w:tcPr>
            <w:tcW w:w="42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c>
          <w:tcPr>
            <w:tcW w:w="3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sz w:val="20"/>
                <w:szCs w:val="20"/>
                <w:u w:val="none"/>
              </w:rPr>
            </w:pPr>
          </w:p>
        </w:tc>
      </w:tr>
    </w:tbl>
    <w:p>
      <w:pPr>
        <w:keepNext w:val="0"/>
        <w:keepLines w:val="0"/>
        <w:pageBreakBefore w:val="0"/>
        <w:widowControl/>
        <w:suppressLineNumbers w:val="0"/>
        <w:kinsoku/>
        <w:wordWrap/>
        <w:overflowPunct/>
        <w:topLinePunct w:val="0"/>
        <w:bidi w:val="0"/>
        <w:snapToGrid/>
        <w:jc w:val="both"/>
        <w:textAlignment w:val="center"/>
        <w:outlineLvl w:val="9"/>
        <w:rPr>
          <w:rFonts w:hint="eastAsia" w:ascii="宋体" w:hAnsi="宋体" w:eastAsia="宋体" w:cs="宋体"/>
          <w:i w:val="0"/>
          <w:iCs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1320"/>
        <w:gridCol w:w="6370"/>
        <w:gridCol w:w="773"/>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电子运营硬件部分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bidi w:val="0"/>
              <w:snapToGrid/>
              <w:jc w:val="center"/>
              <w:textAlignment w:val="bottom"/>
              <w:outlineLvl w:val="9"/>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sz w:val="20"/>
                <w:szCs w:val="20"/>
                <w:u w:val="none"/>
                <w:lang w:val="en-US" w:eastAsia="zh-CN"/>
              </w:rPr>
              <w:t>参数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数量</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5"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摄像机</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1.像素：≥400万，最高分辨率可达1920×1080 @25fps，在该分辨率下可输出实时图像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2.支持背光补偿，强光抑制，3D数字降噪，120dB宽动态，适应不同监控环境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3.支持Smart侦测：越界侦测，区域入侵侦测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4.支持最大256 GB Micro SD/Micro SDHC/Micro SDXC卡本地存储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5.支持1路音频输入，1路音频输出，1个内置麦克风，支持1路报警输入，1路报警输出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6.采用高效阵列红外灯，使用寿命长，红外照射距离最远可达10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7.符合IP66，IK08，可靠性高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4"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录像机</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参数：3U标准机架式，16盘位录像机，ATX电源，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2个HDMI接口，2个VGA接口,可支持8K+1080P 或 双4K输出；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2个RJ45 10M/100M/1000Mbps 网口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2个USB2.0接口、2个USB3.0接口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1个eSATA接口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支持RAID0、RAID1、RAID5、RAID6、RAID10，支持全局热备盘，支持16盘位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报警IO接口：16路报警输入， 9路报警输出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串行接口：1路全双工485接口，1路标准RS-232接口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接入能力：64路H.264、H.265格式高清码流接入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解码能力：最大支持24×1080P解码</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参数：容量：≧8T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7"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参数：16口千兆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4个独立10/100/1000Base-T RJ45端口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支持商用云平台远程管理，支持手机APP管理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支持智能开局，自动配置组网，拓扑图形化展示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支持RIP动态路由、静态路由、ARP代理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支持DHCP服务器、DHCP中继、DHCP Snooping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支持四元绑定、ARP/IP/DoS防护、802.1X认证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支持VLAN、QoS、ACL、生成树、组播、IPv6&lt;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支持Web网管、CLI命令行、SNMP</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7"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显示器</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分辨率不低于3840*2160   屏幕尺寸≥22寸</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亮度450cd/m²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 3000:1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 ≤5ms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使用寿命命不少于60000 小时 总线控制 I²C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彩色制式 PAL/NTSC/SECAM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输入输出接口 D-15 针 RGB 输入(VGA) 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DVI 输入 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 输入 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复合视频输入(AV) 1个(BNC*1)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控制信号输入 1个RS232（RJ45-8 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控制信号环出 2个RS232（RJ45-8 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电源输入 内置电源，AC90-250V,50 /60Hz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电源功耗 ≤180W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待机功耗 ≤1W</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产品认证 中国电气产品强制认证(3C)等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环保标准 所有元器件及包装辅料符合国际环保标准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综合线</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千兆以太网以及其它下兼容网络上所使用，CAT-6缆线加强对抗串扰及系统噪声的防护，规格：信号传输频率250MHz，用于10BASE-T、100BASE-TX及1000BASE-T等各种以太网传送标准，在短距离内，CAT-6可用作架构万兆以太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根据ANSI/TIA-568-B.2-1内的标准，CAT-6线的线径22AWG至24AWG</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田间摄像机</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1.最高分辨率不低于2560 × 1440 @25 fps，在该分辨率下可输出实时图像</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2.内置至少4G SIM卡，支持LTE-TDD/LTE-FDD/CDMA 4G无线网络传输，外置双天线、 支持白光/红外双补光，红外最远可达30 m，白光最远可达30 m</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3.1个内置麦克风，1个内置扬声器，支持双向语音对讲、 支持MicroSD/MicroSDHC/MicroSDXC卡，</w:t>
            </w:r>
            <w:r>
              <w:rPr>
                <w:rFonts w:hint="eastAsia" w:ascii="宋体" w:hAnsi="宋体" w:eastAsia="宋体" w:cs="宋体"/>
                <w:i w:val="0"/>
                <w:iCs w:val="0"/>
                <w:color w:val="000000"/>
                <w:kern w:val="0"/>
                <w:sz w:val="20"/>
                <w:szCs w:val="20"/>
                <w:highlight w:val="none"/>
                <w:u w:val="none"/>
                <w:lang w:val="en-US" w:eastAsia="zh-CN" w:bidi="ar"/>
              </w:rPr>
              <w:t>最大256GB</w:t>
            </w:r>
            <w:r>
              <w:rPr>
                <w:rFonts w:hint="eastAsia" w:ascii="宋体" w:hAnsi="宋体" w:eastAsia="宋体" w:cs="宋体"/>
                <w:i w:val="0"/>
                <w:iCs w:val="0"/>
                <w:color w:val="000000"/>
                <w:kern w:val="0"/>
                <w:sz w:val="20"/>
                <w:szCs w:val="20"/>
                <w:u w:val="none"/>
                <w:lang w:val="en-US" w:eastAsia="zh-CN" w:bidi="ar"/>
              </w:rPr>
              <w:t xml:space="preserve">、 符合IP66防尘防水设计，抗干扰能力强 </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4.信噪比 ≥52dB</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参数：加厚3.5米无缝镀锌钢管，防锈处理、支持球机固定支架，</w:t>
            </w:r>
            <w:r>
              <w:rPr>
                <w:rFonts w:hint="eastAsia" w:ascii="宋体" w:hAnsi="宋体" w:eastAsia="宋体" w:cs="宋体"/>
                <w:i w:val="0"/>
                <w:iCs w:val="0"/>
                <w:color w:val="auto"/>
                <w:kern w:val="0"/>
                <w:sz w:val="20"/>
                <w:szCs w:val="20"/>
                <w:highlight w:val="none"/>
                <w:u w:val="none"/>
                <w:lang w:val="en-US" w:eastAsia="zh-CN" w:bidi="ar"/>
              </w:rPr>
              <w:t>臂长0.8米，</w:t>
            </w:r>
            <w:r>
              <w:rPr>
                <w:rFonts w:hint="eastAsia" w:ascii="宋体" w:hAnsi="宋体" w:eastAsia="宋体" w:cs="宋体"/>
                <w:i w:val="0"/>
                <w:iCs w:val="0"/>
                <w:color w:val="000000"/>
                <w:kern w:val="0"/>
                <w:sz w:val="20"/>
                <w:szCs w:val="20"/>
                <w:u w:val="none"/>
                <w:lang w:val="en-US" w:eastAsia="zh-CN" w:bidi="ar"/>
              </w:rPr>
              <w:t>混凝土为C25砼，所配钢筋符合国标及受风要求，预埋件地脚螺栓法兰盘以上的螺纹，平整度小于5mm/m，预埋件法兰盘低出周围地面20~30 mm，C25细石砼把加强肋盖住，做防雷接地处理。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要求：室外不锈钢支架、定制不锈钢加长监控支架</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参数：结构参数载荷承重5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highlight w:val="none"/>
                <w:u w:val="none"/>
                <w:lang w:val="en-US" w:eastAsia="zh-CN" w:bidi="ar"/>
              </w:rPr>
              <w:t>244×162.5×775mm（±5）</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材质：SPCC优质钢板</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光伏太阳能</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200W30AH，12V-24V，带转接功能</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物联网卡</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参数：全年无限4G流量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锂电池</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参数：三元锂，电池容量≥20.8 Ah，充电限制电压8.4 V，电池电压：6.0 V~8.4 V，使用寿命：循环500次，容量保证80%以上，认证GB28181，防护：IP67</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参数：水晶头、抱箍及管材等</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3"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田间地头展示电视</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center"/>
              <w:outlineLvl w:val="9"/>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"mailto:屏幕尺寸≥55寸，支3840*2160@60Hz超高清显示，运行内存≥1.5GB，存储内存≥8GB，" </w:instrText>
            </w:r>
            <w:r>
              <w:rPr>
                <w:rFonts w:hint="eastAsia" w:ascii="宋体" w:hAnsi="宋体" w:eastAsia="宋体" w:cs="宋体"/>
                <w:i w:val="0"/>
                <w:iCs w:val="0"/>
                <w:color w:val="auto"/>
                <w:kern w:val="0"/>
                <w:sz w:val="20"/>
                <w:szCs w:val="20"/>
                <w:u w:val="none"/>
                <w:lang w:val="en-US" w:eastAsia="zh-CN" w:bidi="ar"/>
              </w:rPr>
              <w:fldChar w:fldCharType="separate"/>
            </w:r>
            <w:r>
              <w:rPr>
                <w:rStyle w:val="31"/>
                <w:rFonts w:hint="eastAsia" w:ascii="宋体" w:hAnsi="宋体" w:eastAsia="宋体" w:cs="宋体"/>
                <w:i w:val="0"/>
                <w:iCs w:val="0"/>
                <w:color w:val="auto"/>
                <w:kern w:val="0"/>
                <w:sz w:val="20"/>
                <w:szCs w:val="20"/>
                <w:u w:val="none"/>
                <w:lang w:val="en-US" w:eastAsia="zh-CN" w:bidi="ar"/>
              </w:rPr>
              <w:t>屏幕尺寸≥55寸，支3840*2160@60Hz超高清显示，运行内存≥1.5GB，存储内存≥8GB，</w:t>
            </w:r>
            <w:r>
              <w:rPr>
                <w:rFonts w:hint="eastAsia" w:ascii="宋体" w:hAnsi="宋体" w:eastAsia="宋体" w:cs="宋体"/>
                <w:i w:val="0"/>
                <w:iCs w:val="0"/>
                <w:color w:val="auto"/>
                <w:kern w:val="0"/>
                <w:sz w:val="20"/>
                <w:szCs w:val="20"/>
                <w:u w:val="none"/>
                <w:lang w:val="en-US" w:eastAsia="zh-CN" w:bidi="ar"/>
              </w:rPr>
              <w:fldChar w:fldCharType="end"/>
            </w:r>
          </w:p>
          <w:p>
            <w:pPr>
              <w:keepNext w:val="0"/>
              <w:keepLines w:val="0"/>
              <w:pageBreakBefore w:val="0"/>
              <w:widowControl/>
              <w:numPr>
                <w:ilvl w:val="0"/>
                <w:numId w:val="0"/>
              </w:numPr>
              <w:suppressLineNumbers w:val="0"/>
              <w:kinsoku/>
              <w:wordWrap/>
              <w:overflowPunct/>
              <w:topLinePunct w:val="0"/>
              <w:bidi w:val="0"/>
              <w:snapToGrid/>
              <w:ind w:left="0" w:leftChars="0" w:firstLine="0" w:firstLineChars="0"/>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2.支持WiFi、有线、高画质，通过串口连接中控设备，进行远程集中控制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3.内置喇叭及功放，支持3.5 mm音频输入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4.支持U盘点播，含文本、图片、音频、视频等多种格式多媒体播放支持7 × 24 小时工作模式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吊架</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参数：支持仰角调节、多面旋转、水平微调等多种功能，置顶吊架、定制加厚360°旋转、45°仰角、升降调节、冷轧钢、静电喷涂漆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施工费</w:t>
            </w:r>
          </w:p>
        </w:tc>
        <w:tc>
          <w:tcPr>
            <w:tcW w:w="3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物流、运费、二次搬运，预置地笼、含砂石水泥预制及田间施工费</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bl>
    <w:p>
      <w:pPr>
        <w:pageBreakBefore w:val="0"/>
        <w:kinsoku/>
        <w:wordWrap/>
        <w:overflowPunct/>
        <w:topLinePunct w:val="0"/>
        <w:bidi w:val="0"/>
        <w:snapToGrid/>
        <w:outlineLvl w:val="9"/>
      </w:pPr>
      <w:r>
        <w:br w:type="page"/>
      </w:r>
    </w:p>
    <w:tbl>
      <w:tblPr>
        <w:tblStyle w:val="23"/>
        <w:tblW w:w="52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112"/>
        <w:gridCol w:w="7495"/>
        <w:gridCol w:w="563"/>
        <w:gridCol w:w="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多功能直播系统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参数</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4K数码直播摄像机专业级（主机位）</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1/2英寸背照式3CMOS成像器，F1.6L棱镜光学系统，内置滤镜， 17-30倍光学变焦高级人脸检测AF功能，4K50p/60p录制功能有效像素≥3840*2160，12G-SDI,LSI技术（智能降噪，细节还原增强，失真校正技术），OLED寻像器红蓝绿分别由独立的成像器，具有较大的广角视野，支持5轴防抖，双XLR和4声道音频12G-SDI，内置立体电容麦克风，U90大容量电池， HDR 高品质一体机</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配：≥128内存卡（含卡套），3.0读卡器，镜头保护镜，机头话筒，专用摄像机包，专用电池，补光灯，高端功能三脚架，专业储存箱等。</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数码直播摄像机专业级（辅机位）</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1.0英寸2CMOS成像器 固定29mm广角12-30倍光学变焦，4K50p/60p录制功能</w:t>
            </w:r>
            <w:r>
              <w:rPr>
                <w:rFonts w:hint="eastAsia" w:ascii="宋体" w:hAnsi="宋体" w:eastAsia="宋体" w:cs="宋体"/>
                <w:i w:val="0"/>
                <w:iCs w:val="0"/>
                <w:color w:val="000000"/>
                <w:kern w:val="0"/>
                <w:sz w:val="20"/>
                <w:szCs w:val="20"/>
                <w:highlight w:val="none"/>
                <w:u w:val="none"/>
                <w:lang w:val="en-US" w:eastAsia="zh-CN" w:bidi="ar"/>
              </w:rPr>
              <w:t>有效像素</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1420*1060，</w:t>
            </w:r>
            <w:r>
              <w:rPr>
                <w:rFonts w:hint="eastAsia" w:ascii="宋体" w:hAnsi="宋体" w:eastAsia="宋体" w:cs="宋体"/>
                <w:i w:val="0"/>
                <w:iCs w:val="0"/>
                <w:color w:val="000000"/>
                <w:kern w:val="0"/>
                <w:sz w:val="20"/>
                <w:szCs w:val="20"/>
                <w:u w:val="none"/>
                <w:lang w:val="en-US" w:eastAsia="zh-CN" w:bidi="ar"/>
              </w:rPr>
              <w:t>内置滤镜， 内置立体电容麦克风，U90大容量电池，光学防抖，双卡槽录制， HDR 高品质一体机</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w:t>
            </w:r>
            <w:r>
              <w:rPr>
                <w:rFonts w:hint="eastAsia" w:ascii="宋体" w:hAnsi="宋体" w:eastAsia="宋体" w:cs="宋体"/>
                <w:i w:val="0"/>
                <w:iCs w:val="0"/>
                <w:color w:val="000000"/>
                <w:kern w:val="0"/>
                <w:sz w:val="20"/>
                <w:szCs w:val="20"/>
                <w:highlight w:val="none"/>
                <w:u w:val="none"/>
                <w:lang w:val="en-US" w:eastAsia="zh-CN" w:bidi="ar"/>
              </w:rPr>
              <w:t>128内存卡（含卡套）</w:t>
            </w:r>
            <w:r>
              <w:rPr>
                <w:rFonts w:hint="eastAsia" w:ascii="宋体" w:hAnsi="宋体" w:eastAsia="宋体" w:cs="宋体"/>
                <w:i w:val="0"/>
                <w:iCs w:val="0"/>
                <w:color w:val="000000"/>
                <w:kern w:val="0"/>
                <w:sz w:val="20"/>
                <w:szCs w:val="20"/>
                <w:u w:val="none"/>
                <w:lang w:val="en-US" w:eastAsia="zh-CN" w:bidi="ar"/>
              </w:rPr>
              <w:t>，3.0读卡器，镜头保护镜，机头话筒，专用摄像机包，专用电池，补光灯，高端功能三脚架，专业储存箱等。</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4K高清采集卡</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4K@60Hz,1080P@240Hz FPS高帧采集 PCI-Ex4GEN2及以上端口,双系统，无压缩低延迟，速度40Gb/s,通用端口，外置采集卡 RGB炫光灯模式，4路HDMI信号输入，1路3.5mm线性音频输入</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3"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直播录播一体机4K导播台</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4090*2160高清，TFT有源矩阵显示器，A240/A170监视器，色彩校正，显卡输出4可扩展，外部输出1，同时推流数量3，拉流功能，录制功能，云台控制，脚本编写，性能不低于酷睿I7CPU,≥8G内存不少于2条，500W电源，双头专业显卡，≥250G系统盘，≥2TB素材盘，HD正版vmix软件，会议远程视频功能。</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LED三基色摄影平板灯</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400W，2700K-6500K双色温调节，7000LX光线亮度（1米）,TLCI&gt;98，Ra&gt;95,120°光照角度，DB&lt;30,DMX512</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配：4叶挡板，150WH锂电池2块，适配器，影视灯架等</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DMX512灯光控制台</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ageBreakBefore w:val="0"/>
              <w:kinsoku/>
              <w:wordWrap/>
              <w:overflowPunct/>
              <w:topLinePunct w:val="0"/>
              <w:bidi w:val="0"/>
              <w:snapToGrid/>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性能不低于15四代处理器,≥120G固态硬盘，≥4G内存，156寸高清分辨率触摸屏，可扩展，内置备用电源（支持续航30分钟以上）可扩展，标准12个DMX输出端口和MID接口，支持Artnet并通过网络可扩展最大64DMX输出口</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天花路轨吊臂</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ageBreakBefore w:val="0"/>
              <w:kinsoku/>
              <w:wordWrap/>
              <w:overflowPunct/>
              <w:topLinePunct w:val="0"/>
              <w:bidi w:val="0"/>
              <w:snapToGrid/>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合金4轨-12吊臂（铝合金材质</w:t>
            </w:r>
            <w:r>
              <w:rPr>
                <w:rFonts w:hint="eastAsia" w:ascii="宋体" w:hAnsi="宋体" w:eastAsia="宋体" w:cs="宋体"/>
                <w:i w:val="0"/>
                <w:iCs w:val="0"/>
                <w:color w:val="000000"/>
                <w:kern w:val="0"/>
                <w:sz w:val="20"/>
                <w:szCs w:val="20"/>
                <w:highlight w:val="none"/>
                <w:u w:val="none"/>
                <w:lang w:val="en-US" w:eastAsia="zh-CN" w:bidi="ar"/>
              </w:rPr>
              <w:t>，厚度≥3MM标准可换接口，配灯具保护钢丝绳，总承受力不小于150KG)</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种数字效果，9段EQ均衡调节器，蓝牙播放，D-PRE(A类离散式话放），MG01高品质运算放大器，可开关幻象电源和PAD开关，单旋钮压缩器，EQ和高通滤波器，内建SPX数字效果器24编程，金属机身，音量控制方式旋钮，话筒物理接口数10个，立体声物理接口数4个，带48V供电，AUX物理输出接口4个，含唱歌效果，含CUBASE AIDAW下载版软件，可以上机柜。</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配：≥32G内存卡，话筒1个，高品质耳机一个，支架一个。</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领夹麦</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1拖2，双通道无线麦克风系统，双声道录音，广泛兼容3.5mmTRS模拟输出USB-C和IOS数字音频输出，板载录音功能，，内置可充电锂电池续航7小时以上，第四代2.4G无线传输系统</w:t>
            </w:r>
          </w:p>
          <w:p>
            <w:pPr>
              <w:keepNext w:val="0"/>
              <w:keepLines w:val="0"/>
              <w:pageBreakBefore w:val="0"/>
              <w:widowControl/>
              <w:suppressLineNumbers w:val="0"/>
              <w:kinsoku/>
              <w:wordWrap/>
              <w:overflowPunct/>
              <w:topLinePunct w:val="0"/>
              <w:bidi w:val="0"/>
              <w:snapToGrid/>
              <w:jc w:val="both"/>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配：SC15.SC16.SC17连接线和户外充电盒</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7"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提词器</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≥24寸双屏提词器，自带镜像功能，水平 140°垂直 130°广视角，视距大于 3M，多倍镀膜分光镜（入射角45°，多介质膜无色差超薄增透分光镜，防眩光高亮显示技术，透过率超过85%以上，分光比2：8光损失小于3%，透反率1：0.35）配：提词器软件，便携式手提箱，无线控制器，脚踏板控制器，专业脚轮。</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配：提词器软件，便携式手提箱，无线控制器，脚踏板控制器，专业脚轮。</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专业级影视绿幕</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jc w:val="left"/>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加厚耐磨牛津幕布带框架（3*2米）、便携手提地拉，合金材质外壳，双气压支撑转轴结构，自由伸缩。</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7"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美颜灯补光灯</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柔光箱（一型），6倍柔光，超大COB发光源，智能APP遥控，不少于10种特效情景模式，DMX群灯互联，高强度全铝，0-100%PWM无极调光自带记忆功能，NTC温度自检360°无盲区超静音主动散热，CRI显色指数&gt;96,TLCI指数&gt;97，CCT色温5600K(+-300),照射角度120°，灯体DC48V,</w:t>
            </w:r>
          </w:p>
          <w:p>
            <w:pPr>
              <w:keepNext w:val="0"/>
              <w:keepLines w:val="0"/>
              <w:pageBreakBefore w:val="0"/>
              <w:widowControl/>
              <w:suppressLineNumbers w:val="0"/>
              <w:kinsoku/>
              <w:wordWrap/>
              <w:overflowPunct/>
              <w:topLinePunct w:val="0"/>
              <w:bidi w:val="0"/>
              <w:snapToGrid/>
              <w:jc w:val="both"/>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配：DMX线，遥控器，八角柔光罩和球型柔光罩。</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高配电脑</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both"/>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处理器性能优于或等于I7-13700KF16核CPU,≥8GB显卡，≥16GB内存,性能优于或等于Z790P主板，≥1T固态硬盘，≥27寸4K升降显示器</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直播桌椅+导播间桌椅</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具体为6把椅子、2张桌子及组合展示架，根据装修风格和直播需求确定款式颜色。</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直播间音效</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ageBreakBefore w:val="0"/>
              <w:kinsoku/>
              <w:wordWrap/>
              <w:overflowPunct/>
              <w:topLinePunct w:val="0"/>
              <w:bidi w:val="0"/>
              <w:snapToGrid/>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直播间吸音音效处理，聚氨酯发泡材料，吸音降噪，离火3s自熄防火阻燃，0.050mg/㎡健康环保，含工费。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jc w:val="left"/>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16接口千兆网络交换机，</w:t>
            </w:r>
            <w:r>
              <w:rPr>
                <w:rFonts w:hint="eastAsia" w:ascii="宋体" w:hAnsi="宋体" w:eastAsia="宋体" w:cs="宋体"/>
                <w:i w:val="0"/>
                <w:iCs w:val="0"/>
                <w:color w:val="000000"/>
                <w:kern w:val="0"/>
                <w:sz w:val="20"/>
                <w:szCs w:val="20"/>
                <w:highlight w:val="none"/>
                <w:u w:val="none"/>
                <w:lang w:val="en-US" w:eastAsia="zh-CN" w:bidi="ar"/>
              </w:rPr>
              <w:t>交换容量32Gbps,整机包转发率24mpps,端口防雷共模6KV,整机功耗&lt;12w</w:t>
            </w:r>
            <w:r>
              <w:rPr>
                <w:rFonts w:hint="eastAsia" w:ascii="宋体" w:hAnsi="宋体" w:eastAsia="宋体" w:cs="宋体"/>
                <w:i w:val="0"/>
                <w:iCs w:val="0"/>
                <w:color w:val="000000"/>
                <w:kern w:val="0"/>
                <w:sz w:val="20"/>
                <w:szCs w:val="20"/>
                <w:u w:val="none"/>
                <w:lang w:val="en-US" w:eastAsia="zh-CN" w:bidi="ar"/>
              </w:rPr>
              <w:t>,MTBF&gt;200K,手机APP管理功能，分管各个直播间电脑</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ageBreakBefore w:val="0"/>
              <w:kinsoku/>
              <w:wordWrap/>
              <w:overflowPunct/>
              <w:topLinePunct w:val="0"/>
              <w:bidi w:val="0"/>
              <w:snapToGrid/>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支持IPV6,支持企业VPN,支持防火墙,支持AP管理,自然散热,LAN输出口：千兆网口,无线速率：1800M,无线协议：Wi-Fi 6,LAN口类型：电口</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其他耗材</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bidi w:val="0"/>
              <w:snapToGrid/>
              <w:jc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网线，电线，油漆，专用插座等微改安装耗材,含工费。</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饮水机</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1.水胆容量:≥26L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 2000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3.产开水量:温开水≥80 L/H,开水≥30L/H,可供不少于30人饮用。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4.过滤等级: 3简4级过滤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5.内部配置:微电脑自动控制系统，</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4"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高清直播摄像头</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1/2.5英寸≥800万有效像素 CMOS，不低于3840x2160分辨率，16x光学变焦，白平衡室内、室外、自动、手动、一键式，支持背光补偿，3D数字降噪，信噪比&gt;55dB，支持水平垂直旋转，支持图像冻结，支持POE供电</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配：高品质合金三角支架，遥控器，HDMI延长线，音响等。</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1"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提词器</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≥24寸双屏提词器，自带镜像功能，水平 140°垂直 130°广视角，视距大于 3M，多倍镀膜分光镜（入射角45°，多介质膜无色差超薄增透分光镜，防眩光高亮显示技术，透过率超过85%以上，分光比2：8光损失小于3%，透反率1：0.35）</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配：提词器软件，便携式手提箱，无线控制器，脚踏板控制器，专业脚轮。</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美颜灯补光灯</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柔光箱（一型），6倍柔光，超大COB发光源，智能APP遥控，，高强度全铝，0-100%PWM无极调光自带记忆功能，NTC温度自检360°无盲区超静音主动散热，CRI显色指数&gt;96,TLCI指数&gt;97，CCT色温5600K(+-300),照射角度120°，灯体DC48V。</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配：DMX线，遥控器，八角柔光罩和球型柔光罩。</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ageBreakBefore w:val="0"/>
              <w:kinsoku/>
              <w:wordWrap/>
              <w:overflowPunct/>
              <w:topLinePunct w:val="0"/>
              <w:bidi w:val="0"/>
              <w:snapToGrid/>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处理器性能优于或等于I5-13400，≥8GB内存,性能优于或等于Z790P主板，≥512TB固态硬盘，≥24寸显示器</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领夹麦</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1拖1，双通道无线麦克风系统，双声道录音，广泛兼容3.5mmTRS模拟输出USB-C和IOS数字音频输出，板载录音功能，，内置可充电锂电池续航7小时以上，第四代2.4G无线传输系统</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ageBreakBefore w:val="0"/>
              <w:kinsoku/>
              <w:wordWrap/>
              <w:overflowPunct/>
              <w:topLinePunct w:val="0"/>
              <w:bidi w:val="0"/>
              <w:snapToGrid/>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支持IPV6,支持企业VPN,支持防火墙,支持AP管理,自然散热,LAN输出口：千兆网口,无线速</w:t>
            </w:r>
            <w:r>
              <w:rPr>
                <w:rFonts w:hint="eastAsia" w:ascii="宋体" w:hAnsi="宋体" w:eastAsia="宋体" w:cs="宋体"/>
                <w:i w:val="0"/>
                <w:iCs w:val="0"/>
                <w:color w:val="000000"/>
                <w:kern w:val="0"/>
                <w:sz w:val="20"/>
                <w:szCs w:val="20"/>
                <w:highlight w:val="none"/>
                <w:u w:val="none"/>
                <w:lang w:val="en-US" w:eastAsia="zh-CN" w:bidi="ar"/>
              </w:rPr>
              <w:t>率：1800M,无线</w:t>
            </w:r>
            <w:r>
              <w:rPr>
                <w:rFonts w:hint="eastAsia" w:ascii="宋体" w:hAnsi="宋体" w:eastAsia="宋体" w:cs="宋体"/>
                <w:i w:val="0"/>
                <w:iCs w:val="0"/>
                <w:color w:val="000000"/>
                <w:kern w:val="0"/>
                <w:sz w:val="20"/>
                <w:szCs w:val="20"/>
                <w:u w:val="none"/>
                <w:lang w:val="en-US" w:eastAsia="zh-CN" w:bidi="ar"/>
              </w:rPr>
              <w:t>协议：Wi-Fi 6,LAN口类型：电口</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直播间音效</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ageBreakBefore w:val="0"/>
              <w:kinsoku/>
              <w:wordWrap/>
              <w:overflowPunct/>
              <w:topLinePunct w:val="0"/>
              <w:bidi w:val="0"/>
              <w:snapToGrid/>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直播间吸音音效处理，聚氨酯发泡材料，吸音降噪，离火3s自熄防火阻燃，0.050mg/㎡健康环保。</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直播桌椅</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具体为3把椅子、1张桌子及组合展示架为一套，根据装修风格和直播需求确定款式颜色。</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31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53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其他耗材</w:t>
            </w:r>
          </w:p>
        </w:tc>
        <w:tc>
          <w:tcPr>
            <w:tcW w:w="3593" w:type="pct"/>
            <w:tcBorders>
              <w:top w:val="single" w:color="000000" w:sz="4" w:space="0"/>
              <w:left w:val="single" w:color="000000" w:sz="4" w:space="0"/>
              <w:bottom w:val="nil"/>
              <w:right w:val="single" w:color="000000" w:sz="4" w:space="0"/>
            </w:tcBorders>
            <w:shd w:val="clear" w:color="auto" w:fill="auto"/>
            <w:noWrap/>
            <w:vAlign w:val="center"/>
          </w:tcPr>
          <w:p>
            <w:pPr>
              <w:pageBreakBefore w:val="0"/>
              <w:kinsoku/>
              <w:wordWrap/>
              <w:overflowPunct/>
              <w:topLinePunct w:val="0"/>
              <w:bidi w:val="0"/>
              <w:snapToGrid/>
              <w:jc w:val="left"/>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网线，电线，油漆，专用插座等微改安装耗材，含工费</w:t>
            </w:r>
          </w:p>
        </w:tc>
        <w:tc>
          <w:tcPr>
            <w:tcW w:w="26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净化主机</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参数：双向中央新风交换器换气PM2.5净化，吊顶式双向流新风系统，新直流马达全热交换器，适用温度-30°C~40°C，PM2.5净化效率(%)99以上，风量≥300m³/n</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室内风口</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参数：ABS材质花纹密网风口</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拨接软管</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参数：双层加厚铝箔</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室外风帽</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参数：不锈钢穿墙管道式大风量低噪音</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参数：D200，穿墙管道式大风量低噪音</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支管</w:t>
            </w:r>
          </w:p>
        </w:tc>
        <w:tc>
          <w:tcPr>
            <w:tcW w:w="3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highlight w:val="none"/>
                <w:u w:val="none"/>
                <w:lang w:val="en-US" w:eastAsia="zh-CN" w:bidi="ar"/>
              </w:rPr>
              <w:t>80mm（±5）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参数：PVC风道支管</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r>
    </w:tbl>
    <w:p>
      <w:pPr>
        <w:pageBreakBefore w:val="0"/>
        <w:kinsoku/>
        <w:wordWrap/>
        <w:overflowPunct/>
        <w:topLinePunct w:val="0"/>
        <w:bidi w:val="0"/>
        <w:snapToGrid/>
        <w:outlineLvl w:val="9"/>
      </w:pPr>
      <w:r>
        <w:br w:type="page"/>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1058"/>
        <w:gridCol w:w="6750"/>
        <w:gridCol w:w="652"/>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降噪收音系统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参数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3"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隔音板</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质吸音板 防火环保阻燃1200*2400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参数：金属框体，超微孔纤维声学复合棉，环保等级E1级≤0.5mg/L，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功能：1.平均隔声量</w:t>
            </w:r>
            <w:r>
              <w:rPr>
                <w:rFonts w:hint="eastAsia" w:ascii="宋体" w:hAnsi="宋体" w:eastAsia="宋体" w:cs="宋体"/>
                <w:i w:val="0"/>
                <w:iCs w:val="0"/>
                <w:color w:val="000000"/>
                <w:kern w:val="0"/>
                <w:sz w:val="20"/>
                <w:szCs w:val="20"/>
                <w:highlight w:val="none"/>
                <w:u w:val="none"/>
                <w:lang w:val="en-US" w:eastAsia="zh-CN" w:bidi="ar"/>
              </w:rPr>
              <w:t>30dB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2.耐候耐久性：产品具有耐水性、耐热性、抗紫外线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3.隔音板防火：完全满足环保和防火规范的要求，防火等达 A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4.高强度，</w:t>
            </w:r>
            <w:r>
              <w:rPr>
                <w:rFonts w:hint="eastAsia" w:ascii="宋体" w:hAnsi="宋体" w:eastAsia="宋体" w:cs="宋体"/>
                <w:i w:val="0"/>
                <w:iCs w:val="0"/>
                <w:color w:val="000000"/>
                <w:kern w:val="0"/>
                <w:sz w:val="20"/>
                <w:szCs w:val="20"/>
                <w:highlight w:val="none"/>
                <w:u w:val="none"/>
                <w:lang w:val="en-US" w:eastAsia="zh-CN" w:bidi="ar"/>
              </w:rPr>
              <w:t>抗压 300kg/m2。</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5.防水，防尘：设置排尘排水措施，避免构件内部积水。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6.隔音板耐用：不腐蚀、不变型、吸声、隔声效果不降低。</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工作内容：1.基层清理2.龙骨安装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3.基层板铺贴4.面层铺贴5.嵌缝</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(顶棚石膏板)-(隔音棉)</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highlight w:val="none"/>
                <w:u w:val="none"/>
                <w:lang w:val="en-US" w:eastAsia="zh-CN" w:bidi="ar"/>
              </w:rPr>
              <w:t>1220*2440*20mm（±5）</w:t>
            </w:r>
            <w:r>
              <w:rPr>
                <w:rFonts w:hint="eastAsia" w:ascii="宋体" w:hAnsi="宋体" w:eastAsia="宋体" w:cs="宋体"/>
                <w:i w:val="0"/>
                <w:iCs w:val="0"/>
                <w:color w:val="000000"/>
                <w:kern w:val="0"/>
                <w:sz w:val="20"/>
                <w:szCs w:val="20"/>
                <w:highlight w:val="yellow"/>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参数：硅酸钙板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要求：防水性强，遇水不膨胀，不变形，性能稳定，耐酸碱，不易腐蚀，具有超长使用寿命。</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工作内容：1.基层清理2.龙骨安装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3.基层板铺贴4.面层铺贴5.嵌缝</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加厚隔音棉</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聚酯纤维吸音棉800*800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参数：橡胶及纤维丝复合材料，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功能：环保级别一级，无甲醇，无味，防火阻燃，防水防潮，隔音降噪性超强，</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工作内容：1.基层清理2.龙骨安装3.基层板铺贴4.面层铺贴5.嵌缝</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矿棉板</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highlight w:val="none"/>
                <w:u w:val="none"/>
                <w:lang w:val="en-US" w:eastAsia="zh-CN" w:bidi="ar"/>
              </w:rPr>
              <w:t>：595*595*16（±5）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参数：矿棉吸声板，矿物纤维棉，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功能：吸声隔音处理</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工作内容：1.基层清理2.龙骨安装3.基层板铺贴4.面层铺贴5.嵌缝</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墙面漆奶白</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参数：无醛净味白色哑光、竹炭洁盾无添加，可调色，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功能：面层光滑，释放脱污因子</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工作内容：1.基层清理2.砂浆运输3.底层抹灰4.抹面层</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r>
    </w:tbl>
    <w:p>
      <w:pPr>
        <w:pageBreakBefore w:val="0"/>
        <w:kinsoku/>
        <w:wordWrap/>
        <w:overflowPunct/>
        <w:topLinePunct w:val="0"/>
        <w:bidi w:val="0"/>
        <w:snapToGrid/>
        <w:outlineLvl w:val="9"/>
      </w:pPr>
      <w:r>
        <w:br w:type="page"/>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1"/>
        <w:gridCol w:w="6738"/>
        <w:gridCol w:w="1031"/>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仓储隔间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52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341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52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3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8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高低吊顶轻钢龙骨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3.18mm厚大芯板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4.刷防火涂料2遍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5.30×30木龙骨</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吊顶单层纸面石膏板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3.18mm厚大芯板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4.刷防火涂料2遍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石膏板基层接缝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3.18mm厚大芯板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4.刷防火涂料2遍</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墙顶面砼基层成品腻子批嵌（二度）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墙顶面砼基层成品腻子批嵌（每增加一度）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墙顶面底层腻子找平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墙顶面乳胶漆（三度）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墙顶面挂网格布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墙顶面固化剂涂刷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地面水泥砂浆找平（厚度≤2cm）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地面水泥砂浆找平（每增加10mm）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成品木踢脚板安装</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墙顶分界面乳胶漆修补（墙顶面分色涂刷）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墙顶面普通墙纸铺贴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4.铺贴</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墙顶面对花墙纸铺贴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4.铺贴</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墙顶面墙纸基膜涂刷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4.抹面层</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开灯孔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八角灯头盒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吊平顶轻钢龙骨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3.基层板铺贴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5.嵌缝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6.刷防护材料、油漆</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吸顶灯（φ≤60cm）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开关、插座底盒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1.刨沟槽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3.电线管路敷设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弱电插座底盒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1.刨沟槽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3.电线管路敷设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开关、插座面板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1.刨沟槽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3.电线管路敷设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1.刨沟槽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3.电线管路敷设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弱电模块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1.刨沟槽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3.电线管路敷设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强电插座底盒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1.刨沟槽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3.电线管路敷设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1.刨沟槽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3.电线管路敷设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开关底盒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1.刨沟槽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3.电线管路敷设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2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41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半成品/成品保护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1.刨沟槽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3.电线管路敷设</w:t>
            </w:r>
          </w:p>
        </w:tc>
        <w:tc>
          <w:tcPr>
            <w:tcW w:w="52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53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34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垃圾清理费、材料搬运费、开工准备材料、施工脚手费、开荒保洁费、机械打洞费、材料运输费、远程施工费</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ageBreakBefore w:val="0"/>
        <w:kinsoku/>
        <w:wordWrap/>
        <w:overflowPunct/>
        <w:topLinePunct w:val="0"/>
        <w:bidi w:val="0"/>
        <w:snapToGrid/>
        <w:outlineLvl w:val="9"/>
      </w:pPr>
      <w:r>
        <w:br w:type="page"/>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3486"/>
        <w:gridCol w:w="4466"/>
        <w:gridCol w:w="48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小型冷库和配套降温系统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数量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聚氨酯库板</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加厚筋铝板，双面彩钢板，附膜阻燃防火，防腐，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密度42KG土2KG/m³。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导热系数:&lt;0.022W/N°C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吸 水 性:&lt;0.3G/m³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 燃 性:B2级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尺寸：3500*970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参数：白色，导热系数＜0.022W/N℃，密度40±2KG/m³，材质，不锈钢板，吸水性&lt;0.3G/m3阻燃性B2级，抗压轻度＞0.2MPA,厚度≥国标级200mm</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70"/>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冷库门</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双面彩钢板，隔热夹芯板，手动单开门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尺寸：1800*800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参数：双面钢板，隔热夹芯板，手动单开门，门扇四周采用≥2.0mm不锈钢包边无缝焊接，聚氨酯压力注射机注射一次发泡成型</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库体安装辅料</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密封胶水，聚氨酯发泡剂</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70"/>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冷凝机组</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全封闭压缩机 380v，高效节能、断点保护，密封低噪、电化霜</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尺寸：2100*560*1200</w:t>
            </w:r>
            <w:r>
              <w:rPr>
                <w:rFonts w:hint="eastAsia" w:ascii="宋体" w:hAnsi="宋体" w:eastAsia="宋体" w:cs="宋体"/>
                <w:i w:val="0"/>
                <w:iCs w:val="0"/>
                <w:color w:val="000000"/>
                <w:kern w:val="0"/>
                <w:sz w:val="20"/>
                <w:szCs w:val="20"/>
                <w:u w:val="none"/>
                <w:lang w:val="en-US" w:eastAsia="zh-CN" w:bidi="ar"/>
              </w:rPr>
              <w:t>全封闭内含多台压缩机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包括 气液分离器、 油分离器、过滤器、视液镜、阀、避震器等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要求：风冷式</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电控箱</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全自动微电脑电柜箱，支持智能保护，支持预警功能，支持远程控制功能</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膨胀阀</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配套膨胀阀，耐高压，纯铜体，蒸发温度范围：-40℃至87℃，包含阀体、感温包、平衡管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功能：用于R12（ 氟里昂）、R22（二氟一氯甲烷）、R134a等</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制冷管件（分管件）</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回气/供液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纯铜，管件口径DN20-DN35壁厚1.5mm温度-20℃至87℃</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5"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冷风机</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高效风机，节能，低噪音、高效阻隔，连续运转时间≥7500h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风量：≥1800m³/h</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风压:≤90pa</w:t>
            </w:r>
          </w:p>
          <w:p>
            <w:pPr>
              <w:keepNext w:val="0"/>
              <w:keepLines w:val="0"/>
              <w:pageBreakBefore w:val="0"/>
              <w:widowControl/>
              <w:suppressLineNumbers w:val="0"/>
              <w:kinsoku/>
              <w:wordWrap/>
              <w:overflowPunct/>
              <w:topLinePunct w:val="0"/>
              <w:bidi w:val="0"/>
              <w:snapToGrid/>
              <w:jc w:val="left"/>
              <w:textAlignment w:val="center"/>
              <w:outlineLvl w:val="9"/>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制冷功率：≥4.5KW</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电线/控制线</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国标电缆，1.5匹以下的空调单独供电使用面积为2.5mm2以上电线。</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2匹以下的空调单独供电使用面积为4mm2以上电线。</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库灯</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防潮耐低温,耐腐蚀，防水，LED型</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灯具形式:一体式支架 LED 灯，一体化设计</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灯具功率:单支灯具不大于 60W，整体功率密度小于5W/m2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灯具色温:大于 5000K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灯具光通量:大于 6500lm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灯体材料:钢材或铝材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灯具防护等级:不低于 IP20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平均使用寿命:不低于 40000h</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配套专业冷冻油，冷库空调制冷压缩机冷冻机油</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压力平衡窗</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冷库平衡窗 温控式速冻220V/36V/36W冷方形冻库压力平衡窗低温 36W/220V</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挂机空调</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壁挂式冷暖双制1.2匹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能效比：一级</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额定制冷量≥2500W</w:t>
            </w:r>
          </w:p>
          <w:p>
            <w:pPr>
              <w:keepNext w:val="0"/>
              <w:keepLines w:val="0"/>
              <w:pageBreakBefore w:val="0"/>
              <w:widowControl/>
              <w:suppressLineNumbers w:val="0"/>
              <w:kinsoku/>
              <w:wordWrap/>
              <w:overflowPunct/>
              <w:topLinePunct w:val="0"/>
              <w:bidi w:val="0"/>
              <w:snapToGrid/>
              <w:jc w:val="left"/>
              <w:textAlignment w:val="center"/>
              <w:outlineLvl w:val="9"/>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额定制热量≥3500W</w:t>
            </w:r>
          </w:p>
          <w:p>
            <w:pPr>
              <w:keepNext w:val="0"/>
              <w:keepLines w:val="0"/>
              <w:pageBreakBefore w:val="0"/>
              <w:widowControl/>
              <w:suppressLineNumbers w:val="0"/>
              <w:kinsoku/>
              <w:wordWrap/>
              <w:overflowPunct/>
              <w:topLinePunct w:val="0"/>
              <w:bidi w:val="0"/>
              <w:snapToGrid/>
              <w:jc w:val="left"/>
              <w:textAlignment w:val="center"/>
              <w:outlineLvl w:val="9"/>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额定输入功率≤1200W</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柜机空调</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壁挂式冷暖双制冷暖双制3匹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能效比：一级</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额定制冷量≥9230W</w:t>
            </w:r>
          </w:p>
          <w:p>
            <w:pPr>
              <w:keepNext w:val="0"/>
              <w:keepLines w:val="0"/>
              <w:pageBreakBefore w:val="0"/>
              <w:widowControl/>
              <w:suppressLineNumbers w:val="0"/>
              <w:kinsoku/>
              <w:wordWrap/>
              <w:overflowPunct/>
              <w:topLinePunct w:val="0"/>
              <w:bidi w:val="0"/>
              <w:snapToGrid/>
              <w:jc w:val="left"/>
              <w:textAlignment w:val="center"/>
              <w:outlineLvl w:val="9"/>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额定制热量≥13000W</w:t>
            </w:r>
          </w:p>
          <w:p>
            <w:pPr>
              <w:keepNext w:val="0"/>
              <w:keepLines w:val="0"/>
              <w:pageBreakBefore w:val="0"/>
              <w:widowControl/>
              <w:suppressLineNumbers w:val="0"/>
              <w:kinsoku/>
              <w:wordWrap/>
              <w:overflowPunct/>
              <w:topLinePunct w:val="0"/>
              <w:bidi w:val="0"/>
              <w:snapToGrid/>
              <w:jc w:val="left"/>
              <w:textAlignment w:val="center"/>
              <w:outlineLvl w:val="9"/>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highlight w:val="none"/>
                <w:u w:val="none"/>
                <w:lang w:val="en-US" w:eastAsia="zh-CN" w:bidi="ar"/>
              </w:rPr>
              <w:t>额定输入功率≤3000W</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水管/开关/回油弯</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材料运输费、安装费、调试费</w:t>
            </w:r>
          </w:p>
        </w:tc>
        <w:tc>
          <w:tcPr>
            <w:tcW w:w="2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含高空作业费等</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ageBreakBefore w:val="0"/>
        <w:kinsoku/>
        <w:wordWrap/>
        <w:overflowPunct/>
        <w:topLinePunct w:val="0"/>
        <w:bidi w:val="0"/>
        <w:snapToGrid/>
        <w:outlineLvl w:val="9"/>
      </w:pPr>
      <w:r>
        <w:br w:type="page"/>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7184"/>
        <w:gridCol w:w="69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bidi w:val="0"/>
              <w:snapToGrid/>
              <w:jc w:val="center"/>
              <w:textAlignment w:val="bottom"/>
              <w:outlineLvl w:val="9"/>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冷链运输车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lang w:eastAsia="zh-CN"/>
              </w:rPr>
            </w:pPr>
            <w:r>
              <w:rPr>
                <w:rFonts w:hint="eastAsia" w:ascii="宋体" w:hAnsi="宋体" w:eastAsia="宋体" w:cs="宋体"/>
                <w:b/>
                <w:bCs/>
                <w:i w:val="0"/>
                <w:iCs w:val="0"/>
                <w:color w:val="000000"/>
                <w:sz w:val="20"/>
                <w:szCs w:val="20"/>
                <w:u w:val="none"/>
                <w:lang w:eastAsia="zh-CN"/>
              </w:rPr>
              <w:t>单位</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46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冷藏车</w:t>
            </w:r>
          </w:p>
        </w:tc>
        <w:tc>
          <w:tcPr>
            <w:tcW w:w="364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bidi w:val="0"/>
              <w:snapToGrid/>
              <w:jc w:val="left"/>
              <w:textAlignment w:val="bottom"/>
              <w:outlineLvl w:val="9"/>
              <w:rPr>
                <w:rStyle w:val="90"/>
                <w:rFonts w:hint="eastAsia"/>
                <w:lang w:val="en-US" w:eastAsia="zh-CN" w:bidi="ar"/>
              </w:rPr>
            </w:pPr>
            <w:r>
              <w:rPr>
                <w:rStyle w:val="90"/>
                <w:rFonts w:hint="eastAsia"/>
                <w:lang w:val="en-US" w:eastAsia="zh-CN" w:bidi="ar"/>
              </w:rPr>
              <w:t>1.</w:t>
            </w:r>
            <w:r>
              <w:rPr>
                <w:rStyle w:val="90"/>
                <w:lang w:val="en-US" w:eastAsia="zh-CN" w:bidi="ar"/>
              </w:rPr>
              <w:t>发动机功率：≥</w:t>
            </w:r>
            <w:r>
              <w:rPr>
                <w:rStyle w:val="90"/>
                <w:rFonts w:hint="eastAsia"/>
                <w:lang w:val="en-US" w:eastAsia="zh-CN" w:bidi="ar"/>
              </w:rPr>
              <w:t>95KW</w:t>
            </w:r>
          </w:p>
          <w:p>
            <w:pPr>
              <w:keepNext w:val="0"/>
              <w:keepLines w:val="0"/>
              <w:pageBreakBefore w:val="0"/>
              <w:widowControl/>
              <w:numPr>
                <w:ilvl w:val="0"/>
                <w:numId w:val="0"/>
              </w:numPr>
              <w:suppressLineNumbers w:val="0"/>
              <w:kinsoku/>
              <w:wordWrap/>
              <w:overflowPunct/>
              <w:topLinePunct w:val="0"/>
              <w:bidi w:val="0"/>
              <w:snapToGrid/>
              <w:jc w:val="left"/>
              <w:textAlignment w:val="bottom"/>
              <w:outlineLvl w:val="9"/>
              <w:rPr>
                <w:rFonts w:hint="eastAsia" w:ascii="宋体" w:hAnsi="宋体" w:eastAsia="宋体" w:cs="宋体"/>
                <w:i w:val="0"/>
                <w:iCs w:val="0"/>
                <w:color w:val="000000"/>
                <w:sz w:val="20"/>
                <w:szCs w:val="20"/>
                <w:u w:val="none"/>
              </w:rPr>
            </w:pPr>
            <w:r>
              <w:rPr>
                <w:rStyle w:val="90"/>
                <w:rFonts w:hint="eastAsia"/>
                <w:lang w:val="en-US" w:eastAsia="zh-CN" w:bidi="ar"/>
              </w:rPr>
              <w:t>2.</w:t>
            </w:r>
            <w:r>
              <w:rPr>
                <w:rStyle w:val="90"/>
                <w:lang w:val="en-US" w:eastAsia="zh-CN" w:bidi="ar"/>
              </w:rPr>
              <w:t>变速箱：</w:t>
            </w:r>
            <w:r>
              <w:rPr>
                <w:rStyle w:val="90"/>
                <w:rFonts w:hint="eastAsia"/>
                <w:lang w:val="en-US" w:eastAsia="zh-CN" w:bidi="ar"/>
              </w:rPr>
              <w:t>6档手动</w:t>
            </w:r>
          </w:p>
          <w:p>
            <w:pPr>
              <w:keepNext w:val="0"/>
              <w:keepLines w:val="0"/>
              <w:pageBreakBefore w:val="0"/>
              <w:widowControl/>
              <w:numPr>
                <w:ilvl w:val="0"/>
                <w:numId w:val="0"/>
              </w:numPr>
              <w:suppressLineNumbers w:val="0"/>
              <w:kinsoku/>
              <w:wordWrap/>
              <w:overflowPunct/>
              <w:topLinePunct w:val="0"/>
              <w:bidi w:val="0"/>
              <w:snapToGrid/>
              <w:jc w:val="left"/>
              <w:textAlignment w:val="bottom"/>
              <w:outlineLvl w:val="9"/>
              <w:rPr>
                <w:rFonts w:hint="eastAsia" w:ascii="宋体" w:hAnsi="宋体" w:eastAsia="宋体" w:cs="宋体"/>
                <w:i w:val="0"/>
                <w:iCs w:val="0"/>
                <w:color w:val="000000"/>
                <w:sz w:val="20"/>
                <w:szCs w:val="20"/>
                <w:u w:val="none"/>
              </w:rPr>
            </w:pPr>
            <w:r>
              <w:rPr>
                <w:rStyle w:val="90"/>
                <w:rFonts w:hint="eastAsia"/>
                <w:lang w:val="en-US" w:eastAsia="zh-CN" w:bidi="ar"/>
              </w:rPr>
              <w:t>3.总质量：≤4495kg</w:t>
            </w:r>
          </w:p>
          <w:p>
            <w:pPr>
              <w:keepNext w:val="0"/>
              <w:keepLines w:val="0"/>
              <w:pageBreakBefore w:val="0"/>
              <w:widowControl/>
              <w:numPr>
                <w:ilvl w:val="0"/>
                <w:numId w:val="0"/>
              </w:numPr>
              <w:suppressLineNumbers w:val="0"/>
              <w:kinsoku/>
              <w:wordWrap/>
              <w:overflowPunct/>
              <w:topLinePunct w:val="0"/>
              <w:bidi w:val="0"/>
              <w:snapToGrid/>
              <w:jc w:val="left"/>
              <w:textAlignment w:val="bottom"/>
              <w:outlineLvl w:val="9"/>
              <w:rPr>
                <w:rFonts w:hint="eastAsia" w:ascii="宋体" w:hAnsi="宋体" w:eastAsia="宋体" w:cs="宋体"/>
                <w:i w:val="0"/>
                <w:iCs w:val="0"/>
                <w:color w:val="000000"/>
                <w:sz w:val="20"/>
                <w:szCs w:val="20"/>
                <w:u w:val="none"/>
              </w:rPr>
            </w:pPr>
            <w:r>
              <w:rPr>
                <w:rStyle w:val="90"/>
                <w:rFonts w:hint="eastAsia" w:eastAsia="宋体"/>
                <w:lang w:val="en-US" w:eastAsia="zh-CN" w:bidi="ar"/>
              </w:rPr>
              <w:t>4.额定载质量：</w:t>
            </w:r>
            <w:r>
              <w:rPr>
                <w:rStyle w:val="90"/>
                <w:lang w:val="en-US" w:eastAsia="zh-CN" w:bidi="ar"/>
              </w:rPr>
              <w:t>≥</w:t>
            </w:r>
            <w:r>
              <w:rPr>
                <w:rStyle w:val="90"/>
                <w:rFonts w:hint="eastAsia"/>
                <w:lang w:val="en-US" w:eastAsia="zh-CN" w:bidi="ar"/>
              </w:rPr>
              <w:t>1000</w:t>
            </w:r>
            <w:r>
              <w:rPr>
                <w:rStyle w:val="90"/>
                <w:rFonts w:hint="eastAsia" w:eastAsia="宋体"/>
                <w:lang w:val="en-US" w:eastAsia="zh-CN" w:bidi="ar"/>
              </w:rPr>
              <w:t>k</w:t>
            </w:r>
            <w:r>
              <w:rPr>
                <w:rStyle w:val="90"/>
                <w:rFonts w:hint="eastAsia"/>
                <w:lang w:val="en-US" w:eastAsia="zh-CN" w:bidi="ar"/>
              </w:rPr>
              <w:t>g</w:t>
            </w:r>
          </w:p>
          <w:p>
            <w:pPr>
              <w:keepNext w:val="0"/>
              <w:keepLines w:val="0"/>
              <w:pageBreakBefore w:val="0"/>
              <w:widowControl/>
              <w:numPr>
                <w:ilvl w:val="0"/>
                <w:numId w:val="0"/>
              </w:numPr>
              <w:suppressLineNumbers w:val="0"/>
              <w:kinsoku/>
              <w:wordWrap/>
              <w:overflowPunct/>
              <w:topLinePunct w:val="0"/>
              <w:bidi w:val="0"/>
              <w:snapToGrid/>
              <w:jc w:val="left"/>
              <w:textAlignment w:val="bottom"/>
              <w:outlineLvl w:val="9"/>
              <w:rPr>
                <w:rFonts w:hint="eastAsia" w:ascii="宋体" w:hAnsi="宋体" w:eastAsia="宋体" w:cs="宋体"/>
                <w:i w:val="0"/>
                <w:iCs w:val="0"/>
                <w:color w:val="000000"/>
                <w:sz w:val="20"/>
                <w:szCs w:val="20"/>
                <w:u w:val="none"/>
              </w:rPr>
            </w:pPr>
            <w:r>
              <w:rPr>
                <w:rStyle w:val="90"/>
                <w:rFonts w:hint="eastAsia" w:eastAsia="宋体"/>
                <w:lang w:val="en-US" w:eastAsia="zh-CN" w:bidi="ar"/>
              </w:rPr>
              <w:t>5.轴距：</w:t>
            </w:r>
            <w:r>
              <w:rPr>
                <w:rStyle w:val="90"/>
                <w:lang w:val="en-US" w:eastAsia="zh-CN" w:bidi="ar"/>
              </w:rPr>
              <w:t>≥</w:t>
            </w:r>
            <w:r>
              <w:rPr>
                <w:rStyle w:val="90"/>
                <w:rFonts w:hint="eastAsia"/>
                <w:lang w:val="en-US" w:eastAsia="zh-CN" w:bidi="ar"/>
              </w:rPr>
              <w:t>3350</w:t>
            </w:r>
            <w:r>
              <w:rPr>
                <w:rStyle w:val="90"/>
                <w:rFonts w:hint="eastAsia" w:eastAsia="宋体"/>
                <w:lang w:val="en-US" w:eastAsia="zh-CN" w:bidi="ar"/>
              </w:rPr>
              <w:t>mm</w:t>
            </w:r>
          </w:p>
          <w:p>
            <w:pPr>
              <w:keepNext w:val="0"/>
              <w:keepLines w:val="0"/>
              <w:pageBreakBefore w:val="0"/>
              <w:widowControl/>
              <w:numPr>
                <w:ilvl w:val="0"/>
                <w:numId w:val="0"/>
              </w:numPr>
              <w:suppressLineNumbers w:val="0"/>
              <w:kinsoku/>
              <w:wordWrap/>
              <w:overflowPunct/>
              <w:topLinePunct w:val="0"/>
              <w:bidi w:val="0"/>
              <w:snapToGrid/>
              <w:jc w:val="left"/>
              <w:textAlignment w:val="bottom"/>
              <w:outlineLvl w:val="9"/>
              <w:rPr>
                <w:rFonts w:hint="eastAsia" w:ascii="宋体" w:hAnsi="宋体" w:eastAsia="宋体" w:cs="宋体"/>
                <w:i w:val="0"/>
                <w:iCs w:val="0"/>
                <w:color w:val="000000"/>
                <w:sz w:val="20"/>
                <w:szCs w:val="20"/>
                <w:u w:val="none"/>
              </w:rPr>
            </w:pPr>
            <w:r>
              <w:rPr>
                <w:rStyle w:val="90"/>
                <w:rFonts w:hint="eastAsia" w:eastAsia="宋体"/>
                <w:lang w:val="en-US" w:eastAsia="zh-CN" w:bidi="ar"/>
              </w:rPr>
              <w:t>6.外形尺寸：</w:t>
            </w:r>
            <w:r>
              <w:rPr>
                <w:rStyle w:val="90"/>
                <w:lang w:val="en-US" w:eastAsia="zh-CN" w:bidi="ar"/>
              </w:rPr>
              <w:t>≥</w:t>
            </w:r>
            <w:r>
              <w:rPr>
                <w:rStyle w:val="90"/>
                <w:rFonts w:hint="eastAsia"/>
                <w:lang w:val="en-US" w:eastAsia="zh-CN" w:bidi="ar"/>
              </w:rPr>
              <w:t>5900*2100*3100</w:t>
            </w:r>
            <w:r>
              <w:rPr>
                <w:rStyle w:val="90"/>
                <w:rFonts w:hint="eastAsia" w:eastAsia="宋体"/>
                <w:lang w:val="en-US" w:eastAsia="zh-CN" w:bidi="ar"/>
              </w:rPr>
              <w:t>mm</w:t>
            </w:r>
          </w:p>
          <w:p>
            <w:pPr>
              <w:keepNext w:val="0"/>
              <w:keepLines w:val="0"/>
              <w:pageBreakBefore w:val="0"/>
              <w:widowControl/>
              <w:numPr>
                <w:ilvl w:val="0"/>
                <w:numId w:val="0"/>
              </w:numPr>
              <w:suppressLineNumbers w:val="0"/>
              <w:kinsoku/>
              <w:wordWrap/>
              <w:overflowPunct/>
              <w:topLinePunct w:val="0"/>
              <w:bidi w:val="0"/>
              <w:snapToGrid/>
              <w:jc w:val="left"/>
              <w:textAlignment w:val="bottom"/>
              <w:outlineLvl w:val="9"/>
              <w:rPr>
                <w:rFonts w:hint="eastAsia" w:ascii="宋体" w:hAnsi="宋体" w:eastAsia="宋体" w:cs="宋体"/>
                <w:i w:val="0"/>
                <w:iCs w:val="0"/>
                <w:color w:val="000000"/>
                <w:sz w:val="20"/>
                <w:szCs w:val="20"/>
                <w:u w:val="none"/>
              </w:rPr>
            </w:pPr>
            <w:r>
              <w:rPr>
                <w:rStyle w:val="90"/>
                <w:rFonts w:hint="eastAsia" w:eastAsia="宋体"/>
                <w:lang w:val="en-US" w:eastAsia="zh-CN" w:bidi="ar"/>
              </w:rPr>
              <w:t>7.货箱尺寸：</w:t>
            </w:r>
            <w:r>
              <w:rPr>
                <w:rStyle w:val="90"/>
                <w:lang w:val="en-US" w:eastAsia="zh-CN" w:bidi="ar"/>
              </w:rPr>
              <w:t>≥</w:t>
            </w:r>
            <w:r>
              <w:rPr>
                <w:rStyle w:val="90"/>
                <w:rFonts w:hint="eastAsia"/>
                <w:lang w:val="en-US" w:eastAsia="zh-CN" w:bidi="ar"/>
              </w:rPr>
              <w:t>3900*2000*2000</w:t>
            </w:r>
            <w:r>
              <w:rPr>
                <w:rStyle w:val="90"/>
                <w:rFonts w:hint="eastAsia" w:eastAsia="宋体"/>
                <w:lang w:val="en-US" w:eastAsia="zh-CN" w:bidi="ar"/>
              </w:rPr>
              <w:t>mm</w:t>
            </w:r>
          </w:p>
          <w:p>
            <w:pPr>
              <w:keepNext w:val="0"/>
              <w:keepLines w:val="0"/>
              <w:pageBreakBefore w:val="0"/>
              <w:widowControl/>
              <w:numPr>
                <w:ilvl w:val="0"/>
                <w:numId w:val="0"/>
              </w:numPr>
              <w:suppressLineNumbers w:val="0"/>
              <w:kinsoku/>
              <w:wordWrap/>
              <w:overflowPunct/>
              <w:topLinePunct w:val="0"/>
              <w:bidi w:val="0"/>
              <w:snapToGrid/>
              <w:jc w:val="left"/>
              <w:textAlignment w:val="bottom"/>
              <w:outlineLvl w:val="9"/>
              <w:rPr>
                <w:rFonts w:hint="default" w:ascii="宋体" w:hAnsi="宋体" w:eastAsia="宋体" w:cs="宋体"/>
                <w:i w:val="0"/>
                <w:iCs w:val="0"/>
                <w:color w:val="000000"/>
                <w:sz w:val="20"/>
                <w:szCs w:val="20"/>
                <w:u w:val="none"/>
                <w:lang w:val="en-US"/>
              </w:rPr>
            </w:pPr>
            <w:r>
              <w:rPr>
                <w:rStyle w:val="90"/>
                <w:rFonts w:hint="eastAsia" w:eastAsia="宋体"/>
                <w:lang w:val="en-US" w:eastAsia="zh-CN" w:bidi="ar"/>
              </w:rPr>
              <w:t>8.箱体材质：内外玻璃钢（厚度：1.8mm±0.2）保温板（80mm±5）</w:t>
            </w:r>
          </w:p>
          <w:p>
            <w:pPr>
              <w:keepNext w:val="0"/>
              <w:keepLines w:val="0"/>
              <w:pageBreakBefore w:val="0"/>
              <w:widowControl/>
              <w:numPr>
                <w:ilvl w:val="0"/>
                <w:numId w:val="0"/>
              </w:numPr>
              <w:suppressLineNumbers w:val="0"/>
              <w:kinsoku/>
              <w:wordWrap/>
              <w:overflowPunct/>
              <w:topLinePunct w:val="0"/>
              <w:bidi w:val="0"/>
              <w:snapToGrid/>
              <w:jc w:val="left"/>
              <w:textAlignment w:val="bottom"/>
              <w:outlineLvl w:val="9"/>
              <w:rPr>
                <w:rStyle w:val="90"/>
                <w:rFonts w:hint="eastAsia"/>
                <w:lang w:val="en-US" w:eastAsia="zh-CN" w:bidi="ar"/>
              </w:rPr>
            </w:pPr>
            <w:r>
              <w:rPr>
                <w:rStyle w:val="90"/>
                <w:rFonts w:hint="eastAsia" w:eastAsia="宋体"/>
                <w:lang w:val="en-US" w:eastAsia="zh-CN" w:bidi="ar"/>
              </w:rPr>
              <w:t>9.尾门材质：不锈钢</w:t>
            </w:r>
            <w:r>
              <w:rPr>
                <w:rStyle w:val="90"/>
                <w:lang w:val="en-US" w:eastAsia="zh-CN" w:bidi="ar"/>
              </w:rPr>
              <w:br w:type="textWrapping"/>
            </w:r>
            <w:r>
              <w:rPr>
                <w:rStyle w:val="90"/>
                <w:rFonts w:hint="eastAsia"/>
                <w:lang w:val="en-US" w:eastAsia="zh-CN" w:bidi="ar"/>
              </w:rPr>
              <w:t>按要求提供 车辆购置税，挂牌手续要求悬挂当地拍照，如厂家无法满足，必须安排当地代办企业进行办理，基本险：交强险、三责险、车损险;附加险：盗抢险、车上责任险、无过失责任险、车载货物掉落责任险、玻璃单独破碎险、车辆停驶损失险、自燃损失险、新增设备损失险、不计免赔特约险等。厂家物流直送目的地</w:t>
            </w:r>
          </w:p>
          <w:p>
            <w:pPr>
              <w:keepNext w:val="0"/>
              <w:keepLines w:val="0"/>
              <w:pageBreakBefore w:val="0"/>
              <w:widowControl/>
              <w:suppressLineNumbers w:val="0"/>
              <w:kinsoku/>
              <w:wordWrap/>
              <w:overflowPunct/>
              <w:topLinePunct w:val="0"/>
              <w:bidi w:val="0"/>
              <w:snapToGrid/>
              <w:jc w:val="left"/>
              <w:textAlignment w:val="center"/>
              <w:outlineLvl w:val="9"/>
              <w:rPr>
                <w:rFonts w:hint="eastAsia" w:ascii="宋体" w:hAnsi="宋体" w:eastAsia="宋体" w:cs="宋体"/>
                <w:i w:val="0"/>
                <w:iCs w:val="0"/>
                <w:color w:val="000000"/>
                <w:sz w:val="20"/>
                <w:szCs w:val="20"/>
                <w:u w:val="none"/>
              </w:rPr>
            </w:pPr>
            <w:r>
              <w:rPr>
                <w:rStyle w:val="90"/>
                <w:rFonts w:hint="eastAsia"/>
                <w:lang w:val="en-US" w:eastAsia="zh-CN" w:bidi="ar"/>
              </w:rPr>
              <w:t>车辆要求全款支付，交付后直接投入使用。</w:t>
            </w:r>
          </w:p>
        </w:tc>
        <w:tc>
          <w:tcPr>
            <w:tcW w:w="3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jc w:val="center"/>
              <w:textAlignment w:val="center"/>
              <w:outlineLvl w:val="9"/>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台</w:t>
            </w:r>
          </w:p>
        </w:tc>
        <w:tc>
          <w:tcPr>
            <w:tcW w:w="53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bidi w:val="0"/>
              <w:snapToGrid/>
              <w:jc w:val="center"/>
              <w:textAlignment w:val="bottom"/>
              <w:outlineLvl w:val="9"/>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bl>
    <w:p>
      <w:pPr>
        <w:pageBreakBefore w:val="0"/>
        <w:kinsoku/>
        <w:wordWrap/>
        <w:overflowPunct/>
        <w:topLinePunct w:val="0"/>
        <w:bidi w:val="0"/>
        <w:snapToGrid/>
        <w:outlineLvl w:val="9"/>
        <w:rPr>
          <w:rFonts w:hint="eastAsia" w:ascii="宋体" w:hAnsi="宋体" w:eastAsia="宋体" w:cs="宋体"/>
          <w:color w:val="auto"/>
          <w:highlight w:val="none"/>
        </w:rPr>
        <w:sectPr>
          <w:pgSz w:w="11906" w:h="16838"/>
          <w:pgMar w:top="1134" w:right="1134" w:bottom="1134" w:left="1134" w:header="340" w:footer="510"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highlight w:val="none"/>
        </w:rPr>
      </w:pPr>
      <w:bookmarkStart w:id="56" w:name="_Toc6624"/>
      <w:r>
        <w:rPr>
          <w:rFonts w:hint="eastAsia" w:ascii="宋体" w:hAnsi="宋体" w:eastAsia="宋体" w:cs="宋体"/>
          <w:color w:val="auto"/>
          <w:highlight w:val="none"/>
        </w:rPr>
        <w:t>第三部分  封面标识式样</w:t>
      </w:r>
      <w:bookmarkEnd w:id="54"/>
      <w:bookmarkEnd w:id="55"/>
      <w:bookmarkEnd w:id="56"/>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格式A：投标文件封面式样</w:t>
      </w:r>
    </w:p>
    <w:p>
      <w:pPr>
        <w:pStyle w:val="12"/>
        <w:rPr>
          <w:rFonts w:hint="eastAsia" w:ascii="宋体" w:hAnsi="宋体" w:eastAsia="宋体" w:cs="宋体"/>
          <w:color w:val="auto"/>
          <w:highlight w:val="none"/>
        </w:rPr>
      </w:pPr>
      <w:r>
        <w:rPr>
          <w:rFonts w:hint="eastAsia" w:ascii="宋体" w:hAnsi="宋体" w:eastAsia="宋体" w:cs="宋体"/>
          <w:b/>
          <w:color w:val="auto"/>
          <w:sz w:val="24"/>
          <w:highlight w:val="none"/>
        </w:rPr>
        <mc:AlternateContent>
          <mc:Choice Requires="wps">
            <w:drawing>
              <wp:inline distT="0" distB="0" distL="114300" distR="114300">
                <wp:extent cx="6050915" cy="7483475"/>
                <wp:effectExtent l="4445" t="4445" r="10160" b="10160"/>
                <wp:docPr id="1" name="文本框 4"/>
                <wp:cNvGraphicFramePr/>
                <a:graphic xmlns:a="http://schemas.openxmlformats.org/drawingml/2006/main">
                  <a:graphicData uri="http://schemas.microsoft.com/office/word/2010/wordprocessingShape">
                    <wps:wsp>
                      <wps:cNvSpPr txBox="1"/>
                      <wps:spPr>
                        <a:xfrm>
                          <a:off x="0" y="0"/>
                          <a:ext cx="6050915" cy="7483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s="宋体"/>
                                <w:sz w:val="28"/>
                                <w:szCs w:val="28"/>
                              </w:rPr>
                            </w:pPr>
                            <w:r>
                              <w:rPr>
                                <w:rFonts w:hint="eastAsia" w:ascii="宋体" w:hAnsi="宋体" w:cs="宋体"/>
                                <w:sz w:val="28"/>
                                <w:szCs w:val="28"/>
                              </w:rPr>
                              <w:t>致：华晟国际项目管理有限公司</w:t>
                            </w:r>
                          </w:p>
                          <w:p>
                            <w:pPr>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pPr>
                              <w:rPr>
                                <w:rFonts w:hint="eastAsia" w:ascii="宋体" w:hAnsi="宋体" w:cs="宋体"/>
                                <w:sz w:val="28"/>
                                <w:szCs w:val="28"/>
                              </w:rPr>
                            </w:pPr>
                            <w:r>
                              <w:rPr>
                                <w:rFonts w:hint="eastAsia" w:ascii="宋体" w:hAnsi="宋体" w:cs="宋体"/>
                                <w:sz w:val="28"/>
                                <w:szCs w:val="28"/>
                              </w:rPr>
                              <w:t>项目名称：</w:t>
                            </w:r>
                          </w:p>
                          <w:p>
                            <w:pPr>
                              <w:pStyle w:val="15"/>
                              <w:spacing w:line="360" w:lineRule="auto"/>
                              <w:ind w:firstLine="562" w:firstLineChars="200"/>
                              <w:rPr>
                                <w:rFonts w:hAnsi="宋体" w:cs="宋体"/>
                                <w:b/>
                                <w:bCs/>
                                <w:sz w:val="28"/>
                                <w:szCs w:val="28"/>
                              </w:rPr>
                            </w:pPr>
                            <w:r>
                              <w:rPr>
                                <w:rFonts w:hint="eastAsia" w:hAnsi="宋体" w:cs="宋体"/>
                                <w:b/>
                                <w:bCs/>
                                <w:sz w:val="28"/>
                                <w:szCs w:val="28"/>
                              </w:rPr>
                              <w:t xml:space="preserve">                                 </w:t>
                            </w:r>
                          </w:p>
                          <w:p>
                            <w:pPr>
                              <w:pStyle w:val="15"/>
                              <w:jc w:val="center"/>
                              <w:rPr>
                                <w:rFonts w:hAnsi="宋体" w:cs="宋体"/>
                                <w:b/>
                                <w:bCs/>
                                <w:sz w:val="36"/>
                                <w:szCs w:val="36"/>
                              </w:rPr>
                            </w:pPr>
                          </w:p>
                          <w:p/>
                          <w:p>
                            <w:pPr>
                              <w:pStyle w:val="15"/>
                              <w:spacing w:line="460" w:lineRule="exact"/>
                              <w:ind w:firstLine="643" w:firstLineChars="200"/>
                              <w:rPr>
                                <w:rFonts w:hAnsi="宋体" w:cs="宋体"/>
                                <w:b/>
                                <w:bCs/>
                                <w:sz w:val="32"/>
                                <w:szCs w:val="32"/>
                              </w:rPr>
                            </w:pPr>
                          </w:p>
                          <w:p>
                            <w:pPr>
                              <w:pStyle w:val="15"/>
                              <w:jc w:val="center"/>
                              <w:rPr>
                                <w:rFonts w:hint="eastAsia" w:hAnsi="宋体" w:eastAsia="宋体" w:cs="宋体"/>
                                <w:b/>
                                <w:bCs/>
                                <w:sz w:val="52"/>
                                <w:szCs w:val="52"/>
                                <w:lang w:val="en-US" w:eastAsia="zh-CN"/>
                              </w:rPr>
                            </w:pPr>
                            <w:r>
                              <w:rPr>
                                <w:rFonts w:hint="eastAsia" w:hAnsi="宋体" w:cs="宋体"/>
                                <w:b/>
                                <w:bCs/>
                                <w:sz w:val="52"/>
                                <w:szCs w:val="52"/>
                              </w:rPr>
                              <w:t>投标文件（正本或副本）</w:t>
                            </w:r>
                            <w:r>
                              <w:rPr>
                                <w:rFonts w:hint="eastAsia" w:hAnsi="宋体" w:cs="宋体"/>
                                <w:b/>
                                <w:bCs/>
                                <w:sz w:val="52"/>
                                <w:szCs w:val="52"/>
                                <w:lang w:val="en-US" w:eastAsia="zh-CN"/>
                              </w:rPr>
                              <w:t>/开标一览表</w:t>
                            </w:r>
                          </w:p>
                          <w:p>
                            <w:pPr>
                              <w:pStyle w:val="15"/>
                              <w:jc w:val="center"/>
                              <w:rPr>
                                <w:rFonts w:hAnsi="宋体" w:cs="宋体"/>
                                <w:b/>
                                <w:bCs/>
                                <w:sz w:val="48"/>
                                <w:szCs w:val="48"/>
                              </w:rPr>
                            </w:pPr>
                            <w:r>
                              <w:rPr>
                                <w:rFonts w:hint="eastAsia"/>
                                <w:sz w:val="24"/>
                                <w:szCs w:val="24"/>
                              </w:rPr>
                              <w:t>（</w:t>
                            </w:r>
                            <w:r>
                              <w:rPr>
                                <w:rFonts w:hint="eastAsia" w:ascii="宋体" w:hAnsi="宋体"/>
                                <w:color w:val="000000"/>
                                <w:sz w:val="22"/>
                                <w:szCs w:val="21"/>
                              </w:rPr>
                              <w:t>在202</w:t>
                            </w:r>
                            <w:r>
                              <w:rPr>
                                <w:rFonts w:hint="eastAsia" w:hAnsi="宋体"/>
                                <w:color w:val="000000"/>
                                <w:sz w:val="22"/>
                                <w:szCs w:val="21"/>
                                <w:lang w:val="en-US" w:eastAsia="zh-CN"/>
                              </w:rPr>
                              <w:t>3</w:t>
                            </w:r>
                            <w:r>
                              <w:rPr>
                                <w:rFonts w:hint="eastAsia" w:ascii="宋体" w:hAnsi="宋体"/>
                                <w:color w:val="000000"/>
                                <w:sz w:val="22"/>
                                <w:szCs w:val="21"/>
                              </w:rPr>
                              <w:t>年   月   日    时前不得开启</w:t>
                            </w:r>
                            <w:r>
                              <w:rPr>
                                <w:rFonts w:hint="eastAsia"/>
                                <w:sz w:val="24"/>
                                <w:szCs w:val="24"/>
                              </w:rPr>
                              <w:t>）</w:t>
                            </w:r>
                          </w:p>
                          <w:p>
                            <w:pPr>
                              <w:pStyle w:val="15"/>
                              <w:ind w:firstLine="360" w:firstLineChars="200"/>
                              <w:rPr>
                                <w:rFonts w:ascii="Times New Roman" w:hAnsi="Times New Roman" w:eastAsia="MingLiU_HKSCS" w:cs="Times New Roman"/>
                                <w:b/>
                                <w:bCs/>
                                <w:sz w:val="18"/>
                                <w:szCs w:val="18"/>
                              </w:rPr>
                            </w:pPr>
                          </w:p>
                          <w:p>
                            <w:pPr>
                              <w:pStyle w:val="15"/>
                              <w:ind w:firstLine="420" w:firstLineChars="200"/>
                              <w:rPr>
                                <w:rFonts w:ascii="Times New Roman" w:hAnsi="Times New Roman" w:eastAsia="MingLiU_HKSCS" w:cs="Times New Roman"/>
                                <w:b/>
                                <w:bCs/>
                              </w:rPr>
                            </w:pPr>
                          </w:p>
                          <w:p>
                            <w:pPr>
                              <w:pStyle w:val="15"/>
                              <w:ind w:firstLine="420" w:firstLineChars="200"/>
                              <w:rPr>
                                <w:rFonts w:ascii="Times New Roman" w:hAnsi="Times New Roman" w:eastAsia="MingLiU_HKSCS" w:cs="Times New Roman"/>
                                <w:b/>
                                <w:bCs/>
                              </w:rPr>
                            </w:pPr>
                          </w:p>
                          <w:p>
                            <w:pPr>
                              <w:pStyle w:val="15"/>
                              <w:ind w:firstLine="420" w:firstLineChars="200"/>
                              <w:rPr>
                                <w:rFonts w:ascii="Times New Roman" w:hAnsi="Times New Roman" w:eastAsia="MingLiU_HKSCS" w:cs="Times New Roman"/>
                                <w:b/>
                                <w:bCs/>
                              </w:rPr>
                            </w:pPr>
                          </w:p>
                          <w:p>
                            <w:pPr>
                              <w:pStyle w:val="15"/>
                              <w:ind w:firstLine="420" w:firstLineChars="200"/>
                              <w:rPr>
                                <w:rFonts w:ascii="Times New Roman" w:hAnsi="Times New Roman" w:eastAsia="MingLiU_HKSCS" w:cs="Times New Roman"/>
                                <w:b/>
                                <w:bCs/>
                              </w:rPr>
                            </w:pPr>
                          </w:p>
                          <w:p/>
                          <w:p>
                            <w:pPr>
                              <w:pStyle w:val="12"/>
                            </w:pPr>
                          </w:p>
                          <w:p>
                            <w:pPr>
                              <w:pStyle w:val="15"/>
                              <w:rPr>
                                <w:rFonts w:ascii="Times New Roman" w:hAnsi="Times New Roman" w:eastAsia="MingLiU_HKSCS" w:cs="Times New Roman"/>
                                <w:b/>
                                <w:bCs/>
                              </w:rPr>
                            </w:pPr>
                          </w:p>
                          <w:p>
                            <w:pPr>
                              <w:pStyle w:val="15"/>
                              <w:spacing w:line="360" w:lineRule="auto"/>
                              <w:ind w:firstLine="1405" w:firstLineChars="500"/>
                              <w:rPr>
                                <w:rFonts w:hAnsi="宋体" w:cs="宋体"/>
                                <w:b/>
                                <w:bCs/>
                                <w:sz w:val="28"/>
                                <w:szCs w:val="28"/>
                              </w:rPr>
                            </w:pPr>
                            <w:r>
                              <w:rPr>
                                <w:rFonts w:hint="eastAsia" w:hAnsi="宋体" w:cs="宋体"/>
                                <w:b/>
                                <w:bCs/>
                                <w:sz w:val="28"/>
                                <w:szCs w:val="28"/>
                              </w:rPr>
                              <w:t xml:space="preserve">投标人（单位名称及公章）： </w:t>
                            </w:r>
                          </w:p>
                          <w:p>
                            <w:pPr>
                              <w:pStyle w:val="15"/>
                              <w:spacing w:line="360" w:lineRule="auto"/>
                              <w:ind w:firstLine="1405" w:firstLineChars="500"/>
                              <w:rPr>
                                <w:b/>
                                <w:bCs/>
                                <w:sz w:val="28"/>
                                <w:szCs w:val="28"/>
                              </w:rPr>
                            </w:pPr>
                            <w:r>
                              <w:rPr>
                                <w:rFonts w:hint="eastAsia"/>
                                <w:b/>
                                <w:bCs/>
                                <w:sz w:val="28"/>
                                <w:szCs w:val="28"/>
                              </w:rPr>
                              <w:t>日期：</w:t>
                            </w:r>
                          </w:p>
                        </w:txbxContent>
                      </wps:txbx>
                      <wps:bodyPr upright="1"/>
                    </wps:wsp>
                  </a:graphicData>
                </a:graphic>
              </wp:inline>
            </w:drawing>
          </mc:Choice>
          <mc:Fallback>
            <w:pict>
              <v:shape id="文本框 4" o:spid="_x0000_s1026" o:spt="202" type="#_x0000_t202" style="height:589.25pt;width:476.45pt;" fillcolor="#FFFFFF" filled="t" stroked="t" coordsize="21600,21600" o:gfxdata="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VBK51gAAAAYBAAAPAAAAAAAAAAEAIAAAACIA&#10;AABkcnMvZG93bnJldi54bWxQSwECFAAUAAAACACHTuJAvy3ZGwsCAAA3BAAADgAAAAAAAAABACAA&#10;AAAlAQAAZHJzL2Uyb0RvYy54bWxQSwUGAAAAAAYABgBZAQAAogUAAAAA&#10;">
                <v:fill on="t" focussize="0,0"/>
                <v:stroke color="#000000" joinstyle="miter"/>
                <v:imagedata o:title=""/>
                <o:lock v:ext="edit" aspectratio="f"/>
                <v:textbox>
                  <w:txbxContent>
                    <w:p>
                      <w:pPr>
                        <w:rPr>
                          <w:rFonts w:hint="eastAsia" w:ascii="宋体" w:hAnsi="宋体" w:cs="宋体"/>
                          <w:sz w:val="28"/>
                          <w:szCs w:val="28"/>
                        </w:rPr>
                      </w:pPr>
                      <w:r>
                        <w:rPr>
                          <w:rFonts w:hint="eastAsia" w:ascii="宋体" w:hAnsi="宋体" w:cs="宋体"/>
                          <w:sz w:val="28"/>
                          <w:szCs w:val="28"/>
                        </w:rPr>
                        <w:t>致：华晟国际项目管理有限公司</w:t>
                      </w:r>
                    </w:p>
                    <w:p>
                      <w:pPr>
                        <w:rPr>
                          <w:rFonts w:hint="eastAsia"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pPr>
                        <w:rPr>
                          <w:rFonts w:hint="eastAsia" w:ascii="宋体" w:hAnsi="宋体" w:cs="宋体"/>
                          <w:sz w:val="28"/>
                          <w:szCs w:val="28"/>
                        </w:rPr>
                      </w:pPr>
                      <w:r>
                        <w:rPr>
                          <w:rFonts w:hint="eastAsia" w:ascii="宋体" w:hAnsi="宋体" w:cs="宋体"/>
                          <w:sz w:val="28"/>
                          <w:szCs w:val="28"/>
                        </w:rPr>
                        <w:t>项目名称：</w:t>
                      </w:r>
                    </w:p>
                    <w:p>
                      <w:pPr>
                        <w:pStyle w:val="15"/>
                        <w:spacing w:line="360" w:lineRule="auto"/>
                        <w:ind w:firstLine="562" w:firstLineChars="200"/>
                        <w:rPr>
                          <w:rFonts w:hAnsi="宋体" w:cs="宋体"/>
                          <w:b/>
                          <w:bCs/>
                          <w:sz w:val="28"/>
                          <w:szCs w:val="28"/>
                        </w:rPr>
                      </w:pPr>
                      <w:r>
                        <w:rPr>
                          <w:rFonts w:hint="eastAsia" w:hAnsi="宋体" w:cs="宋体"/>
                          <w:b/>
                          <w:bCs/>
                          <w:sz w:val="28"/>
                          <w:szCs w:val="28"/>
                        </w:rPr>
                        <w:t xml:space="preserve">                                 </w:t>
                      </w:r>
                    </w:p>
                    <w:p>
                      <w:pPr>
                        <w:pStyle w:val="15"/>
                        <w:jc w:val="center"/>
                        <w:rPr>
                          <w:rFonts w:hAnsi="宋体" w:cs="宋体"/>
                          <w:b/>
                          <w:bCs/>
                          <w:sz w:val="36"/>
                          <w:szCs w:val="36"/>
                        </w:rPr>
                      </w:pPr>
                    </w:p>
                    <w:p/>
                    <w:p>
                      <w:pPr>
                        <w:pStyle w:val="15"/>
                        <w:spacing w:line="460" w:lineRule="exact"/>
                        <w:ind w:firstLine="643" w:firstLineChars="200"/>
                        <w:rPr>
                          <w:rFonts w:hAnsi="宋体" w:cs="宋体"/>
                          <w:b/>
                          <w:bCs/>
                          <w:sz w:val="32"/>
                          <w:szCs w:val="32"/>
                        </w:rPr>
                      </w:pPr>
                    </w:p>
                    <w:p>
                      <w:pPr>
                        <w:pStyle w:val="15"/>
                        <w:jc w:val="center"/>
                        <w:rPr>
                          <w:rFonts w:hint="eastAsia" w:hAnsi="宋体" w:eastAsia="宋体" w:cs="宋体"/>
                          <w:b/>
                          <w:bCs/>
                          <w:sz w:val="52"/>
                          <w:szCs w:val="52"/>
                          <w:lang w:val="en-US" w:eastAsia="zh-CN"/>
                        </w:rPr>
                      </w:pPr>
                      <w:r>
                        <w:rPr>
                          <w:rFonts w:hint="eastAsia" w:hAnsi="宋体" w:cs="宋体"/>
                          <w:b/>
                          <w:bCs/>
                          <w:sz w:val="52"/>
                          <w:szCs w:val="52"/>
                        </w:rPr>
                        <w:t>投标文件（正本或副本）</w:t>
                      </w:r>
                      <w:r>
                        <w:rPr>
                          <w:rFonts w:hint="eastAsia" w:hAnsi="宋体" w:cs="宋体"/>
                          <w:b/>
                          <w:bCs/>
                          <w:sz w:val="52"/>
                          <w:szCs w:val="52"/>
                          <w:lang w:val="en-US" w:eastAsia="zh-CN"/>
                        </w:rPr>
                        <w:t>/开标一览表</w:t>
                      </w:r>
                    </w:p>
                    <w:p>
                      <w:pPr>
                        <w:pStyle w:val="15"/>
                        <w:jc w:val="center"/>
                        <w:rPr>
                          <w:rFonts w:hAnsi="宋体" w:cs="宋体"/>
                          <w:b/>
                          <w:bCs/>
                          <w:sz w:val="48"/>
                          <w:szCs w:val="48"/>
                        </w:rPr>
                      </w:pPr>
                      <w:r>
                        <w:rPr>
                          <w:rFonts w:hint="eastAsia"/>
                          <w:sz w:val="24"/>
                          <w:szCs w:val="24"/>
                        </w:rPr>
                        <w:t>（</w:t>
                      </w:r>
                      <w:r>
                        <w:rPr>
                          <w:rFonts w:hint="eastAsia" w:ascii="宋体" w:hAnsi="宋体"/>
                          <w:color w:val="000000"/>
                          <w:sz w:val="22"/>
                          <w:szCs w:val="21"/>
                        </w:rPr>
                        <w:t>在202</w:t>
                      </w:r>
                      <w:r>
                        <w:rPr>
                          <w:rFonts w:hint="eastAsia" w:hAnsi="宋体"/>
                          <w:color w:val="000000"/>
                          <w:sz w:val="22"/>
                          <w:szCs w:val="21"/>
                          <w:lang w:val="en-US" w:eastAsia="zh-CN"/>
                        </w:rPr>
                        <w:t>3</w:t>
                      </w:r>
                      <w:r>
                        <w:rPr>
                          <w:rFonts w:hint="eastAsia" w:ascii="宋体" w:hAnsi="宋体"/>
                          <w:color w:val="000000"/>
                          <w:sz w:val="22"/>
                          <w:szCs w:val="21"/>
                        </w:rPr>
                        <w:t>年   月   日    时前不得开启</w:t>
                      </w:r>
                      <w:r>
                        <w:rPr>
                          <w:rFonts w:hint="eastAsia"/>
                          <w:sz w:val="24"/>
                          <w:szCs w:val="24"/>
                        </w:rPr>
                        <w:t>）</w:t>
                      </w:r>
                    </w:p>
                    <w:p>
                      <w:pPr>
                        <w:pStyle w:val="15"/>
                        <w:ind w:firstLine="360" w:firstLineChars="200"/>
                        <w:rPr>
                          <w:rFonts w:ascii="Times New Roman" w:hAnsi="Times New Roman" w:eastAsia="MingLiU_HKSCS" w:cs="Times New Roman"/>
                          <w:b/>
                          <w:bCs/>
                          <w:sz w:val="18"/>
                          <w:szCs w:val="18"/>
                        </w:rPr>
                      </w:pPr>
                    </w:p>
                    <w:p>
                      <w:pPr>
                        <w:pStyle w:val="15"/>
                        <w:ind w:firstLine="420" w:firstLineChars="200"/>
                        <w:rPr>
                          <w:rFonts w:ascii="Times New Roman" w:hAnsi="Times New Roman" w:eastAsia="MingLiU_HKSCS" w:cs="Times New Roman"/>
                          <w:b/>
                          <w:bCs/>
                        </w:rPr>
                      </w:pPr>
                    </w:p>
                    <w:p>
                      <w:pPr>
                        <w:pStyle w:val="15"/>
                        <w:ind w:firstLine="420" w:firstLineChars="200"/>
                        <w:rPr>
                          <w:rFonts w:ascii="Times New Roman" w:hAnsi="Times New Roman" w:eastAsia="MingLiU_HKSCS" w:cs="Times New Roman"/>
                          <w:b/>
                          <w:bCs/>
                        </w:rPr>
                      </w:pPr>
                    </w:p>
                    <w:p>
                      <w:pPr>
                        <w:pStyle w:val="15"/>
                        <w:ind w:firstLine="420" w:firstLineChars="200"/>
                        <w:rPr>
                          <w:rFonts w:ascii="Times New Roman" w:hAnsi="Times New Roman" w:eastAsia="MingLiU_HKSCS" w:cs="Times New Roman"/>
                          <w:b/>
                          <w:bCs/>
                        </w:rPr>
                      </w:pPr>
                    </w:p>
                    <w:p>
                      <w:pPr>
                        <w:pStyle w:val="15"/>
                        <w:ind w:firstLine="420" w:firstLineChars="200"/>
                        <w:rPr>
                          <w:rFonts w:ascii="Times New Roman" w:hAnsi="Times New Roman" w:eastAsia="MingLiU_HKSCS" w:cs="Times New Roman"/>
                          <w:b/>
                          <w:bCs/>
                        </w:rPr>
                      </w:pPr>
                    </w:p>
                    <w:p/>
                    <w:p>
                      <w:pPr>
                        <w:pStyle w:val="12"/>
                      </w:pPr>
                    </w:p>
                    <w:p>
                      <w:pPr>
                        <w:pStyle w:val="15"/>
                        <w:rPr>
                          <w:rFonts w:ascii="Times New Roman" w:hAnsi="Times New Roman" w:eastAsia="MingLiU_HKSCS" w:cs="Times New Roman"/>
                          <w:b/>
                          <w:bCs/>
                        </w:rPr>
                      </w:pPr>
                    </w:p>
                    <w:p>
                      <w:pPr>
                        <w:pStyle w:val="15"/>
                        <w:spacing w:line="360" w:lineRule="auto"/>
                        <w:ind w:firstLine="1405" w:firstLineChars="500"/>
                        <w:rPr>
                          <w:rFonts w:hAnsi="宋体" w:cs="宋体"/>
                          <w:b/>
                          <w:bCs/>
                          <w:sz w:val="28"/>
                          <w:szCs w:val="28"/>
                        </w:rPr>
                      </w:pPr>
                      <w:r>
                        <w:rPr>
                          <w:rFonts w:hint="eastAsia" w:hAnsi="宋体" w:cs="宋体"/>
                          <w:b/>
                          <w:bCs/>
                          <w:sz w:val="28"/>
                          <w:szCs w:val="28"/>
                        </w:rPr>
                        <w:t xml:space="preserve">投标人（单位名称及公章）： </w:t>
                      </w:r>
                    </w:p>
                    <w:p>
                      <w:pPr>
                        <w:pStyle w:val="15"/>
                        <w:spacing w:line="360" w:lineRule="auto"/>
                        <w:ind w:firstLine="1405" w:firstLineChars="500"/>
                        <w:rPr>
                          <w:b/>
                          <w:bCs/>
                          <w:sz w:val="28"/>
                          <w:szCs w:val="28"/>
                        </w:rPr>
                      </w:pPr>
                      <w:r>
                        <w:rPr>
                          <w:rFonts w:hint="eastAsia"/>
                          <w:b/>
                          <w:bCs/>
                          <w:sz w:val="28"/>
                          <w:szCs w:val="28"/>
                        </w:rPr>
                        <w:t>日期：</w:t>
                      </w:r>
                    </w:p>
                  </w:txbxContent>
                </v:textbox>
                <w10:wrap type="none"/>
                <w10:anchorlock/>
              </v:shape>
            </w:pict>
          </mc:Fallback>
        </mc:AlternateConten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spacing w:before="120" w:beforeLines="50"/>
      <w:jc w:val="center"/>
    </w:pPr>
    <w:r>
      <w:rPr>
        <w:rFonts w:hint="eastAsia"/>
        <w:lang w:eastAsia="zh-CN"/>
      </w:rPr>
      <w:t>华晟国际项目管理有限公司</w:t>
    </w:r>
    <w:r>
      <w:rPr>
        <w:rFonts w:hint="eastAsia"/>
      </w:rPr>
      <w:t xml:space="preserve"> </w:t>
    </w:r>
    <w:r>
      <w:rPr>
        <w:rFonts w:hint="eastAsia"/>
      </w:rPr>
      <w:tab/>
    </w:r>
    <w:r>
      <w:rPr>
        <w:rFonts w:hint="eastAsia"/>
      </w:rPr>
      <w:t xml:space="preserve">     西安市高新一路正信大厦B座506室          029-81779899</w: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spacing w:before="120" w:beforeLines="50"/>
      <w:ind w:left="1050" w:leftChars="100" w:hanging="840" w:hangingChars="400"/>
    </w:pPr>
    <w:r>
      <mc:AlternateContent>
        <mc:Choice Requires="wps">
          <w:drawing>
            <wp:anchor distT="0" distB="0" distL="114300" distR="114300" simplePos="0" relativeHeight="251660288" behindDoc="0" locked="0" layoutInCell="1" allowOverlap="1">
              <wp:simplePos x="0" y="0"/>
              <wp:positionH relativeFrom="margin">
                <wp:posOffset>2811780</wp:posOffset>
              </wp:positionH>
              <wp:positionV relativeFrom="paragraph">
                <wp:posOffset>228600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80</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1" o:spid="_x0000_s1026" o:spt="202" type="#_x0000_t202" style="position:absolute;left:0pt;margin-left:221.4pt;margin-top:18pt;height:144pt;width:144pt;mso-position-horizontal-relative:margin;mso-wrap-style:none;z-index:251660288;mso-width-relative:page;mso-height-relative:page;" filled="f" stroked="f" coordsize="21600,21600" o:gfxdata="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VAe61gAAAAoBAAAPAAAAAAAAAAEAIAAAACIAAABkcnMvZG93&#10;bnJldi54bWxQSwECFAAUAAAACACHTuJAc2wdE8kBAACaAwAADgAAAAAAAAABACAAAAAlAQAAZHJz&#10;L2Uyb0RvYy54bWxQSwUGAAAAAAYABgBZAQAAYAUAAAAA&#10;">
              <v:fill on="f" focussize="0,0"/>
              <v:stroke on="f"/>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80</w:t>
                    </w:r>
                    <w:r>
                      <w:rPr>
                        <w:rFonts w:hint="eastAsia"/>
                      </w:rPr>
                      <w:fldChar w:fldCharType="end"/>
                    </w:r>
                    <w:r>
                      <w:rPr>
                        <w:rFonts w:hint="eastAsia"/>
                      </w:rPr>
                      <w:t xml:space="preserve"> 页</w:t>
                    </w:r>
                  </w:p>
                </w:txbxContent>
              </v:textbox>
            </v:shape>
          </w:pict>
        </mc:Fallback>
      </mc:AlternateContent>
    </w:r>
    <w:r>
      <w:rPr>
        <w:rFonts w:hint="eastAsia"/>
        <w:lang w:eastAsia="zh-CN"/>
      </w:rPr>
      <w:t>华晟国际项目管理有限公司</w:t>
    </w:r>
    <w:r>
      <w:rPr>
        <w:rFonts w:hint="eastAsia"/>
      </w:rPr>
      <w:t xml:space="preserve"> </w:t>
    </w:r>
    <w:r>
      <w:rPr>
        <w:rFonts w:hint="eastAsia"/>
      </w:rPr>
      <w:tab/>
    </w:r>
    <w:r>
      <w:rPr>
        <w:rFonts w:hint="eastAsia"/>
      </w:rPr>
      <w:t xml:space="preserve">  </w:t>
    </w:r>
    <w:r>
      <w:rPr>
        <w:rFonts w:hint="eastAsia"/>
        <w:lang w:val="en-US" w:eastAsia="zh-CN"/>
      </w:rPr>
      <w:t xml:space="preserve">   </w:t>
    </w:r>
    <w:r>
      <w:rPr>
        <w:rFonts w:hint="eastAsia"/>
      </w:rPr>
      <w:t xml:space="preserve"> </w:t>
    </w:r>
    <w:r>
      <w:rPr>
        <w:rFonts w:hint="eastAsia" w:hAnsi="宋体" w:cs="宋体"/>
        <w:szCs w:val="21"/>
      </w:rPr>
      <w:t>西安市高新路88号尚品国际B幢25层</w:t>
    </w:r>
    <w:r>
      <w:rPr>
        <w:rFonts w:hint="eastAsia"/>
      </w:rPr>
      <w:t xml:space="preserve"> </w:t>
    </w:r>
    <w:r>
      <w:rPr>
        <w:rFonts w:hint="eastAsia"/>
        <w:lang w:val="en-US" w:eastAsia="zh-CN"/>
      </w:rPr>
      <w:t xml:space="preserve">   </w:t>
    </w:r>
    <w:r>
      <w:rPr>
        <w:rFonts w:hint="eastAsia"/>
      </w:rPr>
      <w:t xml:space="preserve">  </w:t>
    </w:r>
    <w:r>
      <w:rPr>
        <w:rFonts w:hint="eastAsia" w:hAnsi="宋体" w:cs="宋体"/>
        <w:szCs w:val="21"/>
      </w:rPr>
      <w:t>029-81779899</w:t>
    </w:r>
  </w:p>
  <w:p>
    <w:pPr>
      <w:pStyle w:val="16"/>
      <w:rPr>
        <w:rFonts w:hint="default"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460" w:lineRule="exact"/>
      <w:ind w:firstLine="480" w:firstLineChars="200"/>
    </w:pPr>
    <w:r>
      <w:rPr>
        <w:rFonts w:hint="eastAsia" w:hAnsi="宋体" w:cs="宋体"/>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8" w:space="0"/>
      </w:pBdr>
      <w:spacing w:line="460" w:lineRule="exact"/>
      <w:jc w:val="left"/>
      <w:rPr>
        <w:rFonts w:hint="eastAsia" w:eastAsia="宋体"/>
        <w:sz w:val="18"/>
        <w:szCs w:val="18"/>
        <w:lang w:eastAsia="zh-CN"/>
      </w:rPr>
    </w:pPr>
    <w:r>
      <w:rPr>
        <w:rFonts w:hint="eastAsia" w:hAnsi="宋体" w:cs="宋体"/>
        <w:sz w:val="18"/>
        <w:szCs w:val="18"/>
        <w:lang w:eastAsia="zh-CN"/>
      </w:rPr>
      <w:t>白水县西固镇人民政府2023年西固镇集体经济总社“固果果”品牌平台建设及县域农特产品销售推广项目</w:t>
    </w:r>
    <w:r>
      <w:rPr>
        <w:rFonts w:hint="eastAsia" w:hAnsi="宋体" w:cs="宋体"/>
        <w:sz w:val="18"/>
        <w:szCs w:val="18"/>
      </w:rPr>
      <w:t xml:space="preserve">           </w:t>
    </w:r>
    <w:r>
      <w:rPr>
        <w:rFonts w:hint="eastAsia" w:hAnsi="宋体" w:cs="宋体"/>
        <w:sz w:val="18"/>
        <w:szCs w:val="18"/>
        <w:lang w:eastAsia="zh-CN"/>
      </w:rPr>
      <w:t xml:space="preserve"> HSGJ2023-207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8" w:space="0"/>
      </w:pBdr>
      <w:spacing w:line="460" w:lineRule="exact"/>
      <w:ind w:firstLine="160" w:firstLineChars="100"/>
      <w:jc w:val="left"/>
      <w:rPr>
        <w:sz w:val="16"/>
        <w:szCs w:val="16"/>
      </w:rPr>
    </w:pPr>
    <w:r>
      <w:rPr>
        <w:rFonts w:hint="eastAsia" w:hAnsi="宋体" w:cs="宋体"/>
        <w:sz w:val="16"/>
        <w:szCs w:val="16"/>
        <w:lang w:eastAsia="zh-CN"/>
      </w:rPr>
      <w:t xml:space="preserve">白水县西固镇人民政府2023年西固镇集体经济总社“固果果”品牌平台建设及县域农特产品销售推广项目   </w:t>
    </w:r>
    <w:r>
      <w:rPr>
        <w:rFonts w:hint="eastAsia" w:hAnsi="宋体" w:cs="宋体"/>
        <w:sz w:val="16"/>
        <w:szCs w:val="16"/>
        <w:lang w:val="en-US" w:eastAsia="zh-CN"/>
      </w:rPr>
      <w:t xml:space="preserve">   HSGJ2023-207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7B825"/>
    <w:multiLevelType w:val="singleLevel"/>
    <w:tmpl w:val="A367B825"/>
    <w:lvl w:ilvl="0" w:tentative="0">
      <w:start w:val="1"/>
      <w:numFmt w:val="chineseCounting"/>
      <w:suff w:val="nothing"/>
      <w:lvlText w:val="%1、"/>
      <w:lvlJc w:val="left"/>
      <w:rPr>
        <w:rFonts w:hint="eastAsia"/>
      </w:rPr>
    </w:lvl>
  </w:abstractNum>
  <w:abstractNum w:abstractNumId="1">
    <w:nsid w:val="C83A98FF"/>
    <w:multiLevelType w:val="singleLevel"/>
    <w:tmpl w:val="C83A98FF"/>
    <w:lvl w:ilvl="0" w:tentative="0">
      <w:start w:val="1"/>
      <w:numFmt w:val="decimal"/>
      <w:suff w:val="nothing"/>
      <w:lvlText w:val="（%1）"/>
      <w:lvlJc w:val="left"/>
    </w:lvl>
  </w:abstractNum>
  <w:abstractNum w:abstractNumId="2">
    <w:nsid w:val="D2789DDD"/>
    <w:multiLevelType w:val="singleLevel"/>
    <w:tmpl w:val="D2789DDD"/>
    <w:lvl w:ilvl="0" w:tentative="0">
      <w:start w:val="1"/>
      <w:numFmt w:val="decimal"/>
      <w:lvlText w:val="%1."/>
      <w:lvlJc w:val="left"/>
      <w:pPr>
        <w:tabs>
          <w:tab w:val="left" w:pos="312"/>
        </w:tabs>
      </w:pPr>
    </w:lvl>
  </w:abstractNum>
  <w:abstractNum w:abstractNumId="3">
    <w:nsid w:val="FDE80395"/>
    <w:multiLevelType w:val="singleLevel"/>
    <w:tmpl w:val="FDE80395"/>
    <w:lvl w:ilvl="0" w:tentative="0">
      <w:start w:val="2"/>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lang w:val="en-US"/>
      </w:rPr>
    </w:lvl>
    <w:lvl w:ilvl="2" w:tentative="0">
      <w:start w:val="1"/>
      <w:numFmt w:val="decimal"/>
      <w:pStyle w:val="6"/>
      <w:lvlText w:val="%1.%2.%3"/>
      <w:lvlJc w:val="left"/>
      <w:pPr>
        <w:tabs>
          <w:tab w:val="left" w:pos="1287"/>
        </w:tabs>
        <w:ind w:left="1287" w:hanging="720"/>
      </w:pPr>
      <w:rPr>
        <w:rFonts w:hint="eastAsia"/>
      </w:rPr>
    </w:lvl>
    <w:lvl w:ilvl="3" w:tentative="0">
      <w:start w:val="1"/>
      <w:numFmt w:val="decimal"/>
      <w:lvlText w:val="%1.%2.%3.%4"/>
      <w:lvlJc w:val="left"/>
      <w:pPr>
        <w:tabs>
          <w:tab w:val="left" w:pos="2664"/>
        </w:tabs>
        <w:ind w:left="26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2FDD0FE"/>
    <w:multiLevelType w:val="singleLevel"/>
    <w:tmpl w:val="22FDD0FE"/>
    <w:lvl w:ilvl="0" w:tentative="0">
      <w:start w:val="1"/>
      <w:numFmt w:val="chineseCounting"/>
      <w:suff w:val="nothing"/>
      <w:lvlText w:val="%1、"/>
      <w:lvlJc w:val="left"/>
      <w:rPr>
        <w:rFonts w:hint="eastAsia"/>
      </w:rPr>
    </w:lvl>
  </w:abstractNum>
  <w:abstractNum w:abstractNumId="6">
    <w:nsid w:val="2C61164A"/>
    <w:multiLevelType w:val="singleLevel"/>
    <w:tmpl w:val="2C61164A"/>
    <w:lvl w:ilvl="0" w:tentative="0">
      <w:start w:val="5"/>
      <w:numFmt w:val="chineseCounting"/>
      <w:suff w:val="space"/>
      <w:lvlText w:val="第%1章"/>
      <w:lvlJc w:val="left"/>
      <w:rPr>
        <w:rFonts w:hint="eastAsia"/>
      </w:rPr>
    </w:lvl>
  </w:abstractNum>
  <w:abstractNum w:abstractNumId="7">
    <w:nsid w:val="73EE96C7"/>
    <w:multiLevelType w:val="singleLevel"/>
    <w:tmpl w:val="73EE96C7"/>
    <w:lvl w:ilvl="0" w:tentative="0">
      <w:start w:val="1"/>
      <w:numFmt w:val="decimal"/>
      <w:lvlText w:val="%1."/>
      <w:lvlJc w:val="left"/>
      <w:pPr>
        <w:tabs>
          <w:tab w:val="left" w:pos="312"/>
        </w:tabs>
      </w:pPr>
    </w:lvl>
  </w:abstractNum>
  <w:abstractNum w:abstractNumId="8">
    <w:nsid w:val="7EAA03BD"/>
    <w:multiLevelType w:val="multilevel"/>
    <w:tmpl w:val="7EAA03BD"/>
    <w:lvl w:ilvl="0" w:tentative="0">
      <w:start w:val="1"/>
      <w:numFmt w:val="decimal"/>
      <w:suff w:val="space"/>
      <w:lvlText w:val="第%1章"/>
      <w:lvlJc w:val="left"/>
      <w:pPr>
        <w:ind w:left="0" w:firstLine="0"/>
      </w:pPr>
      <w:rPr>
        <w:rFonts w:hint="default" w:ascii="Times New Roman" w:hAnsi="Times New Roman" w:eastAsia="楷体"/>
        <w:b/>
        <w:i w:val="0"/>
        <w:sz w:val="30"/>
      </w:rPr>
    </w:lvl>
    <w:lvl w:ilvl="1" w:tentative="0">
      <w:start w:val="1"/>
      <w:numFmt w:val="decimal"/>
      <w:suff w:val="space"/>
      <w:lvlText w:val="%1.%2"/>
      <w:lvlJc w:val="left"/>
      <w:pPr>
        <w:ind w:left="0" w:firstLine="0"/>
      </w:pPr>
      <w:rPr>
        <w:rFonts w:hint="default" w:ascii="Times New Roman" w:hAnsi="Times New Roman" w:eastAsia="宋体"/>
        <w:b/>
        <w:i w:val="0"/>
        <w:sz w:val="30"/>
      </w:rPr>
    </w:lvl>
    <w:lvl w:ilvl="2" w:tentative="0">
      <w:start w:val="1"/>
      <w:numFmt w:val="decimal"/>
      <w:suff w:val="space"/>
      <w:lvlText w:val="%1.%2.%3"/>
      <w:lvlJc w:val="left"/>
      <w:pPr>
        <w:ind w:left="0" w:firstLine="0"/>
      </w:pPr>
      <w:rPr>
        <w:rFonts w:hint="default" w:ascii="Times New Roman" w:hAnsi="Times New Roman" w:eastAsia="宋体"/>
        <w:b/>
        <w:i w:val="0"/>
        <w:sz w:val="28"/>
      </w:rPr>
    </w:lvl>
    <w:lvl w:ilvl="3" w:tentative="0">
      <w:start w:val="1"/>
      <w:numFmt w:val="decimal"/>
      <w:pStyle w:val="7"/>
      <w:suff w:val="space"/>
      <w:lvlText w:val="%1.%2.%3.%4"/>
      <w:lvlJc w:val="left"/>
      <w:pPr>
        <w:ind w:left="0" w:firstLine="0"/>
      </w:pPr>
      <w:rPr>
        <w:rFonts w:hint="default" w:ascii="Times New Roman" w:hAnsi="Times New Roman" w:eastAsia="宋体"/>
        <w:b/>
        <w:i w:val="0"/>
        <w:sz w:val="28"/>
      </w:rPr>
    </w:lvl>
    <w:lvl w:ilvl="4" w:tentative="0">
      <w:start w:val="1"/>
      <w:numFmt w:val="decimal"/>
      <w:pStyle w:val="8"/>
      <w:suff w:val="space"/>
      <w:lvlText w:val="%1.%2.%3.%4.%5"/>
      <w:lvlJc w:val="left"/>
      <w:pPr>
        <w:ind w:left="0" w:firstLine="0"/>
      </w:pPr>
      <w:rPr>
        <w:rFonts w:hint="default" w:ascii="Times New Roman" w:hAnsi="Times New Roman" w:eastAsia="宋体"/>
        <w:b/>
        <w:i w:val="0"/>
        <w:sz w:val="24"/>
      </w:rPr>
    </w:lvl>
    <w:lvl w:ilvl="5" w:tentative="0">
      <w:start w:val="1"/>
      <w:numFmt w:val="decimal"/>
      <w:suff w:val="space"/>
      <w:lvlText w:val="%1.%2.%3.%4.%5.%6"/>
      <w:lvlJc w:val="left"/>
      <w:pPr>
        <w:ind w:left="0" w:firstLine="0"/>
      </w:pPr>
      <w:rPr>
        <w:rFonts w:hint="default" w:ascii="Times New Roman" w:hAnsi="Times New Roman" w:eastAsia="宋体"/>
        <w:b/>
        <w:i w:val="0"/>
        <w:sz w:val="24"/>
      </w:rPr>
    </w:lvl>
    <w:lvl w:ilvl="6" w:tentative="0">
      <w:start w:val="1"/>
      <w:numFmt w:val="decimal"/>
      <w:suff w:val="space"/>
      <w:lvlText w:val="%1.%2.%3.%4.%5.%6.%7"/>
      <w:lvlJc w:val="left"/>
      <w:pPr>
        <w:ind w:left="0" w:firstLine="0"/>
      </w:pPr>
      <w:rPr>
        <w:rFonts w:hint="default" w:ascii="Times New Roman" w:hAnsi="Times New Roman" w:eastAsia="宋体"/>
        <w:b w:val="0"/>
        <w:i w:val="0"/>
        <w:sz w:val="24"/>
      </w:rPr>
    </w:lvl>
    <w:lvl w:ilvl="7" w:tentative="0">
      <w:start w:val="1"/>
      <w:numFmt w:val="decimal"/>
      <w:suff w:val="space"/>
      <w:lvlText w:val="%1.%2.%3.%4.%5.%6.%7.%8"/>
      <w:lvlJc w:val="left"/>
      <w:pPr>
        <w:ind w:left="0" w:firstLine="0"/>
      </w:pPr>
      <w:rPr>
        <w:rFonts w:hint="default" w:ascii="Times New Roman" w:hAnsi="Times New Roman" w:eastAsia="宋体"/>
        <w:b w:val="0"/>
        <w:i w:val="0"/>
        <w:sz w:val="24"/>
      </w:rPr>
    </w:lvl>
    <w:lvl w:ilvl="8" w:tentative="0">
      <w:start w:val="1"/>
      <w:numFmt w:val="decimal"/>
      <w:suff w:val="space"/>
      <w:lvlText w:val="%1.%2.%3.%4.%5.%6.%7.%8.%9"/>
      <w:lvlJc w:val="left"/>
      <w:pPr>
        <w:ind w:left="0" w:firstLine="0"/>
      </w:pPr>
      <w:rPr>
        <w:rFonts w:hint="default" w:ascii="Times New Roman" w:hAnsi="Times New Roman" w:eastAsia="宋体"/>
        <w:b w:val="0"/>
        <w:i w:val="0"/>
        <w:sz w:val="24"/>
      </w:rPr>
    </w:lvl>
  </w:abstractNum>
  <w:num w:numId="1">
    <w:abstractNumId w:val="4"/>
  </w:num>
  <w:num w:numId="2">
    <w:abstractNumId w:val="8"/>
  </w:num>
  <w:num w:numId="3">
    <w:abstractNumId w:val="1"/>
  </w:num>
  <w:num w:numId="4">
    <w:abstractNumId w:val="2"/>
  </w:num>
  <w:num w:numId="5">
    <w:abstractNumId w:val="5"/>
  </w:num>
  <w:num w:numId="6">
    <w:abstractNumId w:val="6"/>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ZmExMGY2OGRkYWU0ZDg1MGQzY2JiZTAxMTQwNzIifQ=="/>
  </w:docVars>
  <w:rsids>
    <w:rsidRoot w:val="336A21EE"/>
    <w:rsid w:val="000326E7"/>
    <w:rsid w:val="00104CAE"/>
    <w:rsid w:val="001146AC"/>
    <w:rsid w:val="00195FB2"/>
    <w:rsid w:val="001D49D0"/>
    <w:rsid w:val="00222EA8"/>
    <w:rsid w:val="002A0B6C"/>
    <w:rsid w:val="00377AB0"/>
    <w:rsid w:val="003F07B5"/>
    <w:rsid w:val="003F774C"/>
    <w:rsid w:val="00425C46"/>
    <w:rsid w:val="00435007"/>
    <w:rsid w:val="00456991"/>
    <w:rsid w:val="004A76B3"/>
    <w:rsid w:val="004E0BC3"/>
    <w:rsid w:val="0054202F"/>
    <w:rsid w:val="00544312"/>
    <w:rsid w:val="00567888"/>
    <w:rsid w:val="005711CC"/>
    <w:rsid w:val="00573E68"/>
    <w:rsid w:val="00590E2D"/>
    <w:rsid w:val="006003A3"/>
    <w:rsid w:val="00640F68"/>
    <w:rsid w:val="006D540B"/>
    <w:rsid w:val="006F00EE"/>
    <w:rsid w:val="00715BBB"/>
    <w:rsid w:val="007E7216"/>
    <w:rsid w:val="007F3186"/>
    <w:rsid w:val="00827247"/>
    <w:rsid w:val="0086239F"/>
    <w:rsid w:val="00891266"/>
    <w:rsid w:val="008914B6"/>
    <w:rsid w:val="00930B3E"/>
    <w:rsid w:val="00941032"/>
    <w:rsid w:val="00943345"/>
    <w:rsid w:val="00952B5E"/>
    <w:rsid w:val="009577E6"/>
    <w:rsid w:val="009944D5"/>
    <w:rsid w:val="009B4EE8"/>
    <w:rsid w:val="009C1B97"/>
    <w:rsid w:val="00A14359"/>
    <w:rsid w:val="00AA7068"/>
    <w:rsid w:val="00AB205D"/>
    <w:rsid w:val="00C200D8"/>
    <w:rsid w:val="00CF0B8C"/>
    <w:rsid w:val="00D83E41"/>
    <w:rsid w:val="00DD1996"/>
    <w:rsid w:val="00EC0657"/>
    <w:rsid w:val="00F4235D"/>
    <w:rsid w:val="00F51700"/>
    <w:rsid w:val="00F90B6B"/>
    <w:rsid w:val="00FB5EE8"/>
    <w:rsid w:val="00FE0F36"/>
    <w:rsid w:val="00FE6E61"/>
    <w:rsid w:val="010B22B0"/>
    <w:rsid w:val="018F4C90"/>
    <w:rsid w:val="019C3656"/>
    <w:rsid w:val="01B31BC8"/>
    <w:rsid w:val="01D4297C"/>
    <w:rsid w:val="027B7A45"/>
    <w:rsid w:val="02AD73C2"/>
    <w:rsid w:val="02B95C26"/>
    <w:rsid w:val="02E139FD"/>
    <w:rsid w:val="03112CDC"/>
    <w:rsid w:val="03E929D2"/>
    <w:rsid w:val="040E1BAF"/>
    <w:rsid w:val="0414147C"/>
    <w:rsid w:val="042C2A52"/>
    <w:rsid w:val="04635705"/>
    <w:rsid w:val="04773B0A"/>
    <w:rsid w:val="04E63970"/>
    <w:rsid w:val="05094362"/>
    <w:rsid w:val="051A626E"/>
    <w:rsid w:val="05386066"/>
    <w:rsid w:val="05BB7B1A"/>
    <w:rsid w:val="05D5754B"/>
    <w:rsid w:val="05EC7ABD"/>
    <w:rsid w:val="063330A9"/>
    <w:rsid w:val="06436049"/>
    <w:rsid w:val="065A1D10"/>
    <w:rsid w:val="06931CAE"/>
    <w:rsid w:val="06CB644D"/>
    <w:rsid w:val="072945CC"/>
    <w:rsid w:val="0761220E"/>
    <w:rsid w:val="07670D1C"/>
    <w:rsid w:val="079821EA"/>
    <w:rsid w:val="07D66997"/>
    <w:rsid w:val="07E42376"/>
    <w:rsid w:val="07FE1BA9"/>
    <w:rsid w:val="083B1B8E"/>
    <w:rsid w:val="08DE646F"/>
    <w:rsid w:val="08FA3C5C"/>
    <w:rsid w:val="09045F63"/>
    <w:rsid w:val="091A1AE2"/>
    <w:rsid w:val="0969126E"/>
    <w:rsid w:val="097B731B"/>
    <w:rsid w:val="099C1788"/>
    <w:rsid w:val="09C26464"/>
    <w:rsid w:val="09D20D30"/>
    <w:rsid w:val="09E941DB"/>
    <w:rsid w:val="0AA31F7A"/>
    <w:rsid w:val="0ADC75A3"/>
    <w:rsid w:val="0AF96543"/>
    <w:rsid w:val="0AFD68EB"/>
    <w:rsid w:val="0B074250"/>
    <w:rsid w:val="0B1B1FAE"/>
    <w:rsid w:val="0B68752F"/>
    <w:rsid w:val="0B7030AD"/>
    <w:rsid w:val="0BCF1C74"/>
    <w:rsid w:val="0BD255A2"/>
    <w:rsid w:val="0BDE5364"/>
    <w:rsid w:val="0BEF1D8A"/>
    <w:rsid w:val="0C2E1E9D"/>
    <w:rsid w:val="0C2F7F92"/>
    <w:rsid w:val="0C4811AD"/>
    <w:rsid w:val="0C621D9B"/>
    <w:rsid w:val="0CDA16DA"/>
    <w:rsid w:val="0D172656"/>
    <w:rsid w:val="0D2E50D1"/>
    <w:rsid w:val="0DF447F8"/>
    <w:rsid w:val="0E38388F"/>
    <w:rsid w:val="0E4207BE"/>
    <w:rsid w:val="0E7E7231"/>
    <w:rsid w:val="0EB36E37"/>
    <w:rsid w:val="0EBC4D58"/>
    <w:rsid w:val="0EBF2E9C"/>
    <w:rsid w:val="0EDD1009"/>
    <w:rsid w:val="0EEC0DEF"/>
    <w:rsid w:val="0EF96321"/>
    <w:rsid w:val="0F434409"/>
    <w:rsid w:val="0F8E7147"/>
    <w:rsid w:val="0FB1637D"/>
    <w:rsid w:val="104A4BA3"/>
    <w:rsid w:val="108D63CF"/>
    <w:rsid w:val="10AC3B52"/>
    <w:rsid w:val="10C7071B"/>
    <w:rsid w:val="10E676F3"/>
    <w:rsid w:val="112A0531"/>
    <w:rsid w:val="11341971"/>
    <w:rsid w:val="1187138D"/>
    <w:rsid w:val="118E6D12"/>
    <w:rsid w:val="11E85D39"/>
    <w:rsid w:val="12325BF6"/>
    <w:rsid w:val="128E4F6D"/>
    <w:rsid w:val="129A30A3"/>
    <w:rsid w:val="12BE2F03"/>
    <w:rsid w:val="12E1450B"/>
    <w:rsid w:val="12E56811"/>
    <w:rsid w:val="12FD4F34"/>
    <w:rsid w:val="13133FD7"/>
    <w:rsid w:val="138906C0"/>
    <w:rsid w:val="13CB2BCC"/>
    <w:rsid w:val="13F94233"/>
    <w:rsid w:val="143E3B5E"/>
    <w:rsid w:val="148D69BF"/>
    <w:rsid w:val="14C72F0C"/>
    <w:rsid w:val="14D15A3B"/>
    <w:rsid w:val="15072D26"/>
    <w:rsid w:val="150F20FE"/>
    <w:rsid w:val="1542350D"/>
    <w:rsid w:val="161A4E92"/>
    <w:rsid w:val="16237A4D"/>
    <w:rsid w:val="162827C6"/>
    <w:rsid w:val="162F5D6F"/>
    <w:rsid w:val="1631706E"/>
    <w:rsid w:val="16AA0454"/>
    <w:rsid w:val="17011785"/>
    <w:rsid w:val="17133313"/>
    <w:rsid w:val="17740758"/>
    <w:rsid w:val="17890069"/>
    <w:rsid w:val="17B953EF"/>
    <w:rsid w:val="1815147F"/>
    <w:rsid w:val="18243DC8"/>
    <w:rsid w:val="18977DDB"/>
    <w:rsid w:val="18EC7608"/>
    <w:rsid w:val="19062FB3"/>
    <w:rsid w:val="195A334B"/>
    <w:rsid w:val="197342B6"/>
    <w:rsid w:val="19736568"/>
    <w:rsid w:val="197F16EE"/>
    <w:rsid w:val="19AA0461"/>
    <w:rsid w:val="1A715028"/>
    <w:rsid w:val="1AD03473"/>
    <w:rsid w:val="1B19415C"/>
    <w:rsid w:val="1B372EF2"/>
    <w:rsid w:val="1B50057A"/>
    <w:rsid w:val="1B6676F8"/>
    <w:rsid w:val="1B886580"/>
    <w:rsid w:val="1BA02335"/>
    <w:rsid w:val="1BC2238B"/>
    <w:rsid w:val="1C0D640A"/>
    <w:rsid w:val="1C5D1EE3"/>
    <w:rsid w:val="1C7578CA"/>
    <w:rsid w:val="1C8172C8"/>
    <w:rsid w:val="1C8D4807"/>
    <w:rsid w:val="1D242276"/>
    <w:rsid w:val="1D2C76C0"/>
    <w:rsid w:val="1D3A0EE1"/>
    <w:rsid w:val="1D5C6D72"/>
    <w:rsid w:val="1D930569"/>
    <w:rsid w:val="1DC43CCD"/>
    <w:rsid w:val="1E390F9E"/>
    <w:rsid w:val="1E43544F"/>
    <w:rsid w:val="1E443B6A"/>
    <w:rsid w:val="1E693A59"/>
    <w:rsid w:val="1EAE6D12"/>
    <w:rsid w:val="1F19794F"/>
    <w:rsid w:val="1F215058"/>
    <w:rsid w:val="1F25724A"/>
    <w:rsid w:val="1F584C81"/>
    <w:rsid w:val="1F7461D2"/>
    <w:rsid w:val="1F8C0A68"/>
    <w:rsid w:val="1FBF23FB"/>
    <w:rsid w:val="1FC4221C"/>
    <w:rsid w:val="1FD45CF3"/>
    <w:rsid w:val="1FD86571"/>
    <w:rsid w:val="1FE230BF"/>
    <w:rsid w:val="1FF95C9E"/>
    <w:rsid w:val="20202018"/>
    <w:rsid w:val="20A67245"/>
    <w:rsid w:val="20EF600A"/>
    <w:rsid w:val="214F7359"/>
    <w:rsid w:val="21B07C50"/>
    <w:rsid w:val="21B1470B"/>
    <w:rsid w:val="21B43D74"/>
    <w:rsid w:val="21D12A3F"/>
    <w:rsid w:val="21F662FD"/>
    <w:rsid w:val="22135070"/>
    <w:rsid w:val="22455C97"/>
    <w:rsid w:val="22F14932"/>
    <w:rsid w:val="23A07EA0"/>
    <w:rsid w:val="23AC2E2C"/>
    <w:rsid w:val="23BE0E71"/>
    <w:rsid w:val="23CA78B5"/>
    <w:rsid w:val="23FF30A2"/>
    <w:rsid w:val="24025258"/>
    <w:rsid w:val="244631C2"/>
    <w:rsid w:val="245E3AD6"/>
    <w:rsid w:val="24F54C80"/>
    <w:rsid w:val="24FF20FD"/>
    <w:rsid w:val="25A24054"/>
    <w:rsid w:val="25DA6095"/>
    <w:rsid w:val="25E46AA9"/>
    <w:rsid w:val="260B7B4F"/>
    <w:rsid w:val="265675F3"/>
    <w:rsid w:val="26A6103A"/>
    <w:rsid w:val="26EC20B9"/>
    <w:rsid w:val="275C1770"/>
    <w:rsid w:val="278D6EB8"/>
    <w:rsid w:val="279376F8"/>
    <w:rsid w:val="282C2240"/>
    <w:rsid w:val="287116C3"/>
    <w:rsid w:val="28C61395"/>
    <w:rsid w:val="28D41056"/>
    <w:rsid w:val="29084808"/>
    <w:rsid w:val="290D4A89"/>
    <w:rsid w:val="29286614"/>
    <w:rsid w:val="292917DB"/>
    <w:rsid w:val="2986394E"/>
    <w:rsid w:val="298E56A9"/>
    <w:rsid w:val="299733F5"/>
    <w:rsid w:val="29E15B34"/>
    <w:rsid w:val="29F7222D"/>
    <w:rsid w:val="2A0D574F"/>
    <w:rsid w:val="2A665B64"/>
    <w:rsid w:val="2AF0569A"/>
    <w:rsid w:val="2B02043E"/>
    <w:rsid w:val="2B102BB5"/>
    <w:rsid w:val="2B2B0BD4"/>
    <w:rsid w:val="2BBB6B05"/>
    <w:rsid w:val="2C0D23A6"/>
    <w:rsid w:val="2C1B45DC"/>
    <w:rsid w:val="2C2A2747"/>
    <w:rsid w:val="2C734420"/>
    <w:rsid w:val="2C8D062A"/>
    <w:rsid w:val="2D46351A"/>
    <w:rsid w:val="2D4D273E"/>
    <w:rsid w:val="2D882672"/>
    <w:rsid w:val="2D8D3ECA"/>
    <w:rsid w:val="2DB86111"/>
    <w:rsid w:val="2DEF5A51"/>
    <w:rsid w:val="2E490296"/>
    <w:rsid w:val="2EAE18CD"/>
    <w:rsid w:val="2EBD14F4"/>
    <w:rsid w:val="2EEB18D0"/>
    <w:rsid w:val="2F031A88"/>
    <w:rsid w:val="2F5C30E0"/>
    <w:rsid w:val="300B6A01"/>
    <w:rsid w:val="3014442E"/>
    <w:rsid w:val="302E16EC"/>
    <w:rsid w:val="302F3016"/>
    <w:rsid w:val="30A34B14"/>
    <w:rsid w:val="30F47DA3"/>
    <w:rsid w:val="313B5B51"/>
    <w:rsid w:val="318359F0"/>
    <w:rsid w:val="3184131D"/>
    <w:rsid w:val="31AC0B9A"/>
    <w:rsid w:val="31B13204"/>
    <w:rsid w:val="31CD5C9F"/>
    <w:rsid w:val="31E57E30"/>
    <w:rsid w:val="32076BC3"/>
    <w:rsid w:val="32384A9E"/>
    <w:rsid w:val="32944ECC"/>
    <w:rsid w:val="32D71432"/>
    <w:rsid w:val="32E901DA"/>
    <w:rsid w:val="32F72511"/>
    <w:rsid w:val="331973E7"/>
    <w:rsid w:val="332B3D25"/>
    <w:rsid w:val="336A21EE"/>
    <w:rsid w:val="33B40937"/>
    <w:rsid w:val="33E24D39"/>
    <w:rsid w:val="33E40936"/>
    <w:rsid w:val="33F366A7"/>
    <w:rsid w:val="344039C3"/>
    <w:rsid w:val="347B5CBD"/>
    <w:rsid w:val="348E3A38"/>
    <w:rsid w:val="34AC4C26"/>
    <w:rsid w:val="34CA7540"/>
    <w:rsid w:val="34DB7FCD"/>
    <w:rsid w:val="34E344FF"/>
    <w:rsid w:val="34EE27B4"/>
    <w:rsid w:val="34F86F83"/>
    <w:rsid w:val="350C6B72"/>
    <w:rsid w:val="35111667"/>
    <w:rsid w:val="35584DBD"/>
    <w:rsid w:val="356C1AE7"/>
    <w:rsid w:val="35A8210E"/>
    <w:rsid w:val="35AF1932"/>
    <w:rsid w:val="35C60543"/>
    <w:rsid w:val="35D32E9B"/>
    <w:rsid w:val="35E01A14"/>
    <w:rsid w:val="35F02429"/>
    <w:rsid w:val="36370A4D"/>
    <w:rsid w:val="364F0B57"/>
    <w:rsid w:val="36583027"/>
    <w:rsid w:val="366451F2"/>
    <w:rsid w:val="366D11EB"/>
    <w:rsid w:val="367A6BFC"/>
    <w:rsid w:val="36B94520"/>
    <w:rsid w:val="3750655A"/>
    <w:rsid w:val="379E7C80"/>
    <w:rsid w:val="37B76992"/>
    <w:rsid w:val="37D728CF"/>
    <w:rsid w:val="38037196"/>
    <w:rsid w:val="38633959"/>
    <w:rsid w:val="38D24F1E"/>
    <w:rsid w:val="38EA0F23"/>
    <w:rsid w:val="394B6FD5"/>
    <w:rsid w:val="39E10255"/>
    <w:rsid w:val="39E84962"/>
    <w:rsid w:val="39F32876"/>
    <w:rsid w:val="39FE17C9"/>
    <w:rsid w:val="3A0E0F41"/>
    <w:rsid w:val="3A0F1C58"/>
    <w:rsid w:val="3A266352"/>
    <w:rsid w:val="3A47160F"/>
    <w:rsid w:val="3A4B4EF0"/>
    <w:rsid w:val="3A836288"/>
    <w:rsid w:val="3A863748"/>
    <w:rsid w:val="3AB52D80"/>
    <w:rsid w:val="3AD044A4"/>
    <w:rsid w:val="3ADF56FD"/>
    <w:rsid w:val="3B640FB8"/>
    <w:rsid w:val="3B7149C0"/>
    <w:rsid w:val="3B7D725A"/>
    <w:rsid w:val="3B9F6E41"/>
    <w:rsid w:val="3C6D4F36"/>
    <w:rsid w:val="3CAF053D"/>
    <w:rsid w:val="3CE56372"/>
    <w:rsid w:val="3CF96E86"/>
    <w:rsid w:val="3D1C7D1F"/>
    <w:rsid w:val="3D390602"/>
    <w:rsid w:val="3D44183D"/>
    <w:rsid w:val="3DBA7D0F"/>
    <w:rsid w:val="3DC76A2C"/>
    <w:rsid w:val="3DD03601"/>
    <w:rsid w:val="3DE02C77"/>
    <w:rsid w:val="3E7F4568"/>
    <w:rsid w:val="3E914744"/>
    <w:rsid w:val="3EFE017F"/>
    <w:rsid w:val="3F5317CE"/>
    <w:rsid w:val="3F9A79F7"/>
    <w:rsid w:val="3F9F2EC1"/>
    <w:rsid w:val="3FEB7B58"/>
    <w:rsid w:val="401437FE"/>
    <w:rsid w:val="404843AC"/>
    <w:rsid w:val="4054540D"/>
    <w:rsid w:val="406311E6"/>
    <w:rsid w:val="40795036"/>
    <w:rsid w:val="409E3446"/>
    <w:rsid w:val="409E5432"/>
    <w:rsid w:val="40B43703"/>
    <w:rsid w:val="40C70BBB"/>
    <w:rsid w:val="41345004"/>
    <w:rsid w:val="4198722D"/>
    <w:rsid w:val="41D20C5B"/>
    <w:rsid w:val="424244B0"/>
    <w:rsid w:val="4246478D"/>
    <w:rsid w:val="425E5CCA"/>
    <w:rsid w:val="428D72D2"/>
    <w:rsid w:val="42C73969"/>
    <w:rsid w:val="430F059D"/>
    <w:rsid w:val="432744EA"/>
    <w:rsid w:val="43881412"/>
    <w:rsid w:val="43A7763B"/>
    <w:rsid w:val="43DC53F3"/>
    <w:rsid w:val="44656F92"/>
    <w:rsid w:val="44762EFC"/>
    <w:rsid w:val="45052B9C"/>
    <w:rsid w:val="45136140"/>
    <w:rsid w:val="45976F5A"/>
    <w:rsid w:val="45E04716"/>
    <w:rsid w:val="461F15F7"/>
    <w:rsid w:val="46436F27"/>
    <w:rsid w:val="46630AC7"/>
    <w:rsid w:val="466D6A0D"/>
    <w:rsid w:val="46833FEE"/>
    <w:rsid w:val="46CD73A2"/>
    <w:rsid w:val="46CE6868"/>
    <w:rsid w:val="4702797E"/>
    <w:rsid w:val="470B1F62"/>
    <w:rsid w:val="47536AA0"/>
    <w:rsid w:val="475D3415"/>
    <w:rsid w:val="475D7CF7"/>
    <w:rsid w:val="47617B01"/>
    <w:rsid w:val="47C77F70"/>
    <w:rsid w:val="47C81F46"/>
    <w:rsid w:val="47CB7FE6"/>
    <w:rsid w:val="47DB60DA"/>
    <w:rsid w:val="48247E3A"/>
    <w:rsid w:val="48461043"/>
    <w:rsid w:val="4872201B"/>
    <w:rsid w:val="48A028AB"/>
    <w:rsid w:val="48BA1285"/>
    <w:rsid w:val="48BE6CB8"/>
    <w:rsid w:val="493279C3"/>
    <w:rsid w:val="493F445A"/>
    <w:rsid w:val="496518BC"/>
    <w:rsid w:val="49C965B1"/>
    <w:rsid w:val="49DE7B2F"/>
    <w:rsid w:val="49F261F6"/>
    <w:rsid w:val="49F2635D"/>
    <w:rsid w:val="4A1115AF"/>
    <w:rsid w:val="4A2644D8"/>
    <w:rsid w:val="4A344C6E"/>
    <w:rsid w:val="4A484FA1"/>
    <w:rsid w:val="4A7B0840"/>
    <w:rsid w:val="4AC66FAB"/>
    <w:rsid w:val="4AC80F81"/>
    <w:rsid w:val="4B043808"/>
    <w:rsid w:val="4B537D3C"/>
    <w:rsid w:val="4B814A23"/>
    <w:rsid w:val="4BB1033A"/>
    <w:rsid w:val="4BF3404B"/>
    <w:rsid w:val="4C2E1738"/>
    <w:rsid w:val="4C4F5548"/>
    <w:rsid w:val="4C4F5D75"/>
    <w:rsid w:val="4C6F3FCA"/>
    <w:rsid w:val="4CB24C2E"/>
    <w:rsid w:val="4CBA3939"/>
    <w:rsid w:val="4CC175B9"/>
    <w:rsid w:val="4CE903DC"/>
    <w:rsid w:val="4D97095A"/>
    <w:rsid w:val="4E163C31"/>
    <w:rsid w:val="4E39106F"/>
    <w:rsid w:val="4E793FEC"/>
    <w:rsid w:val="4E8B4C70"/>
    <w:rsid w:val="4E995A1E"/>
    <w:rsid w:val="4E9C2046"/>
    <w:rsid w:val="4EE460B5"/>
    <w:rsid w:val="4F6B3C83"/>
    <w:rsid w:val="4F8906A8"/>
    <w:rsid w:val="4F8B1DC4"/>
    <w:rsid w:val="4FAB2863"/>
    <w:rsid w:val="4FCC6381"/>
    <w:rsid w:val="4FE44D4F"/>
    <w:rsid w:val="50004AFB"/>
    <w:rsid w:val="502D19D0"/>
    <w:rsid w:val="502E64F2"/>
    <w:rsid w:val="50796987"/>
    <w:rsid w:val="50A8054F"/>
    <w:rsid w:val="50EA015D"/>
    <w:rsid w:val="514D2321"/>
    <w:rsid w:val="515564FF"/>
    <w:rsid w:val="51602813"/>
    <w:rsid w:val="51CF4892"/>
    <w:rsid w:val="51D112B4"/>
    <w:rsid w:val="52054D48"/>
    <w:rsid w:val="520E038C"/>
    <w:rsid w:val="52292D67"/>
    <w:rsid w:val="52324C1C"/>
    <w:rsid w:val="523A6F5E"/>
    <w:rsid w:val="529E248E"/>
    <w:rsid w:val="529F1C6B"/>
    <w:rsid w:val="52DB63A8"/>
    <w:rsid w:val="533C4EB1"/>
    <w:rsid w:val="539E7A0A"/>
    <w:rsid w:val="53B94CE3"/>
    <w:rsid w:val="53CE623C"/>
    <w:rsid w:val="53DA4BAE"/>
    <w:rsid w:val="54053853"/>
    <w:rsid w:val="540B3771"/>
    <w:rsid w:val="54265372"/>
    <w:rsid w:val="54404EB5"/>
    <w:rsid w:val="544C6A88"/>
    <w:rsid w:val="54505B77"/>
    <w:rsid w:val="546B43C0"/>
    <w:rsid w:val="548067DA"/>
    <w:rsid w:val="548F7A70"/>
    <w:rsid w:val="54C26CFD"/>
    <w:rsid w:val="55086BAC"/>
    <w:rsid w:val="557224E2"/>
    <w:rsid w:val="5614369E"/>
    <w:rsid w:val="563069C3"/>
    <w:rsid w:val="56310797"/>
    <w:rsid w:val="56934DE0"/>
    <w:rsid w:val="56B72F26"/>
    <w:rsid w:val="56C637E6"/>
    <w:rsid w:val="56F3797B"/>
    <w:rsid w:val="57164498"/>
    <w:rsid w:val="571C095F"/>
    <w:rsid w:val="57254529"/>
    <w:rsid w:val="57262628"/>
    <w:rsid w:val="5736423A"/>
    <w:rsid w:val="57D733D6"/>
    <w:rsid w:val="57FB725A"/>
    <w:rsid w:val="58604B12"/>
    <w:rsid w:val="586C4F8A"/>
    <w:rsid w:val="58A80649"/>
    <w:rsid w:val="5913124C"/>
    <w:rsid w:val="5916514C"/>
    <w:rsid w:val="59237DD1"/>
    <w:rsid w:val="596A3FFC"/>
    <w:rsid w:val="59881456"/>
    <w:rsid w:val="59E62159"/>
    <w:rsid w:val="5A814374"/>
    <w:rsid w:val="5A9168C4"/>
    <w:rsid w:val="5A9A2E78"/>
    <w:rsid w:val="5AC37E52"/>
    <w:rsid w:val="5B124A58"/>
    <w:rsid w:val="5B164B1A"/>
    <w:rsid w:val="5B774468"/>
    <w:rsid w:val="5B811A00"/>
    <w:rsid w:val="5BC20650"/>
    <w:rsid w:val="5BCB3B95"/>
    <w:rsid w:val="5BE0586A"/>
    <w:rsid w:val="5C0F5091"/>
    <w:rsid w:val="5C327A65"/>
    <w:rsid w:val="5C89704D"/>
    <w:rsid w:val="5D2A432D"/>
    <w:rsid w:val="5D551D01"/>
    <w:rsid w:val="5D6A60A1"/>
    <w:rsid w:val="5D732686"/>
    <w:rsid w:val="5D7A2EA9"/>
    <w:rsid w:val="5D99635F"/>
    <w:rsid w:val="5DC04FFD"/>
    <w:rsid w:val="5DC900B2"/>
    <w:rsid w:val="5E4034B8"/>
    <w:rsid w:val="5E7C4823"/>
    <w:rsid w:val="5EE66E8C"/>
    <w:rsid w:val="5EF147B4"/>
    <w:rsid w:val="5EF47D9A"/>
    <w:rsid w:val="5F0661EB"/>
    <w:rsid w:val="5F4E4020"/>
    <w:rsid w:val="5F5024DD"/>
    <w:rsid w:val="5F555FDB"/>
    <w:rsid w:val="5F670DA5"/>
    <w:rsid w:val="5FBD3266"/>
    <w:rsid w:val="60034669"/>
    <w:rsid w:val="6069481D"/>
    <w:rsid w:val="608A3A2F"/>
    <w:rsid w:val="609E29E8"/>
    <w:rsid w:val="60B56760"/>
    <w:rsid w:val="60B77AE6"/>
    <w:rsid w:val="60B87E55"/>
    <w:rsid w:val="60E11D66"/>
    <w:rsid w:val="610D4ADB"/>
    <w:rsid w:val="612C35A2"/>
    <w:rsid w:val="61416EFD"/>
    <w:rsid w:val="6148283A"/>
    <w:rsid w:val="618601E1"/>
    <w:rsid w:val="620A488C"/>
    <w:rsid w:val="629C340E"/>
    <w:rsid w:val="62B72874"/>
    <w:rsid w:val="62BF5F39"/>
    <w:rsid w:val="62C13947"/>
    <w:rsid w:val="62C87F4C"/>
    <w:rsid w:val="62CA3035"/>
    <w:rsid w:val="639A01CB"/>
    <w:rsid w:val="63C36267"/>
    <w:rsid w:val="63EC0484"/>
    <w:rsid w:val="64102593"/>
    <w:rsid w:val="6441422E"/>
    <w:rsid w:val="64666260"/>
    <w:rsid w:val="646D3CE0"/>
    <w:rsid w:val="64AB2225"/>
    <w:rsid w:val="64AF5337"/>
    <w:rsid w:val="64F14DEE"/>
    <w:rsid w:val="651521CC"/>
    <w:rsid w:val="65167367"/>
    <w:rsid w:val="65447C4E"/>
    <w:rsid w:val="654768CB"/>
    <w:rsid w:val="65A35AB2"/>
    <w:rsid w:val="65D72379"/>
    <w:rsid w:val="65ED6CD8"/>
    <w:rsid w:val="65FD07E1"/>
    <w:rsid w:val="66844C8D"/>
    <w:rsid w:val="66B230D9"/>
    <w:rsid w:val="67191CD7"/>
    <w:rsid w:val="6765256F"/>
    <w:rsid w:val="67941608"/>
    <w:rsid w:val="679F60C5"/>
    <w:rsid w:val="67C90AF3"/>
    <w:rsid w:val="68064D2C"/>
    <w:rsid w:val="680D3C52"/>
    <w:rsid w:val="68161650"/>
    <w:rsid w:val="68403AEF"/>
    <w:rsid w:val="68A02A28"/>
    <w:rsid w:val="68D47A68"/>
    <w:rsid w:val="68DC33E0"/>
    <w:rsid w:val="69223996"/>
    <w:rsid w:val="6937554C"/>
    <w:rsid w:val="6942733B"/>
    <w:rsid w:val="69560A61"/>
    <w:rsid w:val="69FE2EB0"/>
    <w:rsid w:val="69FF4289"/>
    <w:rsid w:val="6A242E73"/>
    <w:rsid w:val="6A2B2F19"/>
    <w:rsid w:val="6A2B73D5"/>
    <w:rsid w:val="6A933B52"/>
    <w:rsid w:val="6A947BF6"/>
    <w:rsid w:val="6A99263C"/>
    <w:rsid w:val="6ACF5E62"/>
    <w:rsid w:val="6AFB28DD"/>
    <w:rsid w:val="6B2463BA"/>
    <w:rsid w:val="6B282A5D"/>
    <w:rsid w:val="6B6050A2"/>
    <w:rsid w:val="6BA30D72"/>
    <w:rsid w:val="6C186416"/>
    <w:rsid w:val="6C5F3780"/>
    <w:rsid w:val="6D0A5A65"/>
    <w:rsid w:val="6D2E2750"/>
    <w:rsid w:val="6D91521F"/>
    <w:rsid w:val="6D9747D7"/>
    <w:rsid w:val="6D982A12"/>
    <w:rsid w:val="6E2A1AF1"/>
    <w:rsid w:val="6E386F5E"/>
    <w:rsid w:val="6E4C7495"/>
    <w:rsid w:val="6E851485"/>
    <w:rsid w:val="6EBF212E"/>
    <w:rsid w:val="6ECD3B4B"/>
    <w:rsid w:val="6FE852B9"/>
    <w:rsid w:val="6FFC76E4"/>
    <w:rsid w:val="702C4F72"/>
    <w:rsid w:val="70505DAF"/>
    <w:rsid w:val="70F6693D"/>
    <w:rsid w:val="710B3532"/>
    <w:rsid w:val="7136128F"/>
    <w:rsid w:val="713D0481"/>
    <w:rsid w:val="714C3570"/>
    <w:rsid w:val="718C6304"/>
    <w:rsid w:val="71972A0F"/>
    <w:rsid w:val="71C838F6"/>
    <w:rsid w:val="71CC00A3"/>
    <w:rsid w:val="71F7400E"/>
    <w:rsid w:val="72343D8B"/>
    <w:rsid w:val="72AD201D"/>
    <w:rsid w:val="72BF1118"/>
    <w:rsid w:val="73116049"/>
    <w:rsid w:val="732D4640"/>
    <w:rsid w:val="73340A0A"/>
    <w:rsid w:val="739F314B"/>
    <w:rsid w:val="73AE6BF4"/>
    <w:rsid w:val="73EF43E9"/>
    <w:rsid w:val="7407690C"/>
    <w:rsid w:val="742D58C9"/>
    <w:rsid w:val="74B56123"/>
    <w:rsid w:val="74E94105"/>
    <w:rsid w:val="750012B4"/>
    <w:rsid w:val="752A69CA"/>
    <w:rsid w:val="75321F2D"/>
    <w:rsid w:val="754D3409"/>
    <w:rsid w:val="75A758BA"/>
    <w:rsid w:val="75A8452D"/>
    <w:rsid w:val="75C15569"/>
    <w:rsid w:val="75EC3D84"/>
    <w:rsid w:val="760246CF"/>
    <w:rsid w:val="76072CAE"/>
    <w:rsid w:val="764F0CF4"/>
    <w:rsid w:val="76522754"/>
    <w:rsid w:val="76587E70"/>
    <w:rsid w:val="768F6ABF"/>
    <w:rsid w:val="769E7CFF"/>
    <w:rsid w:val="76A07831"/>
    <w:rsid w:val="76A97AF5"/>
    <w:rsid w:val="76C734FA"/>
    <w:rsid w:val="76E8194C"/>
    <w:rsid w:val="77295027"/>
    <w:rsid w:val="775162C3"/>
    <w:rsid w:val="777C593B"/>
    <w:rsid w:val="77AF5BD2"/>
    <w:rsid w:val="77D4283E"/>
    <w:rsid w:val="785625FD"/>
    <w:rsid w:val="788044E6"/>
    <w:rsid w:val="78E270C5"/>
    <w:rsid w:val="7910517E"/>
    <w:rsid w:val="79217B32"/>
    <w:rsid w:val="7961473B"/>
    <w:rsid w:val="79640D01"/>
    <w:rsid w:val="79CF2BF7"/>
    <w:rsid w:val="79FA3254"/>
    <w:rsid w:val="7A08012D"/>
    <w:rsid w:val="7A247596"/>
    <w:rsid w:val="7A354BA5"/>
    <w:rsid w:val="7A374AD8"/>
    <w:rsid w:val="7A3A5FAF"/>
    <w:rsid w:val="7A913CE4"/>
    <w:rsid w:val="7AD96928"/>
    <w:rsid w:val="7B145E51"/>
    <w:rsid w:val="7B170247"/>
    <w:rsid w:val="7B9B175C"/>
    <w:rsid w:val="7B9B2B27"/>
    <w:rsid w:val="7BAF6F48"/>
    <w:rsid w:val="7BB24222"/>
    <w:rsid w:val="7BB55C1A"/>
    <w:rsid w:val="7BD40A10"/>
    <w:rsid w:val="7BE525E1"/>
    <w:rsid w:val="7C1837A1"/>
    <w:rsid w:val="7C1F52BA"/>
    <w:rsid w:val="7CA84E77"/>
    <w:rsid w:val="7CB677D4"/>
    <w:rsid w:val="7CB82A9C"/>
    <w:rsid w:val="7CE74954"/>
    <w:rsid w:val="7CF17F28"/>
    <w:rsid w:val="7D2614F1"/>
    <w:rsid w:val="7D2E6689"/>
    <w:rsid w:val="7D4F33AD"/>
    <w:rsid w:val="7DA9646B"/>
    <w:rsid w:val="7DAE7BBA"/>
    <w:rsid w:val="7DB4422B"/>
    <w:rsid w:val="7DB742D9"/>
    <w:rsid w:val="7E130CC6"/>
    <w:rsid w:val="7E1846B6"/>
    <w:rsid w:val="7E474901"/>
    <w:rsid w:val="7E661D7D"/>
    <w:rsid w:val="7EE75D96"/>
    <w:rsid w:val="7EF47835"/>
    <w:rsid w:val="7EFF74BD"/>
    <w:rsid w:val="7F40353D"/>
    <w:rsid w:val="7F414B17"/>
    <w:rsid w:val="7F71339D"/>
    <w:rsid w:val="7F887EFB"/>
    <w:rsid w:val="7F8B03FB"/>
    <w:rsid w:val="7FA2760B"/>
    <w:rsid w:val="7FAD00AD"/>
    <w:rsid w:val="7FE018CA"/>
    <w:rsid w:val="7FE8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57"/>
    <w:qFormat/>
    <w:uiPriority w:val="0"/>
    <w:pPr>
      <w:keepNext/>
      <w:keepLines/>
    </w:pPr>
    <w:rPr>
      <w:kern w:val="44"/>
      <w:sz w:val="30"/>
    </w:rPr>
  </w:style>
  <w:style w:type="paragraph" w:styleId="5">
    <w:name w:val="heading 2"/>
    <w:basedOn w:val="1"/>
    <w:next w:val="1"/>
    <w:unhideWhenUsed/>
    <w:qFormat/>
    <w:uiPriority w:val="0"/>
    <w:pPr>
      <w:keepNext/>
      <w:keepLines/>
      <w:jc w:val="center"/>
      <w:outlineLvl w:val="1"/>
    </w:pPr>
    <w:rPr>
      <w:rFonts w:ascii="Arial" w:hAnsi="Arial"/>
      <w:b/>
      <w:sz w:val="28"/>
    </w:rPr>
  </w:style>
  <w:style w:type="paragraph" w:styleId="6">
    <w:name w:val="heading 3"/>
    <w:basedOn w:val="1"/>
    <w:next w:val="1"/>
    <w:semiHidden/>
    <w:unhideWhenUsed/>
    <w:qFormat/>
    <w:uiPriority w:val="0"/>
    <w:pPr>
      <w:keepNext/>
      <w:keepLines/>
      <w:numPr>
        <w:ilvl w:val="2"/>
        <w:numId w:val="1"/>
      </w:numPr>
      <w:spacing w:before="260" w:after="260" w:line="408" w:lineRule="auto"/>
      <w:outlineLvl w:val="2"/>
    </w:pPr>
    <w:rPr>
      <w:b/>
      <w:bCs/>
      <w:sz w:val="32"/>
      <w:szCs w:val="32"/>
    </w:rPr>
  </w:style>
  <w:style w:type="paragraph" w:styleId="7">
    <w:name w:val="heading 4"/>
    <w:basedOn w:val="1"/>
    <w:next w:val="1"/>
    <w:unhideWhenUsed/>
    <w:qFormat/>
    <w:uiPriority w:val="9"/>
    <w:pPr>
      <w:keepNext/>
      <w:keepLines/>
      <w:numPr>
        <w:ilvl w:val="3"/>
        <w:numId w:val="2"/>
      </w:numPr>
      <w:spacing w:after="290" w:line="377" w:lineRule="auto"/>
      <w:outlineLvl w:val="3"/>
    </w:pPr>
    <w:rPr>
      <w:rFonts w:asciiTheme="majorHAnsi" w:hAnsiTheme="majorHAnsi" w:cstheme="majorBidi"/>
      <w:b/>
      <w:bCs/>
      <w:sz w:val="28"/>
      <w:szCs w:val="28"/>
    </w:rPr>
  </w:style>
  <w:style w:type="paragraph" w:styleId="8">
    <w:name w:val="heading 5"/>
    <w:basedOn w:val="1"/>
    <w:next w:val="1"/>
    <w:unhideWhenUsed/>
    <w:qFormat/>
    <w:uiPriority w:val="9"/>
    <w:pPr>
      <w:keepNext/>
      <w:keepLines/>
      <w:numPr>
        <w:ilvl w:val="4"/>
        <w:numId w:val="2"/>
      </w:numPr>
      <w:spacing w:beforeLines="100" w:after="240"/>
      <w:outlineLvl w:val="4"/>
    </w:pPr>
    <w:rPr>
      <w:rFonts w:asciiTheme="minorHAnsi" w:hAnsiTheme="minorHAnsi"/>
      <w:b/>
      <w:bCs/>
      <w:szCs w:val="28"/>
    </w:rPr>
  </w:style>
  <w:style w:type="paragraph" w:styleId="9">
    <w:name w:val="heading 6"/>
    <w:basedOn w:val="1"/>
    <w:next w:val="1"/>
    <w:semiHidden/>
    <w:unhideWhenUsed/>
    <w:qFormat/>
    <w:uiPriority w:val="0"/>
    <w:pPr>
      <w:keepNext/>
      <w:keepLines/>
      <w:spacing w:before="240" w:after="64" w:line="320" w:lineRule="auto"/>
      <w:outlineLvl w:val="5"/>
    </w:pPr>
    <w:rPr>
      <w:rFonts w:ascii="Calibri Light" w:hAnsi="Calibri Light"/>
      <w:b/>
      <w:bCs/>
      <w:sz w:val="24"/>
      <w:szCs w:val="24"/>
    </w:rPr>
  </w:style>
  <w:style w:type="paragraph" w:styleId="10">
    <w:name w:val="heading 7"/>
    <w:basedOn w:val="1"/>
    <w:next w:val="1"/>
    <w:semiHidden/>
    <w:unhideWhenUsed/>
    <w:qFormat/>
    <w:uiPriority w:val="0"/>
    <w:pPr>
      <w:keepNext/>
      <w:keepLines/>
      <w:spacing w:before="240" w:after="64" w:line="320" w:lineRule="auto"/>
      <w:outlineLvl w:val="6"/>
    </w:pPr>
    <w:rPr>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Title"/>
    <w:basedOn w:val="1"/>
    <w:qFormat/>
    <w:uiPriority w:val="0"/>
    <w:pPr>
      <w:spacing w:before="240" w:after="60"/>
      <w:jc w:val="center"/>
      <w:outlineLvl w:val="0"/>
    </w:pPr>
    <w:rPr>
      <w:rFonts w:ascii="Arial" w:hAnsi="Arial"/>
      <w:b/>
      <w:sz w:val="32"/>
    </w:rPr>
  </w:style>
  <w:style w:type="paragraph" w:styleId="11">
    <w:name w:val="Normal Indent"/>
    <w:basedOn w:val="1"/>
    <w:semiHidden/>
    <w:unhideWhenUsed/>
    <w:qFormat/>
    <w:uiPriority w:val="99"/>
    <w:pPr>
      <w:ind w:firstLine="420" w:firstLineChars="200"/>
    </w:pPr>
  </w:style>
  <w:style w:type="paragraph" w:styleId="12">
    <w:name w:val="Body Text"/>
    <w:basedOn w:val="1"/>
    <w:next w:val="1"/>
    <w:qFormat/>
    <w:uiPriority w:val="0"/>
  </w:style>
  <w:style w:type="paragraph" w:styleId="13">
    <w:name w:val="Body Text Indent"/>
    <w:basedOn w:val="1"/>
    <w:qFormat/>
    <w:uiPriority w:val="0"/>
    <w:pPr>
      <w:spacing w:after="120"/>
      <w:ind w:left="420" w:leftChars="200"/>
    </w:pPr>
  </w:style>
  <w:style w:type="paragraph" w:styleId="14">
    <w:name w:val="Block Text"/>
    <w:basedOn w:val="1"/>
    <w:next w:val="15"/>
    <w:qFormat/>
    <w:uiPriority w:val="0"/>
    <w:pPr>
      <w:spacing w:after="120"/>
      <w:ind w:left="1440" w:leftChars="700" w:right="700" w:rightChars="700"/>
    </w:pPr>
  </w:style>
  <w:style w:type="paragraph" w:styleId="15">
    <w:name w:val="Plain Text"/>
    <w:basedOn w:val="1"/>
    <w:next w:val="1"/>
    <w:qFormat/>
    <w:uiPriority w:val="0"/>
    <w:rPr>
      <w:rFonts w:ascii="宋体" w:hAnsi="Courier New" w:cs="Courier New"/>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link w:val="5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right" w:leader="middleDot" w:pos="9000"/>
      </w:tabs>
      <w:spacing w:line="700" w:lineRule="exact"/>
      <w:ind w:left="120" w:leftChars="57"/>
    </w:pPr>
  </w:style>
  <w:style w:type="paragraph" w:styleId="19">
    <w:name w:val="Body Text Indent 3"/>
    <w:basedOn w:val="1"/>
    <w:qFormat/>
    <w:uiPriority w:val="0"/>
    <w:pPr>
      <w:spacing w:after="120" w:afterLines="0"/>
      <w:ind w:left="420" w:leftChars="200"/>
    </w:pPr>
    <w:rPr>
      <w:sz w:val="16"/>
      <w:szCs w:val="16"/>
    </w:rPr>
  </w:style>
  <w:style w:type="paragraph" w:styleId="20">
    <w:name w:val="Normal (Web)"/>
    <w:basedOn w:val="1"/>
    <w:qFormat/>
    <w:uiPriority w:val="0"/>
    <w:pPr>
      <w:jc w:val="left"/>
    </w:pPr>
    <w:rPr>
      <w:kern w:val="0"/>
      <w:sz w:val="24"/>
    </w:rPr>
  </w:style>
  <w:style w:type="paragraph" w:styleId="21">
    <w:name w:val="Body Text First Indent"/>
    <w:basedOn w:val="12"/>
    <w:unhideWhenUsed/>
    <w:qFormat/>
    <w:uiPriority w:val="99"/>
    <w:pPr>
      <w:ind w:firstLine="420" w:firstLineChars="100"/>
    </w:pPr>
    <w:rPr>
      <w:rFonts w:ascii="Times New Roman" w:hAnsi="Times New Roman"/>
      <w:color w:val="auto"/>
      <w:kern w:val="0"/>
      <w:sz w:val="20"/>
    </w:rPr>
  </w:style>
  <w:style w:type="paragraph" w:styleId="22">
    <w:name w:val="Body Text First Indent 2"/>
    <w:basedOn w:val="13"/>
    <w:qFormat/>
    <w:uiPriority w:val="0"/>
    <w:pPr>
      <w:ind w:firstLine="420" w:firstLineChars="200"/>
    </w:pPr>
    <w:rPr>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rPr>
  </w:style>
  <w:style w:type="character" w:styleId="31">
    <w:name w:val="Hyperlink"/>
    <w:basedOn w:val="25"/>
    <w:qFormat/>
    <w:uiPriority w:val="99"/>
    <w:rPr>
      <w:color w:val="333333"/>
      <w:u w:val="none"/>
    </w:rPr>
  </w:style>
  <w:style w:type="character" w:styleId="32">
    <w:name w:val="HTML Code"/>
    <w:basedOn w:val="25"/>
    <w:qFormat/>
    <w:uiPriority w:val="0"/>
    <w:rPr>
      <w:rFonts w:hint="default" w:ascii="Consolas" w:hAnsi="Consolas" w:eastAsia="Consolas" w:cs="Consolas"/>
      <w:color w:val="C7254E"/>
      <w:sz w:val="21"/>
      <w:szCs w:val="21"/>
      <w:shd w:val="clear" w:color="auto" w:fill="F9F2F4"/>
    </w:rPr>
  </w:style>
  <w:style w:type="character" w:styleId="33">
    <w:name w:val="HTML Keyboard"/>
    <w:basedOn w:val="25"/>
    <w:qFormat/>
    <w:uiPriority w:val="0"/>
    <w:rPr>
      <w:rFonts w:hint="default" w:ascii="Consolas" w:hAnsi="Consolas" w:eastAsia="Consolas" w:cs="Consolas"/>
      <w:color w:val="FFFFFF"/>
      <w:sz w:val="21"/>
      <w:szCs w:val="21"/>
      <w:shd w:val="clear" w:color="auto" w:fill="333333"/>
    </w:rPr>
  </w:style>
  <w:style w:type="character" w:styleId="34">
    <w:name w:val="HTML Sample"/>
    <w:basedOn w:val="25"/>
    <w:qFormat/>
    <w:uiPriority w:val="0"/>
    <w:rPr>
      <w:rFonts w:ascii="Consolas" w:hAnsi="Consolas" w:eastAsia="Consolas" w:cs="Consolas"/>
      <w:sz w:val="21"/>
      <w:szCs w:val="21"/>
    </w:rPr>
  </w:style>
  <w:style w:type="paragraph" w:customStyle="1" w:styleId="3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A正文"/>
    <w:basedOn w:val="1"/>
    <w:qFormat/>
    <w:uiPriority w:val="0"/>
    <w:pPr>
      <w:widowControl/>
      <w:snapToGrid w:val="0"/>
      <w:spacing w:line="360" w:lineRule="auto"/>
      <w:ind w:firstLine="200" w:firstLineChars="200"/>
    </w:pPr>
    <w:rPr>
      <w:kern w:val="0"/>
      <w:sz w:val="24"/>
      <w:szCs w:val="20"/>
      <w:lang w:eastAsia="en-US" w:bidi="en-US"/>
    </w:rPr>
  </w:style>
  <w:style w:type="character" w:customStyle="1" w:styleId="37">
    <w:name w:val="f"/>
    <w:basedOn w:val="25"/>
    <w:qFormat/>
    <w:uiPriority w:val="0"/>
  </w:style>
  <w:style w:type="character" w:customStyle="1" w:styleId="38">
    <w:name w:val="hover3"/>
    <w:basedOn w:val="25"/>
    <w:qFormat/>
    <w:uiPriority w:val="0"/>
    <w:rPr>
      <w:shd w:val="clear" w:color="auto" w:fill="EEEEEE"/>
    </w:rPr>
  </w:style>
  <w:style w:type="character" w:customStyle="1" w:styleId="39">
    <w:name w:val="old"/>
    <w:basedOn w:val="25"/>
    <w:qFormat/>
    <w:uiPriority w:val="0"/>
    <w:rPr>
      <w:color w:val="999999"/>
    </w:rPr>
  </w:style>
  <w:style w:type="character" w:customStyle="1" w:styleId="40">
    <w:name w:val="glyphicon4"/>
    <w:basedOn w:val="25"/>
    <w:qFormat/>
    <w:uiPriority w:val="0"/>
  </w:style>
  <w:style w:type="character" w:customStyle="1" w:styleId="41">
    <w:name w:val="hour_am"/>
    <w:basedOn w:val="25"/>
    <w:qFormat/>
    <w:uiPriority w:val="0"/>
  </w:style>
  <w:style w:type="character" w:customStyle="1" w:styleId="42">
    <w:name w:val="hour_pm"/>
    <w:basedOn w:val="25"/>
    <w:qFormat/>
    <w:uiPriority w:val="0"/>
  </w:style>
  <w:style w:type="character" w:customStyle="1" w:styleId="43">
    <w:name w:val="button"/>
    <w:basedOn w:val="25"/>
    <w:qFormat/>
    <w:uiPriority w:val="0"/>
  </w:style>
  <w:style w:type="character" w:customStyle="1" w:styleId="44">
    <w:name w:val="tmpztreemove_arrow"/>
    <w:basedOn w:val="25"/>
    <w:qFormat/>
    <w:uiPriority w:val="0"/>
    <w:rPr>
      <w:shd w:val="clear" w:color="auto" w:fill="FFFFFF"/>
    </w:rPr>
  </w:style>
  <w:style w:type="paragraph" w:styleId="45">
    <w:name w:val="List Paragraph"/>
    <w:basedOn w:val="1"/>
    <w:qFormat/>
    <w:uiPriority w:val="0"/>
    <w:pPr>
      <w:ind w:firstLine="420"/>
    </w:pPr>
    <w:rPr>
      <w:rFonts w:cs="Calibri"/>
    </w:rPr>
  </w:style>
  <w:style w:type="paragraph" w:customStyle="1" w:styleId="46">
    <w:name w:val="段落正文"/>
    <w:basedOn w:val="1"/>
    <w:qFormat/>
    <w:uiPriority w:val="0"/>
    <w:pPr>
      <w:spacing w:line="360" w:lineRule="auto"/>
      <w:ind w:firstLine="200" w:firstLineChars="200"/>
    </w:pPr>
    <w:rPr>
      <w:kern w:val="0"/>
      <w:sz w:val="20"/>
      <w:szCs w:val="20"/>
    </w:rPr>
  </w:style>
  <w:style w:type="paragraph" w:styleId="47">
    <w:name w:val="No Spacing"/>
    <w:qFormat/>
    <w:uiPriority w:val="0"/>
    <w:pPr>
      <w:widowControl w:val="0"/>
      <w:suppressAutoHyphens/>
      <w:jc w:val="both"/>
    </w:pPr>
    <w:rPr>
      <w:rFonts w:ascii="Times New Roman" w:hAnsi="Times New Roman" w:eastAsia="宋体" w:cs="Times New Roman"/>
      <w:kern w:val="1"/>
      <w:sz w:val="21"/>
      <w:szCs w:val="24"/>
      <w:lang w:val="en-US" w:eastAsia="zh-CN" w:bidi="ar-SA"/>
    </w:rPr>
  </w:style>
  <w:style w:type="paragraph" w:customStyle="1" w:styleId="48">
    <w:name w:val="无间隔1"/>
    <w:qFormat/>
    <w:uiPriority w:val="1"/>
    <w:rPr>
      <w:rFonts w:ascii="Times New Roman" w:hAnsi="Times New Roman" w:eastAsia="宋体" w:cs="Times New Roman"/>
      <w:sz w:val="24"/>
      <w:szCs w:val="24"/>
      <w:lang w:val="en-US" w:eastAsia="en-US" w:bidi="ar-SA"/>
    </w:rPr>
  </w:style>
  <w:style w:type="paragraph" w:customStyle="1" w:styleId="49">
    <w:name w:val="文章正文"/>
    <w:basedOn w:val="1"/>
    <w:link w:val="53"/>
    <w:qFormat/>
    <w:uiPriority w:val="0"/>
    <w:pPr>
      <w:spacing w:before="156"/>
      <w:ind w:firstLine="480" w:firstLineChars="200"/>
    </w:pPr>
    <w:rPr>
      <w:rFonts w:ascii="仿宋" w:hAnsi="仿宋" w:eastAsia="仿宋"/>
    </w:rPr>
  </w:style>
  <w:style w:type="paragraph" w:customStyle="1" w:styleId="50">
    <w:name w:val="表格"/>
    <w:basedOn w:val="1"/>
    <w:link w:val="54"/>
    <w:qFormat/>
    <w:uiPriority w:val="0"/>
    <w:pPr>
      <w:spacing w:beforeLines="25" w:line="300" w:lineRule="auto"/>
    </w:pPr>
    <w:rPr>
      <w:rFonts w:eastAsia="仿宋"/>
    </w:rPr>
  </w:style>
  <w:style w:type="paragraph" w:customStyle="1" w:styleId="51">
    <w:name w:val="p15"/>
    <w:basedOn w:val="1"/>
    <w:qFormat/>
    <w:uiPriority w:val="0"/>
    <w:pPr>
      <w:widowControl/>
      <w:spacing w:line="360" w:lineRule="auto"/>
      <w:jc w:val="left"/>
    </w:pPr>
    <w:rPr>
      <w:kern w:val="0"/>
      <w:sz w:val="24"/>
    </w:rPr>
  </w:style>
  <w:style w:type="character" w:customStyle="1" w:styleId="52">
    <w:name w:val="文章正文 Char Char"/>
    <w:qFormat/>
    <w:uiPriority w:val="0"/>
    <w:rPr>
      <w:rFonts w:ascii="Times New Roman" w:hAnsi="Times New Roman" w:eastAsia="宋体" w:cs="Times New Roman"/>
      <w:sz w:val="24"/>
    </w:rPr>
  </w:style>
  <w:style w:type="character" w:customStyle="1" w:styleId="53">
    <w:name w:val="文章正文 Char"/>
    <w:link w:val="49"/>
    <w:qFormat/>
    <w:uiPriority w:val="0"/>
    <w:rPr>
      <w:rFonts w:ascii="仿宋" w:hAnsi="仿宋" w:eastAsia="仿宋"/>
      <w:kern w:val="2"/>
      <w:sz w:val="21"/>
      <w:szCs w:val="22"/>
    </w:rPr>
  </w:style>
  <w:style w:type="character" w:customStyle="1" w:styleId="54">
    <w:name w:val="表格 Char"/>
    <w:link w:val="50"/>
    <w:qFormat/>
    <w:uiPriority w:val="0"/>
    <w:rPr>
      <w:rFonts w:ascii="Calibri" w:hAnsi="Calibri" w:eastAsia="仿宋"/>
      <w:kern w:val="2"/>
      <w:sz w:val="21"/>
      <w:szCs w:val="22"/>
    </w:rPr>
  </w:style>
  <w:style w:type="character" w:customStyle="1" w:styleId="55">
    <w:name w:val="页眉 字符"/>
    <w:link w:val="17"/>
    <w:qFormat/>
    <w:uiPriority w:val="0"/>
    <w:rPr>
      <w:rFonts w:ascii="Calibri" w:hAnsi="Calibri"/>
      <w:kern w:val="2"/>
      <w:sz w:val="18"/>
      <w:szCs w:val="22"/>
    </w:rPr>
  </w:style>
  <w:style w:type="paragraph" w:customStyle="1" w:styleId="56">
    <w:name w:val="List Paragraph1"/>
    <w:qFormat/>
    <w:uiPriority w:val="0"/>
    <w:pPr>
      <w:ind w:firstLine="420" w:firstLineChars="200"/>
    </w:pPr>
    <w:rPr>
      <w:rFonts w:ascii="Calibri" w:hAnsi="Calibri" w:eastAsia="宋体" w:cs="Times New Roman"/>
      <w:lang w:val="en-US" w:eastAsia="zh-CN" w:bidi="ar-SA"/>
    </w:rPr>
  </w:style>
  <w:style w:type="character" w:customStyle="1" w:styleId="57">
    <w:name w:val="标题 1 字符"/>
    <w:link w:val="3"/>
    <w:qFormat/>
    <w:uiPriority w:val="0"/>
    <w:rPr>
      <w:b/>
      <w:kern w:val="44"/>
      <w:sz w:val="30"/>
    </w:rPr>
  </w:style>
  <w:style w:type="character" w:customStyle="1" w:styleId="58">
    <w:name w:val="font01"/>
    <w:basedOn w:val="25"/>
    <w:qFormat/>
    <w:uiPriority w:val="0"/>
    <w:rPr>
      <w:rFonts w:hint="eastAsia" w:ascii="宋体" w:hAnsi="宋体" w:eastAsia="宋体" w:cs="宋体"/>
      <w:color w:val="000000"/>
      <w:sz w:val="20"/>
      <w:szCs w:val="20"/>
      <w:u w:val="none"/>
    </w:rPr>
  </w:style>
  <w:style w:type="character" w:customStyle="1" w:styleId="59">
    <w:name w:val="font91"/>
    <w:basedOn w:val="25"/>
    <w:qFormat/>
    <w:uiPriority w:val="0"/>
    <w:rPr>
      <w:rFonts w:hint="eastAsia" w:ascii="宋体" w:hAnsi="宋体" w:eastAsia="宋体" w:cs="宋体"/>
      <w:b/>
      <w:color w:val="000000"/>
      <w:sz w:val="20"/>
      <w:szCs w:val="20"/>
      <w:u w:val="none"/>
    </w:rPr>
  </w:style>
  <w:style w:type="character" w:customStyle="1" w:styleId="60">
    <w:name w:val="font181"/>
    <w:basedOn w:val="25"/>
    <w:qFormat/>
    <w:uiPriority w:val="0"/>
    <w:rPr>
      <w:rFonts w:hint="default" w:ascii="Times New Roman" w:hAnsi="Times New Roman" w:cs="Times New Roman"/>
      <w:color w:val="000000"/>
      <w:sz w:val="20"/>
      <w:szCs w:val="20"/>
      <w:u w:val="none"/>
    </w:rPr>
  </w:style>
  <w:style w:type="character" w:customStyle="1" w:styleId="61">
    <w:name w:val="font21"/>
    <w:basedOn w:val="25"/>
    <w:qFormat/>
    <w:uiPriority w:val="0"/>
    <w:rPr>
      <w:rFonts w:hint="eastAsia" w:ascii="宋体" w:hAnsi="宋体" w:eastAsia="宋体" w:cs="宋体"/>
      <w:color w:val="000000"/>
      <w:sz w:val="20"/>
      <w:szCs w:val="20"/>
      <w:u w:val="none"/>
    </w:rPr>
  </w:style>
  <w:style w:type="character" w:customStyle="1" w:styleId="62">
    <w:name w:val="font51"/>
    <w:basedOn w:val="25"/>
    <w:qFormat/>
    <w:uiPriority w:val="0"/>
    <w:rPr>
      <w:rFonts w:hint="default" w:ascii="Times New Roman" w:hAnsi="Times New Roman" w:cs="Times New Roman"/>
      <w:b/>
      <w:color w:val="000000"/>
      <w:sz w:val="24"/>
      <w:szCs w:val="24"/>
      <w:u w:val="none"/>
    </w:rPr>
  </w:style>
  <w:style w:type="character" w:customStyle="1" w:styleId="63">
    <w:name w:val="font291"/>
    <w:basedOn w:val="25"/>
    <w:qFormat/>
    <w:uiPriority w:val="0"/>
    <w:rPr>
      <w:rFonts w:hint="eastAsia" w:ascii="宋体" w:hAnsi="宋体" w:eastAsia="宋体" w:cs="宋体"/>
      <w:b/>
      <w:color w:val="000000"/>
      <w:sz w:val="24"/>
      <w:szCs w:val="24"/>
      <w:u w:val="none"/>
    </w:rPr>
  </w:style>
  <w:style w:type="character" w:customStyle="1" w:styleId="64">
    <w:name w:val="font212"/>
    <w:basedOn w:val="25"/>
    <w:qFormat/>
    <w:uiPriority w:val="0"/>
    <w:rPr>
      <w:rFonts w:hint="default" w:ascii="Times New Roman" w:hAnsi="Times New Roman" w:cs="Times New Roman"/>
      <w:b/>
      <w:color w:val="000000"/>
      <w:sz w:val="20"/>
      <w:szCs w:val="20"/>
      <w:u w:val="none"/>
    </w:rPr>
  </w:style>
  <w:style w:type="character" w:customStyle="1" w:styleId="65">
    <w:name w:val="font201"/>
    <w:basedOn w:val="25"/>
    <w:qFormat/>
    <w:uiPriority w:val="0"/>
    <w:rPr>
      <w:rFonts w:hint="default" w:ascii="Times New Roman" w:hAnsi="Times New Roman" w:cs="Times New Roman"/>
      <w:color w:val="000000"/>
      <w:sz w:val="20"/>
      <w:szCs w:val="20"/>
      <w:u w:val="none"/>
    </w:rPr>
  </w:style>
  <w:style w:type="character" w:customStyle="1" w:styleId="66">
    <w:name w:val="font211"/>
    <w:basedOn w:val="25"/>
    <w:qFormat/>
    <w:uiPriority w:val="0"/>
    <w:rPr>
      <w:rFonts w:hint="default" w:ascii="Times New Roman" w:hAnsi="Times New Roman" w:cs="Times New Roman"/>
      <w:color w:val="000000"/>
      <w:sz w:val="20"/>
      <w:szCs w:val="20"/>
      <w:u w:val="none"/>
    </w:rPr>
  </w:style>
  <w:style w:type="character" w:customStyle="1" w:styleId="67">
    <w:name w:val="font71"/>
    <w:basedOn w:val="25"/>
    <w:qFormat/>
    <w:uiPriority w:val="0"/>
    <w:rPr>
      <w:rFonts w:hint="eastAsia" w:ascii="宋体" w:hAnsi="宋体" w:eastAsia="宋体" w:cs="宋体"/>
      <w:color w:val="000000"/>
      <w:sz w:val="20"/>
      <w:szCs w:val="20"/>
      <w:u w:val="none"/>
    </w:rPr>
  </w:style>
  <w:style w:type="character" w:customStyle="1" w:styleId="68">
    <w:name w:val="font171"/>
    <w:basedOn w:val="25"/>
    <w:qFormat/>
    <w:uiPriority w:val="0"/>
    <w:rPr>
      <w:rFonts w:hint="eastAsia" w:ascii="宋体" w:hAnsi="宋体" w:eastAsia="宋体" w:cs="宋体"/>
      <w:b/>
      <w:color w:val="000000"/>
      <w:sz w:val="20"/>
      <w:szCs w:val="20"/>
      <w:u w:val="none"/>
    </w:rPr>
  </w:style>
  <w:style w:type="character" w:customStyle="1" w:styleId="69">
    <w:name w:val="font61"/>
    <w:basedOn w:val="25"/>
    <w:qFormat/>
    <w:uiPriority w:val="0"/>
    <w:rPr>
      <w:rFonts w:hint="eastAsia" w:ascii="宋体" w:hAnsi="宋体" w:eastAsia="宋体" w:cs="宋体"/>
      <w:color w:val="000000"/>
      <w:sz w:val="20"/>
      <w:szCs w:val="20"/>
      <w:u w:val="none"/>
    </w:rPr>
  </w:style>
  <w:style w:type="character" w:customStyle="1" w:styleId="70">
    <w:name w:val="font31"/>
    <w:basedOn w:val="25"/>
    <w:qFormat/>
    <w:uiPriority w:val="0"/>
    <w:rPr>
      <w:rFonts w:hint="eastAsia" w:ascii="宋体" w:hAnsi="宋体" w:eastAsia="宋体" w:cs="宋体"/>
      <w:color w:val="000000"/>
      <w:sz w:val="20"/>
      <w:szCs w:val="20"/>
      <w:u w:val="none"/>
    </w:rPr>
  </w:style>
  <w:style w:type="character" w:customStyle="1" w:styleId="71">
    <w:name w:val="font23"/>
    <w:basedOn w:val="25"/>
    <w:qFormat/>
    <w:uiPriority w:val="0"/>
    <w:rPr>
      <w:rFonts w:hint="eastAsia" w:ascii="宋体" w:hAnsi="宋体" w:eastAsia="宋体" w:cs="宋体"/>
      <w:b/>
      <w:color w:val="000000"/>
      <w:sz w:val="20"/>
      <w:szCs w:val="20"/>
      <w:u w:val="none"/>
    </w:rPr>
  </w:style>
  <w:style w:type="character" w:customStyle="1" w:styleId="72">
    <w:name w:val="font161"/>
    <w:basedOn w:val="25"/>
    <w:qFormat/>
    <w:uiPriority w:val="0"/>
    <w:rPr>
      <w:rFonts w:hint="eastAsia" w:ascii="宋体" w:hAnsi="宋体" w:eastAsia="宋体" w:cs="宋体"/>
      <w:b/>
      <w:color w:val="FF0000"/>
      <w:sz w:val="20"/>
      <w:szCs w:val="20"/>
      <w:u w:val="none"/>
    </w:rPr>
  </w:style>
  <w:style w:type="character" w:customStyle="1" w:styleId="73">
    <w:name w:val="font151"/>
    <w:basedOn w:val="25"/>
    <w:qFormat/>
    <w:uiPriority w:val="0"/>
    <w:rPr>
      <w:rFonts w:hint="eastAsia" w:ascii="宋体" w:hAnsi="宋体" w:eastAsia="宋体" w:cs="宋体"/>
      <w:color w:val="000000"/>
      <w:sz w:val="18"/>
      <w:szCs w:val="18"/>
      <w:u w:val="none"/>
    </w:rPr>
  </w:style>
  <w:style w:type="character" w:customStyle="1" w:styleId="74">
    <w:name w:val="font101"/>
    <w:basedOn w:val="25"/>
    <w:qFormat/>
    <w:uiPriority w:val="0"/>
    <w:rPr>
      <w:rFonts w:hint="eastAsia" w:ascii="宋体" w:hAnsi="宋体" w:eastAsia="宋体" w:cs="宋体"/>
      <w:b/>
      <w:color w:val="000000"/>
      <w:sz w:val="18"/>
      <w:szCs w:val="18"/>
      <w:u w:val="none"/>
    </w:rPr>
  </w:style>
  <w:style w:type="character" w:customStyle="1" w:styleId="75">
    <w:name w:val="font221"/>
    <w:basedOn w:val="25"/>
    <w:qFormat/>
    <w:uiPriority w:val="0"/>
    <w:rPr>
      <w:rFonts w:hint="default" w:ascii="Times New Roman" w:hAnsi="Times New Roman" w:cs="Times New Roman"/>
      <w:b/>
      <w:color w:val="000000"/>
      <w:sz w:val="20"/>
      <w:szCs w:val="20"/>
      <w:u w:val="none"/>
    </w:rPr>
  </w:style>
  <w:style w:type="character" w:customStyle="1" w:styleId="76">
    <w:name w:val="font121"/>
    <w:basedOn w:val="25"/>
    <w:qFormat/>
    <w:uiPriority w:val="0"/>
    <w:rPr>
      <w:rFonts w:hint="default" w:ascii="Times New Roman" w:hAnsi="Times New Roman" w:cs="Times New Roman"/>
      <w:b/>
      <w:color w:val="000000"/>
      <w:sz w:val="20"/>
      <w:szCs w:val="20"/>
      <w:u w:val="none"/>
    </w:rPr>
  </w:style>
  <w:style w:type="character" w:customStyle="1" w:styleId="77">
    <w:name w:val="font41"/>
    <w:basedOn w:val="25"/>
    <w:qFormat/>
    <w:uiPriority w:val="0"/>
    <w:rPr>
      <w:rFonts w:hint="default" w:ascii="Times New Roman" w:hAnsi="Times New Roman" w:cs="Times New Roman"/>
      <w:b/>
      <w:color w:val="000000"/>
      <w:sz w:val="24"/>
      <w:szCs w:val="24"/>
      <w:u w:val="none"/>
    </w:rPr>
  </w:style>
  <w:style w:type="character" w:customStyle="1" w:styleId="78">
    <w:name w:val="font112"/>
    <w:basedOn w:val="25"/>
    <w:qFormat/>
    <w:uiPriority w:val="0"/>
    <w:rPr>
      <w:rFonts w:hint="eastAsia" w:ascii="宋体" w:hAnsi="宋体" w:eastAsia="宋体" w:cs="宋体"/>
      <w:b/>
      <w:color w:val="000000"/>
      <w:sz w:val="24"/>
      <w:szCs w:val="24"/>
      <w:u w:val="none"/>
    </w:rPr>
  </w:style>
  <w:style w:type="character" w:customStyle="1" w:styleId="79">
    <w:name w:val="font81"/>
    <w:basedOn w:val="25"/>
    <w:qFormat/>
    <w:uiPriority w:val="0"/>
    <w:rPr>
      <w:rFonts w:hint="eastAsia" w:ascii="宋体" w:hAnsi="宋体" w:eastAsia="宋体" w:cs="宋体"/>
      <w:b/>
      <w:color w:val="000000"/>
      <w:sz w:val="20"/>
      <w:szCs w:val="20"/>
      <w:u w:val="none"/>
    </w:rPr>
  </w:style>
  <w:style w:type="character" w:customStyle="1" w:styleId="80">
    <w:name w:val="font321"/>
    <w:basedOn w:val="25"/>
    <w:qFormat/>
    <w:uiPriority w:val="0"/>
    <w:rPr>
      <w:rFonts w:hint="eastAsia" w:ascii="宋体" w:hAnsi="宋体" w:eastAsia="宋体" w:cs="宋体"/>
      <w:b/>
      <w:color w:val="000000"/>
      <w:sz w:val="24"/>
      <w:szCs w:val="24"/>
      <w:u w:val="none"/>
    </w:rPr>
  </w:style>
  <w:style w:type="character" w:customStyle="1" w:styleId="81">
    <w:name w:val="font191"/>
    <w:basedOn w:val="25"/>
    <w:qFormat/>
    <w:uiPriority w:val="0"/>
    <w:rPr>
      <w:rFonts w:hint="default" w:ascii="Times New Roman" w:hAnsi="Times New Roman" w:cs="Times New Roman"/>
      <w:b/>
      <w:color w:val="000000"/>
      <w:sz w:val="20"/>
      <w:szCs w:val="20"/>
      <w:u w:val="none"/>
    </w:rPr>
  </w:style>
  <w:style w:type="character" w:customStyle="1" w:styleId="82">
    <w:name w:val="font312"/>
    <w:basedOn w:val="25"/>
    <w:qFormat/>
    <w:uiPriority w:val="0"/>
    <w:rPr>
      <w:rFonts w:hint="default" w:ascii="Times New Roman" w:hAnsi="Times New Roman" w:cs="Times New Roman"/>
      <w:color w:val="000000"/>
      <w:sz w:val="20"/>
      <w:szCs w:val="20"/>
      <w:u w:val="none"/>
    </w:rPr>
  </w:style>
  <w:style w:type="character" w:customStyle="1" w:styleId="83">
    <w:name w:val="font331"/>
    <w:basedOn w:val="25"/>
    <w:qFormat/>
    <w:uiPriority w:val="0"/>
    <w:rPr>
      <w:rFonts w:hint="eastAsia" w:ascii="宋体" w:hAnsi="宋体" w:eastAsia="宋体" w:cs="宋体"/>
      <w:b/>
      <w:color w:val="000000"/>
      <w:sz w:val="20"/>
      <w:szCs w:val="20"/>
      <w:u w:val="none"/>
    </w:rPr>
  </w:style>
  <w:style w:type="character" w:customStyle="1" w:styleId="84">
    <w:name w:val="font322"/>
    <w:basedOn w:val="25"/>
    <w:qFormat/>
    <w:uiPriority w:val="0"/>
    <w:rPr>
      <w:rFonts w:hint="eastAsia" w:ascii="宋体" w:hAnsi="宋体" w:eastAsia="宋体" w:cs="宋体"/>
      <w:b/>
      <w:color w:val="FF0000"/>
      <w:sz w:val="20"/>
      <w:szCs w:val="20"/>
      <w:u w:val="none"/>
    </w:rPr>
  </w:style>
  <w:style w:type="character" w:customStyle="1" w:styleId="85">
    <w:name w:val="indent"/>
    <w:basedOn w:val="25"/>
    <w:qFormat/>
    <w:uiPriority w:val="0"/>
  </w:style>
  <w:style w:type="paragraph" w:customStyle="1" w:styleId="86">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87">
    <w:name w:val="Table Paragraph"/>
    <w:basedOn w:val="1"/>
    <w:qFormat/>
    <w:uiPriority w:val="1"/>
  </w:style>
  <w:style w:type="paragraph" w:customStyle="1" w:styleId="88">
    <w:name w:val="列出段落1"/>
    <w:basedOn w:val="1"/>
    <w:qFormat/>
    <w:uiPriority w:val="99"/>
    <w:pPr>
      <w:ind w:firstLine="420" w:firstLineChars="200"/>
    </w:pPr>
  </w:style>
  <w:style w:type="paragraph" w:customStyle="1" w:styleId="8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szCs w:val="20"/>
    </w:rPr>
  </w:style>
  <w:style w:type="character" w:customStyle="1" w:styleId="90">
    <w:name w:val="font1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E7B56E-643F-4646-BB86-BF8099BCF134}">
  <ds:schemaRefs/>
</ds:datastoreItem>
</file>

<file path=docProps/app.xml><?xml version="1.0" encoding="utf-8"?>
<Properties xmlns="http://schemas.openxmlformats.org/officeDocument/2006/extended-properties" xmlns:vt="http://schemas.openxmlformats.org/officeDocument/2006/docPropsVTypes">
  <Template>Normal</Template>
  <Company>www.window7.com</Company>
  <Pages>84</Pages>
  <Words>36010</Words>
  <Characters>40971</Characters>
  <Lines>871</Lines>
  <Paragraphs>245</Paragraphs>
  <TotalTime>2</TotalTime>
  <ScaleCrop>false</ScaleCrop>
  <LinksUpToDate>false</LinksUpToDate>
  <CharactersWithSpaces>42364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2018-05-25T01:14:00Z</dcterms:created>
  <dc:creator>Administrator</dc:creator>
  <cp:lastModifiedBy>bling  bling</cp:lastModifiedBy>
  <cp:lastPrinted>2022-08-29T02:21:00Z</cp:lastPrinted>
  <dcterms:modified xsi:type="dcterms:W3CDTF">2023-07-18T09:10:22Z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7CD4CCA56DC149B6A741823A79D9213E</vt:lpwstr>
  </property>
</Properties>
</file>