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firstLine="723" w:firstLineChars="200"/>
        <w:rPr>
          <w:rFonts w:hint="eastAsia" w:ascii="仿宋" w:hAnsi="仿宋" w:eastAsia="仿宋" w:cs="仿宋"/>
          <w:b/>
          <w:color w:val="000000" w:themeColor="text1"/>
          <w:sz w:val="36"/>
          <w:szCs w:val="36"/>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lang w:eastAsia="zh-CN"/>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文件编号:</w:t>
      </w:r>
      <w:r>
        <w:rPr>
          <w:rFonts w:hint="eastAsia" w:ascii="仿宋" w:hAnsi="仿宋" w:eastAsia="仿宋" w:cs="仿宋"/>
          <w:b/>
          <w:color w:val="000000" w:themeColor="text1"/>
          <w:sz w:val="36"/>
          <w:szCs w:val="36"/>
          <w:highlight w:val="none"/>
          <w:lang w:eastAsia="zh-CN"/>
          <w14:textFill>
            <w14:solidFill>
              <w14:schemeClr w14:val="tx1"/>
            </w14:solidFill>
          </w14:textFill>
        </w:rPr>
        <w:t>HZGH-2023-060</w:t>
      </w:r>
    </w:p>
    <w:p>
      <w:pPr>
        <w:pStyle w:val="11"/>
        <w:rPr>
          <w:rFonts w:hint="eastAsia"/>
          <w:highlight w:val="none"/>
        </w:rPr>
      </w:pPr>
    </w:p>
    <w:p>
      <w:pPr>
        <w:jc w:val="both"/>
        <w:rPr>
          <w:rFonts w:hint="eastAsia" w:ascii="仿宋" w:hAnsi="仿宋" w:eastAsia="仿宋" w:cs="仿宋"/>
          <w:b/>
          <w:color w:val="000000" w:themeColor="text1"/>
          <w:sz w:val="48"/>
          <w:szCs w:val="48"/>
          <w:highlight w:val="none"/>
          <w:u w:val="wavyHeavy" w:color="FF0000"/>
          <w14:textFill>
            <w14:solidFill>
              <w14:schemeClr w14:val="tx1"/>
            </w14:solidFill>
          </w14:textFill>
        </w:rPr>
      </w:pPr>
    </w:p>
    <w:p>
      <w:pPr>
        <w:jc w:val="center"/>
        <w:rPr>
          <w:rFonts w:hint="eastAsia"/>
          <w:highlight w:val="none"/>
          <w:lang w:val="en-US" w:eastAsia="zh-CN"/>
        </w:rPr>
      </w:pPr>
      <w:r>
        <w:rPr>
          <w:rFonts w:hint="eastAsia" w:ascii="仿宋" w:hAnsi="仿宋" w:eastAsia="仿宋" w:cs="仿宋"/>
          <w:b/>
          <w:bCs/>
          <w:color w:val="000000" w:themeColor="text1"/>
          <w:spacing w:val="20"/>
          <w:kern w:val="0"/>
          <w:sz w:val="52"/>
          <w:szCs w:val="52"/>
          <w:highlight w:val="none"/>
          <w:lang w:val="en-US" w:eastAsia="zh-CN" w:bidi="ar-SA"/>
          <w14:textFill>
            <w14:solidFill>
              <w14:schemeClr w14:val="tx1"/>
            </w14:solidFill>
          </w14:textFill>
        </w:rPr>
        <w:t>农村生活饮用水检测项目</w:t>
      </w:r>
    </w:p>
    <w:p>
      <w:pPr>
        <w:rPr>
          <w:rFonts w:hint="eastAsia"/>
          <w:highlight w:val="none"/>
        </w:rPr>
      </w:pP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p>
    <w:p>
      <w:pPr>
        <w:jc w:val="center"/>
        <w:rPr>
          <w:rFonts w:hint="eastAsia" w:ascii="仿宋" w:hAnsi="仿宋" w:eastAsia="仿宋" w:cs="仿宋"/>
          <w:b/>
          <w:bCs/>
          <w:color w:val="000000" w:themeColor="text1"/>
          <w:spacing w:val="20"/>
          <w:kern w:val="0"/>
          <w:sz w:val="72"/>
          <w:szCs w:val="72"/>
          <w:highlight w:val="none"/>
          <w14:textFill>
            <w14:solidFill>
              <w14:schemeClr w14:val="tx1"/>
            </w14:solidFill>
          </w14:textFill>
        </w:rPr>
      </w:pPr>
      <w:r>
        <w:rPr>
          <w:rFonts w:hint="eastAsia" w:ascii="仿宋" w:hAnsi="仿宋" w:eastAsia="仿宋" w:cs="仿宋"/>
          <w:b/>
          <w:bCs/>
          <w:color w:val="000000" w:themeColor="text1"/>
          <w:spacing w:val="20"/>
          <w:kern w:val="0"/>
          <w:sz w:val="72"/>
          <w:szCs w:val="72"/>
          <w:highlight w:val="none"/>
          <w14:textFill>
            <w14:solidFill>
              <w14:schemeClr w14:val="tx1"/>
            </w14:solidFill>
          </w14:textFill>
        </w:rPr>
        <w:t>竞争性磋商文件</w:t>
      </w:r>
    </w:p>
    <w:p>
      <w:pPr>
        <w:pStyle w:val="11"/>
        <w:jc w:val="center"/>
        <w:rPr>
          <w:rFonts w:hint="eastAsia" w:ascii="仿宋" w:hAnsi="仿宋" w:eastAsia="仿宋" w:cs="仿宋"/>
          <w:b/>
          <w:bCs/>
          <w:color w:val="000000" w:themeColor="text1"/>
          <w:spacing w:val="20"/>
          <w:kern w:val="0"/>
          <w:sz w:val="40"/>
          <w:szCs w:val="40"/>
          <w:highlight w:val="none"/>
          <w:lang w:eastAsia="zh-CN"/>
          <w14:textFill>
            <w14:solidFill>
              <w14:schemeClr w14:val="tx1"/>
            </w14:solidFill>
          </w14:textFill>
        </w:rPr>
      </w:pPr>
      <w:r>
        <w:rPr>
          <w:rFonts w:hint="eastAsia" w:ascii="仿宋" w:hAnsi="仿宋" w:eastAsia="仿宋" w:cs="仿宋"/>
          <w:b/>
          <w:bCs/>
          <w:color w:val="000000" w:themeColor="text1"/>
          <w:spacing w:val="20"/>
          <w:kern w:val="0"/>
          <w:sz w:val="40"/>
          <w:szCs w:val="40"/>
          <w:highlight w:val="none"/>
          <w:lang w:val="en-US" w:eastAsia="zh-CN"/>
          <w14:textFill>
            <w14:solidFill>
              <w14:schemeClr w14:val="tx1"/>
            </w14:solidFill>
          </w14:textFill>
        </w:rPr>
        <w:t>专门面向中小企业项目</w:t>
      </w:r>
    </w:p>
    <w:p>
      <w:pPr>
        <w:rPr>
          <w:rFonts w:hint="eastAsia"/>
          <w:highlight w:val="none"/>
        </w:rPr>
      </w:pPr>
    </w:p>
    <w:p>
      <w:pPr>
        <w:ind w:firstLine="643" w:firstLineChars="200"/>
        <w:jc w:val="center"/>
        <w:outlineLvl w:val="0"/>
        <w:rPr>
          <w:rFonts w:hint="eastAsia" w:ascii="仿宋" w:hAnsi="仿宋" w:eastAsia="仿宋" w:cs="仿宋"/>
          <w:b/>
          <w:bCs/>
          <w:color w:val="000000" w:themeColor="text1"/>
          <w:kern w:val="0"/>
          <w:sz w:val="84"/>
          <w:szCs w:val="84"/>
          <w:highlight w:val="none"/>
          <w14:textFill>
            <w14:solidFill>
              <w14:schemeClr w14:val="tx1"/>
            </w14:solidFill>
          </w14:textFill>
        </w:rPr>
      </w:pPr>
      <w:r>
        <w:rPr>
          <w:rFonts w:hint="eastAsia" w:ascii="仿宋" w:hAnsi="仿宋" w:eastAsia="仿宋" w:cs="仿宋"/>
          <w:b/>
          <w:color w:val="auto"/>
          <w:sz w:val="32"/>
          <w:szCs w:val="32"/>
          <w:highlight w:val="none"/>
          <w:shd w:val="clear" w:color="auto" w:fill="FFFFFF"/>
          <w:lang w:eastAsia="zh-CN"/>
        </w:rPr>
        <w:drawing>
          <wp:anchor distT="0" distB="0" distL="114300" distR="114300" simplePos="0" relativeHeight="251667456" behindDoc="1" locked="0" layoutInCell="1" allowOverlap="1">
            <wp:simplePos x="0" y="0"/>
            <wp:positionH relativeFrom="column">
              <wp:posOffset>2153285</wp:posOffset>
            </wp:positionH>
            <wp:positionV relativeFrom="paragraph">
              <wp:posOffset>264795</wp:posOffset>
            </wp:positionV>
            <wp:extent cx="1466215" cy="1390650"/>
            <wp:effectExtent l="0" t="0" r="635" b="0"/>
            <wp:wrapTight wrapText="bothSides">
              <wp:wrapPolygon>
                <wp:start x="0" y="0"/>
                <wp:lineTo x="0" y="21304"/>
                <wp:lineTo x="21329" y="21304"/>
                <wp:lineTo x="21329" y="0"/>
                <wp:lineTo x="0" y="0"/>
              </wp:wrapPolygon>
            </wp:wrapTight>
            <wp:docPr id="3" name="图片 3" descr="d53eb5700307075d23daf00df32f9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53eb5700307075d23daf00df32f9f8"/>
                    <pic:cNvPicPr>
                      <a:picLocks noChangeAspect="1"/>
                    </pic:cNvPicPr>
                  </pic:nvPicPr>
                  <pic:blipFill>
                    <a:blip r:embed="rId24"/>
                    <a:stretch>
                      <a:fillRect/>
                    </a:stretch>
                  </pic:blipFill>
                  <pic:spPr>
                    <a:xfrm>
                      <a:off x="0" y="0"/>
                      <a:ext cx="1466215" cy="1390650"/>
                    </a:xfrm>
                    <a:prstGeom prst="rect">
                      <a:avLst/>
                    </a:prstGeom>
                  </pic:spPr>
                </pic:pic>
              </a:graphicData>
            </a:graphic>
          </wp:anchor>
        </w:drawing>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pStyle w:val="37"/>
        <w:rPr>
          <w:rFonts w:hint="eastAsia" w:ascii="仿宋" w:hAnsi="仿宋" w:eastAsia="仿宋" w:cs="仿宋"/>
          <w:b/>
          <w:color w:val="000000" w:themeColor="text1"/>
          <w:sz w:val="32"/>
          <w:szCs w:val="32"/>
          <w:highlight w:val="none"/>
          <w14:textFill>
            <w14:solidFill>
              <w14:schemeClr w14:val="tx1"/>
            </w14:solidFill>
          </w14:textFill>
        </w:rPr>
      </w:pPr>
    </w:p>
    <w:p>
      <w:pPr>
        <w:spacing w:line="560" w:lineRule="exact"/>
        <w:ind w:firstLine="1606" w:firstLineChars="500"/>
        <w:rPr>
          <w:rFonts w:hint="eastAsia" w:ascii="仿宋" w:hAnsi="仿宋" w:eastAsia="仿宋" w:cs="仿宋"/>
          <w:b/>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2"/>
          <w:szCs w:val="32"/>
          <w:highlight w:val="none"/>
          <w:lang w:val="en-US" w:eastAsia="zh-CN"/>
          <w14:textFill>
            <w14:solidFill>
              <w14:schemeClr w14:val="tx1"/>
            </w14:solidFill>
          </w14:textFill>
        </w:rPr>
        <w:t>采购</w:t>
      </w:r>
      <w:r>
        <w:rPr>
          <w:rFonts w:hint="eastAsia" w:ascii="仿宋" w:hAnsi="仿宋" w:eastAsia="仿宋" w:cs="仿宋"/>
          <w:b/>
          <w:color w:val="000000" w:themeColor="text1"/>
          <w:sz w:val="32"/>
          <w:szCs w:val="32"/>
          <w:highlight w:val="none"/>
          <w14:textFill>
            <w14:solidFill>
              <w14:schemeClr w14:val="tx1"/>
            </w14:solidFill>
          </w14:textFill>
        </w:rPr>
        <w:t>人：</w:t>
      </w:r>
      <w:r>
        <w:rPr>
          <w:rFonts w:hint="eastAsia" w:ascii="仿宋" w:hAnsi="仿宋" w:eastAsia="仿宋" w:cs="仿宋"/>
          <w:b/>
          <w:color w:val="000000" w:themeColor="text1"/>
          <w:sz w:val="32"/>
          <w:szCs w:val="32"/>
          <w:highlight w:val="none"/>
          <w:lang w:eastAsia="zh-CN"/>
          <w14:textFill>
            <w14:solidFill>
              <w14:schemeClr w14:val="tx1"/>
            </w14:solidFill>
          </w14:textFill>
        </w:rPr>
        <w:t>韩城市疾病预防控制中心</w:t>
      </w:r>
    </w:p>
    <w:p>
      <w:pPr>
        <w:spacing w:line="560" w:lineRule="exact"/>
        <w:ind w:firstLine="1606" w:firstLineChars="500"/>
        <w:jc w:val="both"/>
        <w:rPr>
          <w:rFonts w:hint="eastAsia" w:ascii="仿宋" w:hAnsi="仿宋" w:eastAsia="仿宋" w:cs="仿宋"/>
          <w:b/>
          <w:color w:val="000000" w:themeColor="text1"/>
          <w:sz w:val="32"/>
          <w:szCs w:val="32"/>
          <w:highlight w:val="none"/>
          <w:lang w:eastAsia="zh-CN"/>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采购代理机构：</w:t>
      </w:r>
      <w:r>
        <w:rPr>
          <w:rFonts w:hint="eastAsia" w:ascii="仿宋" w:hAnsi="仿宋" w:eastAsia="仿宋" w:cs="仿宋"/>
          <w:b/>
          <w:color w:val="000000" w:themeColor="text1"/>
          <w:sz w:val="32"/>
          <w:szCs w:val="32"/>
          <w:highlight w:val="none"/>
          <w:lang w:eastAsia="zh-CN"/>
          <w14:textFill>
            <w14:solidFill>
              <w14:schemeClr w14:val="tx1"/>
            </w14:solidFill>
          </w14:textFill>
        </w:rPr>
        <w:t>华招广和项目管理有限公司</w:t>
      </w:r>
    </w:p>
    <w:p>
      <w:pPr>
        <w:spacing w:line="560" w:lineRule="exact"/>
        <w:jc w:val="center"/>
        <w:rPr>
          <w:rFonts w:hint="eastAsia" w:ascii="仿宋" w:hAnsi="仿宋" w:eastAsia="仿宋" w:cs="仿宋"/>
          <w:b/>
          <w:bCs/>
          <w:color w:val="000000" w:themeColor="text1"/>
          <w:sz w:val="32"/>
          <w:szCs w:val="32"/>
          <w:highlight w:val="none"/>
          <w14:textFill>
            <w14:solidFill>
              <w14:schemeClr w14:val="tx1"/>
            </w14:solidFill>
          </w14:textFill>
        </w:rPr>
      </w:pPr>
    </w:p>
    <w:p>
      <w:pPr>
        <w:spacing w:line="560" w:lineRule="exact"/>
        <w:jc w:val="center"/>
        <w:rPr>
          <w:rFonts w:hint="eastAsia" w:ascii="仿宋" w:hAnsi="仿宋" w:eastAsia="仿宋" w:cs="仿宋"/>
          <w:b/>
          <w:color w:val="000000" w:themeColor="text1"/>
          <w:sz w:val="48"/>
          <w:szCs w:val="48"/>
          <w:highlight w:val="none"/>
          <w:lang w:val="en-US" w:eastAsia="zh-CN"/>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r>
        <w:rPr>
          <w:rFonts w:hint="eastAsia" w:ascii="仿宋" w:hAnsi="仿宋" w:eastAsia="仿宋" w:cs="仿宋"/>
          <w:b/>
          <w:bCs/>
          <w:color w:val="000000" w:themeColor="text1"/>
          <w:sz w:val="32"/>
          <w:szCs w:val="32"/>
          <w:highlight w:val="none"/>
          <w14:textFill>
            <w14:solidFill>
              <w14:schemeClr w14:val="tx1"/>
            </w14:solidFill>
          </w14:textFill>
        </w:rPr>
        <w:t>二零二</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三</w:t>
      </w:r>
      <w:r>
        <w:rPr>
          <w:rFonts w:hint="eastAsia" w:ascii="仿宋" w:hAnsi="仿宋" w:eastAsia="仿宋" w:cs="仿宋"/>
          <w:b/>
          <w:bCs/>
          <w:color w:val="000000" w:themeColor="text1"/>
          <w:sz w:val="32"/>
          <w:szCs w:val="32"/>
          <w:highlight w:val="none"/>
          <w14:textFill>
            <w14:solidFill>
              <w14:schemeClr w14:val="tx1"/>
            </w14:solidFill>
          </w14:textFill>
        </w:rPr>
        <w:t>年</w:t>
      </w: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十二月</w:t>
      </w:r>
    </w:p>
    <w:p>
      <w:pPr>
        <w:spacing w:line="560" w:lineRule="exact"/>
        <w:jc w:val="center"/>
        <w:rPr>
          <w:rFonts w:hint="eastAsia" w:ascii="仿宋" w:hAnsi="仿宋" w:eastAsia="仿宋" w:cs="仿宋"/>
          <w:b/>
          <w:color w:val="000000"/>
          <w:sz w:val="52"/>
          <w:szCs w:val="52"/>
          <w:highlight w:val="none"/>
          <w:u w:val="double"/>
        </w:rPr>
      </w:pPr>
      <w:r>
        <w:rPr>
          <w:rFonts w:hint="eastAsia" w:ascii="仿宋" w:hAnsi="仿宋" w:eastAsia="仿宋" w:cs="仿宋"/>
          <w:b/>
          <w:color w:val="000000"/>
          <w:sz w:val="48"/>
          <w:szCs w:val="48"/>
          <w:highlight w:val="none"/>
          <w:u w:val="double"/>
        </w:rPr>
        <w:t>特 别 提 示</w:t>
      </w:r>
    </w:p>
    <w:p>
      <w:pPr>
        <w:spacing w:line="640" w:lineRule="exact"/>
        <w:rPr>
          <w:rFonts w:hint="eastAsia" w:ascii="仿宋" w:hAnsi="仿宋" w:eastAsia="仿宋" w:cs="仿宋"/>
          <w:b/>
          <w:bCs/>
          <w:color w:val="000000"/>
          <w:sz w:val="24"/>
          <w:highlight w:val="none"/>
        </w:rPr>
      </w:pPr>
    </w:p>
    <w:p>
      <w:pPr>
        <w:spacing w:line="640" w:lineRule="exact"/>
        <w:ind w:firstLine="482" w:firstLineChars="200"/>
        <w:rPr>
          <w:rFonts w:hint="eastAsia" w:ascii="仿宋" w:hAnsi="仿宋" w:eastAsia="仿宋" w:cs="仿宋"/>
          <w:color w:val="000000"/>
          <w:sz w:val="24"/>
          <w:highlight w:val="none"/>
        </w:rPr>
      </w:pPr>
      <w:r>
        <w:rPr>
          <w:rFonts w:hint="eastAsia" w:ascii="仿宋" w:hAnsi="仿宋" w:eastAsia="仿宋" w:cs="仿宋"/>
          <w:b/>
          <w:bCs/>
          <w:color w:val="000000"/>
          <w:sz w:val="24"/>
          <w:highlight w:val="none"/>
        </w:rPr>
        <w:t>各供应商</w:t>
      </w:r>
      <w:r>
        <w:rPr>
          <w:rFonts w:hint="eastAsia" w:ascii="仿宋" w:hAnsi="仿宋" w:eastAsia="仿宋" w:cs="仿宋"/>
          <w:color w:val="000000"/>
          <w:sz w:val="24"/>
          <w:highlight w:val="none"/>
        </w:rPr>
        <w:t>：在此我们特别善意地提醒您注意！</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1、请您仔细地阅读竞争性磋商文件并正确理解竞争性磋商文件中各项具体要求。</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2、请您严格按照竞争性磋商文件载明的竞争性磋商响应文件格式要求编制竞争性磋商响应文件。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3、请您按照竞争性磋商文件要求密封竞争性磋商响应文件。</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rPr>
        <w:t>4、请您明确标记竞争性磋商响应文件的正本、副本。</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5</w:t>
      </w:r>
      <w:r>
        <w:rPr>
          <w:rFonts w:hint="eastAsia" w:ascii="仿宋" w:hAnsi="仿宋" w:eastAsia="仿宋" w:cs="仿宋"/>
          <w:b/>
          <w:bCs/>
          <w:color w:val="000000"/>
          <w:sz w:val="24"/>
          <w:highlight w:val="none"/>
        </w:rPr>
        <w:t>、如在竞争性磋商响应文件递交截止时间前放弃本次投标，请以书面形式发出弃标函。</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6</w:t>
      </w:r>
      <w:r>
        <w:rPr>
          <w:rFonts w:hint="eastAsia" w:ascii="仿宋" w:hAnsi="仿宋" w:eastAsia="仿宋" w:cs="仿宋"/>
          <w:color w:val="000000"/>
          <w:sz w:val="24"/>
          <w:highlight w:val="none"/>
        </w:rPr>
        <w:t>、</w:t>
      </w:r>
      <w:r>
        <w:rPr>
          <w:rFonts w:hint="eastAsia" w:ascii="仿宋" w:hAnsi="仿宋" w:eastAsia="仿宋" w:cs="仿宋"/>
          <w:color w:val="auto"/>
          <w:sz w:val="24"/>
          <w:highlight w:val="none"/>
        </w:rPr>
        <w:t>请您于</w:t>
      </w:r>
      <w:r>
        <w:rPr>
          <w:rFonts w:hint="eastAsia" w:ascii="仿宋" w:hAnsi="仿宋" w:eastAsia="仿宋" w:cs="仿宋"/>
          <w:b/>
          <w:bCs/>
          <w:color w:val="auto"/>
          <w:sz w:val="24"/>
          <w:highlight w:val="none"/>
          <w:lang w:eastAsia="zh-CN"/>
        </w:rPr>
        <w:t>202</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lang w:eastAsia="zh-CN"/>
        </w:rPr>
        <w:t>年</w:t>
      </w:r>
      <w:r>
        <w:rPr>
          <w:rFonts w:hint="eastAsia" w:ascii="仿宋" w:hAnsi="仿宋" w:eastAsia="仿宋" w:cs="仿宋"/>
          <w:b/>
          <w:bCs/>
          <w:color w:val="auto"/>
          <w:sz w:val="24"/>
          <w:highlight w:val="none"/>
          <w:lang w:val="en-US" w:eastAsia="zh-CN"/>
        </w:rPr>
        <w:t>12</w:t>
      </w:r>
      <w:r>
        <w:rPr>
          <w:rFonts w:hint="eastAsia" w:ascii="仿宋" w:hAnsi="仿宋" w:eastAsia="仿宋" w:cs="仿宋"/>
          <w:b/>
          <w:bCs/>
          <w:color w:val="auto"/>
          <w:sz w:val="24"/>
          <w:highlight w:val="none"/>
          <w:lang w:eastAsia="zh-CN"/>
        </w:rPr>
        <w:t>月</w:t>
      </w:r>
      <w:r>
        <w:rPr>
          <w:rFonts w:hint="eastAsia" w:ascii="仿宋" w:hAnsi="仿宋" w:eastAsia="仿宋" w:cs="仿宋"/>
          <w:b/>
          <w:bCs/>
          <w:color w:val="auto"/>
          <w:sz w:val="24"/>
          <w:highlight w:val="none"/>
          <w:lang w:val="en-US" w:eastAsia="zh-CN"/>
        </w:rPr>
        <w:t>26</w:t>
      </w:r>
      <w:r>
        <w:rPr>
          <w:rFonts w:hint="eastAsia" w:ascii="仿宋" w:hAnsi="仿宋" w:eastAsia="仿宋" w:cs="仿宋"/>
          <w:b/>
          <w:bCs/>
          <w:color w:val="auto"/>
          <w:sz w:val="24"/>
          <w:highlight w:val="none"/>
          <w:lang w:eastAsia="zh-CN"/>
        </w:rPr>
        <w:t>日</w:t>
      </w:r>
      <w:r>
        <w:rPr>
          <w:rFonts w:hint="eastAsia" w:ascii="仿宋" w:hAnsi="仿宋" w:eastAsia="仿宋" w:cs="仿宋"/>
          <w:b/>
          <w:bCs/>
          <w:color w:val="auto"/>
          <w:sz w:val="24"/>
          <w:highlight w:val="none"/>
          <w:lang w:val="en-US" w:eastAsia="zh-CN"/>
        </w:rPr>
        <w:t>14</w:t>
      </w:r>
      <w:r>
        <w:rPr>
          <w:rFonts w:hint="eastAsia" w:ascii="仿宋" w:hAnsi="仿宋" w:eastAsia="仿宋" w:cs="仿宋"/>
          <w:b/>
          <w:bCs/>
          <w:color w:val="auto"/>
          <w:sz w:val="24"/>
          <w:highlight w:val="none"/>
        </w:rPr>
        <w:t>:</w:t>
      </w:r>
      <w:r>
        <w:rPr>
          <w:rFonts w:hint="eastAsia" w:ascii="仿宋" w:hAnsi="仿宋" w:eastAsia="仿宋" w:cs="仿宋"/>
          <w:b/>
          <w:bCs/>
          <w:color w:val="auto"/>
          <w:sz w:val="24"/>
          <w:highlight w:val="none"/>
          <w:lang w:val="en-US" w:eastAsia="zh-CN"/>
        </w:rPr>
        <w:t>3</w:t>
      </w:r>
      <w:r>
        <w:rPr>
          <w:rFonts w:hint="eastAsia" w:ascii="仿宋" w:hAnsi="仿宋" w:eastAsia="仿宋" w:cs="仿宋"/>
          <w:b/>
          <w:bCs/>
          <w:color w:val="auto"/>
          <w:sz w:val="24"/>
          <w:highlight w:val="none"/>
        </w:rPr>
        <w:t>0:00</w:t>
      </w:r>
      <w:r>
        <w:rPr>
          <w:rFonts w:hint="eastAsia" w:ascii="仿宋" w:hAnsi="仿宋" w:eastAsia="仿宋" w:cs="仿宋"/>
          <w:color w:val="auto"/>
          <w:sz w:val="24"/>
          <w:highlight w:val="none"/>
        </w:rPr>
        <w:t>，</w:t>
      </w:r>
      <w:r>
        <w:rPr>
          <w:rFonts w:hint="eastAsia" w:ascii="仿宋" w:hAnsi="仿宋" w:eastAsia="仿宋" w:cs="仿宋"/>
          <w:color w:val="000000"/>
          <w:sz w:val="24"/>
          <w:highlight w:val="none"/>
        </w:rPr>
        <w:t>准时到西安市朱雀大街南段1号汇成天玺C座18层</w:t>
      </w:r>
      <w:r>
        <w:rPr>
          <w:rFonts w:hint="eastAsia" w:ascii="仿宋" w:hAnsi="仿宋" w:eastAsia="仿宋" w:cs="仿宋"/>
          <w:color w:val="000000"/>
          <w:sz w:val="24"/>
          <w:highlight w:val="none"/>
          <w:lang w:eastAsia="zh-CN"/>
        </w:rPr>
        <w:t>1818</w:t>
      </w:r>
      <w:r>
        <w:rPr>
          <w:rFonts w:hint="eastAsia" w:ascii="仿宋" w:hAnsi="仿宋" w:eastAsia="仿宋" w:cs="仿宋"/>
          <w:color w:val="000000"/>
          <w:sz w:val="24"/>
          <w:highlight w:val="none"/>
        </w:rPr>
        <w:t>室递交竞争性磋商响应文件并参加竞争性磋商会议，避免迟误。</w:t>
      </w:r>
    </w:p>
    <w:p>
      <w:pPr>
        <w:spacing w:line="640" w:lineRule="exact"/>
        <w:ind w:firstLine="480" w:firstLineChars="200"/>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7</w:t>
      </w:r>
      <w:r>
        <w:rPr>
          <w:rFonts w:hint="eastAsia" w:ascii="仿宋" w:hAnsi="仿宋" w:eastAsia="仿宋" w:cs="仿宋"/>
          <w:color w:val="000000"/>
          <w:sz w:val="24"/>
          <w:highlight w:val="none"/>
        </w:rPr>
        <w:t>、请您到达竞争性磋商会议地点后及时到签到处签字登记。</w:t>
      </w:r>
    </w:p>
    <w:p>
      <w:pPr>
        <w:spacing w:line="640" w:lineRule="exact"/>
        <w:ind w:firstLine="482" w:firstLineChars="200"/>
        <w:rPr>
          <w:rFonts w:hint="eastAsia" w:ascii="仿宋" w:hAnsi="仿宋" w:eastAsia="仿宋" w:cs="仿宋"/>
          <w:b/>
          <w:bCs/>
          <w:color w:val="000000"/>
          <w:sz w:val="24"/>
          <w:highlight w:val="none"/>
        </w:rPr>
      </w:pPr>
      <w:r>
        <w:rPr>
          <w:rFonts w:hint="eastAsia" w:ascii="仿宋" w:hAnsi="仿宋" w:eastAsia="仿宋" w:cs="仿宋"/>
          <w:b/>
          <w:bCs/>
          <w:color w:val="000000"/>
          <w:sz w:val="24"/>
          <w:highlight w:val="none"/>
          <w:lang w:val="en-US" w:eastAsia="zh-CN"/>
        </w:rPr>
        <w:t>8</w:t>
      </w:r>
      <w:r>
        <w:rPr>
          <w:rFonts w:hint="eastAsia" w:ascii="仿宋" w:hAnsi="仿宋" w:eastAsia="仿宋" w:cs="仿宋"/>
          <w:b/>
          <w:bCs/>
          <w:color w:val="000000"/>
          <w:sz w:val="24"/>
          <w:highlight w:val="none"/>
        </w:rPr>
        <w:t>、请您按照《陕西省财政厅关于政府采购供应商注册登记有关事项的通知》中的要求，通过陕西省政府采购网（http://www.ccgp-shaanxi.gov.cn/）注册登记加入陕西省政府采购供应商库，并接受财政部门的监督管理。</w:t>
      </w:r>
    </w:p>
    <w:p>
      <w:pPr>
        <w:spacing w:line="640" w:lineRule="exact"/>
        <w:ind w:firstLine="480" w:firstLineChars="200"/>
        <w:rPr>
          <w:rFonts w:hint="eastAsia" w:ascii="仿宋" w:hAnsi="仿宋" w:eastAsia="仿宋" w:cs="仿宋"/>
          <w:b w:val="0"/>
          <w:bCs w:val="0"/>
          <w:color w:val="000000"/>
          <w:sz w:val="24"/>
          <w:highlight w:val="none"/>
        </w:rPr>
      </w:pPr>
      <w:r>
        <w:rPr>
          <w:rFonts w:hint="eastAsia" w:ascii="仿宋" w:hAnsi="仿宋" w:eastAsia="仿宋" w:cs="仿宋"/>
          <w:b w:val="0"/>
          <w:bCs w:val="0"/>
          <w:color w:val="000000"/>
          <w:sz w:val="24"/>
          <w:highlight w:val="none"/>
        </w:rPr>
        <w:t>谨记上述提示，将有助您顺利地参加投标。若有什么需要帮助，请您与我们的工作人员联系，我们将竭诚为您服务。</w:t>
      </w:r>
    </w:p>
    <w:p>
      <w:pPr>
        <w:spacing w:line="640" w:lineRule="exact"/>
        <w:rPr>
          <w:rFonts w:hint="eastAsia" w:ascii="仿宋" w:hAnsi="仿宋" w:eastAsia="仿宋" w:cs="仿宋"/>
          <w:b/>
          <w:color w:val="000000" w:themeColor="text1"/>
          <w:sz w:val="52"/>
          <w:szCs w:val="52"/>
          <w:highlight w:val="none"/>
          <w14:textFill>
            <w14:solidFill>
              <w14:schemeClr w14:val="tx1"/>
            </w14:solidFill>
          </w14:textFill>
        </w:rPr>
        <w:sectPr>
          <w:footerReference r:id="rId9" w:type="first"/>
          <w:footerReference r:id="rId8" w:type="default"/>
          <w:pgSz w:w="11906" w:h="16838"/>
          <w:pgMar w:top="851" w:right="1286" w:bottom="794" w:left="693" w:header="851" w:footer="992" w:gutter="567"/>
          <w:pgBorders>
            <w:top w:val="none" w:sz="0" w:space="0"/>
            <w:left w:val="none" w:sz="0" w:space="0"/>
            <w:bottom w:val="none" w:sz="0" w:space="0"/>
            <w:right w:val="none" w:sz="0" w:space="0"/>
          </w:pgBorders>
          <w:pgNumType w:start="1"/>
          <w:cols w:space="720" w:num="1"/>
          <w:titlePg/>
          <w:docGrid w:type="lines" w:linePitch="312" w:charSpace="0"/>
        </w:sectPr>
      </w:pPr>
    </w:p>
    <w:p>
      <w:pPr>
        <w:spacing w:line="480" w:lineRule="exact"/>
        <w:jc w:val="center"/>
        <w:rPr>
          <w:rFonts w:hint="eastAsia" w:ascii="仿宋" w:hAnsi="仿宋" w:eastAsia="仿宋" w:cs="仿宋"/>
          <w:color w:val="000000" w:themeColor="text1"/>
          <w:sz w:val="48"/>
          <w:szCs w:val="48"/>
          <w:highlight w:val="none"/>
          <w:lang w:val="zh-CN"/>
          <w14:textFill>
            <w14:solidFill>
              <w14:schemeClr w14:val="tx1"/>
            </w14:solidFill>
          </w14:textFill>
        </w:rPr>
      </w:pPr>
      <w:r>
        <w:rPr>
          <w:rFonts w:hint="eastAsia" w:ascii="仿宋" w:hAnsi="仿宋" w:eastAsia="仿宋" w:cs="仿宋"/>
          <w:color w:val="000000" w:themeColor="text1"/>
          <w:sz w:val="48"/>
          <w:szCs w:val="48"/>
          <w:highlight w:val="none"/>
          <w:lang w:val="zh-CN"/>
          <w14:textFill>
            <w14:solidFill>
              <w14:schemeClr w14:val="tx1"/>
            </w14:solidFill>
          </w14:textFill>
        </w:rPr>
        <w:t>目  录</w:t>
      </w:r>
    </w:p>
    <w:p>
      <w:pPr>
        <w:rPr>
          <w:rFonts w:hint="eastAsia" w:ascii="仿宋" w:hAnsi="仿宋" w:eastAsia="仿宋" w:cs="仿宋"/>
          <w:color w:val="000000" w:themeColor="text1"/>
          <w:highlight w:val="none"/>
          <w:lang w:val="zh-CN"/>
          <w14:textFill>
            <w14:solidFill>
              <w14:schemeClr w14:val="tx1"/>
            </w14:solidFill>
          </w14:textFill>
        </w:rPr>
      </w:pP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8"/>
          <w:szCs w:val="28"/>
          <w:highlight w:val="none"/>
          <w14:textFill>
            <w14:solidFill>
              <w14:schemeClr w14:val="tx1"/>
            </w14:solidFill>
          </w14:textFill>
        </w:rPr>
        <w:fldChar w:fldCharType="begin"/>
      </w:r>
      <w:r>
        <w:rPr>
          <w:rFonts w:hint="eastAsia" w:ascii="仿宋" w:hAnsi="仿宋" w:eastAsia="仿宋" w:cs="仿宋"/>
          <w:color w:val="000000" w:themeColor="text1"/>
          <w:sz w:val="28"/>
          <w:szCs w:val="28"/>
          <w:highlight w:val="none"/>
          <w14:textFill>
            <w14:solidFill>
              <w14:schemeClr w14:val="tx1"/>
            </w14:solidFill>
          </w14:textFill>
        </w:rPr>
        <w:instrText xml:space="preserve"> TOC \o "1-3" \h \z \u </w:instrText>
      </w:r>
      <w:r>
        <w:rPr>
          <w:rFonts w:hint="eastAsia" w:ascii="仿宋" w:hAnsi="仿宋" w:eastAsia="仿宋" w:cs="仿宋"/>
          <w:color w:val="000000" w:themeColor="text1"/>
          <w:sz w:val="28"/>
          <w:szCs w:val="28"/>
          <w:highlight w:val="none"/>
          <w14:textFill>
            <w14:solidFill>
              <w14:schemeClr w14:val="tx1"/>
            </w14:solidFill>
          </w14:textFill>
        </w:rPr>
        <w:fldChar w:fldCharType="separate"/>
      </w: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_Toc20848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52"/>
          <w:highlight w:val="none"/>
        </w:rPr>
        <w:t>第一章 竞争性磋商邀请书</w:t>
      </w:r>
      <w:r>
        <w:rPr>
          <w:sz w:val="22"/>
          <w:szCs w:val="28"/>
          <w:highlight w:val="none"/>
        </w:rPr>
        <w:tab/>
      </w:r>
      <w:r>
        <w:rPr>
          <w:sz w:val="22"/>
          <w:szCs w:val="28"/>
          <w:highlight w:val="none"/>
        </w:rPr>
        <w:fldChar w:fldCharType="begin"/>
      </w:r>
      <w:r>
        <w:rPr>
          <w:sz w:val="22"/>
          <w:szCs w:val="28"/>
          <w:highlight w:val="none"/>
        </w:rPr>
        <w:instrText xml:space="preserve"> PAGEREF _Toc20848 \h </w:instrText>
      </w:r>
      <w:r>
        <w:rPr>
          <w:sz w:val="22"/>
          <w:szCs w:val="28"/>
          <w:highlight w:val="none"/>
        </w:rPr>
        <w:fldChar w:fldCharType="separate"/>
      </w:r>
      <w:r>
        <w:rPr>
          <w:sz w:val="22"/>
          <w:szCs w:val="28"/>
          <w:highlight w:val="none"/>
        </w:rPr>
        <w:t>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第二章 供应商须知</w:t>
      </w:r>
      <w:r>
        <w:rPr>
          <w:sz w:val="22"/>
          <w:szCs w:val="28"/>
          <w:highlight w:val="none"/>
        </w:rPr>
        <w:tab/>
      </w:r>
      <w:r>
        <w:rPr>
          <w:sz w:val="22"/>
          <w:szCs w:val="28"/>
          <w:highlight w:val="none"/>
        </w:rPr>
        <w:fldChar w:fldCharType="begin"/>
      </w:r>
      <w:r>
        <w:rPr>
          <w:sz w:val="22"/>
          <w:szCs w:val="28"/>
          <w:highlight w:val="none"/>
        </w:rPr>
        <w:instrText xml:space="preserve"> PAGEREF _Toc19749 \h </w:instrText>
      </w:r>
      <w:r>
        <w:rPr>
          <w:sz w:val="22"/>
          <w:szCs w:val="28"/>
          <w:highlight w:val="none"/>
        </w:rPr>
        <w:fldChar w:fldCharType="separate"/>
      </w:r>
      <w:r>
        <w:rPr>
          <w:sz w:val="22"/>
          <w:szCs w:val="28"/>
          <w:highlight w:val="none"/>
        </w:rPr>
        <w:t>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_Toc1739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一、供应商须知前附表</w:t>
      </w:r>
      <w:r>
        <w:rPr>
          <w:sz w:val="22"/>
          <w:szCs w:val="28"/>
          <w:highlight w:val="none"/>
        </w:rPr>
        <w:tab/>
      </w:r>
      <w:r>
        <w:rPr>
          <w:sz w:val="22"/>
          <w:szCs w:val="28"/>
          <w:highlight w:val="none"/>
        </w:rPr>
        <w:fldChar w:fldCharType="begin"/>
      </w:r>
      <w:r>
        <w:rPr>
          <w:sz w:val="22"/>
          <w:szCs w:val="28"/>
          <w:highlight w:val="none"/>
        </w:rPr>
        <w:instrText xml:space="preserve"> PAGEREF _Toc1739 \h </w:instrText>
      </w:r>
      <w:r>
        <w:rPr>
          <w:sz w:val="22"/>
          <w:szCs w:val="28"/>
          <w:highlight w:val="none"/>
        </w:rPr>
        <w:fldChar w:fldCharType="separate"/>
      </w:r>
      <w:r>
        <w:rPr>
          <w:sz w:val="22"/>
          <w:szCs w:val="28"/>
          <w:highlight w:val="none"/>
        </w:rPr>
        <w:t>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_Toc12152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二、项目说明</w:t>
      </w:r>
      <w:r>
        <w:rPr>
          <w:sz w:val="22"/>
          <w:szCs w:val="28"/>
          <w:highlight w:val="none"/>
        </w:rPr>
        <w:tab/>
      </w:r>
      <w:r>
        <w:rPr>
          <w:sz w:val="22"/>
          <w:szCs w:val="28"/>
          <w:highlight w:val="none"/>
        </w:rPr>
        <w:fldChar w:fldCharType="begin"/>
      </w:r>
      <w:r>
        <w:rPr>
          <w:sz w:val="22"/>
          <w:szCs w:val="28"/>
          <w:highlight w:val="none"/>
        </w:rPr>
        <w:instrText xml:space="preserve"> PAGEREF _Toc12152 \h </w:instrText>
      </w:r>
      <w:r>
        <w:rPr>
          <w:sz w:val="22"/>
          <w:szCs w:val="28"/>
          <w:highlight w:val="none"/>
        </w:rPr>
        <w:fldChar w:fldCharType="separate"/>
      </w:r>
      <w:r>
        <w:rPr>
          <w:sz w:val="22"/>
          <w:szCs w:val="28"/>
          <w:highlight w:val="none"/>
        </w:rPr>
        <w:t>12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_Toc24776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三、竞争性磋商文件</w:t>
      </w:r>
      <w:r>
        <w:rPr>
          <w:sz w:val="22"/>
          <w:szCs w:val="28"/>
          <w:highlight w:val="none"/>
        </w:rPr>
        <w:tab/>
      </w:r>
      <w:r>
        <w:rPr>
          <w:sz w:val="22"/>
          <w:szCs w:val="28"/>
          <w:highlight w:val="none"/>
        </w:rPr>
        <w:fldChar w:fldCharType="begin"/>
      </w:r>
      <w:r>
        <w:rPr>
          <w:sz w:val="22"/>
          <w:szCs w:val="28"/>
          <w:highlight w:val="none"/>
        </w:rPr>
        <w:instrText xml:space="preserve"> PAGEREF _Toc24776 \h </w:instrText>
      </w:r>
      <w:r>
        <w:rPr>
          <w:sz w:val="22"/>
          <w:szCs w:val="28"/>
          <w:highlight w:val="none"/>
        </w:rPr>
        <w:fldChar w:fldCharType="separate"/>
      </w:r>
      <w:r>
        <w:rPr>
          <w:sz w:val="22"/>
          <w:szCs w:val="28"/>
          <w:highlight w:val="none"/>
        </w:rPr>
        <w:t>12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_Toc1600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rPr>
        <w:t>四、竞争性磋商响应文件</w:t>
      </w:r>
      <w:r>
        <w:rPr>
          <w:sz w:val="22"/>
          <w:szCs w:val="28"/>
          <w:highlight w:val="none"/>
        </w:rPr>
        <w:tab/>
      </w:r>
      <w:r>
        <w:rPr>
          <w:sz w:val="22"/>
          <w:szCs w:val="28"/>
          <w:highlight w:val="none"/>
        </w:rPr>
        <w:fldChar w:fldCharType="begin"/>
      </w:r>
      <w:r>
        <w:rPr>
          <w:sz w:val="22"/>
          <w:szCs w:val="28"/>
          <w:highlight w:val="none"/>
        </w:rPr>
        <w:instrText xml:space="preserve"> PAGEREF _Toc1600 \h </w:instrText>
      </w:r>
      <w:r>
        <w:rPr>
          <w:sz w:val="22"/>
          <w:szCs w:val="28"/>
          <w:highlight w:val="none"/>
        </w:rPr>
        <w:fldChar w:fldCharType="separate"/>
      </w:r>
      <w:r>
        <w:rPr>
          <w:sz w:val="22"/>
          <w:szCs w:val="28"/>
          <w:highlight w:val="none"/>
        </w:rPr>
        <w:t>13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rFonts w:hint="eastAsia" w:ascii="仿宋" w:hAnsi="仿宋" w:eastAsia="仿宋" w:cs="仿宋"/>
          <w:color w:val="000000" w:themeColor="text1"/>
          <w:sz w:val="22"/>
          <w:szCs w:val="28"/>
          <w:highlight w:val="none"/>
          <w14:textFill>
            <w14:solidFill>
              <w14:schemeClr w14:val="tx1"/>
            </w14:solidFill>
          </w14:textFill>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color w:val="000000" w:themeColor="text1"/>
          <w:sz w:val="22"/>
          <w:szCs w:val="28"/>
          <w:highlight w:val="none"/>
          <w14:textFill>
            <w14:solidFill>
              <w14:schemeClr w14:val="tx1"/>
            </w14:solidFill>
          </w14:textFill>
        </w:rPr>
        <w:instrText xml:space="preserve"> HYPERLINK \l _Toc27461 </w:instrText>
      </w:r>
      <w:r>
        <w:rPr>
          <w:rFonts w:hint="eastAsia" w:ascii="仿宋" w:hAnsi="仿宋" w:eastAsia="仿宋" w:cs="仿宋"/>
          <w:color w:val="000000" w:themeColor="text1"/>
          <w:sz w:val="22"/>
          <w:szCs w:val="28"/>
          <w:highlight w:val="none"/>
          <w14:textFill>
            <w14:solidFill>
              <w14:schemeClr w14:val="tx1"/>
            </w14:solidFill>
          </w14:textFill>
        </w:rPr>
        <w:fldChar w:fldCharType="separate"/>
      </w:r>
      <w:r>
        <w:rPr>
          <w:rFonts w:hint="eastAsia" w:ascii="仿宋" w:hAnsi="仿宋" w:eastAsia="仿宋" w:cs="仿宋"/>
          <w:color w:val="000000" w:themeColor="text1"/>
          <w:sz w:val="22"/>
          <w:szCs w:val="28"/>
          <w:highlight w:val="none"/>
          <w14:textFill>
            <w14:solidFill>
              <w14:schemeClr w14:val="tx1"/>
            </w14:solidFill>
          </w14:textFill>
        </w:rPr>
        <w:t>五、磋商担保</w:t>
      </w:r>
      <w:r>
        <w:rPr>
          <w:sz w:val="22"/>
          <w:szCs w:val="28"/>
          <w:highlight w:val="none"/>
        </w:rPr>
        <w:tab/>
      </w:r>
      <w:r>
        <w:rPr>
          <w:sz w:val="22"/>
          <w:szCs w:val="28"/>
          <w:highlight w:val="none"/>
        </w:rPr>
        <w:fldChar w:fldCharType="begin"/>
      </w:r>
      <w:r>
        <w:rPr>
          <w:sz w:val="22"/>
          <w:szCs w:val="28"/>
          <w:highlight w:val="none"/>
        </w:rPr>
        <w:instrText xml:space="preserve"> PAGEREF _Toc5793 \h </w:instrText>
      </w:r>
      <w:r>
        <w:rPr>
          <w:sz w:val="22"/>
          <w:szCs w:val="28"/>
          <w:highlight w:val="none"/>
        </w:rPr>
        <w:fldChar w:fldCharType="separate"/>
      </w:r>
      <w:r>
        <w:rPr>
          <w:sz w:val="22"/>
          <w:szCs w:val="28"/>
          <w:highlight w:val="none"/>
        </w:rPr>
        <w:t>18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_Toc5793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32"/>
          <w:highlight w:val="none"/>
          <w:lang w:val="en-US" w:eastAsia="zh-CN"/>
        </w:rPr>
        <w:t>六</w:t>
      </w:r>
      <w:r>
        <w:rPr>
          <w:rFonts w:hint="eastAsia" w:ascii="仿宋" w:hAnsi="仿宋" w:eastAsia="仿宋" w:cs="仿宋"/>
          <w:kern w:val="0"/>
          <w:sz w:val="22"/>
          <w:szCs w:val="32"/>
          <w:highlight w:val="none"/>
        </w:rPr>
        <w:t>、磋商响应</w:t>
      </w:r>
      <w:r>
        <w:rPr>
          <w:sz w:val="22"/>
          <w:szCs w:val="28"/>
          <w:highlight w:val="none"/>
        </w:rPr>
        <w:tab/>
      </w:r>
      <w:r>
        <w:rPr>
          <w:sz w:val="22"/>
          <w:szCs w:val="28"/>
          <w:highlight w:val="none"/>
        </w:rPr>
        <w:fldChar w:fldCharType="begin"/>
      </w:r>
      <w:r>
        <w:rPr>
          <w:sz w:val="22"/>
          <w:szCs w:val="28"/>
          <w:highlight w:val="none"/>
        </w:rPr>
        <w:instrText xml:space="preserve"> PAGEREF _Toc5793 \h </w:instrText>
      </w:r>
      <w:r>
        <w:rPr>
          <w:sz w:val="22"/>
          <w:szCs w:val="28"/>
          <w:highlight w:val="none"/>
        </w:rPr>
        <w:fldChar w:fldCharType="separate"/>
      </w:r>
      <w:r>
        <w:rPr>
          <w:sz w:val="22"/>
          <w:szCs w:val="28"/>
          <w:highlight w:val="none"/>
        </w:rPr>
        <w:t>18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_Toc23636 </w:instrText>
      </w:r>
      <w:r>
        <w:rPr>
          <w:rFonts w:hint="eastAsia" w:ascii="仿宋" w:hAnsi="仿宋" w:eastAsia="仿宋" w:cs="仿宋"/>
          <w:sz w:val="22"/>
          <w:szCs w:val="28"/>
          <w:highlight w:val="none"/>
        </w:rPr>
        <w:fldChar w:fldCharType="separate"/>
      </w:r>
      <w:r>
        <w:rPr>
          <w:rFonts w:hint="eastAsia" w:ascii="仿宋" w:hAnsi="仿宋" w:eastAsia="仿宋" w:cs="仿宋"/>
          <w:bCs/>
          <w:sz w:val="22"/>
          <w:szCs w:val="32"/>
          <w:highlight w:val="none"/>
          <w:lang w:val="en-US" w:eastAsia="zh-CN"/>
        </w:rPr>
        <w:t>七</w:t>
      </w:r>
      <w:r>
        <w:rPr>
          <w:rFonts w:hint="eastAsia" w:ascii="仿宋" w:hAnsi="仿宋" w:eastAsia="仿宋" w:cs="仿宋"/>
          <w:bCs/>
          <w:sz w:val="22"/>
          <w:szCs w:val="32"/>
          <w:highlight w:val="none"/>
        </w:rPr>
        <w:t>、磋商、评审及定标</w:t>
      </w:r>
      <w:r>
        <w:rPr>
          <w:sz w:val="22"/>
          <w:szCs w:val="28"/>
          <w:highlight w:val="none"/>
        </w:rPr>
        <w:tab/>
      </w:r>
      <w:r>
        <w:rPr>
          <w:sz w:val="22"/>
          <w:szCs w:val="28"/>
          <w:highlight w:val="none"/>
        </w:rPr>
        <w:fldChar w:fldCharType="begin"/>
      </w:r>
      <w:r>
        <w:rPr>
          <w:sz w:val="22"/>
          <w:szCs w:val="28"/>
          <w:highlight w:val="none"/>
        </w:rPr>
        <w:instrText xml:space="preserve"> PAGEREF _Toc23636 \h </w:instrText>
      </w:r>
      <w:r>
        <w:rPr>
          <w:sz w:val="22"/>
          <w:szCs w:val="28"/>
          <w:highlight w:val="none"/>
        </w:rPr>
        <w:fldChar w:fldCharType="separate"/>
      </w:r>
      <w:r>
        <w:rPr>
          <w:sz w:val="22"/>
          <w:szCs w:val="28"/>
          <w:highlight w:val="none"/>
        </w:rPr>
        <w:t>20</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_Toc28361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八</w:t>
      </w:r>
      <w:r>
        <w:rPr>
          <w:rFonts w:hint="eastAsia" w:ascii="仿宋" w:hAnsi="仿宋" w:eastAsia="仿宋" w:cs="仿宋"/>
          <w:sz w:val="22"/>
          <w:szCs w:val="32"/>
          <w:highlight w:val="none"/>
        </w:rPr>
        <w:t>、合同</w:t>
      </w:r>
      <w:r>
        <w:rPr>
          <w:sz w:val="22"/>
          <w:szCs w:val="28"/>
          <w:highlight w:val="none"/>
        </w:rPr>
        <w:tab/>
      </w:r>
      <w:r>
        <w:rPr>
          <w:sz w:val="22"/>
          <w:szCs w:val="28"/>
          <w:highlight w:val="none"/>
        </w:rPr>
        <w:fldChar w:fldCharType="begin"/>
      </w:r>
      <w:r>
        <w:rPr>
          <w:sz w:val="22"/>
          <w:szCs w:val="28"/>
          <w:highlight w:val="none"/>
        </w:rPr>
        <w:instrText xml:space="preserve"> PAGEREF _Toc28361 \h </w:instrText>
      </w:r>
      <w:r>
        <w:rPr>
          <w:sz w:val="22"/>
          <w:szCs w:val="28"/>
          <w:highlight w:val="none"/>
        </w:rPr>
        <w:fldChar w:fldCharType="separate"/>
      </w:r>
      <w:r>
        <w:rPr>
          <w:sz w:val="22"/>
          <w:szCs w:val="28"/>
          <w:highlight w:val="none"/>
        </w:rPr>
        <w:t>32</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_Toc24945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九</w:t>
      </w:r>
      <w:r>
        <w:rPr>
          <w:rFonts w:hint="eastAsia" w:ascii="仿宋" w:hAnsi="仿宋" w:eastAsia="仿宋" w:cs="仿宋"/>
          <w:sz w:val="22"/>
          <w:szCs w:val="32"/>
          <w:highlight w:val="none"/>
        </w:rPr>
        <w:t>、合同的履约验收</w:t>
      </w:r>
      <w:r>
        <w:rPr>
          <w:sz w:val="22"/>
          <w:szCs w:val="28"/>
          <w:highlight w:val="none"/>
        </w:rPr>
        <w:tab/>
      </w:r>
      <w:r>
        <w:rPr>
          <w:sz w:val="22"/>
          <w:szCs w:val="28"/>
          <w:highlight w:val="none"/>
        </w:rPr>
        <w:fldChar w:fldCharType="begin"/>
      </w:r>
      <w:r>
        <w:rPr>
          <w:sz w:val="22"/>
          <w:szCs w:val="28"/>
          <w:highlight w:val="none"/>
        </w:rPr>
        <w:instrText xml:space="preserve"> PAGEREF _Toc24945 \h </w:instrText>
      </w:r>
      <w:r>
        <w:rPr>
          <w:sz w:val="22"/>
          <w:szCs w:val="28"/>
          <w:highlight w:val="none"/>
        </w:rPr>
        <w:fldChar w:fldCharType="separate"/>
      </w:r>
      <w:r>
        <w:rPr>
          <w:sz w:val="22"/>
          <w:szCs w:val="28"/>
          <w:highlight w:val="none"/>
        </w:rPr>
        <w:t>33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_Toc19792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lang w:val="en-US" w:eastAsia="zh-CN"/>
        </w:rPr>
        <w:t>十</w:t>
      </w:r>
      <w:r>
        <w:rPr>
          <w:rFonts w:hint="eastAsia" w:ascii="仿宋" w:hAnsi="仿宋" w:eastAsia="仿宋" w:cs="仿宋"/>
          <w:sz w:val="22"/>
          <w:szCs w:val="32"/>
          <w:highlight w:val="none"/>
        </w:rPr>
        <w:t>、招标服务费</w:t>
      </w:r>
      <w:r>
        <w:rPr>
          <w:sz w:val="22"/>
          <w:szCs w:val="28"/>
          <w:highlight w:val="none"/>
        </w:rPr>
        <w:tab/>
      </w:r>
      <w:r>
        <w:rPr>
          <w:sz w:val="22"/>
          <w:szCs w:val="28"/>
          <w:highlight w:val="none"/>
        </w:rPr>
        <w:fldChar w:fldCharType="begin"/>
      </w:r>
      <w:r>
        <w:rPr>
          <w:sz w:val="22"/>
          <w:szCs w:val="28"/>
          <w:highlight w:val="none"/>
        </w:rPr>
        <w:instrText xml:space="preserve"> PAGEREF _Toc19792 \h </w:instrText>
      </w:r>
      <w:r>
        <w:rPr>
          <w:sz w:val="22"/>
          <w:szCs w:val="28"/>
          <w:highlight w:val="none"/>
        </w:rPr>
        <w:fldChar w:fldCharType="separate"/>
      </w:r>
      <w:r>
        <w:rPr>
          <w:sz w:val="22"/>
          <w:szCs w:val="28"/>
          <w:highlight w:val="none"/>
        </w:rPr>
        <w:t>33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rFonts w:hint="eastAsia" w:ascii="仿宋" w:hAnsi="仿宋" w:eastAsia="仿宋" w:cs="仿宋"/>
          <w:color w:val="000000" w:themeColor="text1"/>
          <w:sz w:val="22"/>
          <w:szCs w:val="28"/>
          <w:highlight w:val="none"/>
          <w:lang w:val="en-US" w:eastAsia="zh-CN"/>
          <w14:textFill>
            <w14:solidFill>
              <w14:schemeClr w14:val="tx1"/>
            </w14:solidFill>
          </w14:textFill>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_Toc14425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一</w:t>
      </w:r>
      <w:r>
        <w:rPr>
          <w:rFonts w:hint="eastAsia" w:ascii="仿宋" w:hAnsi="仿宋" w:eastAsia="仿宋" w:cs="仿宋"/>
          <w:sz w:val="22"/>
          <w:szCs w:val="32"/>
          <w:highlight w:val="none"/>
        </w:rPr>
        <w:t>、重新组织采购活动</w:t>
      </w:r>
      <w:r>
        <w:rPr>
          <w:sz w:val="22"/>
          <w:szCs w:val="28"/>
          <w:highlight w:val="none"/>
        </w:rPr>
        <w:tab/>
      </w:r>
      <w:r>
        <w:rPr>
          <w:sz w:val="22"/>
          <w:szCs w:val="28"/>
          <w:highlight w:val="none"/>
        </w:rPr>
        <w:fldChar w:fldCharType="begin"/>
      </w:r>
      <w:r>
        <w:rPr>
          <w:sz w:val="22"/>
          <w:szCs w:val="28"/>
          <w:highlight w:val="none"/>
        </w:rPr>
        <w:instrText xml:space="preserve"> PAGEREF _Toc14425 \h </w:instrText>
      </w:r>
      <w:r>
        <w:rPr>
          <w:sz w:val="22"/>
          <w:szCs w:val="28"/>
          <w:highlight w:val="none"/>
        </w:rPr>
        <w:fldChar w:fldCharType="separate"/>
      </w:r>
      <w:r>
        <w:rPr>
          <w:sz w:val="22"/>
          <w:szCs w:val="28"/>
          <w:highlight w:val="none"/>
        </w:rPr>
        <w:t>33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rFonts w:hint="eastAsia" w:ascii="仿宋" w:hAnsi="仿宋" w:eastAsia="仿宋" w:cs="仿宋"/>
          <w:color w:val="000000" w:themeColor="text1"/>
          <w:sz w:val="22"/>
          <w:szCs w:val="28"/>
          <w:highlight w:val="none"/>
          <w14:textFill>
            <w14:solidFill>
              <w14:schemeClr w14:val="tx1"/>
            </w14:solidFill>
          </w14:textFill>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_Toc15549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二</w:t>
      </w:r>
      <w:r>
        <w:rPr>
          <w:rFonts w:hint="eastAsia" w:ascii="仿宋" w:hAnsi="仿宋" w:eastAsia="仿宋" w:cs="仿宋"/>
          <w:sz w:val="22"/>
          <w:szCs w:val="32"/>
          <w:highlight w:val="none"/>
        </w:rPr>
        <w:t>、询问、质疑与投诉</w:t>
      </w:r>
      <w:r>
        <w:rPr>
          <w:sz w:val="22"/>
          <w:szCs w:val="28"/>
          <w:highlight w:val="none"/>
        </w:rPr>
        <w:tab/>
      </w:r>
      <w:r>
        <w:rPr>
          <w:sz w:val="22"/>
          <w:szCs w:val="28"/>
          <w:highlight w:val="none"/>
        </w:rPr>
        <w:fldChar w:fldCharType="begin"/>
      </w:r>
      <w:r>
        <w:rPr>
          <w:sz w:val="22"/>
          <w:szCs w:val="28"/>
          <w:highlight w:val="none"/>
        </w:rPr>
        <w:instrText xml:space="preserve"> PAGEREF _Toc15549 \h </w:instrText>
      </w:r>
      <w:r>
        <w:rPr>
          <w:sz w:val="22"/>
          <w:szCs w:val="28"/>
          <w:highlight w:val="none"/>
        </w:rPr>
        <w:fldChar w:fldCharType="separate"/>
      </w:r>
      <w:r>
        <w:rPr>
          <w:sz w:val="22"/>
          <w:szCs w:val="28"/>
          <w:highlight w:val="none"/>
        </w:rPr>
        <w:t>34</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9"/>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_Toc19464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32"/>
          <w:highlight w:val="none"/>
        </w:rPr>
        <w:t>十</w:t>
      </w:r>
      <w:r>
        <w:rPr>
          <w:rFonts w:hint="eastAsia" w:ascii="仿宋" w:hAnsi="仿宋" w:eastAsia="仿宋" w:cs="仿宋"/>
          <w:sz w:val="22"/>
          <w:szCs w:val="32"/>
          <w:highlight w:val="none"/>
          <w:lang w:val="en-US" w:eastAsia="zh-CN"/>
        </w:rPr>
        <w:t>三</w:t>
      </w:r>
      <w:r>
        <w:rPr>
          <w:rFonts w:hint="eastAsia" w:ascii="仿宋" w:hAnsi="仿宋" w:eastAsia="仿宋" w:cs="仿宋"/>
          <w:sz w:val="22"/>
          <w:szCs w:val="32"/>
          <w:highlight w:val="none"/>
        </w:rPr>
        <w:t>、拒绝商业贿赂</w:t>
      </w:r>
      <w:r>
        <w:rPr>
          <w:sz w:val="22"/>
          <w:szCs w:val="28"/>
          <w:highlight w:val="none"/>
        </w:rPr>
        <w:tab/>
      </w:r>
      <w:r>
        <w:rPr>
          <w:sz w:val="22"/>
          <w:szCs w:val="28"/>
          <w:highlight w:val="none"/>
        </w:rPr>
        <w:fldChar w:fldCharType="begin"/>
      </w:r>
      <w:r>
        <w:rPr>
          <w:sz w:val="22"/>
          <w:szCs w:val="28"/>
          <w:highlight w:val="none"/>
        </w:rPr>
        <w:instrText xml:space="preserve"> PAGEREF _Toc19464 \h </w:instrText>
      </w:r>
      <w:r>
        <w:rPr>
          <w:sz w:val="22"/>
          <w:szCs w:val="28"/>
          <w:highlight w:val="none"/>
        </w:rPr>
        <w:fldChar w:fldCharType="separate"/>
      </w:r>
      <w:r>
        <w:rPr>
          <w:sz w:val="22"/>
          <w:szCs w:val="28"/>
          <w:highlight w:val="none"/>
        </w:rPr>
        <w:t>35</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_Toc20324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第三章  服务内容及要求</w:t>
      </w:r>
      <w:r>
        <w:rPr>
          <w:sz w:val="22"/>
          <w:szCs w:val="28"/>
          <w:highlight w:val="none"/>
        </w:rPr>
        <w:tab/>
      </w:r>
      <w:r>
        <w:rPr>
          <w:sz w:val="22"/>
          <w:szCs w:val="28"/>
          <w:highlight w:val="none"/>
        </w:rPr>
        <w:fldChar w:fldCharType="begin"/>
      </w:r>
      <w:r>
        <w:rPr>
          <w:sz w:val="22"/>
          <w:szCs w:val="28"/>
          <w:highlight w:val="none"/>
        </w:rPr>
        <w:instrText xml:space="preserve"> PAGEREF _Toc20324 \h </w:instrText>
      </w:r>
      <w:r>
        <w:rPr>
          <w:sz w:val="22"/>
          <w:szCs w:val="28"/>
          <w:highlight w:val="none"/>
        </w:rPr>
        <w:fldChar w:fldCharType="separate"/>
      </w:r>
      <w:r>
        <w:rPr>
          <w:sz w:val="22"/>
          <w:szCs w:val="28"/>
          <w:highlight w:val="none"/>
        </w:rPr>
        <w:t>36</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_Toc21581 </w:instrText>
      </w:r>
      <w:r>
        <w:rPr>
          <w:rFonts w:hint="eastAsia" w:ascii="仿宋" w:hAnsi="仿宋" w:eastAsia="仿宋" w:cs="仿宋"/>
          <w:sz w:val="22"/>
          <w:szCs w:val="28"/>
          <w:highlight w:val="none"/>
        </w:rPr>
        <w:fldChar w:fldCharType="separate"/>
      </w:r>
      <w:r>
        <w:rPr>
          <w:rFonts w:hint="eastAsia" w:ascii="仿宋" w:hAnsi="仿宋" w:eastAsia="仿宋" w:cs="仿宋"/>
          <w:kern w:val="0"/>
          <w:sz w:val="22"/>
          <w:szCs w:val="28"/>
          <w:highlight w:val="none"/>
        </w:rPr>
        <w:t>第四章  商务要求</w:t>
      </w:r>
      <w:r>
        <w:rPr>
          <w:sz w:val="22"/>
          <w:szCs w:val="28"/>
          <w:highlight w:val="none"/>
        </w:rPr>
        <w:tab/>
      </w:r>
      <w:r>
        <w:rPr>
          <w:sz w:val="22"/>
          <w:szCs w:val="28"/>
          <w:highlight w:val="none"/>
        </w:rPr>
        <w:fldChar w:fldCharType="begin"/>
      </w:r>
      <w:r>
        <w:rPr>
          <w:sz w:val="22"/>
          <w:szCs w:val="28"/>
          <w:highlight w:val="none"/>
        </w:rPr>
        <w:instrText xml:space="preserve"> PAGEREF _Toc21581 \h </w:instrText>
      </w:r>
      <w:r>
        <w:rPr>
          <w:sz w:val="22"/>
          <w:szCs w:val="28"/>
          <w:highlight w:val="none"/>
        </w:rPr>
        <w:fldChar w:fldCharType="separate"/>
      </w:r>
      <w:r>
        <w:rPr>
          <w:sz w:val="22"/>
          <w:szCs w:val="28"/>
          <w:highlight w:val="none"/>
        </w:rPr>
        <w:t>37</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_Toc2890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第五章  合同条款</w:t>
      </w:r>
      <w:r>
        <w:rPr>
          <w:sz w:val="22"/>
          <w:szCs w:val="28"/>
          <w:highlight w:val="none"/>
        </w:rPr>
        <w:tab/>
      </w:r>
      <w:r>
        <w:rPr>
          <w:sz w:val="22"/>
          <w:szCs w:val="28"/>
          <w:highlight w:val="none"/>
        </w:rPr>
        <w:fldChar w:fldCharType="begin"/>
      </w:r>
      <w:r>
        <w:rPr>
          <w:sz w:val="22"/>
          <w:szCs w:val="28"/>
          <w:highlight w:val="none"/>
        </w:rPr>
        <w:instrText xml:space="preserve"> PAGEREF _Toc2890 \h </w:instrText>
      </w:r>
      <w:r>
        <w:rPr>
          <w:sz w:val="22"/>
          <w:szCs w:val="28"/>
          <w:highlight w:val="none"/>
        </w:rPr>
        <w:fldChar w:fldCharType="separate"/>
      </w:r>
      <w:r>
        <w:rPr>
          <w:sz w:val="22"/>
          <w:szCs w:val="28"/>
          <w:highlight w:val="none"/>
        </w:rPr>
        <w:t>38</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pStyle w:val="18"/>
        <w:tabs>
          <w:tab w:val="right" w:leader="dot" w:pos="9070"/>
        </w:tabs>
        <w:spacing w:line="480" w:lineRule="auto"/>
        <w:rPr>
          <w:sz w:val="22"/>
          <w:szCs w:val="28"/>
          <w:highlight w:val="none"/>
        </w:rPr>
      </w:pPr>
      <w:r>
        <w:rPr>
          <w:rFonts w:hint="eastAsia" w:ascii="仿宋" w:hAnsi="仿宋" w:eastAsia="仿宋" w:cs="仿宋"/>
          <w:color w:val="000000" w:themeColor="text1"/>
          <w:sz w:val="22"/>
          <w:szCs w:val="28"/>
          <w:highlight w:val="none"/>
          <w14:textFill>
            <w14:solidFill>
              <w14:schemeClr w14:val="tx1"/>
            </w14:solidFill>
          </w14:textFill>
        </w:rPr>
        <w:fldChar w:fldCharType="begin"/>
      </w:r>
      <w:r>
        <w:rPr>
          <w:rFonts w:hint="eastAsia" w:ascii="仿宋" w:hAnsi="仿宋" w:eastAsia="仿宋" w:cs="仿宋"/>
          <w:sz w:val="22"/>
          <w:szCs w:val="28"/>
          <w:highlight w:val="none"/>
        </w:rPr>
        <w:instrText xml:space="preserve"> HYPERLINK \l _Toc32022 </w:instrText>
      </w:r>
      <w:r>
        <w:rPr>
          <w:rFonts w:hint="eastAsia" w:ascii="仿宋" w:hAnsi="仿宋" w:eastAsia="仿宋" w:cs="仿宋"/>
          <w:sz w:val="22"/>
          <w:szCs w:val="28"/>
          <w:highlight w:val="none"/>
        </w:rPr>
        <w:fldChar w:fldCharType="separate"/>
      </w:r>
      <w:r>
        <w:rPr>
          <w:rFonts w:hint="eastAsia" w:ascii="仿宋" w:hAnsi="仿宋" w:eastAsia="仿宋" w:cs="仿宋"/>
          <w:sz w:val="22"/>
          <w:szCs w:val="28"/>
          <w:highlight w:val="none"/>
        </w:rPr>
        <w:t>第六章  竞争性磋商响应文件格式</w:t>
      </w:r>
      <w:r>
        <w:rPr>
          <w:sz w:val="22"/>
          <w:szCs w:val="28"/>
          <w:highlight w:val="none"/>
        </w:rPr>
        <w:tab/>
      </w:r>
      <w:r>
        <w:rPr>
          <w:sz w:val="22"/>
          <w:szCs w:val="28"/>
          <w:highlight w:val="none"/>
        </w:rPr>
        <w:fldChar w:fldCharType="begin"/>
      </w:r>
      <w:r>
        <w:rPr>
          <w:sz w:val="22"/>
          <w:szCs w:val="28"/>
          <w:highlight w:val="none"/>
        </w:rPr>
        <w:instrText xml:space="preserve"> PAGEREF _Toc32022 \h </w:instrText>
      </w:r>
      <w:r>
        <w:rPr>
          <w:sz w:val="22"/>
          <w:szCs w:val="28"/>
          <w:highlight w:val="none"/>
        </w:rPr>
        <w:fldChar w:fldCharType="separate"/>
      </w:r>
      <w:r>
        <w:rPr>
          <w:sz w:val="22"/>
          <w:szCs w:val="28"/>
          <w:highlight w:val="none"/>
        </w:rPr>
        <w:t>43</w:t>
      </w:r>
      <w:r>
        <w:rPr>
          <w:sz w:val="22"/>
          <w:szCs w:val="28"/>
          <w:highlight w:val="none"/>
        </w:rPr>
        <w:fldChar w:fldCharType="end"/>
      </w: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color w:val="000000" w:themeColor="text1"/>
          <w:sz w:val="24"/>
          <w:highlight w:val="none"/>
          <w14:textFill>
            <w14:solidFill>
              <w14:schemeClr w14:val="tx1"/>
            </w14:solidFill>
          </w14:textFill>
        </w:rPr>
        <w:sectPr>
          <w:footerReference r:id="rId10" w:type="default"/>
          <w:pgSz w:w="11906" w:h="16838"/>
          <w:pgMar w:top="1418" w:right="1418" w:bottom="1418" w:left="1418" w:header="720" w:footer="720" w:gutter="0"/>
          <w:pgBorders>
            <w:top w:val="none" w:sz="0" w:space="0"/>
            <w:left w:val="none" w:sz="0" w:space="0"/>
            <w:bottom w:val="none" w:sz="0" w:space="0"/>
            <w:right w:val="none" w:sz="0" w:space="0"/>
          </w:pgBorders>
          <w:pgNumType w:start="1"/>
          <w:cols w:space="720" w:num="1"/>
          <w:docGrid w:linePitch="312" w:charSpace="0"/>
        </w:sectPr>
      </w:pPr>
      <w:r>
        <w:rPr>
          <w:rFonts w:hint="eastAsia" w:ascii="仿宋" w:hAnsi="仿宋" w:eastAsia="仿宋" w:cs="仿宋"/>
          <w:color w:val="000000" w:themeColor="text1"/>
          <w:sz w:val="22"/>
          <w:szCs w:val="28"/>
          <w:highlight w:val="none"/>
          <w14:textFill>
            <w14:solidFill>
              <w14:schemeClr w14:val="tx1"/>
            </w14:solidFill>
          </w14:textFill>
        </w:rPr>
        <w:fldChar w:fldCharType="end"/>
      </w:r>
    </w:p>
    <w:p>
      <w:pPr>
        <w:spacing w:line="480" w:lineRule="exact"/>
        <w:jc w:val="center"/>
        <w:outlineLvl w:val="0"/>
        <w:rPr>
          <w:rFonts w:hint="eastAsia" w:ascii="仿宋" w:hAnsi="仿宋" w:eastAsia="仿宋" w:cs="仿宋"/>
          <w:b/>
          <w:bCs/>
          <w:color w:val="000000" w:themeColor="text1"/>
          <w:sz w:val="48"/>
          <w:szCs w:val="48"/>
          <w:highlight w:val="none"/>
          <w14:textFill>
            <w14:solidFill>
              <w14:schemeClr w14:val="tx1"/>
            </w14:solidFill>
          </w14:textFill>
        </w:rPr>
      </w:pPr>
      <w:bookmarkStart w:id="0" w:name="_Toc20848"/>
      <w:r>
        <w:rPr>
          <w:rFonts w:hint="eastAsia" w:ascii="仿宋" w:hAnsi="仿宋" w:eastAsia="仿宋" w:cs="仿宋"/>
          <w:b/>
          <w:bCs/>
          <w:color w:val="000000" w:themeColor="text1"/>
          <w:sz w:val="48"/>
          <w:szCs w:val="48"/>
          <w:highlight w:val="none"/>
          <w14:textFill>
            <w14:solidFill>
              <w14:schemeClr w14:val="tx1"/>
            </w14:solidFill>
          </w14:textFill>
        </w:rPr>
        <w:t>第一章 竞争性磋商邀请书</w:t>
      </w:r>
      <w:bookmarkEnd w:id="0"/>
    </w:p>
    <w:p>
      <w:pPr>
        <w:keepNext w:val="0"/>
        <w:keepLines w:val="0"/>
        <w:pageBreakBefore w:val="0"/>
        <w:widowControl/>
        <w:kinsoku/>
        <w:overflowPunct/>
        <w:autoSpaceDE/>
        <w:autoSpaceDN/>
        <w:bidi w:val="0"/>
        <w:spacing w:line="440" w:lineRule="exact"/>
        <w:ind w:right="-197" w:rightChars="-94" w:firstLine="482"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项目概况</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农村生活饮用水检测项目</w:t>
      </w:r>
      <w:r>
        <w:rPr>
          <w:rFonts w:hint="eastAsia" w:ascii="仿宋" w:hAnsi="仿宋" w:eastAsia="仿宋" w:cs="仿宋"/>
          <w:color w:val="000000" w:themeColor="text1"/>
          <w:sz w:val="24"/>
          <w:highlight w:val="none"/>
          <w14:textFill>
            <w14:solidFill>
              <w14:schemeClr w14:val="tx1"/>
            </w14:solidFill>
          </w14:textFill>
        </w:rPr>
        <w:t>的潜在供应商应在西安市朱雀大街南段1号汇成天玺C座18层18</w:t>
      </w: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室获取采购文件，并于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26</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 xml:space="preserve">0分（北京时间）前提交响应文件。 </w:t>
      </w:r>
    </w:p>
    <w:p>
      <w:pPr>
        <w:keepNext w:val="0"/>
        <w:keepLines w:val="0"/>
        <w:pageBreakBefore w:val="0"/>
        <w:widowControl/>
        <w:kinsoku/>
        <w:overflowPunct/>
        <w:autoSpaceDE/>
        <w:autoSpaceDN/>
        <w:bidi w:val="0"/>
        <w:spacing w:line="440" w:lineRule="exact"/>
        <w:ind w:right="-197" w:rightChars="-94"/>
        <w:jc w:val="lef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一、项目基本情况</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HZGH-2023-060</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lang w:eastAsia="zh-CN"/>
          <w14:textFill>
            <w14:solidFill>
              <w14:schemeClr w14:val="tx1"/>
            </w14:solidFill>
          </w14:textFill>
        </w:rPr>
        <w:t>农村生活饮用水检测项目</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采购方式：竞争性磋商</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预算金额：</w:t>
      </w:r>
      <w:r>
        <w:rPr>
          <w:rFonts w:hint="eastAsia" w:ascii="仿宋" w:hAnsi="仿宋" w:eastAsia="仿宋" w:cs="仿宋"/>
          <w:color w:val="000000" w:themeColor="text1"/>
          <w:sz w:val="24"/>
          <w:highlight w:val="none"/>
          <w:lang w:eastAsia="zh-CN"/>
          <w14:textFill>
            <w14:solidFill>
              <w14:schemeClr w14:val="tx1"/>
            </w14:solidFill>
          </w14:textFill>
        </w:rPr>
        <w:t>732000.00</w:t>
      </w:r>
      <w:r>
        <w:rPr>
          <w:rFonts w:hint="eastAsia" w:ascii="仿宋" w:hAnsi="仿宋" w:eastAsia="仿宋" w:cs="仿宋"/>
          <w:color w:val="000000" w:themeColor="text1"/>
          <w:sz w:val="24"/>
          <w:highlight w:val="none"/>
          <w14:textFill>
            <w14:solidFill>
              <w14:schemeClr w14:val="tx1"/>
            </w14:solidFill>
          </w14:textFill>
        </w:rPr>
        <w:t>元</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采购需求：</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农村生活饮用水检测项目</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合同包预算金额：</w:t>
      </w:r>
      <w:r>
        <w:rPr>
          <w:rFonts w:hint="eastAsia" w:ascii="仿宋" w:hAnsi="仿宋" w:eastAsia="仿宋" w:cs="仿宋"/>
          <w:color w:val="000000" w:themeColor="text1"/>
          <w:sz w:val="24"/>
          <w:highlight w:val="none"/>
          <w:lang w:eastAsia="zh-CN"/>
          <w14:textFill>
            <w14:solidFill>
              <w14:schemeClr w14:val="tx1"/>
            </w14:solidFill>
          </w14:textFill>
        </w:rPr>
        <w:t>732000.00</w:t>
      </w:r>
      <w:r>
        <w:rPr>
          <w:rFonts w:hint="eastAsia" w:ascii="仿宋" w:hAnsi="仿宋" w:eastAsia="仿宋" w:cs="仿宋"/>
          <w:color w:val="000000" w:themeColor="text1"/>
          <w:sz w:val="24"/>
          <w:highlight w:val="none"/>
          <w14:textFill>
            <w14:solidFill>
              <w14:schemeClr w14:val="tx1"/>
            </w14:solidFill>
          </w14:textFill>
        </w:rPr>
        <w:t>元</w:t>
      </w:r>
    </w:p>
    <w:tbl>
      <w:tblPr>
        <w:tblStyle w:val="24"/>
        <w:tblW w:w="5214"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24"/>
        <w:gridCol w:w="1405"/>
        <w:gridCol w:w="1589"/>
        <w:gridCol w:w="888"/>
        <w:gridCol w:w="1990"/>
        <w:gridCol w:w="1485"/>
        <w:gridCol w:w="14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83" w:hRule="atLeast"/>
          <w:tblHeader/>
          <w:jc w:val="center"/>
        </w:trPr>
        <w:tc>
          <w:tcPr>
            <w:tcW w:w="472"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品目号</w:t>
            </w:r>
          </w:p>
        </w:tc>
        <w:tc>
          <w:tcPr>
            <w:tcW w:w="718"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品目名称</w:t>
            </w:r>
          </w:p>
        </w:tc>
        <w:tc>
          <w:tcPr>
            <w:tcW w:w="812"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采购标的</w:t>
            </w:r>
          </w:p>
        </w:tc>
        <w:tc>
          <w:tcPr>
            <w:tcW w:w="454"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数量</w:t>
            </w:r>
          </w:p>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（单位）</w:t>
            </w:r>
          </w:p>
        </w:tc>
        <w:tc>
          <w:tcPr>
            <w:tcW w:w="1017"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技术规格、参数</w:t>
            </w:r>
          </w:p>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及要求</w:t>
            </w:r>
          </w:p>
        </w:tc>
        <w:tc>
          <w:tcPr>
            <w:tcW w:w="759"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品目预算</w:t>
            </w:r>
          </w:p>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(元)</w:t>
            </w:r>
          </w:p>
        </w:tc>
        <w:tc>
          <w:tcPr>
            <w:tcW w:w="765"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both"/>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101" w:hRule="atLeast"/>
          <w:jc w:val="center"/>
        </w:trPr>
        <w:tc>
          <w:tcPr>
            <w:tcW w:w="472"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718"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其他专业技</w:t>
            </w:r>
          </w:p>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术服务</w:t>
            </w:r>
          </w:p>
        </w:tc>
        <w:tc>
          <w:tcPr>
            <w:tcW w:w="812"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农村生活饮用</w:t>
            </w:r>
          </w:p>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水检测项目</w:t>
            </w:r>
          </w:p>
        </w:tc>
        <w:tc>
          <w:tcPr>
            <w:tcW w:w="454"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1(项)</w:t>
            </w:r>
          </w:p>
        </w:tc>
        <w:tc>
          <w:tcPr>
            <w:tcW w:w="1017"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详见采购文件</w:t>
            </w:r>
          </w:p>
        </w:tc>
        <w:tc>
          <w:tcPr>
            <w:tcW w:w="759"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732000.00</w:t>
            </w:r>
          </w:p>
        </w:tc>
        <w:tc>
          <w:tcPr>
            <w:tcW w:w="765" w:type="pct"/>
            <w:shd w:val="clear" w:color="auto" w:fill="auto"/>
            <w:tcMar>
              <w:top w:w="0" w:type="dxa"/>
              <w:left w:w="0" w:type="dxa"/>
              <w:bottom w:w="0" w:type="dxa"/>
              <w:right w:w="0" w:type="dxa"/>
            </w:tcMar>
            <w:vAlign w:val="center"/>
          </w:tcPr>
          <w:p>
            <w:pPr>
              <w:keepNext w:val="0"/>
              <w:keepLines w:val="0"/>
              <w:pageBreakBefore w:val="0"/>
              <w:widowControl/>
              <w:kinsoku/>
              <w:overflowPunct/>
              <w:autoSpaceDE/>
              <w:autoSpaceDN/>
              <w:bidi w:val="0"/>
              <w:spacing w:line="440" w:lineRule="exact"/>
              <w:ind w:right="-197" w:rightChars="-94"/>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732000.00</w:t>
            </w:r>
          </w:p>
        </w:tc>
      </w:tr>
    </w:tbl>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本合同包不接受联合体投标 </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合同履行期限：无 </w:t>
      </w:r>
    </w:p>
    <w:p>
      <w:pPr>
        <w:keepNext w:val="0"/>
        <w:keepLines w:val="0"/>
        <w:pageBreakBefore w:val="0"/>
        <w:widowControl/>
        <w:kinsoku/>
        <w:overflowPunct/>
        <w:autoSpaceDE/>
        <w:autoSpaceDN/>
        <w:bidi w:val="0"/>
        <w:spacing w:line="440" w:lineRule="exact"/>
        <w:ind w:right="-197" w:rightChars="-94"/>
        <w:jc w:val="lef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二、申请人的资格要求：</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1.满足《中华人民共和国政府釆购法》第二十二条规定;</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2.落实政府采购政策需满足的资格要求： </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农村生活饮用水检测项目</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（1）、《政府采购促进中小企业发展管理办法》的通知--财库[2020]46号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（2）、陕西省财政厅关于印发《陕西省中小企业政府采购信用融资办法》--(陕财办采[2018]23号)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（3）、《陕西省财政厅关于加快推进我省中小企业政府采购信用融资工作的通知》（陕财办采〔2020〕15号）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（4）、财政部司法部关于政府采购支持监狱企业发展有关问题的通知--财库〔2014〕68号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（5）、《国务院办公厅关于建立政府强制采购节能产品制度的通知》--国办发〔2007〕51号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（6）、《节能产品政府采购实施意见》（财库[2004]185号）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（7）、《环境标志产品政府采购实施的意见》（财库[2006]90号）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（8）、《财政部发展改革委生态环境部市场监督总局关于调整优化节能产品、环境标志产品政府采购执行机制的通知》--（财库[2019]9号）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（9）、《市场监督总局关于发布参与实施政府采购节能产品、环境标志产品认证机构名录的公告》--2019年第16号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（10）、《财政部民政部中国残疾人联合会关于促进残疾人就业政府采购政策的通知》--（财库〔2017〕141号）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（11）、《财政部国务院扶贫办关于运用政府采购政策支持脱贫攻坚的通知》（财库〔2019〕27号）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（12）、《关于进一步加强政府绿色采购有关问题的通知》（陕财办采〔2021〕29号）</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rPr>
      </w:pPr>
      <w:r>
        <w:rPr>
          <w:rFonts w:hint="eastAsia" w:ascii="仿宋" w:hAnsi="仿宋" w:eastAsia="仿宋" w:cs="仿宋"/>
          <w:i w:val="0"/>
          <w:iCs w:val="0"/>
          <w:caps w:val="0"/>
          <w:color w:val="000000"/>
          <w:spacing w:val="0"/>
          <w:sz w:val="24"/>
          <w:szCs w:val="24"/>
          <w:highlight w:val="none"/>
          <w:lang w:val="en-US" w:eastAsia="zh-CN"/>
        </w:rPr>
        <w:t>（13）、其他需要落实的政府采购政策。</w:t>
      </w:r>
    </w:p>
    <w:p>
      <w:pPr>
        <w:keepNext w:val="0"/>
        <w:keepLines w:val="0"/>
        <w:pageBreakBefore w:val="0"/>
        <w:widowControl/>
        <w:kinsoku/>
        <w:overflowPunct/>
        <w:autoSpaceDE/>
        <w:autoSpaceDN/>
        <w:bidi w:val="0"/>
        <w:spacing w:line="440" w:lineRule="exact"/>
        <w:ind w:right="-197" w:rightChars="-94"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农村生活饮用水检测项目</w:t>
      </w:r>
      <w:r>
        <w:rPr>
          <w:rFonts w:hint="eastAsia" w:ascii="仿宋" w:hAnsi="仿宋" w:eastAsia="仿宋" w:cs="仿宋"/>
          <w:color w:val="000000" w:themeColor="text1"/>
          <w:sz w:val="24"/>
          <w:highlight w:val="none"/>
          <w14:textFill>
            <w14:solidFill>
              <w14:schemeClr w14:val="tx1"/>
            </w14:solidFill>
          </w14:textFill>
        </w:rPr>
        <w:t>)特定资格要求如下:</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w:t>
      </w:r>
      <w:r>
        <w:rPr>
          <w:rFonts w:hint="eastAsia" w:ascii="仿宋" w:hAnsi="仿宋" w:eastAsia="仿宋" w:cs="仿宋"/>
          <w:i w:val="0"/>
          <w:iCs w:val="0"/>
          <w:caps w:val="0"/>
          <w:color w:val="000000"/>
          <w:spacing w:val="0"/>
          <w:sz w:val="24"/>
          <w:szCs w:val="24"/>
          <w:highlight w:val="none"/>
          <w:shd w:val="clear" w:color="auto" w:fill="FFFFFF"/>
          <w:lang w:eastAsia="zh-CN"/>
        </w:rPr>
        <w:t>提供具有财务审计资质单位出具的2021年度或2022年度财务报告</w:t>
      </w:r>
      <w:r>
        <w:rPr>
          <w:rFonts w:hint="eastAsia" w:ascii="仿宋" w:hAnsi="仿宋" w:eastAsia="仿宋" w:cs="仿宋"/>
          <w:i w:val="0"/>
          <w:iCs w:val="0"/>
          <w:caps w:val="0"/>
          <w:color w:val="000000"/>
          <w:spacing w:val="0"/>
          <w:sz w:val="24"/>
          <w:szCs w:val="24"/>
          <w:highlight w:val="none"/>
          <w:shd w:val="clear" w:color="auto" w:fill="FFFFFF"/>
        </w:rPr>
        <w:t xml:space="preserve">（成立时间至磋商时间不足一年的可提供成立后任意时段的资产负债表）或磋商前六个月内其基本账户银行出具的资信证明（附开户许可证或基本账户证明）或政府采购信用担保机构出具的磋商担保函。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税收缴纳证明：提供2022年1月1日至今任意一个月已缴纳的纳税证明或完税证明（包含增值税、企业所得税、营业税至少一种）；（依法免税的供应商应提供相关文件证明）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3、供应商</w:t>
      </w:r>
      <w:r>
        <w:rPr>
          <w:rFonts w:hint="eastAsia" w:ascii="仿宋" w:hAnsi="仿宋" w:eastAsia="仿宋" w:cs="仿宋"/>
          <w:i w:val="0"/>
          <w:iCs w:val="0"/>
          <w:caps w:val="0"/>
          <w:color w:val="000000"/>
          <w:spacing w:val="0"/>
          <w:sz w:val="24"/>
          <w:szCs w:val="24"/>
          <w:highlight w:val="none"/>
          <w:shd w:val="clear" w:color="auto" w:fill="FFFFFF"/>
        </w:rPr>
        <w:t>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4</w:t>
      </w:r>
      <w:r>
        <w:rPr>
          <w:rFonts w:hint="eastAsia" w:ascii="仿宋" w:hAnsi="仿宋" w:eastAsia="仿宋" w:cs="仿宋"/>
          <w:i w:val="0"/>
          <w:iCs w:val="0"/>
          <w:caps w:val="0"/>
          <w:color w:val="000000"/>
          <w:spacing w:val="0"/>
          <w:sz w:val="24"/>
          <w:szCs w:val="24"/>
          <w:highlight w:val="none"/>
          <w:shd w:val="clear" w:color="auto" w:fill="FFFFFF"/>
        </w:rPr>
        <w:t>、单位负责人为同一人或者存在直接控股、管理关系的不同供应商，不得参加同一合同项下的政府采购活动；（提供书面承诺函，格式自拟加盖供应商公章）</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5、本项目专门面向中小企业采购；须符合《政府采购促进中小企业发展管理办法》（财库〔2020〕46号）规定的中小企业参加；(提供《中小企业声明函》，式样见竞争性磋商响应文件格式)</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6、供应商须具备CMA检验检测机构资质认定证书；</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440" w:lineRule="exact"/>
        <w:ind w:left="0" w:right="0" w:firstLine="420"/>
        <w:textAlignment w:val="auto"/>
        <w:rPr>
          <w:rFonts w:hint="eastAsia" w:ascii="仿宋" w:hAnsi="仿宋" w:eastAsia="仿宋" w:cs="仿宋"/>
          <w:b w:val="0"/>
          <w:bCs/>
          <w:i w:val="0"/>
          <w:iCs w:val="0"/>
          <w:caps w:val="0"/>
          <w:color w:val="000000"/>
          <w:spacing w:val="0"/>
          <w:sz w:val="24"/>
          <w:szCs w:val="24"/>
          <w:highlight w:val="none"/>
          <w:shd w:val="clear" w:color="auto"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p>
      <w:pPr>
        <w:keepNext w:val="0"/>
        <w:keepLines w:val="0"/>
        <w:pageBreakBefore w:val="0"/>
        <w:widowControl/>
        <w:kinsoku/>
        <w:overflowPunct/>
        <w:autoSpaceDE/>
        <w:autoSpaceDN/>
        <w:bidi w:val="0"/>
        <w:spacing w:line="440" w:lineRule="exact"/>
        <w:ind w:right="-197" w:rightChars="-94" w:firstLine="482" w:firstLineChars="200"/>
        <w:jc w:val="lef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三、获取采购文件</w:t>
      </w:r>
    </w:p>
    <w:p>
      <w:pPr>
        <w:keepNext w:val="0"/>
        <w:keepLines w:val="0"/>
        <w:pageBreakBefore w:val="0"/>
        <w:widowControl/>
        <w:kinsoku/>
        <w:overflowPunct/>
        <w:autoSpaceDE/>
        <w:autoSpaceDN/>
        <w:bidi w:val="0"/>
        <w:spacing w:line="440" w:lineRule="exact"/>
        <w:ind w:left="239" w:leftChars="114"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日至202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19</w:t>
      </w:r>
      <w:r>
        <w:rPr>
          <w:rFonts w:hint="eastAsia" w:ascii="仿宋" w:hAnsi="仿宋" w:eastAsia="仿宋" w:cs="仿宋"/>
          <w:color w:val="000000" w:themeColor="text1"/>
          <w:sz w:val="24"/>
          <w:highlight w:val="none"/>
          <w14:textFill>
            <w14:solidFill>
              <w14:schemeClr w14:val="tx1"/>
            </w14:solidFill>
          </w14:textFill>
        </w:rPr>
        <w:t>日，每天上午09:00:00至12:00:00，下午14:00:00至17:00:00（北京时间,法定节假日除外）</w:t>
      </w:r>
    </w:p>
    <w:p>
      <w:pPr>
        <w:keepNext w:val="0"/>
        <w:keepLines w:val="0"/>
        <w:pageBreakBefore w:val="0"/>
        <w:widowControl/>
        <w:kinsoku/>
        <w:overflowPunct/>
        <w:autoSpaceDE/>
        <w:autoSpaceDN/>
        <w:bidi w:val="0"/>
        <w:spacing w:line="440" w:lineRule="exact"/>
        <w:ind w:right="-197" w:rightChars="-94" w:firstLine="720" w:firstLineChars="3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w:t>
      </w:r>
      <w:r>
        <w:rPr>
          <w:rFonts w:hint="eastAsia" w:ascii="仿宋" w:hAnsi="仿宋" w:eastAsia="仿宋" w:cs="仿宋"/>
          <w:color w:val="000000" w:themeColor="text1"/>
          <w:sz w:val="24"/>
          <w:highlight w:val="none"/>
          <w:lang w:eastAsia="zh-CN"/>
          <w14:textFill>
            <w14:solidFill>
              <w14:schemeClr w14:val="tx1"/>
            </w14:solidFill>
          </w14:textFill>
        </w:rPr>
        <w:t>1812</w:t>
      </w:r>
      <w:r>
        <w:rPr>
          <w:rFonts w:hint="eastAsia" w:ascii="仿宋" w:hAnsi="仿宋" w:eastAsia="仿宋" w:cs="仿宋"/>
          <w:color w:val="000000" w:themeColor="text1"/>
          <w:sz w:val="24"/>
          <w:highlight w:val="none"/>
          <w14:textFill>
            <w14:solidFill>
              <w14:schemeClr w14:val="tx1"/>
            </w14:solidFill>
          </w14:textFill>
        </w:rPr>
        <w:t>室</w:t>
      </w:r>
    </w:p>
    <w:p>
      <w:pPr>
        <w:keepNext w:val="0"/>
        <w:keepLines w:val="0"/>
        <w:pageBreakBefore w:val="0"/>
        <w:widowControl/>
        <w:kinsoku/>
        <w:overflowPunct/>
        <w:autoSpaceDE/>
        <w:autoSpaceDN/>
        <w:bidi w:val="0"/>
        <w:spacing w:line="440" w:lineRule="exact"/>
        <w:ind w:right="-197" w:rightChars="-94" w:firstLine="720" w:firstLineChars="3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方式：现场获取</w:t>
      </w:r>
    </w:p>
    <w:p>
      <w:pPr>
        <w:keepNext w:val="0"/>
        <w:keepLines w:val="0"/>
        <w:pageBreakBefore w:val="0"/>
        <w:widowControl/>
        <w:kinsoku/>
        <w:overflowPunct/>
        <w:autoSpaceDE/>
        <w:autoSpaceDN/>
        <w:bidi w:val="0"/>
        <w:spacing w:line="440" w:lineRule="exact"/>
        <w:ind w:right="-197" w:rightChars="-94" w:firstLine="720" w:firstLineChars="3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售价：</w:t>
      </w:r>
      <w:r>
        <w:rPr>
          <w:rFonts w:hint="eastAsia" w:ascii="仿宋" w:hAnsi="仿宋" w:eastAsia="仿宋" w:cs="仿宋"/>
          <w:color w:val="000000" w:themeColor="text1"/>
          <w:sz w:val="24"/>
          <w:highlight w:val="none"/>
          <w:lang w:val="en-US" w:eastAsia="zh-CN"/>
          <w14:textFill>
            <w14:solidFill>
              <w14:schemeClr w14:val="tx1"/>
            </w14:solidFill>
          </w14:textFill>
        </w:rPr>
        <w:t>0元</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widowControl/>
        <w:kinsoku/>
        <w:overflowPunct/>
        <w:autoSpaceDE/>
        <w:autoSpaceDN/>
        <w:bidi w:val="0"/>
        <w:spacing w:line="440" w:lineRule="exact"/>
        <w:ind w:right="-197" w:rightChars="-94" w:firstLine="241"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四、响应文件提交</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截止时间：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26</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0分00秒 （北京时间）</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地点：西安市朱雀大街南段1号汇成天玺C座18层1818室 </w:t>
      </w:r>
    </w:p>
    <w:p>
      <w:pPr>
        <w:keepNext w:val="0"/>
        <w:keepLines w:val="0"/>
        <w:pageBreakBefore w:val="0"/>
        <w:widowControl/>
        <w:kinsoku/>
        <w:overflowPunct/>
        <w:autoSpaceDE/>
        <w:autoSpaceDN/>
        <w:bidi w:val="0"/>
        <w:spacing w:line="440" w:lineRule="exact"/>
        <w:ind w:right="-197" w:rightChars="-94" w:firstLine="241" w:firstLineChars="100"/>
        <w:jc w:val="lef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五、开启</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12</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26</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0分00秒 （北京时间）</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地点：西安市朱雀大街南段1号汇成天玺C座18层1818室</w:t>
      </w:r>
    </w:p>
    <w:p>
      <w:pPr>
        <w:keepNext w:val="0"/>
        <w:keepLines w:val="0"/>
        <w:pageBreakBefore w:val="0"/>
        <w:widowControl/>
        <w:kinsoku/>
        <w:overflowPunct/>
        <w:autoSpaceDE/>
        <w:autoSpaceDN/>
        <w:bidi w:val="0"/>
        <w:spacing w:line="440" w:lineRule="exact"/>
        <w:ind w:right="-197" w:rightChars="-94" w:firstLine="241"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六、公告期限</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自本公告发布之日起3个工作日。</w:t>
      </w:r>
    </w:p>
    <w:p>
      <w:pPr>
        <w:keepNext w:val="0"/>
        <w:keepLines w:val="0"/>
        <w:pageBreakBefore w:val="0"/>
        <w:widowControl/>
        <w:kinsoku/>
        <w:overflowPunct/>
        <w:autoSpaceDE/>
        <w:autoSpaceDN/>
        <w:bidi w:val="0"/>
        <w:spacing w:line="440" w:lineRule="exact"/>
        <w:ind w:right="-197" w:rightChars="-94" w:firstLine="241" w:firstLineChars="100"/>
        <w:jc w:val="lef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七、其他补充事宜</w:t>
      </w:r>
    </w:p>
    <w:p>
      <w:pPr>
        <w:keepNext w:val="0"/>
        <w:keepLines w:val="0"/>
        <w:pageBreakBefore w:val="0"/>
        <w:widowControl/>
        <w:kinsoku/>
        <w:overflowPunct/>
        <w:autoSpaceDE/>
        <w:autoSpaceDN/>
        <w:bidi w:val="0"/>
        <w:spacing w:line="440" w:lineRule="exact"/>
        <w:ind w:right="-197" w:rightChars="-94" w:firstLine="720" w:firstLineChars="3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注：1、本项目仅对中小企业发售。2、获取竞争性磋商文件时（9：00—12：00，14：00--17：00（节假日除外））请携带有效的单位介绍信及被介绍人身份证复印件，加盖供应商公章（鲜章）,可自带 U 盘拷贝电子文件（本项目仅支持现场报名获取，谢绝邮寄）。</w:t>
      </w:r>
    </w:p>
    <w:p>
      <w:pPr>
        <w:keepNext w:val="0"/>
        <w:keepLines w:val="0"/>
        <w:pageBreakBefore w:val="0"/>
        <w:widowControl/>
        <w:kinsoku/>
        <w:overflowPunct/>
        <w:autoSpaceDE/>
        <w:autoSpaceDN/>
        <w:bidi w:val="0"/>
        <w:spacing w:line="440" w:lineRule="exact"/>
        <w:ind w:right="-197" w:rightChars="-94"/>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八、凡对本次采购提出询问，请按以下方式联系。</w:t>
      </w:r>
    </w:p>
    <w:p>
      <w:pPr>
        <w:keepNext w:val="0"/>
        <w:keepLines w:val="0"/>
        <w:pageBreakBefore w:val="0"/>
        <w:widowControl/>
        <w:kinsoku/>
        <w:overflowPunct/>
        <w:autoSpaceDE/>
        <w:autoSpaceDN/>
        <w:bidi w:val="0"/>
        <w:spacing w:line="440" w:lineRule="exact"/>
        <w:ind w:right="-197" w:rightChars="-94"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1.釆购人信息</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lang w:eastAsia="zh-CN"/>
          <w14:textFill>
            <w14:solidFill>
              <w14:schemeClr w14:val="tx1"/>
            </w14:solidFill>
          </w14:textFill>
        </w:rPr>
        <w:t>韩城市疾病预防控制中心</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bookmarkStart w:id="93" w:name="_GoBack"/>
      <w:r>
        <w:rPr>
          <w:rFonts w:hint="eastAsia" w:ascii="仿宋" w:hAnsi="仿宋" w:eastAsia="仿宋" w:cs="仿宋"/>
          <w:color w:val="000000" w:themeColor="text1"/>
          <w:sz w:val="24"/>
          <w:highlight w:val="none"/>
          <w:lang w:val="en-US" w:eastAsia="zh-CN"/>
          <w14:textFill>
            <w14:solidFill>
              <w14:schemeClr w14:val="tx1"/>
            </w14:solidFill>
          </w14:textFill>
        </w:rPr>
        <w:t>韩城市新城区普照路东段</w:t>
      </w:r>
      <w:bookmarkEnd w:id="93"/>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lang w:val="en-US" w:eastAsia="zh-CN"/>
          <w14:textFill>
            <w14:solidFill>
              <w14:schemeClr w14:val="tx1"/>
            </w14:solidFill>
          </w14:textFill>
        </w:rPr>
        <w:t>0913-5210060</w:t>
      </w:r>
    </w:p>
    <w:p>
      <w:pPr>
        <w:keepNext w:val="0"/>
        <w:keepLines w:val="0"/>
        <w:pageBreakBefore w:val="0"/>
        <w:widowControl/>
        <w:kinsoku/>
        <w:overflowPunct/>
        <w:autoSpaceDE/>
        <w:autoSpaceDN/>
        <w:bidi w:val="0"/>
        <w:spacing w:line="440" w:lineRule="exact"/>
        <w:ind w:right="-197" w:rightChars="-94"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2.釆购代理机构信息</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地址：西安市朱雀大街南段1号汇成天玺C座18层</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lang w:eastAsia="zh-CN"/>
          <w14:textFill>
            <w14:solidFill>
              <w14:schemeClr w14:val="tx1"/>
            </w14:solidFill>
          </w14:textFill>
        </w:rPr>
        <w:t>029-87592321</w:t>
      </w:r>
    </w:p>
    <w:p>
      <w:pPr>
        <w:keepNext w:val="0"/>
        <w:keepLines w:val="0"/>
        <w:pageBreakBefore w:val="0"/>
        <w:widowControl/>
        <w:kinsoku/>
        <w:overflowPunct/>
        <w:autoSpaceDE/>
        <w:autoSpaceDN/>
        <w:bidi w:val="0"/>
        <w:spacing w:line="440" w:lineRule="exact"/>
        <w:ind w:right="-197" w:rightChars="-94"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3.项目联系方式 </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w:t>
      </w:r>
      <w:r>
        <w:rPr>
          <w:rFonts w:hint="eastAsia" w:ascii="仿宋" w:hAnsi="仿宋" w:eastAsia="仿宋" w:cs="仿宋"/>
          <w:color w:val="000000" w:themeColor="text1"/>
          <w:sz w:val="24"/>
          <w:highlight w:val="none"/>
          <w:lang w:eastAsia="zh-CN"/>
          <w14:textFill>
            <w14:solidFill>
              <w14:schemeClr w14:val="tx1"/>
            </w14:solidFill>
          </w14:textFill>
        </w:rPr>
        <w:t>党工</w:t>
      </w:r>
    </w:p>
    <w:p>
      <w:pPr>
        <w:keepNext w:val="0"/>
        <w:keepLines w:val="0"/>
        <w:pageBreakBefore w:val="0"/>
        <w:widowControl/>
        <w:kinsoku/>
        <w:overflowPunct/>
        <w:autoSpaceDE/>
        <w:autoSpaceDN/>
        <w:bidi w:val="0"/>
        <w:spacing w:line="440" w:lineRule="exact"/>
        <w:ind w:right="-197" w:rightChars="-94" w:firstLine="480" w:firstLineChars="200"/>
        <w:jc w:val="lef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电话：</w:t>
      </w:r>
      <w:r>
        <w:rPr>
          <w:rFonts w:hint="eastAsia" w:ascii="仿宋" w:hAnsi="仿宋" w:eastAsia="仿宋" w:cs="仿宋"/>
          <w:color w:val="000000" w:themeColor="text1"/>
          <w:sz w:val="24"/>
          <w:highlight w:val="none"/>
          <w:lang w:eastAsia="zh-CN"/>
          <w14:textFill>
            <w14:solidFill>
              <w14:schemeClr w14:val="tx1"/>
            </w14:solidFill>
          </w14:textFill>
        </w:rPr>
        <w:t>029-87592321</w:t>
      </w:r>
    </w:p>
    <w:p>
      <w:pPr>
        <w:widowControl/>
        <w:spacing w:line="460" w:lineRule="exact"/>
        <w:ind w:right="-197" w:rightChars="-94"/>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84455</wp:posOffset>
                </wp:positionV>
                <wp:extent cx="5953125" cy="735965"/>
                <wp:effectExtent l="4445" t="4445" r="5080" b="21590"/>
                <wp:wrapSquare wrapText="bothSides"/>
                <wp:docPr id="1" name="文本框 1"/>
                <wp:cNvGraphicFramePr/>
                <a:graphic xmlns:a="http://schemas.openxmlformats.org/drawingml/2006/main">
                  <a:graphicData uri="http://schemas.microsoft.com/office/word/2010/wordprocessingShape">
                    <wps:wsp>
                      <wps:cNvSpPr txBox="1"/>
                      <wps:spPr>
                        <a:xfrm>
                          <a:off x="0" y="0"/>
                          <a:ext cx="5953125" cy="735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wps:txbx>
                      <wps:bodyPr wrap="none" upright="1">
                        <a:spAutoFit/>
                      </wps:bodyPr>
                    </wps:wsp>
                  </a:graphicData>
                </a:graphic>
              </wp:anchor>
            </w:drawing>
          </mc:Choice>
          <mc:Fallback>
            <w:pict>
              <v:shape id="_x0000_s1026" o:spid="_x0000_s1026" o:spt="202" type="#_x0000_t202" style="position:absolute;left:0pt;margin-left:5.25pt;margin-top:6.65pt;height:57.95pt;width:468.75pt;mso-wrap-distance-bottom:0pt;mso-wrap-distance-left:9pt;mso-wrap-distance-right:9pt;mso-wrap-distance-top:0pt;mso-wrap-style:none;z-index:251659264;mso-width-relative:page;mso-height-relative:page;" fillcolor="#FFFFFF" filled="t" stroked="t" coordsize="21600,21600" o:gfxdata="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ctY/tgAAAAJAQAA&#10;DwAAAAAAAAABACAAAAAiAAAAZHJzL2Rvd25yZXYueG1sUEsBAhQAFAAAAAgAh07iQNmWpKQZAgAA&#10;XAQAAA4AAAAAAAAAAQAgAAAAJwEAAGRycy9lMm9Eb2MueG1sUEsFBgAAAAAGAAYAWQEAALIFAAAA&#10;AA==&#10;">
                <v:fill on="t" focussize="0,0"/>
                <v:stroke color="#000000" joinstyle="miter"/>
                <v:imagedata o:title=""/>
                <o:lock v:ext="edit" aspectratio="f"/>
                <v:textbox style="mso-fit-shape-to-text:t;">
                  <w:txbxContent>
                    <w:p>
                      <w:pPr>
                        <w:spacing w:line="500" w:lineRule="exact"/>
                        <w:rPr>
                          <w:rFonts w:hint="eastAsia" w:ascii="仿宋" w:hAnsi="仿宋" w:eastAsia="仿宋" w:cs="仿宋"/>
                          <w:b/>
                          <w:sz w:val="24"/>
                        </w:rPr>
                      </w:pPr>
                      <w:r>
                        <w:rPr>
                          <w:rFonts w:hint="eastAsia" w:ascii="仿宋" w:hAnsi="仿宋" w:eastAsia="仿宋" w:cs="仿宋"/>
                          <w:b/>
                          <w:sz w:val="24"/>
                        </w:rPr>
                        <w:t>温馨提示：购买磋商文件后，请仔细阅读，特别注意粗体及划线部分，如有疑问请来电咨询。</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pStyle w:val="2"/>
        <w:spacing w:before="0" w:after="0" w:line="240" w:lineRule="auto"/>
        <w:jc w:val="center"/>
        <w:rPr>
          <w:rFonts w:hint="eastAsia" w:ascii="仿宋" w:hAnsi="仿宋" w:eastAsia="仿宋" w:cs="仿宋"/>
          <w:color w:val="000000" w:themeColor="text1"/>
          <w:highlight w:val="none"/>
          <w14:textFill>
            <w14:solidFill>
              <w14:schemeClr w14:val="tx1"/>
            </w14:solidFill>
          </w14:textFill>
        </w:rPr>
      </w:pPr>
      <w:bookmarkStart w:id="1" w:name="_Toc19749"/>
      <w:r>
        <w:rPr>
          <w:rFonts w:hint="eastAsia" w:ascii="仿宋" w:hAnsi="仿宋" w:eastAsia="仿宋" w:cs="仿宋"/>
          <w:color w:val="000000" w:themeColor="text1"/>
          <w:highlight w:val="none"/>
          <w14:textFill>
            <w14:solidFill>
              <w14:schemeClr w14:val="tx1"/>
            </w14:solidFill>
          </w14:textFill>
        </w:rPr>
        <w:t>第二章 供应商须知</w:t>
      </w:r>
      <w:bookmarkEnd w:id="1"/>
    </w:p>
    <w:p>
      <w:pPr>
        <w:pStyle w:val="3"/>
        <w:spacing w:line="240" w:lineRule="auto"/>
        <w:jc w:val="center"/>
        <w:rPr>
          <w:rFonts w:hint="eastAsia" w:ascii="仿宋" w:hAnsi="仿宋" w:eastAsia="仿宋" w:cs="仿宋"/>
          <w:color w:val="000000" w:themeColor="text1"/>
          <w:sz w:val="28"/>
          <w:szCs w:val="28"/>
          <w:highlight w:val="none"/>
          <w14:textFill>
            <w14:solidFill>
              <w14:schemeClr w14:val="tx1"/>
            </w14:solidFill>
          </w14:textFill>
        </w:rPr>
      </w:pPr>
      <w:bookmarkStart w:id="2" w:name="_Toc1739"/>
      <w:r>
        <w:rPr>
          <w:rFonts w:hint="eastAsia" w:ascii="仿宋" w:hAnsi="仿宋" w:eastAsia="仿宋" w:cs="仿宋"/>
          <w:color w:val="000000" w:themeColor="text1"/>
          <w:sz w:val="28"/>
          <w:szCs w:val="28"/>
          <w:highlight w:val="none"/>
          <w14:textFill>
            <w14:solidFill>
              <w14:schemeClr w14:val="tx1"/>
            </w14:solidFill>
          </w14:textFill>
        </w:rPr>
        <w:t>一、供应商须知前附表</w:t>
      </w:r>
      <w:bookmarkEnd w:id="2"/>
    </w:p>
    <w:tbl>
      <w:tblPr>
        <w:tblStyle w:val="24"/>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2492"/>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19" w:type="dxa"/>
            <w:vAlign w:val="center"/>
          </w:tcPr>
          <w:p>
            <w:pPr>
              <w:keepNext w:val="0"/>
              <w:keepLines w:val="0"/>
              <w:pageBreakBefore w:val="0"/>
              <w:kinsoku/>
              <w:wordWrap/>
              <w:overflowPunct/>
              <w:topLinePunct w:val="0"/>
              <w:autoSpaceDE/>
              <w:autoSpaceDN/>
              <w:bidi w:val="0"/>
              <w:adjustRightInd/>
              <w:spacing w:line="240" w:lineRule="auto"/>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条款名称</w:t>
            </w:r>
          </w:p>
        </w:tc>
        <w:tc>
          <w:tcPr>
            <w:tcW w:w="6764"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韩城市疾病预防控制中心</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联系地址：韩城市新城区普照路东段</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40" w:lineRule="exact"/>
              <w:ind w:right="0"/>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kern w:val="2"/>
                <w:sz w:val="24"/>
                <w:szCs w:val="24"/>
                <w:highlight w:val="none"/>
                <w:lang w:val="en-US" w:eastAsia="zh-CN" w:bidi="ar-SA"/>
              </w:rPr>
              <w:t>联系电话：0913-5210060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采购代理机构</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华招广和项目管理有限公司</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地址：西安市朱雀大街南段1号汇成天玺C座18层</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eastAsia="zh-CN"/>
              </w:rPr>
              <w:t>党工</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lang w:eastAsia="zh-CN"/>
              </w:rPr>
              <w:t>029-87592321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农村生活饮用水检测项目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项目编号</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HZGH-2023-060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项目性质</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项目预算</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732000.00元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项目用途</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lang w:eastAsia="zh-CN"/>
              </w:rPr>
              <w:t>农村生活饮用水检测项目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采购内容和要求</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农村生活饮用水检测项目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响应</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"http://baike.baidu.com/view/8707.htm" \t "_blank" </w:instrText>
            </w:r>
            <w:r>
              <w:rPr>
                <w:rFonts w:hint="eastAsia" w:ascii="仿宋" w:hAnsi="仿宋" w:eastAsia="仿宋" w:cs="仿宋"/>
                <w:color w:val="auto"/>
                <w:highlight w:val="none"/>
              </w:rPr>
              <w:fldChar w:fldCharType="separate"/>
            </w:r>
            <w:r>
              <w:rPr>
                <w:rFonts w:hint="eastAsia" w:ascii="仿宋" w:hAnsi="仿宋" w:eastAsia="仿宋" w:cs="仿宋"/>
                <w:color w:val="auto"/>
                <w:sz w:val="24"/>
                <w:highlight w:val="none"/>
              </w:rPr>
              <w:t>磋商</w:t>
            </w:r>
            <w:r>
              <w:rPr>
                <w:rFonts w:hint="eastAsia" w:ascii="仿宋" w:hAnsi="仿宋" w:eastAsia="仿宋" w:cs="仿宋"/>
                <w:color w:val="auto"/>
                <w:sz w:val="24"/>
                <w:highlight w:val="none"/>
              </w:rPr>
              <w:fldChar w:fldCharType="end"/>
            </w:r>
            <w:r>
              <w:rPr>
                <w:rFonts w:hint="eastAsia" w:ascii="仿宋" w:hAnsi="仿宋" w:eastAsia="仿宋" w:cs="仿宋"/>
                <w:color w:val="auto"/>
                <w:sz w:val="24"/>
                <w:highlight w:val="none"/>
              </w:rPr>
              <w:t>并且符合竞争性磋商文件规定资格条件和参加磋商竞争的法人或其他组织。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供应商资格要求</w:t>
            </w:r>
          </w:p>
        </w:tc>
        <w:tc>
          <w:tcPr>
            <w:tcW w:w="6764" w:type="dxa"/>
          </w:tcPr>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w:t>
            </w:r>
            <w:r>
              <w:rPr>
                <w:rFonts w:hint="eastAsia" w:ascii="仿宋" w:hAnsi="仿宋" w:eastAsia="仿宋" w:cs="仿宋"/>
                <w:i w:val="0"/>
                <w:iCs w:val="0"/>
                <w:caps w:val="0"/>
                <w:color w:val="000000"/>
                <w:spacing w:val="0"/>
                <w:sz w:val="24"/>
                <w:szCs w:val="24"/>
                <w:highlight w:val="none"/>
                <w:shd w:val="clear" w:color="auto" w:fill="FFFFFF"/>
                <w:lang w:eastAsia="zh-CN"/>
              </w:rPr>
              <w:t>提供具有财务审计资质单位出具的2021年度或2022年度财务报告</w:t>
            </w:r>
            <w:r>
              <w:rPr>
                <w:rFonts w:hint="eastAsia" w:ascii="仿宋" w:hAnsi="仿宋" w:eastAsia="仿宋" w:cs="仿宋"/>
                <w:i w:val="0"/>
                <w:iCs w:val="0"/>
                <w:caps w:val="0"/>
                <w:color w:val="000000"/>
                <w:spacing w:val="0"/>
                <w:sz w:val="24"/>
                <w:szCs w:val="24"/>
                <w:highlight w:val="none"/>
                <w:shd w:val="clear" w:color="auto" w:fill="FFFFFF"/>
              </w:rPr>
              <w:t xml:space="preserve">（成立时间至磋商时间不足一年的可提供成立后任意时段的资产负债表）或磋商前六个月内其基本账户银行出具的资信证明（附开户许可证或基本账户证明）或政府采购信用担保机构出具的磋商担保函。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税收缴纳证明：提供2022年1月1日至今任意一个月已缴纳的纳税证明或完税证明（包含增值税、企业所得税、营业税至少一种）；（依法免税的供应商应提供相关文件证明）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42"/>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42"/>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 xml:space="preserve">2、被授权人参与磋商时需提供法定代表人或负责人授权委托书（附法定代表人或负责人及被授权人身份证复印件）；（被授权人须提供身份证原件，身份证原件可由本人持有） </w:t>
            </w:r>
          </w:p>
          <w:p>
            <w:pPr>
              <w:pStyle w:val="42"/>
              <w:keepNext w:val="0"/>
              <w:keepLines w:val="0"/>
              <w:pageBreakBefore w:val="0"/>
              <w:widowControl/>
              <w:kinsoku/>
              <w:wordWrap w:val="0"/>
              <w:overflowPunct/>
              <w:topLine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 xml:space="preserve">3、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42"/>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 xml:space="preserve">4、单位负责人为同一人或者存在直接控股、管理关系的不同供应商，不得参加同一合同项下的政府采购活动；（提供书面承诺函，格式自拟加盖供应商公章） </w:t>
            </w:r>
          </w:p>
          <w:p>
            <w:pPr>
              <w:pStyle w:val="42"/>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5、本项目专门面向中小企业采购；须符合《政府采购促进中小企业发展管理办法》（财库〔2020〕46号）规定的中小企业参加；(提供《中小企业声明函》，式样见竞争性磋商响应文件格式)</w:t>
            </w:r>
          </w:p>
          <w:p>
            <w:pPr>
              <w:pStyle w:val="42"/>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6、供应商须具备CMA检验检测机构资质认定证书；</w:t>
            </w:r>
          </w:p>
          <w:p>
            <w:pPr>
              <w:pStyle w:val="42"/>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7、本项目不接受联合体磋商。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服务期限、地点</w:t>
            </w:r>
          </w:p>
        </w:tc>
        <w:tc>
          <w:tcPr>
            <w:tcW w:w="6764" w:type="dxa"/>
          </w:tcPr>
          <w:p>
            <w:pPr>
              <w:pStyle w:val="41"/>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1、服务期限：自合同签订之日起12个月内服务完毕。</w:t>
            </w:r>
          </w:p>
          <w:p>
            <w:pPr>
              <w:pStyle w:val="41"/>
              <w:keepNext w:val="0"/>
              <w:keepLines w:val="0"/>
              <w:pageBreakBefore w:val="0"/>
              <w:kinsoku/>
              <w:wordWrap/>
              <w:overflowPunct/>
              <w:topLinePunct w:val="0"/>
              <w:autoSpaceDE/>
              <w:autoSpaceDN/>
              <w:bidi w:val="0"/>
              <w:adjustRightInd/>
              <w:spacing w:line="640" w:lineRule="exact"/>
              <w:ind w:left="0" w:leftChars="0" w:firstLine="0" w:firstLineChars="0"/>
              <w:textAlignment w:val="auto"/>
              <w:rPr>
                <w:rFonts w:hint="eastAsia" w:ascii="仿宋" w:hAnsi="仿宋" w:eastAsia="仿宋" w:cs="仿宋"/>
                <w:color w:val="auto"/>
                <w:sz w:val="24"/>
                <w:highlight w:val="none"/>
              </w:rPr>
            </w:pPr>
            <w:r>
              <w:rPr>
                <w:rFonts w:hint="eastAsia" w:ascii="仿宋" w:hAnsi="仿宋" w:eastAsia="仿宋" w:cs="仿宋"/>
                <w:color w:val="auto"/>
                <w:kern w:val="2"/>
                <w:sz w:val="24"/>
                <w:szCs w:val="24"/>
                <w:highlight w:val="none"/>
                <w:lang w:val="en-US" w:eastAsia="zh-CN" w:bidi="ar-SA"/>
              </w:rPr>
              <w:t>2、服务地点：甲方指定地点。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竞争性磋商文件发售</w:t>
            </w:r>
          </w:p>
        </w:tc>
        <w:tc>
          <w:tcPr>
            <w:tcW w:w="6764" w:type="dxa"/>
          </w:tcPr>
          <w:p>
            <w:pPr>
              <w:pStyle w:val="43"/>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发售时间：202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日至202</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月</w:t>
            </w:r>
            <w:r>
              <w:rPr>
                <w:rFonts w:hint="eastAsia" w:ascii="仿宋" w:hAnsi="仿宋" w:eastAsia="仿宋" w:cs="仿宋"/>
                <w:color w:val="auto"/>
                <w:sz w:val="24"/>
                <w:szCs w:val="24"/>
                <w:highlight w:val="none"/>
                <w:lang w:val="en-US" w:eastAsia="zh-CN"/>
              </w:rPr>
              <w:t>19</w:t>
            </w:r>
            <w:r>
              <w:rPr>
                <w:rFonts w:hint="eastAsia" w:ascii="仿宋" w:hAnsi="仿宋" w:eastAsia="仿宋" w:cs="仿宋"/>
                <w:color w:val="auto"/>
                <w:sz w:val="24"/>
                <w:szCs w:val="24"/>
                <w:highlight w:val="none"/>
              </w:rPr>
              <w:t>日上午9:00-12:00，下午2:00-5:00时止（节假日除外）。</w:t>
            </w:r>
          </w:p>
          <w:p>
            <w:pPr>
              <w:pStyle w:val="43"/>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发售地点：西安市朱雀大街南段1号汇成天玺C座18层</w:t>
            </w:r>
            <w:r>
              <w:rPr>
                <w:rFonts w:hint="eastAsia" w:ascii="仿宋" w:hAnsi="仿宋" w:eastAsia="仿宋" w:cs="仿宋"/>
                <w:color w:val="auto"/>
                <w:sz w:val="24"/>
                <w:szCs w:val="24"/>
                <w:highlight w:val="none"/>
                <w:lang w:eastAsia="zh-CN"/>
              </w:rPr>
              <w:t>1812</w:t>
            </w:r>
            <w:r>
              <w:rPr>
                <w:rFonts w:hint="eastAsia" w:ascii="仿宋" w:hAnsi="仿宋" w:eastAsia="仿宋" w:cs="仿宋"/>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联合体磋商</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现场勘查、标前答疑会</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不统一组织。供应商认为有必要可自行勘查，并承担所有费用及风险。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供应商对竞争性磋商文件提出质疑的时间</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供应商若对竞争性磋商文件有质疑的，在收到竞争性磋商文件之日起七个工作日内，以书面形式向采购代理机构提出，在此之后提出的质疑无效。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构成竞争性磋商文件的其他文件</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竞争性磋商文件的澄清、修改书及有关补充通知为竞争性磋商文件的有效组成部分。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7</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u w:val="wavyHeavy" w:color="FF0000"/>
              </w:rPr>
            </w:pPr>
            <w:r>
              <w:rPr>
                <w:rFonts w:hint="eastAsia" w:ascii="仿宋" w:hAnsi="仿宋" w:eastAsia="仿宋" w:cs="仿宋"/>
                <w:color w:val="auto"/>
                <w:sz w:val="24"/>
                <w:highlight w:val="none"/>
              </w:rPr>
              <w:t>磋商响应文件截止时间及磋商时间和地点</w:t>
            </w:r>
          </w:p>
        </w:tc>
        <w:tc>
          <w:tcPr>
            <w:tcW w:w="6764" w:type="dxa"/>
          </w:tcPr>
          <w:p>
            <w:pPr>
              <w:pStyle w:val="43"/>
              <w:keepNext w:val="0"/>
              <w:keepLines w:val="0"/>
              <w:pageBreakBefore w:val="0"/>
              <w:numPr>
                <w:ilvl w:val="0"/>
                <w:numId w:val="1"/>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磋商响应文件截止时间：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26</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p>
            <w:pPr>
              <w:pStyle w:val="43"/>
              <w:keepNext w:val="0"/>
              <w:keepLines w:val="0"/>
              <w:pageBreakBefore w:val="0"/>
              <w:numPr>
                <w:ilvl w:val="0"/>
                <w:numId w:val="1"/>
              </w:numPr>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磋商时间：</w:t>
            </w:r>
            <w:r>
              <w:rPr>
                <w:rFonts w:hint="eastAsia" w:ascii="仿宋" w:hAnsi="仿宋" w:eastAsia="仿宋" w:cs="仿宋"/>
                <w:color w:val="auto"/>
                <w:sz w:val="24"/>
                <w:highlight w:val="none"/>
                <w:lang w:eastAsia="zh-CN"/>
              </w:rPr>
              <w:t>202</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年</w:t>
            </w:r>
            <w:r>
              <w:rPr>
                <w:rFonts w:hint="eastAsia" w:ascii="仿宋" w:hAnsi="仿宋" w:eastAsia="仿宋" w:cs="仿宋"/>
                <w:color w:val="auto"/>
                <w:sz w:val="24"/>
                <w:highlight w:val="none"/>
                <w:lang w:val="en-US" w:eastAsia="zh-CN"/>
              </w:rPr>
              <w:t>12</w:t>
            </w:r>
            <w:r>
              <w:rPr>
                <w:rFonts w:hint="eastAsia" w:ascii="仿宋" w:hAnsi="仿宋" w:eastAsia="仿宋" w:cs="仿宋"/>
                <w:color w:val="auto"/>
                <w:sz w:val="24"/>
                <w:highlight w:val="none"/>
                <w:lang w:eastAsia="zh-CN"/>
              </w:rPr>
              <w:t>月</w:t>
            </w:r>
            <w:r>
              <w:rPr>
                <w:rFonts w:hint="eastAsia" w:ascii="仿宋" w:hAnsi="仿宋" w:eastAsia="仿宋" w:cs="仿宋"/>
                <w:color w:val="auto"/>
                <w:sz w:val="24"/>
                <w:highlight w:val="none"/>
                <w:lang w:val="en-US" w:eastAsia="zh-CN"/>
              </w:rPr>
              <w:t>26</w:t>
            </w:r>
            <w:r>
              <w:rPr>
                <w:rFonts w:hint="eastAsia" w:ascii="仿宋" w:hAnsi="仿宋" w:eastAsia="仿宋" w:cs="仿宋"/>
                <w:color w:val="auto"/>
                <w:sz w:val="24"/>
                <w:highlight w:val="none"/>
                <w:lang w:eastAsia="zh-CN"/>
              </w:rPr>
              <w:t>日</w:t>
            </w: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0</w:t>
            </w:r>
          </w:p>
          <w:p>
            <w:pPr>
              <w:pStyle w:val="43"/>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3、磋商地点：西安市朱雀大街南段1号汇成天玺C座18层</w:t>
            </w:r>
            <w:r>
              <w:rPr>
                <w:rFonts w:hint="eastAsia" w:ascii="仿宋" w:hAnsi="仿宋" w:eastAsia="仿宋" w:cs="仿宋"/>
                <w:color w:val="auto"/>
                <w:sz w:val="24"/>
                <w:szCs w:val="24"/>
                <w:highlight w:val="none"/>
                <w:lang w:val="en-US" w:eastAsia="zh-CN"/>
              </w:rPr>
              <w:t>1818</w:t>
            </w:r>
            <w:r>
              <w:rPr>
                <w:rFonts w:hint="eastAsia" w:ascii="仿宋" w:hAnsi="仿宋" w:eastAsia="仿宋" w:cs="仿宋"/>
                <w:color w:val="auto"/>
                <w:sz w:val="24"/>
                <w:szCs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w:t>
            </w:r>
            <w:r>
              <w:rPr>
                <w:rFonts w:hint="eastAsia" w:ascii="仿宋" w:hAnsi="仿宋" w:eastAsia="仿宋" w:cs="仿宋"/>
                <w:color w:val="auto"/>
                <w:sz w:val="24"/>
                <w:highlight w:val="none"/>
                <w:lang w:val="en-US" w:eastAsia="zh-CN"/>
              </w:rPr>
              <w:t>8</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磋商响应有效期</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pacing w:val="-4"/>
                <w:sz w:val="24"/>
                <w:highlight w:val="none"/>
              </w:rPr>
              <w:t>自提交磋商响应文件截止之日起90个日历日。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19</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磋商担保</w:t>
            </w:r>
          </w:p>
        </w:tc>
        <w:tc>
          <w:tcPr>
            <w:tcW w:w="6764" w:type="dxa"/>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b/>
                <w:color w:val="auto"/>
                <w:sz w:val="24"/>
                <w:highlight w:val="none"/>
                <w:lang w:val="en-US" w:eastAsia="zh-CN"/>
              </w:rPr>
            </w:pPr>
            <w:r>
              <w:rPr>
                <w:rFonts w:hint="eastAsia" w:ascii="仿宋" w:hAnsi="仿宋" w:eastAsia="仿宋" w:cs="仿宋"/>
                <w:b w:val="0"/>
                <w:bCs/>
                <w:color w:val="auto"/>
                <w:sz w:val="24"/>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20</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汇款账户</w:t>
            </w:r>
          </w:p>
        </w:tc>
        <w:tc>
          <w:tcPr>
            <w:tcW w:w="6764" w:type="dxa"/>
          </w:tcPr>
          <w:p>
            <w:pPr>
              <w:pStyle w:val="41"/>
              <w:spacing w:line="560" w:lineRule="exact"/>
              <w:ind w:firstLine="0" w:firstLineChars="0"/>
              <w:rPr>
                <w:rFonts w:hint="eastAsia" w:ascii="仿宋" w:hAnsi="仿宋" w:eastAsia="仿宋" w:cs="仿宋"/>
                <w:b/>
                <w:bCs/>
                <w:color w:val="auto"/>
                <w:kern w:val="2"/>
                <w:sz w:val="24"/>
                <w:szCs w:val="24"/>
                <w:highlight w:val="none"/>
                <w:lang w:eastAsia="zh-CN"/>
              </w:rPr>
            </w:pPr>
            <w:r>
              <w:rPr>
                <w:rFonts w:hint="eastAsia" w:ascii="仿宋" w:hAnsi="仿宋" w:eastAsia="仿宋" w:cs="仿宋"/>
                <w:b/>
                <w:bCs/>
                <w:color w:val="auto"/>
                <w:kern w:val="2"/>
                <w:sz w:val="24"/>
                <w:szCs w:val="24"/>
                <w:highlight w:val="none"/>
              </w:rPr>
              <w:t>中国建设银行：招标服务费（交纳账户）</w:t>
            </w:r>
          </w:p>
          <w:p>
            <w:pPr>
              <w:pStyle w:val="41"/>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名称：华招广和项目管理有限公司</w:t>
            </w:r>
          </w:p>
          <w:p>
            <w:pPr>
              <w:pStyle w:val="41"/>
              <w:spacing w:line="560" w:lineRule="exact"/>
              <w:ind w:firstLine="0" w:firstLineChars="0"/>
              <w:rPr>
                <w:rFonts w:hint="eastAsia" w:ascii="仿宋" w:hAnsi="仿宋" w:eastAsia="仿宋" w:cs="仿宋"/>
                <w:color w:val="auto"/>
                <w:kern w:val="2"/>
                <w:sz w:val="24"/>
                <w:szCs w:val="24"/>
                <w:highlight w:val="none"/>
                <w:lang w:eastAsia="zh-CN"/>
              </w:rPr>
            </w:pPr>
            <w:r>
              <w:rPr>
                <w:rFonts w:hint="eastAsia" w:ascii="仿宋" w:hAnsi="仿宋" w:eastAsia="仿宋" w:cs="仿宋"/>
                <w:color w:val="auto"/>
                <w:kern w:val="2"/>
                <w:sz w:val="24"/>
                <w:szCs w:val="24"/>
                <w:highlight w:val="none"/>
              </w:rPr>
              <w:t>开户行：中国建设银行股份有限公司西安金泰假日花城支行</w:t>
            </w:r>
          </w:p>
          <w:p>
            <w:pPr>
              <w:pStyle w:val="41"/>
              <w:spacing w:line="560" w:lineRule="exact"/>
              <w:ind w:firstLine="0" w:firstLine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帐号：6105 0186 5800 0000 0059</w:t>
            </w:r>
          </w:p>
          <w:p>
            <w:pPr>
              <w:pStyle w:val="41"/>
              <w:keepNext w:val="0"/>
              <w:keepLines w:val="0"/>
              <w:pageBreakBefore w:val="0"/>
              <w:kinsoku/>
              <w:wordWrap/>
              <w:overflowPunct/>
              <w:topLinePunct w:val="0"/>
              <w:autoSpaceDE/>
              <w:autoSpaceDN/>
              <w:bidi w:val="0"/>
              <w:adjustRightInd/>
              <w:spacing w:line="640" w:lineRule="exact"/>
              <w:ind w:firstLine="0" w:firstLineChars="0"/>
              <w:textAlignment w:val="auto"/>
              <w:rPr>
                <w:rFonts w:hint="eastAsia" w:ascii="仿宋" w:hAnsi="仿宋" w:eastAsia="仿宋" w:cs="仿宋"/>
                <w:b/>
                <w:color w:val="auto"/>
                <w:sz w:val="24"/>
                <w:szCs w:val="24"/>
                <w:highlight w:val="none"/>
              </w:rPr>
            </w:pPr>
            <w:r>
              <w:rPr>
                <w:rFonts w:hint="eastAsia" w:ascii="仿宋" w:hAnsi="仿宋" w:eastAsia="仿宋" w:cs="仿宋"/>
                <w:b/>
                <w:bCs/>
                <w:color w:val="auto"/>
                <w:kern w:val="2"/>
                <w:sz w:val="24"/>
                <w:szCs w:val="24"/>
                <w:highlight w:val="none"/>
              </w:rPr>
              <w:t>注:招标服务费采用转账形式交纳。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1</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备选磋商方案</w:t>
            </w:r>
          </w:p>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和报价</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不接受备选磋商方案和多个报价。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2</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盖章签字</w:t>
            </w:r>
          </w:p>
        </w:tc>
        <w:tc>
          <w:tcPr>
            <w:tcW w:w="6764" w:type="dxa"/>
            <w:vAlign w:val="center"/>
          </w:tcPr>
          <w:p>
            <w:pPr>
              <w:keepNext w:val="0"/>
              <w:keepLines w:val="0"/>
              <w:pageBreakBefore w:val="0"/>
              <w:tabs>
                <w:tab w:val="left" w:pos="7013"/>
              </w:tabs>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23</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竞争性磋商响应文件数量、装订</w:t>
            </w:r>
          </w:p>
        </w:tc>
        <w:tc>
          <w:tcPr>
            <w:tcW w:w="6764" w:type="dxa"/>
            <w:vAlign w:val="center"/>
          </w:tcPr>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auto"/>
                <w:sz w:val="24"/>
                <w:highlight w:val="none"/>
                <w:lang w:eastAsia="zh-CN"/>
              </w:rPr>
              <w:t>用</w:t>
            </w:r>
            <w:r>
              <w:rPr>
                <w:rFonts w:hint="eastAsia" w:ascii="仿宋" w:hAnsi="仿宋" w:eastAsia="仿宋" w:cs="仿宋"/>
                <w:color w:val="auto"/>
                <w:sz w:val="24"/>
                <w:highlight w:val="none"/>
              </w:rPr>
              <w:t>U盘或移动硬盘</w:t>
            </w:r>
            <w:r>
              <w:rPr>
                <w:rFonts w:hint="eastAsia" w:ascii="仿宋" w:hAnsi="仿宋" w:eastAsia="仿宋" w:cs="仿宋"/>
                <w:color w:val="auto"/>
                <w:sz w:val="24"/>
                <w:highlight w:val="none"/>
                <w:lang w:eastAsia="zh-CN"/>
              </w:rPr>
              <w:t>拷贝</w:t>
            </w:r>
            <w:r>
              <w:rPr>
                <w:rFonts w:hint="eastAsia" w:ascii="仿宋" w:hAnsi="仿宋" w:eastAsia="仿宋" w:cs="仿宋"/>
                <w:color w:val="auto"/>
                <w:sz w:val="24"/>
                <w:highlight w:val="none"/>
              </w:rPr>
              <w:t>），电子版</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文件提供</w:t>
            </w:r>
            <w:r>
              <w:rPr>
                <w:rFonts w:hint="eastAsia" w:ascii="仿宋" w:hAnsi="仿宋" w:eastAsia="仿宋" w:cs="仿宋"/>
                <w:color w:val="auto"/>
                <w:sz w:val="24"/>
                <w:highlight w:val="none"/>
                <w:lang w:eastAsia="zh-CN"/>
              </w:rPr>
              <w:t>响应</w:t>
            </w:r>
            <w:r>
              <w:rPr>
                <w:rFonts w:hint="eastAsia" w:ascii="仿宋" w:hAnsi="仿宋" w:eastAsia="仿宋" w:cs="仿宋"/>
                <w:color w:val="auto"/>
                <w:sz w:val="24"/>
                <w:highlight w:val="none"/>
              </w:rPr>
              <w:t>文件正本的word版本及PDF版本（PDF文件为完整签字、盖章的正本扫描件）。纸质磋商响应文件均须A4纸打印（提倡双面打印），分别各自装订成册并编制目录和页码。电子版放置磋商响应文件正本标袋内。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4</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磋商报价</w:t>
            </w:r>
          </w:p>
        </w:tc>
        <w:tc>
          <w:tcPr>
            <w:tcW w:w="6764" w:type="dxa"/>
            <w:vAlign w:val="center"/>
          </w:tcPr>
          <w:p>
            <w:pPr>
              <w:pStyle w:val="43"/>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本项目为交钥匙项目。</w:t>
            </w:r>
            <w:r>
              <w:rPr>
                <w:rFonts w:hint="eastAsia" w:ascii="仿宋" w:hAnsi="仿宋" w:eastAsia="仿宋" w:cs="仿宋"/>
                <w:color w:val="auto"/>
                <w:sz w:val="24"/>
                <w:szCs w:val="24"/>
                <w:highlight w:val="none"/>
              </w:rPr>
              <w:t>磋商报价=服务费+保险费+人员费+</w:t>
            </w:r>
            <w:r>
              <w:rPr>
                <w:rFonts w:hint="eastAsia" w:ascii="仿宋" w:hAnsi="仿宋" w:eastAsia="仿宋" w:cs="仿宋"/>
                <w:color w:val="auto"/>
                <w:sz w:val="24"/>
                <w:szCs w:val="24"/>
                <w:highlight w:val="none"/>
                <w:lang w:val="en-US" w:eastAsia="zh-CN"/>
              </w:rPr>
              <w:t>设备费+</w:t>
            </w:r>
            <w:r>
              <w:rPr>
                <w:rFonts w:hint="eastAsia" w:ascii="仿宋" w:hAnsi="仿宋" w:eastAsia="仿宋" w:cs="仿宋"/>
                <w:color w:val="auto"/>
                <w:sz w:val="24"/>
                <w:szCs w:val="24"/>
                <w:highlight w:val="none"/>
              </w:rPr>
              <w:t>其他相关伴随费用。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5</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评标办法及标准</w:t>
            </w:r>
          </w:p>
        </w:tc>
        <w:tc>
          <w:tcPr>
            <w:tcW w:w="6764" w:type="dxa"/>
            <w:vAlign w:val="center"/>
          </w:tcPr>
          <w:p>
            <w:pPr>
              <w:pStyle w:val="43"/>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详见竞争性磋商文件第二章。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en-US" w:eastAsia="zh-CN"/>
              </w:rPr>
              <w:t>6</w:t>
            </w:r>
          </w:p>
        </w:tc>
        <w:tc>
          <w:tcPr>
            <w:tcW w:w="2492"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其它事项</w:t>
            </w:r>
          </w:p>
        </w:tc>
        <w:tc>
          <w:tcPr>
            <w:tcW w:w="6764" w:type="dxa"/>
            <w:vAlign w:val="center"/>
          </w:tcPr>
          <w:p>
            <w:pPr>
              <w:pStyle w:val="43"/>
              <w:keepNext w:val="0"/>
              <w:keepLines w:val="0"/>
              <w:pageBreakBefore w:val="0"/>
              <w:kinsoku/>
              <w:wordWrap/>
              <w:overflowPunct/>
              <w:topLinePunct w:val="0"/>
              <w:autoSpaceDE/>
              <w:autoSpaceDN/>
              <w:bidi w:val="0"/>
              <w:adjustRightInd/>
              <w:spacing w:line="64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本次采购、磋商报价、评审和合同授予均以项目为单位，供应商必须就一个完整项目进行响应。成交供应商与采购人在成交通知书发出</w:t>
            </w:r>
            <w:r>
              <w:rPr>
                <w:rFonts w:hint="eastAsia" w:ascii="仿宋" w:hAnsi="仿宋" w:eastAsia="仿宋" w:cs="仿宋"/>
                <w:color w:val="auto"/>
                <w:kern w:val="2"/>
                <w:sz w:val="24"/>
                <w:szCs w:val="24"/>
                <w:highlight w:val="none"/>
                <w:lang w:val="en-US" w:eastAsia="zh-CN"/>
              </w:rPr>
              <w:t>25</w:t>
            </w:r>
            <w:r>
              <w:rPr>
                <w:rFonts w:hint="eastAsia" w:ascii="仿宋" w:hAnsi="仿宋" w:eastAsia="仿宋" w:cs="仿宋"/>
                <w:color w:val="auto"/>
                <w:kern w:val="2"/>
                <w:sz w:val="24"/>
                <w:szCs w:val="24"/>
                <w:highlight w:val="none"/>
              </w:rPr>
              <w:t>天内签订合同，不及时签订视为自动放弃。非经采购人同意，本项目不允许成交后另行转包或者分包。成交人无正当理由不得放弃成交资格。因自身原因拒绝签订政府采购合同的或者未按合同约定进行履约的，成交人不得参加对该项目重新开展的招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val="en-US" w:eastAsia="zh-CN"/>
              </w:rPr>
              <w:t>27</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rPr>
            </w:pPr>
            <w:r>
              <w:rPr>
                <w:rFonts w:hint="eastAsia" w:ascii="仿宋" w:hAnsi="仿宋" w:eastAsia="仿宋" w:cs="仿宋"/>
                <w:color w:val="000000"/>
                <w:sz w:val="24"/>
                <w:szCs w:val="24"/>
                <w:highlight w:val="none"/>
                <w:lang w:eastAsia="zh-CN"/>
              </w:rPr>
              <w:t>本项目是否专门面向中小企业</w:t>
            </w:r>
          </w:p>
        </w:tc>
        <w:tc>
          <w:tcPr>
            <w:tcW w:w="6764" w:type="dxa"/>
            <w:vAlign w:val="center"/>
          </w:tcPr>
          <w:p>
            <w:pPr>
              <w:pStyle w:val="43"/>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kern w:val="2"/>
                <w:sz w:val="24"/>
                <w:szCs w:val="24"/>
                <w:highlight w:val="none"/>
              </w:rPr>
            </w:pPr>
            <w:r>
              <w:rPr>
                <w:rFonts w:hint="eastAsia" w:ascii="仿宋" w:hAnsi="仿宋" w:eastAsia="仿宋" w:cs="仿宋"/>
                <w:color w:val="000000"/>
                <w:kern w:val="2"/>
                <w:sz w:val="24"/>
                <w:szCs w:val="24"/>
                <w:highlight w:val="none"/>
                <w:lang w:eastAsia="zh-CN"/>
              </w:rPr>
              <w:t>☑是</w:t>
            </w:r>
            <w:r>
              <w:rPr>
                <w:rFonts w:hint="eastAsia" w:ascii="仿宋" w:hAnsi="仿宋" w:eastAsia="仿宋" w:cs="仿宋"/>
                <w:color w:val="000000"/>
                <w:kern w:val="2"/>
                <w:sz w:val="24"/>
                <w:szCs w:val="24"/>
                <w:highlight w:val="none"/>
                <w:lang w:val="en-US" w:eastAsia="zh-CN"/>
              </w:rPr>
              <w:t xml:space="preserve">   </w:t>
            </w:r>
            <w:r>
              <w:rPr>
                <w:rFonts w:hint="eastAsia" w:ascii="仿宋" w:hAnsi="仿宋" w:eastAsia="仿宋" w:cs="仿宋"/>
                <w:color w:val="000000"/>
                <w:kern w:val="2"/>
                <w:sz w:val="24"/>
                <w:szCs w:val="24"/>
                <w:highlight w:val="no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19" w:type="dxa"/>
            <w:vAlign w:val="center"/>
          </w:tcPr>
          <w:p>
            <w:pPr>
              <w:keepNext w:val="0"/>
              <w:keepLines w:val="0"/>
              <w:pageBreakBefore w:val="0"/>
              <w:kinsoku/>
              <w:wordWrap/>
              <w:overflowPunct/>
              <w:topLinePunct w:val="0"/>
              <w:autoSpaceDE/>
              <w:autoSpaceDN/>
              <w:bidi w:val="0"/>
              <w:adjustRightInd/>
              <w:spacing w:line="640" w:lineRule="exact"/>
              <w:jc w:val="center"/>
              <w:textAlignment w:val="auto"/>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28</w:t>
            </w:r>
          </w:p>
        </w:tc>
        <w:tc>
          <w:tcPr>
            <w:tcW w:w="249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本项目所属行业</w:t>
            </w:r>
          </w:p>
        </w:tc>
        <w:tc>
          <w:tcPr>
            <w:tcW w:w="6764" w:type="dxa"/>
            <w:vAlign w:val="center"/>
          </w:tcPr>
          <w:p>
            <w:pPr>
              <w:pStyle w:val="43"/>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color w:val="auto"/>
                <w:kern w:val="2"/>
                <w:sz w:val="24"/>
                <w:szCs w:val="24"/>
                <w:highlight w:val="none"/>
                <w:lang w:val="en-US"/>
              </w:rPr>
            </w:pPr>
            <w:r>
              <w:rPr>
                <w:rFonts w:hint="default" w:ascii="仿宋" w:hAnsi="仿宋" w:eastAsia="仿宋" w:cs="仿宋"/>
                <w:color w:val="auto"/>
                <w:kern w:val="2"/>
                <w:sz w:val="24"/>
                <w:szCs w:val="24"/>
                <w:highlight w:val="none"/>
                <w:lang w:val="en-US" w:eastAsia="zh-CN"/>
              </w:rPr>
              <w:t>其他未列明行业</w:t>
            </w:r>
          </w:p>
        </w:tc>
      </w:tr>
    </w:tbl>
    <w:p>
      <w:pPr>
        <w:pStyle w:val="3"/>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bookmarkStart w:id="3" w:name="_Toc12152"/>
      <w:r>
        <w:rPr>
          <w:rFonts w:hint="eastAsia" w:ascii="仿宋" w:hAnsi="仿宋" w:eastAsia="仿宋" w:cs="仿宋"/>
          <w:color w:val="000000" w:themeColor="text1"/>
          <w:kern w:val="0"/>
          <w:sz w:val="28"/>
          <w:szCs w:val="28"/>
          <w:highlight w:val="none"/>
          <w14:textFill>
            <w14:solidFill>
              <w14:schemeClr w14:val="tx1"/>
            </w14:solidFill>
          </w14:textFill>
        </w:rPr>
        <w:t>二、项目说明</w:t>
      </w:r>
      <w:bookmarkEnd w:id="3"/>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1、本项目说明详见供应商须知前附表。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2、本项目按照《中华人民共和国政府采购法》等有关法律、行政法规和部门规章，通过竞争性磋商方式择优选定成交供应商。</w:t>
      </w:r>
    </w:p>
    <w:p>
      <w:pPr>
        <w:pStyle w:val="3"/>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4" w:name="_Toc24776"/>
      <w:bookmarkStart w:id="5" w:name="_Toc458848819"/>
      <w:bookmarkStart w:id="6" w:name="_Toc458848734"/>
      <w:bookmarkStart w:id="7" w:name="_Toc458848967"/>
      <w:r>
        <w:rPr>
          <w:rFonts w:hint="eastAsia" w:ascii="仿宋" w:hAnsi="仿宋" w:eastAsia="仿宋" w:cs="仿宋"/>
          <w:color w:val="000000" w:themeColor="text1"/>
          <w:kern w:val="0"/>
          <w:sz w:val="28"/>
          <w:szCs w:val="28"/>
          <w:highlight w:val="none"/>
          <w14:textFill>
            <w14:solidFill>
              <w14:schemeClr w14:val="tx1"/>
            </w14:solidFill>
          </w14:textFill>
        </w:rPr>
        <w:t>三、竞争性磋商文件</w:t>
      </w:r>
      <w:bookmarkEnd w:id="4"/>
      <w:bookmarkEnd w:id="5"/>
      <w:bookmarkEnd w:id="6"/>
      <w:bookmarkEnd w:id="7"/>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1、竞争性磋商文件购买：供应商须经过正常渠道购买竞争性磋商文件，且供应商名称与登记领取竞争性磋商文件的单位名称一致，否则将作为无效响应处理。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2、竞争性磋商文件由竞争性磋商文件目录前五章组成。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3、供应商应详细阅读和充分理解竞争性磋商文件所有的事项、格式、条款和规范要求等，在竞争性磋商响应文件中对竞争性磋商文件的各方面都做出实质性的响应，按照竞争性磋商文件的要求提交全部资料。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4、竞争性磋商文件的澄清或修改：</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提交磋商响应文件截止时间前，采购人、采购代理机构可以以书面形式对竞争性磋商文件进行必要的澄清或修改，但不得改变采购标的和资格条件，并在原信息发布媒体上发布变更公告。澄清或修改的内容均为竞争性磋商文件的组成部分，并对采购人及供应商起约束作用。澄清或修改的内容可能影响响应文件编制的，都将于提交磋商响应文件截止时间5日前以书面形式发送给所有参加磋商的供应商；不足5日的，采购人、采购代理机构顺延递交竞争性磋商响应文件的截止时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5、供应商若对磋商文件有任何疑问，可以以书面形式向采购代理机构提出询问。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6、供应商认为竞争性磋商文件使自己的权益受到损害的，在收到竞争性磋商文件之日起七个工作日内，以书面形式向采购代理机构提出质疑，逾期提出的无效，因此带来的一切不利后果由供应商自负。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磋商截止时间前，根据采购工作进展实际情况，采购人可酌情延长递交竞争性磋商响应文件的截止时间，若延长将另行以书面形式通知各供应商并在原信息发布媒体上发布变更公告。采购代理机构和供应商的权利和义务将受到新的截止期的约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8、供应商必须从采购代理机构购买竞争性磋商文件，供应商自行转让或复制竞争性磋商文件视为无效。竞争性磋商文件售后不退，仅作为本次采购使用。</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9、如发现竞争性磋商文件内容与现行法律法规不相符的情况，以现行法律法规为准。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10、现场勘查、标前答疑会：见须知前附表。</w:t>
      </w:r>
    </w:p>
    <w:p>
      <w:pPr>
        <w:pStyle w:val="3"/>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bookmarkStart w:id="8" w:name="_Toc458848968"/>
      <w:bookmarkStart w:id="9" w:name="_Toc1600"/>
      <w:bookmarkStart w:id="10" w:name="_Toc458848735"/>
      <w:bookmarkStart w:id="11" w:name="_Toc458848820"/>
      <w:r>
        <w:rPr>
          <w:rFonts w:hint="eastAsia" w:ascii="仿宋" w:hAnsi="仿宋" w:eastAsia="仿宋" w:cs="仿宋"/>
          <w:color w:val="000000" w:themeColor="text1"/>
          <w:kern w:val="0"/>
          <w:sz w:val="28"/>
          <w:szCs w:val="28"/>
          <w:highlight w:val="none"/>
          <w14:textFill>
            <w14:solidFill>
              <w14:schemeClr w14:val="tx1"/>
            </w14:solidFill>
          </w14:textFill>
        </w:rPr>
        <w:t>四、竞争性磋商响应文件</w:t>
      </w:r>
      <w:bookmarkEnd w:id="8"/>
      <w:bookmarkEnd w:id="9"/>
      <w:bookmarkEnd w:id="10"/>
      <w:bookmarkEnd w:id="1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1、供应商资格要求</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w:t>
      </w:r>
      <w:r>
        <w:rPr>
          <w:rFonts w:hint="eastAsia" w:ascii="仿宋" w:hAnsi="仿宋" w:eastAsia="仿宋" w:cs="仿宋"/>
          <w:i w:val="0"/>
          <w:iCs w:val="0"/>
          <w:caps w:val="0"/>
          <w:color w:val="000000"/>
          <w:spacing w:val="0"/>
          <w:sz w:val="24"/>
          <w:szCs w:val="24"/>
          <w:highlight w:val="none"/>
          <w:shd w:val="clear" w:color="auto" w:fill="FFFFFF"/>
          <w:lang w:eastAsia="zh-CN"/>
        </w:rPr>
        <w:t>提供具有财务审计资质单位出具的2021年度或2022年度财务报告</w:t>
      </w:r>
      <w:r>
        <w:rPr>
          <w:rFonts w:hint="eastAsia" w:ascii="仿宋" w:hAnsi="仿宋" w:eastAsia="仿宋" w:cs="仿宋"/>
          <w:i w:val="0"/>
          <w:iCs w:val="0"/>
          <w:caps w:val="0"/>
          <w:color w:val="000000"/>
          <w:spacing w:val="0"/>
          <w:sz w:val="24"/>
          <w:szCs w:val="24"/>
          <w:highlight w:val="none"/>
          <w:shd w:val="clear" w:color="auto" w:fill="FFFFFF"/>
        </w:rPr>
        <w:t xml:space="preserve">（成立时间至磋商时间不足一年的可提供成立后任意时段的资产负债表）或磋商前六个月内其基本账户银行出具的资信证明（附开户许可证或基本账户证明）或政府采购信用担保机构出具的磋商担保函。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税收缴纳证明：提供2022年1月1日至今任意一个月已缴纳的纳税证明或完税证明（包含增值税、企业所得税、营业税至少一种）；（依法免税的供应商应提供相关文件证明）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4</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5、本项目专门面向中小企业采购；须符合《政府采购促进中小企业发展管理办法》（财库〔2020〕46号）规定的中小企业参加；(提供《中小企业声明函》，式样见竞争性磋商响应文件格式)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6、供应商须具备CMA检验检测机构资质认定证书；</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7、本项目不接受联合体磋商。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2、合格供应商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依照《中华人民共和国公司法》合法注册的法人或其他组织、符合《中华人民共和国政府采购法》</w:t>
      </w:r>
      <w:bookmarkStart w:id="12" w:name="OLE_LINK8"/>
      <w:r>
        <w:rPr>
          <w:rFonts w:hint="eastAsia" w:ascii="仿宋" w:hAnsi="仿宋" w:eastAsia="仿宋" w:cs="仿宋"/>
          <w:color w:val="000000" w:themeColor="text1"/>
          <w:sz w:val="24"/>
          <w:highlight w:val="none"/>
          <w14:textFill>
            <w14:solidFill>
              <w14:schemeClr w14:val="tx1"/>
            </w14:solidFill>
          </w14:textFill>
        </w:rPr>
        <w:t>及其实施条例等有关法律法规的规定</w:t>
      </w:r>
      <w:bookmarkEnd w:id="12"/>
      <w:r>
        <w:rPr>
          <w:rFonts w:hint="eastAsia" w:ascii="仿宋" w:hAnsi="仿宋" w:eastAsia="仿宋" w:cs="仿宋"/>
          <w:color w:val="000000" w:themeColor="text1"/>
          <w:sz w:val="24"/>
          <w:highlight w:val="none"/>
          <w14:textFill>
            <w14:solidFill>
              <w14:schemeClr w14:val="tx1"/>
            </w14:solidFill>
          </w14:textFill>
        </w:rPr>
        <w:t>并满足本项目资格条件。不符合上述规定的供应商，磋商响应无效。</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3、供应商信用信息：</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3-1、采购人或采购代理机构将于本项目磋商截止日在‘信用中国’网站、‘中国政府采购网’网站等渠道对供应商进行信用记录查询，</w:t>
      </w:r>
      <w:r>
        <w:rPr>
          <w:rFonts w:hint="eastAsia" w:ascii="仿宋" w:hAnsi="仿宋" w:eastAsia="仿宋" w:cs="仿宋"/>
          <w:color w:val="000000" w:themeColor="text1"/>
          <w:sz w:val="24"/>
          <w:highlight w:val="none"/>
          <w:lang w:eastAsia="zh-CN"/>
          <w14:textFill>
            <w14:solidFill>
              <w14:schemeClr w14:val="tx1"/>
            </w14:solidFill>
          </w14:textFill>
        </w:rPr>
        <w:t>查询的信用记录将进行打印存档，</w:t>
      </w:r>
      <w:r>
        <w:rPr>
          <w:rFonts w:hint="eastAsia" w:ascii="仿宋" w:hAnsi="仿宋" w:eastAsia="仿宋" w:cs="仿宋"/>
          <w:color w:val="000000" w:themeColor="text1"/>
          <w:sz w:val="24"/>
          <w:highlight w:val="none"/>
          <w14:textFill>
            <w14:solidFill>
              <w14:schemeClr w14:val="tx1"/>
            </w14:solidFill>
          </w14:textFill>
        </w:rPr>
        <w:t>凡被列入失信被执行人、重大税收违法案件当事人名单、政府采购严重违法失信行为记录名单的，视为存在不良信用记录，参与本项目的将被拒绝。</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3-2、特别说明：</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（1）供应商如在成交通知书发出前出现违法失信行为，采购人仍有权利提请评审委员会取消其成交资格；</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（2）供应商在磋商响应文件中已出具的信用查询结果并不能取代采购人或采购代理机构在评审前进行复查。</w:t>
      </w:r>
    </w:p>
    <w:p>
      <w:pPr>
        <w:pageBreakBefore w:val="0"/>
        <w:widowControl/>
        <w:shd w:val="clear" w:color="auto" w:fill="FFFFFF"/>
        <w:kinsoku/>
        <w:wordWrap/>
        <w:topLinePunct w:val="0"/>
        <w:autoSpaceDE/>
        <w:autoSpaceDN/>
        <w:bidi w:val="0"/>
        <w:spacing w:line="640" w:lineRule="exact"/>
        <w:ind w:firstLine="480" w:firstLineChars="2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4、竞争性磋商响应文件的组成</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4-1、竞争性磋商函（格式）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4-2、磋商报价一览表（格式）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2020年1月1日</w:t>
      </w:r>
      <w:r>
        <w:rPr>
          <w:rFonts w:hint="eastAsia" w:ascii="仿宋" w:hAnsi="仿宋" w:eastAsia="仿宋" w:cs="仿宋"/>
          <w:color w:val="000000" w:themeColor="text1"/>
          <w:sz w:val="24"/>
          <w:highlight w:val="none"/>
          <w14:textFill>
            <w14:solidFill>
              <w14:schemeClr w14:val="tx1"/>
            </w14:solidFill>
          </w14:textFill>
        </w:rPr>
        <w:t>至今</w:t>
      </w:r>
      <w:r>
        <w:rPr>
          <w:rFonts w:hint="eastAsia" w:ascii="仿宋" w:hAnsi="仿宋" w:eastAsia="仿宋" w:cs="仿宋"/>
          <w:color w:val="000000" w:themeColor="text1"/>
          <w:sz w:val="24"/>
          <w:highlight w:val="none"/>
          <w:lang w:val="en-US" w:eastAsia="zh-CN"/>
          <w14:textFill>
            <w14:solidFill>
              <w14:schemeClr w14:val="tx1"/>
            </w14:solidFill>
          </w14:textFill>
        </w:rPr>
        <w:t>同类项目业绩</w:t>
      </w:r>
      <w:r>
        <w:rPr>
          <w:rFonts w:hint="eastAsia" w:ascii="仿宋" w:hAnsi="仿宋" w:eastAsia="仿宋" w:cs="仿宋"/>
          <w:color w:val="000000" w:themeColor="text1"/>
          <w:sz w:val="24"/>
          <w:highlight w:val="none"/>
          <w14:textFill>
            <w14:solidFill>
              <w14:schemeClr w14:val="tx1"/>
            </w14:solidFill>
          </w14:textFill>
        </w:rPr>
        <w:t>（提供合同复印件加盖公章）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4-8</w:t>
      </w:r>
      <w:r>
        <w:rPr>
          <w:rFonts w:hint="eastAsia" w:ascii="仿宋" w:hAnsi="仿宋" w:eastAsia="仿宋" w:cs="仿宋"/>
          <w:color w:val="000000" w:themeColor="text1"/>
          <w:sz w:val="24"/>
          <w:highlight w:val="none"/>
          <w:lang w:eastAsia="zh-CN"/>
          <w14:textFill>
            <w14:solidFill>
              <w14:schemeClr w14:val="tx1"/>
            </w14:solidFill>
          </w14:textFill>
        </w:rPr>
        <w:t>、服务方案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4-9、人员及服务能力</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4-10、质量保证承诺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4-11、合理化建议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4-12、履约承诺</w:t>
      </w:r>
    </w:p>
    <w:p>
      <w:pPr>
        <w:pageBreakBefore w:val="0"/>
        <w:kinsoku/>
        <w:wordWrap/>
        <w:topLinePunct w:val="0"/>
        <w:autoSpaceDE/>
        <w:autoSpaceDN/>
        <w:bidi w:val="0"/>
        <w:spacing w:line="640" w:lineRule="exact"/>
        <w:ind w:firstLine="480" w:firstLineChars="200"/>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4-13、服务承诺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14、</w:t>
      </w:r>
      <w:r>
        <w:rPr>
          <w:rFonts w:hint="eastAsia" w:ascii="仿宋" w:hAnsi="仿宋" w:eastAsia="仿宋" w:cs="仿宋"/>
          <w:color w:val="000000" w:themeColor="text1"/>
          <w:sz w:val="24"/>
          <w:highlight w:val="none"/>
          <w14:textFill>
            <w14:solidFill>
              <w14:schemeClr w14:val="tx1"/>
            </w14:solidFill>
          </w14:textFill>
        </w:rPr>
        <w:t>磋商文件要求的其他资料及供应商认为需要提供的文件和资料。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5、竞争性磋商响应文件编写说明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5-1、竞争性磋商响应文件格式：竞争性磋商响应文件应当按照竞争性磋商文件给定的格式和要求编制，格式之外的可自行编写。</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-2、供应商必须按照竞争性磋商文件的规定和要求在竞争性磋商响应文件中指定的页面落款处加盖公章（鲜章）并由法定代表人或被授权人签字（或盖章），竞争性磋商文件凡是要求法定代表人签字或盖章之处，非法人单位的负责人均参照执行。如有遗漏，将作为无效磋商响应处理。副本可以是正本的复印件。如果正本与副本不一致，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5-3、除供应商对错误处需修改外，全套竞争性磋商响应文件应无涂改或行间插字或增删。如有修改，修改处应加盖供应商公章及法定代表人或被授权人签字（或盖章）确认。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5-4、竞争性磋商响应文件的正本和副本均需打印或用不褪色、不变质的墨水书写。因字迹潦草或表达不清所引起的后果由供应商自行负责。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5-5、竞争性磋商响应文件电子版内容须与竞争性磋商响应文件纸质版正本中的内容一致。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6、磋商文件的装订及密封</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-1、密封要求：磋商时，供应商应自行将磋商响应文件密封完好（封袋不得有破损）。标袋上应写明项目名称、项目编号、供应商名称及“正本”、“副本”字样，并在密封条接缝处加盖单位公章（鲜章）和法定代表人或被授权人签字(或盖章）；</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6-2、装订要求：磋商响应文件一律采用书籍（胶装）方式装订。在磋商响应文件书脊处写明项目名称、项目编号及供应商名称。磋商响应文件正本一份，副本三份，共四份。电子文件一份（</w:t>
      </w:r>
      <w:r>
        <w:rPr>
          <w:rFonts w:hint="eastAsia" w:ascii="仿宋" w:hAnsi="仿宋" w:eastAsia="仿宋" w:cs="仿宋"/>
          <w:color w:val="000000" w:themeColor="text1"/>
          <w:sz w:val="24"/>
          <w:highlight w:val="none"/>
          <w:lang w:eastAsia="zh-CN"/>
          <w14:textFill>
            <w14:solidFill>
              <w14:schemeClr w14:val="tx1"/>
            </w14:solidFill>
          </w14:textFill>
        </w:rPr>
        <w:t>用</w:t>
      </w:r>
      <w:r>
        <w:rPr>
          <w:rFonts w:hint="eastAsia" w:ascii="仿宋" w:hAnsi="仿宋" w:eastAsia="仿宋" w:cs="仿宋"/>
          <w:color w:val="000000" w:themeColor="text1"/>
          <w:sz w:val="24"/>
          <w:highlight w:val="none"/>
          <w14:textFill>
            <w14:solidFill>
              <w14:schemeClr w14:val="tx1"/>
            </w14:solidFill>
          </w14:textFill>
        </w:rPr>
        <w:t>U盘或移动硬盘</w:t>
      </w:r>
      <w:r>
        <w:rPr>
          <w:rFonts w:hint="eastAsia" w:ascii="仿宋" w:hAnsi="仿宋" w:eastAsia="仿宋" w:cs="仿宋"/>
          <w:color w:val="000000" w:themeColor="text1"/>
          <w:sz w:val="24"/>
          <w:highlight w:val="none"/>
          <w:lang w:eastAsia="zh-CN"/>
          <w14:textFill>
            <w14:solidFill>
              <w14:schemeClr w14:val="tx1"/>
            </w14:solidFill>
          </w14:textFill>
        </w:rPr>
        <w:t>拷贝</w:t>
      </w:r>
      <w:r>
        <w:rPr>
          <w:rFonts w:hint="eastAsia" w:ascii="仿宋" w:hAnsi="仿宋" w:eastAsia="仿宋" w:cs="仿宋"/>
          <w:color w:val="000000" w:themeColor="text1"/>
          <w:sz w:val="24"/>
          <w:highlight w:val="none"/>
          <w14:textFill>
            <w14:solidFill>
              <w14:schemeClr w14:val="tx1"/>
            </w14:solidFill>
          </w14:textFill>
        </w:rPr>
        <w:t>），电子版</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文件提供</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文件正本的word版本及PDF版本（PDF文件为完整签字、盖章的正本扫描件）。纸质磋商响应文件均须A4纸打印（提倡双面打印），分别各自装订成册并编制目录和页码。电子版放置磋商响应文件正本标袋内。</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7、竞争性磋商响应文件的计量单位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竞争性磋商响应文件中所使用的计量单位，除有特殊要求外，均采用国家法定计量单位。</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8、磋商报价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8-1、</w:t>
      </w:r>
      <w:r>
        <w:rPr>
          <w:rFonts w:hint="eastAsia" w:ascii="仿宋" w:hAnsi="仿宋" w:eastAsia="仿宋" w:cs="仿宋"/>
          <w:color w:val="000000" w:themeColor="text1"/>
          <w:sz w:val="24"/>
          <w:highlight w:val="none"/>
          <w:lang w:val="en-US" w:eastAsia="zh-CN"/>
          <w14:textFill>
            <w14:solidFill>
              <w14:schemeClr w14:val="tx1"/>
            </w14:solidFill>
          </w14:textFill>
        </w:rPr>
        <w:t>本项目为交钥匙项目。</w:t>
      </w:r>
      <w:r>
        <w:rPr>
          <w:rFonts w:hint="eastAsia" w:ascii="仿宋" w:hAnsi="仿宋" w:eastAsia="仿宋" w:cs="仿宋"/>
          <w:color w:val="000000" w:themeColor="text1"/>
          <w:sz w:val="24"/>
          <w:highlight w:val="none"/>
          <w14:textFill>
            <w14:solidFill>
              <w14:schemeClr w14:val="tx1"/>
            </w14:solidFill>
          </w14:textFill>
        </w:rPr>
        <w:t>磋商报价=服务费+保险费+人员费+</w:t>
      </w:r>
      <w:r>
        <w:rPr>
          <w:rFonts w:hint="eastAsia" w:ascii="仿宋" w:hAnsi="仿宋" w:eastAsia="仿宋" w:cs="仿宋"/>
          <w:color w:val="000000" w:themeColor="text1"/>
          <w:sz w:val="24"/>
          <w:highlight w:val="none"/>
          <w:lang w:val="en-US" w:eastAsia="zh-CN"/>
          <w14:textFill>
            <w14:solidFill>
              <w14:schemeClr w14:val="tx1"/>
            </w14:solidFill>
          </w14:textFill>
        </w:rPr>
        <w:t>设备费+</w:t>
      </w:r>
      <w:r>
        <w:rPr>
          <w:rFonts w:hint="eastAsia" w:ascii="仿宋" w:hAnsi="仿宋" w:eastAsia="仿宋" w:cs="仿宋"/>
          <w:color w:val="000000" w:themeColor="text1"/>
          <w:sz w:val="24"/>
          <w:highlight w:val="none"/>
          <w14:textFill>
            <w14:solidFill>
              <w14:schemeClr w14:val="tx1"/>
            </w14:solidFill>
          </w14:textFill>
        </w:rPr>
        <w:t>其他相关伴随费用</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8-2、供应商所报的磋商价在合同执行过程中是固定不变的，不得以任何理由予以变更。任何包含价格调整要求的磋商，将被认为是非响应性磋商而予以拒绝。</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8-3、</w:t>
      </w:r>
      <w:r>
        <w:rPr>
          <w:rFonts w:hint="eastAsia" w:ascii="仿宋" w:hAnsi="仿宋" w:eastAsia="仿宋" w:cs="仿宋"/>
          <w:color w:val="000000" w:themeColor="text1"/>
          <w:sz w:val="24"/>
          <w:highlight w:val="none"/>
          <w14:textFill>
            <w14:solidFill>
              <w14:schemeClr w14:val="tx1"/>
            </w14:solidFill>
          </w14:textFill>
        </w:rPr>
        <w:t>不接受超过</w:t>
      </w:r>
      <w:r>
        <w:rPr>
          <w:rFonts w:hint="eastAsia" w:ascii="仿宋" w:hAnsi="仿宋" w:eastAsia="仿宋" w:cs="仿宋"/>
          <w:color w:val="000000" w:themeColor="text1"/>
          <w:sz w:val="24"/>
          <w:highlight w:val="none"/>
          <w:lang w:eastAsia="zh-CN"/>
          <w14:textFill>
            <w14:solidFill>
              <w14:schemeClr w14:val="tx1"/>
            </w14:solidFill>
          </w14:textFill>
        </w:rPr>
        <w:t>竞争性磋商文件</w:t>
      </w:r>
      <w:r>
        <w:rPr>
          <w:rFonts w:hint="eastAsia" w:ascii="仿宋" w:hAnsi="仿宋" w:eastAsia="仿宋" w:cs="仿宋"/>
          <w:color w:val="000000" w:themeColor="text1"/>
          <w:sz w:val="24"/>
          <w:highlight w:val="none"/>
          <w14:textFill>
            <w14:solidFill>
              <w14:schemeClr w14:val="tx1"/>
            </w14:solidFill>
          </w14:textFill>
        </w:rPr>
        <w:t>中规定的预算金额或者最高限价的报价、可变动性报价、赠送及“零”报价，否则视为无效投标。</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9、各供应商须对以下内容做出承诺：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9-1、供应商不得以他人名义磋商和串通磋商。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9-2、必须根据竞争性磋商文件要求进行服务；</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9-3、非经采购人同意，不得将本项目内容进行分包实施，一经发现，立即取消其成交资格，并承担由此引起的一切经济损失；经采购人同意，成交人可以依法采取分包方式履行合同。</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9-4、接受采购人委托的相关单位对服务内容、质量、进度、实施方案、价款支付与结算等的监督和管理。</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9-5、供应商应保证在本项目使用的任何服务的任何一部分，不会产生因第三方提出的侵犯其专利权、商标权、著作权或其它知识产权而引起的法律和经济纠纷，由此引起的纠纷，由供应商承担所有相关责任；</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-6、采购人享有在本项目实施过程中产生的知识成果及知识产权。供应商如欲在项目实施过程中采用自有知识成果，需在竞争性磋商响应文件中声明，并提供相关知识产权证明文件。使用该知识成果后，供应商须提供开发接口和开发手册等技术文档，并承诺提供无限期技术支持，采购人享有永久使用权。如采用供应商所不拥有的知识产权，则在报价中必须包含合法获得该知识产权的相关费用。</w:t>
      </w:r>
    </w:p>
    <w:p>
      <w:pPr>
        <w:pageBreakBefore w:val="0"/>
        <w:kinsoku/>
        <w:wordWrap/>
        <w:topLinePunct w:val="0"/>
        <w:autoSpaceDE/>
        <w:autoSpaceDN/>
        <w:bidi w:val="0"/>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9-7、供应商不能以“赠送”、“赠予”等任何名义提供货物和服务规避竞争性磋商文件的约束。否则，将作为无效响应文件处理。供应商的行为将作为以不正当手段排挤其他供应商认定。</w:t>
      </w:r>
    </w:p>
    <w:p>
      <w:pPr>
        <w:pStyle w:val="3"/>
        <w:pageBreakBefore w:val="0"/>
        <w:kinsoku/>
        <w:overflowPunct/>
        <w:autoSpaceDE/>
        <w:autoSpaceDN/>
        <w:bidi w:val="0"/>
        <w:adjustRightInd/>
        <w:snapToGrid/>
        <w:spacing w:before="0" w:after="0" w:line="560" w:lineRule="exact"/>
        <w:textAlignment w:val="auto"/>
        <w:rPr>
          <w:rFonts w:hint="eastAsia" w:ascii="仿宋" w:hAnsi="仿宋" w:eastAsia="仿宋" w:cs="仿宋"/>
          <w:color w:val="auto"/>
          <w:kern w:val="0"/>
          <w:sz w:val="28"/>
          <w:szCs w:val="28"/>
          <w:highlight w:val="none"/>
        </w:rPr>
      </w:pPr>
      <w:bookmarkStart w:id="13" w:name="_Toc3854"/>
      <w:bookmarkStart w:id="14" w:name="_Toc458848736"/>
      <w:bookmarkStart w:id="15" w:name="_Toc458848969"/>
      <w:bookmarkStart w:id="16" w:name="_Toc458848821"/>
      <w:bookmarkStart w:id="17" w:name="_Toc14492"/>
      <w:bookmarkStart w:id="18" w:name="_Toc5793"/>
      <w:bookmarkStart w:id="19" w:name="_Toc458848737"/>
      <w:bookmarkStart w:id="20" w:name="_Toc458848970"/>
      <w:bookmarkStart w:id="21" w:name="_Toc458848822"/>
      <w:r>
        <w:rPr>
          <w:rFonts w:hint="eastAsia" w:ascii="仿宋" w:hAnsi="仿宋" w:eastAsia="仿宋" w:cs="仿宋"/>
          <w:color w:val="auto"/>
          <w:kern w:val="0"/>
          <w:sz w:val="28"/>
          <w:szCs w:val="28"/>
          <w:highlight w:val="none"/>
        </w:rPr>
        <w:t>五、磋商担保</w:t>
      </w:r>
      <w:bookmarkEnd w:id="13"/>
      <w:bookmarkEnd w:id="14"/>
      <w:bookmarkEnd w:id="15"/>
      <w:bookmarkEnd w:id="16"/>
    </w:p>
    <w:bookmarkEnd w:id="17"/>
    <w:p>
      <w:pPr>
        <w:pageBreakBefore w:val="0"/>
        <w:kinsoku/>
        <w:overflowPunct/>
        <w:autoSpaceDE/>
        <w:autoSpaceDN/>
        <w:bidi w:val="0"/>
        <w:adjustRightInd/>
        <w:snapToGrid/>
        <w:spacing w:line="560" w:lineRule="exact"/>
        <w:ind w:firstLine="560" w:firstLineChars="200"/>
        <w:textAlignment w:val="auto"/>
        <w:rPr>
          <w:rFonts w:hint="default" w:ascii="仿宋" w:hAnsi="仿宋" w:eastAsia="仿宋" w:cs="仿宋"/>
          <w:color w:val="000000" w:themeColor="text1"/>
          <w:kern w:val="0"/>
          <w:sz w:val="28"/>
          <w:szCs w:val="28"/>
          <w:highlight w:val="none"/>
          <w:lang w:val="en-US" w:eastAsia="zh-CN"/>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无</w:t>
      </w:r>
    </w:p>
    <w:p>
      <w:pPr>
        <w:pStyle w:val="3"/>
        <w:pageBreakBefore w:val="0"/>
        <w:kinsoku/>
        <w:wordWrap/>
        <w:topLinePunct w:val="0"/>
        <w:autoSpaceDE/>
        <w:autoSpaceDN/>
        <w:bidi w:val="0"/>
        <w:spacing w:before="0" w:after="0" w:line="640" w:lineRule="exact"/>
        <w:textAlignment w:val="auto"/>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六</w:t>
      </w:r>
      <w:r>
        <w:rPr>
          <w:rFonts w:hint="eastAsia" w:ascii="仿宋" w:hAnsi="仿宋" w:eastAsia="仿宋" w:cs="仿宋"/>
          <w:color w:val="000000" w:themeColor="text1"/>
          <w:kern w:val="0"/>
          <w:sz w:val="28"/>
          <w:szCs w:val="28"/>
          <w:highlight w:val="none"/>
          <w14:textFill>
            <w14:solidFill>
              <w14:schemeClr w14:val="tx1"/>
            </w14:solidFill>
          </w14:textFill>
        </w:rPr>
        <w:t>、磋商响应</w:t>
      </w:r>
      <w:bookmarkEnd w:id="18"/>
      <w:bookmarkEnd w:id="19"/>
      <w:bookmarkEnd w:id="20"/>
      <w:bookmarkEnd w:id="21"/>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14:textFill>
            <w14:solidFill>
              <w14:schemeClr w14:val="tx1"/>
            </w14:solidFill>
          </w14:textFill>
        </w:rPr>
        <w:t>竞争性磋商响应</w:t>
      </w:r>
      <w:r>
        <w:rPr>
          <w:rFonts w:hint="eastAsia" w:ascii="仿宋" w:hAnsi="仿宋" w:eastAsia="仿宋" w:cs="仿宋"/>
          <w:color w:val="000000" w:themeColor="text1"/>
          <w:sz w:val="24"/>
          <w:highlight w:val="none"/>
          <w14:textFill>
            <w14:solidFill>
              <w14:schemeClr w14:val="tx1"/>
            </w14:solidFill>
          </w14:textFill>
        </w:rPr>
        <w:t>文件、必备资质文件的递交：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供应商应按规定的时间、地点，于磋商截止时间前递交竞争性磋商响应文件；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1-2、逾</w:t>
      </w:r>
      <w:r>
        <w:rPr>
          <w:rFonts w:hint="eastAsia" w:ascii="仿宋" w:hAnsi="仿宋" w:eastAsia="仿宋" w:cs="仿宋"/>
          <w:color w:val="000000" w:themeColor="text1"/>
          <w:sz w:val="24"/>
          <w:highlight w:val="none"/>
          <w14:textFill>
            <w14:solidFill>
              <w14:schemeClr w14:val="tx1"/>
            </w14:solidFill>
          </w14:textFill>
        </w:rPr>
        <w:t>期送达或者未按照竞争性磋商文件要求密封的竞争性磋商响应文件，将被拒收</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、供应商在规定的磋商截止时间后递交磋商响应文件，将被拒收。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、本次磋商不接受邮寄的磋商响应文件。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响应文件的补充、修改与撤回：</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在递交竞争性磋商响应文件以后，在规定的磋商截止时间之前,可以书面形式补充、修改或撤回已递交的竞争性磋商响应文件，并以书面形式通知采购代理机构。补充、修改的内容应当按竞争性磋商文件要求签署、盖章，并作为竞争性磋商响应文件的组成部分。补充、修改的内容与相应文件不一致的，以补充、修改的内容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2-2、供应商提出修改要求的，须在磋商响应截止时间前密封送到采购代理机构，并在封面上加注“修改”字样。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提出撤标要求的，须在磋商响应截止时间前以书面形式（经由法定代表人或被授权人签字）通知采购代理机构。如采取传真形式撤回磋商响应，随后必须补充有法定代表人或被授权人签署的要求撤回磋商响应的正式文件。采购代理机构摄像留存后，将要“撤回”的磋商响应文件（包含纸质及电子版）退还供应商，供应商签字确认领取。</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2-4、磋商截止时间之后，供应商不得补充、修改竞争性磋商响应文件；</w:t>
      </w:r>
    </w:p>
    <w:p>
      <w:pPr>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2-5、在磋商截止时间至磋商响应有效期满之前，供应商不得撤回其竞争性磋商响应文件。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kern w:val="0"/>
          <w:sz w:val="24"/>
          <w:highlight w:val="none"/>
          <w14:textFill>
            <w14:solidFill>
              <w14:schemeClr w14:val="tx1"/>
            </w14:solidFill>
          </w14:textFill>
        </w:rPr>
        <w:t>、竞争性磋商响应有效期：</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3-1、自磋商之日起算90个日历日。竞争性磋商响应有效期短于竞争性磋商文件规定的磋商响应有效期，按无效竞争性磋商响应处理。成交单位的竞争性磋商有效期延长至合同执行完毕。</w:t>
      </w:r>
    </w:p>
    <w:p>
      <w:pPr>
        <w:pStyle w:val="41"/>
        <w:spacing w:line="560" w:lineRule="exact"/>
        <w:ind w:firstLine="480"/>
        <w:rPr>
          <w:rFonts w:hint="eastAsia" w:ascii="仿宋" w:hAnsi="仿宋" w:eastAsia="仿宋" w:cs="仿宋"/>
          <w:sz w:val="24"/>
          <w:szCs w:val="24"/>
          <w:highlight w:val="none"/>
        </w:rPr>
      </w:pPr>
      <w:r>
        <w:rPr>
          <w:rFonts w:hint="eastAsia" w:ascii="仿宋" w:hAnsi="仿宋" w:eastAsia="仿宋" w:cs="仿宋"/>
          <w:sz w:val="24"/>
          <w:szCs w:val="24"/>
          <w:highlight w:val="none"/>
        </w:rPr>
        <w:t>3-2、在原有有效期结束前，采购代理机构可要求供应商延长竞争性磋商响应有效期。拒绝延长有效期的供应商不得参与该项目后续采购活动。同意延长有效期的供应商不得修改竞争性磋商响应文件的实质性内容。</w:t>
      </w:r>
    </w:p>
    <w:p>
      <w:pPr>
        <w:pStyle w:val="41"/>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4、供应商</w:t>
      </w:r>
      <w:r>
        <w:rPr>
          <w:rFonts w:hint="eastAsia" w:ascii="仿宋" w:hAnsi="仿宋" w:eastAsia="仿宋" w:cs="仿宋"/>
          <w:color w:val="000000" w:themeColor="text1"/>
          <w:kern w:val="2"/>
          <w:sz w:val="24"/>
          <w:szCs w:val="24"/>
          <w:highlight w:val="none"/>
          <w14:textFill>
            <w14:solidFill>
              <w14:schemeClr w14:val="tx1"/>
            </w14:solidFill>
          </w14:textFill>
        </w:rPr>
        <w:t>有下列情形之一的，属于恶意串通，对其依照《中华人民共和国政府采购法》</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第七十七条第一款的规定追究法律责任，响应无效：</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4-1、供应商直接或者间接从采购人或采购代理机构处获得其他供应商的相关情况并修改其磋商响应文件；</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4-2、供应商按照采购人或采购代理机构的授意撤换、修改磋商响应文件；</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4-3、供应商之间协商报价、技术方案等磋商响应文件的实质性内容；</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4-4、属于同一集团、协会、商会等组织成员的供应商按照该组织要求协同参加政府采购活动；</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4-5、供应商之间事先约定由某一特定供应商成交；</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4-6、供应商之间商定部分供应商放弃参加政府采购活动或放弃成交；</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kern w:val="2"/>
          <w:sz w:val="24"/>
          <w:szCs w:val="24"/>
          <w:highlight w:val="none"/>
          <w:lang w:eastAsia="zh-CN"/>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4-7、供应商相互之间，为谋求特定供应商成交或排斥其他供应商的其他串通行为。</w:t>
      </w:r>
    </w:p>
    <w:p>
      <w:pPr>
        <w:pStyle w:val="41"/>
        <w:pageBreakBefore w:val="0"/>
        <w:kinsoku/>
        <w:wordWrap/>
        <w:topLinePunct w:val="0"/>
        <w:autoSpaceDE/>
        <w:autoSpaceDN/>
        <w:bidi w:val="0"/>
        <w:spacing w:line="640" w:lineRule="exact"/>
        <w:ind w:firstLine="0" w:firstLineChars="0"/>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 xml:space="preserve">    5、有下列情形之一的，视为供应商串通磋商，其响应无效：</w:t>
      </w:r>
    </w:p>
    <w:p>
      <w:pPr>
        <w:pStyle w:val="41"/>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5-1、不同供应商的磋商响应文件由同一单位或者个人编制；</w:t>
      </w:r>
    </w:p>
    <w:p>
      <w:pPr>
        <w:pStyle w:val="41"/>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5-2、不同供应商委托同一单位或者个人办理磋商事宜；</w:t>
      </w:r>
    </w:p>
    <w:p>
      <w:pPr>
        <w:pStyle w:val="41"/>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5-3、不同供应商的磋商响应文件载明的项目管理成员或者联系人为同一人；</w:t>
      </w:r>
    </w:p>
    <w:p>
      <w:pPr>
        <w:pStyle w:val="41"/>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5-4、不同供应商的磋商响应文件异常一致或者磋商报价呈现规律性差异；</w:t>
      </w:r>
    </w:p>
    <w:p>
      <w:pPr>
        <w:pStyle w:val="41"/>
        <w:pageBreakBefore w:val="0"/>
        <w:kinsoku/>
        <w:wordWrap/>
        <w:topLinePunct w:val="0"/>
        <w:autoSpaceDE/>
        <w:autoSpaceDN/>
        <w:bidi w:val="0"/>
        <w:spacing w:line="640" w:lineRule="exact"/>
        <w:ind w:firstLine="480"/>
        <w:textAlignment w:val="auto"/>
        <w:rPr>
          <w:rFonts w:hint="eastAsia" w:ascii="仿宋" w:hAnsi="仿宋" w:eastAsia="仿宋" w:cs="仿宋"/>
          <w:color w:val="000000" w:themeColor="text1"/>
          <w:kern w:val="2"/>
          <w:sz w:val="24"/>
          <w:szCs w:val="24"/>
          <w:highlight w:val="none"/>
          <w14:textFill>
            <w14:solidFill>
              <w14:schemeClr w14:val="tx1"/>
            </w14:solidFill>
          </w14:textFill>
        </w:rPr>
      </w:pPr>
      <w:r>
        <w:rPr>
          <w:rFonts w:hint="eastAsia" w:ascii="仿宋" w:hAnsi="仿宋" w:eastAsia="仿宋" w:cs="仿宋"/>
          <w:color w:val="000000" w:themeColor="text1"/>
          <w:kern w:val="2"/>
          <w:sz w:val="24"/>
          <w:szCs w:val="24"/>
          <w:highlight w:val="none"/>
          <w14:textFill>
            <w14:solidFill>
              <w14:schemeClr w14:val="tx1"/>
            </w14:solidFill>
          </w14:textFill>
        </w:rPr>
        <w:t>5-5、不同供应商的磋商响应文件相互混装；</w:t>
      </w:r>
    </w:p>
    <w:p>
      <w:pPr>
        <w:pStyle w:val="41"/>
        <w:pageBreakBefore w:val="0"/>
        <w:kinsoku/>
        <w:wordWrap/>
        <w:topLinePunct w:val="0"/>
        <w:autoSpaceDE/>
        <w:autoSpaceDN/>
        <w:bidi w:val="0"/>
        <w:spacing w:line="640" w:lineRule="exact"/>
        <w:ind w:firstLine="0" w:firstLineChars="0"/>
        <w:textAlignment w:val="auto"/>
        <w:outlineLvl w:val="1"/>
        <w:rPr>
          <w:rFonts w:hint="eastAsia" w:ascii="仿宋" w:hAnsi="仿宋" w:eastAsia="仿宋" w:cs="仿宋"/>
          <w:b/>
          <w:bCs/>
          <w:color w:val="000000" w:themeColor="text1"/>
          <w:szCs w:val="28"/>
          <w:highlight w:val="none"/>
          <w14:textFill>
            <w14:solidFill>
              <w14:schemeClr w14:val="tx1"/>
            </w14:solidFill>
          </w14:textFill>
        </w:rPr>
      </w:pPr>
      <w:bookmarkStart w:id="22" w:name="_Toc458848738"/>
      <w:bookmarkStart w:id="23" w:name="_Toc23636"/>
      <w:bookmarkStart w:id="24" w:name="_Toc10685"/>
      <w:bookmarkStart w:id="25" w:name="_Toc458848823"/>
      <w:r>
        <w:rPr>
          <w:rFonts w:hint="eastAsia" w:ascii="仿宋" w:hAnsi="仿宋" w:eastAsia="仿宋" w:cs="仿宋"/>
          <w:b/>
          <w:bCs/>
          <w:color w:val="000000" w:themeColor="text1"/>
          <w:szCs w:val="28"/>
          <w:highlight w:val="none"/>
          <w:lang w:val="en-US" w:eastAsia="zh-CN"/>
          <w14:textFill>
            <w14:solidFill>
              <w14:schemeClr w14:val="tx1"/>
            </w14:solidFill>
          </w14:textFill>
        </w:rPr>
        <w:t>七</w:t>
      </w:r>
      <w:r>
        <w:rPr>
          <w:rFonts w:hint="eastAsia" w:ascii="仿宋" w:hAnsi="仿宋" w:eastAsia="仿宋" w:cs="仿宋"/>
          <w:b/>
          <w:bCs/>
          <w:color w:val="000000" w:themeColor="text1"/>
          <w:szCs w:val="28"/>
          <w:highlight w:val="none"/>
          <w14:textFill>
            <w14:solidFill>
              <w14:schemeClr w14:val="tx1"/>
            </w14:solidFill>
          </w14:textFill>
        </w:rPr>
        <w:t>、磋商、评审及定标</w:t>
      </w:r>
      <w:bookmarkEnd w:id="22"/>
      <w:bookmarkEnd w:id="23"/>
      <w:bookmarkEnd w:id="24"/>
      <w:bookmarkEnd w:id="25"/>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1、磋商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1-1、采购代理机构按竞争性磋商文件规定的时间、地点组织磋商。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1-2、所有参会人员应签名报到，以证明其出席。供应商未参加磋商的，视同认可磋商结果。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1-3、磋商会议由采购代理机构主持。主持人宣读磋商会议开始，并宣读会场纪律，宣布参加会议的供应商名单。</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、供应商的法定代表人或被授权人与监标人当众共同查验竞争性磋商响应文件的密封情况，签字确认并宣读检查结果</w:t>
      </w:r>
      <w:r>
        <w:rPr>
          <w:rFonts w:hint="eastAsia" w:ascii="仿宋" w:hAnsi="仿宋" w:eastAsia="仿宋" w:cs="仿宋"/>
          <w:color w:val="000000" w:themeColor="text1"/>
          <w:sz w:val="24"/>
          <w:highlight w:val="none"/>
          <w:lang w:eastAsia="zh-CN"/>
          <w14:textFill>
            <w14:solidFill>
              <w14:schemeClr w14:val="tx1"/>
            </w14:solidFill>
          </w14:textFill>
        </w:rPr>
        <w:t>。</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、主持人宣布磋商会议结束，所有供应商离场。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、采购代理机构对磋商过程进行摄像、文字记录，并存档备查。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、供应商代表对磋商过程有疑义的，以及认为采购人、采购代理机构相关工作人员有需要回避的情形的，应当场提出询问或回避申请。</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2、评审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bookmarkStart w:id="26" w:name="OLE_LINK4"/>
      <w:bookmarkStart w:id="27" w:name="OLE_LINK14"/>
      <w:r>
        <w:rPr>
          <w:rFonts w:hint="eastAsia" w:ascii="仿宋" w:hAnsi="仿宋" w:eastAsia="仿宋" w:cs="仿宋"/>
          <w:color w:val="000000" w:themeColor="text1"/>
          <w:sz w:val="24"/>
          <w:highlight w:val="none"/>
          <w14:textFill>
            <w14:solidFill>
              <w14:schemeClr w14:val="tx1"/>
            </w14:solidFill>
          </w14:textFill>
        </w:rPr>
        <w:t>采购代理机构根据《中华人民共和国政府采购法》及其实施条例、《政府采购竞争性磋商采购方式管理暂行办法》的通知（财库【2014】214号）等规定，依法组建磋商小组。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（2）采购人可派代表进入磋商小组，并向采购代理机构出具授权函。</w:t>
      </w:r>
      <w:bookmarkEnd w:id="26"/>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（3）磋商小组应推荐一名评审专家担任评审组长，并由评审组长牵头组织该项目评审工作，采购人授权的评审专家，不得担任评审组长。</w:t>
      </w:r>
    </w:p>
    <w:bookmarkEnd w:id="27"/>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（4）磋商小组成员应当遵守并履行下列职责义务：</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a、遵纪守法，客观、公正、认真负责地履行职责，根据磋商文件规定的评审程序、评审方法和评审标准审查磋商响应文件；</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b、资格审查、符合性审查、评价磋商响应文件是否符合磋商文件的商务、技术等实质性要求；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c、要求供应商对磋商响应文件有关事项作出澄清或者说明；</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d、对磋商响应文件进行比较和评价；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e、推荐成交候选单位名单，对磋商意见承担个人责任；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f、拟定磋商结果；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g、对磋商过程及各供应商的商业机密予以保密；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h、向财政部门报告在评审过程中发现的供应商的违法违规行为；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i、配合采购人、采购代理机构答复各供应商提出的质疑；</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j、配合各部门的投诉处理和监督检查工作。</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2-2、在政府采购活动中，采购人员及相关人员（包括评审委员会）与供应商有下列利害关系之一的，应当回避：</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（1）参加采购活动前3年内与供应商存在劳动关系；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（2）参加采购活动前3年内担任供应商的董事、监事；</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（3）参加采购活动前3年内是供应商的控股股东或者实际控制人；</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（4）与供应商的法定代表人或者负责人有夫妻、直系血亲、三代以内旁系血亲或者近姻亲关系；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（5）与供应商有其他可能影响政府采购活动公平、公正进行的关系。</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、磋商原则：坚持公平、公正、科学、择优原则，禁止不正当竞争。</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、评审办法：本次磋商采用综合评分法（详见本节评分标准）。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、磋商工作程序</w:t>
      </w:r>
      <w:r>
        <w:rPr>
          <w:rFonts w:hint="eastAsia" w:ascii="仿宋" w:hAnsi="仿宋" w:eastAsia="仿宋" w:cs="仿宋"/>
          <w:color w:val="000000" w:themeColor="text1"/>
          <w:sz w:val="24"/>
          <w:highlight w:val="none"/>
          <w14:textFill>
            <w14:solidFill>
              <w14:schemeClr w14:val="tx1"/>
            </w14:solidFill>
          </w14:textFill>
        </w:rPr>
        <w:t>:资格性审查、符合性审查、澄清、评价、推荐成交候选人的工作程序进行评审。</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5</w:t>
      </w:r>
      <w:r>
        <w:rPr>
          <w:rFonts w:hint="eastAsia" w:ascii="仿宋" w:hAnsi="仿宋" w:eastAsia="仿宋" w:cs="仿宋"/>
          <w:b/>
          <w:color w:val="000000" w:themeColor="text1"/>
          <w:sz w:val="24"/>
          <w:highlight w:val="none"/>
          <w14:textFill>
            <w14:solidFill>
              <w14:schemeClr w14:val="tx1"/>
            </w14:solidFill>
          </w14:textFill>
        </w:rPr>
        <w:t>-1、资格性审查</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磋商会议结束后，</w:t>
      </w:r>
      <w:r>
        <w:rPr>
          <w:rFonts w:hint="eastAsia" w:ascii="仿宋" w:hAnsi="仿宋" w:eastAsia="仿宋" w:cs="仿宋"/>
          <w:b/>
          <w:color w:val="000000" w:themeColor="text1"/>
          <w:sz w:val="24"/>
          <w:highlight w:val="none"/>
          <w:lang w:eastAsia="zh-CN"/>
          <w14:textFill>
            <w14:solidFill>
              <w14:schemeClr w14:val="tx1"/>
            </w14:solidFill>
          </w14:textFill>
        </w:rPr>
        <w:t>由采购人</w:t>
      </w:r>
      <w:r>
        <w:rPr>
          <w:rFonts w:hint="eastAsia" w:ascii="仿宋" w:hAnsi="仿宋" w:eastAsia="仿宋" w:cs="仿宋"/>
          <w:b/>
          <w:color w:val="000000" w:themeColor="text1"/>
          <w:sz w:val="24"/>
          <w:highlight w:val="none"/>
          <w14:textFill>
            <w14:solidFill>
              <w14:schemeClr w14:val="tx1"/>
            </w14:solidFill>
          </w14:textFill>
        </w:rPr>
        <w:t>依法对供应商的资格进行审查，缺项或一项不符合要求即</w:t>
      </w:r>
      <w:r>
        <w:rPr>
          <w:rFonts w:hint="eastAsia" w:ascii="仿宋" w:hAnsi="仿宋" w:eastAsia="仿宋" w:cs="仿宋"/>
          <w:b/>
          <w:color w:val="000000" w:themeColor="text1"/>
          <w:sz w:val="24"/>
          <w:highlight w:val="none"/>
          <w:lang w:eastAsia="zh-CN"/>
          <w14:textFill>
            <w14:solidFill>
              <w14:schemeClr w14:val="tx1"/>
            </w14:solidFill>
          </w14:textFill>
        </w:rPr>
        <w:t>不合格，不合格的供应商其响应无效。资格证明文件须装订在每份</w:t>
      </w:r>
      <w:r>
        <w:rPr>
          <w:rFonts w:hint="eastAsia" w:ascii="仿宋" w:hAnsi="仿宋" w:eastAsia="仿宋" w:cs="仿宋"/>
          <w:b/>
          <w:color w:val="000000" w:themeColor="text1"/>
          <w:sz w:val="24"/>
          <w:highlight w:val="none"/>
          <w:lang w:val="en-US" w:eastAsia="zh-CN"/>
          <w14:textFill>
            <w14:solidFill>
              <w14:schemeClr w14:val="tx1"/>
            </w14:solidFill>
          </w14:textFill>
        </w:rPr>
        <w:t>响应</w:t>
      </w:r>
      <w:r>
        <w:rPr>
          <w:rFonts w:hint="eastAsia" w:ascii="仿宋" w:hAnsi="仿宋" w:eastAsia="仿宋" w:cs="仿宋"/>
          <w:b/>
          <w:color w:val="000000" w:themeColor="text1"/>
          <w:sz w:val="24"/>
          <w:highlight w:val="none"/>
          <w:lang w:eastAsia="zh-CN"/>
          <w14:textFill>
            <w14:solidFill>
              <w14:schemeClr w14:val="tx1"/>
            </w14:solidFill>
          </w14:textFill>
        </w:rPr>
        <w:t>文件中。资格审查以</w:t>
      </w:r>
      <w:r>
        <w:rPr>
          <w:rFonts w:hint="eastAsia" w:ascii="仿宋" w:hAnsi="仿宋" w:eastAsia="仿宋" w:cs="仿宋"/>
          <w:b/>
          <w:color w:val="000000" w:themeColor="text1"/>
          <w:sz w:val="24"/>
          <w:highlight w:val="none"/>
          <w:lang w:val="en-US" w:eastAsia="zh-CN"/>
          <w14:textFill>
            <w14:solidFill>
              <w14:schemeClr w14:val="tx1"/>
            </w14:solidFill>
          </w14:textFill>
        </w:rPr>
        <w:t>响应</w:t>
      </w:r>
      <w:r>
        <w:rPr>
          <w:rFonts w:hint="eastAsia" w:ascii="仿宋" w:hAnsi="仿宋" w:eastAsia="仿宋" w:cs="仿宋"/>
          <w:b/>
          <w:color w:val="000000" w:themeColor="text1"/>
          <w:sz w:val="24"/>
          <w:highlight w:val="none"/>
          <w:lang w:eastAsia="zh-CN"/>
          <w14:textFill>
            <w14:solidFill>
              <w14:schemeClr w14:val="tx1"/>
            </w14:solidFill>
          </w14:textFill>
        </w:rPr>
        <w:t>文件“正本”为准</w:t>
      </w:r>
      <w:r>
        <w:rPr>
          <w:rFonts w:hint="eastAsia" w:ascii="仿宋" w:hAnsi="仿宋" w:eastAsia="仿宋" w:cs="仿宋"/>
          <w:b/>
          <w:color w:val="000000" w:themeColor="text1"/>
          <w:sz w:val="24"/>
          <w:highlight w:val="none"/>
          <w14:textFill>
            <w14:solidFill>
              <w14:schemeClr w14:val="tx1"/>
            </w14:solidFill>
          </w14:textFill>
        </w:rPr>
        <w:t>：</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w:t>
      </w:r>
      <w:r>
        <w:rPr>
          <w:rFonts w:hint="eastAsia" w:ascii="仿宋" w:hAnsi="仿宋" w:eastAsia="仿宋" w:cs="仿宋"/>
          <w:i w:val="0"/>
          <w:iCs w:val="0"/>
          <w:caps w:val="0"/>
          <w:color w:val="000000"/>
          <w:spacing w:val="0"/>
          <w:sz w:val="24"/>
          <w:szCs w:val="24"/>
          <w:highlight w:val="none"/>
          <w:shd w:val="clear" w:color="auto" w:fill="FFFFFF"/>
          <w:lang w:eastAsia="zh-CN"/>
        </w:rPr>
        <w:t>提供具有财务审计资质单位出具的2021年度或2022年度财务报告</w:t>
      </w:r>
      <w:r>
        <w:rPr>
          <w:rFonts w:hint="eastAsia" w:ascii="仿宋" w:hAnsi="仿宋" w:eastAsia="仿宋" w:cs="仿宋"/>
          <w:i w:val="0"/>
          <w:iCs w:val="0"/>
          <w:caps w:val="0"/>
          <w:color w:val="000000"/>
          <w:spacing w:val="0"/>
          <w:sz w:val="24"/>
          <w:szCs w:val="24"/>
          <w:highlight w:val="none"/>
          <w:shd w:val="clear" w:color="auto" w:fill="FFFFFF"/>
        </w:rPr>
        <w:t xml:space="preserve">（成立时间至磋商时间不足一年的可提供成立后任意时段的资产负债表）或磋商前六个月内其基本账户银行出具的资信证明（附开户许可证或基本账户证明）或政府采购信用担保机构出具的磋商担保函。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税收缴纳证明：提供2022年1月1日至今任意一个月已缴纳的纳税证明或完税证明（包含增值税、企业所得税、营业税至少一种）；（依法免税的供应商应提供相关文件证明）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4</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lang w:val="en-US" w:eastAsia="zh-CN"/>
        </w:rPr>
      </w:pPr>
      <w:r>
        <w:rPr>
          <w:rFonts w:hint="eastAsia" w:ascii="仿宋" w:hAnsi="仿宋" w:eastAsia="仿宋" w:cs="仿宋"/>
          <w:i w:val="0"/>
          <w:iCs w:val="0"/>
          <w:caps w:val="0"/>
          <w:color w:val="000000"/>
          <w:spacing w:val="0"/>
          <w:sz w:val="24"/>
          <w:szCs w:val="24"/>
          <w:highlight w:val="none"/>
          <w:shd w:val="clear" w:color="auto" w:fill="FFFFFF"/>
          <w:lang w:val="en-US" w:eastAsia="zh-CN"/>
        </w:rPr>
        <w:t>5、本项目专门面向中小企业采购；须符合《政府采购促进中小企业发展管理办法》（财库〔2020〕46号）规定的中小企业参加；(提供《中小企业声明函》，式样见竞争性磋商响应文件格式)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6、供应商须具备CMA检验检测机构资质认定证书；</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-2、磋商响应文件符合性审查</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依据磋商文件的规定，对资格合格者磋商响应文件的有效性、完整性和对磋商文件的响应程度进行审查，以确定是否对磋商文件的实质性内容做出响应，包含但不限于以下内容，未通过审查的按无效响应处理：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（1）供应商名称与登记领取磋商文件的单位名称不一致；</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）磋商响应文件未按照磋商文件的要求盖章签字；</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）磋商响应文件不符合磋商文件要求的数量；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）针对同一项目提交两份或多份内容不同的磋商响应文件，未书面声明哪一份是有效的或出现选择性报价的；</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 xml:space="preserve">）磋商报价（每轮）超过采购预算； </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）磋商有效期不符合磋商文件的要求；</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）对磋商文件商务要求未作出明确且实质性响应；</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-3、竞争性磋商响应文件的澄清：</w:t>
      </w:r>
    </w:p>
    <w:p>
      <w:pPr>
        <w:pageBreakBefore w:val="0"/>
        <w:kinsoku/>
        <w:wordWrap/>
        <w:overflowPunct w:val="0"/>
        <w:topLinePunct w:val="0"/>
        <w:autoSpaceDE/>
        <w:autoSpaceDN/>
        <w:bidi w:val="0"/>
        <w:adjustRightInd w:val="0"/>
        <w:snapToGrid w:val="0"/>
        <w:spacing w:line="640" w:lineRule="exact"/>
        <w:ind w:firstLine="360" w:firstLineChars="15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磋商小组要求供应商澄清、说明或者更正响应文件应当以书面形式作出。供应商的澄清、说明或者更正应当由法定代表人或其授权代表签字或者加盖公章。由授权代表签字的，应当附法定代表人授权书。</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（2）书写错误的评审标准：</w:t>
      </w:r>
    </w:p>
    <w:p>
      <w:pPr>
        <w:pageBreakBefore w:val="0"/>
        <w:kinsoku/>
        <w:wordWrap/>
        <w:overflowPunct w:val="0"/>
        <w:topLinePunct w:val="0"/>
        <w:autoSpaceDE/>
        <w:autoSpaceDN/>
        <w:bidi w:val="0"/>
        <w:adjustRightInd w:val="0"/>
        <w:snapToGrid w:val="0"/>
        <w:spacing w:line="640" w:lineRule="exact"/>
        <w:ind w:firstLine="720" w:firstLineChars="3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磋商小组在评审过程中，发现竞争性磋商响应文件出现下列情况之一者，按以下原则修正：</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a、磋商响应文件有关内容与“磋商报价一览表”不一致的，以“磋商报价一览表”为准；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b、大写金额与小写金额不一致的，以大写金额为准；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c、单价金额小数点或者百分比有明显错位的，以“磋商报价一览表”的总价为准，并修改单价；</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d、总价金额与按单价汇总金额不一致的，以单价乘以数量的计算结果为准；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e、磋商响应文件图表与文字不符时，以文字为准；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f、磋商响应文件正本与副本不符时，以正本为准；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g、对不同文字文本磋商响应文件的解释发生异议的，以中文文本为准；</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h、多处内容交叉不符时，以磋商小组评审结果为准。</w:t>
      </w:r>
    </w:p>
    <w:p>
      <w:pPr>
        <w:pageBreakBefore w:val="0"/>
        <w:kinsoku/>
        <w:wordWrap/>
        <w:topLinePunct w:val="0"/>
        <w:autoSpaceDE/>
        <w:autoSpaceDN/>
        <w:bidi w:val="0"/>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注：按上述方法修正的内容（其中，同时出现上述a至d两种以上不一致的，按上述规定的顺序修正），经供应商确认后产生约束力，供应商不确认的，其磋商响应无效。</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磋商响应处理。</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-4、评议：</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（1）磋商小组评审竞争性磋商响应文件响应性及符合性只根据竞争性磋商响应文件本身的内容，而不寻求其他外部证据。</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（2）磋商小组所有成员应当集中与单一供应商分别进行磋商，并给予所有参加磋商的供应商平等的磋商机会。</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（4）磋商结束后，磋商小组应当要求所有实质性响应的供应商在规定时间内提交最后报价。</w:t>
      </w:r>
    </w:p>
    <w:p>
      <w:pPr>
        <w:pageBreakBefore w:val="0"/>
        <w:kinsoku/>
        <w:wordWrap/>
        <w:topLinePunct w:val="0"/>
        <w:autoSpaceDE/>
        <w:autoSpaceDN/>
        <w:bidi w:val="0"/>
        <w:spacing w:line="640" w:lineRule="exact"/>
        <w:ind w:firstLine="465"/>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评审采取逐项分步评审方式，每一步评审不符合者，不进入下一步评审。经磋商确定最终采购需求和提交最后报价后，由磋商小组采用综合评分法对提交最后报价的供应商的响应文件和最后报价进行综合评分。</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（6）其他需说明的情况：</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a、对于竞争性磋商响应文件中不构成实质性偏差的小的不正规、不一致或不规则，采购人可以接受，但这种接受不能损害或影响任何供应商的相对排序；</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b、最低报价不是成交的唯一条件；</w:t>
      </w:r>
    </w:p>
    <w:p>
      <w:pPr>
        <w:pageBreakBefore w:val="0"/>
        <w:kinsoku/>
        <w:wordWrap/>
        <w:overflowPunct w:val="0"/>
        <w:topLinePunct w:val="0"/>
        <w:autoSpaceDE/>
        <w:autoSpaceDN/>
        <w:bidi w:val="0"/>
        <w:adjustRightInd w:val="0"/>
        <w:snapToGrid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c、如果磋商响应实质上没有响应竞争性磋商文件的要求，其磋商响应将被拒绝，供应商不得通过修正或撤消不合要求的偏离或保留从而使其磋商响应成为实质上响应的磋商响应。</w:t>
      </w:r>
    </w:p>
    <w:p>
      <w:pPr>
        <w:pageBreakBefore w:val="0"/>
        <w:kinsoku/>
        <w:wordWrap/>
        <w:topLinePunct w:val="0"/>
        <w:autoSpaceDE/>
        <w:autoSpaceDN/>
        <w:bidi w:val="0"/>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d、无论磋商的结果如何，磋商期间一切费用自理。</w:t>
      </w:r>
    </w:p>
    <w:p>
      <w:pPr>
        <w:spacing w:line="480" w:lineRule="exact"/>
        <w:ind w:firstLine="600" w:firstLineChars="24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6</w:t>
      </w:r>
      <w:r>
        <w:rPr>
          <w:rFonts w:hint="eastAsia" w:ascii="仿宋" w:hAnsi="仿宋" w:eastAsia="仿宋" w:cs="仿宋"/>
          <w:b/>
          <w:color w:val="000000" w:themeColor="text1"/>
          <w:sz w:val="24"/>
          <w:highlight w:val="none"/>
          <w14:textFill>
            <w14:solidFill>
              <w14:schemeClr w14:val="tx1"/>
            </w14:solidFill>
          </w14:textFill>
        </w:rPr>
        <w:t xml:space="preserve">、评分标准 </w:t>
      </w:r>
    </w:p>
    <w:tbl>
      <w:tblPr>
        <w:tblStyle w:val="24"/>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774"/>
        <w:gridCol w:w="7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spacing w:line="560" w:lineRule="exact"/>
              <w:ind w:right="-94" w:rightChars="-4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w:t>
            </w:r>
          </w:p>
        </w:tc>
        <w:tc>
          <w:tcPr>
            <w:tcW w:w="774" w:type="dxa"/>
            <w:noWrap w:val="0"/>
            <w:vAlign w:val="center"/>
          </w:tcPr>
          <w:p>
            <w:pPr>
              <w:spacing w:line="560" w:lineRule="exact"/>
              <w:ind w:left="-118" w:leftChars="-56" w:right="-94" w:rightChars="-45"/>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w:t>
            </w:r>
          </w:p>
        </w:tc>
        <w:tc>
          <w:tcPr>
            <w:tcW w:w="7186" w:type="dxa"/>
            <w:noWrap w:val="0"/>
            <w:vAlign w:val="center"/>
          </w:tcPr>
          <w:p>
            <w:pPr>
              <w:widowControl/>
              <w:spacing w:line="560" w:lineRule="exact"/>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按照财政部《政府采购竞争性磋商采购方式管理暂行办法》（财库[2014]214号）的有关规定：价格分采用低价优先法计算，即满足竞争性磋商文件要求且最后报价最低的供应商的价格为磋商基准价，其价格分为满分。其他供应商的价格分统一按照下列公式计算：</w:t>
            </w:r>
          </w:p>
          <w:p>
            <w:pPr>
              <w:widowControl/>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磋商报价得分=（磋商基准价/最终磋商报价）×价格权值×100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spacing w:line="560" w:lineRule="exact"/>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eastAsia="zh-CN"/>
              </w:rPr>
              <w:t>服务方案</w:t>
            </w:r>
          </w:p>
        </w:tc>
        <w:tc>
          <w:tcPr>
            <w:tcW w:w="774" w:type="dxa"/>
            <w:noWrap w:val="0"/>
            <w:vAlign w:val="center"/>
          </w:tcPr>
          <w:p>
            <w:pPr>
              <w:spacing w:line="5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40分</w:t>
            </w:r>
          </w:p>
        </w:tc>
        <w:tc>
          <w:tcPr>
            <w:tcW w:w="7186" w:type="dxa"/>
            <w:noWrap w:val="0"/>
            <w:vAlign w:val="top"/>
          </w:tcPr>
          <w:p>
            <w:pPr>
              <w:widowControl/>
              <w:numPr>
                <w:ilvl w:val="0"/>
                <w:numId w:val="0"/>
              </w:numPr>
              <w:spacing w:line="56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1、服务方案科学合理、层次清楚，措施得当，根据响应程度，内容详细、全面的计[10-5)分，内容不具体，缺项的计[5-0）分，未提供不计分；</w:t>
            </w:r>
          </w:p>
          <w:p>
            <w:pPr>
              <w:widowControl/>
              <w:numPr>
                <w:ilvl w:val="0"/>
                <w:numId w:val="0"/>
              </w:numPr>
              <w:spacing w:line="56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2、对本项目实施的重点、难点给出相应的解决方案，据响应程度。内容详细、全面的计[10-5)分，内容不具体，缺项的计[5-0）分，未提供不计分；</w:t>
            </w:r>
          </w:p>
          <w:p>
            <w:pPr>
              <w:widowControl/>
              <w:numPr>
                <w:ilvl w:val="0"/>
                <w:numId w:val="0"/>
              </w:numPr>
              <w:spacing w:line="56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3、水质检测、采样程序、水样送达实验室情况，根据响应程度，内容详细、全面的计[10-5)分，内容不具体，缺项的计[5-0），分未提供不计分；</w:t>
            </w:r>
          </w:p>
          <w:p>
            <w:pPr>
              <w:widowControl/>
              <w:numPr>
                <w:ilvl w:val="0"/>
                <w:numId w:val="0"/>
              </w:numPr>
              <w:spacing w:line="56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4、服务检测结果保证措施、服务检测进度保证措施及进度计划，内容详细、全面的计[10-5)分，内容不具体、缺项的计[5-0）分，未提供不计分；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spacing w:line="560" w:lineRule="exact"/>
              <w:jc w:val="center"/>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人员及服务能力</w:t>
            </w:r>
          </w:p>
        </w:tc>
        <w:tc>
          <w:tcPr>
            <w:tcW w:w="774" w:type="dxa"/>
            <w:noWrap w:val="0"/>
            <w:vAlign w:val="center"/>
          </w:tcPr>
          <w:p>
            <w:pPr>
              <w:spacing w:line="5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14分</w:t>
            </w:r>
          </w:p>
        </w:tc>
        <w:tc>
          <w:tcPr>
            <w:tcW w:w="7186" w:type="dxa"/>
            <w:noWrap w:val="0"/>
            <w:vAlign w:val="top"/>
          </w:tcPr>
          <w:p>
            <w:pPr>
              <w:widowControl/>
              <w:numPr>
                <w:ilvl w:val="0"/>
                <w:numId w:val="0"/>
              </w:numPr>
              <w:spacing w:line="56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人员设置及人员分工安排合理、职责划分明确，具备能承担检验检测任务的专业人员，结合韩城市疾病预防控制中心此次检测服务项目做合理分配，根据人员设置及分工、分配的响应程度，内容详细、全面的计[7-3)分，内容不具体，缺项的计[3-0）分，未提供不计分。</w:t>
            </w:r>
          </w:p>
          <w:p>
            <w:pPr>
              <w:widowControl/>
              <w:numPr>
                <w:ilvl w:val="0"/>
                <w:numId w:val="0"/>
              </w:numPr>
              <w:spacing w:line="560" w:lineRule="exact"/>
              <w:jc w:val="lef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提供相应的水质检测设备及检测场地，根据检测配置、场地是否齐全、合理，能满足项目进度和服务质量要求进行赋分（提供相关设备、场地的实际使用证明材料），根据响应程度，内容详细、全面的计[7-3)分，内容不具体，缺项的计[3-0）分，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spacing w:line="560" w:lineRule="exact"/>
              <w:jc w:val="center"/>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业绩</w:t>
            </w:r>
          </w:p>
        </w:tc>
        <w:tc>
          <w:tcPr>
            <w:tcW w:w="774" w:type="dxa"/>
            <w:noWrap w:val="0"/>
            <w:vAlign w:val="center"/>
          </w:tcPr>
          <w:p>
            <w:pPr>
              <w:spacing w:line="5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5分</w:t>
            </w:r>
          </w:p>
        </w:tc>
        <w:tc>
          <w:tcPr>
            <w:tcW w:w="7186" w:type="dxa"/>
            <w:noWrap w:val="0"/>
            <w:vAlign w:val="top"/>
          </w:tcPr>
          <w:p>
            <w:pPr>
              <w:widowControl/>
              <w:spacing w:line="48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以合同</w:t>
            </w:r>
            <w:r>
              <w:rPr>
                <w:rFonts w:hint="eastAsia" w:ascii="仿宋" w:hAnsi="仿宋" w:eastAsia="仿宋" w:cs="仿宋"/>
                <w:color w:val="auto"/>
                <w:sz w:val="24"/>
                <w:szCs w:val="24"/>
                <w:highlight w:val="none"/>
                <w:lang w:eastAsia="zh-CN"/>
              </w:rPr>
              <w:t>复印件</w:t>
            </w:r>
            <w:r>
              <w:rPr>
                <w:rFonts w:hint="eastAsia" w:ascii="仿宋" w:hAnsi="仿宋" w:eastAsia="仿宋" w:cs="仿宋"/>
                <w:color w:val="auto"/>
                <w:sz w:val="24"/>
                <w:szCs w:val="24"/>
                <w:highlight w:val="none"/>
              </w:rPr>
              <w:t>形式提供</w:t>
            </w:r>
            <w:r>
              <w:rPr>
                <w:rFonts w:hint="eastAsia" w:ascii="仿宋" w:hAnsi="仿宋" w:eastAsia="仿宋" w:cs="仿宋"/>
                <w:color w:val="auto"/>
                <w:sz w:val="24"/>
                <w:szCs w:val="24"/>
                <w:highlight w:val="none"/>
                <w:lang w:val="en-US" w:eastAsia="zh-CN"/>
              </w:rPr>
              <w:t>2020年1月1日至今同类项目业绩</w:t>
            </w:r>
            <w:r>
              <w:rPr>
                <w:rFonts w:hint="eastAsia" w:ascii="仿宋" w:hAnsi="仿宋" w:eastAsia="仿宋" w:cs="仿宋"/>
                <w:color w:val="auto"/>
                <w:sz w:val="24"/>
                <w:szCs w:val="24"/>
                <w:highlight w:val="none"/>
              </w:rPr>
              <w:t>，每份计</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分，计满</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分为止；</w:t>
            </w:r>
          </w:p>
          <w:p>
            <w:pPr>
              <w:spacing w:line="56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注：</w:t>
            </w: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需提供</w:t>
            </w:r>
            <w:r>
              <w:rPr>
                <w:rFonts w:hint="eastAsia" w:ascii="仿宋" w:hAnsi="仿宋" w:eastAsia="仿宋" w:cs="仿宋"/>
                <w:color w:val="auto"/>
                <w:sz w:val="24"/>
                <w:szCs w:val="24"/>
                <w:highlight w:val="none"/>
                <w:lang w:val="en-US" w:eastAsia="zh-CN"/>
              </w:rPr>
              <w:t>服务</w:t>
            </w:r>
            <w:r>
              <w:rPr>
                <w:rFonts w:hint="eastAsia" w:ascii="仿宋" w:hAnsi="仿宋" w:eastAsia="仿宋" w:cs="仿宋"/>
                <w:color w:val="auto"/>
                <w:sz w:val="24"/>
                <w:szCs w:val="24"/>
                <w:highlight w:val="none"/>
              </w:rPr>
              <w:t>合同（含首页、</w:t>
            </w:r>
            <w:r>
              <w:rPr>
                <w:rFonts w:hint="eastAsia" w:ascii="仿宋" w:hAnsi="仿宋" w:eastAsia="仿宋" w:cs="仿宋"/>
                <w:color w:val="auto"/>
                <w:sz w:val="24"/>
                <w:szCs w:val="24"/>
                <w:highlight w:val="none"/>
                <w:lang w:val="en-US" w:eastAsia="zh-CN"/>
              </w:rPr>
              <w:t>服务内容</w:t>
            </w:r>
            <w:r>
              <w:rPr>
                <w:rFonts w:hint="eastAsia" w:ascii="仿宋" w:hAnsi="仿宋" w:eastAsia="仿宋" w:cs="仿宋"/>
                <w:color w:val="auto"/>
                <w:sz w:val="24"/>
                <w:szCs w:val="24"/>
                <w:highlight w:val="none"/>
              </w:rPr>
              <w:t>、签字盖章页）复印件，否则业绩不予认可。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spacing w:line="4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lang w:eastAsia="zh-CN"/>
              </w:rPr>
              <w:t>质量保证承诺</w:t>
            </w:r>
          </w:p>
        </w:tc>
        <w:tc>
          <w:tcPr>
            <w:tcW w:w="774" w:type="dxa"/>
            <w:noWrap w:val="0"/>
            <w:vAlign w:val="center"/>
          </w:tcPr>
          <w:p>
            <w:pPr>
              <w:spacing w:line="460" w:lineRule="exact"/>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lang w:val="en-US" w:eastAsia="zh-CN"/>
              </w:rPr>
              <w:t>8分</w:t>
            </w:r>
          </w:p>
        </w:tc>
        <w:tc>
          <w:tcPr>
            <w:tcW w:w="7186" w:type="dxa"/>
            <w:noWrap w:val="0"/>
            <w:vAlign w:val="top"/>
          </w:tcPr>
          <w:p>
            <w:pPr>
              <w:numPr>
                <w:ilvl w:val="0"/>
                <w:numId w:val="0"/>
              </w:numPr>
              <w:spacing w:line="480" w:lineRule="exact"/>
              <w:ind w:left="0" w:lef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sz w:val="24"/>
                <w:szCs w:val="24"/>
                <w:highlight w:val="none"/>
                <w:lang w:eastAsia="zh-CN"/>
              </w:rPr>
              <w:t>服务</w:t>
            </w:r>
            <w:r>
              <w:rPr>
                <w:rFonts w:hint="eastAsia" w:ascii="仿宋" w:hAnsi="仿宋" w:eastAsia="仿宋" w:cs="仿宋"/>
                <w:sz w:val="24"/>
                <w:szCs w:val="24"/>
                <w:highlight w:val="none"/>
              </w:rPr>
              <w:t>质量</w:t>
            </w:r>
            <w:r>
              <w:rPr>
                <w:rFonts w:hint="eastAsia" w:ascii="仿宋" w:hAnsi="仿宋" w:eastAsia="仿宋" w:cs="仿宋"/>
                <w:sz w:val="24"/>
                <w:szCs w:val="24"/>
                <w:highlight w:val="none"/>
                <w:lang w:eastAsia="zh-CN"/>
              </w:rPr>
              <w:t>保证承诺</w:t>
            </w:r>
            <w:r>
              <w:rPr>
                <w:rFonts w:hint="eastAsia" w:ascii="仿宋" w:hAnsi="仿宋" w:eastAsia="仿宋" w:cs="仿宋"/>
                <w:sz w:val="24"/>
                <w:szCs w:val="24"/>
                <w:highlight w:val="none"/>
              </w:rPr>
              <w:t>内容全面完整、科学合理、质量保障</w:t>
            </w:r>
            <w:r>
              <w:rPr>
                <w:rFonts w:hint="eastAsia" w:ascii="仿宋" w:hAnsi="仿宋" w:eastAsia="仿宋" w:cs="仿宋"/>
                <w:sz w:val="24"/>
                <w:szCs w:val="24"/>
                <w:highlight w:val="none"/>
                <w:lang w:eastAsia="zh-CN"/>
              </w:rPr>
              <w:t>全面、合理、有可实施性</w:t>
            </w:r>
            <w:r>
              <w:rPr>
                <w:rFonts w:hint="eastAsia" w:ascii="仿宋" w:hAnsi="仿宋" w:eastAsia="仿宋" w:cs="仿宋"/>
                <w:sz w:val="24"/>
                <w:szCs w:val="24"/>
                <w:highlight w:val="none"/>
              </w:rPr>
              <w:t>根据情况计</w:t>
            </w:r>
            <w:r>
              <w:rPr>
                <w:rFonts w:hint="eastAsia" w:ascii="仿宋" w:hAnsi="仿宋" w:eastAsia="仿宋" w:cs="仿宋"/>
                <w:sz w:val="24"/>
                <w:szCs w:val="24"/>
                <w:highlight w:val="none"/>
                <w:lang w:val="en-US" w:eastAsia="zh-CN"/>
              </w:rPr>
              <w:t>[8-4)</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质量保障</w:t>
            </w:r>
            <w:r>
              <w:rPr>
                <w:rFonts w:hint="eastAsia" w:ascii="仿宋" w:hAnsi="仿宋" w:eastAsia="仿宋" w:cs="仿宋"/>
                <w:sz w:val="24"/>
                <w:szCs w:val="24"/>
                <w:highlight w:val="none"/>
                <w:lang w:eastAsia="zh-CN"/>
              </w:rPr>
              <w:t>描述不全面</w:t>
            </w:r>
            <w:r>
              <w:rPr>
                <w:rFonts w:hint="eastAsia" w:ascii="仿宋" w:hAnsi="仿宋" w:eastAsia="仿宋" w:cs="仿宋"/>
                <w:sz w:val="24"/>
                <w:szCs w:val="24"/>
                <w:highlight w:val="none"/>
              </w:rPr>
              <w:t>的计</w:t>
            </w:r>
            <w:r>
              <w:rPr>
                <w:rFonts w:hint="eastAsia" w:ascii="仿宋" w:hAnsi="仿宋" w:eastAsia="仿宋" w:cs="仿宋"/>
                <w:sz w:val="24"/>
                <w:szCs w:val="24"/>
                <w:highlight w:val="none"/>
                <w:lang w:val="en-US" w:eastAsia="zh-CN"/>
              </w:rPr>
              <w:t>[4-</w:t>
            </w:r>
            <w:r>
              <w:rPr>
                <w:rFonts w:hint="eastAsia" w:ascii="仿宋" w:hAnsi="仿宋" w:eastAsia="仿宋" w:cs="仿宋"/>
                <w:color w:val="auto"/>
                <w:sz w:val="24"/>
                <w:szCs w:val="24"/>
                <w:highlight w:val="none"/>
                <w:lang w:val="en-US" w:eastAsia="zh-CN"/>
              </w:rPr>
              <w:t>0）</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val="en-US" w:eastAsia="zh-CN"/>
              </w:rPr>
              <w:t>，未提供不计分</w:t>
            </w:r>
            <w:r>
              <w:rPr>
                <w:rFonts w:hint="eastAsia" w:ascii="仿宋" w:hAnsi="仿宋" w:eastAsia="仿宋" w:cs="仿宋"/>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spacing w:line="46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lang w:eastAsia="zh-CN"/>
              </w:rPr>
              <w:t>合理化建议</w:t>
            </w:r>
          </w:p>
        </w:tc>
        <w:tc>
          <w:tcPr>
            <w:tcW w:w="774" w:type="dxa"/>
            <w:noWrap w:val="0"/>
            <w:vAlign w:val="center"/>
          </w:tcPr>
          <w:p>
            <w:pPr>
              <w:spacing w:line="460" w:lineRule="exact"/>
              <w:jc w:val="both"/>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lang w:val="en-US" w:eastAsia="zh-CN"/>
              </w:rPr>
              <w:t>6分</w:t>
            </w:r>
          </w:p>
        </w:tc>
        <w:tc>
          <w:tcPr>
            <w:tcW w:w="7186" w:type="dxa"/>
            <w:noWrap w:val="0"/>
            <w:vAlign w:val="center"/>
          </w:tcPr>
          <w:p>
            <w:pPr>
              <w:numPr>
                <w:ilvl w:val="0"/>
                <w:numId w:val="0"/>
              </w:numPr>
              <w:spacing w:line="480" w:lineRule="exact"/>
              <w:ind w:left="0" w:leftChars="0" w:firstLine="0" w:firstLineChars="0"/>
              <w:jc w:val="both"/>
              <w:rPr>
                <w:rFonts w:hint="eastAsia" w:ascii="仿宋" w:hAnsi="仿宋" w:eastAsia="仿宋" w:cs="仿宋"/>
                <w:color w:val="auto"/>
                <w:sz w:val="24"/>
                <w:szCs w:val="24"/>
                <w:highlight w:val="none"/>
              </w:rPr>
            </w:pPr>
            <w:r>
              <w:rPr>
                <w:rFonts w:hint="eastAsia" w:ascii="仿宋" w:hAnsi="仿宋" w:eastAsia="仿宋" w:cs="仿宋"/>
                <w:sz w:val="24"/>
                <w:szCs w:val="24"/>
                <w:highlight w:val="none"/>
                <w:lang w:eastAsia="zh-CN"/>
              </w:rPr>
              <w:t>针对本次水质检测做出合理化建议，</w:t>
            </w:r>
            <w:r>
              <w:rPr>
                <w:rFonts w:hint="eastAsia" w:ascii="仿宋" w:hAnsi="仿宋" w:eastAsia="仿宋" w:cs="仿宋"/>
                <w:sz w:val="24"/>
                <w:highlight w:val="none"/>
              </w:rPr>
              <w:t>根据建议内容</w:t>
            </w:r>
            <w:r>
              <w:rPr>
                <w:rFonts w:hint="eastAsia" w:ascii="仿宋" w:hAnsi="仿宋" w:eastAsia="仿宋" w:cs="仿宋"/>
                <w:sz w:val="24"/>
                <w:highlight w:val="none"/>
                <w:lang w:val="en-US" w:eastAsia="zh-CN"/>
              </w:rPr>
              <w:t>的详细程度，</w:t>
            </w:r>
            <w:r>
              <w:rPr>
                <w:rFonts w:hint="eastAsia" w:ascii="仿宋" w:hAnsi="仿宋" w:eastAsia="仿宋" w:cs="仿宋"/>
                <w:kern w:val="0"/>
                <w:sz w:val="24"/>
                <w:szCs w:val="24"/>
                <w:highlight w:val="none"/>
                <w:lang w:val="en-US" w:eastAsia="zh-CN"/>
              </w:rPr>
              <w:t>内容详细、全面的计[6-3)分，不合理的计[3-</w:t>
            </w:r>
            <w:r>
              <w:rPr>
                <w:rFonts w:hint="eastAsia" w:ascii="仿宋" w:hAnsi="仿宋" w:eastAsia="仿宋" w:cs="仿宋"/>
                <w:color w:val="auto"/>
                <w:sz w:val="24"/>
                <w:szCs w:val="24"/>
                <w:highlight w:val="none"/>
                <w:lang w:val="en-US" w:eastAsia="zh-CN"/>
              </w:rPr>
              <w:t>0）</w:t>
            </w:r>
            <w:r>
              <w:rPr>
                <w:rFonts w:hint="eastAsia" w:ascii="仿宋" w:hAnsi="仿宋" w:eastAsia="仿宋" w:cs="仿宋"/>
                <w:kern w:val="0"/>
                <w:sz w:val="24"/>
                <w:szCs w:val="24"/>
                <w:highlight w:val="none"/>
                <w:lang w:val="en-US" w:eastAsia="zh-CN"/>
              </w:rPr>
              <w:t>分</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numPr>
                <w:ilvl w:val="0"/>
                <w:numId w:val="0"/>
              </w:numPr>
              <w:spacing w:line="4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履约</w:t>
            </w:r>
          </w:p>
          <w:p>
            <w:pPr>
              <w:numPr>
                <w:ilvl w:val="0"/>
                <w:numId w:val="0"/>
              </w:numPr>
              <w:spacing w:line="480" w:lineRule="exact"/>
              <w:ind w:left="0" w:leftChars="0" w:firstLine="0" w:firstLineChars="0"/>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rPr>
              <w:t>能力</w:t>
            </w:r>
          </w:p>
        </w:tc>
        <w:tc>
          <w:tcPr>
            <w:tcW w:w="774" w:type="dxa"/>
            <w:noWrap w:val="0"/>
            <w:vAlign w:val="center"/>
          </w:tcPr>
          <w:p>
            <w:pPr>
              <w:numPr>
                <w:ilvl w:val="0"/>
                <w:numId w:val="0"/>
              </w:numPr>
              <w:spacing w:line="480" w:lineRule="exact"/>
              <w:jc w:val="left"/>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分</w:t>
            </w:r>
          </w:p>
        </w:tc>
        <w:tc>
          <w:tcPr>
            <w:tcW w:w="7186" w:type="dxa"/>
            <w:noWrap w:val="0"/>
            <w:vAlign w:val="center"/>
          </w:tcPr>
          <w:p>
            <w:pPr>
              <w:numPr>
                <w:ilvl w:val="0"/>
                <w:numId w:val="0"/>
              </w:numPr>
              <w:spacing w:line="480" w:lineRule="exact"/>
              <w:ind w:left="0" w:lef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sz w:val="24"/>
                <w:szCs w:val="24"/>
                <w:highlight w:val="none"/>
              </w:rPr>
              <w:t>履约能力</w:t>
            </w:r>
            <w:r>
              <w:rPr>
                <w:rFonts w:hint="eastAsia" w:ascii="仿宋" w:hAnsi="仿宋" w:eastAsia="仿宋" w:cs="仿宋"/>
                <w:sz w:val="24"/>
                <w:szCs w:val="24"/>
                <w:highlight w:val="none"/>
                <w:lang w:val="en-US" w:eastAsia="zh-CN"/>
              </w:rPr>
              <w:t>内容</w:t>
            </w:r>
            <w:r>
              <w:rPr>
                <w:rFonts w:hint="eastAsia" w:ascii="仿宋" w:hAnsi="仿宋" w:eastAsia="仿宋" w:cs="仿宋"/>
                <w:sz w:val="24"/>
                <w:szCs w:val="24"/>
                <w:highlight w:val="none"/>
              </w:rPr>
              <w:t>详细、具体,包括</w:t>
            </w:r>
            <w:r>
              <w:rPr>
                <w:rFonts w:hint="eastAsia" w:ascii="仿宋" w:hAnsi="仿宋" w:eastAsia="仿宋" w:cs="仿宋"/>
                <w:color w:val="auto"/>
                <w:kern w:val="0"/>
                <w:sz w:val="24"/>
                <w:szCs w:val="24"/>
                <w:highlight w:val="none"/>
                <w:lang w:eastAsia="zh-CN"/>
              </w:rPr>
              <w:t>服务</w:t>
            </w:r>
            <w:r>
              <w:rPr>
                <w:rFonts w:hint="eastAsia" w:ascii="仿宋" w:hAnsi="仿宋" w:eastAsia="仿宋" w:cs="仿宋"/>
                <w:color w:val="auto"/>
                <w:kern w:val="0"/>
                <w:sz w:val="24"/>
                <w:szCs w:val="24"/>
                <w:highlight w:val="none"/>
              </w:rPr>
              <w:t>人员素质、管理水平</w:t>
            </w:r>
            <w:r>
              <w:rPr>
                <w:rFonts w:hint="eastAsia" w:ascii="仿宋" w:hAnsi="仿宋" w:eastAsia="仿宋" w:cs="仿宋"/>
                <w:color w:val="auto"/>
                <w:kern w:val="0"/>
                <w:sz w:val="24"/>
                <w:szCs w:val="24"/>
                <w:highlight w:val="none"/>
                <w:lang w:eastAsia="zh-CN"/>
              </w:rPr>
              <w:t>、企业文化</w:t>
            </w:r>
            <w:r>
              <w:rPr>
                <w:rFonts w:hint="eastAsia" w:ascii="仿宋" w:hAnsi="仿宋" w:eastAsia="仿宋" w:cs="仿宋"/>
                <w:color w:val="auto"/>
                <w:kern w:val="0"/>
                <w:sz w:val="24"/>
                <w:szCs w:val="24"/>
                <w:highlight w:val="none"/>
              </w:rPr>
              <w:t>等方面</w:t>
            </w:r>
            <w:r>
              <w:rPr>
                <w:rFonts w:hint="eastAsia" w:ascii="仿宋" w:hAnsi="仿宋" w:eastAsia="仿宋" w:cs="仿宋"/>
                <w:color w:val="auto"/>
                <w:kern w:val="0"/>
                <w:sz w:val="24"/>
                <w:szCs w:val="24"/>
                <w:highlight w:val="none"/>
                <w:lang w:val="en-US" w:eastAsia="zh-CN"/>
              </w:rPr>
              <w:t>进行综合比较，根据详细及响应程度，</w:t>
            </w:r>
            <w:r>
              <w:rPr>
                <w:rFonts w:hint="eastAsia" w:ascii="仿宋" w:hAnsi="仿宋" w:eastAsia="仿宋" w:cs="仿宋"/>
                <w:kern w:val="0"/>
                <w:sz w:val="24"/>
                <w:szCs w:val="24"/>
                <w:highlight w:val="none"/>
                <w:lang w:val="en-US" w:eastAsia="zh-CN"/>
              </w:rPr>
              <w:t>内容详细、全面的计[5-3)分，内容不具体，缺项的计[3-</w:t>
            </w:r>
            <w:r>
              <w:rPr>
                <w:rFonts w:hint="eastAsia" w:ascii="仿宋" w:hAnsi="仿宋" w:eastAsia="仿宋" w:cs="仿宋"/>
                <w:color w:val="auto"/>
                <w:sz w:val="24"/>
                <w:szCs w:val="24"/>
                <w:highlight w:val="none"/>
                <w:lang w:val="en-US" w:eastAsia="zh-CN"/>
              </w:rPr>
              <w:t>0）</w:t>
            </w:r>
            <w:r>
              <w:rPr>
                <w:rFonts w:hint="eastAsia" w:ascii="仿宋" w:hAnsi="仿宋" w:eastAsia="仿宋" w:cs="仿宋"/>
                <w:kern w:val="0"/>
                <w:sz w:val="24"/>
                <w:szCs w:val="24"/>
                <w:highlight w:val="none"/>
                <w:lang w:val="en-US" w:eastAsia="zh-CN"/>
              </w:rPr>
              <w:t>分，</w:t>
            </w:r>
            <w:r>
              <w:rPr>
                <w:rFonts w:hint="eastAsia" w:ascii="仿宋" w:hAnsi="仿宋" w:eastAsia="仿宋" w:cs="仿宋"/>
                <w:sz w:val="24"/>
                <w:highlight w:val="none"/>
                <w:lang w:val="en-US" w:eastAsia="zh-CN"/>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93" w:type="dxa"/>
            <w:noWrap w:val="0"/>
            <w:vAlign w:val="center"/>
          </w:tcPr>
          <w:p>
            <w:pPr>
              <w:spacing w:line="48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服务</w:t>
            </w:r>
          </w:p>
          <w:p>
            <w:pPr>
              <w:spacing w:line="48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rPr>
              <w:t>承诺</w:t>
            </w:r>
          </w:p>
        </w:tc>
        <w:tc>
          <w:tcPr>
            <w:tcW w:w="774" w:type="dxa"/>
            <w:noWrap w:val="0"/>
            <w:vAlign w:val="center"/>
          </w:tcPr>
          <w:p>
            <w:pPr>
              <w:spacing w:line="48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sz w:val="24"/>
                <w:szCs w:val="24"/>
                <w:highlight w:val="none"/>
                <w:lang w:val="en-US" w:eastAsia="zh-CN"/>
              </w:rPr>
              <w:t>12</w:t>
            </w:r>
            <w:r>
              <w:rPr>
                <w:rFonts w:hint="eastAsia" w:ascii="仿宋" w:hAnsi="仿宋" w:eastAsia="仿宋" w:cs="仿宋"/>
                <w:sz w:val="24"/>
                <w:szCs w:val="24"/>
                <w:highlight w:val="none"/>
              </w:rPr>
              <w:t>分</w:t>
            </w:r>
          </w:p>
        </w:tc>
        <w:tc>
          <w:tcPr>
            <w:tcW w:w="7186" w:type="dxa"/>
            <w:noWrap w:val="0"/>
            <w:vAlign w:val="center"/>
          </w:tcPr>
          <w:p>
            <w:pPr>
              <w:numPr>
                <w:ilvl w:val="0"/>
                <w:numId w:val="0"/>
              </w:numPr>
              <w:spacing w:line="480" w:lineRule="exact"/>
              <w:jc w:val="left"/>
              <w:rPr>
                <w:rFonts w:hint="eastAsia" w:ascii="仿宋" w:hAnsi="仿宋" w:eastAsia="仿宋" w:cs="仿宋"/>
                <w:sz w:val="24"/>
                <w:szCs w:val="24"/>
                <w:highlight w:val="none"/>
                <w:lang w:val="en-US" w:eastAsia="zh-CN"/>
              </w:rPr>
            </w:pPr>
            <w:r>
              <w:rPr>
                <w:rFonts w:hint="eastAsia" w:ascii="仿宋" w:hAnsi="仿宋" w:eastAsia="仿宋" w:cs="仿宋"/>
                <w:highlight w:val="none"/>
                <w:lang w:val="en-US" w:eastAsia="zh-CN"/>
              </w:rPr>
              <w:t>1、</w:t>
            </w:r>
            <w:r>
              <w:rPr>
                <w:rFonts w:hint="eastAsia" w:ascii="仿宋" w:hAnsi="仿宋" w:eastAsia="仿宋" w:cs="仿宋"/>
                <w:sz w:val="24"/>
                <w:szCs w:val="24"/>
                <w:highlight w:val="none"/>
              </w:rPr>
              <w:t>针对本采购项目及采购人实际需求提供详细具体可行的服务承诺，</w:t>
            </w:r>
            <w:r>
              <w:rPr>
                <w:rFonts w:hint="eastAsia" w:ascii="仿宋" w:hAnsi="仿宋" w:eastAsia="仿宋" w:cs="仿宋"/>
                <w:sz w:val="24"/>
                <w:szCs w:val="24"/>
                <w:highlight w:val="none"/>
                <w:lang w:eastAsia="zh-CN"/>
              </w:rPr>
              <w:t>承诺全面、合理、有可实施性，</w:t>
            </w:r>
            <w:r>
              <w:rPr>
                <w:rFonts w:hint="eastAsia" w:ascii="仿宋" w:hAnsi="仿宋" w:eastAsia="仿宋" w:cs="仿宋"/>
                <w:sz w:val="24"/>
                <w:szCs w:val="24"/>
                <w:highlight w:val="none"/>
              </w:rPr>
              <w:t>根据</w:t>
            </w:r>
            <w:r>
              <w:rPr>
                <w:rFonts w:hint="eastAsia" w:ascii="仿宋" w:hAnsi="仿宋" w:eastAsia="仿宋" w:cs="仿宋"/>
                <w:sz w:val="24"/>
                <w:szCs w:val="24"/>
                <w:highlight w:val="none"/>
                <w:lang w:val="en-US" w:eastAsia="zh-CN"/>
              </w:rPr>
              <w:t>响应程度</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kern w:val="0"/>
                <w:sz w:val="24"/>
                <w:szCs w:val="24"/>
                <w:highlight w:val="none"/>
                <w:lang w:val="en-US" w:eastAsia="zh-CN"/>
              </w:rPr>
              <w:t>内容详细、全面的计[6-3)分，内容不具体，缺项的计[3-</w:t>
            </w:r>
            <w:r>
              <w:rPr>
                <w:rFonts w:hint="eastAsia" w:ascii="仿宋" w:hAnsi="仿宋" w:eastAsia="仿宋" w:cs="仿宋"/>
                <w:color w:val="auto"/>
                <w:sz w:val="24"/>
                <w:szCs w:val="24"/>
                <w:highlight w:val="none"/>
                <w:lang w:val="en-US" w:eastAsia="zh-CN"/>
              </w:rPr>
              <w:t>0）</w:t>
            </w:r>
            <w:r>
              <w:rPr>
                <w:rFonts w:hint="eastAsia" w:ascii="仿宋" w:hAnsi="仿宋" w:eastAsia="仿宋" w:cs="仿宋"/>
                <w:kern w:val="0"/>
                <w:sz w:val="24"/>
                <w:szCs w:val="24"/>
                <w:highlight w:val="none"/>
                <w:lang w:val="en-US" w:eastAsia="zh-CN"/>
              </w:rPr>
              <w:t>分，</w:t>
            </w:r>
            <w:r>
              <w:rPr>
                <w:rFonts w:hint="eastAsia" w:ascii="仿宋" w:hAnsi="仿宋" w:eastAsia="仿宋" w:cs="仿宋"/>
                <w:sz w:val="24"/>
                <w:szCs w:val="24"/>
                <w:highlight w:val="none"/>
                <w:lang w:val="en-US" w:eastAsia="zh-CN"/>
              </w:rPr>
              <w:t>未提供不计分。</w:t>
            </w:r>
          </w:p>
          <w:p>
            <w:pPr>
              <w:numPr>
                <w:ilvl w:val="0"/>
                <w:numId w:val="0"/>
              </w:numPr>
              <w:spacing w:line="480" w:lineRule="exact"/>
              <w:ind w:left="0" w:leftChars="0" w:firstLine="0" w:firstLineChars="0"/>
              <w:jc w:val="left"/>
              <w:rPr>
                <w:rFonts w:hint="eastAsia" w:ascii="仿宋" w:hAnsi="仿宋" w:eastAsia="仿宋" w:cs="仿宋"/>
                <w:color w:val="auto"/>
                <w:sz w:val="24"/>
                <w:szCs w:val="24"/>
                <w:highlight w:val="none"/>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具有良好的服务能力，完备的策略和服务体系</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服务能力</w:t>
            </w:r>
            <w:r>
              <w:rPr>
                <w:rFonts w:hint="eastAsia" w:ascii="仿宋" w:hAnsi="仿宋" w:eastAsia="仿宋" w:cs="仿宋"/>
                <w:sz w:val="24"/>
                <w:szCs w:val="24"/>
                <w:highlight w:val="none"/>
                <w:lang w:eastAsia="zh-CN"/>
              </w:rPr>
              <w:t>优秀、有可实施性的，</w:t>
            </w:r>
            <w:r>
              <w:rPr>
                <w:rFonts w:hint="eastAsia" w:ascii="仿宋" w:hAnsi="仿宋" w:eastAsia="仿宋" w:cs="仿宋"/>
                <w:sz w:val="24"/>
                <w:szCs w:val="24"/>
                <w:highlight w:val="none"/>
              </w:rPr>
              <w:t>根据</w:t>
            </w:r>
            <w:r>
              <w:rPr>
                <w:rFonts w:hint="eastAsia" w:ascii="仿宋" w:hAnsi="仿宋" w:eastAsia="仿宋" w:cs="仿宋"/>
                <w:sz w:val="24"/>
                <w:szCs w:val="24"/>
                <w:highlight w:val="none"/>
                <w:lang w:val="en-US" w:eastAsia="zh-CN"/>
              </w:rPr>
              <w:t>响应程度</w:t>
            </w:r>
            <w:r>
              <w:rPr>
                <w:rFonts w:hint="eastAsia" w:ascii="仿宋" w:hAnsi="仿宋" w:eastAsia="仿宋" w:cs="仿宋"/>
                <w:color w:val="auto"/>
                <w:kern w:val="0"/>
                <w:sz w:val="24"/>
                <w:szCs w:val="24"/>
                <w:highlight w:val="none"/>
                <w:lang w:val="en-US" w:eastAsia="zh-CN"/>
              </w:rPr>
              <w:t>，</w:t>
            </w:r>
            <w:r>
              <w:rPr>
                <w:rFonts w:hint="eastAsia" w:ascii="仿宋" w:hAnsi="仿宋" w:eastAsia="仿宋" w:cs="仿宋"/>
                <w:kern w:val="0"/>
                <w:sz w:val="24"/>
                <w:szCs w:val="24"/>
                <w:highlight w:val="none"/>
                <w:lang w:val="en-US" w:eastAsia="zh-CN"/>
              </w:rPr>
              <w:t>内容详细、全面的计[6-3)分，内容不具体，缺项的计[3-</w:t>
            </w:r>
            <w:r>
              <w:rPr>
                <w:rFonts w:hint="eastAsia" w:ascii="仿宋" w:hAnsi="仿宋" w:eastAsia="仿宋" w:cs="仿宋"/>
                <w:color w:val="auto"/>
                <w:sz w:val="24"/>
                <w:szCs w:val="24"/>
                <w:highlight w:val="none"/>
                <w:lang w:val="en-US" w:eastAsia="zh-CN"/>
              </w:rPr>
              <w:t>0）</w:t>
            </w:r>
            <w:r>
              <w:rPr>
                <w:rFonts w:hint="eastAsia" w:ascii="仿宋" w:hAnsi="仿宋" w:eastAsia="仿宋" w:cs="仿宋"/>
                <w:kern w:val="0"/>
                <w:sz w:val="24"/>
                <w:szCs w:val="24"/>
                <w:highlight w:val="none"/>
                <w:lang w:val="en-US" w:eastAsia="zh-CN"/>
              </w:rPr>
              <w:t>分，</w:t>
            </w:r>
            <w:r>
              <w:rPr>
                <w:rFonts w:hint="eastAsia" w:ascii="仿宋" w:hAnsi="仿宋" w:eastAsia="仿宋" w:cs="仿宋"/>
                <w:sz w:val="24"/>
                <w:szCs w:val="24"/>
                <w:highlight w:val="none"/>
                <w:lang w:val="en-US" w:eastAsia="zh-CN"/>
              </w:rPr>
              <w:t>未提供不计分。</w:t>
            </w:r>
          </w:p>
        </w:tc>
      </w:tr>
    </w:tbl>
    <w:p>
      <w:pPr>
        <w:widowControl/>
        <w:autoSpaceDE w:val="0"/>
        <w:autoSpaceDN w:val="0"/>
        <w:spacing w:line="560" w:lineRule="exact"/>
        <w:textAlignment w:val="bottom"/>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注：1）评委打分超过得分界限或未按本方法赋分时，该评委的打分按废票处理。</w:t>
      </w:r>
    </w:p>
    <w:p>
      <w:pPr>
        <w:widowControl/>
        <w:autoSpaceDE w:val="0"/>
        <w:autoSpaceDN w:val="0"/>
        <w:spacing w:line="560" w:lineRule="exact"/>
        <w:ind w:firstLine="480" w:firstLineChars="200"/>
        <w:textAlignment w:val="bottom"/>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2）各种计算数字均保 留两位小数，第三位“四舍五入”。</w:t>
      </w:r>
    </w:p>
    <w:p>
      <w:pPr>
        <w:spacing w:line="560" w:lineRule="exact"/>
        <w:ind w:firstLine="482" w:firstLineChars="20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3）特殊情况处理：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a、若出现综合得分相同的，最后磋商报价得分高者为第一成交候选供应商，若综合评分和最后磋商报价的得分均相同的，服务</w:t>
      </w:r>
      <w:r>
        <w:rPr>
          <w:rFonts w:hint="eastAsia" w:ascii="仿宋" w:hAnsi="仿宋" w:eastAsia="仿宋" w:cs="仿宋"/>
          <w:color w:val="000000" w:themeColor="text1"/>
          <w:sz w:val="24"/>
          <w:highlight w:val="none"/>
          <w:lang w:eastAsia="zh-CN"/>
          <w14:textFill>
            <w14:solidFill>
              <w14:schemeClr w14:val="tx1"/>
            </w14:solidFill>
          </w14:textFill>
        </w:rPr>
        <w:t>方案</w:t>
      </w:r>
      <w:r>
        <w:rPr>
          <w:rFonts w:hint="eastAsia" w:ascii="仿宋" w:hAnsi="仿宋" w:eastAsia="仿宋" w:cs="仿宋"/>
          <w:color w:val="000000" w:themeColor="text1"/>
          <w:sz w:val="24"/>
          <w:highlight w:val="none"/>
          <w14:textFill>
            <w14:solidFill>
              <w14:schemeClr w14:val="tx1"/>
            </w14:solidFill>
          </w14:textFill>
        </w:rPr>
        <w:t>得分高者为第一成交候选供应商，若上述两项得分相同，则由全体磋商小组成员无记名投票，得票高者为第一成交候选供应商。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b、当供应商某评分项出现未报、漏报或零报价时，该分项得零分，并不参与磋商报价分的计算。</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c、评议过程中，若出现本评分方法以外的特殊情况时，将暂停评审，待磋商小组商榷后再进行复会。</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2-</w:t>
      </w:r>
      <w:r>
        <w:rPr>
          <w:rFonts w:hint="eastAsia" w:ascii="仿宋" w:hAnsi="仿宋" w:eastAsia="仿宋" w:cs="仿宋"/>
          <w:b/>
          <w:color w:val="000000" w:themeColor="text1"/>
          <w:sz w:val="24"/>
          <w:highlight w:val="none"/>
          <w:lang w:val="en-US" w:eastAsia="zh-CN"/>
          <w14:textFill>
            <w14:solidFill>
              <w14:schemeClr w14:val="tx1"/>
            </w14:solidFill>
          </w14:textFill>
        </w:rPr>
        <w:t>7</w:t>
      </w:r>
      <w:r>
        <w:rPr>
          <w:rFonts w:hint="eastAsia" w:ascii="仿宋" w:hAnsi="仿宋" w:eastAsia="仿宋" w:cs="仿宋"/>
          <w:b/>
          <w:color w:val="000000" w:themeColor="text1"/>
          <w:sz w:val="24"/>
          <w:highlight w:val="none"/>
          <w14:textFill>
            <w14:solidFill>
              <w14:schemeClr w14:val="tx1"/>
            </w14:solidFill>
          </w14:textFill>
        </w:rPr>
        <w:t>、政府采购政策评分标准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-1、小微企业的价格评分标准</w:t>
      </w:r>
    </w:p>
    <w:p>
      <w:pPr>
        <w:spacing w:line="560" w:lineRule="exact"/>
        <w:ind w:firstLine="522" w:firstLineChars="249"/>
        <w:rPr>
          <w:rFonts w:hint="eastAsia" w:ascii="仿宋" w:hAnsi="仿宋" w:eastAsia="仿宋" w:cs="仿宋"/>
          <w:color w:val="auto"/>
          <w:szCs w:val="24"/>
          <w:highlight w:val="none"/>
        </w:rPr>
      </w:pPr>
      <w:r>
        <w:rPr>
          <w:rFonts w:hint="eastAsia" w:ascii="仿宋" w:hAnsi="仿宋" w:eastAsia="仿宋" w:cs="仿宋"/>
          <w:color w:val="auto"/>
          <w:szCs w:val="24"/>
          <w:highlight w:val="none"/>
        </w:rPr>
        <w:t>（</w:t>
      </w:r>
      <w:r>
        <w:rPr>
          <w:rFonts w:hint="eastAsia" w:ascii="仿宋" w:hAnsi="仿宋" w:eastAsia="仿宋" w:cs="仿宋"/>
          <w:color w:val="000000" w:themeColor="text1"/>
          <w:sz w:val="24"/>
          <w:highlight w:val="none"/>
          <w14:textFill>
            <w14:solidFill>
              <w14:schemeClr w14:val="tx1"/>
            </w14:solidFill>
          </w14:textFill>
        </w:rPr>
        <w:t>1）根据《政府采购促进中小企业发展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w:t>
      </w:r>
      <w:r>
        <w:rPr>
          <w:rFonts w:hint="eastAsia" w:ascii="仿宋" w:hAnsi="仿宋" w:eastAsia="仿宋" w:cs="仿宋"/>
          <w:color w:val="000000" w:themeColor="text1"/>
          <w:sz w:val="24"/>
          <w:highlight w:val="none"/>
          <w:lang w:val="en-US" w:eastAsia="zh-CN"/>
          <w14:textFill>
            <w14:solidFill>
              <w14:schemeClr w14:val="tx1"/>
            </w14:solidFill>
          </w14:textFill>
        </w:rPr>
        <w:t>2020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号）的办法</w:t>
      </w:r>
      <w:r>
        <w:rPr>
          <w:rFonts w:hint="eastAsia" w:ascii="仿宋" w:hAnsi="仿宋" w:eastAsia="仿宋" w:cs="仿宋"/>
          <w:color w:val="000000" w:themeColor="text1"/>
          <w:sz w:val="24"/>
          <w:highlight w:val="none"/>
          <w:lang w:eastAsia="zh-CN"/>
          <w14:textFill>
            <w14:solidFill>
              <w14:schemeClr w14:val="tx1"/>
            </w14:solidFill>
          </w14:textFill>
        </w:rPr>
        <w:t>及</w:t>
      </w:r>
      <w:bookmarkStart w:id="28" w:name="_Toc14639"/>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关于进一步加大政府采购支持中小企业力度的通知</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（财库</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2022</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19号）</w:t>
      </w:r>
      <w:bookmarkEnd w:id="28"/>
      <w:r>
        <w:rPr>
          <w:rFonts w:hint="eastAsia" w:ascii="仿宋" w:hAnsi="仿宋" w:eastAsia="仿宋" w:cs="仿宋"/>
          <w:color w:val="000000" w:themeColor="text1"/>
          <w:sz w:val="24"/>
          <w:highlight w:val="none"/>
          <w:lang w:val="en-US" w:eastAsia="zh-CN"/>
          <w14:textFill>
            <w14:solidFill>
              <w14:schemeClr w14:val="tx1"/>
            </w14:solidFill>
          </w14:textFill>
        </w:rPr>
        <w:t>的通知</w:t>
      </w:r>
      <w:r>
        <w:rPr>
          <w:rFonts w:hint="eastAsia" w:ascii="仿宋" w:hAnsi="仿宋" w:eastAsia="仿宋" w:cs="仿宋"/>
          <w:color w:val="000000" w:themeColor="text1"/>
          <w:sz w:val="24"/>
          <w:highlight w:val="none"/>
          <w14:textFill>
            <w14:solidFill>
              <w14:schemeClr w14:val="tx1"/>
            </w14:solidFill>
          </w14:textFill>
        </w:rPr>
        <w:t>，对于专门面向中小企业采购的项目或者采购包,不再执行价格评审优惠的扶持政策。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（2）以联合体形式参加政府采购活动，联合体各方均为中小企业的，联合体视同中小企业。其中，联合体各方均为小微企业的，联合体视同小微企业。</w:t>
      </w:r>
    </w:p>
    <w:p>
      <w:pPr>
        <w:spacing w:line="560" w:lineRule="exact"/>
        <w:ind w:firstLine="480" w:firstLineChars="200"/>
        <w:rPr>
          <w:rFonts w:hint="eastAsia" w:ascii="仿宋" w:hAnsi="仿宋" w:eastAsia="仿宋" w:cs="仿宋"/>
          <w:strike/>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参加本项目的小微企业须提供《中小企业声明函》，未提供的不视为小微企业。本项目提供的货物不包括使用大型企业注册商标的货物，小型、微型企业提供中型企业制造的货物的，视同为中型企业。供应商须作出承诺，保证真实性，如有虚假，将依法承担相应责任。</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）小微企业按《政府采购促进中小企业发展</w:t>
      </w:r>
      <w:r>
        <w:rPr>
          <w:rFonts w:hint="eastAsia" w:ascii="仿宋" w:hAnsi="仿宋" w:eastAsia="仿宋" w:cs="仿宋"/>
          <w:color w:val="000000" w:themeColor="text1"/>
          <w:sz w:val="24"/>
          <w:highlight w:val="none"/>
          <w:lang w:eastAsia="zh-CN"/>
          <w14:textFill>
            <w14:solidFill>
              <w14:schemeClr w14:val="tx1"/>
            </w14:solidFill>
          </w14:textFill>
        </w:rPr>
        <w:t>管理</w:t>
      </w:r>
      <w:r>
        <w:rPr>
          <w:rFonts w:hint="eastAsia" w:ascii="仿宋" w:hAnsi="仿宋" w:eastAsia="仿宋" w:cs="仿宋"/>
          <w:color w:val="000000" w:themeColor="text1"/>
          <w:sz w:val="24"/>
          <w:highlight w:val="none"/>
          <w14:textFill>
            <w14:solidFill>
              <w14:schemeClr w14:val="tx1"/>
            </w14:solidFill>
          </w14:textFill>
        </w:rPr>
        <w:t>办法》（财库【20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46</w:t>
      </w:r>
      <w:r>
        <w:rPr>
          <w:rFonts w:hint="eastAsia" w:ascii="仿宋" w:hAnsi="仿宋" w:eastAsia="仿宋" w:cs="仿宋"/>
          <w:color w:val="000000" w:themeColor="text1"/>
          <w:sz w:val="24"/>
          <w:highlight w:val="none"/>
          <w14:textFill>
            <w14:solidFill>
              <w14:schemeClr w14:val="tx1"/>
            </w14:solidFill>
          </w14:textFill>
        </w:rPr>
        <w:t>号）和《工业和信息化部、国家统计局、国家发展和改革委员会、财政部关于印发&lt;中小企业划型标准规定&gt;的通知》（工信部联企业【2011】300号）文件规定标准确认</w:t>
      </w:r>
      <w:r>
        <w:rPr>
          <w:rFonts w:hint="eastAsia" w:ascii="仿宋" w:hAnsi="仿宋" w:eastAsia="仿宋" w:cs="仿宋"/>
          <w:color w:val="000000" w:themeColor="text1"/>
          <w:sz w:val="24"/>
          <w:highlight w:val="none"/>
          <w:lang w:eastAsia="zh-CN"/>
          <w14:textFill>
            <w14:solidFill>
              <w14:schemeClr w14:val="tx1"/>
            </w14:solidFill>
          </w14:textFill>
        </w:rPr>
        <w:t>。</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-2、监狱企业的价格评分标准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（1）在政府采购活动中，监狱企业视同小型、微型企业，享受预留份额、评审中价格扣除等政府采购促进中小企业发展的政府采购政策。</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（2）监狱企业属于小型、微型企业的，不重复享受政策。 </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（3）监狱企业参加政府采购活动时，应当提供由省级以上监狱管理局、戒毒管理局（含新疆生产建设兵团）出具的属于监狱企业的证明文件。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（4）监狱企业按《财政部、司法部关于政府采购支持监狱企业发展有关问题的通知》（财库〔2014〕68号）文件规定标准执行。</w:t>
      </w:r>
    </w:p>
    <w:p>
      <w:pPr>
        <w:spacing w:line="560" w:lineRule="exact"/>
        <w:ind w:firstLine="600" w:firstLineChars="25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-3、残疾人福利性单位的价格评分标准</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（1）在政府采购活动中，残疾人福利性单位视同小型、微型企业，享受预留份额、评审中价格扣除等政府采购促进中小企业发展的政府采购政策。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（2）残疾人福利性单位属于小型、微型企业的，不重复享受政策。</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（3）符合条件的残疾人福利性单位在参加政府采购活动时，应当提供本通知规定的《残疾人福利性单位声明函》，并对声明的真实性负责，未提供的不视为残疾人福利性单位。 </w:t>
      </w:r>
    </w:p>
    <w:p>
      <w:pPr>
        <w:spacing w:line="560" w:lineRule="exact"/>
        <w:ind w:firstLine="597" w:firstLineChars="24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-4、节能产品、环境标志产品政策</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（1）根据《财政部、国家发展改革委、生态环境部、市场监管总局&lt;关于调整优化节能产品、环境标志产品政府采购执行机制&gt;的通知》的</w:t>
      </w:r>
      <w:r>
        <w:rPr>
          <w:rFonts w:hint="eastAsia" w:ascii="仿宋" w:hAnsi="仿宋" w:eastAsia="仿宋" w:cs="仿宋"/>
          <w:color w:val="000000" w:themeColor="text1"/>
          <w:sz w:val="24"/>
          <w:highlight w:val="none"/>
          <w14:textFill>
            <w14:solidFill>
              <w14:schemeClr w14:val="tx1"/>
            </w14:solidFill>
          </w14:textFill>
        </w:rPr>
        <w:t>有关规定</w:t>
      </w:r>
      <w:r>
        <w:rPr>
          <w:rFonts w:hint="eastAsia" w:ascii="仿宋" w:hAnsi="仿宋" w:eastAsia="仿宋" w:cs="仿宋"/>
          <w:bCs/>
          <w:color w:val="000000" w:themeColor="text1"/>
          <w:sz w:val="24"/>
          <w:highlight w:val="none"/>
          <w14:textFill>
            <w14:solidFill>
              <w14:schemeClr w14:val="tx1"/>
            </w14:solidFill>
          </w14:textFill>
        </w:rPr>
        <w:t>，依据品目清单和认证证书实施政府采购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（2）</w:t>
      </w:r>
      <w:r>
        <w:rPr>
          <w:rFonts w:hint="eastAsia" w:ascii="仿宋" w:hAnsi="仿宋" w:eastAsia="仿宋" w:cs="仿宋"/>
          <w:bCs/>
          <w:color w:val="000000" w:themeColor="text1"/>
          <w:sz w:val="24"/>
          <w:highlight w:val="none"/>
          <w:lang w:eastAsia="zh-CN"/>
          <w14:textFill>
            <w14:solidFill>
              <w14:schemeClr w14:val="tx1"/>
            </w14:solidFill>
          </w14:textFill>
        </w:rPr>
        <w:t>供应商</w:t>
      </w:r>
      <w:r>
        <w:rPr>
          <w:rFonts w:hint="eastAsia" w:ascii="仿宋" w:hAnsi="仿宋" w:eastAsia="仿宋" w:cs="仿宋"/>
          <w:bCs/>
          <w:color w:val="000000" w:themeColor="text1"/>
          <w:sz w:val="24"/>
          <w:highlight w:val="none"/>
          <w14:textFill>
            <w14:solidFill>
              <w14:schemeClr w14:val="tx1"/>
            </w14:solidFill>
          </w14:textFill>
        </w:rPr>
        <w:t>在</w:t>
      </w:r>
      <w:r>
        <w:rPr>
          <w:rFonts w:hint="eastAsia" w:ascii="仿宋" w:hAnsi="仿宋" w:eastAsia="仿宋" w:cs="仿宋"/>
          <w:bCs/>
          <w:color w:val="000000" w:themeColor="text1"/>
          <w:sz w:val="24"/>
          <w:highlight w:val="none"/>
          <w:lang w:eastAsia="zh-CN"/>
          <w14:textFill>
            <w14:solidFill>
              <w14:schemeClr w14:val="tx1"/>
            </w14:solidFill>
          </w14:textFill>
        </w:rPr>
        <w:t>竞争性磋商响应</w:t>
      </w:r>
      <w:r>
        <w:rPr>
          <w:rFonts w:hint="eastAsia" w:ascii="仿宋" w:hAnsi="仿宋" w:eastAsia="仿宋" w:cs="仿宋"/>
          <w:bCs/>
          <w:color w:val="000000" w:themeColor="text1"/>
          <w:sz w:val="24"/>
          <w:highlight w:val="none"/>
          <w14:textFill>
            <w14:solidFill>
              <w14:schemeClr w14:val="tx1"/>
            </w14:solidFill>
          </w14:textFill>
        </w:rPr>
        <w:t>文件中对所投产品为节能、环境标志产品清单中的产品，在</w:t>
      </w:r>
      <w:r>
        <w:rPr>
          <w:rFonts w:hint="eastAsia" w:ascii="仿宋" w:hAnsi="仿宋" w:eastAsia="仿宋" w:cs="仿宋"/>
          <w:bCs/>
          <w:color w:val="000000" w:themeColor="text1"/>
          <w:sz w:val="24"/>
          <w:highlight w:val="none"/>
          <w:lang w:eastAsia="zh-CN"/>
          <w14:textFill>
            <w14:solidFill>
              <w14:schemeClr w14:val="tx1"/>
            </w14:solidFill>
          </w14:textFill>
        </w:rPr>
        <w:t>磋商</w:t>
      </w:r>
      <w:r>
        <w:rPr>
          <w:rFonts w:hint="eastAsia" w:ascii="仿宋" w:hAnsi="仿宋" w:eastAsia="仿宋" w:cs="仿宋"/>
          <w:bCs/>
          <w:color w:val="000000" w:themeColor="text1"/>
          <w:sz w:val="24"/>
          <w:highlight w:val="none"/>
          <w14:textFill>
            <w14:solidFill>
              <w14:schemeClr w14:val="tx1"/>
            </w14:solidFill>
          </w14:textFill>
        </w:rPr>
        <w:t>报价时必须对此类产品单独分项报价，并提供属于清单内产品的证明资料，否则评审时不给予计分。</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（3）产品同时属于“非强制采购节能产品”、环境标志产品的，评审时可同时享受优先待遇。</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（4）若节能、环境标志品目清单内的产品仅是构成投标产品的部件、组件或零件 </w:t>
      </w:r>
    </w:p>
    <w:p>
      <w:pPr>
        <w:autoSpaceDE w:val="0"/>
        <w:autoSpaceDN w:val="0"/>
        <w:adjustRightInd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的，则该投标产品不享受鼓励优惠政策。 </w:t>
      </w:r>
    </w:p>
    <w:p>
      <w:pPr>
        <w:autoSpaceDE w:val="0"/>
        <w:autoSpaceDN w:val="0"/>
        <w:adjustRightInd w:val="0"/>
        <w:spacing w:line="560" w:lineRule="exact"/>
        <w:ind w:firstLine="480" w:firstLineChars="200"/>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（5）节能、环境标志产品部分计分只对属于品目清单内的非强制类产品进行计分， </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 xml:space="preserve">强制类产品不给予计分。 </w:t>
      </w:r>
    </w:p>
    <w:p>
      <w:pPr>
        <w:spacing w:line="560" w:lineRule="exact"/>
        <w:ind w:firstLine="482" w:firstLineChars="200"/>
        <w:rPr>
          <w:rFonts w:hint="eastAsia" w:ascii="仿宋" w:hAnsi="仿宋" w:eastAsia="仿宋" w:cs="仿宋"/>
          <w:b/>
          <w:bCs/>
          <w:color w:val="000000" w:themeColor="text1"/>
          <w:sz w:val="24"/>
          <w:highlight w:val="none"/>
          <w:lang w:val="zh-CN"/>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highlight w:val="none"/>
          <w:lang w:val="en-US" w:eastAsia="zh-CN"/>
          <w14:textFill>
            <w14:solidFill>
              <w14:schemeClr w14:val="tx1"/>
            </w14:solidFill>
          </w14:textFill>
        </w:rPr>
        <w:t>8</w:t>
      </w:r>
      <w:r>
        <w:rPr>
          <w:rFonts w:hint="eastAsia" w:ascii="仿宋" w:hAnsi="仿宋" w:eastAsia="仿宋" w:cs="仿宋"/>
          <w:b/>
          <w:bCs/>
          <w:color w:val="000000" w:themeColor="text1"/>
          <w:sz w:val="24"/>
          <w:highlight w:val="none"/>
          <w14:textFill>
            <w14:solidFill>
              <w14:schemeClr w14:val="tx1"/>
            </w14:solidFill>
          </w14:textFill>
        </w:rPr>
        <w:t>、</w:t>
      </w:r>
      <w:bookmarkStart w:id="29" w:name="_Toc14886425"/>
      <w:bookmarkStart w:id="30" w:name="_Toc22138"/>
      <w:r>
        <w:rPr>
          <w:rFonts w:hint="eastAsia" w:ascii="仿宋" w:hAnsi="仿宋" w:eastAsia="仿宋" w:cs="仿宋"/>
          <w:b/>
          <w:bCs/>
          <w:color w:val="000000" w:themeColor="text1"/>
          <w:sz w:val="24"/>
          <w:highlight w:val="none"/>
          <w:lang w:val="zh-CN"/>
          <w14:textFill>
            <w14:solidFill>
              <w14:schemeClr w14:val="tx1"/>
            </w14:solidFill>
          </w14:textFill>
        </w:rPr>
        <w:t>信用担保</w:t>
      </w:r>
      <w:bookmarkEnd w:id="29"/>
      <w:bookmarkEnd w:id="30"/>
      <w:r>
        <w:rPr>
          <w:rFonts w:hint="eastAsia" w:ascii="仿宋" w:hAnsi="仿宋" w:eastAsia="仿宋" w:cs="仿宋"/>
          <w:b/>
          <w:bCs/>
          <w:color w:val="000000" w:themeColor="text1"/>
          <w:sz w:val="24"/>
          <w:highlight w:val="none"/>
          <w:lang w:val="zh-CN"/>
          <w14:textFill>
            <w14:solidFill>
              <w14:schemeClr w14:val="tx1"/>
            </w14:solidFill>
          </w14:textFill>
        </w:rPr>
        <w:t>及融资</w:t>
      </w:r>
    </w:p>
    <w:p>
      <w:pPr>
        <w:adjustRightInd w:val="0"/>
        <w:snapToGrid w:val="0"/>
        <w:spacing w:line="560" w:lineRule="exact"/>
        <w:ind w:firstLine="480" w:firstLineChars="200"/>
        <w:rPr>
          <w:rFonts w:hint="eastAsia" w:ascii="仿宋" w:hAnsi="仿宋" w:eastAsia="仿宋" w:cs="仿宋"/>
          <w:bCs/>
          <w:color w:val="auto"/>
          <w:sz w:val="24"/>
          <w:szCs w:val="24"/>
          <w:highlight w:val="none"/>
          <w:lang w:val="zh-CN" w:eastAsia="zh-CN"/>
        </w:rPr>
      </w:pPr>
      <w:r>
        <w:rPr>
          <w:rFonts w:hint="eastAsia" w:ascii="仿宋" w:hAnsi="仿宋" w:eastAsia="仿宋" w:cs="仿宋"/>
          <w:bCs/>
          <w:color w:val="auto"/>
          <w:sz w:val="24"/>
          <w:szCs w:val="24"/>
          <w:highlight w:val="none"/>
          <w:lang w:val="zh-CN" w:eastAsia="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Cs/>
          <w:color w:val="auto"/>
          <w:sz w:val="24"/>
          <w:szCs w:val="24"/>
          <w:highlight w:val="none"/>
          <w:lang w:val="zh-CN" w:eastAsia="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省政府采购信用融资平台（含各市分平台）自主选择金融机构及其融资产品，凭政府采购中标（成交）通知书或政府采购合同向金融机构提出融资申请。</w:t>
      </w:r>
    </w:p>
    <w:p>
      <w:pPr>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3、定标</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3-1、定标程序</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磋商小组依据磋商文件的要求，对供应商进行认真评审。经过评审、澄清、磋商、最后报价等程序后，从响应文件满足磋商文件全部实质性要求的供应商中，按照评审得分由高到低顺序的顺序推荐3名以上成交候选供应商，并编写评审报告。</w:t>
      </w:r>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磋商小组成员应当在评审报告上签字，对自己的评审意见承担法律责任。磋商小组成员对评审报告有异议的，磋商小组按照少数服从多数的原则推荐成交候选人，采购程序继续进行。对评审报告有异议的磋商小组成员，应当在评审报告上签署不同意见并说明理由，否则视为同意评审报告。</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采购代理机构应当自评审结束之日起2个工作日内将评审报告送交采购人。采购人在收到评审报告5个工作日内，根据磋商小组提交的评审报告和推荐的成交候选供应商，按照排序由高到低的原则确定成交供应商。成交候选人并列的，最后磋商报价低的成为成交供应商，若最后磋商报价得分相同，服务方案得分高的成为成交供应商。确定结果后，采购人向采购代理机构出具《成交复函》。采购人逾期未确定成交供应商且不提出异议的，视为确定评审报告推荐的排名第一的供应商为成交供应商。</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（4）采购代理机构接到采购人的《成交复函》后，在2个工作日内，将成交结果在</w:t>
      </w:r>
      <w:r>
        <w:rPr>
          <w:rFonts w:hint="eastAsia" w:ascii="仿宋" w:hAnsi="仿宋" w:eastAsia="仿宋" w:cs="仿宋"/>
          <w:color w:val="000000" w:themeColor="text1"/>
          <w:sz w:val="24"/>
          <w:highlight w:val="none"/>
          <w:lang w:val="en-US" w:eastAsia="zh-CN"/>
          <w14:textFill>
            <w14:solidFill>
              <w14:schemeClr w14:val="tx1"/>
            </w14:solidFill>
          </w14:textFill>
        </w:rPr>
        <w:t>陕西省</w:t>
      </w:r>
      <w:r>
        <w:rPr>
          <w:rFonts w:hint="eastAsia" w:ascii="仿宋" w:hAnsi="仿宋" w:eastAsia="仿宋" w:cs="仿宋"/>
          <w:color w:val="000000" w:themeColor="text1"/>
          <w:sz w:val="24"/>
          <w:highlight w:val="none"/>
          <w:lang w:eastAsia="zh-CN"/>
          <w14:textFill>
            <w14:solidFill>
              <w14:schemeClr w14:val="tx1"/>
            </w14:solidFill>
          </w14:textFill>
        </w:rPr>
        <w:t>政府采购</w:t>
      </w:r>
      <w:r>
        <w:rPr>
          <w:rFonts w:hint="eastAsia" w:ascii="仿宋" w:hAnsi="仿宋" w:eastAsia="仿宋" w:cs="仿宋"/>
          <w:color w:val="000000" w:themeColor="text1"/>
          <w:sz w:val="24"/>
          <w:highlight w:val="none"/>
          <w14:textFill>
            <w14:solidFill>
              <w14:schemeClr w14:val="tx1"/>
            </w14:solidFill>
          </w14:textFill>
        </w:rPr>
        <w:t>网上发布公告。公告发布1个工作日，其他供应商若有异议，按《政府采购法》第52条执行。</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3-2、成交供应商确定后，采购人和采购代理机构对未成交原因不作任何解释，竞争性磋商响应文件不予退还（含纸质及电子版文件）。</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4、磋商无效的情形：</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14:textFill>
            <w14:solidFill>
              <w14:schemeClr w14:val="tx1"/>
            </w14:solidFill>
          </w14:textFill>
        </w:rPr>
        <w:t>、磋商响应文件未按磋商文件要求签署、盖章的；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、不具备磋商文件中规定的资格要求的；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、报价超过磋商文件中规定的预算金额或者最高限价的；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、磋商响应文件含有采购人不能接受的附加条件的；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、提供虚假材料谋取成交的；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、采取不正当手段诋毁、排挤其他供应商的；</w:t>
      </w:r>
    </w:p>
    <w:p>
      <w:pPr>
        <w:tabs>
          <w:tab w:val="left" w:pos="2700"/>
        </w:tabs>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、法律、法规和磋商文件规定的其他无效情形。</w:t>
      </w:r>
    </w:p>
    <w:p>
      <w:pPr>
        <w:adjustRightInd w:val="0"/>
        <w:snapToGrid w:val="0"/>
        <w:spacing w:line="560" w:lineRule="exact"/>
        <w:ind w:firstLine="482"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5、成交通知书</w:t>
      </w:r>
    </w:p>
    <w:p>
      <w:pPr>
        <w:pageBreakBefore w:val="0"/>
        <w:tabs>
          <w:tab w:val="left" w:pos="2700"/>
        </w:tabs>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5-1、成交通知书将在成交公告发布的同时由采购代理机构向成交人发出，成交供应商应在接到采购代理机构通知之日起七日内领取成交通知书。</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color w:val="000000" w:themeColor="text1"/>
          <w:sz w:val="24"/>
          <w:highlight w:val="none"/>
          <w14:textFill>
            <w14:solidFill>
              <w14:schemeClr w14:val="tx1"/>
            </w14:solidFill>
          </w14:textFill>
        </w:rPr>
        <w:t>5-2、成交通知书发出后，采购人不得违法改变成交结果，成交人无正当理由不得弃成交。</w:t>
      </w:r>
    </w:p>
    <w:p>
      <w:pPr>
        <w:pStyle w:val="3"/>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1" w:name="_Toc28361"/>
      <w:r>
        <w:rPr>
          <w:rFonts w:hint="eastAsia" w:ascii="仿宋" w:hAnsi="仿宋" w:eastAsia="仿宋" w:cs="仿宋"/>
          <w:color w:val="000000" w:themeColor="text1"/>
          <w:sz w:val="28"/>
          <w:szCs w:val="28"/>
          <w:highlight w:val="none"/>
          <w:lang w:val="en-US" w:eastAsia="zh-CN"/>
          <w14:textFill>
            <w14:solidFill>
              <w14:schemeClr w14:val="tx1"/>
            </w14:solidFill>
          </w14:textFill>
        </w:rPr>
        <w:t>八</w:t>
      </w:r>
      <w:r>
        <w:rPr>
          <w:rFonts w:hint="eastAsia" w:ascii="仿宋" w:hAnsi="仿宋" w:eastAsia="仿宋" w:cs="仿宋"/>
          <w:color w:val="000000" w:themeColor="text1"/>
          <w:sz w:val="28"/>
          <w:szCs w:val="28"/>
          <w:highlight w:val="none"/>
          <w14:textFill>
            <w14:solidFill>
              <w14:schemeClr w14:val="tx1"/>
            </w14:solidFill>
          </w14:textFill>
        </w:rPr>
        <w:t>、合同</w:t>
      </w:r>
      <w:bookmarkEnd w:id="31"/>
    </w:p>
    <w:p>
      <w:pPr>
        <w:keepNext w:val="0"/>
        <w:keepLines w:val="0"/>
        <w:pageBreakBefore w:val="0"/>
        <w:widowControl w:val="0"/>
        <w:kinsoku/>
        <w:wordWrap/>
        <w:overflowPunct/>
        <w:topLinePunct w:val="0"/>
        <w:autoSpaceDE/>
        <w:autoSpaceDN/>
        <w:bidi w:val="0"/>
        <w:spacing w:line="560"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1、成交供应商在收到成交通知书后</w:t>
      </w:r>
      <w:r>
        <w:rPr>
          <w:rFonts w:hint="eastAsia" w:ascii="仿宋" w:hAnsi="仿宋" w:eastAsia="仿宋" w:cs="仿宋"/>
          <w:color w:val="auto"/>
          <w:sz w:val="24"/>
          <w:highlight w:val="none"/>
          <w:lang w:val="en-US" w:eastAsia="zh-CN"/>
        </w:rPr>
        <w:t>二十五</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25</w:t>
      </w:r>
      <w:r>
        <w:rPr>
          <w:rFonts w:hint="eastAsia" w:ascii="仿宋" w:hAnsi="仿宋" w:eastAsia="仿宋" w:cs="仿宋"/>
          <w:color w:val="auto"/>
          <w:sz w:val="24"/>
          <w:highlight w:val="none"/>
        </w:rPr>
        <w:t>）个日历日内，应按竞争性磋商文件的要求与采购人签订合同。成交供应商因自身原因不按规定与采购人签订合同，则采购人将废除授标，磋商保证金不予退还。给采购人造成损失超过磋商保证金额的，还应当对超过部分予以赔偿，并依法承担相应法律责任。</w:t>
      </w:r>
    </w:p>
    <w:p>
      <w:pPr>
        <w:adjustRightInd w:val="0"/>
        <w:snapToGrid w:val="0"/>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成交供应商因不可抗力或者自身原因不能履行政府采购合同的，采购人可以与排位在成交供应商之后第一位的成交候选供应商签订政府采购合同，以此类推，也可以重新开展采购活动。因自身原因拒绝签订政府采购合同的或者未按合同约定进行履约的，成交人不得参加对该项目重新开展的采购活动。</w:t>
      </w:r>
    </w:p>
    <w:p>
      <w:pPr>
        <w:adjustRightInd w:val="0"/>
        <w:snapToGrid w:val="0"/>
        <w:spacing w:line="560" w:lineRule="exact"/>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3、成交通知书将是合同的重要组成部分。竞争性磋商文件、成交供应商的竞争性磋商响应文件及评议过程中有关的澄清文件均作为合同附件。</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成交后，成交人应按照合同约定履行义务，完成磋商项目的服务，经采购人同意，成交人可以依法采取分包方式履行合同。接受分包的供应商应当具备相应的资格条件，并不得再次分包。分包履行的，成交人就采购项目和分包项目向采购人负责，分包供应商就分包项目承担责任。中小企业根据《政府采购促进中小企业发展管理办法》</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财库[2020]46号）规定的政策获取政府采购合同后，小型、微型企业不得分包或转包给大型、中型企业，中型企业不得分包或转包给大型企业。</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5、所签订的合同不得对磋商文件确定的事项和成交人磋商响应文件作实质性修改。</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6、采购人需追加与合同标的相同的货物、工程或服务的，在不改变合同其他条款的前提下，可以与供应商协商签订补充合同，但所有补充合同的采购金额不得超过原合同采购金额的百分之十。</w:t>
      </w:r>
    </w:p>
    <w:p>
      <w:pPr>
        <w:pStyle w:val="3"/>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2" w:name="_Toc24945"/>
      <w:bookmarkStart w:id="33" w:name="_Toc494556650"/>
      <w:bookmarkStart w:id="34" w:name="_Toc493074178"/>
      <w:r>
        <w:rPr>
          <w:rFonts w:hint="eastAsia" w:ascii="仿宋" w:hAnsi="仿宋" w:eastAsia="仿宋" w:cs="仿宋"/>
          <w:color w:val="000000" w:themeColor="text1"/>
          <w:sz w:val="28"/>
          <w:szCs w:val="28"/>
          <w:highlight w:val="none"/>
          <w:lang w:val="en-US" w:eastAsia="zh-CN"/>
          <w14:textFill>
            <w14:solidFill>
              <w14:schemeClr w14:val="tx1"/>
            </w14:solidFill>
          </w14:textFill>
        </w:rPr>
        <w:t>九</w:t>
      </w:r>
      <w:r>
        <w:rPr>
          <w:rFonts w:hint="eastAsia" w:ascii="仿宋" w:hAnsi="仿宋" w:eastAsia="仿宋" w:cs="仿宋"/>
          <w:color w:val="000000" w:themeColor="text1"/>
          <w:sz w:val="28"/>
          <w:szCs w:val="28"/>
          <w:highlight w:val="none"/>
          <w14:textFill>
            <w14:solidFill>
              <w14:schemeClr w14:val="tx1"/>
            </w14:solidFill>
          </w14:textFill>
        </w:rPr>
        <w:t>、合同的履约验收</w:t>
      </w:r>
      <w:bookmarkEnd w:id="32"/>
      <w:bookmarkEnd w:id="33"/>
      <w:bookmarkEnd w:id="34"/>
    </w:p>
    <w:p>
      <w:pPr>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采购人应按照政府采购合同约定的技术、服务、安全标准组织对供应商每一项技术、服务、安全标准的履约情况进行验收，并出具验收书。</w:t>
      </w:r>
    </w:p>
    <w:p>
      <w:pPr>
        <w:pStyle w:val="3"/>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5" w:name="_Toc19792"/>
      <w:r>
        <w:rPr>
          <w:rFonts w:hint="eastAsia" w:ascii="仿宋" w:hAnsi="仿宋" w:eastAsia="仿宋" w:cs="仿宋"/>
          <w:color w:val="000000" w:themeColor="text1"/>
          <w:sz w:val="28"/>
          <w:szCs w:val="28"/>
          <w:highlight w:val="none"/>
          <w:lang w:val="en-US" w:eastAsia="zh-CN"/>
          <w14:textFill>
            <w14:solidFill>
              <w14:schemeClr w14:val="tx1"/>
            </w14:solidFill>
          </w14:textFill>
        </w:rPr>
        <w:t>十</w:t>
      </w:r>
      <w:r>
        <w:rPr>
          <w:rFonts w:hint="eastAsia" w:ascii="仿宋" w:hAnsi="仿宋" w:eastAsia="仿宋" w:cs="仿宋"/>
          <w:color w:val="000000" w:themeColor="text1"/>
          <w:sz w:val="28"/>
          <w:szCs w:val="28"/>
          <w:highlight w:val="none"/>
          <w14:textFill>
            <w14:solidFill>
              <w14:schemeClr w14:val="tx1"/>
            </w14:solidFill>
          </w14:textFill>
        </w:rPr>
        <w:t>、招标服务费</w:t>
      </w:r>
      <w:bookmarkEnd w:id="35"/>
    </w:p>
    <w:p>
      <w:pPr>
        <w:tabs>
          <w:tab w:val="left" w:pos="2700"/>
        </w:tabs>
        <w:spacing w:line="560" w:lineRule="exact"/>
        <w:ind w:firstLine="480" w:firstLineChars="200"/>
        <w:rPr>
          <w:rFonts w:hint="eastAsia" w:ascii="仿宋" w:hAnsi="仿宋" w:eastAsia="仿宋" w:cs="仿宋"/>
          <w:sz w:val="24"/>
          <w:highlight w:val="none"/>
        </w:rPr>
      </w:pPr>
      <w:bookmarkStart w:id="36" w:name="_Toc458848826"/>
      <w:bookmarkStart w:id="37" w:name="_Toc458848974"/>
      <w:bookmarkStart w:id="38" w:name="_Toc458848741"/>
      <w:r>
        <w:rPr>
          <w:rFonts w:hint="eastAsia" w:ascii="仿宋" w:hAnsi="仿宋" w:eastAsia="仿宋" w:cs="仿宋"/>
          <w:sz w:val="24"/>
          <w:highlight w:val="none"/>
        </w:rPr>
        <w:t>1、</w:t>
      </w:r>
      <w:r>
        <w:rPr>
          <w:rFonts w:hint="eastAsia" w:ascii="仿宋" w:hAnsi="仿宋" w:eastAsia="仿宋" w:cs="仿宋"/>
          <w:sz w:val="24"/>
          <w:highlight w:val="none"/>
          <w:lang w:val="en-US" w:eastAsia="zh-CN"/>
        </w:rPr>
        <w:t>成交供应商</w:t>
      </w:r>
      <w:r>
        <w:rPr>
          <w:rFonts w:hint="eastAsia" w:ascii="仿宋" w:hAnsi="仿宋" w:eastAsia="仿宋" w:cs="仿宋"/>
          <w:sz w:val="24"/>
          <w:highlight w:val="none"/>
        </w:rPr>
        <w:t>在领取中标通知书时，依据《国家计委关于印发&lt;招标代理服务收费管理暂行办法&gt;的通知》(计价格〔2002〕1980号)、《国家发展改革委关于降低部分建设项目收费标准规范收费行为等有关问题的通知》(发改价格〔2011〕534号)以及财政部关于印发&lt;政府采购代理机构管理暂行办法&gt;的通知》（财库〔2018〕2号），向</w:t>
      </w:r>
      <w:r>
        <w:rPr>
          <w:rFonts w:hint="eastAsia" w:ascii="仿宋" w:hAnsi="仿宋" w:eastAsia="仿宋" w:cs="仿宋"/>
          <w:sz w:val="24"/>
          <w:highlight w:val="none"/>
          <w:lang w:eastAsia="zh-CN"/>
        </w:rPr>
        <w:t>华招广和项目管理有限公司</w:t>
      </w:r>
      <w:r>
        <w:rPr>
          <w:rFonts w:hint="eastAsia" w:ascii="仿宋" w:hAnsi="仿宋" w:eastAsia="仿宋" w:cs="仿宋"/>
          <w:sz w:val="24"/>
          <w:highlight w:val="none"/>
        </w:rPr>
        <w:t>交纳招标服务费。</w:t>
      </w:r>
    </w:p>
    <w:p>
      <w:pPr>
        <w:tabs>
          <w:tab w:val="left" w:pos="2700"/>
        </w:tabs>
        <w:spacing w:line="560" w:lineRule="exact"/>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2、招标服务费应采用转账形式交纳。</w:t>
      </w:r>
    </w:p>
    <w:p>
      <w:pPr>
        <w:pStyle w:val="3"/>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39" w:name="_Toc14425"/>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一</w:t>
      </w:r>
      <w:r>
        <w:rPr>
          <w:rFonts w:hint="eastAsia" w:ascii="仿宋" w:hAnsi="仿宋" w:eastAsia="仿宋" w:cs="仿宋"/>
          <w:color w:val="000000" w:themeColor="text1"/>
          <w:sz w:val="28"/>
          <w:szCs w:val="28"/>
          <w:highlight w:val="none"/>
          <w14:textFill>
            <w14:solidFill>
              <w14:schemeClr w14:val="tx1"/>
            </w14:solidFill>
          </w14:textFill>
        </w:rPr>
        <w:t>、</w:t>
      </w:r>
      <w:bookmarkEnd w:id="36"/>
      <w:bookmarkEnd w:id="37"/>
      <w:bookmarkEnd w:id="38"/>
      <w:r>
        <w:rPr>
          <w:rFonts w:hint="eastAsia" w:ascii="仿宋" w:hAnsi="仿宋" w:eastAsia="仿宋" w:cs="仿宋"/>
          <w:color w:val="000000" w:themeColor="text1"/>
          <w:sz w:val="28"/>
          <w:szCs w:val="28"/>
          <w:highlight w:val="none"/>
          <w14:textFill>
            <w14:solidFill>
              <w14:schemeClr w14:val="tx1"/>
            </w14:solidFill>
          </w14:textFill>
        </w:rPr>
        <w:t>重新组织采购活动</w:t>
      </w:r>
      <w:bookmarkEnd w:id="39"/>
    </w:p>
    <w:p>
      <w:pPr>
        <w:spacing w:line="560" w:lineRule="exact"/>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如果发生下列情况之一的，采购人或采购代理机构将按《政府采购竞争性磋商采购方式管理暂行办法》等有关规定重新组织采购：</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（1）、因情况变化，不再符合规定的竞争性磋商采购方式适用情形的；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（2）、出现影响采购公正的违法、违规行为的；</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（3）、磋商小组三分之二以上的专家认定所有磋商报价存在价格不实的现象；</w:t>
      </w:r>
    </w:p>
    <w:p>
      <w:pPr>
        <w:spacing w:line="560" w:lineRule="exact"/>
        <w:ind w:firstLine="240" w:firstLineChars="100"/>
        <w:rPr>
          <w:rFonts w:hint="eastAsia" w:ascii="仿宋" w:hAnsi="仿宋" w:eastAsia="仿宋" w:cs="仿宋"/>
          <w:color w:val="000000" w:themeColor="text1"/>
          <w:sz w:val="24"/>
          <w:highlight w:val="none"/>
          <w14:textFill>
            <w14:solidFill>
              <w14:schemeClr w14:val="tx1"/>
            </w14:solidFill>
          </w14:textFill>
        </w:rPr>
      </w:pPr>
      <w:bookmarkStart w:id="40" w:name="_Toc458848742"/>
      <w:bookmarkStart w:id="41" w:name="_Toc458848975"/>
      <w:bookmarkStart w:id="42" w:name="_Toc458848827"/>
      <w:r>
        <w:rPr>
          <w:rFonts w:hint="eastAsia" w:ascii="仿宋" w:hAnsi="仿宋" w:eastAsia="仿宋" w:cs="仿宋"/>
          <w:color w:val="000000" w:themeColor="text1"/>
          <w:sz w:val="24"/>
          <w:highlight w:val="none"/>
          <w14:textFill>
            <w14:solidFill>
              <w14:schemeClr w14:val="tx1"/>
            </w14:solidFill>
          </w14:textFill>
        </w:rPr>
        <w:t>（4）、除《政府采购竞争性磋商采购方式管理暂行办法》（财库〔2014〕214号）第二十一条第三款及《财政部关于政府采购竞争性磋商采购方式管理暂行办法有关问题的补充通知》（财库〔2015〕124号）规定的情形外，在采购过程中符合要求的供应商或者报价未超过采购预算的供应商不足三家的。</w:t>
      </w:r>
    </w:p>
    <w:p>
      <w:pPr>
        <w:pStyle w:val="3"/>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43" w:name="_Toc15549"/>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二</w:t>
      </w:r>
      <w:r>
        <w:rPr>
          <w:rFonts w:hint="eastAsia" w:ascii="仿宋" w:hAnsi="仿宋" w:eastAsia="仿宋" w:cs="仿宋"/>
          <w:color w:val="000000" w:themeColor="text1"/>
          <w:sz w:val="28"/>
          <w:szCs w:val="28"/>
          <w:highlight w:val="none"/>
          <w14:textFill>
            <w14:solidFill>
              <w14:schemeClr w14:val="tx1"/>
            </w14:solidFill>
          </w14:textFill>
        </w:rPr>
        <w:t>、</w:t>
      </w:r>
      <w:bookmarkEnd w:id="40"/>
      <w:bookmarkEnd w:id="41"/>
      <w:bookmarkEnd w:id="42"/>
      <w:r>
        <w:rPr>
          <w:rFonts w:hint="eastAsia" w:ascii="仿宋" w:hAnsi="仿宋" w:eastAsia="仿宋" w:cs="仿宋"/>
          <w:color w:val="000000" w:themeColor="text1"/>
          <w:sz w:val="28"/>
          <w:szCs w:val="28"/>
          <w:highlight w:val="none"/>
          <w14:textFill>
            <w14:solidFill>
              <w14:schemeClr w14:val="tx1"/>
            </w14:solidFill>
          </w14:textFill>
        </w:rPr>
        <w:t>询问、质疑与投诉</w:t>
      </w:r>
      <w:bookmarkEnd w:id="43"/>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bookmarkStart w:id="44" w:name="_Toc458848976"/>
      <w:bookmarkStart w:id="45" w:name="_Toc458848828"/>
      <w:bookmarkStart w:id="46" w:name="_Toc458848743"/>
      <w:r>
        <w:rPr>
          <w:rFonts w:hint="eastAsia" w:ascii="仿宋" w:hAnsi="仿宋" w:eastAsia="仿宋" w:cs="仿宋"/>
          <w:color w:val="000000" w:themeColor="text1"/>
          <w:sz w:val="24"/>
          <w:highlight w:val="none"/>
          <w14:textFill>
            <w14:solidFill>
              <w14:schemeClr w14:val="tx1"/>
            </w14:solidFill>
          </w14:textFill>
        </w:rPr>
        <w:t>1、询问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供应商对政府采购活动事项有疑问的，可以向采购人、采购代理机构提出询问。</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2-1、供应商认为磋商文件、磋商过程和成交结果使自己的权益受到损害的，可以采购人、采购代理机构提出质疑，具体时限为：</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（一）对可以质疑的采购文件提出质疑的，为收到采购文件之日起七个工作日内；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（二）对采购过程提出质疑的，为各采购程序环节结束之日起七个工作日内；</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（三）对成交结果提出质疑的，为成交结果公告期限届满之日起七个工作日内。</w:t>
      </w:r>
    </w:p>
    <w:p>
      <w:pPr>
        <w:spacing w:line="560" w:lineRule="exact"/>
        <w:ind w:left="479" w:leftChars="228"/>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2-2、供应商须在法定质疑期内一次性提出针对同一采购程序环节的质疑。</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2-3、供应商必须按照财政部发布的《政府采购供应商质疑函范本》及其制作说明提出质疑。详见“中国政府采购网（www.ccgp.gov.cn）”下载专区。</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-4、供应商提出质疑应当提交必要的证明材料，证据来源必须合法，采购人、采购代理机构有权将质疑函转发质疑事项各关联方，请其作出解释说明。质疑函内容不得含有虚假、恶意成分。对捏造事实、提供虚假材料或者以非法手段取得的证明材料，滥用维权扰乱采购秩序的恶意质疑者，采购人、采购代理机构将驳回。</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-5、供应商可以委托代理人进行质疑，须提交授权委托书。其授权委托书应当载明代理人的姓名或者名称、代理事项、具体权限、期限和相关事项。供应商为自然人的，应当由本人签字；供应商为法人或者其他组织的，应当由法定代表人、主要负责人，或者其授权代表签字或盖章，并加盖公章（鲜章）。</w:t>
      </w:r>
    </w:p>
    <w:p>
      <w:pPr>
        <w:spacing w:line="56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2-6、供应商应在法定期限内以书面形式提出质疑，联系人： </w:t>
      </w:r>
      <w:r>
        <w:rPr>
          <w:rFonts w:hint="eastAsia" w:ascii="仿宋" w:hAnsi="仿宋" w:eastAsia="仿宋" w:cs="仿宋"/>
          <w:color w:val="000000" w:themeColor="text1"/>
          <w:sz w:val="24"/>
          <w:highlight w:val="none"/>
          <w:lang w:eastAsia="zh-CN"/>
          <w14:textFill>
            <w14:solidFill>
              <w14:schemeClr w14:val="tx1"/>
            </w14:solidFill>
          </w14:textFill>
        </w:rPr>
        <w:t>党工</w:t>
      </w: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lang w:eastAsia="zh-CN"/>
          <w14:textFill>
            <w14:solidFill>
              <w14:schemeClr w14:val="tx1"/>
            </w14:solidFill>
          </w14:textFill>
        </w:rPr>
        <w:t>029-87592321</w:t>
      </w: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（西安市朱雀大街南段1号汇成天玺C座18层1812室）。</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w:t>
      </w:r>
    </w:p>
    <w:p>
      <w:pPr>
        <w:pStyle w:val="41"/>
        <w:spacing w:line="560" w:lineRule="exact"/>
        <w:ind w:firstLine="480"/>
        <w:rPr>
          <w:rFonts w:hint="eastAsia" w:ascii="仿宋" w:hAnsi="仿宋" w:eastAsia="仿宋" w:cs="仿宋"/>
          <w:color w:val="000000" w:themeColor="text1"/>
          <w:kern w:val="2"/>
          <w:sz w:val="24"/>
          <w:szCs w:val="20"/>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3-1、质疑供应商对采购人、采购代理机构的答复不满意或者采购人、采购代理机构未在规定的时间内作出答复的，可按《政府采购法》第55条</w:t>
      </w:r>
      <w:r>
        <w:rPr>
          <w:rFonts w:hint="eastAsia" w:ascii="仿宋" w:hAnsi="仿宋" w:eastAsia="仿宋" w:cs="仿宋"/>
          <w:color w:val="000000" w:themeColor="text1"/>
          <w:kern w:val="2"/>
          <w:sz w:val="24"/>
          <w:szCs w:val="20"/>
          <w:highlight w:val="none"/>
          <w14:textFill>
            <w14:solidFill>
              <w14:schemeClr w14:val="tx1"/>
            </w14:solidFill>
          </w14:textFill>
        </w:rPr>
        <w:t>和《政府采购质疑和投诉办法》（财政部令第94号）第17条等有关规定执行。</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3-2、本项目质疑供应商对采购人、采购代理机构的答复不满意或者采购人、采购代理机构未在规定时间内作出答复的，可在15个工作日内向</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eastAsia="zh-CN"/>
          <w14:textFill>
            <w14:solidFill>
              <w14:schemeClr w14:val="tx1"/>
            </w14:solidFill>
          </w14:textFill>
        </w:rPr>
        <w:t>韩城市财政局</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提起投诉。</w:t>
      </w:r>
    </w:p>
    <w:p>
      <w:pPr>
        <w:pStyle w:val="3"/>
        <w:spacing w:before="0" w:after="0" w:line="560" w:lineRule="exact"/>
        <w:rPr>
          <w:rFonts w:hint="eastAsia" w:ascii="仿宋" w:hAnsi="仿宋" w:eastAsia="仿宋" w:cs="仿宋"/>
          <w:color w:val="000000" w:themeColor="text1"/>
          <w:sz w:val="28"/>
          <w:szCs w:val="28"/>
          <w:highlight w:val="none"/>
          <w14:textFill>
            <w14:solidFill>
              <w14:schemeClr w14:val="tx1"/>
            </w14:solidFill>
          </w14:textFill>
        </w:rPr>
      </w:pPr>
      <w:bookmarkStart w:id="47" w:name="_Toc19464"/>
      <w:r>
        <w:rPr>
          <w:rFonts w:hint="eastAsia" w:ascii="仿宋" w:hAnsi="仿宋" w:eastAsia="仿宋" w:cs="仿宋"/>
          <w:color w:val="000000" w:themeColor="text1"/>
          <w:sz w:val="28"/>
          <w:szCs w:val="28"/>
          <w:highlight w:val="none"/>
          <w14:textFill>
            <w14:solidFill>
              <w14:schemeClr w14:val="tx1"/>
            </w14:solidFill>
          </w14:textFill>
        </w:rPr>
        <w:t>十</w:t>
      </w:r>
      <w:r>
        <w:rPr>
          <w:rFonts w:hint="eastAsia" w:ascii="仿宋" w:hAnsi="仿宋" w:eastAsia="仿宋" w:cs="仿宋"/>
          <w:color w:val="000000" w:themeColor="text1"/>
          <w:sz w:val="28"/>
          <w:szCs w:val="28"/>
          <w:highlight w:val="none"/>
          <w:lang w:val="en-US" w:eastAsia="zh-CN"/>
          <w14:textFill>
            <w14:solidFill>
              <w14:schemeClr w14:val="tx1"/>
            </w14:solidFill>
          </w14:textFill>
        </w:rPr>
        <w:t>三</w:t>
      </w:r>
      <w:r>
        <w:rPr>
          <w:rFonts w:hint="eastAsia" w:ascii="仿宋" w:hAnsi="仿宋" w:eastAsia="仿宋" w:cs="仿宋"/>
          <w:color w:val="000000" w:themeColor="text1"/>
          <w:sz w:val="28"/>
          <w:szCs w:val="28"/>
          <w:highlight w:val="none"/>
          <w14:textFill>
            <w14:solidFill>
              <w14:schemeClr w14:val="tx1"/>
            </w14:solidFill>
          </w14:textFill>
        </w:rPr>
        <w:t>、拒绝商业贿赂</w:t>
      </w:r>
      <w:bookmarkEnd w:id="44"/>
      <w:bookmarkEnd w:id="45"/>
      <w:bookmarkEnd w:id="46"/>
      <w:bookmarkEnd w:id="47"/>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1、遵照陕西省财政厅的规定，采购人、采购代理机构、供应商和评审专家在磋商活动中，都要签订相应的《拒绝政府采购领域商业贿赂承诺书》，并对违反承诺的行为承担全部责任。</w:t>
      </w:r>
    </w:p>
    <w:p>
      <w:pPr>
        <w:spacing w:line="56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2、供应商必须填写一份《拒绝政府采购领域商业贿赂承诺书》并附在磋商响应文件中，同时应保证磋商响应文件正、副本中一致。</w:t>
      </w:r>
    </w:p>
    <w:p>
      <w:pPr>
        <w:pStyle w:val="2"/>
        <w:spacing w:before="0" w:after="0" w:line="360" w:lineRule="auto"/>
        <w:jc w:val="center"/>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bookmarkStart w:id="48" w:name="_Toc20324"/>
      <w:r>
        <w:rPr>
          <w:rFonts w:hint="eastAsia" w:ascii="仿宋" w:hAnsi="仿宋" w:eastAsia="仿宋" w:cs="仿宋"/>
          <w:color w:val="000000" w:themeColor="text1"/>
          <w:kern w:val="0"/>
          <w:highlight w:val="none"/>
          <w14:textFill>
            <w14:solidFill>
              <w14:schemeClr w14:val="tx1"/>
            </w14:solidFill>
          </w14:textFill>
        </w:rPr>
        <w:t>第三章  服务内容及要求</w:t>
      </w:r>
      <w:bookmarkEnd w:id="48"/>
    </w:p>
    <w:p>
      <w:pPr>
        <w:pStyle w:val="11"/>
        <w:spacing w:before="177" w:line="360" w:lineRule="auto"/>
        <w:ind w:left="1" w:right="76" w:firstLine="492"/>
        <w:jc w:val="both"/>
        <w:rPr>
          <w:rFonts w:hint="eastAsia" w:ascii="仿宋" w:hAnsi="仿宋" w:eastAsia="仿宋" w:cs="仿宋"/>
          <w:spacing w:val="1"/>
          <w:sz w:val="24"/>
          <w:szCs w:val="24"/>
        </w:rPr>
      </w:pPr>
      <w:r>
        <w:rPr>
          <w:rFonts w:hint="eastAsia" w:ascii="仿宋" w:hAnsi="仿宋" w:eastAsia="仿宋" w:cs="仿宋"/>
          <w:spacing w:val="-4"/>
          <w:sz w:val="24"/>
          <w:szCs w:val="24"/>
        </w:rPr>
        <w:t>1</w:t>
      </w:r>
      <w:r>
        <w:rPr>
          <w:rFonts w:hint="eastAsia" w:ascii="仿宋" w:hAnsi="仿宋" w:eastAsia="仿宋" w:cs="仿宋"/>
          <w:spacing w:val="-13"/>
          <w:sz w:val="24"/>
          <w:szCs w:val="24"/>
        </w:rPr>
        <w:t xml:space="preserve"> </w:t>
      </w:r>
      <w:r>
        <w:rPr>
          <w:rFonts w:hint="eastAsia" w:ascii="仿宋" w:hAnsi="仿宋" w:eastAsia="仿宋" w:cs="仿宋"/>
          <w:spacing w:val="-4"/>
          <w:sz w:val="24"/>
          <w:szCs w:val="24"/>
        </w:rPr>
        <w:t>、对韩城</w:t>
      </w:r>
      <w:r>
        <w:rPr>
          <w:rFonts w:hint="eastAsia" w:ascii="仿宋" w:hAnsi="仿宋" w:eastAsia="仿宋" w:cs="仿宋"/>
          <w:spacing w:val="-4"/>
          <w:sz w:val="24"/>
          <w:szCs w:val="24"/>
          <w:lang w:eastAsia="zh-CN"/>
        </w:rPr>
        <w:t>市区域内</w:t>
      </w:r>
      <w:r>
        <w:rPr>
          <w:rFonts w:hint="eastAsia" w:ascii="仿宋" w:hAnsi="仿宋" w:eastAsia="仿宋" w:cs="仿宋"/>
          <w:spacing w:val="-56"/>
          <w:sz w:val="24"/>
          <w:szCs w:val="24"/>
        </w:rPr>
        <w:t xml:space="preserve"> </w:t>
      </w:r>
      <w:r>
        <w:rPr>
          <w:rFonts w:hint="eastAsia" w:ascii="仿宋" w:hAnsi="仿宋" w:eastAsia="仿宋" w:cs="仿宋"/>
          <w:spacing w:val="-4"/>
          <w:sz w:val="24"/>
          <w:szCs w:val="24"/>
        </w:rPr>
        <w:t>4</w:t>
      </w:r>
      <w:r>
        <w:rPr>
          <w:rFonts w:hint="eastAsia" w:ascii="仿宋" w:hAnsi="仿宋" w:eastAsia="仿宋" w:cs="仿宋"/>
          <w:spacing w:val="-4"/>
          <w:sz w:val="24"/>
          <w:szCs w:val="24"/>
          <w:lang w:eastAsia="zh-CN"/>
        </w:rPr>
        <w:t>88</w:t>
      </w:r>
      <w:r>
        <w:rPr>
          <w:rFonts w:hint="eastAsia" w:ascii="仿宋" w:hAnsi="仿宋" w:eastAsia="仿宋" w:cs="仿宋"/>
          <w:spacing w:val="-4"/>
          <w:sz w:val="24"/>
          <w:szCs w:val="24"/>
        </w:rPr>
        <w:t>处农村饮水安全项目水质达</w:t>
      </w:r>
      <w:r>
        <w:rPr>
          <w:rFonts w:hint="eastAsia" w:ascii="仿宋" w:hAnsi="仿宋" w:eastAsia="仿宋" w:cs="仿宋"/>
          <w:spacing w:val="1"/>
          <w:sz w:val="24"/>
          <w:szCs w:val="24"/>
        </w:rPr>
        <w:t>标情况开展水质检测工作；</w:t>
      </w:r>
    </w:p>
    <w:p>
      <w:pPr>
        <w:pStyle w:val="11"/>
        <w:spacing w:before="177" w:line="360" w:lineRule="auto"/>
        <w:ind w:left="1" w:right="76" w:firstLine="492"/>
        <w:jc w:val="both"/>
        <w:rPr>
          <w:rFonts w:hint="eastAsia" w:ascii="仿宋" w:hAnsi="仿宋" w:eastAsia="仿宋" w:cs="仿宋"/>
          <w:spacing w:val="1"/>
          <w:sz w:val="24"/>
          <w:szCs w:val="24"/>
          <w:lang w:eastAsia="zh-CN"/>
        </w:rPr>
      </w:pPr>
      <w:r>
        <w:rPr>
          <w:rFonts w:hint="eastAsia" w:ascii="仿宋" w:hAnsi="仿宋" w:eastAsia="仿宋" w:cs="仿宋"/>
          <w:spacing w:val="1"/>
          <w:sz w:val="24"/>
          <w:szCs w:val="24"/>
        </w:rPr>
        <w:t>2、检测标准</w:t>
      </w:r>
      <w:r>
        <w:rPr>
          <w:rFonts w:hint="eastAsia" w:ascii="仿宋" w:hAnsi="仿宋" w:eastAsia="仿宋" w:cs="仿宋"/>
          <w:spacing w:val="1"/>
          <w:sz w:val="24"/>
          <w:szCs w:val="24"/>
          <w:lang w:eastAsia="zh-CN"/>
        </w:rPr>
        <w:t>及指标</w:t>
      </w:r>
    </w:p>
    <w:p>
      <w:pPr>
        <w:pStyle w:val="11"/>
        <w:spacing w:before="177" w:line="360" w:lineRule="auto"/>
        <w:ind w:left="1" w:right="76" w:firstLine="492"/>
        <w:jc w:val="both"/>
        <w:rPr>
          <w:rFonts w:hint="eastAsia" w:ascii="仿宋" w:hAnsi="仿宋" w:eastAsia="仿宋" w:cs="仿宋"/>
          <w:spacing w:val="-3"/>
          <w:position w:val="17"/>
          <w:sz w:val="24"/>
          <w:szCs w:val="24"/>
          <w:lang w:eastAsia="zh-CN"/>
        </w:rPr>
      </w:pPr>
      <w:r>
        <w:rPr>
          <w:rFonts w:hint="eastAsia" w:ascii="仿宋" w:hAnsi="仿宋" w:eastAsia="仿宋" w:cs="仿宋"/>
          <w:spacing w:val="-3"/>
          <w:position w:val="17"/>
          <w:sz w:val="24"/>
          <w:szCs w:val="24"/>
        </w:rPr>
        <w:t>执行《生活饮用水卫生标准》（GB 5749-2022</w:t>
      </w:r>
      <w:r>
        <w:rPr>
          <w:rFonts w:hint="eastAsia" w:ascii="仿宋" w:hAnsi="仿宋" w:eastAsia="仿宋" w:cs="仿宋"/>
          <w:spacing w:val="-3"/>
          <w:position w:val="17"/>
          <w:sz w:val="24"/>
          <w:szCs w:val="24"/>
          <w:lang w:eastAsia="zh-CN"/>
        </w:rPr>
        <w:t>）中表1水质常规指标37项，具体情况如下：</w:t>
      </w:r>
    </w:p>
    <w:p>
      <w:pPr>
        <w:pStyle w:val="11"/>
        <w:spacing w:before="177" w:line="360" w:lineRule="auto"/>
        <w:ind w:left="1" w:right="76" w:firstLine="492"/>
        <w:jc w:val="both"/>
        <w:rPr>
          <w:rFonts w:hint="eastAsia" w:ascii="仿宋" w:hAnsi="仿宋" w:eastAsia="仿宋" w:cs="仿宋"/>
          <w:spacing w:val="1"/>
          <w:sz w:val="24"/>
          <w:szCs w:val="24"/>
          <w:lang w:eastAsia="zh-CN"/>
        </w:rPr>
      </w:pPr>
      <w:r>
        <w:rPr>
          <w:rFonts w:hint="eastAsia" w:ascii="仿宋" w:hAnsi="仿宋" w:eastAsia="仿宋" w:cs="仿宋"/>
          <w:spacing w:val="1"/>
          <w:sz w:val="24"/>
          <w:szCs w:val="24"/>
          <w:lang w:eastAsia="zh-CN"/>
        </w:rPr>
        <w:t>（1）微生物指标（3 项）：总大肠菌群、大肠埃希氏菌、菌落总数；</w:t>
      </w:r>
    </w:p>
    <w:p>
      <w:pPr>
        <w:pStyle w:val="11"/>
        <w:spacing w:before="177" w:line="360" w:lineRule="auto"/>
        <w:ind w:left="1" w:right="76" w:firstLine="492"/>
        <w:jc w:val="both"/>
        <w:rPr>
          <w:rFonts w:hint="eastAsia" w:ascii="仿宋" w:hAnsi="仿宋" w:eastAsia="仿宋" w:cs="仿宋"/>
          <w:spacing w:val="1"/>
          <w:sz w:val="24"/>
          <w:szCs w:val="24"/>
          <w:lang w:eastAsia="zh-CN"/>
        </w:rPr>
      </w:pPr>
      <w:r>
        <w:rPr>
          <w:rFonts w:hint="eastAsia" w:ascii="仿宋" w:hAnsi="仿宋" w:eastAsia="仿宋" w:cs="仿宋"/>
          <w:spacing w:val="1"/>
          <w:sz w:val="24"/>
          <w:szCs w:val="24"/>
          <w:lang w:eastAsia="zh-CN"/>
        </w:rPr>
        <w:t>（2）毒理指标（18 项）：砷、镉、铬（六价）、铅、汞、氰化物、氟化物、硝酸盐、 三氯甲烷、一氯二溴甲烷、二氯一溴甲烷、三溴甲烷、三卤甲烷、二氯乙酸、三氯乙酸、溴酸盐、亚氯酸盐、氯酸盐；</w:t>
      </w:r>
    </w:p>
    <w:p>
      <w:pPr>
        <w:pStyle w:val="11"/>
        <w:spacing w:before="177" w:line="360" w:lineRule="auto"/>
        <w:ind w:left="1" w:right="76" w:firstLine="492"/>
        <w:jc w:val="both"/>
        <w:rPr>
          <w:rFonts w:hint="eastAsia" w:ascii="仿宋" w:hAnsi="仿宋" w:eastAsia="仿宋" w:cs="仿宋"/>
          <w:spacing w:val="1"/>
          <w:sz w:val="24"/>
          <w:szCs w:val="24"/>
          <w:lang w:eastAsia="zh-CN"/>
        </w:rPr>
      </w:pPr>
      <w:r>
        <w:rPr>
          <w:rFonts w:hint="eastAsia" w:ascii="仿宋" w:hAnsi="仿宋" w:eastAsia="仿宋" w:cs="仿宋"/>
          <w:spacing w:val="1"/>
          <w:sz w:val="24"/>
          <w:szCs w:val="24"/>
          <w:lang w:eastAsia="zh-CN"/>
        </w:rPr>
        <w:t>（3）感官性状和一般化学指标（16 项）：色度、浑浊度、臭和味、肉眼可见物、pH 值、铝、铁、锰、铜、锌、氯化物、硫酸盐、溶解性总固体、总硬度、高锰酸盐指数、氨；</w:t>
      </w:r>
    </w:p>
    <w:p>
      <w:pPr>
        <w:pStyle w:val="11"/>
        <w:spacing w:before="177" w:line="360" w:lineRule="auto"/>
        <w:rPr>
          <w:rFonts w:hint="eastAsia" w:ascii="仿宋" w:hAnsi="仿宋" w:eastAsia="仿宋" w:cs="仿宋"/>
          <w:spacing w:val="1"/>
          <w:sz w:val="24"/>
          <w:szCs w:val="24"/>
          <w:lang w:eastAsia="zh-CN"/>
        </w:rPr>
      </w:pPr>
      <w:r>
        <w:rPr>
          <w:rFonts w:hint="eastAsia" w:ascii="仿宋" w:hAnsi="仿宋" w:eastAsia="仿宋" w:cs="仿宋"/>
          <w:spacing w:val="1"/>
          <w:sz w:val="24"/>
          <w:szCs w:val="24"/>
          <w:lang w:eastAsia="zh-CN"/>
        </w:rPr>
        <w:t xml:space="preserve">    3、在规定服务期限内，</w:t>
      </w:r>
      <w:r>
        <w:rPr>
          <w:rFonts w:hint="eastAsia" w:ascii="仿宋" w:hAnsi="仿宋" w:eastAsia="仿宋" w:cs="仿宋"/>
          <w:spacing w:val="1"/>
          <w:sz w:val="24"/>
          <w:szCs w:val="24"/>
          <w:lang w:val="en-US" w:eastAsia="zh-CN"/>
        </w:rPr>
        <w:t>供应商</w:t>
      </w:r>
      <w:r>
        <w:rPr>
          <w:rFonts w:hint="eastAsia" w:ascii="仿宋" w:hAnsi="仿宋" w:eastAsia="仿宋" w:cs="仿宋"/>
          <w:spacing w:val="1"/>
          <w:sz w:val="24"/>
          <w:szCs w:val="24"/>
          <w:lang w:eastAsia="zh-CN"/>
        </w:rPr>
        <w:t>应完成采样，并向</w:t>
      </w:r>
      <w:r>
        <w:rPr>
          <w:rFonts w:hint="eastAsia" w:ascii="仿宋" w:hAnsi="仿宋" w:eastAsia="仿宋" w:cs="仿宋"/>
          <w:spacing w:val="1"/>
          <w:sz w:val="24"/>
          <w:szCs w:val="24"/>
          <w:lang w:val="en-US" w:eastAsia="zh-CN"/>
        </w:rPr>
        <w:t>采购方</w:t>
      </w:r>
      <w:r>
        <w:rPr>
          <w:rFonts w:hint="eastAsia" w:ascii="仿宋" w:hAnsi="仿宋" w:eastAsia="仿宋" w:cs="仿宋"/>
          <w:spacing w:val="1"/>
          <w:sz w:val="24"/>
          <w:szCs w:val="24"/>
          <w:lang w:eastAsia="zh-CN"/>
        </w:rPr>
        <w:t>出具有效的 CMA 认证样品检验报告。</w:t>
      </w:r>
    </w:p>
    <w:p>
      <w:pPr>
        <w:keepNext/>
        <w:keepLines/>
        <w:pageBreakBefore w:val="0"/>
        <w:widowControl w:val="0"/>
        <w:kinsoku/>
        <w:wordWrap/>
        <w:overflowPunct/>
        <w:topLinePunct w:val="0"/>
        <w:autoSpaceDE/>
        <w:autoSpaceDN/>
        <w:bidi w:val="0"/>
        <w:adjustRightInd/>
        <w:snapToGrid/>
        <w:spacing w:before="0" w:after="0" w:line="560" w:lineRule="exact"/>
        <w:ind w:firstLine="420" w:firstLineChars="200"/>
        <w:jc w:val="both"/>
        <w:textAlignment w:val="auto"/>
        <w:outlineLvl w:val="9"/>
        <w:rPr>
          <w:rFonts w:hint="eastAsia" w:ascii="仿宋" w:hAnsi="仿宋" w:eastAsia="仿宋" w:cs="仿宋"/>
          <w:color w:val="000000" w:themeColor="text1"/>
          <w:kern w:val="0"/>
          <w:highlight w:val="none"/>
          <w14:textFill>
            <w14:solidFill>
              <w14:schemeClr w14:val="tx1"/>
            </w14:solidFill>
          </w14:textFill>
        </w:rPr>
      </w:pPr>
    </w:p>
    <w:p>
      <w:pPr>
        <w:pStyle w:val="23"/>
        <w:rPr>
          <w:rFonts w:hint="eastAsia"/>
          <w:highlight w:val="none"/>
        </w:rPr>
      </w:pPr>
    </w:p>
    <w:p>
      <w:pPr>
        <w:rPr>
          <w:rFonts w:hint="eastAsia" w:ascii="仿宋" w:hAnsi="仿宋" w:eastAsia="仿宋" w:cs="仿宋"/>
          <w:color w:val="000000" w:themeColor="text1"/>
          <w:kern w:val="0"/>
          <w:highlight w:val="none"/>
          <w14:textFill>
            <w14:solidFill>
              <w14:schemeClr w14:val="tx1"/>
            </w14:solidFill>
          </w14:textFill>
        </w:rPr>
      </w:pPr>
      <w:bookmarkStart w:id="49" w:name="_Toc21581"/>
      <w:r>
        <w:rPr>
          <w:rFonts w:hint="eastAsia" w:ascii="仿宋" w:hAnsi="仿宋" w:eastAsia="仿宋" w:cs="仿宋"/>
          <w:color w:val="000000" w:themeColor="text1"/>
          <w:kern w:val="0"/>
          <w:highlight w:val="none"/>
          <w14:textFill>
            <w14:solidFill>
              <w14:schemeClr w14:val="tx1"/>
            </w14:solidFill>
          </w14:textFill>
        </w:rPr>
        <w:br w:type="page"/>
      </w:r>
    </w:p>
    <w:p>
      <w:pPr>
        <w:pStyle w:val="2"/>
        <w:spacing w:before="0" w:after="0"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t>第四章   商务要求</w:t>
      </w:r>
      <w:bookmarkEnd w:id="49"/>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一、服务期限及地点：</w:t>
      </w:r>
      <w:bookmarkStart w:id="50" w:name="_Toc167714037"/>
      <w:bookmarkStart w:id="51" w:name="_Toc167712839"/>
      <w:bookmarkStart w:id="52" w:name="_Toc167715234"/>
    </w:p>
    <w:bookmarkEnd w:id="50"/>
    <w:bookmarkEnd w:id="51"/>
    <w:bookmarkEnd w:id="52"/>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期限：</w:t>
      </w:r>
      <w:r>
        <w:rPr>
          <w:rFonts w:hint="eastAsia" w:ascii="仿宋" w:hAnsi="仿宋" w:eastAsia="仿宋" w:cs="仿宋"/>
          <w:color w:val="000000" w:themeColor="text1"/>
          <w:sz w:val="24"/>
          <w:highlight w:val="none"/>
          <w:lang w:val="en-US" w:eastAsia="zh-CN"/>
          <w14:textFill>
            <w14:solidFill>
              <w14:schemeClr w14:val="tx1"/>
            </w14:solidFill>
          </w14:textFill>
        </w:rPr>
        <w:t>自合同签订之日起12个月内服务完毕</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2、交付地点：甲方指定地点。</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eastAsia" w:ascii="仿宋" w:hAnsi="仿宋" w:eastAsia="仿宋" w:cs="仿宋"/>
          <w:b w:val="0"/>
          <w:bCs/>
          <w:color w:val="000000" w:themeColor="text1"/>
          <w:sz w:val="24"/>
          <w:highlight w:val="none"/>
          <w:lang w:val="en-US" w:eastAsia="zh-CN"/>
          <w14:textFill>
            <w14:solidFill>
              <w14:schemeClr w14:val="tx1"/>
            </w14:solidFill>
          </w14:textFill>
        </w:rPr>
      </w:pPr>
      <w:bookmarkStart w:id="53" w:name="_Toc167715238"/>
      <w:bookmarkStart w:id="54" w:name="_Toc167712843"/>
      <w:bookmarkStart w:id="55" w:name="_Toc167714041"/>
      <w:r>
        <w:rPr>
          <w:rFonts w:hint="eastAsia" w:ascii="仿宋" w:hAnsi="仿宋" w:eastAsia="仿宋" w:cs="仿宋"/>
          <w:b w:val="0"/>
          <w:bCs/>
          <w:color w:val="000000" w:themeColor="text1"/>
          <w:sz w:val="24"/>
          <w:highlight w:val="none"/>
          <w:lang w:val="en-US" w:eastAsia="zh-CN"/>
          <w14:textFill>
            <w14:solidFill>
              <w14:schemeClr w14:val="tx1"/>
            </w14:solidFill>
          </w14:textFill>
        </w:rPr>
        <w:t>合同双方签订盖章生效后，付合同金额的百分之四十（40%）费用；全部工作完成后，成交单位提供检测报告后，30日内付清合同剩余款项。</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三</w:t>
      </w:r>
      <w:r>
        <w:rPr>
          <w:rFonts w:hint="eastAsia" w:ascii="仿宋" w:hAnsi="仿宋" w:eastAsia="仿宋" w:cs="仿宋"/>
          <w:b/>
          <w:color w:val="000000" w:themeColor="text1"/>
          <w:sz w:val="24"/>
          <w:highlight w:val="none"/>
          <w14:textFill>
            <w14:solidFill>
              <w14:schemeClr w14:val="tx1"/>
            </w14:solidFill>
          </w14:textFill>
        </w:rPr>
        <w:t>、质量保证：</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w:t>
      </w:r>
      <w:r>
        <w:rPr>
          <w:rFonts w:hint="eastAsia" w:ascii="仿宋" w:hAnsi="仿宋" w:eastAsia="仿宋" w:cs="仿宋"/>
          <w:color w:val="000000" w:themeColor="text1"/>
          <w:kern w:val="0"/>
          <w:sz w:val="24"/>
          <w:highlight w:val="none"/>
          <w:lang w:eastAsia="zh-CN"/>
          <w14:textFill>
            <w14:solidFill>
              <w14:schemeClr w14:val="tx1"/>
            </w14:solidFill>
          </w14:textFill>
        </w:rPr>
        <w:t>成交</w:t>
      </w:r>
      <w:r>
        <w:rPr>
          <w:rFonts w:hint="eastAsia" w:ascii="仿宋" w:hAnsi="仿宋" w:eastAsia="仿宋" w:cs="仿宋"/>
          <w:color w:val="000000" w:themeColor="text1"/>
          <w:kern w:val="0"/>
          <w:sz w:val="24"/>
          <w:highlight w:val="none"/>
          <w14:textFill>
            <w14:solidFill>
              <w14:schemeClr w14:val="tx1"/>
            </w14:solidFill>
          </w14:textFill>
        </w:rPr>
        <w:t>单位所提供的项目成果必须经采购人审核验收，符合采购人要求，并达到技术指标先进、质量可靠、配置合理，满足</w:t>
      </w:r>
      <w:r>
        <w:rPr>
          <w:rFonts w:hint="eastAsia" w:ascii="仿宋" w:hAnsi="仿宋" w:eastAsia="仿宋" w:cs="仿宋"/>
          <w:color w:val="000000" w:themeColor="text1"/>
          <w:kern w:val="0"/>
          <w:sz w:val="24"/>
          <w:highlight w:val="none"/>
          <w:lang w:eastAsia="zh-CN"/>
          <w14:textFill>
            <w14:solidFill>
              <w14:schemeClr w14:val="tx1"/>
            </w14:solidFill>
          </w14:textFill>
        </w:rPr>
        <w:t>采购</w:t>
      </w:r>
      <w:r>
        <w:rPr>
          <w:rFonts w:hint="eastAsia" w:ascii="仿宋" w:hAnsi="仿宋" w:eastAsia="仿宋" w:cs="仿宋"/>
          <w:color w:val="000000" w:themeColor="text1"/>
          <w:kern w:val="0"/>
          <w:sz w:val="24"/>
          <w:highlight w:val="none"/>
          <w14:textFill>
            <w14:solidFill>
              <w14:schemeClr w14:val="tx1"/>
            </w14:solidFill>
          </w14:textFill>
        </w:rPr>
        <w:t>文件要求。</w:t>
      </w:r>
    </w:p>
    <w:p>
      <w:pPr>
        <w:keepNext w:val="0"/>
        <w:keepLines w:val="0"/>
        <w:pageBreakBefore w:val="0"/>
        <w:widowControl w:val="0"/>
        <w:kinsoku/>
        <w:wordWrap/>
        <w:overflowPunct/>
        <w:topLinePunct w:val="0"/>
        <w:autoSpaceDE/>
        <w:autoSpaceDN/>
        <w:bidi w:val="0"/>
        <w:adjustRightInd w:val="0"/>
        <w:snapToGrid w:val="0"/>
        <w:spacing w:line="560" w:lineRule="exact"/>
        <w:ind w:firstLine="470" w:firstLineChars="196"/>
        <w:textAlignment w:val="auto"/>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2、服务的质量必须符合国家标准和有关规范，确保服务达到最佳使用要求。</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t>四、</w:t>
      </w:r>
      <w:r>
        <w:rPr>
          <w:rFonts w:hint="eastAsia" w:ascii="仿宋" w:hAnsi="仿宋" w:eastAsia="仿宋" w:cs="仿宋"/>
          <w:b/>
          <w:color w:val="000000" w:themeColor="text1"/>
          <w:sz w:val="24"/>
          <w:highlight w:val="none"/>
          <w14:textFill>
            <w14:solidFill>
              <w14:schemeClr w14:val="tx1"/>
            </w14:solidFill>
          </w14:textFill>
        </w:rPr>
        <w:t>合同实施：</w:t>
      </w:r>
      <w:bookmarkStart w:id="56" w:name="_Toc167715264"/>
      <w:bookmarkStart w:id="57" w:name="_Toc167712869"/>
      <w:bookmarkStart w:id="58" w:name="_Toc167714067"/>
    </w:p>
    <w:bookmarkEnd w:id="56"/>
    <w:bookmarkEnd w:id="57"/>
    <w:bookmarkEnd w:id="58"/>
    <w:p>
      <w:pPr>
        <w:keepNext w:val="0"/>
        <w:keepLines w:val="0"/>
        <w:pageBreakBefore w:val="0"/>
        <w:widowControl w:val="0"/>
        <w:kinsoku/>
        <w:wordWrap/>
        <w:overflowPunct/>
        <w:topLinePunct w:val="0"/>
        <w:autoSpaceDE/>
        <w:autoSpaceDN/>
        <w:bidi w:val="0"/>
        <w:adjustRightInd w:val="0"/>
        <w:spacing w:line="560" w:lineRule="exact"/>
        <w:ind w:firstLine="480" w:firstLineChars="200"/>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成交单位应在合同签订后七（7）个日历日内安排人员（项目组成人员简历表所列）与使用单位就</w:t>
      </w:r>
      <w:r>
        <w:rPr>
          <w:rFonts w:hint="eastAsia" w:ascii="仿宋" w:hAnsi="仿宋" w:eastAsia="仿宋" w:cs="仿宋"/>
          <w:color w:val="000000" w:themeColor="text1"/>
          <w:sz w:val="24"/>
          <w:highlight w:val="none"/>
          <w:lang w:val="en-US" w:eastAsia="zh-CN"/>
          <w14:textFill>
            <w14:solidFill>
              <w14:schemeClr w14:val="tx1"/>
            </w14:solidFill>
          </w14:textFill>
        </w:rPr>
        <w:t>项目实施</w:t>
      </w:r>
      <w:r>
        <w:rPr>
          <w:rFonts w:hint="eastAsia" w:ascii="仿宋" w:hAnsi="仿宋" w:eastAsia="仿宋" w:cs="仿宋"/>
          <w:color w:val="000000" w:themeColor="text1"/>
          <w:sz w:val="24"/>
          <w:highlight w:val="none"/>
          <w14:textFill>
            <w14:solidFill>
              <w14:schemeClr w14:val="tx1"/>
            </w14:solidFill>
          </w14:textFill>
        </w:rPr>
        <w:t>等工作进行安排、部署。</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2、若未能在项目周期内完成合同规定的义务，由此对采购人造成的延误和一切损失，由成交单位承担和赔偿。</w:t>
      </w:r>
      <w:bookmarkEnd w:id="53"/>
      <w:bookmarkEnd w:id="54"/>
      <w:bookmarkEnd w:id="55"/>
    </w:p>
    <w:p>
      <w:pPr>
        <w:spacing w:line="560" w:lineRule="exac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五</w:t>
      </w:r>
      <w:r>
        <w:rPr>
          <w:rFonts w:hint="eastAsia" w:ascii="仿宋" w:hAnsi="仿宋" w:eastAsia="仿宋" w:cs="仿宋"/>
          <w:b/>
          <w:bCs/>
          <w:color w:val="000000" w:themeColor="text1"/>
          <w:sz w:val="24"/>
          <w:highlight w:val="none"/>
          <w14:textFill>
            <w14:solidFill>
              <w14:schemeClr w14:val="tx1"/>
            </w14:solidFill>
          </w14:textFill>
        </w:rPr>
        <w:t>、违约责任</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1、按</w:t>
      </w:r>
      <w:r>
        <w:rPr>
          <w:rFonts w:hint="eastAsia" w:ascii="仿宋" w:hAnsi="仿宋" w:eastAsia="仿宋" w:cs="仿宋"/>
          <w:color w:val="000000" w:themeColor="text1"/>
          <w:sz w:val="24"/>
          <w:highlight w:val="none"/>
          <w:lang w:eastAsia="zh-CN"/>
          <w14:textFill>
            <w14:solidFill>
              <w14:schemeClr w14:val="tx1"/>
            </w14:solidFill>
          </w14:textFill>
        </w:rPr>
        <w:t>《中华人民共和国民法典》</w:t>
      </w:r>
      <w:r>
        <w:rPr>
          <w:rFonts w:hint="eastAsia" w:ascii="仿宋" w:hAnsi="仿宋" w:eastAsia="仿宋" w:cs="仿宋"/>
          <w:color w:val="000000" w:themeColor="text1"/>
          <w:sz w:val="24"/>
          <w:highlight w:val="none"/>
          <w14:textFill>
            <w14:solidFill>
              <w14:schemeClr w14:val="tx1"/>
            </w14:solidFill>
          </w14:textFill>
        </w:rPr>
        <w:t>中的相关条款执行。</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2、按合同要求提供服务或服务质量不能满足技术要求，采购人有权终止合同，并对供</w:t>
      </w:r>
    </w:p>
    <w:p>
      <w:pPr>
        <w:spacing w:line="560" w:lineRule="exact"/>
        <w:jc w:val="left"/>
        <w:rPr>
          <w:rFonts w:hint="eastAsia" w:ascii="仿宋" w:hAnsi="仿宋" w:eastAsia="仿宋" w:cs="仿宋"/>
          <w:color w:val="000000" w:themeColor="text1"/>
          <w:kern w:val="0"/>
          <w:highlight w:val="none"/>
          <w14:textFill>
            <w14:solidFill>
              <w14:schemeClr w14:val="tx1"/>
            </w14:solidFill>
          </w14:textFill>
        </w:rPr>
      </w:pPr>
      <w:r>
        <w:rPr>
          <w:rFonts w:hint="eastAsia" w:ascii="仿宋" w:hAnsi="仿宋" w:eastAsia="仿宋" w:cs="仿宋"/>
          <w:b/>
          <w:color w:val="000000" w:themeColor="text1"/>
          <w:highlight w:val="non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594995</wp:posOffset>
                </wp:positionV>
                <wp:extent cx="5487670" cy="493395"/>
                <wp:effectExtent l="4445" t="5080" r="13335" b="15875"/>
                <wp:wrapSquare wrapText="bothSides"/>
                <wp:docPr id="14" name="文本框 14"/>
                <wp:cNvGraphicFramePr/>
                <a:graphic xmlns:a="http://schemas.openxmlformats.org/drawingml/2006/main">
                  <a:graphicData uri="http://schemas.microsoft.com/office/word/2010/wordprocessingShape">
                    <wps:wsp>
                      <wps:cNvSpPr txBox="1"/>
                      <wps:spPr>
                        <a:xfrm>
                          <a:off x="1273175" y="2276475"/>
                          <a:ext cx="5487670"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wps:txbx>
                      <wps:bodyPr wrap="square" upright="1">
                        <a:noAutofit/>
                      </wps:bodyPr>
                    </wps:wsp>
                  </a:graphicData>
                </a:graphic>
              </wp:anchor>
            </w:drawing>
          </mc:Choice>
          <mc:Fallback>
            <w:pict>
              <v:shape id="_x0000_s1026" o:spid="_x0000_s1026" o:spt="202" type="#_x0000_t202" style="position:absolute;left:0pt;margin-left:4.05pt;margin-top:46.85pt;height:38.85pt;width:432.1pt;mso-wrap-distance-bottom:0pt;mso-wrap-distance-left:9pt;mso-wrap-distance-right:9pt;mso-wrap-distance-top:0pt;z-index:251660288;mso-width-relative:page;mso-height-relative:page;" fillcolor="#FFFFFF" filled="t" stroked="t" coordsize="21600,21600" o:gfxdata="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wh9FNgAAAAIAQAADwAAAAAAAAABACAAAAAiAAAAZHJzL2Rvd25yZXYu&#10;eG1sUEsBAhQAFAAAAAgAh07iQHKFR+Q0AgAAegQAAA4AAAAAAAAAAQAgAAAAJwEAAGRycy9lMm9E&#10;b2MueG1sUEsFBgAAAAAGAAYAWQEAAM0FAAAAAA==&#10;">
                <v:fill on="t" focussize="0,0"/>
                <v:stroke color="#000000" joinstyle="miter"/>
                <v:imagedata o:title=""/>
                <o:lock v:ext="edit" aspectratio="f"/>
                <v:textbox>
                  <w:txbxContent>
                    <w:p>
                      <w:pPr>
                        <w:tabs>
                          <w:tab w:val="left" w:pos="3485"/>
                        </w:tabs>
                        <w:spacing w:line="520" w:lineRule="exact"/>
                        <w:jc w:val="center"/>
                        <w:rPr>
                          <w:rFonts w:hint="eastAsia" w:ascii="仿宋" w:hAnsi="仿宋" w:eastAsia="仿宋" w:cs="仿宋"/>
                          <w:b/>
                          <w:sz w:val="32"/>
                          <w:szCs w:val="32"/>
                        </w:rPr>
                      </w:pPr>
                      <w:r>
                        <w:rPr>
                          <w:rFonts w:hint="eastAsia" w:ascii="仿宋" w:hAnsi="仿宋" w:eastAsia="仿宋" w:cs="仿宋"/>
                          <w:b/>
                          <w:sz w:val="32"/>
                          <w:szCs w:val="32"/>
                        </w:rPr>
                        <w:t>注：商务要求为实质性要求，不得负偏离。</w:t>
                      </w:r>
                    </w:p>
                  </w:txbxContent>
                </v:textbox>
                <w10:wrap type="square"/>
              </v:shape>
            </w:pict>
          </mc:Fallback>
        </mc:AlternateContent>
      </w:r>
      <w:r>
        <w:rPr>
          <w:rFonts w:hint="eastAsia" w:ascii="仿宋" w:hAnsi="仿宋" w:eastAsia="仿宋" w:cs="仿宋"/>
          <w:color w:val="000000" w:themeColor="text1"/>
          <w:sz w:val="24"/>
          <w:highlight w:val="none"/>
          <w14:textFill>
            <w14:solidFill>
              <w14:schemeClr w14:val="tx1"/>
            </w14:solidFill>
          </w14:textFill>
        </w:rPr>
        <w:t>方违约行为进行追究，同时按《政府采购法》的有关规定进行处罚。</w:t>
      </w:r>
      <w:r>
        <w:rPr>
          <w:rFonts w:hint="eastAsia" w:ascii="仿宋" w:hAnsi="仿宋" w:eastAsia="仿宋" w:cs="仿宋"/>
          <w:color w:val="000000" w:themeColor="text1"/>
          <w:kern w:val="0"/>
          <w:highlight w:val="none"/>
          <w14:textFill>
            <w14:solidFill>
              <w14:schemeClr w14:val="tx1"/>
            </w14:solidFill>
          </w14:textFill>
        </w:rPr>
        <w:br w:type="page"/>
      </w:r>
    </w:p>
    <w:p>
      <w:pPr>
        <w:spacing w:line="560" w:lineRule="exact"/>
        <w:jc w:val="center"/>
        <w:rPr>
          <w:rFonts w:hint="eastAsia" w:ascii="仿宋" w:hAnsi="仿宋" w:eastAsia="仿宋" w:cs="仿宋"/>
          <w:color w:val="000000" w:themeColor="text1"/>
          <w:kern w:val="0"/>
          <w:highlight w:val="none"/>
          <w:lang w:eastAsia="zh-CN"/>
          <w14:textFill>
            <w14:solidFill>
              <w14:schemeClr w14:val="tx1"/>
            </w14:solidFill>
          </w14:textFill>
        </w:rPr>
      </w:pPr>
      <w:bookmarkStart w:id="59" w:name="_Toc2890"/>
      <w:r>
        <w:rPr>
          <w:rStyle w:val="57"/>
          <w:rFonts w:hint="eastAsia" w:ascii="仿宋" w:hAnsi="仿宋" w:eastAsia="仿宋" w:cs="仿宋"/>
          <w:color w:val="000000" w:themeColor="text1"/>
          <w:highlight w:val="none"/>
          <w14:textFill>
            <w14:solidFill>
              <w14:schemeClr w14:val="tx1"/>
            </w14:solidFill>
          </w14:textFill>
        </w:rPr>
        <w:t>第五章  合同条款</w:t>
      </w:r>
      <w:bookmarkEnd w:id="59"/>
      <w:r>
        <w:rPr>
          <w:rStyle w:val="57"/>
          <w:rFonts w:hint="eastAsia" w:ascii="仿宋" w:hAnsi="仿宋" w:eastAsia="仿宋" w:cs="仿宋"/>
          <w:color w:val="000000" w:themeColor="text1"/>
          <w:highlight w:val="none"/>
          <w:lang w:eastAsia="zh-CN"/>
          <w14:textFill>
            <w14:solidFill>
              <w14:schemeClr w14:val="tx1"/>
            </w14:solidFill>
          </w14:textFill>
        </w:rPr>
        <w:t>（</w:t>
      </w:r>
      <w:r>
        <w:rPr>
          <w:rStyle w:val="57"/>
          <w:rFonts w:hint="eastAsia" w:ascii="仿宋" w:hAnsi="仿宋" w:eastAsia="仿宋" w:cs="仿宋"/>
          <w:color w:val="000000" w:themeColor="text1"/>
          <w:highlight w:val="none"/>
          <w:lang w:val="en-US" w:eastAsia="zh-CN"/>
          <w14:textFill>
            <w14:solidFill>
              <w14:schemeClr w14:val="tx1"/>
            </w14:solidFill>
          </w14:textFill>
        </w:rPr>
        <w:t>参考格式</w:t>
      </w:r>
      <w:r>
        <w:rPr>
          <w:rStyle w:val="57"/>
          <w:rFonts w:hint="eastAsia" w:ascii="仿宋" w:hAnsi="仿宋" w:eastAsia="仿宋" w:cs="仿宋"/>
          <w:color w:val="000000" w:themeColor="text1"/>
          <w:highlight w:val="none"/>
          <w:lang w:eastAsia="zh-CN"/>
          <w14:textFill>
            <w14:solidFill>
              <w14:schemeClr w14:val="tx1"/>
            </w14:solidFill>
          </w14:textFill>
        </w:rPr>
        <w:t>）</w:t>
      </w:r>
    </w:p>
    <w:p>
      <w:pPr>
        <w:ind w:firstLine="5520" w:firstLineChars="2300"/>
        <w:jc w:val="both"/>
        <w:rPr>
          <w:rFonts w:hint="eastAsia" w:ascii="仿宋" w:hAnsi="仿宋" w:eastAsia="仿宋" w:cs="仿宋"/>
          <w:b w:val="0"/>
          <w:bCs/>
          <w:color w:val="000000" w:themeColor="text1"/>
          <w:sz w:val="24"/>
          <w:szCs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一、合同格式</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农村生活饮用水检测项目</w:t>
      </w:r>
      <w:r>
        <w:rPr>
          <w:rFonts w:hint="eastAsia" w:ascii="仿宋" w:hAnsi="仿宋" w:eastAsia="仿宋" w:cs="仿宋"/>
          <w:color w:val="000000" w:themeColor="text1"/>
          <w:sz w:val="24"/>
          <w:highlight w:val="none"/>
          <w14:textFill>
            <w14:solidFill>
              <w14:schemeClr w14:val="tx1"/>
            </w14:solidFill>
          </w14:textFill>
        </w:rPr>
        <w:t>(文件编号</w:t>
      </w:r>
      <w:r>
        <w:rPr>
          <w:rFonts w:hint="eastAsia" w:ascii="仿宋" w:hAnsi="仿宋" w:eastAsia="仿宋" w:cs="仿宋"/>
          <w:color w:val="000000" w:themeColor="text1"/>
          <w:sz w:val="24"/>
          <w:highlight w:val="none"/>
          <w:lang w:eastAsia="zh-CN"/>
          <w14:textFill>
            <w14:solidFill>
              <w14:schemeClr w14:val="tx1"/>
            </w14:solidFill>
          </w14:textFill>
        </w:rPr>
        <w:t>：HZGH-2023-060</w:t>
      </w:r>
      <w:r>
        <w:rPr>
          <w:rFonts w:hint="eastAsia" w:ascii="仿宋" w:hAnsi="仿宋" w:eastAsia="仿宋" w:cs="仿宋"/>
          <w:color w:val="000000" w:themeColor="text1"/>
          <w:sz w:val="24"/>
          <w:highlight w:val="none"/>
          <w14:textFill>
            <w14:solidFill>
              <w14:schemeClr w14:val="tx1"/>
            </w14:solidFill>
          </w14:textFill>
        </w:rPr>
        <w:t>)，在</w:t>
      </w:r>
      <w:r>
        <w:rPr>
          <w:rFonts w:hint="eastAsia" w:ascii="仿宋" w:hAnsi="仿宋" w:eastAsia="仿宋" w:cs="仿宋"/>
          <w:color w:val="000000" w:themeColor="text1"/>
          <w:sz w:val="24"/>
          <w:highlight w:val="none"/>
          <w:lang w:eastAsia="zh-CN"/>
          <w14:textFill>
            <w14:solidFill>
              <w14:schemeClr w14:val="tx1"/>
            </w14:solidFill>
          </w14:textFill>
        </w:rPr>
        <w:t>韩城市财政局</w:t>
      </w:r>
      <w:r>
        <w:rPr>
          <w:rFonts w:hint="eastAsia" w:ascii="仿宋" w:hAnsi="仿宋" w:eastAsia="仿宋" w:cs="仿宋"/>
          <w:color w:val="000000" w:themeColor="text1"/>
          <w:sz w:val="24"/>
          <w:highlight w:val="none"/>
          <w14:textFill>
            <w14:solidFill>
              <w14:schemeClr w14:val="tx1"/>
            </w14:solidFill>
          </w14:textFill>
        </w:rPr>
        <w:t>的监督管理下，由</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组织竞争性磋商。</w:t>
      </w:r>
      <w:r>
        <w:rPr>
          <w:rFonts w:hint="eastAsia" w:ascii="仿宋" w:hAnsi="仿宋" w:eastAsia="仿宋" w:cs="仿宋"/>
          <w:color w:val="000000" w:themeColor="text1"/>
          <w:sz w:val="24"/>
          <w:highlight w:val="none"/>
          <w:lang w:eastAsia="zh-CN"/>
          <w14:textFill>
            <w14:solidFill>
              <w14:schemeClr w14:val="tx1"/>
            </w14:solidFill>
          </w14:textFill>
        </w:rPr>
        <w:t>韩城市疾病预防控制中心</w:t>
      </w:r>
      <w:r>
        <w:rPr>
          <w:rFonts w:hint="eastAsia" w:ascii="仿宋" w:hAnsi="仿宋" w:eastAsia="仿宋" w:cs="仿宋"/>
          <w:color w:val="000000" w:themeColor="text1"/>
          <w:sz w:val="24"/>
          <w:highlight w:val="none"/>
          <w14:textFill>
            <w14:solidFill>
              <w14:schemeClr w14:val="tx1"/>
            </w14:solidFill>
          </w14:textFill>
        </w:rPr>
        <w:t>(以下简称“甲方”)确定 (成交单位名称) （以下简称“乙方”）为成交单位。</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依据《中华人民共和国</w:t>
      </w:r>
      <w:r>
        <w:rPr>
          <w:rFonts w:hint="eastAsia" w:ascii="仿宋" w:hAnsi="仿宋" w:eastAsia="仿宋" w:cs="仿宋"/>
          <w:color w:val="000000" w:themeColor="text1"/>
          <w:sz w:val="24"/>
          <w:highlight w:val="none"/>
          <w:lang w:val="en-US" w:eastAsia="zh-CN"/>
          <w14:textFill>
            <w14:solidFill>
              <w14:schemeClr w14:val="tx1"/>
            </w14:solidFill>
          </w14:textFill>
        </w:rPr>
        <w:t>民法典</w:t>
      </w:r>
      <w:r>
        <w:rPr>
          <w:rFonts w:hint="eastAsia" w:ascii="仿宋" w:hAnsi="仿宋" w:eastAsia="仿宋" w:cs="仿宋"/>
          <w:color w:val="000000" w:themeColor="text1"/>
          <w:sz w:val="24"/>
          <w:highlight w:val="none"/>
          <w14:textFill>
            <w14:solidFill>
              <w14:schemeClr w14:val="tx1"/>
            </w14:solidFill>
          </w14:textFill>
        </w:rPr>
        <w:t>》和《中华人民共和国政府采购法》《中华人民共和国政府采购法实施条例》，甲方通过竞争性磋商采购（服务名称） ，并接受了乙方以价格(成交金额大写)(以下简称“合同价”)提供的服务。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bookmarkStart w:id="60" w:name="_Toc193126879"/>
      <w:bookmarkStart w:id="61" w:name="_Toc193187095"/>
      <w:bookmarkStart w:id="62" w:name="_Toc194663916"/>
      <w:bookmarkStart w:id="63" w:name="_Toc188808831"/>
      <w:r>
        <w:rPr>
          <w:rFonts w:hint="eastAsia" w:ascii="仿宋" w:hAnsi="仿宋" w:eastAsia="仿宋" w:cs="仿宋"/>
          <w:color w:val="000000" w:themeColor="text1"/>
          <w:sz w:val="24"/>
          <w:highlight w:val="none"/>
          <w14:textFill>
            <w14:solidFill>
              <w14:schemeClr w14:val="tx1"/>
            </w14:solidFill>
          </w14:textFill>
        </w:rPr>
        <w:t>本合同在此声明如下：</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1、本合同中的词语和术语的含义与合同条款中定义的相同。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2、下述文件是本合同的一部分，并与本合同一起阅读和解释：</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1）合同条款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2）合同条款附件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附件1—服务方案</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附件2—服务承诺</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3）成交通知书</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4）竞争性磋商文件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5）竞争性磋商响应文件</w:t>
      </w:r>
    </w:p>
    <w:p>
      <w:pPr>
        <w:spacing w:line="560" w:lineRule="exact"/>
        <w:jc w:val="left"/>
        <w:rPr>
          <w:rFonts w:hint="eastAsia"/>
          <w:highlight w:val="none"/>
        </w:rPr>
      </w:pPr>
      <w:r>
        <w:rPr>
          <w:rFonts w:hint="eastAsia" w:ascii="仿宋" w:hAnsi="仿宋" w:eastAsia="仿宋" w:cs="仿宋"/>
          <w:color w:val="000000" w:themeColor="text1"/>
          <w:sz w:val="24"/>
          <w:highlight w:val="none"/>
          <w14:textFill>
            <w14:solidFill>
              <w14:schemeClr w14:val="tx1"/>
            </w14:solidFill>
          </w14:textFill>
        </w:rPr>
        <w:t>3、考虑到甲方将按照本合同向乙方支付款项，乙方在此保证全部按照合同的规定向甲方提</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供服务，并修补缺陷。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4、考虑到乙方提供的服务并修补缺陷，甲方在此保证按照合同规定的时间和方式向乙方支付合同价或其他按合同规定应支付的金额。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5、付款方式：</w:t>
      </w:r>
    </w:p>
    <w:p>
      <w:pPr>
        <w:keepNext w:val="0"/>
        <w:keepLines w:val="0"/>
        <w:pageBreakBefore w:val="0"/>
        <w:widowControl w:val="0"/>
        <w:kinsoku/>
        <w:wordWrap/>
        <w:overflowPunct/>
        <w:topLinePunct w:val="0"/>
        <w:autoSpaceDE/>
        <w:autoSpaceDN/>
        <w:bidi w:val="0"/>
        <w:snapToGrid/>
        <w:spacing w:line="560" w:lineRule="exact"/>
        <w:ind w:firstLine="480" w:firstLineChars="200"/>
        <w:textAlignment w:val="auto"/>
        <w:rPr>
          <w:rFonts w:hint="eastAsia" w:ascii="仿宋" w:hAnsi="仿宋" w:eastAsia="仿宋" w:cs="仿宋"/>
          <w:b w:val="0"/>
          <w:bCs/>
          <w:color w:val="000000" w:themeColor="text1"/>
          <w:sz w:val="24"/>
          <w:highlight w:val="none"/>
          <w:lang w:val="en-US" w:eastAsia="zh-CN"/>
          <w14:textFill>
            <w14:solidFill>
              <w14:schemeClr w14:val="tx1"/>
            </w14:solidFill>
          </w14:textFill>
        </w:rPr>
      </w:pPr>
      <w:r>
        <w:rPr>
          <w:rFonts w:hint="eastAsia" w:ascii="仿宋" w:hAnsi="仿宋" w:eastAsia="仿宋" w:cs="仿宋"/>
          <w:b w:val="0"/>
          <w:bCs/>
          <w:color w:val="000000" w:themeColor="text1"/>
          <w:sz w:val="24"/>
          <w:highlight w:val="none"/>
          <w:lang w:val="en-US" w:eastAsia="zh-CN"/>
          <w14:textFill>
            <w14:solidFill>
              <w14:schemeClr w14:val="tx1"/>
            </w14:solidFill>
          </w14:textFill>
        </w:rPr>
        <w:t>合同双方签订盖章生效后，付合同金额的百分之四十（40%）费用；全部工作完成后，成交单位提供检测报告后，30日内付清合同剩余款项。</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6、服务期限：</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spacing w:line="560" w:lineRule="exact"/>
        <w:ind w:firstLine="480" w:firstLineChars="200"/>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服务地点：</w:t>
      </w:r>
      <w:r>
        <w:rPr>
          <w:rFonts w:hint="eastAsia" w:ascii="仿宋" w:hAnsi="仿宋" w:eastAsia="仿宋" w:cs="仿宋"/>
          <w:color w:val="000000" w:themeColor="text1"/>
          <w:sz w:val="24"/>
          <w:highlight w:val="none"/>
          <w:lang w:val="en-US" w:eastAsia="zh-CN"/>
          <w14:textFill>
            <w14:solidFill>
              <w14:schemeClr w14:val="tx1"/>
            </w14:solidFill>
          </w14:textFill>
        </w:rPr>
        <w:t>甲方指定地点。</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本合同一式</w:t>
      </w:r>
      <w:r>
        <w:rPr>
          <w:rFonts w:hint="eastAsia" w:ascii="仿宋" w:hAnsi="仿宋" w:eastAsia="仿宋" w:cs="仿宋"/>
          <w:color w:val="000000" w:themeColor="text1"/>
          <w:sz w:val="24"/>
          <w:highlight w:val="none"/>
          <w:lang w:eastAsia="zh-CN"/>
          <w14:textFill>
            <w14:solidFill>
              <w14:schemeClr w14:val="tx1"/>
            </w14:solidFill>
          </w14:textFill>
        </w:rPr>
        <w:t>伍</w:t>
      </w:r>
      <w:r>
        <w:rPr>
          <w:rFonts w:hint="eastAsia" w:ascii="仿宋" w:hAnsi="仿宋" w:eastAsia="仿宋" w:cs="仿宋"/>
          <w:color w:val="000000" w:themeColor="text1"/>
          <w:sz w:val="24"/>
          <w:highlight w:val="none"/>
          <w14:textFill>
            <w14:solidFill>
              <w14:schemeClr w14:val="tx1"/>
            </w14:solidFill>
          </w14:textFill>
        </w:rPr>
        <w:t>份，其中，甲方贰份，乙方贰份，</w:t>
      </w:r>
      <w:r>
        <w:rPr>
          <w:rFonts w:hint="eastAsia" w:ascii="仿宋" w:hAnsi="仿宋" w:eastAsia="仿宋" w:cs="仿宋"/>
          <w:color w:val="000000" w:themeColor="text1"/>
          <w:sz w:val="24"/>
          <w:highlight w:val="none"/>
          <w:lang w:eastAsia="zh-CN"/>
          <w14:textFill>
            <w14:solidFill>
              <w14:schemeClr w14:val="tx1"/>
            </w14:solidFill>
          </w14:textFill>
        </w:rPr>
        <w:t>采购代理机构</w:t>
      </w:r>
      <w:r>
        <w:rPr>
          <w:rFonts w:hint="eastAsia" w:ascii="仿宋" w:hAnsi="仿宋" w:eastAsia="仿宋" w:cs="仿宋"/>
          <w:color w:val="000000" w:themeColor="text1"/>
          <w:sz w:val="24"/>
          <w:highlight w:val="none"/>
          <w14:textFill>
            <w14:solidFill>
              <w14:schemeClr w14:val="tx1"/>
            </w14:solidFill>
          </w14:textFill>
        </w:rPr>
        <w:t>备案壹份。</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8、本合同由买卖双方共同签字盖章之日起生效。</w:t>
      </w:r>
    </w:p>
    <w:tbl>
      <w:tblPr>
        <w:tblStyle w:val="24"/>
        <w:tblpPr w:leftFromText="180" w:rightFromText="180" w:vertAnchor="text" w:horzAnchor="margin" w:tblpX="406" w:tblpY="58"/>
        <w:tblOverlap w:val="never"/>
        <w:tblW w:w="8361" w:type="dxa"/>
        <w:tblInd w:w="0" w:type="dxa"/>
        <w:tblLayout w:type="fixed"/>
        <w:tblCellMar>
          <w:top w:w="0" w:type="dxa"/>
          <w:left w:w="108" w:type="dxa"/>
          <w:bottom w:w="0" w:type="dxa"/>
          <w:right w:w="108" w:type="dxa"/>
        </w:tblCellMar>
      </w:tblPr>
      <w:tblGrid>
        <w:gridCol w:w="4425"/>
        <w:gridCol w:w="3936"/>
      </w:tblGrid>
      <w:tr>
        <w:tblPrEx>
          <w:tblCellMar>
            <w:top w:w="0" w:type="dxa"/>
            <w:left w:w="108" w:type="dxa"/>
            <w:bottom w:w="0" w:type="dxa"/>
            <w:right w:w="108" w:type="dxa"/>
          </w:tblCellMar>
        </w:tblPrEx>
        <w:trPr>
          <w:trHeight w:val="3093" w:hRule="atLeast"/>
        </w:trPr>
        <w:tc>
          <w:tcPr>
            <w:tcW w:w="4425"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甲方名称：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话：</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传    真：</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p>
        </w:tc>
        <w:tc>
          <w:tcPr>
            <w:tcW w:w="3936" w:type="dxa"/>
            <w:tcMar>
              <w:top w:w="113" w:type="dxa"/>
              <w:left w:w="113" w:type="dxa"/>
              <w:bottom w:w="113" w:type="dxa"/>
              <w:right w:w="113" w:type="dxa"/>
            </w:tcMar>
          </w:tcPr>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乙方名称：</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    址：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邮    编：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电    话：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传    真：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开户银行：</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帐    号：</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代表签字</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盖章：</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年  月  日</w:t>
            </w:r>
          </w:p>
        </w:tc>
      </w:tr>
      <w:bookmarkEnd w:id="60"/>
      <w:bookmarkEnd w:id="61"/>
      <w:bookmarkEnd w:id="62"/>
      <w:bookmarkEnd w:id="63"/>
    </w:tbl>
    <w:p>
      <w:pPr>
        <w:jc w:val="both"/>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w:t>
      </w:r>
    </w:p>
    <w:p>
      <w:pPr>
        <w:spacing w:line="480" w:lineRule="exact"/>
        <w:ind w:firstLine="480" w:firstLineChars="200"/>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val="0"/>
          <w:bCs/>
          <w:color w:val="000000" w:themeColor="text1"/>
          <w:sz w:val="24"/>
          <w:szCs w:val="24"/>
          <w:highlight w:val="none"/>
          <w:lang w:val="en-US" w:eastAsia="zh-CN"/>
          <w14:textFill>
            <w14:solidFill>
              <w14:schemeClr w14:val="tx1"/>
            </w14:solidFill>
          </w14:textFill>
        </w:rPr>
        <w:t xml:space="preserve">                                 </w:t>
      </w:r>
    </w:p>
    <w:p>
      <w:pPr>
        <w:keepNext/>
        <w:keepLines/>
        <w:pageBreakBefore w:val="0"/>
        <w:widowControl w:val="0"/>
        <w:kinsoku/>
        <w:wordWrap/>
        <w:overflowPunct/>
        <w:topLinePunct w:val="0"/>
        <w:autoSpaceDE/>
        <w:autoSpaceDN/>
        <w:bidi w:val="0"/>
        <w:adjustRightInd/>
        <w:snapToGrid/>
        <w:spacing w:before="0" w:after="0" w:line="240" w:lineRule="auto"/>
        <w:textAlignment w:val="auto"/>
        <w:outlineLvl w:val="9"/>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kern w:val="0"/>
          <w:highlight w:val="none"/>
          <w14:textFill>
            <w14:solidFill>
              <w14:schemeClr w14:val="tx1"/>
            </w14:solidFill>
          </w14:textFill>
        </w:rPr>
        <w:br w:type="page"/>
      </w:r>
    </w:p>
    <w:p>
      <w:pPr>
        <w:bidi w:val="0"/>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二、合同条款</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第一条 本着平等互惠、互相支持、共同发展的原则，就甲方针对本项目的事宜， 经甲乙双方友好协商， 共同签署本合同，以资共同遵守。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第二条 服务定义：根据甲方需要，乙方为甲方提供该项目的服务等业务。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第三条 乙方服务人员：是指乙方派出的符合本合同资格条件的、在甲方从事本合同规定的服务项目范围以内工作的人员。乙方有义务在本合同有效期内维持其与服务人员合法的劳动合同关系，不得因与服务人员间就劳动法律关系或在其他方面的任何争议或瑕疵影响其履行在本合同项下的义务。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第四条 服务期限，从    年  月  日起至    年  月   日。</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第五条 服务费用：人民币       元，合计人民币       元。</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条 甲方的权利</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1、甲方有权享有乙方按照上述约定提供的服务。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有权要求乙方提供符合本项目服务要求的人员，且提供的服务质量达到前述约定标准。如乙方违反协议约定，未达到服务质量要求的，甲方有权要求乙方限期改正，逾期未改正的或改正后仍给甲方造成损失的，乙方应承担相应的法律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甲方有权根据服务要求和标准考评乙方服务质量，如乙方提供的服务考评不合格或不符合约定的，甲方有权按照一定比例减少支付服务费用，具体减付比例结合乙方提供服务未达到约定的范围，严重程度、给甲方造成的损失情况等确定。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4、除本合同约定的服务费用外，乙方不得向甲方及其甲方人员收取其他任何费用，如甲方发现乙方有此类行为，甲方有权要求乙方清退所收费用，退还利息并支付违约金；</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5、对乙方相关服务资料的所有权、使用权的约定：归甲方所有。乙方不得以任何借口留存，否则承担由此产生的一切法律和经济责任。未经甲方允许，任何单位和个人不得转让和使用本项目的相关内容。</w:t>
      </w:r>
    </w:p>
    <w:p>
      <w:pPr>
        <w:spacing w:line="560" w:lineRule="exact"/>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七</w:t>
      </w:r>
      <w:r>
        <w:rPr>
          <w:rFonts w:hint="eastAsia" w:ascii="仿宋" w:hAnsi="仿宋" w:eastAsia="仿宋" w:cs="仿宋"/>
          <w:color w:val="000000" w:themeColor="text1"/>
          <w:sz w:val="24"/>
          <w:highlight w:val="none"/>
          <w14:textFill>
            <w14:solidFill>
              <w14:schemeClr w14:val="tx1"/>
            </w14:solidFill>
          </w14:textFill>
        </w:rPr>
        <w:t>条 甲方的义务</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1、在服务实施过程中，甲方应为乙方提供必要的工作便利与指导，配合乙方履行职责。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2、甲方不得将本合同的内容向甲乙双方以外的、与签订和履行本合同无关的任何第三方透露，不得泄露乙方的商业秘密（包括本合同及其附件和合同签订前的各项方案）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第九条 任何一方违反或擅自变更本合同的约定，应当承担由此给对方造成的经济损失和相关责任。</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八</w:t>
      </w:r>
      <w:r>
        <w:rPr>
          <w:rFonts w:hint="eastAsia" w:ascii="仿宋" w:hAnsi="仿宋" w:eastAsia="仿宋" w:cs="仿宋"/>
          <w:color w:val="000000" w:themeColor="text1"/>
          <w:sz w:val="24"/>
          <w:highlight w:val="none"/>
          <w14:textFill>
            <w14:solidFill>
              <w14:schemeClr w14:val="tx1"/>
            </w14:solidFill>
          </w14:textFill>
        </w:rPr>
        <w:t>条甲方违约责任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1、由于甲方的原因或因不可抗力的自然因素影响，则服务周期顺延。</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2、对于乙方提供的资料以及属于乙方的内容，甲方有义务保密，不得向第三方提供或用于本合同以外的项目，否则乙方有权要求甲方按本合同项目款总额的20%赔偿损失。 </w:t>
      </w:r>
    </w:p>
    <w:p>
      <w:pPr>
        <w:spacing w:line="560" w:lineRule="exact"/>
        <w:ind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w:t>
      </w:r>
      <w:r>
        <w:rPr>
          <w:rFonts w:hint="eastAsia" w:ascii="仿宋" w:hAnsi="仿宋" w:eastAsia="仿宋" w:cs="仿宋"/>
          <w:color w:val="000000" w:themeColor="text1"/>
          <w:sz w:val="24"/>
          <w:highlight w:val="none"/>
          <w:lang w:eastAsia="zh-CN"/>
          <w14:textFill>
            <w14:solidFill>
              <w14:schemeClr w14:val="tx1"/>
            </w14:solidFill>
          </w14:textFill>
        </w:rPr>
        <w:t>九</w:t>
      </w:r>
      <w:r>
        <w:rPr>
          <w:rFonts w:hint="eastAsia" w:ascii="仿宋" w:hAnsi="仿宋" w:eastAsia="仿宋" w:cs="仿宋"/>
          <w:color w:val="000000" w:themeColor="text1"/>
          <w:sz w:val="24"/>
          <w:highlight w:val="none"/>
          <w14:textFill>
            <w14:solidFill>
              <w14:schemeClr w14:val="tx1"/>
            </w14:solidFill>
          </w14:textFill>
        </w:rPr>
        <w:t>条乙方违约责任</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1、合同签订后，如乙方擅自中途停止或解除合同，乙方应向甲方双倍返还定金。没有约定定金的，乙方向甲方赔偿服务价款。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2、在甲方提供了必要的工作、生活条件，并且保证了项目款按时到位，乙方未能按合同规定的日期提供服务时，应向甲方赔偿拖期损失费，每天的拖期损失费按合同约定的项目总价款。</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3、因天气、交通、政府行为、甲方提供的资料不准确等客观原因造成的服务周期拖期，乙方不承担赔偿责任。 </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服务实施过程中，乙方未按磋商响应文件约定配备服务人员或乙方派驻服务力量无法胜任项目实施要求的，甲方有权提出增加人员和充实技术力量，乙方应立即安排实施，其费用被认为已含在合同价格之中。如乙方拒绝增加人员或充实技术力量，甲方有权利解除合同，乙方应承担由此给甲方造成的经济损失。</w:t>
      </w:r>
    </w:p>
    <w:p>
      <w:pPr>
        <w:spacing w:line="560" w:lineRule="exact"/>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乙方有责任按甲方要求提交项目资料。如乙方未能按规定的服务周期提供服务，每延误一天，应付逾期违约金人民币（但由于受天气等不可抗力的自然因素影响，则工期顺延），逾期10天以上的，甲方除有权终止履行合同外，乙方应承担因延期造成的损失。同时，甲方有权根据乙方所承担服务的质量是否符合要求而对服务的内容进行调整。</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乙方提供的服务质量不合格的，乙方应负责无偿予以采取补救措施，以达到质量要求。因服务最终不符合合同要求（而又非甲方提供的资料原因所致）造成后果时，乙方应对因此造成的直接损失负赔偿责任，并承担相应的法律责任（由于甲方提供的资料原因产生的责任由甲方自己负责）。</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7、在合同期内和合同终止后，乙方应负责所有资料的保密，非经甲方书面认可，不得向任何人以任何方式提供任何资料。严格按甲方要求程序传递各种资料，否则甲方有权单方解除合同，并追回所付项目款。</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8、乙方若擅自转包或分包本合同标的，甲方有权解除合同，并可要求乙方偿付预算30%的违约金，同时追究其法律责任。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第十条 甲乙任何一方按照本合同规定索取违约金或赔偿金时，应书面通知违约方并说明违约金或赔偿金额；违约方应在收到对方发出的书面索赔通知的十个工作日内按索赔要求支付违约金或经济赔偿；如违约方对违约金或赔偿金额有异议，应在收到通知后七个工作日内通知对方，双方应在收到对方的通知或答复后尽快协商明确违约责任。</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一</w:t>
      </w:r>
      <w:r>
        <w:rPr>
          <w:rFonts w:hint="eastAsia" w:ascii="仿宋" w:hAnsi="仿宋" w:eastAsia="仿宋" w:cs="仿宋"/>
          <w:color w:val="000000" w:themeColor="text1"/>
          <w:sz w:val="24"/>
          <w:highlight w:val="none"/>
          <w14:textFill>
            <w14:solidFill>
              <w14:schemeClr w14:val="tx1"/>
            </w14:solidFill>
          </w14:textFill>
        </w:rPr>
        <w:t xml:space="preserve">条 因执行本合同发生的一切争议，双方应首先友好协商解决。经协商不能解决，应向甲方所在地人民法院提起诉讼。在诉讼期间，除必须在诉讼过程中进行解决的问题外，合同其余部分应继续履行。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二</w:t>
      </w:r>
      <w:r>
        <w:rPr>
          <w:rFonts w:hint="eastAsia" w:ascii="仿宋" w:hAnsi="仿宋" w:eastAsia="仿宋" w:cs="仿宋"/>
          <w:color w:val="000000" w:themeColor="text1"/>
          <w:sz w:val="24"/>
          <w:highlight w:val="none"/>
          <w14:textFill>
            <w14:solidFill>
              <w14:schemeClr w14:val="tx1"/>
            </w14:solidFill>
          </w14:textFill>
        </w:rPr>
        <w:t xml:space="preserve">条 甲、乙双方有一方有正当理由要求变更本合同，须提前一个月以书面形式通知对方并协商解决，双方应签署变更合同。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三</w:t>
      </w:r>
      <w:r>
        <w:rPr>
          <w:rFonts w:hint="eastAsia" w:ascii="仿宋" w:hAnsi="仿宋" w:eastAsia="仿宋" w:cs="仿宋"/>
          <w:color w:val="000000" w:themeColor="text1"/>
          <w:sz w:val="24"/>
          <w:highlight w:val="none"/>
          <w14:textFill>
            <w14:solidFill>
              <w14:schemeClr w14:val="tx1"/>
            </w14:solidFill>
          </w14:textFill>
        </w:rPr>
        <w:t xml:space="preserve">条 本合同期满双方不再续约或者因一方违约导致本合同无法履行，则本合同终止。但合同的终止不得损害第三方的利益，双方应为此做出合理安排。 </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四</w:t>
      </w:r>
      <w:r>
        <w:rPr>
          <w:rFonts w:hint="eastAsia" w:ascii="仿宋" w:hAnsi="仿宋" w:eastAsia="仿宋" w:cs="仿宋"/>
          <w:color w:val="000000" w:themeColor="text1"/>
          <w:sz w:val="24"/>
          <w:highlight w:val="none"/>
          <w14:textFill>
            <w14:solidFill>
              <w14:schemeClr w14:val="tx1"/>
            </w14:solidFill>
          </w14:textFill>
        </w:rPr>
        <w:t>条 未经对方同意，甲乙任何一方不得将本合同部分或全部权利和义务转让给第三方。</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五</w:t>
      </w:r>
      <w:r>
        <w:rPr>
          <w:rFonts w:hint="eastAsia" w:ascii="仿宋" w:hAnsi="仿宋" w:eastAsia="仿宋" w:cs="仿宋"/>
          <w:color w:val="000000" w:themeColor="text1"/>
          <w:sz w:val="24"/>
          <w:highlight w:val="none"/>
          <w14:textFill>
            <w14:solidFill>
              <w14:schemeClr w14:val="tx1"/>
            </w14:solidFill>
          </w14:textFill>
        </w:rPr>
        <w:t>条 本合同中涉及的所有“通知”、“同意”、“确认” 等事项均应以书面形式做出，并作为依据。</w:t>
      </w:r>
    </w:p>
    <w:p>
      <w:pPr>
        <w:keepNext w:val="0"/>
        <w:keepLines w:val="0"/>
        <w:pageBreakBefore w:val="0"/>
        <w:widowControl w:val="0"/>
        <w:kinsoku/>
        <w:wordWrap/>
        <w:overflowPunct/>
        <w:topLinePunct w:val="0"/>
        <w:autoSpaceDE/>
        <w:autoSpaceDN/>
        <w:bidi w:val="0"/>
        <w:adjustRightInd/>
        <w:snapToGrid/>
        <w:spacing w:line="540" w:lineRule="exact"/>
        <w:ind w:firstLine="240" w:firstLineChars="100"/>
        <w:jc w:val="left"/>
        <w:textAlignment w:val="auto"/>
        <w:rPr>
          <w:rFonts w:hint="eastAsia"/>
          <w:highlight w:val="none"/>
        </w:rPr>
      </w:pPr>
      <w:r>
        <w:rPr>
          <w:rFonts w:hint="eastAsia" w:ascii="仿宋" w:hAnsi="仿宋" w:eastAsia="仿宋" w:cs="仿宋"/>
          <w:color w:val="000000" w:themeColor="text1"/>
          <w:sz w:val="24"/>
          <w:highlight w:val="none"/>
          <w14:textFill>
            <w14:solidFill>
              <w14:schemeClr w14:val="tx1"/>
            </w14:solidFill>
          </w14:textFill>
        </w:rPr>
        <w:t>第十</w:t>
      </w:r>
      <w:r>
        <w:rPr>
          <w:rFonts w:hint="eastAsia" w:ascii="仿宋" w:hAnsi="仿宋" w:eastAsia="仿宋" w:cs="仿宋"/>
          <w:color w:val="000000" w:themeColor="text1"/>
          <w:sz w:val="24"/>
          <w:highlight w:val="none"/>
          <w:lang w:eastAsia="zh-CN"/>
          <w14:textFill>
            <w14:solidFill>
              <w14:schemeClr w14:val="tx1"/>
            </w14:solidFill>
          </w14:textFill>
        </w:rPr>
        <w:t>六</w:t>
      </w:r>
      <w:r>
        <w:rPr>
          <w:rFonts w:hint="eastAsia" w:ascii="仿宋" w:hAnsi="仿宋" w:eastAsia="仿宋" w:cs="仿宋"/>
          <w:color w:val="000000" w:themeColor="text1"/>
          <w:sz w:val="24"/>
          <w:highlight w:val="none"/>
          <w14:textFill>
            <w14:solidFill>
              <w14:schemeClr w14:val="tx1"/>
            </w14:solidFill>
          </w14:textFill>
        </w:rPr>
        <w:t xml:space="preserve">条 本合同有关附件及补充合同是本合同不可分割的组成部分，与本合同具有同等法律效力；本合同未尽事宜，双方另行协商并签署补充合同，作为本合同的附件，具有同等法律效力。 </w:t>
      </w:r>
    </w:p>
    <w:p>
      <w:pPr>
        <w:rPr>
          <w:rFonts w:hint="eastAsia" w:ascii="仿宋" w:hAnsi="仿宋" w:eastAsia="仿宋" w:cs="仿宋"/>
          <w:highlight w:val="none"/>
        </w:rPr>
      </w:pPr>
      <w:bookmarkStart w:id="64" w:name="_Toc32022"/>
      <w:r>
        <w:rPr>
          <w:rFonts w:hint="eastAsia" w:ascii="仿宋" w:hAnsi="仿宋" w:eastAsia="仿宋" w:cs="仿宋"/>
          <w:highlight w:val="none"/>
        </w:rPr>
        <w:br w:type="page"/>
      </w:r>
    </w:p>
    <w:p>
      <w:pPr>
        <w:pStyle w:val="2"/>
        <w:bidi w:val="0"/>
        <w:jc w:val="center"/>
        <w:rPr>
          <w:rFonts w:hint="eastAsia" w:ascii="仿宋" w:hAnsi="仿宋" w:eastAsia="仿宋" w:cs="仿宋"/>
          <w:highlight w:val="none"/>
        </w:rPr>
      </w:pPr>
      <w:r>
        <w:rPr>
          <w:rFonts w:hint="eastAsia" w:ascii="仿宋" w:hAnsi="仿宋" w:eastAsia="仿宋" w:cs="仿宋"/>
          <w:highlight w:val="none"/>
        </w:rPr>
        <w:t>第六章  竞争性磋商响应文件格式</w:t>
      </w:r>
      <w:bookmarkEnd w:id="64"/>
    </w:p>
    <w:p>
      <w:pPr>
        <w:spacing w:line="540" w:lineRule="exac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竞争性磋商响应文件编制说明</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1、竞争性磋商响应文件应当按照竞争性磋商文件给定的格式和要求编制，格式之外的可自行编写。</w:t>
      </w:r>
    </w:p>
    <w:p>
      <w:pPr>
        <w:spacing w:line="560" w:lineRule="exact"/>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供应商必须按照竞争性磋商文件的规定和要求在竞争性磋商响应文件中指定的页面落款处加盖公章（鲜章）并由法定代表人或被授权人签字（或盖章），否则将作为无效响应处理。竞争性磋商文件凡是要求法定代表人签字或盖章之处，非法人单位的负责人均参照执行。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3、纸质竞争性磋商响应文件均须A4纸打印（提倡双面打印），分别各自装订成册并编制目录和页码。</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4、竞争性磋商响应文件正本中的法人授权书须为原件，其它资质证明文件为复印件加盖供应商公章（鲜章）。副本可以是正本的复印件。</w:t>
      </w: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p>
    <w:p>
      <w:pPr>
        <w:spacing w:line="54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480" w:lineRule="exact"/>
        <w:ind w:firstLine="560" w:firstLineChars="200"/>
        <w:rPr>
          <w:rFonts w:hint="eastAsia" w:ascii="仿宋" w:hAnsi="仿宋" w:eastAsia="仿宋" w:cs="仿宋"/>
          <w:color w:val="000000" w:themeColor="text1"/>
          <w:sz w:val="28"/>
          <w:szCs w:val="28"/>
          <w:highlight w:val="none"/>
          <w14:textFill>
            <w14:solidFill>
              <w14:schemeClr w14:val="tx1"/>
            </w14:solidFill>
          </w14:textFill>
        </w:rPr>
      </w:pPr>
    </w:p>
    <w:p>
      <w:pPr>
        <w:spacing w:line="560" w:lineRule="exact"/>
        <w:ind w:firstLine="723" w:firstLineChars="200"/>
        <w:jc w:val="right"/>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pPr>
      <w:r>
        <w:rPr>
          <w:rFonts w:hint="eastAsia" w:ascii="仿宋" w:hAnsi="仿宋" w:eastAsia="仿宋" w:cs="仿宋"/>
          <w:b/>
          <w:color w:val="000000" w:themeColor="text1"/>
          <w:sz w:val="36"/>
          <w:szCs w:val="36"/>
          <w:highlight w:val="none"/>
          <w:bdr w:val="single" w:color="auto" w:sz="4" w:space="0"/>
          <w:shd w:val="pct10" w:color="auto" w:fill="FFFFFF"/>
          <w:lang w:eastAsia="zh-CN"/>
          <w14:textFill>
            <w14:solidFill>
              <w14:schemeClr w14:val="tx1"/>
            </w14:solidFill>
          </w14:textFill>
        </w:rPr>
        <w:t>政府采购项目</w:t>
      </w:r>
    </w:p>
    <w:p>
      <w:pPr>
        <w:spacing w:line="480" w:lineRule="exact"/>
        <w:ind w:right="140"/>
        <w:rPr>
          <w:rFonts w:hint="eastAsia" w:ascii="仿宋" w:hAnsi="仿宋" w:eastAsia="仿宋" w:cs="仿宋"/>
          <w:color w:val="000000" w:themeColor="text1"/>
          <w:sz w:val="36"/>
          <w:szCs w:val="36"/>
          <w:highlight w:val="none"/>
          <w14:textFill>
            <w14:solidFill>
              <w14:schemeClr w14:val="tx1"/>
            </w14:solidFill>
          </w14:textFill>
        </w:rPr>
      </w:pPr>
    </w:p>
    <w:p>
      <w:pPr>
        <w:rPr>
          <w:rFonts w:hint="eastAsia" w:ascii="仿宋" w:hAnsi="仿宋" w:eastAsia="仿宋" w:cs="仿宋"/>
          <w:b/>
          <w:color w:val="000000" w:themeColor="text1"/>
          <w:sz w:val="20"/>
          <w:szCs w:val="20"/>
          <w:highlight w:val="none"/>
          <w:u w:val="wavyHeavy" w:color="FF0000"/>
          <w14:textFill>
            <w14:solidFill>
              <w14:schemeClr w14:val="tx1"/>
            </w14:solidFill>
          </w14:textFill>
        </w:rPr>
      </w:pPr>
      <w:r>
        <w:rPr>
          <w:rFonts w:hint="eastAsia" w:ascii="仿宋" w:hAnsi="仿宋" w:eastAsia="仿宋" w:cs="仿宋"/>
          <w:b/>
          <w:color w:val="000000" w:themeColor="text1"/>
          <w:sz w:val="36"/>
          <w:szCs w:val="36"/>
          <w:highlight w:val="none"/>
          <w14:textFill>
            <w14:solidFill>
              <w14:schemeClr w14:val="tx1"/>
            </w14:solidFill>
          </w14:textFill>
        </w:rPr>
        <w:t xml:space="preserve">文件编号: </w:t>
      </w:r>
      <w:r>
        <w:rPr>
          <w:rFonts w:hint="eastAsia" w:ascii="仿宋" w:hAnsi="仿宋" w:eastAsia="仿宋" w:cs="仿宋"/>
          <w:b/>
          <w:color w:val="000000" w:themeColor="text1"/>
          <w:sz w:val="36"/>
          <w:szCs w:val="36"/>
          <w:highlight w:val="none"/>
          <w:lang w:eastAsia="zh-CN"/>
          <w14:textFill>
            <w14:solidFill>
              <w14:schemeClr w14:val="tx1"/>
            </w14:solidFill>
          </w14:textFill>
        </w:rPr>
        <w:t>HZGH-2023-060</w:t>
      </w: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widowControl/>
        <w:tabs>
          <w:tab w:val="left" w:pos="1620"/>
        </w:tabs>
        <w:snapToGrid w:val="0"/>
        <w:spacing w:line="480" w:lineRule="exact"/>
        <w:ind w:left="561" w:leftChars="267" w:right="-197" w:rightChars="-94"/>
        <w:jc w:val="left"/>
        <w:rPr>
          <w:rFonts w:hint="eastAsia" w:ascii="仿宋" w:hAnsi="仿宋" w:eastAsia="仿宋" w:cs="仿宋"/>
          <w:b/>
          <w:color w:val="000000" w:themeColor="text1"/>
          <w:sz w:val="36"/>
          <w:szCs w:val="36"/>
          <w:highlight w:val="none"/>
          <w14:textFill>
            <w14:solidFill>
              <w14:schemeClr w14:val="tx1"/>
            </w14:solidFill>
          </w14:textFill>
        </w:rPr>
      </w:pPr>
    </w:p>
    <w:p>
      <w:pPr>
        <w:pStyle w:val="11"/>
        <w:spacing w:line="360" w:lineRule="auto"/>
        <w:jc w:val="cente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pPr>
      <w:r>
        <w:rPr>
          <w:rFonts w:hint="eastAsia" w:ascii="仿宋" w:hAnsi="仿宋" w:eastAsia="仿宋" w:cs="仿宋"/>
          <w:b/>
          <w:bCs/>
          <w:color w:val="000000" w:themeColor="text1"/>
          <w:spacing w:val="20"/>
          <w:kern w:val="0"/>
          <w:sz w:val="44"/>
          <w:szCs w:val="44"/>
          <w:highlight w:val="none"/>
          <w:lang w:val="en-US" w:eastAsia="zh-CN" w:bidi="ar-SA"/>
          <w14:textFill>
            <w14:solidFill>
              <w14:schemeClr w14:val="tx1"/>
            </w14:solidFill>
          </w14:textFill>
        </w:rPr>
        <w:t>农村生活饮用水检测项目</w:t>
      </w: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spacing w:line="480" w:lineRule="exact"/>
        <w:ind w:firstLine="1446" w:firstLineChars="200"/>
        <w:jc w:val="center"/>
        <w:rPr>
          <w:rFonts w:hint="eastAsia" w:ascii="仿宋" w:hAnsi="仿宋" w:eastAsia="仿宋" w:cs="仿宋"/>
          <w:b/>
          <w:color w:val="000000" w:themeColor="text1"/>
          <w:sz w:val="72"/>
          <w:szCs w:val="72"/>
          <w:highlight w:val="none"/>
          <w14:textFill>
            <w14:solidFill>
              <w14:schemeClr w14:val="tx1"/>
            </w14:solidFill>
          </w14:textFill>
        </w:rPr>
      </w:pPr>
    </w:p>
    <w:p>
      <w:pPr>
        <w:jc w:val="center"/>
        <w:rPr>
          <w:rFonts w:hint="eastAsia" w:ascii="仿宋" w:hAnsi="仿宋" w:eastAsia="仿宋" w:cs="仿宋"/>
          <w:b/>
          <w:color w:val="000000" w:themeColor="text1"/>
          <w:sz w:val="52"/>
          <w:szCs w:val="52"/>
          <w:highlight w:val="none"/>
          <w14:textFill>
            <w14:solidFill>
              <w14:schemeClr w14:val="tx1"/>
            </w14:solidFill>
          </w14:textFill>
        </w:rPr>
      </w:pPr>
      <w:r>
        <w:rPr>
          <w:rFonts w:hint="eastAsia" w:ascii="仿宋" w:hAnsi="仿宋" w:eastAsia="仿宋" w:cs="仿宋"/>
          <w:b/>
          <w:color w:val="000000" w:themeColor="text1"/>
          <w:sz w:val="72"/>
          <w:szCs w:val="72"/>
          <w:highlight w:val="none"/>
          <w14:textFill>
            <w14:solidFill>
              <w14:schemeClr w14:val="tx1"/>
            </w14:solidFill>
          </w14:textFill>
        </w:rPr>
        <w:t xml:space="preserve"> </w:t>
      </w:r>
      <w:r>
        <w:rPr>
          <w:rFonts w:hint="eastAsia" w:ascii="仿宋" w:hAnsi="仿宋" w:eastAsia="仿宋" w:cs="仿宋"/>
          <w:b/>
          <w:color w:val="000000" w:themeColor="text1"/>
          <w:sz w:val="52"/>
          <w:szCs w:val="52"/>
          <w:highlight w:val="none"/>
          <w14:textFill>
            <w14:solidFill>
              <w14:schemeClr w14:val="tx1"/>
            </w14:solidFill>
          </w14:textFill>
        </w:rPr>
        <w:t>竞争性磋商响应文件</w:t>
      </w: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highlight w:val="none"/>
        </w:rPr>
      </w:pPr>
    </w:p>
    <w:p>
      <w:pPr>
        <w:spacing w:line="480" w:lineRule="exact"/>
        <w:rPr>
          <w:rFonts w:hint="eastAsia" w:ascii="仿宋" w:hAnsi="仿宋" w:eastAsia="仿宋" w:cs="仿宋"/>
          <w:b/>
          <w:color w:val="000000" w:themeColor="text1"/>
          <w:sz w:val="28"/>
          <w:szCs w:val="28"/>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687" w:firstLineChars="600"/>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供   应   商：</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bCs/>
          <w:color w:val="000000" w:themeColor="text1"/>
          <w:sz w:val="28"/>
          <w:szCs w:val="28"/>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采购代理机构：</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661" w:firstLineChars="591"/>
        <w:textAlignment w:val="auto"/>
        <w:rPr>
          <w:rFonts w:hint="eastAsia" w:ascii="仿宋" w:hAnsi="仿宋" w:eastAsia="仿宋" w:cs="仿宋"/>
          <w:b/>
          <w:color w:val="000000" w:themeColor="text1"/>
          <w:sz w:val="13"/>
          <w:szCs w:val="13"/>
          <w:highlight w:val="none"/>
          <w:u w:val="singl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时        间：</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3697" w:firstLineChars="837"/>
        <w:textAlignment w:val="auto"/>
        <w:rPr>
          <w:rFonts w:hint="eastAsia" w:ascii="仿宋" w:hAnsi="仿宋" w:eastAsia="仿宋" w:cs="仿宋"/>
          <w:b/>
          <w:color w:val="000000" w:themeColor="text1"/>
          <w:sz w:val="44"/>
          <w:szCs w:val="44"/>
          <w:highlight w:val="none"/>
          <w14:textFill>
            <w14:solidFill>
              <w14:schemeClr w14:val="tx1"/>
            </w14:solidFill>
          </w14:textFill>
        </w:rPr>
      </w:pPr>
    </w:p>
    <w:p>
      <w:pPr>
        <w:spacing w:line="480" w:lineRule="exact"/>
        <w:ind w:firstLine="3697" w:firstLineChars="837"/>
        <w:rPr>
          <w:rFonts w:hint="eastAsia" w:ascii="仿宋" w:hAnsi="仿宋" w:eastAsia="仿宋" w:cs="仿宋"/>
          <w:b/>
          <w:color w:val="000000" w:themeColor="text1"/>
          <w:sz w:val="44"/>
          <w:szCs w:val="44"/>
          <w:highlight w:val="none"/>
          <w14:textFill>
            <w14:solidFill>
              <w14:schemeClr w14:val="tx1"/>
            </w14:solidFill>
          </w14:textFill>
        </w:rPr>
      </w:pPr>
    </w:p>
    <w:p>
      <w:pP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p>
      <w:pPr>
        <w:pStyle w:val="18"/>
        <w:rPr>
          <w:rFonts w:hint="eastAsia"/>
          <w:highlight w:val="none"/>
        </w:rPr>
      </w:pPr>
    </w:p>
    <w:p>
      <w:pPr>
        <w:spacing w:line="480" w:lineRule="exact"/>
        <w:jc w:val="cente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t>目  录</w:t>
      </w:r>
    </w:p>
    <w:p>
      <w:pPr>
        <w:spacing w:line="480" w:lineRule="exact"/>
        <w:rPr>
          <w:rFonts w:hint="eastAsia" w:ascii="仿宋" w:hAnsi="仿宋" w:eastAsia="仿宋" w:cs="仿宋"/>
          <w:b/>
          <w:color w:val="000000" w:themeColor="text1"/>
          <w:sz w:val="36"/>
          <w:szCs w:val="36"/>
          <w:highlight w:val="none"/>
          <w14:textFill>
            <w14:solidFill>
              <w14:schemeClr w14:val="tx1"/>
            </w14:solidFill>
          </w14:textFill>
        </w:rPr>
      </w:pP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1.竞争性磋商函（格式）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2.磋商报价一览表（格式）</w:t>
      </w:r>
    </w:p>
    <w:p>
      <w:pPr>
        <w:spacing w:line="480" w:lineRule="auto"/>
        <w:ind w:firstLine="2551" w:firstLineChars="1063"/>
        <w:jc w:val="both"/>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分项报价表（格式自拟）</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商务条款响应偏离表（格式）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.服务条款响应偏离表（格式）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.资格证明文件</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2020年1月1日</w:t>
      </w:r>
      <w:r>
        <w:rPr>
          <w:rFonts w:hint="eastAsia" w:ascii="仿宋" w:hAnsi="仿宋" w:eastAsia="仿宋" w:cs="仿宋"/>
          <w:color w:val="000000" w:themeColor="text1"/>
          <w:sz w:val="24"/>
          <w:highlight w:val="none"/>
          <w14:textFill>
            <w14:solidFill>
              <w14:schemeClr w14:val="tx1"/>
            </w14:solidFill>
          </w14:textFill>
        </w:rPr>
        <w:t>至今</w:t>
      </w:r>
      <w:r>
        <w:rPr>
          <w:rFonts w:hint="eastAsia" w:ascii="仿宋" w:hAnsi="仿宋" w:eastAsia="仿宋" w:cs="仿宋"/>
          <w:color w:val="000000" w:themeColor="text1"/>
          <w:sz w:val="24"/>
          <w:highlight w:val="none"/>
          <w:lang w:val="en-US" w:eastAsia="zh-CN"/>
          <w14:textFill>
            <w14:solidFill>
              <w14:schemeClr w14:val="tx1"/>
            </w14:solidFill>
          </w14:textFill>
        </w:rPr>
        <w:t>同类项目业绩</w:t>
      </w:r>
      <w:r>
        <w:rPr>
          <w:rFonts w:hint="eastAsia" w:ascii="仿宋" w:hAnsi="仿宋" w:eastAsia="仿宋" w:cs="仿宋"/>
          <w:color w:val="000000" w:themeColor="text1"/>
          <w:sz w:val="24"/>
          <w:highlight w:val="none"/>
          <w14:textFill>
            <w14:solidFill>
              <w14:schemeClr w14:val="tx1"/>
            </w14:solidFill>
          </w14:textFill>
        </w:rPr>
        <w:t>（提供合同复印件加盖公章）</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8、服务方案</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9、人员及服务能力</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10、质量保证承诺</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11、合理化建议</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12、履约承诺</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13、服务承诺</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.供应商认为有必要说明的事宜（若有）</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15</w:t>
      </w:r>
      <w:r>
        <w:rPr>
          <w:rFonts w:hint="eastAsia" w:ascii="仿宋" w:hAnsi="仿宋" w:eastAsia="仿宋" w:cs="仿宋"/>
          <w:color w:val="000000" w:themeColor="text1"/>
          <w:sz w:val="24"/>
          <w:highlight w:val="none"/>
          <w14:textFill>
            <w14:solidFill>
              <w14:schemeClr w14:val="tx1"/>
            </w14:solidFill>
          </w14:textFill>
        </w:rPr>
        <w:t>.供应商拒绝政府采购领域商业贿赂承诺书（格式）</w:t>
      </w:r>
    </w:p>
    <w:p>
      <w:pPr>
        <w:spacing w:line="480" w:lineRule="auto"/>
        <w:ind w:firstLine="2551" w:firstLineChars="1063"/>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color w:val="000000" w:themeColor="text1"/>
          <w:sz w:val="24"/>
          <w:highlight w:val="none"/>
          <w:lang w:val="en-US" w:eastAsia="zh-CN"/>
          <w14:textFill>
            <w14:solidFill>
              <w14:schemeClr w14:val="tx1"/>
            </w14:solidFill>
          </w14:textFill>
        </w:rPr>
        <w:t>6</w:t>
      </w:r>
      <w:r>
        <w:rPr>
          <w:rFonts w:hint="eastAsia" w:ascii="仿宋" w:hAnsi="仿宋" w:eastAsia="仿宋" w:cs="仿宋"/>
          <w:color w:val="000000" w:themeColor="text1"/>
          <w:sz w:val="24"/>
          <w:highlight w:val="none"/>
          <w14:textFill>
            <w14:solidFill>
              <w14:schemeClr w14:val="tx1"/>
            </w14:solidFill>
          </w14:textFill>
        </w:rPr>
        <w:t>.《中小企业声明函》</w:t>
      </w:r>
    </w:p>
    <w:p>
      <w:pPr>
        <w:spacing w:line="480" w:lineRule="auto"/>
        <w:ind w:firstLine="2551" w:firstLineChars="1063"/>
        <w:jc w:val="both"/>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en-US" w:eastAsia="zh-CN"/>
          <w14:textFill>
            <w14:solidFill>
              <w14:schemeClr w14:val="tx1"/>
            </w14:solidFill>
          </w14:textFill>
        </w:rPr>
        <w:t>7</w:t>
      </w:r>
      <w:r>
        <w:rPr>
          <w:rFonts w:hint="eastAsia" w:ascii="仿宋" w:hAnsi="仿宋" w:eastAsia="仿宋" w:cs="仿宋"/>
          <w:bCs/>
          <w:color w:val="000000" w:themeColor="text1"/>
          <w:sz w:val="24"/>
          <w:highlight w:val="none"/>
          <w14:textFill>
            <w14:solidFill>
              <w14:schemeClr w14:val="tx1"/>
            </w14:solidFill>
          </w14:textFill>
        </w:rPr>
        <w:t>.《残疾人福利性单位声明函》</w:t>
      </w:r>
      <w:r>
        <w:rPr>
          <w:rFonts w:hint="eastAsia" w:ascii="仿宋" w:hAnsi="仿宋" w:eastAsia="仿宋" w:cs="仿宋"/>
          <w:color w:val="000000" w:themeColor="text1"/>
          <w:sz w:val="24"/>
          <w:highlight w:val="none"/>
          <w14:textFill>
            <w14:solidFill>
              <w14:schemeClr w14:val="tx1"/>
            </w14:solidFill>
          </w14:textFill>
        </w:rPr>
        <w:t>（格式，若有）</w:t>
      </w:r>
    </w:p>
    <w:p>
      <w:pPr>
        <w:spacing w:line="480" w:lineRule="auto"/>
        <w:ind w:firstLine="2551" w:firstLineChars="1063"/>
        <w:jc w:val="both"/>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18.《监狱、戒毒企业声明函》（格式，若有）</w:t>
      </w:r>
    </w:p>
    <w:p>
      <w:pPr>
        <w:spacing w:line="600" w:lineRule="exact"/>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p>
    <w:p>
      <w:pPr>
        <w:spacing w:line="600" w:lineRule="exac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1.竞争性磋商函</w:t>
      </w:r>
      <w:r>
        <w:rPr>
          <w:rFonts w:hint="eastAsia" w:ascii="仿宋" w:hAnsi="仿宋" w:eastAsia="仿宋" w:cs="仿宋"/>
          <w:bCs/>
          <w:color w:val="000000" w:themeColor="text1"/>
          <w:sz w:val="22"/>
          <w:szCs w:val="22"/>
          <w:highlight w:val="none"/>
          <w14:textFill>
            <w14:solidFill>
              <w14:schemeClr w14:val="tx1"/>
            </w14:solidFill>
          </w14:textFill>
        </w:rPr>
        <w:t>（格式）</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rPr>
          <w:rFonts w:hint="eastAsia" w:ascii="仿宋" w:hAnsi="仿宋" w:eastAsia="仿宋" w:cs="仿宋"/>
          <w:b/>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致：</w:t>
      </w:r>
      <w:r>
        <w:rPr>
          <w:rFonts w:hint="eastAsia" w:ascii="仿宋" w:hAnsi="仿宋" w:eastAsia="仿宋" w:cs="仿宋"/>
          <w:b/>
          <w:color w:val="000000" w:themeColor="text1"/>
          <w:sz w:val="24"/>
          <w:highlight w:val="none"/>
          <w:lang w:eastAsia="zh-CN"/>
          <w14:textFill>
            <w14:solidFill>
              <w14:schemeClr w14:val="tx1"/>
            </w14:solidFill>
          </w14:textFill>
        </w:rPr>
        <w:t>华招广和项目管理有限公司</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根据贵单位</w:t>
      </w:r>
      <w:r>
        <w:rPr>
          <w:rFonts w:hint="eastAsia" w:ascii="仿宋" w:hAnsi="仿宋" w:eastAsia="仿宋" w:cs="仿宋"/>
          <w:color w:val="000000" w:themeColor="text1"/>
          <w:sz w:val="24"/>
          <w:highlight w:val="none"/>
          <w:u w:val="single"/>
          <w14:textFill>
            <w14:solidFill>
              <w14:schemeClr w14:val="tx1"/>
            </w14:solidFill>
          </w14:textFill>
        </w:rPr>
        <w:t xml:space="preserve">         （采购项目名称）    </w:t>
      </w:r>
      <w:r>
        <w:rPr>
          <w:rFonts w:hint="eastAsia" w:ascii="仿宋" w:hAnsi="仿宋" w:eastAsia="仿宋" w:cs="仿宋"/>
          <w:color w:val="000000" w:themeColor="text1"/>
          <w:sz w:val="24"/>
          <w:highlight w:val="none"/>
          <w14:textFill>
            <w14:solidFill>
              <w14:schemeClr w14:val="tx1"/>
            </w14:solidFill>
          </w14:textFill>
        </w:rPr>
        <w:t>项目</w:t>
      </w:r>
      <w:r>
        <w:rPr>
          <w:rFonts w:hint="eastAsia" w:ascii="仿宋" w:hAnsi="仿宋" w:eastAsia="仿宋" w:cs="仿宋"/>
          <w:color w:val="000000" w:themeColor="text1"/>
          <w:sz w:val="24"/>
          <w:highlight w:val="none"/>
          <w:u w:val="single"/>
          <w14:textFill>
            <w14:solidFill>
              <w14:schemeClr w14:val="tx1"/>
            </w14:solidFill>
          </w14:textFill>
        </w:rPr>
        <w:t>（项目编号）</w:t>
      </w:r>
      <w:r>
        <w:rPr>
          <w:rFonts w:hint="eastAsia" w:ascii="仿宋" w:hAnsi="仿宋" w:eastAsia="仿宋" w:cs="仿宋"/>
          <w:color w:val="000000" w:themeColor="text1"/>
          <w:sz w:val="24"/>
          <w:highlight w:val="none"/>
          <w14:textFill>
            <w14:solidFill>
              <w14:schemeClr w14:val="tx1"/>
            </w14:solidFill>
          </w14:textFill>
        </w:rPr>
        <w:t>的磋商公告，我方代表</w:t>
      </w:r>
      <w:r>
        <w:rPr>
          <w:rFonts w:hint="eastAsia" w:ascii="仿宋" w:hAnsi="仿宋" w:eastAsia="仿宋" w:cs="仿宋"/>
          <w:color w:val="000000" w:themeColor="text1"/>
          <w:sz w:val="24"/>
          <w:highlight w:val="none"/>
          <w:u w:val="single"/>
          <w14:textFill>
            <w14:solidFill>
              <w14:schemeClr w14:val="tx1"/>
            </w14:solidFill>
          </w14:textFill>
        </w:rPr>
        <w:t xml:space="preserve">   （姓名、职务）   </w:t>
      </w:r>
      <w:r>
        <w:rPr>
          <w:rFonts w:hint="eastAsia" w:ascii="仿宋" w:hAnsi="仿宋" w:eastAsia="仿宋" w:cs="仿宋"/>
          <w:color w:val="000000" w:themeColor="text1"/>
          <w:sz w:val="24"/>
          <w:highlight w:val="none"/>
          <w14:textFill>
            <w14:solidFill>
              <w14:schemeClr w14:val="tx1"/>
            </w14:solidFill>
          </w14:textFill>
        </w:rPr>
        <w:t>经正式授权并代表</w:t>
      </w:r>
      <w:r>
        <w:rPr>
          <w:rFonts w:hint="eastAsia" w:ascii="仿宋" w:hAnsi="仿宋" w:eastAsia="仿宋" w:cs="仿宋"/>
          <w:color w:val="000000" w:themeColor="text1"/>
          <w:sz w:val="24"/>
          <w:highlight w:val="none"/>
          <w:u w:val="single"/>
          <w14:textFill>
            <w14:solidFill>
              <w14:schemeClr w14:val="tx1"/>
            </w14:solidFill>
          </w14:textFill>
        </w:rPr>
        <w:t xml:space="preserve">     （供应商名称）     </w:t>
      </w:r>
      <w:r>
        <w:rPr>
          <w:rFonts w:hint="eastAsia" w:ascii="仿宋" w:hAnsi="仿宋" w:eastAsia="仿宋" w:cs="仿宋"/>
          <w:color w:val="000000" w:themeColor="text1"/>
          <w:sz w:val="24"/>
          <w:highlight w:val="none"/>
          <w14:textFill>
            <w14:solidFill>
              <w14:schemeClr w14:val="tx1"/>
            </w14:solidFill>
          </w14:textFill>
        </w:rPr>
        <w:t>就该项目进行磋商。</w:t>
      </w:r>
    </w:p>
    <w:p>
      <w:pPr>
        <w:keepNext w:val="0"/>
        <w:keepLines w:val="0"/>
        <w:pageBreakBefore w:val="0"/>
        <w:widowControl w:val="0"/>
        <w:kinsoku/>
        <w:wordWrap/>
        <w:overflowPunct/>
        <w:topLinePunct w:val="0"/>
        <w:bidi w:val="0"/>
        <w:snapToGrid/>
        <w:spacing w:line="640" w:lineRule="exact"/>
        <w:ind w:firstLine="482" w:firstLineChars="200"/>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在此，我方郑重声明以下诸点，并负法律责任：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1、我方提交的竞争性磋商响应文件正本一份，副本叁份，电子文件一份。</w:t>
      </w:r>
    </w:p>
    <w:p>
      <w:pPr>
        <w:keepNext w:val="0"/>
        <w:keepLines w:val="0"/>
        <w:pageBreakBefore w:val="0"/>
        <w:widowControl w:val="0"/>
        <w:kinsoku/>
        <w:wordWrap/>
        <w:overflowPunct/>
        <w:topLinePunct w:val="0"/>
        <w:bidi w:val="0"/>
        <w:snapToGrid/>
        <w:spacing w:line="640" w:lineRule="exact"/>
        <w:ind w:firstLine="470" w:firstLineChars="196"/>
        <w:textAlignment w:val="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2、我方所附磋商报价表中应提交和交付的货物/服务磋商总价为人民币：</w:t>
      </w:r>
      <w:r>
        <w:rPr>
          <w:rFonts w:hint="eastAsia" w:ascii="仿宋" w:hAnsi="仿宋" w:eastAsia="仿宋" w:cs="仿宋"/>
          <w:color w:val="000000" w:themeColor="text1"/>
          <w:sz w:val="24"/>
          <w:highlight w:val="none"/>
          <w:u w:val="single"/>
          <w14:textFill>
            <w14:solidFill>
              <w14:schemeClr w14:val="tx1"/>
            </w14:solidFill>
          </w14:textFill>
        </w:rPr>
        <w:t>（同时用汉字大写和数字表示的磋商总价）</w:t>
      </w:r>
      <w:r>
        <w:rPr>
          <w:rFonts w:hint="eastAsia" w:ascii="仿宋" w:hAnsi="仿宋" w:eastAsia="仿宋" w:cs="仿宋"/>
          <w:color w:val="000000" w:themeColor="text1"/>
          <w:sz w:val="24"/>
          <w:highlight w:val="none"/>
          <w14:textFill>
            <w14:solidFill>
              <w14:schemeClr w14:val="tx1"/>
            </w14:solidFill>
          </w14:textFill>
        </w:rPr>
        <w:t>。</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3、我方已详细审阅全部竞争性磋商文件，完全理解并同意放弃对这方面有不明及误解质疑的权力。</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4、我方完全理解并同意竞争性磋商</w:t>
      </w:r>
      <w:r>
        <w:rPr>
          <w:rFonts w:hint="eastAsia" w:ascii="仿宋" w:hAnsi="仿宋" w:eastAsia="仿宋" w:cs="仿宋"/>
          <w:color w:val="000000" w:themeColor="text1"/>
          <w:sz w:val="24"/>
          <w:highlight w:val="none"/>
          <w:lang w:eastAsia="zh-CN"/>
          <w14:textFill>
            <w14:solidFill>
              <w14:schemeClr w14:val="tx1"/>
            </w14:solidFill>
          </w14:textFill>
        </w:rPr>
        <w:t>文件</w:t>
      </w:r>
      <w:r>
        <w:rPr>
          <w:rFonts w:hint="eastAsia" w:ascii="仿宋" w:hAnsi="仿宋" w:eastAsia="仿宋" w:cs="仿宋"/>
          <w:color w:val="000000" w:themeColor="text1"/>
          <w:sz w:val="24"/>
          <w:highlight w:val="none"/>
          <w14:textFill>
            <w14:solidFill>
              <w14:schemeClr w14:val="tx1"/>
            </w14:solidFill>
          </w14:textFill>
        </w:rPr>
        <w:t>中拒绝投标的条款。</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5、我方同意按照要求提供磋商有关的一切数据或资料。</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6、我方将按竞争性磋商文件的规定履行合同责任和义务。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7、我方完全理解最低报价不是成交的唯一条件，采购人权选择质优价廉的货物/服务。</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8、我方同意按竞争性磋商文件规定，遵守贵方有关采购的各项规定。</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9、若我方被选为成交供应商，我方保证按有关规定向贵方支付招标服务费。</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10、磋商响应有效期为自提交磋商响应文件的截止之日起90个日历日。</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11、所有关于本项目的函电，请按下列地址联系：</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详 细 地 址：</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政 编 码：</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电       话：</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传       真：</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bidi w:val="0"/>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 子 邮 件：</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开 户 银 行：</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480" w:firstLineChars="200"/>
        <w:textAlignment w:val="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帐       号：</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 xml:space="preserve">             </w:t>
      </w: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ind w:hanging="600"/>
        <w:rPr>
          <w:rFonts w:hint="eastAsia" w:ascii="仿宋" w:hAnsi="仿宋" w:eastAsia="仿宋" w:cs="仿宋"/>
          <w:color w:val="000000" w:themeColor="text1"/>
          <w:sz w:val="24"/>
          <w:highlight w:val="none"/>
          <w:lang w:val="zh-CN"/>
          <w14:textFill>
            <w14:solidFill>
              <w14:schemeClr w14:val="tx1"/>
            </w14:solidFill>
          </w14:textFill>
        </w:rPr>
      </w:pPr>
    </w:p>
    <w:p>
      <w:pPr>
        <w:autoSpaceDE w:val="0"/>
        <w:autoSpaceDN w:val="0"/>
        <w:adjustRightInd w:val="0"/>
        <w:spacing w:line="480" w:lineRule="exact"/>
        <w:rPr>
          <w:rFonts w:hint="eastAsia" w:ascii="仿宋" w:hAnsi="仿宋" w:eastAsia="仿宋" w:cs="仿宋"/>
          <w:color w:val="000000" w:themeColor="text1"/>
          <w:sz w:val="24"/>
          <w:highlight w:val="none"/>
          <w:lang w:val="zh-CN"/>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spacing w:line="640" w:lineRule="exact"/>
        <w:ind w:firstLine="3360" w:firstLineChars="14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授权</w:t>
      </w:r>
      <w:r>
        <w:rPr>
          <w:rFonts w:hint="eastAsia" w:ascii="仿宋" w:hAnsi="仿宋" w:eastAsia="仿宋" w:cs="仿宋"/>
          <w:color w:val="000000" w:themeColor="text1"/>
          <w:sz w:val="24"/>
          <w:highlight w:val="none"/>
          <w:lang w:val="zh-CN"/>
          <w14:textFill>
            <w14:solidFill>
              <w14:schemeClr w14:val="tx1"/>
            </w14:solidFill>
          </w14:textFill>
        </w:rPr>
        <w:t>代表签名：</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val="0"/>
        <w:autoSpaceDN w:val="0"/>
        <w:bidi w:val="0"/>
        <w:adjustRightInd w:val="0"/>
        <w:snapToGrid/>
        <w:spacing w:line="640" w:lineRule="exact"/>
        <w:ind w:firstLine="3960" w:firstLineChars="1650"/>
        <w:textAlignment w:val="auto"/>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联系电话/手机：</w:t>
      </w:r>
      <w:r>
        <w:rPr>
          <w:rFonts w:hint="eastAsia" w:ascii="仿宋" w:hAnsi="仿宋" w:eastAsia="仿宋" w:cs="仿宋"/>
          <w:color w:val="000000" w:themeColor="text1"/>
          <w:sz w:val="24"/>
          <w:highlight w:val="none"/>
          <w:u w:val="single"/>
          <w:lang w:val="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keepNext w:val="0"/>
        <w:keepLines w:val="0"/>
        <w:pageBreakBefore w:val="0"/>
        <w:widowControl w:val="0"/>
        <w:kinsoku/>
        <w:wordWrap/>
        <w:overflowPunct/>
        <w:topLinePunct w:val="0"/>
        <w:bidi w:val="0"/>
        <w:snapToGrid/>
        <w:spacing w:line="640" w:lineRule="exact"/>
        <w:jc w:val="center"/>
        <w:textAlignment w:val="auto"/>
        <w:rPr>
          <w:rFonts w:hint="eastAsia" w:ascii="仿宋" w:hAnsi="仿宋" w:eastAsia="仿宋" w:cs="仿宋"/>
          <w:color w:val="000000" w:themeColor="text1"/>
          <w:sz w:val="28"/>
          <w:szCs w:val="28"/>
          <w:highlight w:val="none"/>
          <w14:textFill>
            <w14:solidFill>
              <w14:schemeClr w14:val="tx1"/>
            </w14:solidFill>
          </w14:textFill>
        </w:rPr>
        <w:sectPr>
          <w:headerReference r:id="rId12" w:type="first"/>
          <w:footerReference r:id="rId14" w:type="first"/>
          <w:headerReference r:id="rId11" w:type="default"/>
          <w:footerReference r:id="rId13" w:type="default"/>
          <w:pgSz w:w="11907" w:h="16840"/>
          <w:pgMar w:top="1418" w:right="1287" w:bottom="936" w:left="1259" w:header="907" w:footer="654" w:gutter="0"/>
          <w:pgBorders>
            <w:top w:val="none" w:sz="0" w:space="0"/>
            <w:left w:val="none" w:sz="0" w:space="0"/>
            <w:bottom w:val="none" w:sz="0" w:space="0"/>
            <w:right w:val="none" w:sz="0" w:space="0"/>
          </w:pgBorders>
          <w:cols w:space="720" w:num="1"/>
          <w:titlePg/>
          <w:docGrid w:linePitch="312" w:charSpace="0"/>
        </w:sectPr>
      </w:pPr>
    </w:p>
    <w:p>
      <w:pPr>
        <w:pStyle w:val="41"/>
        <w:ind w:firstLine="562"/>
        <w:rPr>
          <w:rFonts w:hint="eastAsia" w:ascii="仿宋" w:hAnsi="仿宋" w:eastAsia="仿宋" w:cs="仿宋"/>
          <w:b/>
          <w:color w:val="000000" w:themeColor="text1"/>
          <w:highlight w:val="none"/>
          <w14:textFill>
            <w14:solidFill>
              <w14:schemeClr w14:val="tx1"/>
            </w14:solidFill>
          </w14:textFill>
        </w:rPr>
      </w:pPr>
      <w:bookmarkStart w:id="65" w:name="_Toc188808834"/>
      <w:bookmarkStart w:id="66" w:name="_Toc193126882"/>
      <w:bookmarkStart w:id="67" w:name="_Toc193187098"/>
      <w:bookmarkStart w:id="68" w:name="_Toc194663919"/>
      <w:r>
        <w:rPr>
          <w:rFonts w:hint="eastAsia" w:ascii="仿宋" w:hAnsi="仿宋" w:eastAsia="仿宋" w:cs="仿宋"/>
          <w:b/>
          <w:color w:val="000000" w:themeColor="text1"/>
          <w:highlight w:val="none"/>
          <w14:textFill>
            <w14:solidFill>
              <w14:schemeClr w14:val="tx1"/>
            </w14:solidFill>
          </w14:textFill>
        </w:rPr>
        <w:t>2.磋商报价一览表</w:t>
      </w:r>
      <w:bookmarkEnd w:id="65"/>
      <w:bookmarkEnd w:id="66"/>
      <w:bookmarkEnd w:id="67"/>
      <w:bookmarkEnd w:id="68"/>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ind w:firstLine="723" w:firstLineChars="200"/>
        <w:jc w:val="center"/>
        <w:rPr>
          <w:rFonts w:hint="eastAsia" w:ascii="仿宋" w:hAnsi="仿宋" w:eastAsia="仿宋" w:cs="仿宋"/>
          <w:b/>
          <w:bCs/>
          <w:color w:val="000000" w:themeColor="text1"/>
          <w:sz w:val="36"/>
          <w:szCs w:val="21"/>
          <w:highlight w:val="none"/>
          <w14:textFill>
            <w14:solidFill>
              <w14:schemeClr w14:val="tx1"/>
            </w14:solidFill>
          </w14:textFill>
        </w:rPr>
      </w:pPr>
    </w:p>
    <w:p>
      <w:pPr>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供应商名称：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p>
    <w:tbl>
      <w:tblPr>
        <w:tblStyle w:val="24"/>
        <w:tblW w:w="141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822"/>
        <w:gridCol w:w="5135"/>
        <w:gridCol w:w="618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762" w:hRule="atLeast"/>
          <w:jc w:val="center"/>
        </w:trPr>
        <w:tc>
          <w:tcPr>
            <w:tcW w:w="2822" w:type="dxa"/>
            <w:vAlign w:val="center"/>
          </w:tcPr>
          <w:p>
            <w:pPr>
              <w:spacing w:line="480" w:lineRule="exact"/>
              <w:ind w:right="143" w:rightChars="68" w:firstLine="118" w:firstLineChars="49"/>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项目编号</w:t>
            </w:r>
          </w:p>
        </w:tc>
        <w:tc>
          <w:tcPr>
            <w:tcW w:w="5135" w:type="dxa"/>
            <w:vAlign w:val="center"/>
          </w:tcPr>
          <w:p>
            <w:pPr>
              <w:spacing w:line="480" w:lineRule="exact"/>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磋商报价（人民币:元）</w:t>
            </w:r>
          </w:p>
        </w:tc>
        <w:tc>
          <w:tcPr>
            <w:tcW w:w="6186" w:type="dxa"/>
            <w:tcMar>
              <w:top w:w="57" w:type="dxa"/>
              <w:left w:w="28" w:type="dxa"/>
              <w:bottom w:w="57" w:type="dxa"/>
              <w:right w:w="28" w:type="dxa"/>
            </w:tcMar>
            <w:vAlign w:val="center"/>
          </w:tcPr>
          <w:p>
            <w:pPr>
              <w:spacing w:line="480" w:lineRule="exact"/>
              <w:jc w:val="center"/>
              <w:rPr>
                <w:rFonts w:hint="eastAsia" w:ascii="仿宋" w:hAnsi="仿宋" w:eastAsia="仿宋" w:cs="仿宋"/>
                <w:color w:val="000000" w:themeColor="text1"/>
                <w:highlight w:val="none"/>
                <w:lang w:eastAsia="zh-CN"/>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服务期限</w:t>
            </w:r>
            <w:r>
              <w:rPr>
                <w:rFonts w:hint="eastAsia" w:ascii="仿宋" w:hAnsi="仿宋" w:eastAsia="仿宋" w:cs="仿宋"/>
                <w:b/>
                <w:color w:val="000000" w:themeColor="text1"/>
                <w:sz w:val="24"/>
                <w:highlight w:val="none"/>
                <w:lang w:eastAsia="zh-CN"/>
                <w14:textFill>
                  <w14:solidFill>
                    <w14:schemeClr w14:val="tx1"/>
                  </w14:solidFill>
                </w14:textFill>
              </w:rPr>
              <w:t>（</w:t>
            </w:r>
            <w:r>
              <w:rPr>
                <w:rFonts w:hint="eastAsia" w:ascii="仿宋" w:hAnsi="仿宋" w:eastAsia="仿宋" w:cs="仿宋"/>
                <w:b/>
                <w:color w:val="000000" w:themeColor="text1"/>
                <w:sz w:val="24"/>
                <w:highlight w:val="none"/>
                <w:lang w:val="en-US" w:eastAsia="zh-CN"/>
                <w14:textFill>
                  <w14:solidFill>
                    <w14:schemeClr w14:val="tx1"/>
                  </w14:solidFill>
                </w14:textFill>
              </w:rPr>
              <w:t>月</w:t>
            </w:r>
            <w:r>
              <w:rPr>
                <w:rFonts w:hint="eastAsia" w:ascii="仿宋" w:hAnsi="仿宋" w:eastAsia="仿宋" w:cs="仿宋"/>
                <w:b/>
                <w:color w:val="000000" w:themeColor="text1"/>
                <w:sz w:val="24"/>
                <w:highlight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2822" w:type="dxa"/>
            <w:vMerge w:val="restart"/>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5135" w:type="dxa"/>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6186" w:type="dxa"/>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2822" w:type="dxa"/>
            <w:vMerge w:val="continue"/>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321" w:type="dxa"/>
            <w:gridSpan w:val="2"/>
            <w:vAlign w:val="top"/>
          </w:tcPr>
          <w:p>
            <w:pPr>
              <w:spacing w:line="480" w:lineRule="exact"/>
              <w:ind w:left="210" w:leftChars="1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（大写）                                </w:t>
            </w:r>
          </w:p>
        </w:tc>
      </w:tr>
    </w:tbl>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（全称、签章）                            电话：</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200" w:firstLineChars="5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法定代表人或被授权人：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（盖章或签字）        </w:t>
      </w:r>
    </w:p>
    <w:p>
      <w:pPr>
        <w:keepNext w:val="0"/>
        <w:keepLines w:val="0"/>
        <w:pageBreakBefore w:val="0"/>
        <w:widowControl w:val="0"/>
        <w:kinsoku/>
        <w:wordWrap/>
        <w:overflowPunct/>
        <w:topLinePunct w:val="0"/>
        <w:autoSpaceDE/>
        <w:autoSpaceDN/>
        <w:bidi w:val="0"/>
        <w:adjustRightInd/>
        <w:snapToGrid/>
        <w:spacing w:after="100" w:afterAutospacing="1" w:line="640" w:lineRule="exact"/>
        <w:jc w:val="left"/>
        <w:textAlignment w:val="auto"/>
        <w:rPr>
          <w:rFonts w:hint="eastAsia" w:ascii="仿宋" w:hAnsi="仿宋" w:eastAsia="仿宋" w:cs="仿宋"/>
          <w:b/>
          <w:color w:val="000000" w:themeColor="text1"/>
          <w:sz w:val="28"/>
          <w:szCs w:val="28"/>
          <w:highlight w:val="none"/>
          <w14:textFill>
            <w14:solidFill>
              <w14:schemeClr w14:val="tx1"/>
            </w14:solidFill>
          </w14:textFill>
        </w:rPr>
      </w:pPr>
    </w:p>
    <w:p>
      <w:pPr>
        <w:pStyle w:val="11"/>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highlight w:val="none"/>
        </w:rPr>
      </w:pPr>
    </w:p>
    <w:p>
      <w:pPr>
        <w:rPr>
          <w:rFonts w:hint="eastAsia" w:ascii="仿宋" w:hAnsi="仿宋" w:eastAsia="仿宋" w:cs="仿宋"/>
          <w:b/>
          <w:color w:val="000000" w:themeColor="text1"/>
          <w:sz w:val="28"/>
          <w:szCs w:val="28"/>
          <w:highlight w:val="none"/>
          <w14:textFill>
            <w14:solidFill>
              <w14:schemeClr w14:val="tx1"/>
            </w14:solidFill>
          </w14:textFill>
        </w:rPr>
      </w:pPr>
    </w:p>
    <w:p>
      <w:pPr>
        <w:rPr>
          <w:rFonts w:hint="eastAsia" w:ascii="仿宋" w:hAnsi="仿宋" w:eastAsia="仿宋" w:cs="仿宋"/>
          <w:b/>
          <w:color w:val="000000" w:themeColor="text1"/>
          <w:sz w:val="28"/>
          <w:szCs w:val="28"/>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lang w:eastAsia="zh-CN"/>
          <w14:textFill>
            <w14:solidFill>
              <w14:schemeClr w14:val="tx1"/>
            </w14:solidFill>
          </w14:textFill>
        </w:rPr>
      </w:pPr>
    </w:p>
    <w:p>
      <w:pPr>
        <w:numPr>
          <w:ilvl w:val="0"/>
          <w:numId w:val="1"/>
        </w:numPr>
        <w:spacing w:after="100" w:afterAutospacing="1" w:line="480" w:lineRule="auto"/>
        <w:ind w:left="0" w:leftChars="0" w:firstLine="0" w:firstLineChars="0"/>
        <w:jc w:val="left"/>
        <w:rPr>
          <w:rFonts w:hint="eastAsia"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lang w:val="en-US" w:eastAsia="zh-CN"/>
          <w14:textFill>
            <w14:solidFill>
              <w14:schemeClr w14:val="tx1"/>
            </w14:solidFill>
          </w14:textFill>
        </w:rPr>
        <w:t>分项报价表</w:t>
      </w:r>
    </w:p>
    <w:p>
      <w:pPr>
        <w:spacing w:line="440" w:lineRule="exact"/>
        <w:jc w:val="center"/>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格式自拟</w:t>
      </w:r>
    </w:p>
    <w:p>
      <w:pPr>
        <w:spacing w:line="440" w:lineRule="exact"/>
        <w:rPr>
          <w:rFonts w:hint="eastAsia" w:ascii="仿宋" w:hAnsi="仿宋" w:eastAsia="仿宋" w:cs="仿宋"/>
          <w:color w:val="auto"/>
          <w:sz w:val="24"/>
          <w:highlight w:val="none"/>
        </w:rPr>
      </w:pPr>
    </w:p>
    <w:p>
      <w:pPr>
        <w:pStyle w:val="11"/>
        <w:rPr>
          <w:rFonts w:hint="eastAsia" w:ascii="仿宋" w:hAnsi="仿宋" w:eastAsia="仿宋" w:cs="仿宋"/>
          <w:sz w:val="24"/>
          <w:szCs w:val="24"/>
          <w:highlight w:val="none"/>
          <w:lang w:val="en-US" w:eastAsia="zh-CN"/>
        </w:rPr>
        <w:sectPr>
          <w:headerReference r:id="rId16" w:type="first"/>
          <w:headerReference r:id="rId15" w:type="default"/>
          <w:footerReference r:id="rId17" w:type="default"/>
          <w:pgSz w:w="16840" w:h="11907" w:orient="landscape"/>
          <w:pgMar w:top="1259" w:right="1418" w:bottom="1287" w:left="936" w:header="851" w:footer="1021" w:gutter="0"/>
          <w:pgBorders>
            <w:top w:val="none" w:sz="0" w:space="0"/>
            <w:left w:val="none" w:sz="0" w:space="0"/>
            <w:bottom w:val="none" w:sz="0" w:space="0"/>
            <w:right w:val="none" w:sz="0" w:space="0"/>
          </w:pgBorders>
          <w:cols w:space="720" w:num="1"/>
          <w:docGrid w:linePitch="312" w:charSpace="0"/>
        </w:sectPr>
      </w:pPr>
      <w:r>
        <w:rPr>
          <w:rFonts w:hint="eastAsia" w:ascii="仿宋" w:hAnsi="仿宋" w:eastAsia="仿宋" w:cs="仿宋"/>
          <w:color w:val="auto"/>
          <w:sz w:val="24"/>
          <w:highlight w:val="none"/>
        </w:rPr>
        <w:t xml:space="preserve">       </w:t>
      </w:r>
    </w:p>
    <w:p>
      <w:pPr>
        <w:pStyle w:val="41"/>
        <w:ind w:firstLine="562"/>
        <w:rPr>
          <w:rFonts w:hint="eastAsia" w:ascii="仿宋" w:hAnsi="仿宋" w:eastAsia="仿宋" w:cs="仿宋"/>
          <w:b/>
          <w:color w:val="000000" w:themeColor="text1"/>
          <w:szCs w:val="28"/>
          <w:highlight w:val="none"/>
          <w14:textFill>
            <w14:solidFill>
              <w14:schemeClr w14:val="tx1"/>
            </w14:solidFill>
          </w14:textFill>
        </w:rPr>
      </w:pPr>
      <w:bookmarkStart w:id="69" w:name="_Toc49019236"/>
      <w:bookmarkStart w:id="70" w:name="_Toc47261690"/>
      <w:bookmarkStart w:id="71" w:name="_Toc48995851"/>
      <w:bookmarkStart w:id="72" w:name="_Toc188808839"/>
      <w:bookmarkStart w:id="73" w:name="_Toc47262069"/>
      <w:bookmarkStart w:id="74" w:name="_Toc193187104"/>
      <w:bookmarkStart w:id="75" w:name="_Toc47418731"/>
      <w:bookmarkStart w:id="76" w:name="_Toc47418255"/>
      <w:bookmarkStart w:id="77" w:name="_Toc49019497"/>
      <w:bookmarkStart w:id="78" w:name="_Toc47418938"/>
      <w:bookmarkStart w:id="79" w:name="_Toc194663925"/>
      <w:bookmarkStart w:id="80" w:name="_Toc47261885"/>
      <w:bookmarkStart w:id="81" w:name="_Toc193126888"/>
      <w:bookmarkStart w:id="82" w:name="_Toc13908"/>
      <w:bookmarkStart w:id="83" w:name="_Toc48791235"/>
      <w:bookmarkStart w:id="84" w:name="_Toc237"/>
      <w:bookmarkStart w:id="85" w:name="_Toc458617477"/>
      <w:r>
        <w:rPr>
          <w:rFonts w:hint="eastAsia" w:ascii="仿宋" w:hAnsi="仿宋" w:eastAsia="仿宋" w:cs="仿宋"/>
          <w:b/>
          <w:color w:val="000000" w:themeColor="text1"/>
          <w:szCs w:val="28"/>
          <w:highlight w:val="none"/>
          <w:lang w:val="en-US" w:eastAsia="zh-CN"/>
          <w14:textFill>
            <w14:solidFill>
              <w14:schemeClr w14:val="tx1"/>
            </w14:solidFill>
          </w14:textFill>
        </w:rPr>
        <w:t>4</w:t>
      </w:r>
      <w:r>
        <w:rPr>
          <w:rFonts w:hint="eastAsia" w:ascii="仿宋" w:hAnsi="仿宋" w:eastAsia="仿宋" w:cs="仿宋"/>
          <w:b/>
          <w:color w:val="000000" w:themeColor="text1"/>
          <w:szCs w:val="28"/>
          <w:highlight w:val="none"/>
          <w14:textFill>
            <w14:solidFill>
              <w14:schemeClr w14:val="tx1"/>
            </w14:solidFill>
          </w14:textFill>
        </w:rPr>
        <w:t>、商务条款响应偏离表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4"/>
        <w:tblW w:w="948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754"/>
        <w:gridCol w:w="2829"/>
        <w:gridCol w:w="1394"/>
        <w:gridCol w:w="139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275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磋商文件商务要求</w:t>
            </w:r>
          </w:p>
        </w:tc>
        <w:tc>
          <w:tcPr>
            <w:tcW w:w="282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磋商响应文件商务响应</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39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09" w:type="dxa"/>
            <w:tcBorders>
              <w:bottom w:val="single" w:color="auto" w:sz="4" w:space="0"/>
            </w:tcBorders>
            <w:tcMar>
              <w:top w:w="57" w:type="dxa"/>
              <w:left w:w="28" w:type="dxa"/>
              <w:bottom w:w="57" w:type="dxa"/>
              <w:right w:w="28" w:type="dxa"/>
            </w:tcMar>
            <w:vAlign w:val="center"/>
          </w:tcPr>
          <w:p>
            <w:pPr>
              <w:spacing w:line="480" w:lineRule="exact"/>
              <w:ind w:left="210" w:leftChars="100"/>
              <w:jc w:val="center"/>
              <w:rPr>
                <w:rFonts w:hint="eastAsia" w:ascii="仿宋" w:hAnsi="仿宋" w:eastAsia="仿宋" w:cs="仿宋"/>
                <w:color w:val="000000" w:themeColor="text1"/>
                <w:sz w:val="24"/>
                <w:highlight w:val="none"/>
                <w14:textFill>
                  <w14:solidFill>
                    <w14:schemeClr w14:val="tx1"/>
                  </w14:solidFill>
                </w14:textFill>
              </w:rPr>
            </w:pPr>
          </w:p>
        </w:tc>
        <w:tc>
          <w:tcPr>
            <w:tcW w:w="2754" w:type="dxa"/>
            <w:tcBorders>
              <w:bottom w:val="single" w:color="auto" w:sz="4" w:space="0"/>
            </w:tcBorders>
            <w:tcMar>
              <w:top w:w="57" w:type="dxa"/>
              <w:left w:w="28" w:type="dxa"/>
              <w:bottom w:w="57" w:type="dxa"/>
              <w:right w:w="28" w:type="dxa"/>
            </w:tcMar>
            <w:vAlign w:val="center"/>
          </w:tcPr>
          <w:p>
            <w:pPr>
              <w:adjustRightInd w:val="0"/>
              <w:snapToGrid w:val="0"/>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560" w:lineRule="exact"/>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5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82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9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440" w:lineRule="exact"/>
        <w:rPr>
          <w:rFonts w:hint="eastAsia" w:ascii="仿宋" w:hAnsi="仿宋" w:eastAsia="仿宋" w:cs="仿宋"/>
          <w:b/>
          <w:bCs/>
          <w:color w:val="000000" w:themeColor="text1"/>
          <w:sz w:val="24"/>
          <w:highlight w:val="none"/>
          <w:lang w:val="zh-CN" w:eastAsia="zh-CN"/>
          <w14:textFill>
            <w14:solidFill>
              <w14:schemeClr w14:val="tx1"/>
            </w14:solidFill>
          </w14:textFill>
        </w:rPr>
      </w:pPr>
    </w:p>
    <w:p>
      <w:pPr>
        <w:spacing w:line="440" w:lineRule="exact"/>
        <w:rPr>
          <w:rFonts w:hint="eastAsia" w:ascii="仿宋" w:hAnsi="仿宋" w:eastAsia="仿宋" w:cs="仿宋"/>
          <w:sz w:val="24"/>
          <w:highlight w:val="none"/>
          <w:lang w:val="zh-CN"/>
        </w:rPr>
      </w:pPr>
      <w:r>
        <w:rPr>
          <w:rFonts w:hint="eastAsia" w:ascii="仿宋" w:hAnsi="仿宋" w:eastAsia="仿宋" w:cs="仿宋"/>
          <w:b/>
          <w:bCs/>
          <w:color w:val="auto"/>
          <w:sz w:val="22"/>
          <w:szCs w:val="22"/>
          <w:highlight w:val="none"/>
          <w:lang w:eastAsia="zh-CN"/>
        </w:rPr>
        <w:t>注：本表按照磋商文件第四章《</w:t>
      </w:r>
      <w:r>
        <w:rPr>
          <w:rFonts w:hint="eastAsia" w:ascii="仿宋" w:hAnsi="仿宋" w:eastAsia="仿宋" w:cs="仿宋"/>
          <w:b/>
          <w:bCs/>
          <w:color w:val="auto"/>
          <w:sz w:val="22"/>
          <w:szCs w:val="22"/>
          <w:highlight w:val="none"/>
          <w:lang w:val="en-US" w:eastAsia="zh-CN"/>
        </w:rPr>
        <w:t>商务要求</w:t>
      </w:r>
      <w:r>
        <w:rPr>
          <w:rFonts w:hint="eastAsia" w:ascii="仿宋" w:hAnsi="仿宋" w:eastAsia="仿宋" w:cs="仿宋"/>
          <w:b/>
          <w:bCs/>
          <w:color w:val="auto"/>
          <w:sz w:val="22"/>
          <w:szCs w:val="22"/>
          <w:highlight w:val="none"/>
          <w:lang w:eastAsia="zh-CN"/>
        </w:rPr>
        <w:t>》</w:t>
      </w:r>
      <w:r>
        <w:rPr>
          <w:rFonts w:hint="eastAsia" w:ascii="仿宋" w:hAnsi="仿宋" w:eastAsia="仿宋" w:cs="仿宋"/>
          <w:b/>
          <w:bCs/>
          <w:color w:val="auto"/>
          <w:sz w:val="22"/>
          <w:szCs w:val="22"/>
          <w:highlight w:val="none"/>
          <w:lang w:val="en-US" w:eastAsia="zh-CN"/>
        </w:rPr>
        <w:t>逐条响应，否则按无效投标处理。</w:t>
      </w:r>
      <w:r>
        <w:rPr>
          <w:rFonts w:hint="eastAsia" w:ascii="仿宋" w:hAnsi="仿宋" w:eastAsia="仿宋" w:cs="仿宋"/>
          <w:b/>
          <w:bCs/>
          <w:color w:val="auto"/>
          <w:sz w:val="22"/>
          <w:szCs w:val="22"/>
          <w:highlight w:val="none"/>
          <w:u w:val="none"/>
          <w:lang w:val="en-US" w:eastAsia="zh-CN"/>
        </w:rPr>
        <w:t>偏离情况填写：优于、等于或者低于，偏离说明对偏离情况做出详细说明。</w:t>
      </w:r>
    </w:p>
    <w:p>
      <w:pPr>
        <w:spacing w:line="440" w:lineRule="exact"/>
        <w:rPr>
          <w:rFonts w:hint="eastAsia" w:ascii="仿宋" w:hAnsi="仿宋" w:eastAsia="仿宋" w:cs="仿宋"/>
          <w:color w:val="000000" w:themeColor="text1"/>
          <w:sz w:val="24"/>
          <w:highlight w:val="none"/>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sz w:val="24"/>
          <w:highlight w:val="none"/>
          <w14:textFill>
            <w14:solidFill>
              <w14:schemeClr w14:val="tx1"/>
            </w14:solidFill>
          </w14:textFill>
        </w:rPr>
        <w:sectPr>
          <w:headerReference r:id="rId19" w:type="first"/>
          <w:footerReference r:id="rId21" w:type="first"/>
          <w:headerReference r:id="rId18" w:type="default"/>
          <w:footerReference r:id="rId20"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pPr>
    </w:p>
    <w:p>
      <w:pPr>
        <w:pStyle w:val="41"/>
        <w:ind w:firstLine="562"/>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lang w:val="en-US" w:eastAsia="zh-CN"/>
          <w14:textFill>
            <w14:solidFill>
              <w14:schemeClr w14:val="tx1"/>
            </w14:solidFill>
          </w14:textFill>
        </w:rPr>
        <w:t>5</w:t>
      </w:r>
      <w:r>
        <w:rPr>
          <w:rFonts w:hint="eastAsia" w:ascii="仿宋" w:hAnsi="仿宋" w:eastAsia="仿宋" w:cs="仿宋"/>
          <w:b/>
          <w:color w:val="000000" w:themeColor="text1"/>
          <w:szCs w:val="28"/>
          <w:highlight w:val="none"/>
          <w14:textFill>
            <w14:solidFill>
              <w14:schemeClr w14:val="tx1"/>
            </w14:solidFill>
          </w14:textFill>
        </w:rPr>
        <w:t>、服务条款响应偏离表</w:t>
      </w:r>
      <w:r>
        <w:rPr>
          <w:rFonts w:hint="eastAsia" w:ascii="仿宋" w:hAnsi="仿宋" w:eastAsia="仿宋" w:cs="仿宋"/>
          <w:bCs/>
          <w:color w:val="000000" w:themeColor="text1"/>
          <w:sz w:val="22"/>
          <w:highlight w:val="none"/>
          <w14:textFill>
            <w14:solidFill>
              <w14:schemeClr w14:val="tx1"/>
            </w14:solidFill>
          </w14:textFill>
        </w:rPr>
        <w:t>（格式）</w:t>
      </w:r>
    </w:p>
    <w:p>
      <w:pPr>
        <w:spacing w:line="240" w:lineRule="exact"/>
        <w:ind w:left="210" w:leftChars="100"/>
        <w:rPr>
          <w:rFonts w:hint="eastAsia" w:ascii="仿宋" w:hAnsi="仿宋" w:eastAsia="仿宋" w:cs="仿宋"/>
          <w:b/>
          <w:bCs/>
          <w:color w:val="000000" w:themeColor="text1"/>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项目编号：</w:t>
      </w:r>
      <w:r>
        <w:rPr>
          <w:rFonts w:hint="eastAsia" w:ascii="仿宋" w:hAnsi="仿宋" w:eastAsia="仿宋" w:cs="仿宋"/>
          <w:color w:val="000000" w:themeColor="text1"/>
          <w:sz w:val="24"/>
          <w:highlight w:val="none"/>
          <w:u w:val="single"/>
          <w14:textFill>
            <w14:solidFill>
              <w14:schemeClr w14:val="tx1"/>
            </w14:solidFill>
          </w14:textFill>
        </w:rPr>
        <w:t xml:space="preserve">             </w:t>
      </w:r>
    </w:p>
    <w:tbl>
      <w:tblPr>
        <w:tblStyle w:val="24"/>
        <w:tblW w:w="958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116"/>
        <w:gridCol w:w="2300"/>
        <w:gridCol w:w="2767"/>
        <w:gridCol w:w="1314"/>
        <w:gridCol w:w="12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序号</w:t>
            </w:r>
          </w:p>
        </w:tc>
        <w:tc>
          <w:tcPr>
            <w:tcW w:w="1116" w:type="dxa"/>
            <w:tcMar>
              <w:top w:w="57" w:type="dxa"/>
              <w:left w:w="28" w:type="dxa"/>
              <w:bottom w:w="57" w:type="dxa"/>
              <w:right w:w="28" w:type="dxa"/>
            </w:tcMar>
            <w:vAlign w:val="center"/>
          </w:tcPr>
          <w:p>
            <w:pPr>
              <w:spacing w:line="320" w:lineRule="exact"/>
              <w:ind w:left="-97" w:leftChars="-46"/>
              <w:jc w:val="center"/>
              <w:rPr>
                <w:rFonts w:hint="eastAsia" w:ascii="仿宋" w:hAnsi="仿宋" w:eastAsia="仿宋" w:cs="仿宋"/>
                <w:b/>
                <w:color w:val="000000" w:themeColor="text1"/>
                <w:sz w:val="24"/>
                <w:highlight w:val="none"/>
                <w:lang w:eastAsia="zh-CN"/>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服务内容</w:t>
            </w:r>
          </w:p>
        </w:tc>
        <w:tc>
          <w:tcPr>
            <w:tcW w:w="2300"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磋商文件服务要求</w:t>
            </w:r>
          </w:p>
        </w:tc>
        <w:tc>
          <w:tcPr>
            <w:tcW w:w="2767"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磋商响应文件服务响应</w:t>
            </w:r>
          </w:p>
        </w:tc>
        <w:tc>
          <w:tcPr>
            <w:tcW w:w="1314"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偏离情况</w:t>
            </w:r>
          </w:p>
        </w:tc>
        <w:tc>
          <w:tcPr>
            <w:tcW w:w="1299" w:type="dxa"/>
            <w:tcMar>
              <w:top w:w="57" w:type="dxa"/>
              <w:left w:w="28" w:type="dxa"/>
              <w:bottom w:w="57" w:type="dxa"/>
              <w:right w:w="28" w:type="dxa"/>
            </w:tcMar>
            <w:vAlign w:val="center"/>
          </w:tcPr>
          <w:p>
            <w:pPr>
              <w:spacing w:line="320" w:lineRule="exact"/>
              <w:ind w:left="210" w:leftChars="100"/>
              <w:jc w:val="center"/>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8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Borders>
              <w:bottom w:val="single" w:color="auto" w:sz="4" w:space="0"/>
            </w:tcBorders>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116"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300"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2767"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314"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c>
          <w:tcPr>
            <w:tcW w:w="1299" w:type="dxa"/>
            <w:tcMar>
              <w:top w:w="57" w:type="dxa"/>
              <w:left w:w="28" w:type="dxa"/>
              <w:bottom w:w="57" w:type="dxa"/>
              <w:right w:w="28" w:type="dxa"/>
            </w:tcMar>
            <w:vAlign w:val="center"/>
          </w:tcPr>
          <w:p>
            <w:pPr>
              <w:spacing w:line="480" w:lineRule="exact"/>
              <w:ind w:left="210" w:leftChars="100"/>
              <w:rPr>
                <w:rFonts w:hint="eastAsia" w:ascii="仿宋" w:hAnsi="仿宋" w:eastAsia="仿宋" w:cs="仿宋"/>
                <w:color w:val="000000" w:themeColor="text1"/>
                <w:sz w:val="24"/>
                <w:highlight w:val="none"/>
                <w14:textFill>
                  <w14:solidFill>
                    <w14:schemeClr w14:val="tx1"/>
                  </w14:solidFill>
                </w14:textFill>
              </w:rPr>
            </w:pPr>
          </w:p>
        </w:tc>
      </w:tr>
    </w:tbl>
    <w:p>
      <w:pPr>
        <w:spacing w:line="240" w:lineRule="auto"/>
        <w:ind w:left="210" w:leftChars="100"/>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pP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注：本表请按项目的实际技术要求，逐条对应磋商文件第三章《</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服务内容及要求</w:t>
      </w:r>
      <w:r>
        <w:rPr>
          <w:rFonts w:hint="eastAsia" w:ascii="仿宋" w:hAnsi="仿宋" w:eastAsia="仿宋" w:cs="仿宋"/>
          <w:b/>
          <w:bCs/>
          <w:color w:val="000000" w:themeColor="text1"/>
          <w:sz w:val="22"/>
          <w:szCs w:val="22"/>
          <w:highlight w:val="none"/>
          <w:u w:val="none"/>
          <w:lang w:eastAsia="zh-CN"/>
          <w14:textFill>
            <w14:solidFill>
              <w14:schemeClr w14:val="tx1"/>
            </w14:solidFill>
          </w14:textFill>
        </w:rPr>
        <w:t>》</w:t>
      </w:r>
      <w:r>
        <w:rPr>
          <w:rFonts w:hint="eastAsia" w:ascii="仿宋" w:hAnsi="仿宋" w:eastAsia="仿宋" w:cs="仿宋"/>
          <w:b/>
          <w:bCs/>
          <w:color w:val="000000" w:themeColor="text1"/>
          <w:sz w:val="22"/>
          <w:szCs w:val="22"/>
          <w:highlight w:val="none"/>
          <w:u w:val="none"/>
          <w:lang w:val="en-US" w:eastAsia="zh-CN"/>
          <w14:textFill>
            <w14:solidFill>
              <w14:schemeClr w14:val="tx1"/>
            </w14:solidFill>
          </w14:textFill>
        </w:rPr>
        <w:t>认真填写，偏离情况填写：优于、等于或低于，偏离说明对偏离情况做出详细说明。</w:t>
      </w:r>
    </w:p>
    <w:p>
      <w:pPr>
        <w:spacing w:line="440" w:lineRule="exact"/>
        <w:rPr>
          <w:rFonts w:hint="eastAsia" w:ascii="仿宋" w:hAnsi="仿宋" w:eastAsia="仿宋" w:cs="仿宋"/>
          <w:color w:val="000000" w:themeColor="text1"/>
          <w:sz w:val="24"/>
          <w:highlight w:val="none"/>
          <w:lang w:val="zh-CN"/>
          <w14:textFill>
            <w14:solidFill>
              <w14:schemeClr w14:val="tx1"/>
            </w14:solidFill>
          </w14:textFill>
        </w:rPr>
      </w:pP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法定代表人或被授权人（签字或盖章）</w:t>
      </w: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(供应商单位公章)      </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日 期：            </w:t>
      </w:r>
    </w:p>
    <w:p>
      <w:pPr>
        <w:pStyle w:val="41"/>
        <w:ind w:firstLineChars="71"/>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kern w:val="0"/>
          <w:sz w:val="28"/>
          <w:szCs w:val="22"/>
          <w:highlight w:val="none"/>
          <w14:textFill>
            <w14:solidFill>
              <w14:schemeClr w14:val="tx1"/>
            </w14:solidFill>
          </w14:textFill>
        </w:rPr>
        <w:br w:type="page"/>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hint="eastAsia" w:ascii="仿宋" w:hAnsi="仿宋" w:eastAsia="仿宋" w:cs="仿宋"/>
          <w:b/>
          <w:color w:val="000000" w:themeColor="text1"/>
          <w:kern w:val="0"/>
          <w:sz w:val="28"/>
          <w:szCs w:val="22"/>
          <w:highlight w:val="none"/>
          <w:lang w:val="en-US" w:eastAsia="zh-CN"/>
          <w14:textFill>
            <w14:solidFill>
              <w14:schemeClr w14:val="tx1"/>
            </w14:solidFill>
          </w14:textFill>
        </w:rPr>
        <w:t>6</w:t>
      </w:r>
      <w:r>
        <w:rPr>
          <w:rFonts w:hint="eastAsia" w:ascii="仿宋" w:hAnsi="仿宋" w:eastAsia="仿宋" w:cs="仿宋"/>
          <w:b/>
          <w:color w:val="000000" w:themeColor="text1"/>
          <w:szCs w:val="28"/>
          <w:highlight w:val="none"/>
          <w14:textFill>
            <w14:solidFill>
              <w14:schemeClr w14:val="tx1"/>
            </w14:solidFill>
          </w14:textFill>
        </w:rPr>
        <w:t>.资格证明文件</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bookmarkStart w:id="86" w:name="_Toc193126891"/>
      <w:bookmarkStart w:id="87" w:name="_Toc188808842"/>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w:t>
      </w:r>
      <w:r>
        <w:rPr>
          <w:rFonts w:hint="eastAsia" w:ascii="仿宋" w:hAnsi="仿宋" w:eastAsia="仿宋" w:cs="仿宋"/>
          <w:i w:val="0"/>
          <w:iCs w:val="0"/>
          <w:caps w:val="0"/>
          <w:color w:val="000000"/>
          <w:spacing w:val="0"/>
          <w:sz w:val="24"/>
          <w:szCs w:val="24"/>
          <w:highlight w:val="none"/>
          <w:shd w:val="clear" w:color="auto" w:fill="FFFFFF"/>
          <w:lang w:eastAsia="zh-CN"/>
        </w:rPr>
        <w:t>提供具有财务审计资质单位出具的2021年度或2022年度财务报告</w:t>
      </w:r>
      <w:r>
        <w:rPr>
          <w:rFonts w:hint="eastAsia" w:ascii="仿宋" w:hAnsi="仿宋" w:eastAsia="仿宋" w:cs="仿宋"/>
          <w:i w:val="0"/>
          <w:iCs w:val="0"/>
          <w:caps w:val="0"/>
          <w:color w:val="000000"/>
          <w:spacing w:val="0"/>
          <w:sz w:val="24"/>
          <w:szCs w:val="24"/>
          <w:highlight w:val="none"/>
          <w:shd w:val="clear" w:color="auto" w:fill="FFFFFF"/>
        </w:rPr>
        <w:t xml:space="preserve">（成立时间至磋商时间不足一年的可提供成立后任意时段的资产负债表）或磋商前六个月内其基本账户银行出具的资信证明（附开户许可证或基本账户证明）或政府采购信用担保机构出具的磋商担保函。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税收缴纳证明：提供2022年1月1日至今任意一个月已缴纳的纳税证明或完税证明（包含增值税、企业所得税、营业税至少一种）；（依法免税的供应商应提供相关文件证明）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spacing w:line="56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（2）、特定资格条件：</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1、法定代表人或负责人参与磋商时需提供法定代表人或负责人资格证明书（附法定代表人或负责人身份证复印件）；（法定代表人或负责人须提供身份证原件，身份证原件可由本人持有）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widowControl/>
        <w:spacing w:line="560" w:lineRule="exact"/>
        <w:ind w:right="-197" w:rightChars="-94" w:firstLine="480" w:firstLineChars="200"/>
        <w:jc w:val="left"/>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2、被授权人参与磋商时需提供法定代表人或负责人授权委托书（附法定代表人或负责人及被授权人身份证复印件）；（被授权人须提供身份证原件，身份证原件可由本人持有）</w:t>
      </w:r>
      <w:r>
        <w:rPr>
          <w:rFonts w:hint="eastAsia" w:ascii="仿宋" w:hAnsi="仿宋" w:eastAsia="仿宋" w:cs="仿宋"/>
          <w:b/>
          <w:bCs/>
          <w:color w:val="000000" w:themeColor="text1"/>
          <w:sz w:val="24"/>
          <w:highlight w:val="none"/>
          <w:lang w:eastAsia="zh-CN"/>
          <w14:textFill>
            <w14:solidFill>
              <w14:schemeClr w14:val="tx1"/>
            </w14:solidFill>
          </w14:textFill>
        </w:rPr>
        <w:t>（格式后附）</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、单位负责人为同一人或者存在直接控股、管理关系的不同供应商，不得参加同一合同项下的政府采购活动；（提供书面承诺函，格式自拟加盖供应商公章）</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5、本项目专门面向中小企业采购；须符合《政府采购促进中小企业发展管理办法》（财库〔2020〕46号）规定的中小企业参加；(提供《中小企业声明函》，式样见竞争性磋商响应文件格式)</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6、供应商须具备CMA检验检测机构资质认定证书；</w:t>
      </w: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lang w:val="en-US" w:eastAsia="zh-CN"/>
          <w14:textFill>
            <w14:solidFill>
              <w14:schemeClr w14:val="tx1"/>
            </w14:solidFill>
          </w14:textFill>
        </w:rPr>
      </w:pPr>
    </w:p>
    <w:p>
      <w:pPr>
        <w:widowControl/>
        <w:spacing w:line="5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p>
    <w:p>
      <w:pPr>
        <w:pStyle w:val="2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b/>
          <w:color w:val="000000" w:themeColor="text1"/>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法定代表人资格证明书</w:t>
      </w:r>
    </w:p>
    <w:tbl>
      <w:tblPr>
        <w:tblStyle w:val="24"/>
        <w:tblW w:w="10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470"/>
        <w:gridCol w:w="1965"/>
        <w:gridCol w:w="1336"/>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lang w:eastAsia="zh-CN"/>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w:t>
            </w:r>
            <w:r>
              <w:rPr>
                <w:rFonts w:hint="eastAsia" w:ascii="仿宋" w:hAnsi="仿宋" w:eastAsia="仿宋" w:cs="仿宋"/>
                <w:bCs/>
                <w:caps/>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8538" w:type="dxa"/>
            <w:gridSpan w:val="4"/>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   限</w:t>
            </w:r>
          </w:p>
        </w:tc>
        <w:tc>
          <w:tcPr>
            <w:tcW w:w="8538" w:type="dxa"/>
            <w:gridSpan w:val="4"/>
            <w:vAlign w:val="center"/>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有效期</w:t>
            </w:r>
          </w:p>
        </w:tc>
        <w:tc>
          <w:tcPr>
            <w:tcW w:w="8538" w:type="dxa"/>
            <w:gridSpan w:val="4"/>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w:t>
            </w:r>
          </w:p>
          <w:p>
            <w:pPr>
              <w:tabs>
                <w:tab w:val="right" w:leader="dot" w:pos="9022"/>
              </w:tabs>
              <w:autoSpaceDE w:val="0"/>
              <w:autoSpaceDN w:val="0"/>
              <w:adjustRightInd w:val="0"/>
              <w:spacing w:line="500" w:lineRule="exact"/>
              <w:ind w:firstLine="240" w:firstLineChars="100"/>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信息</w:t>
            </w: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工商登记机关</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网        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表人</w:t>
            </w: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    名</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    务</w:t>
            </w:r>
          </w:p>
        </w:tc>
        <w:tc>
          <w:tcPr>
            <w:tcW w:w="196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36"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联系电话</w:t>
            </w:r>
          </w:p>
        </w:tc>
        <w:tc>
          <w:tcPr>
            <w:tcW w:w="2767"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传    真</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621" w:type="dxa"/>
            <w:vMerge w:val="continue"/>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2470" w:type="dxa"/>
          </w:tcPr>
          <w:p>
            <w:pPr>
              <w:tabs>
                <w:tab w:val="right" w:leader="dot" w:pos="9022"/>
              </w:tabs>
              <w:autoSpaceDE w:val="0"/>
              <w:autoSpaceDN w:val="0"/>
              <w:adjustRightInd w:val="0"/>
              <w:spacing w:line="500" w:lineRule="exact"/>
              <w:ind w:firstLine="240" w:firstLineChars="100"/>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6068" w:type="dxa"/>
            <w:gridSpan w:val="3"/>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center"/>
              <w:rPr>
                <w:rFonts w:hint="eastAsia" w:ascii="仿宋" w:hAnsi="仿宋" w:eastAsia="仿宋" w:cs="仿宋"/>
                <w:color w:val="000000" w:themeColor="text1"/>
                <w:spacing w:val="-4"/>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color w:val="000000" w:themeColor="text1"/>
                <w:spacing w:val="-4"/>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0159"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r>
    </w:tbl>
    <w:p>
      <w:pPr>
        <w:pStyle w:val="41"/>
        <w:ind w:firstLine="0" w:firstLineChars="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供应商名称：</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（供应商单位公章）   日 期：</w:t>
      </w:r>
    </w:p>
    <w:p>
      <w:pPr>
        <w:rPr>
          <w:rFonts w:hint="eastAsia" w:ascii="仿宋" w:hAnsi="仿宋" w:eastAsia="仿宋" w:cs="仿宋"/>
          <w:color w:val="000000" w:themeColor="text1"/>
          <w:kern w:val="0"/>
          <w:sz w:val="24"/>
          <w:highlight w:val="none"/>
          <w:u w:val="none"/>
          <w14:textFill>
            <w14:solidFill>
              <w14:schemeClr w14:val="tx1"/>
            </w14:solidFill>
          </w14:textFill>
        </w:rPr>
      </w:pPr>
    </w:p>
    <w:p>
      <w:pPr>
        <w:ind w:firstLine="723" w:firstLineChars="300"/>
        <w:rPr>
          <w:rFonts w:hint="eastAsia" w:ascii="仿宋" w:hAnsi="仿宋" w:eastAsia="仿宋" w:cs="仿宋"/>
          <w:b/>
          <w:bCs/>
          <w:color w:val="000000" w:themeColor="text1"/>
          <w:kern w:val="0"/>
          <w:sz w:val="24"/>
          <w:highlight w:val="none"/>
          <w:u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（法定代表人直接投标，只须提供法定代表人证明书及身份证原件）</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p>
    <w:p>
      <w:pPr>
        <w:spacing w:line="480" w:lineRule="exact"/>
        <w:ind w:left="210" w:leftChars="100"/>
        <w:jc w:val="center"/>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法定代表人授权委托书</w:t>
      </w:r>
    </w:p>
    <w:tbl>
      <w:tblPr>
        <w:tblStyle w:val="24"/>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355"/>
        <w:gridCol w:w="1134"/>
        <w:gridCol w:w="708"/>
        <w:gridCol w:w="851"/>
        <w:gridCol w:w="1559"/>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95" w:type="dxa"/>
            <w:gridSpan w:val="7"/>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lang w:eastAsia="zh-CN"/>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致：</w:t>
            </w:r>
            <w:r>
              <w:rPr>
                <w:rFonts w:hint="eastAsia" w:ascii="仿宋" w:hAnsi="仿宋" w:eastAsia="仿宋" w:cs="仿宋"/>
                <w:bCs/>
                <w:caps/>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权项</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目与</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内容</w:t>
            </w: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项目名称</w:t>
            </w:r>
          </w:p>
        </w:tc>
        <w:tc>
          <w:tcPr>
            <w:tcW w:w="7138" w:type="dxa"/>
            <w:gridSpan w:val="5"/>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文件编号</w:t>
            </w:r>
          </w:p>
        </w:tc>
        <w:tc>
          <w:tcPr>
            <w:tcW w:w="7138" w:type="dxa"/>
            <w:gridSpan w:val="5"/>
          </w:tcPr>
          <w:p>
            <w:pPr>
              <w:tabs>
                <w:tab w:val="right" w:leader="dot" w:pos="9022"/>
              </w:tabs>
              <w:autoSpaceDE w:val="0"/>
              <w:autoSpaceDN w:val="0"/>
              <w:adjustRightInd w:val="0"/>
              <w:spacing w:line="500" w:lineRule="exact"/>
              <w:ind w:firstLine="1200" w:firstLineChars="500"/>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授权范围</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全权办理本次采购项目的磋商、联系、洽谈、签约、执行等具体事务，签署全部有关文件、文书、协议及合同。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法律责任</w:t>
            </w:r>
          </w:p>
        </w:tc>
        <w:tc>
          <w:tcPr>
            <w:tcW w:w="7138" w:type="dxa"/>
            <w:gridSpan w:val="5"/>
          </w:tcPr>
          <w:p>
            <w:pPr>
              <w:tabs>
                <w:tab w:val="right" w:leader="dot" w:pos="9022"/>
              </w:tabs>
              <w:autoSpaceDE w:val="0"/>
              <w:autoSpaceDN w:val="0"/>
              <w:adjustRightInd w:val="0"/>
              <w:spacing w:line="4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授权期限</w:t>
            </w:r>
          </w:p>
        </w:tc>
        <w:tc>
          <w:tcPr>
            <w:tcW w:w="7138" w:type="dxa"/>
            <w:gridSpan w:val="5"/>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本授权书自提交磋商响应文件的截止之日起90个日历日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企业信息</w:t>
            </w: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 xml:space="preserve">企 业 名 称 </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 定 地 址</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2489" w:type="dxa"/>
            <w:gridSpan w:val="2"/>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营业执照注册证号</w:t>
            </w:r>
          </w:p>
        </w:tc>
        <w:tc>
          <w:tcPr>
            <w:tcW w:w="6004" w:type="dxa"/>
            <w:gridSpan w:val="4"/>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vAlign w:val="center"/>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restart"/>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w:t>
            </w: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姓名</w:t>
            </w:r>
          </w:p>
        </w:tc>
        <w:tc>
          <w:tcPr>
            <w:tcW w:w="2693"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性    别</w:t>
            </w:r>
          </w:p>
        </w:tc>
        <w:tc>
          <w:tcPr>
            <w:tcW w:w="2886"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Merge w:val="continue"/>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1355" w:type="dxa"/>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职务</w:t>
            </w:r>
          </w:p>
        </w:tc>
        <w:tc>
          <w:tcPr>
            <w:tcW w:w="2693" w:type="dxa"/>
            <w:gridSpan w:val="3"/>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p>
        </w:tc>
        <w:tc>
          <w:tcPr>
            <w:tcW w:w="1559" w:type="dxa"/>
            <w:vAlign w:val="center"/>
          </w:tcPr>
          <w:p>
            <w:pPr>
              <w:tabs>
                <w:tab w:val="right" w:leader="dot" w:pos="9022"/>
              </w:tabs>
              <w:autoSpaceDE w:val="0"/>
              <w:autoSpaceDN w:val="0"/>
              <w:adjustRightInd w:val="0"/>
              <w:spacing w:line="4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手机号码</w:t>
            </w:r>
          </w:p>
        </w:tc>
        <w:tc>
          <w:tcPr>
            <w:tcW w:w="2886" w:type="dxa"/>
          </w:tcPr>
          <w:p>
            <w:pPr>
              <w:tabs>
                <w:tab w:val="right" w:leader="dot" w:pos="9022"/>
              </w:tabs>
              <w:autoSpaceDE w:val="0"/>
              <w:autoSpaceDN w:val="0"/>
              <w:adjustRightInd w:val="0"/>
              <w:spacing w:line="400" w:lineRule="exac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通讯地址</w:t>
            </w:r>
          </w:p>
        </w:tc>
        <w:tc>
          <w:tcPr>
            <w:tcW w:w="8493" w:type="dxa"/>
            <w:gridSpan w:val="6"/>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6" w:hRule="atLeast"/>
          <w:jc w:val="center"/>
        </w:trPr>
        <w:tc>
          <w:tcPr>
            <w:tcW w:w="4899" w:type="dxa"/>
            <w:gridSpan w:val="4"/>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c>
          <w:tcPr>
            <w:tcW w:w="5296" w:type="dxa"/>
            <w:gridSpan w:val="3"/>
            <w:vAlign w:val="center"/>
          </w:tcPr>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被授权人身份证复印件</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二代身份证正、反两面都需复印</w:t>
            </w:r>
          </w:p>
          <w:p>
            <w:pPr>
              <w:tabs>
                <w:tab w:val="right" w:leader="dot" w:pos="9022"/>
              </w:tabs>
              <w:autoSpaceDE w:val="0"/>
              <w:autoSpaceDN w:val="0"/>
              <w:adjustRightInd w:val="0"/>
              <w:spacing w:line="500" w:lineRule="exact"/>
              <w:jc w:val="center"/>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（粘贴处）</w:t>
            </w:r>
          </w:p>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899" w:type="dxa"/>
            <w:gridSpan w:val="4"/>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法定代表人签字或盖章：</w:t>
            </w:r>
          </w:p>
        </w:tc>
        <w:tc>
          <w:tcPr>
            <w:tcW w:w="5296" w:type="dxa"/>
            <w:gridSpan w:val="3"/>
            <w:tcBorders>
              <w:bottom w:val="single" w:color="auto" w:sz="4" w:space="0"/>
            </w:tcBorders>
            <w:vAlign w:val="center"/>
          </w:tcPr>
          <w:p>
            <w:pPr>
              <w:tabs>
                <w:tab w:val="right" w:leader="dot" w:pos="9022"/>
              </w:tabs>
              <w:autoSpaceDE w:val="0"/>
              <w:autoSpaceDN w:val="0"/>
              <w:adjustRightInd w:val="0"/>
              <w:spacing w:line="500" w:lineRule="exact"/>
              <w:jc w:val="lef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被授权人签字或盖章：</w:t>
            </w:r>
          </w:p>
        </w:tc>
      </w:tr>
    </w:tbl>
    <w:p>
      <w:pPr>
        <w:autoSpaceDE w:val="0"/>
        <w:autoSpaceDN w:val="0"/>
        <w:adjustRightInd w:val="0"/>
        <w:snapToGrid w:val="0"/>
        <w:spacing w:line="480" w:lineRule="exact"/>
        <w:rPr>
          <w:rFonts w:hint="eastAsia" w:ascii="仿宋" w:hAnsi="仿宋" w:eastAsia="仿宋" w:cs="仿宋"/>
          <w:bCs/>
          <w:caps/>
          <w:color w:val="000000" w:themeColor="text1"/>
          <w:sz w:val="24"/>
          <w:highlight w:val="none"/>
          <w14:textFill>
            <w14:solidFill>
              <w14:schemeClr w14:val="tx1"/>
            </w14:solidFill>
          </w14:textFill>
        </w:rPr>
      </w:pPr>
      <w:r>
        <w:rPr>
          <w:rFonts w:hint="eastAsia" w:ascii="仿宋" w:hAnsi="仿宋" w:eastAsia="仿宋" w:cs="仿宋"/>
          <w:bCs/>
          <w:caps/>
          <w:color w:val="000000" w:themeColor="text1"/>
          <w:sz w:val="24"/>
          <w:highlight w:val="none"/>
          <w14:textFill>
            <w14:solidFill>
              <w14:schemeClr w14:val="tx1"/>
            </w14:solidFill>
          </w14:textFill>
        </w:rPr>
        <w:t>供应商名称：</w:t>
      </w:r>
      <w:r>
        <w:rPr>
          <w:rFonts w:hint="eastAsia" w:ascii="仿宋" w:hAnsi="仿宋" w:eastAsia="仿宋" w:cs="仿宋"/>
          <w:bCs/>
          <w:caps/>
          <w:color w:val="000000" w:themeColor="text1"/>
          <w:sz w:val="24"/>
          <w:highlight w:val="none"/>
          <w:u w:val="single"/>
          <w14:textFill>
            <w14:solidFill>
              <w14:schemeClr w14:val="tx1"/>
            </w14:solidFill>
          </w14:textFill>
        </w:rPr>
        <w:t xml:space="preserve">             </w:t>
      </w:r>
      <w:r>
        <w:rPr>
          <w:rFonts w:hint="eastAsia" w:ascii="仿宋" w:hAnsi="仿宋" w:eastAsia="仿宋" w:cs="仿宋"/>
          <w:bCs/>
          <w:caps/>
          <w:color w:val="000000" w:themeColor="text1"/>
          <w:sz w:val="24"/>
          <w:highlight w:val="none"/>
          <w14:textFill>
            <w14:solidFill>
              <w14:schemeClr w14:val="tx1"/>
            </w14:solidFill>
          </w14:textFill>
        </w:rPr>
        <w:t xml:space="preserve">（供应商单位公章）     日 期：  </w:t>
      </w:r>
    </w:p>
    <w:p>
      <w:pPr>
        <w:pStyle w:val="41"/>
        <w:ind w:firstLine="0" w:firstLineChars="0"/>
        <w:rPr>
          <w:rFonts w:hint="eastAsia" w:ascii="仿宋" w:hAnsi="仿宋" w:eastAsia="仿宋" w:cs="仿宋"/>
          <w:color w:val="000000" w:themeColor="text1"/>
          <w:kern w:val="0"/>
          <w:sz w:val="24"/>
          <w:highlight w:val="none"/>
          <w:u w:val="none"/>
          <w14:textFill>
            <w14:solidFill>
              <w14:schemeClr w14:val="tx1"/>
            </w14:solidFill>
          </w14:textFill>
        </w:rPr>
      </w:pPr>
    </w:p>
    <w:p>
      <w:pPr>
        <w:pStyle w:val="41"/>
        <w:ind w:firstLine="482"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u w:val="none"/>
          <w14:textFill>
            <w14:solidFill>
              <w14:schemeClr w14:val="tx1"/>
            </w14:solidFill>
          </w14:textFill>
        </w:rPr>
        <w:t>（</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被授权人投标时</w:t>
      </w:r>
      <w:r>
        <w:rPr>
          <w:rFonts w:hint="eastAsia" w:ascii="仿宋" w:hAnsi="仿宋" w:eastAsia="仿宋" w:cs="仿宋"/>
          <w:b/>
          <w:bCs/>
          <w:color w:val="000000" w:themeColor="text1"/>
          <w:kern w:val="0"/>
          <w:sz w:val="24"/>
          <w:highlight w:val="none"/>
          <w:u w:val="none"/>
          <w14:textFill>
            <w14:solidFill>
              <w14:schemeClr w14:val="tx1"/>
            </w14:solidFill>
          </w14:textFill>
        </w:rPr>
        <w:t>，须提供</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法定代表人授权委托书</w:t>
      </w:r>
      <w:r>
        <w:rPr>
          <w:rFonts w:hint="eastAsia" w:ascii="仿宋" w:hAnsi="仿宋" w:eastAsia="仿宋" w:cs="仿宋"/>
          <w:b/>
          <w:bCs/>
          <w:color w:val="000000" w:themeColor="text1"/>
          <w:kern w:val="0"/>
          <w:sz w:val="24"/>
          <w:highlight w:val="none"/>
          <w:u w:val="none"/>
          <w14:textFill>
            <w14:solidFill>
              <w14:schemeClr w14:val="tx1"/>
            </w14:solidFill>
          </w14:textFill>
        </w:rPr>
        <w:t>及</w:t>
      </w:r>
      <w:r>
        <w:rPr>
          <w:rFonts w:hint="eastAsia" w:ascii="仿宋" w:hAnsi="仿宋" w:eastAsia="仿宋" w:cs="仿宋"/>
          <w:b/>
          <w:bCs/>
          <w:color w:val="000000" w:themeColor="text1"/>
          <w:kern w:val="0"/>
          <w:sz w:val="24"/>
          <w:highlight w:val="none"/>
          <w:u w:val="none"/>
          <w:lang w:eastAsia="zh-CN"/>
          <w14:textFill>
            <w14:solidFill>
              <w14:schemeClr w14:val="tx1"/>
            </w14:solidFill>
          </w14:textFill>
        </w:rPr>
        <w:t>被授权人身份证</w:t>
      </w:r>
      <w:r>
        <w:rPr>
          <w:rFonts w:hint="eastAsia" w:ascii="仿宋" w:hAnsi="仿宋" w:eastAsia="仿宋" w:cs="仿宋"/>
          <w:b/>
          <w:bCs/>
          <w:color w:val="000000" w:themeColor="text1"/>
          <w:kern w:val="0"/>
          <w:sz w:val="24"/>
          <w:highlight w:val="none"/>
          <w:u w:val="none"/>
          <w14:textFill>
            <w14:solidFill>
              <w14:schemeClr w14:val="tx1"/>
            </w14:solidFill>
          </w14:textFill>
        </w:rPr>
        <w:t>原件）</w:t>
      </w:r>
    </w:p>
    <w:p>
      <w:pPr>
        <w:pStyle w:val="41"/>
        <w:ind w:firstLine="562"/>
        <w:rPr>
          <w:rFonts w:hint="eastAsia" w:ascii="仿宋" w:hAnsi="仿宋" w:eastAsia="仿宋" w:cs="仿宋"/>
          <w:b/>
          <w:color w:val="000000" w:themeColor="text1"/>
          <w:highlight w:val="none"/>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7</w:t>
      </w:r>
      <w:r>
        <w:rPr>
          <w:rFonts w:hint="eastAsia" w:ascii="仿宋" w:hAnsi="仿宋" w:eastAsia="仿宋" w:cs="仿宋"/>
          <w:b/>
          <w:color w:val="000000" w:themeColor="text1"/>
          <w:highlight w:val="none"/>
          <w:lang w:eastAsia="zh-CN"/>
          <w14:textFill>
            <w14:solidFill>
              <w14:schemeClr w14:val="tx1"/>
            </w14:solidFill>
          </w14:textFill>
        </w:rPr>
        <w:t>、2020年1月1日</w:t>
      </w:r>
      <w:r>
        <w:rPr>
          <w:rFonts w:hint="eastAsia" w:ascii="仿宋" w:hAnsi="仿宋" w:eastAsia="仿宋" w:cs="仿宋"/>
          <w:b/>
          <w:color w:val="000000" w:themeColor="text1"/>
          <w:highlight w:val="none"/>
          <w14:textFill>
            <w14:solidFill>
              <w14:schemeClr w14:val="tx1"/>
            </w14:solidFill>
          </w14:textFill>
        </w:rPr>
        <w:t>至今</w:t>
      </w:r>
      <w:r>
        <w:rPr>
          <w:rFonts w:hint="eastAsia" w:ascii="仿宋" w:hAnsi="仿宋" w:eastAsia="仿宋" w:cs="仿宋"/>
          <w:b/>
          <w:color w:val="000000" w:themeColor="text1"/>
          <w:highlight w:val="none"/>
          <w:lang w:val="en-US" w:eastAsia="zh-CN"/>
          <w14:textFill>
            <w14:solidFill>
              <w14:schemeClr w14:val="tx1"/>
            </w14:solidFill>
          </w14:textFill>
        </w:rPr>
        <w:t>同类项目业绩</w:t>
      </w:r>
      <w:r>
        <w:rPr>
          <w:rFonts w:hint="eastAsia" w:ascii="仿宋" w:hAnsi="仿宋" w:eastAsia="仿宋" w:cs="仿宋"/>
          <w:b/>
          <w:color w:val="000000" w:themeColor="text1"/>
          <w:highlight w:val="none"/>
          <w14:textFill>
            <w14:solidFill>
              <w14:schemeClr w14:val="tx1"/>
            </w14:solidFill>
          </w14:textFill>
        </w:rPr>
        <w:t>（提供合同复印件加盖公章）</w:t>
      </w: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8、服务方案</w:t>
      </w: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9、人员及服务能力</w:t>
      </w: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10、质量保证承诺</w:t>
      </w: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11、合理化建议</w:t>
      </w: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12、履约承诺</w:t>
      </w: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13、服务承诺</w:t>
      </w: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bookmarkStart w:id="88" w:name="_Toc193187111"/>
      <w:bookmarkStart w:id="89" w:name="_Toc188808855"/>
      <w:bookmarkStart w:id="90" w:name="_Toc194663942"/>
      <w:bookmarkStart w:id="91" w:name="_Toc193126905"/>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p>
    <w:p>
      <w:pPr>
        <w:pStyle w:val="41"/>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14</w:t>
      </w:r>
      <w:r>
        <w:rPr>
          <w:rFonts w:hint="eastAsia" w:ascii="仿宋" w:hAnsi="仿宋" w:eastAsia="仿宋" w:cs="仿宋"/>
          <w:b/>
          <w:color w:val="000000" w:themeColor="text1"/>
          <w:highlight w:val="none"/>
          <w:lang w:eastAsia="zh-CN"/>
          <w14:textFill>
            <w14:solidFill>
              <w14:schemeClr w14:val="tx1"/>
            </w14:solidFill>
          </w14:textFill>
        </w:rPr>
        <w:t>、</w:t>
      </w:r>
      <w:r>
        <w:rPr>
          <w:rFonts w:hint="eastAsia" w:ascii="仿宋" w:hAnsi="仿宋" w:eastAsia="仿宋" w:cs="仿宋"/>
          <w:b/>
          <w:color w:val="000000" w:themeColor="text1"/>
          <w:highlight w:val="none"/>
          <w14:textFill>
            <w14:solidFill>
              <w14:schemeClr w14:val="tx1"/>
            </w14:solidFill>
          </w14:textFill>
        </w:rPr>
        <w:t>供应商认为有必要说明的事宜</w:t>
      </w: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spacing w:line="480" w:lineRule="exact"/>
        <w:outlineLvl w:val="1"/>
        <w:rPr>
          <w:rFonts w:hint="eastAsia" w:ascii="仿宋" w:hAnsi="仿宋" w:eastAsia="仿宋" w:cs="仿宋"/>
          <w:b/>
          <w:color w:val="000000" w:themeColor="text1"/>
          <w:sz w:val="28"/>
          <w:szCs w:val="28"/>
          <w:highlight w:val="none"/>
          <w14:textFill>
            <w14:solidFill>
              <w14:schemeClr w14:val="tx1"/>
            </w14:solidFill>
          </w14:textFill>
        </w:rPr>
      </w:pPr>
    </w:p>
    <w:p>
      <w:pPr>
        <w:pStyle w:val="38"/>
        <w:ind w:left="0" w:leftChars="0" w:firstLine="0" w:firstLineChars="0"/>
        <w:rPr>
          <w:rFonts w:hint="eastAsia" w:ascii="仿宋" w:hAnsi="仿宋" w:eastAsia="仿宋" w:cs="仿宋"/>
          <w:color w:val="000000" w:themeColor="text1"/>
          <w:highlight w:val="none"/>
          <w14:textFill>
            <w14:solidFill>
              <w14:schemeClr w14:val="tx1"/>
            </w14:solidFill>
          </w14:textFill>
        </w:rPr>
      </w:pPr>
    </w:p>
    <w:p>
      <w:pPr>
        <w:pStyle w:val="41"/>
        <w:ind w:left="0" w:leftChars="0" w:firstLine="0" w:firstLineChars="0"/>
        <w:rPr>
          <w:rFonts w:hint="eastAsia" w:ascii="仿宋" w:hAnsi="仿宋" w:eastAsia="仿宋" w:cs="仿宋"/>
          <w:b/>
          <w:color w:val="000000" w:themeColor="text1"/>
          <w:szCs w:val="28"/>
          <w:highlight w:val="none"/>
          <w14:textFill>
            <w14:solidFill>
              <w14:schemeClr w14:val="tx1"/>
            </w14:solidFill>
          </w14:textFill>
        </w:rPr>
      </w:pPr>
      <w:r>
        <w:rPr>
          <w:rFonts w:hint="eastAsia" w:ascii="仿宋" w:hAnsi="仿宋" w:eastAsia="仿宋" w:cs="仿宋"/>
          <w:b/>
          <w:color w:val="000000" w:themeColor="text1"/>
          <w:szCs w:val="28"/>
          <w:highlight w:val="none"/>
          <w14:textFill>
            <w14:solidFill>
              <w14:schemeClr w14:val="tx1"/>
            </w14:solidFill>
          </w14:textFill>
        </w:rPr>
        <w:t>1</w:t>
      </w:r>
      <w:r>
        <w:rPr>
          <w:rFonts w:hint="eastAsia" w:ascii="仿宋" w:hAnsi="仿宋" w:eastAsia="仿宋" w:cs="仿宋"/>
          <w:b/>
          <w:color w:val="000000" w:themeColor="text1"/>
          <w:szCs w:val="28"/>
          <w:highlight w:val="none"/>
          <w:lang w:val="en-US" w:eastAsia="zh-CN"/>
          <w14:textFill>
            <w14:solidFill>
              <w14:schemeClr w14:val="tx1"/>
            </w14:solidFill>
          </w14:textFill>
        </w:rPr>
        <w:t>5</w:t>
      </w:r>
      <w:r>
        <w:rPr>
          <w:rFonts w:hint="eastAsia" w:ascii="仿宋" w:hAnsi="仿宋" w:eastAsia="仿宋" w:cs="仿宋"/>
          <w:b/>
          <w:color w:val="000000" w:themeColor="text1"/>
          <w:szCs w:val="28"/>
          <w:highlight w:val="none"/>
          <w:lang w:eastAsia="zh-CN"/>
          <w14:textFill>
            <w14:solidFill>
              <w14:schemeClr w14:val="tx1"/>
            </w14:solidFill>
          </w14:textFill>
        </w:rPr>
        <w:t>、供应商</w:t>
      </w:r>
      <w:r>
        <w:rPr>
          <w:rFonts w:hint="eastAsia" w:ascii="仿宋" w:hAnsi="仿宋" w:eastAsia="仿宋" w:cs="仿宋"/>
          <w:b/>
          <w:color w:val="000000" w:themeColor="text1"/>
          <w:szCs w:val="28"/>
          <w:highlight w:val="none"/>
          <w14:textFill>
            <w14:solidFill>
              <w14:schemeClr w14:val="tx1"/>
            </w14:solidFill>
          </w14:textFill>
        </w:rPr>
        <w:t>承诺书</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w:t>
      </w:r>
      <w:r>
        <w:rPr>
          <w:rFonts w:hint="eastAsia" w:ascii="仿宋" w:hAnsi="仿宋" w:eastAsia="仿宋" w:cs="仿宋"/>
          <w:b w:val="0"/>
          <w:bCs/>
          <w:color w:val="000000" w:themeColor="text1"/>
          <w:sz w:val="24"/>
          <w:szCs w:val="24"/>
          <w:highlight w:val="none"/>
          <w14:textFill>
            <w14:solidFill>
              <w14:schemeClr w14:val="tx1"/>
            </w14:solidFill>
          </w14:textFill>
        </w:rPr>
        <w:t> </w:t>
      </w:r>
    </w:p>
    <w:p>
      <w:pPr>
        <w:widowControl/>
        <w:spacing w:line="480" w:lineRule="exact"/>
        <w:jc w:val="left"/>
        <w:rPr>
          <w:rFonts w:hint="eastAsia" w:ascii="仿宋" w:hAnsi="仿宋" w:eastAsia="仿宋" w:cs="仿宋"/>
          <w:b/>
          <w:color w:val="000000" w:themeColor="text1"/>
          <w:kern w:val="0"/>
          <w:highlight w:val="none"/>
          <w14:textFill>
            <w14:solidFill>
              <w14:schemeClr w14:val="tx1"/>
            </w14:solidFill>
          </w14:textFill>
        </w:rPr>
      </w:pP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陕西省政府采购供应商</w:t>
      </w:r>
    </w:p>
    <w:p>
      <w:pPr>
        <w:widowControl/>
        <w:spacing w:line="40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14:textFill>
            <w14:solidFill>
              <w14:schemeClr w14:val="tx1"/>
            </w14:solidFill>
          </w14:textFill>
        </w:rPr>
        <w:t>拒绝政府采购领域商业贿赂承诺书Ⅰ</w:t>
      </w:r>
    </w:p>
    <w:p>
      <w:pPr>
        <w:widowControl/>
        <w:spacing w:line="400" w:lineRule="exact"/>
        <w:ind w:firstLine="480" w:firstLineChars="200"/>
        <w:jc w:val="left"/>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为响应党中央、国务院关于治理政府采购领域商业贿赂行为的号召</w:t>
      </w:r>
      <w:r>
        <w:rPr>
          <w:rFonts w:hint="eastAsia" w:ascii="仿宋" w:hAnsi="仿宋" w:eastAsia="仿宋" w:cs="仿宋"/>
          <w:color w:val="000000" w:themeColor="text1"/>
          <w:kern w:val="0"/>
          <w:sz w:val="24"/>
          <w:highlight w:val="none"/>
          <w14:textFill>
            <w14:solidFill>
              <w14:schemeClr w14:val="tx1"/>
            </w14:solidFill>
          </w14:textFill>
        </w:rPr>
        <w:t xml:space="preserve">，我单位作为     </w:t>
      </w:r>
      <w:r>
        <w:rPr>
          <w:rFonts w:hint="eastAsia" w:ascii="仿宋" w:hAnsi="仿宋" w:eastAsia="仿宋" w:cs="仿宋"/>
          <w:color w:val="000000" w:themeColor="text1"/>
          <w:kern w:val="0"/>
          <w:sz w:val="24"/>
          <w:highlight w:val="none"/>
          <w:u w:val="single"/>
          <w14:textFill>
            <w14:solidFill>
              <w14:schemeClr w14:val="tx1"/>
            </w14:solidFill>
          </w14:textFill>
        </w:rPr>
        <w:t xml:space="preserve">（项目名称）         </w:t>
      </w:r>
      <w:r>
        <w:rPr>
          <w:rFonts w:hint="eastAsia" w:ascii="仿宋" w:hAnsi="仿宋" w:eastAsia="仿宋" w:cs="仿宋"/>
          <w:color w:val="000000" w:themeColor="text1"/>
          <w:kern w:val="0"/>
          <w:sz w:val="24"/>
          <w:highlight w:val="none"/>
          <w14:textFill>
            <w14:solidFill>
              <w14:schemeClr w14:val="tx1"/>
            </w14:solidFill>
          </w14:textFill>
        </w:rPr>
        <w:t xml:space="preserve"> 的供应商，</w:t>
      </w:r>
      <w:r>
        <w:rPr>
          <w:rFonts w:hint="eastAsia" w:ascii="仿宋" w:hAnsi="仿宋" w:eastAsia="仿宋" w:cs="仿宋"/>
          <w:color w:val="000000" w:themeColor="text1"/>
          <w:sz w:val="24"/>
          <w:highlight w:val="none"/>
          <w14:textFill>
            <w14:solidFill>
              <w14:schemeClr w14:val="tx1"/>
            </w14:solidFill>
          </w14:textFill>
        </w:rPr>
        <w:t xml:space="preserve">在此庄严承诺：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1、在参与政府采购活动中遵纪守法、诚信经营、公平竞标。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2、不向采购人、采购代理机构和政府采购评审专家进行任何形式的商业贿赂以谋取交易机会。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3、不向政府采购采购代理机构和采购人提供虚假资质文件或采用虚假应标方式参与政府采购市场竞争并谋取成交。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4、不采取“围标、陪标”等商业欺诈手段获得政府采购定单。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5、不采取不正当手段低毁、排挤其他供应商。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6、不在提供商品和服务时“偷梁换柱、以次充好”损害采购人的合法权益。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7、不与采购人、采购代理机构政府采购评审专家或其它供应商恶意串通，进行质疑和投诉，维护政府采购市场秩序。 </w:t>
      </w:r>
    </w:p>
    <w:p>
      <w:pPr>
        <w:widowControl/>
        <w:spacing w:line="480" w:lineRule="exact"/>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8、尊重和接受政府采购监督管理部门的监督和政府采购代理机构采购要求，承担因违约行为给采购人造成的损失。 </w:t>
      </w:r>
    </w:p>
    <w:p>
      <w:pPr>
        <w:widowControl/>
        <w:spacing w:line="480" w:lineRule="exact"/>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9、不发生其他有悖于政府采购公开、公平、公正和诚信原则的行为。 </w:t>
      </w: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p>
    <w:p>
      <w:pPr>
        <w:widowControl/>
        <w:spacing w:line="480" w:lineRule="exact"/>
        <w:ind w:firstLine="480" w:firstLineChars="200"/>
        <w:rPr>
          <w:rFonts w:hint="eastAsia" w:ascii="仿宋" w:hAnsi="仿宋" w:eastAsia="仿宋" w:cs="仿宋"/>
          <w:color w:val="000000" w:themeColor="text1"/>
          <w:kern w:val="0"/>
          <w:sz w:val="24"/>
          <w:highlight w:val="none"/>
          <w:lang w:eastAsia="zh-CN"/>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承诺单位：</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（盖章） </w:t>
      </w:r>
    </w:p>
    <w:p>
      <w:pPr>
        <w:widowControl/>
        <w:spacing w:line="480" w:lineRule="exact"/>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全权代表：</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（签字）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地　　址：</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widowControl/>
        <w:spacing w:line="480" w:lineRule="exact"/>
        <w:ind w:firstLine="240" w:firstLineChars="100"/>
        <w:rPr>
          <w:rFonts w:hint="eastAsia" w:ascii="仿宋" w:hAnsi="仿宋" w:eastAsia="仿宋" w:cs="仿宋"/>
          <w:color w:val="000000" w:themeColor="text1"/>
          <w:kern w:val="0"/>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邮    编：</w:t>
      </w:r>
      <w:r>
        <w:rPr>
          <w:rFonts w:hint="eastAsia" w:ascii="仿宋" w:hAnsi="仿宋" w:eastAsia="仿宋" w:cs="仿宋"/>
          <w:color w:val="000000" w:themeColor="text1"/>
          <w:kern w:val="0"/>
          <w:sz w:val="24"/>
          <w:highlight w:val="none"/>
          <w:u w:val="single"/>
          <w14:textFill>
            <w14:solidFill>
              <w14:schemeClr w14:val="tx1"/>
            </w14:solidFill>
          </w14:textFill>
        </w:rPr>
        <w:t>　　                     　　</w:t>
      </w:r>
    </w:p>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　　话：</w:t>
      </w:r>
      <w:r>
        <w:rPr>
          <w:rFonts w:hint="eastAsia" w:ascii="仿宋" w:hAnsi="仿宋" w:eastAsia="仿宋" w:cs="仿宋"/>
          <w:color w:val="000000" w:themeColor="text1"/>
          <w:kern w:val="0"/>
          <w:sz w:val="24"/>
          <w:highlight w:val="none"/>
          <w:u w:val="single"/>
          <w14:textFill>
            <w14:solidFill>
              <w14:schemeClr w14:val="tx1"/>
            </w14:solidFill>
          </w14:textFill>
        </w:rPr>
        <w:t>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承诺书Ⅱ</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，本公司承诺：在参加本项目</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之前不存在被依法禁止经营行为、财产被接管或冻结的情况，如有隐瞒实情，愿承担一切责任及后果。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240" w:firstLineChars="1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承诺书Ⅲ</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r>
              <w:rPr>
                <w:rFonts w:hint="eastAsia" w:ascii="仿宋" w:hAnsi="仿宋" w:eastAsia="仿宋" w:cs="仿宋"/>
                <w:color w:val="000000" w:themeColor="text1"/>
                <w:sz w:val="24"/>
                <w:highlight w:val="none"/>
                <w14:textFill>
                  <w14:solidFill>
                    <w14:schemeClr w14:val="tx1"/>
                  </w14:solidFill>
                </w14:textFill>
              </w:rPr>
              <w:t>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，本公司郑重申告并承诺：近三年受到有关行政主管部门的行政处理、不良行为记录为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tLeast"/>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br w:type="page"/>
      </w:r>
      <w:r>
        <w:rPr>
          <w:rFonts w:hint="eastAsia" w:ascii="仿宋" w:hAnsi="仿宋" w:eastAsia="仿宋" w:cs="仿宋"/>
          <w:b/>
          <w:color w:val="000000" w:themeColor="text1"/>
          <w:sz w:val="32"/>
          <w:szCs w:val="32"/>
          <w:highlight w:val="none"/>
          <w14:textFill>
            <w14:solidFill>
              <w14:schemeClr w14:val="tx1"/>
            </w14:solidFill>
          </w14:textFill>
        </w:rPr>
        <w:t>承诺书Ⅳ</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，本公司郑重申告：近三年因</w:t>
            </w:r>
            <w:r>
              <w:rPr>
                <w:rFonts w:hint="eastAsia" w:ascii="仿宋" w:hAnsi="仿宋" w:eastAsia="仿宋" w:cs="仿宋"/>
                <w:color w:val="000000" w:themeColor="text1"/>
                <w:sz w:val="24"/>
                <w:highlight w:val="none"/>
                <w:lang w:eastAsia="zh-CN"/>
                <w14:textFill>
                  <w14:solidFill>
                    <w14:schemeClr w14:val="tx1"/>
                  </w14:solidFill>
                </w14:textFill>
              </w:rPr>
              <w:t>服务</w:t>
            </w:r>
            <w:r>
              <w:rPr>
                <w:rFonts w:hint="eastAsia" w:ascii="仿宋" w:hAnsi="仿宋" w:eastAsia="仿宋" w:cs="仿宋"/>
                <w:color w:val="000000" w:themeColor="text1"/>
                <w:sz w:val="24"/>
                <w:highlight w:val="none"/>
                <w14:textFill>
                  <w14:solidFill>
                    <w14:schemeClr w14:val="tx1"/>
                  </w14:solidFill>
                </w14:textFill>
              </w:rPr>
              <w:t>问题的不法行为记录为</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次（没有填零），如有隐瞒实情，愿承担一切责任及后果。</w:t>
            </w:r>
          </w:p>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本公司承诺：本次</w:t>
            </w:r>
            <w:r>
              <w:rPr>
                <w:rFonts w:hint="eastAsia" w:ascii="仿宋" w:hAnsi="仿宋" w:eastAsia="仿宋" w:cs="仿宋"/>
                <w:color w:val="000000" w:themeColor="text1"/>
                <w:sz w:val="24"/>
                <w:highlight w:val="none"/>
                <w:lang w:val="en-US" w:eastAsia="zh-CN"/>
                <w14:textFill>
                  <w14:solidFill>
                    <w14:schemeClr w14:val="tx1"/>
                  </w14:solidFill>
                </w14:textFill>
              </w:rPr>
              <w:t>所投服务符合相关行业标准</w:t>
            </w:r>
            <w:r>
              <w:rPr>
                <w:rFonts w:hint="eastAsia" w:ascii="仿宋" w:hAnsi="仿宋" w:eastAsia="仿宋" w:cs="仿宋"/>
                <w:color w:val="000000" w:themeColor="text1"/>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360" w:lineRule="auto"/>
        <w:ind w:right="480"/>
        <w:rPr>
          <w:rFonts w:hint="eastAsia" w:ascii="仿宋" w:hAnsi="仿宋" w:eastAsia="仿宋" w:cs="仿宋"/>
          <w:color w:val="000000" w:themeColor="text1"/>
          <w:sz w:val="24"/>
          <w:szCs w:val="28"/>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承诺书</w:t>
      </w:r>
      <w:r>
        <w:rPr>
          <w:rFonts w:hint="eastAsia" w:ascii="仿宋" w:hAnsi="仿宋" w:eastAsia="仿宋" w:cs="仿宋"/>
          <w:b/>
          <w:color w:val="000000" w:themeColor="text1"/>
          <w:sz w:val="36"/>
          <w:szCs w:val="36"/>
          <w:highlight w:val="none"/>
          <w14:textFill>
            <w14:solidFill>
              <w14:schemeClr w14:val="tx1"/>
            </w14:solidFill>
          </w14:textFill>
        </w:rPr>
        <w:fldChar w:fldCharType="begin"/>
      </w:r>
      <w:r>
        <w:rPr>
          <w:rFonts w:hint="eastAsia" w:ascii="仿宋" w:hAnsi="仿宋" w:eastAsia="仿宋" w:cs="仿宋"/>
          <w:b/>
          <w:color w:val="000000" w:themeColor="text1"/>
          <w:sz w:val="36"/>
          <w:szCs w:val="36"/>
          <w:highlight w:val="none"/>
          <w14:textFill>
            <w14:solidFill>
              <w14:schemeClr w14:val="tx1"/>
            </w14:solidFill>
          </w14:textFill>
        </w:rPr>
        <w:instrText xml:space="preserve"> = 5 \* ROMAN </w:instrText>
      </w:r>
      <w:r>
        <w:rPr>
          <w:rFonts w:hint="eastAsia" w:ascii="仿宋" w:hAnsi="仿宋" w:eastAsia="仿宋" w:cs="仿宋"/>
          <w:b/>
          <w:color w:val="000000" w:themeColor="text1"/>
          <w:sz w:val="36"/>
          <w:szCs w:val="36"/>
          <w:highlight w:val="none"/>
          <w14:textFill>
            <w14:solidFill>
              <w14:schemeClr w14:val="tx1"/>
            </w14:solidFill>
          </w14:textFill>
        </w:rPr>
        <w:fldChar w:fldCharType="separate"/>
      </w:r>
      <w:r>
        <w:rPr>
          <w:rFonts w:hint="eastAsia" w:ascii="仿宋" w:hAnsi="仿宋" w:eastAsia="仿宋" w:cs="仿宋"/>
          <w:b/>
          <w:color w:val="000000" w:themeColor="text1"/>
          <w:sz w:val="36"/>
          <w:szCs w:val="36"/>
          <w:highlight w:val="none"/>
          <w14:textFill>
            <w14:solidFill>
              <w14:schemeClr w14:val="tx1"/>
            </w14:solidFill>
          </w14:textFill>
        </w:rPr>
        <w:t>V</w:t>
      </w:r>
      <w:r>
        <w:rPr>
          <w:rFonts w:hint="eastAsia" w:ascii="仿宋" w:hAnsi="仿宋" w:eastAsia="仿宋" w:cs="仿宋"/>
          <w:b/>
          <w:color w:val="000000" w:themeColor="text1"/>
          <w:sz w:val="36"/>
          <w:szCs w:val="36"/>
          <w:highlight w:val="none"/>
          <w14:textFill>
            <w14:solidFill>
              <w14:schemeClr w14:val="tx1"/>
            </w14:solidFill>
          </w14:textFill>
        </w:rPr>
        <w:fldChar w:fldCharType="end"/>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，本公司承诺：参加本次</w:t>
            </w:r>
            <w:r>
              <w:rPr>
                <w:rFonts w:hint="eastAsia" w:ascii="仿宋" w:hAnsi="仿宋" w:eastAsia="仿宋" w:cs="仿宋"/>
                <w:color w:val="000000" w:themeColor="text1"/>
                <w:sz w:val="24"/>
                <w:highlight w:val="none"/>
                <w:lang w:eastAsia="zh-CN"/>
                <w14:textFill>
                  <w14:solidFill>
                    <w14:schemeClr w14:val="tx1"/>
                  </w14:solidFill>
                </w14:textFill>
              </w:rPr>
              <w:t>磋商活动</w:t>
            </w:r>
            <w:r>
              <w:rPr>
                <w:rFonts w:hint="eastAsia" w:ascii="仿宋" w:hAnsi="仿宋" w:eastAsia="仿宋" w:cs="仿宋"/>
                <w:color w:val="000000" w:themeColor="text1"/>
                <w:sz w:val="24"/>
                <w:highlight w:val="none"/>
                <w14:textFill>
                  <w14:solidFill>
                    <w14:schemeClr w14:val="tx1"/>
                  </w14:solidFill>
                </w14:textFill>
              </w:rPr>
              <w:t>提交的所有资格条件证明文件、业绩证明文件及其他证明文件是真实的、有效的，如有隐瞒实情，愿承担一切责任及后果。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spacing w:line="500" w:lineRule="exact"/>
        <w:rPr>
          <w:rFonts w:hint="eastAsia" w:ascii="仿宋" w:hAnsi="仿宋" w:eastAsia="仿宋" w:cs="仿宋"/>
          <w:b/>
          <w:bCs/>
          <w:color w:val="000000" w:themeColor="text1"/>
          <w:sz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tLeast"/>
        <w:jc w:val="center"/>
        <w:rPr>
          <w:rFonts w:hint="eastAsia" w:ascii="仿宋" w:hAnsi="仿宋" w:eastAsia="仿宋" w:cs="仿宋"/>
          <w:b/>
          <w:color w:val="000000" w:themeColor="text1"/>
          <w:sz w:val="32"/>
          <w:szCs w:val="32"/>
          <w:highlight w:val="none"/>
          <w:u w:val="none"/>
          <w14:textFill>
            <w14:solidFill>
              <w14:schemeClr w14:val="tx1"/>
            </w14:solidFill>
          </w14:textFill>
        </w:rPr>
      </w:pPr>
      <w:r>
        <w:rPr>
          <w:rFonts w:hint="eastAsia" w:ascii="仿宋" w:hAnsi="仿宋" w:eastAsia="仿宋" w:cs="仿宋"/>
          <w:b/>
          <w:color w:val="000000" w:themeColor="text1"/>
          <w:sz w:val="32"/>
          <w:szCs w:val="32"/>
          <w:highlight w:val="none"/>
          <w:u w:val="none"/>
          <w14:textFill>
            <w14:solidFill>
              <w14:schemeClr w14:val="tx1"/>
            </w14:solidFill>
          </w14:textFill>
        </w:rPr>
        <w:t>承诺书Ⅵ</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0"/>
        <w:gridCol w:w="342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000" w:type="dxa"/>
            <w:gridSpan w:val="3"/>
            <w:noWrap w:val="0"/>
            <w:vAlign w:val="center"/>
          </w:tcPr>
          <w:p>
            <w:pPr>
              <w:spacing w:line="360" w:lineRule="atLeas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lang w:eastAsia="zh-CN"/>
                <w14:textFill>
                  <w14:solidFill>
                    <w14:schemeClr w14:val="tx1"/>
                  </w14:solidFill>
                </w14:textFill>
              </w:rPr>
              <w:t>华招广和项目管理有限公司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900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作为参加贵公司组织的</w:t>
            </w:r>
            <w:r>
              <w:rPr>
                <w:rFonts w:hint="eastAsia" w:ascii="仿宋" w:hAnsi="仿宋" w:eastAsia="仿宋" w:cs="仿宋"/>
                <w:color w:val="000000" w:themeColor="text1"/>
                <w:sz w:val="24"/>
                <w:highlight w:val="none"/>
                <w:lang w:eastAsia="zh-CN"/>
                <w14:textFill>
                  <w14:solidFill>
                    <w14:schemeClr w14:val="tx1"/>
                  </w14:solidFill>
                </w14:textFill>
              </w:rPr>
              <w:t>竞争性磋商</w:t>
            </w:r>
            <w:r>
              <w:rPr>
                <w:rFonts w:hint="eastAsia" w:ascii="仿宋" w:hAnsi="仿宋" w:eastAsia="仿宋" w:cs="仿宋"/>
                <w:color w:val="000000" w:themeColor="text1"/>
                <w:sz w:val="24"/>
                <w:highlight w:val="none"/>
                <w14:textFill>
                  <w14:solidFill>
                    <w14:schemeClr w14:val="tx1"/>
                  </w14:solidFill>
                </w14:textFill>
              </w:rPr>
              <w:t>采购项目的</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，本公司承诺：</w:t>
            </w:r>
            <w:r>
              <w:rPr>
                <w:rFonts w:hint="eastAsia" w:ascii="仿宋" w:hAnsi="仿宋" w:eastAsia="仿宋" w:cs="仿宋"/>
                <w:color w:val="000000" w:themeColor="text1"/>
                <w:sz w:val="24"/>
                <w:highlight w:val="none"/>
                <w:lang w:eastAsia="zh-CN"/>
                <w14:textFill>
                  <w14:solidFill>
                    <w14:schemeClr w14:val="tx1"/>
                  </w14:solidFill>
                </w14:textFill>
              </w:rPr>
              <w:t>我单位法人代表及主要负责人所在的公司在近三年内没有违法违规行为，</w:t>
            </w:r>
            <w:r>
              <w:rPr>
                <w:rFonts w:hint="eastAsia" w:ascii="仿宋" w:hAnsi="仿宋" w:eastAsia="仿宋" w:cs="仿宋"/>
                <w:color w:val="000000" w:themeColor="text1"/>
                <w:sz w:val="24"/>
                <w:highlight w:val="none"/>
                <w14:textFill>
                  <w14:solidFill>
                    <w14:schemeClr w14:val="tx1"/>
                  </w14:solidFill>
                </w14:textFill>
              </w:rPr>
              <w:t>如有</w:t>
            </w:r>
            <w:r>
              <w:rPr>
                <w:rFonts w:hint="eastAsia" w:ascii="仿宋" w:hAnsi="仿宋" w:eastAsia="仿宋" w:cs="仿宋"/>
                <w:color w:val="000000" w:themeColor="text1"/>
                <w:sz w:val="24"/>
                <w:highlight w:val="none"/>
                <w:lang w:eastAsia="zh-CN"/>
                <w14:textFill>
                  <w14:solidFill>
                    <w14:schemeClr w14:val="tx1"/>
                  </w14:solidFill>
                </w14:textFill>
              </w:rPr>
              <w:t>，我单位自愿放弃本次项目的磋商。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供应商</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法定代表人</w:t>
            </w:r>
          </w:p>
        </w:tc>
        <w:tc>
          <w:tcPr>
            <w:tcW w:w="23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324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（公章）</w:t>
            </w:r>
          </w:p>
        </w:tc>
        <w:tc>
          <w:tcPr>
            <w:tcW w:w="3420" w:type="dxa"/>
            <w:noWrap w:val="0"/>
            <w:vAlign w:val="center"/>
          </w:tcPr>
          <w:p>
            <w:pPr>
              <w:spacing w:line="360" w:lineRule="atLeast"/>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（签字或盖章）</w:t>
            </w:r>
          </w:p>
        </w:tc>
        <w:tc>
          <w:tcPr>
            <w:tcW w:w="2340" w:type="dxa"/>
            <w:noWrap w:val="0"/>
            <w:vAlign w:val="center"/>
          </w:tcPr>
          <w:p>
            <w:pPr>
              <w:spacing w:line="360" w:lineRule="atLeast"/>
              <w:ind w:firstLine="240" w:firstLineChars="10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年  月  日</w:t>
            </w:r>
          </w:p>
        </w:tc>
      </w:tr>
    </w:tbl>
    <w:p>
      <w:pPr>
        <w:widowControl/>
        <w:spacing w:line="480" w:lineRule="exact"/>
        <w:ind w:firstLine="240" w:firstLineChars="1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widowControl/>
        <w:spacing w:line="400" w:lineRule="exact"/>
        <w:ind w:firstLine="960" w:firstLineChars="400"/>
        <w:rPr>
          <w:rFonts w:hint="eastAsia" w:ascii="仿宋" w:hAnsi="仿宋" w:eastAsia="仿宋" w:cs="仿宋"/>
          <w:color w:val="000000" w:themeColor="text1"/>
          <w:kern w:val="0"/>
          <w:sz w:val="24"/>
          <w:highlight w:val="none"/>
          <w14:textFill>
            <w14:solidFill>
              <w14:schemeClr w14:val="tx1"/>
            </w14:solidFill>
          </w14:textFill>
        </w:rPr>
      </w:pPr>
    </w:p>
    <w:p>
      <w:pPr>
        <w:pStyle w:val="41"/>
        <w:ind w:firstLine="174"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bCs/>
          <w:color w:val="000000" w:themeColor="text1"/>
          <w:szCs w:val="28"/>
          <w:highlight w:val="none"/>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6、</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中小</w:t>
      </w:r>
      <w:r>
        <w:rPr>
          <w:rFonts w:hint="eastAsia" w:ascii="仿宋" w:hAnsi="仿宋" w:eastAsia="仿宋" w:cs="仿宋"/>
          <w:b/>
          <w:bCs/>
          <w:color w:val="000000" w:themeColor="text1"/>
          <w:szCs w:val="28"/>
          <w:highlight w:val="none"/>
          <w14:textFill>
            <w14:solidFill>
              <w14:schemeClr w14:val="tx1"/>
            </w14:solidFill>
          </w14:textFill>
        </w:rPr>
        <w:t>企业声明函》</w:t>
      </w:r>
      <w:bookmarkStart w:id="92" w:name="OLE_LINK19"/>
    </w:p>
    <w:bookmarkEnd w:id="92"/>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kern w:val="0"/>
          <w:sz w:val="24"/>
          <w:highlight w:val="none"/>
          <w:lang w:val="en-US" w:eastAsia="zh-CN"/>
          <w14:textFill>
            <w14:solidFill>
              <w14:schemeClr w14:val="tx1"/>
            </w14:solidFill>
          </w14:textFill>
        </w:rPr>
        <w:t>中小企业声明函（服务）</w:t>
      </w:r>
    </w:p>
    <w:p>
      <w:pPr>
        <w:spacing w:line="480" w:lineRule="exact"/>
        <w:jc w:val="center"/>
        <w:rPr>
          <w:rFonts w:hint="eastAsia" w:ascii="仿宋" w:hAnsi="仿宋" w:eastAsia="仿宋" w:cs="仿宋"/>
          <w:b/>
          <w:bCs/>
          <w:color w:val="000000" w:themeColor="text1"/>
          <w:kern w:val="0"/>
          <w:sz w:val="24"/>
          <w:highlight w:val="none"/>
          <w14:textFill>
            <w14:solidFill>
              <w14:schemeClr w14:val="tx1"/>
            </w14:solidFill>
          </w14:textFill>
        </w:rPr>
      </w:pPr>
    </w:p>
    <w:p>
      <w:pPr>
        <w:spacing w:line="480" w:lineRule="exact"/>
        <w:rPr>
          <w:rFonts w:hint="eastAsia" w:ascii="仿宋" w:hAnsi="仿宋" w:eastAsia="仿宋" w:cs="仿宋"/>
          <w:color w:val="000000" w:themeColor="text1"/>
          <w:sz w:val="24"/>
          <w:szCs w:val="24"/>
          <w:highlight w:val="none"/>
          <w:lang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lang w:eastAsia="zh-CN"/>
          <w14:textFill>
            <w14:solidFill>
              <w14:schemeClr w14:val="tx1"/>
            </w14:solidFill>
          </w14:textFill>
        </w:rPr>
        <w:t>华招广和项目管理有限公司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本公司郑重声明，根据《政府采购促进中小企业发展管理办法》（财库﹝2020﹞46号）的规定，本公司参加</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（单位名称）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的</w:t>
      </w:r>
      <w:r>
        <w:rPr>
          <w:rFonts w:hint="eastAsia" w:ascii="仿宋" w:hAnsi="仿宋" w:eastAsia="仿宋" w:cs="仿宋"/>
          <w:i w:val="0"/>
          <w:iCs/>
          <w:color w:val="000000" w:themeColor="text1"/>
          <w:kern w:val="0"/>
          <w:sz w:val="24"/>
          <w:szCs w:val="24"/>
          <w:highlight w:val="none"/>
          <w:u w:val="single"/>
          <w:lang w:val="en-US" w:eastAsia="zh-CN" w:bidi="ar"/>
          <w14:textFill>
            <w14:solidFill>
              <w14:schemeClr w14:val="tx1"/>
            </w14:solidFill>
          </w14:textFill>
        </w:rPr>
        <w:t>（项目名称）</w:t>
      </w: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采购活动，工程的施工单位全部为符合政策要求的中小企业（或者：服务全部由符合政策要求的中小企业承接）。相关企业的具体情况如下：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non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w:t>
      </w:r>
      <w:r>
        <w:rPr>
          <w:rFonts w:hint="eastAsia" w:ascii="仿宋" w:hAnsi="仿宋" w:eastAsia="仿宋" w:cs="仿宋"/>
          <w:i w:val="0"/>
          <w:iCs w:val="0"/>
          <w:color w:val="000000" w:themeColor="text1"/>
          <w:kern w:val="0"/>
          <w:sz w:val="24"/>
          <w:szCs w:val="24"/>
          <w:highlight w:val="none"/>
          <w:vertAlign w:val="superscript"/>
          <w:lang w:val="en-US" w:eastAsia="zh-CN" w:bidi="ar"/>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2.</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（标的名称）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（采购文件中明确的所属行业）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行业；承建（承接）企业为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（企业名称）</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人，营业收入为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万元，资产总额为</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 xml:space="preserve">     </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万元，属于</w:t>
      </w:r>
      <w:r>
        <w:rPr>
          <w:rFonts w:hint="eastAsia" w:ascii="仿宋" w:hAnsi="仿宋" w:eastAsia="仿宋" w:cs="仿宋"/>
          <w:i w:val="0"/>
          <w:iCs w:val="0"/>
          <w:color w:val="000000" w:themeColor="text1"/>
          <w:kern w:val="0"/>
          <w:sz w:val="24"/>
          <w:szCs w:val="24"/>
          <w:highlight w:val="none"/>
          <w:u w:val="single"/>
          <w:lang w:val="en-US" w:eastAsia="zh-CN" w:bidi="ar"/>
          <w14:textFill>
            <w14:solidFill>
              <w14:schemeClr w14:val="tx1"/>
            </w14:solidFill>
          </w14:textFill>
        </w:rPr>
        <w:t>（中型企业、小型企业、微型企业）</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i w:val="0"/>
          <w:iCs w:val="0"/>
          <w:color w:val="000000" w:themeColor="text1"/>
          <w:sz w:val="24"/>
          <w:szCs w:val="24"/>
          <w:highlight w:val="none"/>
          <w14:textFill>
            <w14:solidFill>
              <w14:schemeClr w14:val="tx1"/>
            </w14:solidFill>
          </w14:textFill>
        </w:rPr>
      </w:pP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 xml:space="preserve">                                企业名称（盖章）： </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szCs w:val="24"/>
          <w:highlight w:val="none"/>
          <w:lang w:val="en-US" w:eastAsia="zh-CN" w:bidi="ar"/>
          <w14:textFill>
            <w14:solidFill>
              <w14:schemeClr w14:val="tx1"/>
            </w14:solidFill>
          </w14:textFill>
        </w:rPr>
        <w:t xml:space="preserve">                          日 期：</w:t>
      </w: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p>
    <w:p>
      <w:pPr>
        <w:spacing w:line="480" w:lineRule="exact"/>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pPr>
      <w:r>
        <w:rPr>
          <w:rFonts w:hint="eastAsia" w:ascii="仿宋" w:hAnsi="仿宋" w:eastAsia="仿宋" w:cs="仿宋"/>
          <w:b w:val="0"/>
          <w:bCs/>
          <w:color w:val="000000" w:themeColor="text1"/>
          <w:sz w:val="44"/>
          <w:szCs w:val="44"/>
          <w:highlight w:val="none"/>
          <w:vertAlign w:val="superscript"/>
          <w:lang w:val="en-US" w:eastAsia="zh-CN"/>
          <w14:textFill>
            <w14:solidFill>
              <w14:schemeClr w14:val="tx1"/>
            </w14:solidFill>
          </w14:textFill>
        </w:rPr>
        <w:t>1</w:t>
      </w:r>
      <w:r>
        <w:rPr>
          <w:rFonts w:hint="eastAsia" w:ascii="仿宋" w:hAnsi="仿宋" w:eastAsia="仿宋" w:cs="仿宋"/>
          <w:i w:val="0"/>
          <w:iCs w:val="0"/>
          <w:color w:val="000000" w:themeColor="text1"/>
          <w:kern w:val="0"/>
          <w:sz w:val="24"/>
          <w:szCs w:val="24"/>
          <w:highlight w:val="none"/>
          <w:lang w:val="en-US" w:eastAsia="zh-CN" w:bidi="ar"/>
          <w14:textFill>
            <w14:solidFill>
              <w14:schemeClr w14:val="tx1"/>
            </w14:solidFill>
          </w14:textFill>
        </w:rPr>
        <w:t>从业人员、营业收入、资产总额填报上一年度数据，无上一年度数据的新成立企业可不填报。</w:t>
      </w:r>
    </w:p>
    <w:p>
      <w:pPr>
        <w:pStyle w:val="41"/>
        <w:ind w:firstLine="149" w:firstLineChars="62"/>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b/>
          <w:color w:val="000000" w:themeColor="text1"/>
          <w:sz w:val="24"/>
          <w:highlight w:val="none"/>
          <w:lang w:val="en-US" w:eastAsia="zh-CN"/>
          <w14:textFill>
            <w14:solidFill>
              <w14:schemeClr w14:val="tx1"/>
            </w14:solidFill>
          </w14:textFill>
        </w:rPr>
        <w:br w:type="page"/>
      </w:r>
      <w:r>
        <w:rPr>
          <w:rFonts w:hint="eastAsia" w:ascii="仿宋" w:hAnsi="仿宋" w:eastAsia="仿宋" w:cs="仿宋"/>
          <w:b/>
          <w:bCs/>
          <w:color w:val="000000" w:themeColor="text1"/>
          <w:szCs w:val="28"/>
          <w:highlight w:val="none"/>
          <w14:textFill>
            <w14:solidFill>
              <w14:schemeClr w14:val="tx1"/>
            </w14:solidFill>
          </w14:textFill>
        </w:rPr>
        <w:t>1</w:t>
      </w:r>
      <w:r>
        <w:rPr>
          <w:rFonts w:hint="eastAsia" w:ascii="仿宋" w:hAnsi="仿宋" w:eastAsia="仿宋" w:cs="仿宋"/>
          <w:b/>
          <w:bCs/>
          <w:color w:val="000000" w:themeColor="text1"/>
          <w:szCs w:val="28"/>
          <w:highlight w:val="none"/>
          <w:lang w:val="en-US" w:eastAsia="zh-CN"/>
          <w14:textFill>
            <w14:solidFill>
              <w14:schemeClr w14:val="tx1"/>
            </w14:solidFill>
          </w14:textFill>
        </w:rPr>
        <w:t>7、</w:t>
      </w:r>
      <w:r>
        <w:rPr>
          <w:rFonts w:hint="eastAsia" w:ascii="仿宋" w:hAnsi="仿宋" w:eastAsia="仿宋" w:cs="仿宋"/>
          <w:b/>
          <w:bCs/>
          <w:color w:val="000000" w:themeColor="text1"/>
          <w:szCs w:val="28"/>
          <w:highlight w:val="none"/>
          <w14:textFill>
            <w14:solidFill>
              <w14:schemeClr w14:val="tx1"/>
            </w14:solidFill>
          </w14:textFill>
        </w:rPr>
        <w:t>《残疾人福利性单位声明函》</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jc w:val="center"/>
        <w:rPr>
          <w:rFonts w:hint="eastAsia" w:ascii="仿宋" w:hAnsi="仿宋" w:eastAsia="仿宋" w:cs="仿宋"/>
          <w:b/>
          <w:color w:val="000000" w:themeColor="text1"/>
          <w:spacing w:val="6"/>
          <w:sz w:val="24"/>
          <w:szCs w:val="24"/>
          <w:highlight w:val="none"/>
          <w14:textFill>
            <w14:solidFill>
              <w14:schemeClr w14:val="tx1"/>
            </w14:solidFill>
          </w14:textFill>
        </w:rPr>
      </w:pPr>
      <w:r>
        <w:rPr>
          <w:rFonts w:hint="eastAsia" w:ascii="仿宋" w:hAnsi="仿宋" w:eastAsia="仿宋" w:cs="仿宋"/>
          <w:b/>
          <w:color w:val="000000" w:themeColor="text1"/>
          <w:spacing w:val="6"/>
          <w:sz w:val="24"/>
          <w:szCs w:val="24"/>
          <w:highlight w:val="none"/>
          <w14:textFill>
            <w14:solidFill>
              <w14:schemeClr w14:val="tx1"/>
            </w14:solidFill>
          </w14:textFill>
        </w:rPr>
        <w:t>残疾人福利性单位声明函</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（非</w:t>
      </w:r>
      <w:r>
        <w:rPr>
          <w:rFonts w:hint="eastAsia" w:ascii="仿宋" w:hAnsi="仿宋" w:eastAsia="仿宋" w:cs="仿宋"/>
          <w:b/>
          <w:color w:val="000000" w:themeColor="text1"/>
          <w:spacing w:val="6"/>
          <w:sz w:val="18"/>
          <w:szCs w:val="18"/>
          <w:highlight w:val="none"/>
          <w14:textFill>
            <w14:solidFill>
              <w14:schemeClr w14:val="tx1"/>
            </w14:solidFill>
          </w14:textFill>
        </w:rPr>
        <w:t>残疾人福利企业</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不</w:t>
      </w:r>
      <w:r>
        <w:rPr>
          <w:rFonts w:hint="eastAsia" w:ascii="仿宋" w:hAnsi="仿宋" w:eastAsia="仿宋" w:cs="仿宋"/>
          <w:b/>
          <w:color w:val="000000" w:themeColor="text1"/>
          <w:spacing w:val="6"/>
          <w:sz w:val="18"/>
          <w:szCs w:val="18"/>
          <w:highlight w:val="none"/>
          <w14:textFill>
            <w14:solidFill>
              <w14:schemeClr w14:val="tx1"/>
            </w14:solidFill>
          </w14:textFill>
        </w:rPr>
        <w:t>填写</w:t>
      </w:r>
      <w:r>
        <w:rPr>
          <w:rFonts w:hint="eastAsia" w:ascii="仿宋" w:hAnsi="仿宋" w:eastAsia="仿宋" w:cs="仿宋"/>
          <w:b/>
          <w:color w:val="000000" w:themeColor="text1"/>
          <w:spacing w:val="6"/>
          <w:sz w:val="18"/>
          <w:szCs w:val="18"/>
          <w:highlight w:val="none"/>
          <w:lang w:val="zh-CN"/>
          <w14:textFill>
            <w14:solidFill>
              <w14:schemeClr w14:val="tx1"/>
            </w14:solidFill>
          </w14:textFill>
        </w:rPr>
        <w:t>）</w:t>
      </w:r>
    </w:p>
    <w:p>
      <w:pPr>
        <w:spacing w:line="588" w:lineRule="exact"/>
        <w:rPr>
          <w:rFonts w:hint="eastAsia" w:ascii="仿宋" w:hAnsi="仿宋" w:eastAsia="仿宋" w:cs="仿宋"/>
          <w:b/>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本单位郑重声明，根据《财政部 民政部 中国残疾人联合会关于促进残疾人就业政府采购政策的通知》（财库</w:t>
      </w:r>
      <w:r>
        <w:rPr>
          <w:rFonts w:hint="eastAsia" w:ascii="仿宋" w:hAnsi="仿宋" w:eastAsia="仿宋" w:cs="仿宋"/>
          <w:color w:val="000000" w:themeColor="text1"/>
          <w:sz w:val="24"/>
          <w:szCs w:val="24"/>
          <w:highlight w:val="none"/>
          <w14:textFill>
            <w14:solidFill>
              <w14:schemeClr w14:val="tx1"/>
            </w14:solidFill>
          </w14:textFill>
        </w:rPr>
        <w:t>〔2017〕 141</w:t>
      </w:r>
      <w:r>
        <w:rPr>
          <w:rFonts w:hint="eastAsia" w:ascii="仿宋" w:hAnsi="仿宋" w:eastAsia="仿宋" w:cs="仿宋"/>
          <w:color w:val="000000" w:themeColor="text1"/>
          <w:spacing w:val="6"/>
          <w:sz w:val="24"/>
          <w:szCs w:val="24"/>
          <w:highlight w:val="none"/>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本单位对上述声明的真实性负责。如有虚假，将依法承担相应责任。</w:t>
      </w: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spacing w:line="588" w:lineRule="exact"/>
        <w:ind w:firstLine="504" w:firstLineChars="200"/>
        <w:rPr>
          <w:rFonts w:hint="eastAsia" w:ascii="仿宋" w:hAnsi="仿宋" w:eastAsia="仿宋" w:cs="仿宋"/>
          <w:color w:val="000000" w:themeColor="text1"/>
          <w:spacing w:val="6"/>
          <w:sz w:val="24"/>
          <w:szCs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int="eastAsia" w:ascii="仿宋" w:hAnsi="仿宋" w:eastAsia="仿宋" w:cs="仿宋"/>
          <w:color w:val="000000" w:themeColor="text1"/>
          <w:spacing w:val="6"/>
          <w:sz w:val="24"/>
          <w:szCs w:val="24"/>
          <w:highlight w:val="none"/>
          <w14:textFill>
            <w14:solidFill>
              <w14:schemeClr w14:val="tx1"/>
            </w14:solidFill>
          </w14:textFill>
        </w:rPr>
      </w:pPr>
      <w:r>
        <w:rPr>
          <w:rFonts w:hint="eastAsia" w:ascii="仿宋" w:hAnsi="仿宋" w:eastAsia="仿宋" w:cs="仿宋"/>
          <w:color w:val="000000" w:themeColor="text1"/>
          <w:spacing w:val="6"/>
          <w:sz w:val="24"/>
          <w:szCs w:val="24"/>
          <w:highlight w:val="none"/>
          <w14:textFill>
            <w14:solidFill>
              <w14:schemeClr w14:val="tx1"/>
            </w14:solidFill>
          </w14:textFill>
        </w:rPr>
        <w:t xml:space="preserve">                         日  期：</w:t>
      </w: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440" w:lineRule="exact"/>
        <w:ind w:firstLine="5740" w:firstLineChars="2050"/>
        <w:jc w:val="left"/>
        <w:rPr>
          <w:rFonts w:hint="eastAsia" w:ascii="仿宋" w:hAnsi="仿宋" w:eastAsia="仿宋" w:cs="仿宋"/>
          <w:color w:val="000000" w:themeColor="text1"/>
          <w:kern w:val="0"/>
          <w:sz w:val="28"/>
          <w:szCs w:val="28"/>
          <w:highlight w:val="none"/>
          <w14:textFill>
            <w14:solidFill>
              <w14:schemeClr w14:val="tx1"/>
            </w14:solidFill>
          </w14:textFill>
        </w:rPr>
      </w:pPr>
    </w:p>
    <w:p>
      <w:pPr>
        <w:spacing w:line="360" w:lineRule="auto"/>
        <w:ind w:firstLine="422" w:firstLineChars="200"/>
        <w:rPr>
          <w:rFonts w:ascii="仿宋" w:hAnsi="仿宋" w:eastAsia="仿宋" w:cs="仿宋"/>
          <w:b/>
          <w:kern w:val="0"/>
          <w:sz w:val="21"/>
          <w:szCs w:val="20"/>
          <w:highlight w:val="none"/>
          <w:lang w:val="zh-CN"/>
        </w:rPr>
      </w:pPr>
      <w:r>
        <w:rPr>
          <w:rFonts w:hint="eastAsia" w:ascii="仿宋" w:hAnsi="仿宋" w:eastAsia="仿宋" w:cs="仿宋"/>
          <w:b/>
          <w:kern w:val="0"/>
          <w:sz w:val="21"/>
          <w:szCs w:val="20"/>
          <w:highlight w:val="none"/>
          <w:lang w:val="zh-CN"/>
        </w:rPr>
        <w:t>备注：</w:t>
      </w:r>
      <w:r>
        <w:rPr>
          <w:rFonts w:hint="eastAsia" w:ascii="仿宋" w:hAnsi="仿宋" w:eastAsia="仿宋" w:cs="仿宋"/>
          <w:b/>
          <w:kern w:val="0"/>
          <w:sz w:val="21"/>
          <w:szCs w:val="20"/>
          <w:highlight w:val="none"/>
          <w:lang w:val="en-US" w:eastAsia="zh-CN"/>
        </w:rPr>
        <w:t>供应商</w:t>
      </w:r>
      <w:r>
        <w:rPr>
          <w:rFonts w:hint="eastAsia" w:ascii="仿宋" w:hAnsi="仿宋" w:eastAsia="仿宋" w:cs="仿宋"/>
          <w:b/>
          <w:kern w:val="0"/>
          <w:sz w:val="21"/>
          <w:szCs w:val="20"/>
          <w:highlight w:val="none"/>
          <w:lang w:val="zh-CN"/>
        </w:rPr>
        <w:t>提供的《残疾人福利性单位声明函》必须真实有效，如果被举报经查实出具虚假声明函的，将被取消投标资格，并按有关规定予以处理。</w:t>
      </w: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pStyle w:val="41"/>
        <w:pageBreakBefore w:val="0"/>
        <w:bidi w:val="0"/>
        <w:spacing w:line="560" w:lineRule="exact"/>
        <w:ind w:left="0" w:leftChars="0" w:firstLine="0" w:firstLineChars="0"/>
        <w:textAlignment w:val="auto"/>
        <w:rPr>
          <w:rFonts w:hint="eastAsia" w:ascii="仿宋" w:hAnsi="仿宋" w:eastAsia="仿宋" w:cs="仿宋"/>
          <w:b w:val="0"/>
          <w:bCs w:val="0"/>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Cs w:val="28"/>
          <w:highlight w:val="none"/>
          <w:lang w:val="en-US" w:eastAsia="zh-CN"/>
          <w14:textFill>
            <w14:solidFill>
              <w14:schemeClr w14:val="tx1"/>
            </w14:solidFill>
          </w14:textFill>
        </w:rPr>
        <w:t>18、</w:t>
      </w:r>
      <w:r>
        <w:rPr>
          <w:rFonts w:hint="eastAsia" w:ascii="仿宋" w:hAnsi="仿宋" w:eastAsia="仿宋" w:cs="仿宋"/>
          <w:b/>
          <w:bCs/>
          <w:color w:val="000000" w:themeColor="text1"/>
          <w:szCs w:val="28"/>
          <w:highlight w:val="none"/>
          <w14:textFill>
            <w14:solidFill>
              <w14:schemeClr w14:val="tx1"/>
            </w14:solidFill>
          </w14:textFill>
        </w:rPr>
        <w:t>《</w:t>
      </w:r>
      <w:r>
        <w:rPr>
          <w:rFonts w:hint="eastAsia" w:ascii="仿宋" w:hAnsi="仿宋" w:eastAsia="仿宋" w:cs="仿宋"/>
          <w:b/>
          <w:bCs/>
          <w:color w:val="000000" w:themeColor="text1"/>
          <w:szCs w:val="28"/>
          <w:highlight w:val="none"/>
          <w:lang w:eastAsia="zh-CN"/>
          <w14:textFill>
            <w14:solidFill>
              <w14:schemeClr w14:val="tx1"/>
            </w14:solidFill>
          </w14:textFill>
        </w:rPr>
        <w:t>监狱、戒毒企业</w:t>
      </w:r>
      <w:r>
        <w:rPr>
          <w:rFonts w:hint="eastAsia" w:ascii="仿宋" w:hAnsi="仿宋" w:eastAsia="仿宋" w:cs="仿宋"/>
          <w:b/>
          <w:bCs/>
          <w:color w:val="000000" w:themeColor="text1"/>
          <w:szCs w:val="28"/>
          <w:highlight w:val="none"/>
          <w14:textFill>
            <w14:solidFill>
              <w14:schemeClr w14:val="tx1"/>
            </w14:solidFill>
          </w14:textFill>
        </w:rPr>
        <w:t>声明函》</w:t>
      </w:r>
      <w:r>
        <w:rPr>
          <w:rFonts w:hint="eastAsia" w:ascii="仿宋" w:hAnsi="仿宋" w:eastAsia="仿宋" w:cs="仿宋"/>
          <w:b w:val="0"/>
          <w:bCs w:val="0"/>
          <w:color w:val="000000" w:themeColor="text1"/>
          <w:sz w:val="24"/>
          <w:szCs w:val="24"/>
          <w:highlight w:val="none"/>
          <w14:textFill>
            <w14:solidFill>
              <w14:schemeClr w14:val="tx1"/>
            </w14:solidFill>
          </w14:textFill>
        </w:rPr>
        <w:t>（</w:t>
      </w:r>
      <w:r>
        <w:rPr>
          <w:rFonts w:hint="eastAsia" w:ascii="仿宋" w:hAnsi="仿宋" w:eastAsia="仿宋" w:cs="仿宋"/>
          <w:b w:val="0"/>
          <w:bCs/>
          <w:color w:val="000000" w:themeColor="text1"/>
          <w:sz w:val="24"/>
          <w:szCs w:val="24"/>
          <w:highlight w:val="none"/>
          <w:lang w:eastAsia="zh-CN"/>
          <w14:textFill>
            <w14:solidFill>
              <w14:schemeClr w14:val="tx1"/>
            </w14:solidFill>
          </w14:textFill>
        </w:rPr>
        <w:t>格式，若有</w:t>
      </w:r>
      <w:r>
        <w:rPr>
          <w:rFonts w:hint="eastAsia" w:ascii="仿宋" w:hAnsi="仿宋" w:eastAsia="仿宋" w:cs="仿宋"/>
          <w:b w:val="0"/>
          <w:bCs w:val="0"/>
          <w:color w:val="000000" w:themeColor="text1"/>
          <w:sz w:val="24"/>
          <w:szCs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color w:val="000000" w:themeColor="text1"/>
          <w:kern w:val="0"/>
          <w:sz w:val="28"/>
          <w:szCs w:val="28"/>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40" w:lineRule="exact"/>
        <w:ind w:firstLine="1687" w:firstLineChars="600"/>
        <w:textAlignment w:val="auto"/>
        <w:rPr>
          <w:rFonts w:hint="eastAsia" w:ascii="仿宋" w:hAnsi="仿宋" w:eastAsia="仿宋" w:cs="仿宋"/>
          <w:b/>
          <w:strike w:val="0"/>
          <w:dstrike w:val="0"/>
          <w:color w:val="000000" w:themeColor="text1"/>
          <w:spacing w:val="6"/>
          <w:sz w:val="21"/>
          <w:szCs w:val="21"/>
          <w:highlight w:val="none"/>
          <w:u w:val="double"/>
          <w:lang w:val="zh-CN"/>
          <w14:textFill>
            <w14:solidFill>
              <w14:schemeClr w14:val="tx1"/>
            </w14:solidFill>
          </w14:textFill>
        </w:rPr>
      </w:pPr>
      <w:r>
        <w:rPr>
          <w:rFonts w:hint="eastAsia" w:ascii="仿宋" w:hAnsi="仿宋" w:eastAsia="仿宋" w:cs="仿宋"/>
          <w:b/>
          <w:color w:val="000000" w:themeColor="text1"/>
          <w:kern w:val="0"/>
          <w:sz w:val="28"/>
          <w:szCs w:val="28"/>
          <w:highlight w:val="none"/>
          <w:lang w:val="zh-CN"/>
          <w14:textFill>
            <w14:solidFill>
              <w14:schemeClr w14:val="tx1"/>
            </w14:solidFill>
          </w14:textFill>
        </w:rPr>
        <w:t>监狱、戒毒企业声明函</w:t>
      </w:r>
      <w:r>
        <w:rPr>
          <w:rFonts w:hint="eastAsia" w:ascii="仿宋" w:hAnsi="仿宋" w:eastAsia="仿宋" w:cs="仿宋"/>
          <w:b/>
          <w:strike w:val="0"/>
          <w:dstrike w:val="0"/>
          <w:color w:val="000000" w:themeColor="text1"/>
          <w:spacing w:val="6"/>
          <w:sz w:val="18"/>
          <w:szCs w:val="18"/>
          <w:highlight w:val="none"/>
          <w:u w:val="none"/>
          <w:lang w:val="zh-CN"/>
          <w14:textFill>
            <w14:solidFill>
              <w14:schemeClr w14:val="tx1"/>
            </w14:solidFill>
          </w14:textFill>
        </w:rPr>
        <w:t>（非监狱、戒毒企业不填写）</w:t>
      </w:r>
    </w:p>
    <w:p>
      <w:pPr>
        <w:keepNext w:val="0"/>
        <w:keepLines w:val="0"/>
        <w:pageBreakBefore w:val="0"/>
        <w:widowControl w:val="0"/>
        <w:kinsoku/>
        <w:wordWrap/>
        <w:overflowPunct/>
        <w:topLinePunct w:val="0"/>
        <w:autoSpaceDE/>
        <w:autoSpaceDN/>
        <w:bidi w:val="0"/>
        <w:adjustRightInd/>
        <w:spacing w:line="640" w:lineRule="exact"/>
        <w:ind w:firstLine="444" w:firstLineChars="200"/>
        <w:textAlignment w:val="auto"/>
        <w:rPr>
          <w:rFonts w:hint="eastAsia" w:ascii="仿宋" w:hAnsi="仿宋" w:eastAsia="仿宋" w:cs="仿宋"/>
          <w:color w:val="000000" w:themeColor="text1"/>
          <w:spacing w:val="6"/>
          <w:szCs w:val="24"/>
          <w:highlight w:val="none"/>
          <w14:textFill>
            <w14:solidFill>
              <w14:schemeClr w14:val="tx1"/>
            </w14:solidFill>
          </w14:textFill>
        </w:rPr>
      </w:pPr>
      <w:r>
        <w:rPr>
          <w:rFonts w:hint="eastAsia" w:ascii="仿宋" w:hAnsi="仿宋" w:eastAsia="仿宋" w:cs="仿宋"/>
          <w:color w:val="000000" w:themeColor="text1"/>
          <w:spacing w:val="6"/>
          <w:szCs w:val="24"/>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本单位郑重声明，根据《</w:t>
      </w:r>
      <w:r>
        <w:rPr>
          <w:rFonts w:hint="eastAsia" w:ascii="仿宋" w:hAnsi="仿宋" w:eastAsia="仿宋" w:cs="仿宋"/>
          <w:color w:val="000000" w:themeColor="text1"/>
          <w:spacing w:val="-4"/>
          <w:kern w:val="0"/>
          <w:sz w:val="24"/>
          <w:highlight w:val="none"/>
          <w14:textFill>
            <w14:solidFill>
              <w14:schemeClr w14:val="tx1"/>
            </w14:solidFill>
          </w14:textFill>
        </w:rPr>
        <w:t>财政部 司法部 关于政府采购支持监狱企业发展有关问题的通知</w:t>
      </w:r>
      <w:r>
        <w:rPr>
          <w:rFonts w:hint="eastAsia" w:ascii="仿宋" w:hAnsi="仿宋" w:eastAsia="仿宋" w:cs="仿宋"/>
          <w:color w:val="000000" w:themeColor="text1"/>
          <w:sz w:val="24"/>
          <w:highlight w:val="none"/>
          <w14:textFill>
            <w14:solidFill>
              <w14:schemeClr w14:val="tx1"/>
            </w14:solidFill>
          </w14:textFill>
        </w:rPr>
        <w:t>》（财库〔2014〕68号）的规定，本单位为符合条件的监狱、戒毒企业，且本单位参加的</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项目采购活动提供本单位制造的货物（由本单位承担工程/提供服务），或者提供其他监狱、戒毒企业制造的货物（不包括使用非监狱、戒毒企业注册商标的货物）。</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pacing w:line="640" w:lineRule="exact"/>
        <w:ind w:firstLine="480" w:firstLineChars="200"/>
        <w:textAlignment w:val="auto"/>
        <w:rPr>
          <w:rFonts w:hint="eastAsia" w:ascii="仿宋" w:hAnsi="仿宋" w:eastAsia="仿宋" w:cs="仿宋"/>
          <w:color w:val="000000" w:themeColor="text1"/>
          <w:sz w:val="24"/>
          <w:highlight w:val="none"/>
          <w14:textFill>
            <w14:solidFill>
              <w14:schemeClr w14:val="tx1"/>
            </w14:solidFill>
          </w14:textFill>
        </w:rPr>
      </w:pPr>
    </w:p>
    <w:p>
      <w:pPr>
        <w:keepNext w:val="0"/>
        <w:keepLines w:val="0"/>
        <w:pageBreakBefore w:val="0"/>
        <w:widowControl w:val="0"/>
        <w:tabs>
          <w:tab w:val="left" w:pos="4860"/>
          <w:tab w:val="left" w:pos="8040"/>
          <w:tab w:val="left" w:pos="8160"/>
        </w:tabs>
        <w:kinsoku/>
        <w:wordWrap/>
        <w:overflowPunct/>
        <w:topLinePunct w:val="0"/>
        <w:autoSpaceDE/>
        <w:autoSpaceDN/>
        <w:bidi w:val="0"/>
        <w:adjustRightInd/>
        <w:spacing w:line="640" w:lineRule="exact"/>
        <w:ind w:right="862" w:firstLine="480" w:firstLineChars="200"/>
        <w:jc w:val="center"/>
        <w:textAlignment w:val="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eastAsia="zh-CN"/>
          <w14:textFill>
            <w14:solidFill>
              <w14:schemeClr w14:val="tx1"/>
            </w14:solidFill>
          </w14:textFill>
        </w:rPr>
        <w:t>供应商</w:t>
      </w:r>
      <w:r>
        <w:rPr>
          <w:rFonts w:hint="eastAsia" w:ascii="仿宋" w:hAnsi="仿宋" w:eastAsia="仿宋" w:cs="仿宋"/>
          <w:color w:val="000000" w:themeColor="text1"/>
          <w:sz w:val="24"/>
          <w:highlight w:val="none"/>
          <w14:textFill>
            <w14:solidFill>
              <w14:schemeClr w14:val="tx1"/>
            </w14:solidFill>
          </w14:textFill>
        </w:rPr>
        <w:t>全称（公章）：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keepNext w:val="0"/>
        <w:keepLines w:val="0"/>
        <w:pageBreakBefore w:val="0"/>
        <w:widowControl w:val="0"/>
        <w:tabs>
          <w:tab w:val="left" w:pos="4860"/>
        </w:tabs>
        <w:kinsoku/>
        <w:wordWrap/>
        <w:overflowPunct/>
        <w:topLinePunct w:val="0"/>
        <w:autoSpaceDE/>
        <w:autoSpaceDN/>
        <w:bidi w:val="0"/>
        <w:adjustRightInd/>
        <w:spacing w:line="640" w:lineRule="exact"/>
        <w:ind w:right="1560" w:firstLine="480" w:firstLineChars="200"/>
        <w:jc w:val="center"/>
        <w:textAlignment w:val="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日  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备注：供应商提供的《</w:t>
      </w:r>
      <w:r>
        <w:rPr>
          <w:rFonts w:hint="eastAsia" w:ascii="仿宋" w:hAnsi="仿宋" w:eastAsia="仿宋" w:cs="仿宋"/>
          <w:b/>
          <w:bCs w:val="0"/>
          <w:color w:val="000000" w:themeColor="text1"/>
          <w:sz w:val="21"/>
          <w:szCs w:val="20"/>
          <w:highlight w:val="none"/>
          <w14:textFill>
            <w14:solidFill>
              <w14:schemeClr w14:val="tx1"/>
            </w14:solidFill>
          </w14:textFill>
        </w:rPr>
        <w:t>监狱、戒毒企业</w:t>
      </w:r>
      <w:r>
        <w:rPr>
          <w:rFonts w:hint="eastAsia" w:ascii="仿宋" w:hAnsi="仿宋" w:eastAsia="仿宋" w:cs="仿宋"/>
          <w:b/>
          <w:bCs w:val="0"/>
          <w:color w:val="000000" w:themeColor="text1"/>
          <w:kern w:val="0"/>
          <w:sz w:val="21"/>
          <w:szCs w:val="20"/>
          <w:highlight w:val="none"/>
          <w:lang w:val="zh-CN"/>
          <w14:textFill>
            <w14:solidFill>
              <w14:schemeClr w14:val="tx1"/>
            </w14:solidFill>
          </w14:textFill>
        </w:rPr>
        <w:t>声明函》必须真实有效，供应商</w:t>
      </w:r>
      <w:r>
        <w:rPr>
          <w:rFonts w:hint="eastAsia" w:ascii="仿宋" w:hAnsi="仿宋" w:eastAsia="仿宋" w:cs="仿宋"/>
          <w:b/>
          <w:bCs w:val="0"/>
          <w:color w:val="000000" w:themeColor="text1"/>
          <w:sz w:val="21"/>
          <w:szCs w:val="20"/>
          <w:highlight w:val="none"/>
          <w14:textFill>
            <w14:solidFill>
              <w14:schemeClr w14:val="tx1"/>
            </w14:solidFill>
          </w14:textFill>
        </w:rPr>
        <w:t>应当提供由省级以上监狱管理局、戒毒管理局(含新疆生产建设兵团)出具的属于监狱企业的证明文件。</w:t>
      </w: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16"/>
        <w:rPr>
          <w:rFonts w:hint="eastAsia" w:ascii="仿宋" w:hAnsi="仿宋" w:eastAsia="仿宋" w:cs="仿宋"/>
          <w:color w:val="000000" w:themeColor="text1"/>
          <w:kern w:val="0"/>
          <w:sz w:val="28"/>
          <w:szCs w:val="28"/>
          <w:highlight w:val="none"/>
          <w14:textFill>
            <w14:solidFill>
              <w14:schemeClr w14:val="tx1"/>
            </w14:solidFill>
          </w14:textFill>
        </w:rPr>
      </w:pPr>
    </w:p>
    <w:p>
      <w:pPr>
        <w:pStyle w:val="41"/>
        <w:spacing w:line="560" w:lineRule="exact"/>
        <w:ind w:firstLine="0" w:firstLineChars="0"/>
        <w:jc w:val="both"/>
        <w:rPr>
          <w:rFonts w:hint="eastAsia" w:ascii="仿宋" w:hAnsi="仿宋" w:eastAsia="仿宋" w:cs="仿宋"/>
          <w:b/>
          <w:bCs/>
          <w:color w:val="000000" w:themeColor="text1"/>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br w:type="page"/>
      </w:r>
    </w:p>
    <w:p>
      <w:pPr>
        <w:rPr>
          <w:rFonts w:hint="eastAsia" w:ascii="仿宋" w:hAnsi="仿宋" w:eastAsia="仿宋" w:cs="仿宋"/>
          <w:color w:val="000000" w:themeColor="text1"/>
          <w:highlight w:val="none"/>
          <w14:textFill>
            <w14:solidFill>
              <w14:schemeClr w14:val="tx1"/>
            </w14:solidFill>
          </w14:textFill>
        </w:rPr>
      </w:pPr>
    </w:p>
    <w:p>
      <w:pPr>
        <w:spacing w:line="460" w:lineRule="exac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lang w:eastAsia="zh-CN"/>
          <w14:textFill>
            <w14:solidFill>
              <w14:schemeClr w14:val="tx1"/>
            </w14:solidFill>
          </w14:textFill>
        </w:rPr>
        <w:t>竞争性磋商响应</w:t>
      </w:r>
      <w:r>
        <w:rPr>
          <w:rFonts w:hint="eastAsia" w:ascii="仿宋" w:hAnsi="仿宋" w:eastAsia="仿宋" w:cs="仿宋"/>
          <w:b/>
          <w:color w:val="000000" w:themeColor="text1"/>
          <w:sz w:val="24"/>
          <w:highlight w:val="none"/>
          <w14:textFill>
            <w14:solidFill>
              <w14:schemeClr w14:val="tx1"/>
            </w14:solidFill>
          </w14:textFill>
        </w:rPr>
        <w:t>文件封袋正面标识式样</w:t>
      </w:r>
    </w:p>
    <w:p>
      <w:pPr>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144145</wp:posOffset>
                </wp:positionH>
                <wp:positionV relativeFrom="paragraph">
                  <wp:posOffset>157480</wp:posOffset>
                </wp:positionV>
                <wp:extent cx="5678805" cy="7706360"/>
                <wp:effectExtent l="5080" t="4445" r="12065" b="23495"/>
                <wp:wrapNone/>
                <wp:docPr id="5" name="文本框 5"/>
                <wp:cNvGraphicFramePr/>
                <a:graphic xmlns:a="http://schemas.openxmlformats.org/drawingml/2006/main">
                  <a:graphicData uri="http://schemas.microsoft.com/office/word/2010/wordprocessingShape">
                    <wps:wsp>
                      <wps:cNvSpPr txBox="1"/>
                      <wps:spPr>
                        <a:xfrm>
                          <a:off x="0" y="0"/>
                          <a:ext cx="5678805" cy="7706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1"/>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rPr>
                                <w:rFonts w:hint="eastAsia" w:ascii="仿宋" w:hAnsi="仿宋" w:eastAsia="仿宋" w:cs="仿宋"/>
                                <w:color w:val="auto"/>
                              </w:rPr>
                            </w:pPr>
                          </w:p>
                          <w:p>
                            <w:pPr>
                              <w:pStyle w:val="11"/>
                              <w:rPr>
                                <w:rFonts w:hint="eastAsia"/>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1"/>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wps:txbx>
                      <wps:bodyPr upright="1"/>
                    </wps:wsp>
                  </a:graphicData>
                </a:graphic>
              </wp:anchor>
            </w:drawing>
          </mc:Choice>
          <mc:Fallback>
            <w:pict>
              <v:shape id="_x0000_s1026" o:spid="_x0000_s1026" o:spt="202" type="#_x0000_t202" style="position:absolute;left:0pt;margin-left:11.35pt;margin-top:12.4pt;height:606.8pt;width:447.15pt;z-index:251666432;mso-width-relative:page;mso-height-relative:page;" fillcolor="#FFFFFF" filled="t" stroked="t" coordsize="21600,21600" o:gfxdata="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QcYB2QAAAAoBAAAPAAAAAAAAAAEA&#10;IAAAACIAAABkcnMvZG93bnJldi54bWxQSwECFAAUAAAACACHTuJA/Kc8Zg4CAAA3BAAADgAAAAAA&#10;AAABACAAAAAoAQAAZHJzL2Uyb0RvYy54bWxQSwUGAAAAAAYABgBZAQAAqAUAAAAA&#10;">
                <v:fill on="t" focussize="0,0"/>
                <v:stroke color="#000000" joinstyle="miter"/>
                <v:imagedata o:title=""/>
                <o:lock v:ext="edit" aspectratio="f"/>
                <v:textbox>
                  <w:txbxContent>
                    <w:p>
                      <w:pPr>
                        <w:rPr>
                          <w:rFonts w:hint="eastAsia" w:ascii="仿宋" w:hAnsi="仿宋" w:eastAsia="仿宋" w:cs="仿宋"/>
                          <w:color w:val="00B0F0"/>
                          <w:sz w:val="28"/>
                          <w:szCs w:val="28"/>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sz w:val="28"/>
                          <w:szCs w:val="28"/>
                          <w:lang w:eastAsia="zh-CN"/>
                        </w:rPr>
                        <w:t>华招广和项目管理有限公司</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                                        </w:t>
                      </w:r>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                             </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pStyle w:val="11"/>
                        <w:rPr>
                          <w:rFonts w:hint="eastAsia"/>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lang w:eastAsia="zh-CN"/>
                        </w:rPr>
                        <w:t>竞争性磋商响应</w:t>
                      </w:r>
                      <w:r>
                        <w:rPr>
                          <w:rFonts w:hint="eastAsia" w:ascii="仿宋" w:hAnsi="仿宋" w:eastAsia="仿宋" w:cs="仿宋"/>
                          <w:b/>
                          <w:sz w:val="44"/>
                          <w:szCs w:val="44"/>
                        </w:rPr>
                        <w:t>文件（正本或副本）</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lang w:eastAsia="zh-CN"/>
                        </w:rPr>
                        <w:t>供应商</w:t>
                      </w:r>
                      <w:r>
                        <w:rPr>
                          <w:rFonts w:hint="eastAsia" w:ascii="仿宋" w:hAnsi="仿宋" w:eastAsia="仿宋" w:cs="仿宋"/>
                          <w:sz w:val="28"/>
                          <w:szCs w:val="28"/>
                        </w:rPr>
                        <w:t>全称（公章）：</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640" w:lineRule="exact"/>
                        <w:ind w:firstLine="1540" w:firstLineChars="550"/>
                        <w:textAlignment w:val="auto"/>
                        <w:rPr>
                          <w:rFonts w:hint="eastAsia" w:ascii="仿宋" w:hAnsi="仿宋" w:eastAsia="仿宋" w:cs="仿宋"/>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p>
                    <w:p>
                      <w:pPr>
                        <w:rPr>
                          <w:rFonts w:hint="eastAsia" w:ascii="仿宋" w:hAnsi="仿宋" w:eastAsia="仿宋" w:cs="仿宋"/>
                          <w:color w:val="auto"/>
                        </w:rPr>
                      </w:pPr>
                    </w:p>
                    <w:p>
                      <w:pPr>
                        <w:pStyle w:val="11"/>
                        <w:rPr>
                          <w:rFonts w:hint="eastAsia"/>
                        </w:rPr>
                      </w:pPr>
                    </w:p>
                    <w:p>
                      <w:pPr>
                        <w:pStyle w:val="11"/>
                        <w:jc w:val="center"/>
                        <w:rPr>
                          <w:rFonts w:hint="eastAsia" w:ascii="仿宋" w:hAnsi="仿宋" w:eastAsia="仿宋" w:cs="仿宋"/>
                          <w:color w:val="auto"/>
                        </w:rPr>
                      </w:pPr>
                    </w:p>
                    <w:p>
                      <w:pPr>
                        <w:pStyle w:val="11"/>
                        <w:jc w:val="center"/>
                        <w:rPr>
                          <w:rFonts w:hint="eastAsia" w:ascii="仿宋" w:hAnsi="仿宋" w:eastAsia="仿宋" w:cs="仿宋"/>
                          <w:color w:val="auto"/>
                        </w:rPr>
                      </w:pPr>
                      <w:r>
                        <w:rPr>
                          <w:rFonts w:hint="eastAsia" w:ascii="仿宋" w:hAnsi="仿宋" w:eastAsia="仿宋" w:cs="仿宋"/>
                          <w:color w:val="auto"/>
                        </w:rPr>
                        <w:t>在****年*月*日*时*分之前不得启封</w:t>
                      </w:r>
                    </w:p>
                    <w:p>
                      <w:pPr>
                        <w:pStyle w:val="11"/>
                        <w:rPr>
                          <w:rFonts w:hint="eastAsia" w:ascii="仿宋" w:hAnsi="仿宋" w:eastAsia="仿宋" w:cs="仿宋"/>
                          <w:color w:val="00B0F0"/>
                        </w:rPr>
                      </w:pPr>
                    </w:p>
                    <w:p>
                      <w:pPr>
                        <w:rPr>
                          <w:rFonts w:hint="eastAsia" w:ascii="仿宋" w:hAnsi="仿宋" w:eastAsia="仿宋" w:cs="仿宋"/>
                          <w:color w:val="00B0F0"/>
                          <w:sz w:val="28"/>
                          <w:szCs w:val="28"/>
                        </w:rPr>
                      </w:pPr>
                      <w:r>
                        <w:rPr>
                          <w:rFonts w:hint="eastAsia" w:ascii="仿宋" w:hAnsi="仿宋" w:eastAsia="仿宋" w:cs="仿宋"/>
                          <w:color w:val="00B0F0"/>
                          <w:sz w:val="28"/>
                          <w:szCs w:val="28"/>
                        </w:rPr>
                        <w:t xml:space="preserve">                                </w:t>
                      </w:r>
                    </w:p>
                  </w:txbxContent>
                </v:textbox>
              </v:shape>
            </w:pict>
          </mc:Fallback>
        </mc:AlternateContent>
      </w:r>
    </w:p>
    <w:p>
      <w:pPr>
        <w:snapToGrid w:val="0"/>
        <w:spacing w:line="560" w:lineRule="exact"/>
        <w:jc w:val="center"/>
        <w:rPr>
          <w:rFonts w:hint="eastAsia" w:ascii="仿宋" w:hAnsi="仿宋" w:eastAsia="仿宋" w:cs="仿宋"/>
          <w:b/>
          <w:bCs/>
          <w:color w:val="000000" w:themeColor="text1"/>
          <w:kern w:val="0"/>
          <w:sz w:val="28"/>
          <w:szCs w:val="28"/>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p>
    <w:p>
      <w:pPr>
        <w:widowControl/>
        <w:spacing w:line="560" w:lineRule="exact"/>
        <w:ind w:left="420" w:leftChars="200"/>
        <w:rPr>
          <w:rFonts w:hint="eastAsia" w:ascii="仿宋" w:hAnsi="仿宋" w:eastAsia="仿宋" w:cs="仿宋"/>
          <w:color w:val="000000" w:themeColor="text1"/>
          <w:szCs w:val="24"/>
          <w:highlight w:val="none"/>
          <w14:textFill>
            <w14:solidFill>
              <w14:schemeClr w14:val="tx1"/>
            </w14:solidFill>
          </w14:textFill>
        </w:rPr>
      </w:pPr>
      <w:r>
        <w:rPr>
          <w:rFonts w:hint="eastAsia" w:ascii="仿宋" w:hAnsi="仿宋" w:eastAsia="仿宋" w:cs="仿宋"/>
          <w:color w:val="000000" w:themeColor="text1"/>
          <w:szCs w:val="24"/>
          <w:highlight w:val="none"/>
          <w14:textFill>
            <w14:solidFill>
              <w14:schemeClr w14:val="tx1"/>
            </w14:solidFill>
          </w14:textFill>
        </w:rPr>
        <w:t xml:space="preserve"> </w:t>
      </w:r>
    </w:p>
    <w:p>
      <w:pPr>
        <w:pStyle w:val="1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p>
      <w:pPr>
        <w:spacing w:line="560" w:lineRule="exact"/>
        <w:rPr>
          <w:rFonts w:hint="eastAsia" w:ascii="仿宋" w:hAnsi="仿宋" w:eastAsia="仿宋" w:cs="仿宋"/>
          <w:b/>
          <w:color w:val="000000" w:themeColor="text1"/>
          <w:sz w:val="44"/>
          <w:szCs w:val="44"/>
          <w:highlight w:val="none"/>
          <w14:textFill>
            <w14:solidFill>
              <w14:schemeClr w14:val="tx1"/>
            </w14:solidFill>
          </w14:textFill>
        </w:rPr>
      </w:pPr>
    </w:p>
    <w:p>
      <w:pPr>
        <w:pStyle w:val="11"/>
        <w:rPr>
          <w:rFonts w:hint="eastAsia" w:ascii="仿宋" w:hAnsi="仿宋" w:eastAsia="仿宋" w:cs="仿宋"/>
          <w:color w:val="000000" w:themeColor="text1"/>
          <w:highlight w:val="none"/>
          <w14:textFill>
            <w14:solidFill>
              <w14:schemeClr w14:val="tx1"/>
            </w14:solidFill>
          </w14:textFill>
        </w:rPr>
      </w:pPr>
    </w:p>
    <w:p>
      <w:pPr>
        <w:rPr>
          <w:rFonts w:hint="eastAsia" w:ascii="仿宋" w:hAnsi="仿宋" w:eastAsia="仿宋" w:cs="仿宋"/>
          <w:b/>
          <w:color w:val="000000" w:themeColor="text1"/>
          <w:sz w:val="44"/>
          <w:szCs w:val="44"/>
          <w:highlight w:val="none"/>
          <w14:textFill>
            <w14:solidFill>
              <w14:schemeClr w14:val="tx1"/>
            </w14:solidFill>
          </w14:textFill>
        </w:rPr>
      </w:pPr>
      <w:r>
        <w:rPr>
          <w:rFonts w:hint="eastAsia" w:ascii="仿宋" w:hAnsi="仿宋" w:eastAsia="仿宋" w:cs="仿宋"/>
          <w:b/>
          <w:color w:val="000000" w:themeColor="text1"/>
          <w:sz w:val="44"/>
          <w:szCs w:val="44"/>
          <w:highlight w:val="none"/>
          <w14:textFill>
            <w14:solidFill>
              <w14:schemeClr w14:val="tx1"/>
            </w14:solidFill>
          </w14:textFill>
        </w:rPr>
        <w:br w:type="page"/>
      </w:r>
    </w:p>
    <w:bookmarkEnd w:id="86"/>
    <w:bookmarkEnd w:id="87"/>
    <w:bookmarkEnd w:id="88"/>
    <w:bookmarkEnd w:id="89"/>
    <w:bookmarkEnd w:id="90"/>
    <w:bookmarkEnd w:id="91"/>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pStyle w:val="16"/>
        <w:rPr>
          <w:rFonts w:hint="eastAsia" w:ascii="仿宋" w:hAnsi="仿宋" w:eastAsia="仿宋" w:cs="仿宋"/>
          <w:color w:val="000000" w:themeColor="text1"/>
          <w:sz w:val="24"/>
          <w:highlight w:val="none"/>
          <w14:textFill>
            <w14:solidFill>
              <w14:schemeClr w14:val="tx1"/>
            </w14:solidFill>
          </w14:textFill>
        </w:rPr>
      </w:pP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lang w:val="zh-CN"/>
          <w14:textFill>
            <w14:solidFill>
              <w14:schemeClr w14:val="tx1"/>
            </w14:solidFill>
          </w14:textFill>
        </w:rPr>
        <w:t>为政府采购</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我们更专心</w:t>
      </w:r>
    </w:p>
    <w:p>
      <w:pPr>
        <w:rPr>
          <w:rFonts w:hint="eastAsia" w:ascii="仿宋" w:hAnsi="仿宋" w:eastAsia="仿宋" w:cs="仿宋"/>
          <w:i/>
          <w:iCs/>
          <w:color w:val="000000" w:themeColor="text1"/>
          <w:sz w:val="28"/>
          <w:szCs w:val="22"/>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u w:val="single"/>
          <w14:textFill>
            <w14:solidFill>
              <w14:schemeClr w14:val="tx1"/>
            </w14:solidFill>
          </w14:textFill>
        </w:rPr>
        <w:t xml:space="preserve">                      </w:t>
      </w:r>
      <w:r>
        <w:rPr>
          <w:rFonts w:hint="eastAsia" w:ascii="仿宋" w:hAnsi="仿宋" w:eastAsia="仿宋" w:cs="仿宋"/>
          <w:b/>
          <w:bCs/>
          <w:i/>
          <w:iCs/>
          <w:color w:val="000000" w:themeColor="text1"/>
          <w:sz w:val="48"/>
          <w:szCs w:val="48"/>
          <w:highlight w:val="none"/>
          <w14:textFill>
            <w14:solidFill>
              <w14:schemeClr w14:val="tx1"/>
            </w14:solidFill>
          </w14:textFill>
        </w:rPr>
        <w:t xml:space="preserve">      </w:t>
      </w:r>
    </w:p>
    <w:p>
      <w:pPr>
        <w:jc w:val="center"/>
        <w:rPr>
          <w:rFonts w:hint="eastAsia" w:ascii="仿宋" w:hAnsi="仿宋" w:eastAsia="仿宋" w:cs="仿宋"/>
          <w:b/>
          <w:bCs/>
          <w:i/>
          <w:iCs/>
          <w:color w:val="000000" w:themeColor="text1"/>
          <w:sz w:val="48"/>
          <w:szCs w:val="48"/>
          <w:highlight w:val="none"/>
          <w14:textFill>
            <w14:solidFill>
              <w14:schemeClr w14:val="tx1"/>
            </w14:solidFill>
          </w14:textFill>
        </w:rPr>
      </w:pPr>
      <w:r>
        <w:rPr>
          <w:rFonts w:hint="eastAsia" w:ascii="仿宋" w:hAnsi="仿宋" w:eastAsia="仿宋" w:cs="仿宋"/>
          <w:b/>
          <w:bCs/>
          <w:i/>
          <w:iCs/>
          <w:color w:val="000000" w:themeColor="text1"/>
          <w:sz w:val="48"/>
          <w:szCs w:val="48"/>
          <w:highlight w:val="none"/>
          <w14:textFill>
            <w14:solidFill>
              <w14:schemeClr w14:val="tx1"/>
            </w14:solidFill>
          </w14:textFill>
        </w:rPr>
        <w:t>做政府采购  我们更用心</w:t>
      </w: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pStyle w:val="39"/>
        <w:rPr>
          <w:rFonts w:hint="eastAsia" w:ascii="仿宋" w:hAnsi="仿宋" w:eastAsia="仿宋" w:cs="仿宋"/>
          <w:color w:val="000000" w:themeColor="text1"/>
          <w:highlight w:val="none"/>
          <w:lang w:val="zh-CN"/>
          <w14:textFill>
            <w14:solidFill>
              <w14:schemeClr w14:val="tx1"/>
            </w14:solidFill>
          </w14:textFill>
        </w:rPr>
      </w:pPr>
    </w:p>
    <w:p>
      <w:pPr>
        <w:pStyle w:val="39"/>
        <w:rPr>
          <w:rFonts w:hint="eastAsia" w:ascii="仿宋" w:hAnsi="仿宋" w:eastAsia="仿宋" w:cs="仿宋"/>
          <w:color w:val="000000" w:themeColor="text1"/>
          <w:highlight w:val="none"/>
          <w:lang w:val="zh-CN"/>
          <w14:textFill>
            <w14:solidFill>
              <w14:schemeClr w14:val="tx1"/>
            </w14:solidFill>
          </w14:textFill>
        </w:rPr>
      </w:pPr>
    </w:p>
    <w:p>
      <w:pPr>
        <w:pStyle w:val="39"/>
        <w:rPr>
          <w:rFonts w:hint="eastAsia" w:ascii="仿宋" w:hAnsi="仿宋" w:eastAsia="仿宋" w:cs="仿宋"/>
          <w:color w:val="000000" w:themeColor="text1"/>
          <w:highlight w:val="none"/>
          <w:lang w:val="zh-CN"/>
          <w14:textFill>
            <w14:solidFill>
              <w14:schemeClr w14:val="tx1"/>
            </w14:solidFill>
          </w14:textFill>
        </w:rPr>
      </w:pPr>
    </w:p>
    <w:p>
      <w:pPr>
        <w:pStyle w:val="39"/>
        <w:rPr>
          <w:rFonts w:hint="eastAsia" w:ascii="仿宋" w:hAnsi="仿宋" w:eastAsia="仿宋" w:cs="仿宋"/>
          <w:color w:val="000000" w:themeColor="text1"/>
          <w:highlight w:val="none"/>
          <w:lang w:val="zh-CN"/>
          <w14:textFill>
            <w14:solidFill>
              <w14:schemeClr w14:val="tx1"/>
            </w14:solidFill>
          </w14:textFill>
        </w:rPr>
      </w:pPr>
    </w:p>
    <w:p>
      <w:pPr>
        <w:pStyle w:val="39"/>
        <w:rPr>
          <w:rFonts w:hint="eastAsia" w:ascii="仿宋" w:hAnsi="仿宋" w:eastAsia="仿宋" w:cs="仿宋"/>
          <w:color w:val="000000" w:themeColor="text1"/>
          <w:highlight w:val="none"/>
          <w:lang w:val="zh-CN"/>
          <w14:textFill>
            <w14:solidFill>
              <w14:schemeClr w14:val="tx1"/>
            </w14:solidFill>
          </w14:textFill>
        </w:rPr>
      </w:pPr>
    </w:p>
    <w:p>
      <w:pPr>
        <w:pStyle w:val="39"/>
        <w:rPr>
          <w:rFonts w:hint="eastAsia" w:ascii="仿宋" w:hAnsi="仿宋" w:eastAsia="仿宋" w:cs="仿宋"/>
          <w:color w:val="000000" w:themeColor="text1"/>
          <w:highlight w:val="none"/>
          <w:lang w:val="zh-CN"/>
          <w14:textFill>
            <w14:solidFill>
              <w14:schemeClr w14:val="tx1"/>
            </w14:solidFill>
          </w14:textFill>
        </w:rPr>
      </w:pPr>
    </w:p>
    <w:p>
      <w:pPr>
        <w:pStyle w:val="39"/>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highlight w:val="none"/>
          <w:lang w:val="zh-CN"/>
          <w14:textFill>
            <w14:solidFill>
              <w14:schemeClr w14:val="tx1"/>
            </w14:solidFill>
          </w14:textFill>
        </w:rPr>
      </w:pPr>
    </w:p>
    <w:p>
      <w:pPr>
        <w:rPr>
          <w:rFonts w:hint="eastAsia" w:ascii="仿宋" w:hAnsi="仿宋" w:eastAsia="仿宋" w:cs="仿宋"/>
          <w:color w:val="000000" w:themeColor="text1"/>
          <w:sz w:val="40"/>
          <w:szCs w:val="40"/>
          <w:highlight w:val="none"/>
          <w:lang w:val="zh-CN"/>
          <w14:textFill>
            <w14:solidFill>
              <w14:schemeClr w14:val="tx1"/>
            </w14:solidFill>
          </w14:textFill>
        </w:rPr>
      </w:pPr>
      <w:r>
        <w:rPr>
          <w:rFonts w:hint="eastAsia" w:ascii="仿宋" w:hAnsi="仿宋" w:eastAsia="仿宋" w:cs="仿宋"/>
          <w:color w:val="000000" w:themeColor="text1"/>
          <w:sz w:val="40"/>
          <w:szCs w:val="40"/>
          <w:highlight w:val="none"/>
          <w:lang w:val="zh-CN"/>
          <w14:textFill>
            <w14:solidFill>
              <w14:schemeClr w14:val="tx1"/>
            </w14:solidFill>
          </w14:textFill>
        </w:rPr>
        <w:t>华招广和项目管理有限公司</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autoSpaceDE w:val="0"/>
        <w:autoSpaceDN w:val="0"/>
        <w:spacing w:line="560" w:lineRule="exact"/>
        <w:rPr>
          <w:rFonts w:hint="eastAsia" w:ascii="仿宋" w:hAnsi="仿宋" w:eastAsia="仿宋" w:cs="仿宋"/>
          <w:bCs/>
          <w:color w:val="000000" w:themeColor="text1"/>
          <w:sz w:val="24"/>
          <w:highlight w:val="none"/>
          <w14:textFill>
            <w14:solidFill>
              <w14:schemeClr w14:val="tx1"/>
            </w14:solidFill>
          </w14:textFill>
        </w:rPr>
      </w:pPr>
      <w:r>
        <w:rPr>
          <w:rFonts w:hint="eastAsia" w:ascii="仿宋" w:hAnsi="仿宋" w:eastAsia="仿宋" w:cs="仿宋"/>
          <w:bCs/>
          <w:color w:val="000000" w:themeColor="text1"/>
          <w:sz w:val="24"/>
          <w:highlight w:val="none"/>
          <w:lang w:val="zh-CN"/>
          <w14:textFill>
            <w14:solidFill>
              <w14:schemeClr w14:val="tx1"/>
            </w14:solidFill>
          </w14:textFill>
        </w:rPr>
        <w:t>地</w:t>
      </w:r>
      <w:r>
        <w:rPr>
          <w:rFonts w:hint="eastAsia" w:ascii="仿宋" w:hAnsi="仿宋" w:eastAsia="仿宋" w:cs="仿宋"/>
          <w:bCs/>
          <w:color w:val="000000" w:themeColor="text1"/>
          <w:sz w:val="24"/>
          <w:highlight w:val="none"/>
          <w14:textFill>
            <w14:solidFill>
              <w14:schemeClr w14:val="tx1"/>
            </w14:solidFill>
          </w14:textFill>
        </w:rPr>
        <w:t xml:space="preserve">    </w:t>
      </w:r>
      <w:r>
        <w:rPr>
          <w:rFonts w:hint="eastAsia" w:ascii="仿宋" w:hAnsi="仿宋" w:eastAsia="仿宋" w:cs="仿宋"/>
          <w:bCs/>
          <w:color w:val="000000" w:themeColor="text1"/>
          <w:sz w:val="24"/>
          <w:highlight w:val="none"/>
          <w:lang w:val="zh-CN"/>
          <w14:textFill>
            <w14:solidFill>
              <w14:schemeClr w14:val="tx1"/>
            </w14:solidFill>
          </w14:textFill>
        </w:rPr>
        <w:t>址：</w:t>
      </w:r>
      <w:r>
        <w:rPr>
          <w:rFonts w:hint="eastAsia" w:ascii="仿宋" w:hAnsi="仿宋" w:eastAsia="仿宋" w:cs="仿宋"/>
          <w:bCs/>
          <w:color w:val="000000" w:themeColor="text1"/>
          <w:sz w:val="24"/>
          <w:highlight w:val="none"/>
          <w14:textFill>
            <w14:solidFill>
              <w14:schemeClr w14:val="tx1"/>
            </w14:solidFill>
          </w14:textFill>
        </w:rPr>
        <w:t>西安市朱雀大街南段1号汇成天玺C座18层</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邮    编：710000</w:t>
      </w:r>
    </w:p>
    <w:p>
      <w:pPr>
        <w:autoSpaceDE w:val="0"/>
        <w:autoSpaceDN w:val="0"/>
        <w:spacing w:line="560" w:lineRule="exact"/>
        <w:rPr>
          <w:rFonts w:hint="eastAsia" w:ascii="仿宋" w:hAnsi="仿宋" w:eastAsia="仿宋" w:cs="仿宋"/>
          <w:bCs/>
          <w:color w:val="000000" w:themeColor="text1"/>
          <w:sz w:val="24"/>
          <w:highlight w:val="none"/>
          <w:lang w:eastAsia="zh-CN"/>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电    话：</w:t>
      </w:r>
      <w:r>
        <w:rPr>
          <w:rFonts w:hint="eastAsia" w:ascii="仿宋" w:hAnsi="仿宋" w:eastAsia="仿宋" w:cs="仿宋"/>
          <w:bCs/>
          <w:color w:val="000000" w:themeColor="text1"/>
          <w:sz w:val="24"/>
          <w:highlight w:val="none"/>
          <w:lang w:eastAsia="zh-CN"/>
          <w14:textFill>
            <w14:solidFill>
              <w14:schemeClr w14:val="tx1"/>
            </w14:solidFill>
          </w14:textFill>
        </w:rPr>
        <w:t>029-87592321</w:t>
      </w:r>
    </w:p>
    <w:p>
      <w:pPr>
        <w:autoSpaceDE w:val="0"/>
        <w:autoSpaceDN w:val="0"/>
        <w:spacing w:line="56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电子邮箱：hzghxmglyxgs@163.com</w:t>
      </w:r>
    </w:p>
    <w:p>
      <w:pPr>
        <w:autoSpaceDE w:val="0"/>
        <w:autoSpaceDN w:val="0"/>
        <w:spacing w:line="560" w:lineRule="exact"/>
        <w:rPr>
          <w:rFonts w:hint="eastAsia" w:ascii="仿宋" w:hAnsi="仿宋" w:eastAsia="仿宋" w:cs="仿宋"/>
          <w:color w:val="000000" w:themeColor="text1"/>
          <w:highlight w:val="none"/>
          <w:u w:val="single"/>
          <w14:textFill>
            <w14:solidFill>
              <w14:schemeClr w14:val="tx1"/>
            </w14:solidFill>
          </w14:textFill>
        </w:rPr>
      </w:pPr>
      <w:r>
        <w:rPr>
          <w:rFonts w:hint="eastAsia" w:ascii="仿宋" w:hAnsi="仿宋" w:eastAsia="仿宋" w:cs="仿宋"/>
          <w:color w:val="000000" w:themeColor="text1"/>
          <w:highlight w:val="none"/>
          <w:u w:val="single"/>
          <w14:textFill>
            <w14:solidFill>
              <w14:schemeClr w14:val="tx1"/>
            </w14:solidFill>
          </w14:textFill>
        </w:rPr>
        <w:t xml:space="preserve">                                                          </w:t>
      </w:r>
    </w:p>
    <w:p>
      <w:pPr>
        <w:pStyle w:val="16"/>
        <w:rPr>
          <w:rFonts w:hint="eastAsia" w:ascii="仿宋" w:hAnsi="仿宋" w:eastAsia="仿宋" w:cs="仿宋"/>
          <w:color w:val="000000" w:themeColor="text1"/>
          <w:sz w:val="24"/>
          <w:highlight w:val="none"/>
          <w14:textFill>
            <w14:solidFill>
              <w14:schemeClr w14:val="tx1"/>
            </w14:solidFill>
          </w14:textFill>
        </w:rPr>
      </w:pPr>
    </w:p>
    <w:p>
      <w:pPr>
        <w:rPr>
          <w:rFonts w:hint="eastAsia" w:ascii="仿宋" w:hAnsi="仿宋" w:eastAsia="仿宋" w:cs="仿宋"/>
          <w:color w:val="000000" w:themeColor="text1"/>
          <w:highlight w:val="none"/>
          <w14:textFill>
            <w14:solidFill>
              <w14:schemeClr w14:val="tx1"/>
            </w14:solidFill>
          </w14:textFill>
        </w:rPr>
      </w:pPr>
    </w:p>
    <w:sectPr>
      <w:footerReference r:id="rId22" w:type="default"/>
      <w:pgSz w:w="11907" w:h="16840"/>
      <w:pgMar w:top="1418" w:right="1287" w:bottom="936" w:left="1259"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auto"/>
    <w:pitch w:val="default"/>
    <w:sig w:usb0="E00006FF" w:usb1="0000FCFF" w:usb2="00000001" w:usb3="00000000" w:csb0="6000019F" w:csb1="DFD70000"/>
  </w:font>
  <w:font w:name="SourceHanSansCN-Regular">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楷体" w:hAnsi="楷体" w:eastAsia="楷体" w:cs="楷体"/>
        <w:b/>
        <w:sz w:val="18"/>
        <w:szCs w:val="18"/>
        <w:u w:val="single"/>
      </w:rPr>
    </w:pPr>
    <w:r>
      <w:rPr>
        <w:rFonts w:hint="eastAsia" w:ascii="楷体" w:hAnsi="楷体" w:eastAsia="楷体" w:cs="楷体"/>
        <w:b/>
        <w:sz w:val="18"/>
        <w:szCs w:val="18"/>
      </w:rPr>
      <w:t>第</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PAGE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17</w:t>
    </w:r>
    <w:r>
      <w:rPr>
        <w:rFonts w:hint="eastAsia" w:ascii="楷体" w:hAnsi="楷体" w:eastAsia="楷体" w:cs="楷体"/>
        <w:b/>
        <w:sz w:val="18"/>
        <w:szCs w:val="18"/>
      </w:rPr>
      <w:fldChar w:fldCharType="end"/>
    </w:r>
    <w:r>
      <w:rPr>
        <w:rFonts w:hint="eastAsia" w:ascii="楷体" w:hAnsi="楷体" w:eastAsia="楷体" w:cs="楷体"/>
        <w:b/>
        <w:sz w:val="18"/>
        <w:szCs w:val="18"/>
      </w:rPr>
      <w:t>页 共</w:t>
    </w:r>
    <w:r>
      <w:rPr>
        <w:rFonts w:hint="eastAsia" w:ascii="楷体" w:hAnsi="楷体" w:eastAsia="楷体" w:cs="楷体"/>
        <w:b/>
        <w:sz w:val="18"/>
        <w:szCs w:val="18"/>
      </w:rPr>
      <w:fldChar w:fldCharType="begin"/>
    </w:r>
    <w:r>
      <w:rPr>
        <w:rFonts w:hint="eastAsia" w:ascii="楷体" w:hAnsi="楷体" w:eastAsia="楷体" w:cs="楷体"/>
        <w:b/>
        <w:sz w:val="18"/>
        <w:szCs w:val="18"/>
      </w:rPr>
      <w:instrText xml:space="preserve"> NUMPAGES  \* Arabic  \* MERGEFORMAT </w:instrText>
    </w:r>
    <w:r>
      <w:rPr>
        <w:rFonts w:hint="eastAsia" w:ascii="楷体" w:hAnsi="楷体" w:eastAsia="楷体" w:cs="楷体"/>
        <w:b/>
        <w:sz w:val="18"/>
        <w:szCs w:val="18"/>
      </w:rPr>
      <w:fldChar w:fldCharType="separate"/>
    </w:r>
    <w:r>
      <w:rPr>
        <w:rFonts w:hint="eastAsia" w:ascii="楷体" w:hAnsi="楷体" w:eastAsia="楷体" w:cs="楷体"/>
        <w:b/>
        <w:sz w:val="18"/>
        <w:szCs w:val="18"/>
      </w:rPr>
      <w:t>62</w:t>
    </w:r>
    <w:r>
      <w:rPr>
        <w:rFonts w:hint="eastAsia" w:ascii="楷体" w:hAnsi="楷体" w:eastAsia="楷体" w:cs="楷体"/>
        <w:b/>
        <w:sz w:val="18"/>
        <w:szCs w:val="18"/>
      </w:rPr>
      <w:fldChar w:fldCharType="end"/>
    </w:r>
    <w:r>
      <w:rPr>
        <w:rFonts w:hint="eastAsia" w:ascii="楷体" w:hAnsi="楷体" w:eastAsia="楷体" w:cs="楷体"/>
        <w:b/>
        <w:sz w:val="18"/>
        <w:szCs w:val="18"/>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exact"/>
      <w:ind w:firstLine="103" w:firstLineChars="49"/>
      <w:rPr>
        <w:b/>
        <w:szCs w:val="21"/>
      </w:rPr>
    </w:pPr>
    <w:r>
      <w:rPr>
        <w:rFonts w:hint="eastAsia"/>
        <w:b/>
        <w:szCs w:val="21"/>
      </w:rPr>
      <w:t>--------------</w:t>
    </w:r>
    <w:r>
      <w:rPr>
        <w:rFonts w:hint="eastAsia"/>
        <w:b/>
      </w:rPr>
      <w:t>-</w:t>
    </w:r>
    <w:r>
      <w:rPr>
        <w:rFonts w:hint="eastAsia"/>
        <w:b/>
        <w:szCs w:val="21"/>
      </w:rPr>
      <w:t>--------------------------------------------------</w:t>
    </w:r>
    <w:r>
      <w:rPr>
        <w:szCs w:val="21"/>
      </w:rPr>
      <w:fldChar w:fldCharType="begin"/>
    </w:r>
    <w:r>
      <w:rPr>
        <w:rStyle w:val="28"/>
        <w:szCs w:val="21"/>
      </w:rPr>
      <w:instrText xml:space="preserve"> PAGE </w:instrText>
    </w:r>
    <w:r>
      <w:rPr>
        <w:szCs w:val="21"/>
      </w:rPr>
      <w:fldChar w:fldCharType="separate"/>
    </w:r>
    <w:r>
      <w:rPr>
        <w:rStyle w:val="28"/>
        <w:szCs w:val="21"/>
      </w:rPr>
      <w:t>41</w:t>
    </w:r>
    <w:r>
      <w:rPr>
        <w:szCs w:val="21"/>
      </w:rPr>
      <w:fldChar w:fldCharType="end"/>
    </w:r>
    <w:r>
      <w:rPr>
        <w:rStyle w:val="28"/>
        <w:rFonts w:hint="eastAsia"/>
        <w:szCs w:val="21"/>
      </w:rPr>
      <w:t xml:space="preserve"> </w:t>
    </w:r>
    <w:r>
      <w:rPr>
        <w:rFonts w:hint="eastAsia"/>
        <w:b/>
        <w:szCs w:val="21"/>
      </w:rPr>
      <w:t>---------------------------------------------------------</w:t>
    </w:r>
  </w:p>
  <w:p>
    <w:pPr>
      <w:spacing w:line="280" w:lineRule="exact"/>
      <w:jc w:val="center"/>
      <w:rPr>
        <w:b/>
        <w:szCs w:val="21"/>
      </w:rPr>
    </w:pPr>
    <w:r>
      <w:rPr>
        <w:rFonts w:hint="eastAsia"/>
        <w:b/>
        <w:szCs w:val="21"/>
        <w:lang w:eastAsia="zh-CN"/>
      </w:rPr>
      <w:t>华招广和项目管理有限公司</w:t>
    </w:r>
    <w:r>
      <w:rPr>
        <w:rFonts w:hint="eastAsia"/>
        <w:b/>
        <w:szCs w:val="21"/>
      </w:rPr>
      <w:t xml:space="preserve">  SHAANXI SHANGDE TENDERING CO，LTD</w:t>
    </w:r>
  </w:p>
  <w:p>
    <w:pPr>
      <w:spacing w:line="280" w:lineRule="exact"/>
      <w:jc w:val="center"/>
      <w:rPr>
        <w:rStyle w:val="28"/>
        <w:b/>
        <w:szCs w:val="21"/>
      </w:rPr>
    </w:pPr>
    <w:r>
      <w:rPr>
        <w:rFonts w:hint="eastAsia"/>
        <w:b/>
      </w:rPr>
      <w:t>地 址：西安市南二环西段华融国际A座25层D区   电 话：029-85350801/2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lang w:eastAsia="zh-CN"/>
      </w:rPr>
    </w:pPr>
    <w:r>
      <w:rPr>
        <w:rFonts w:hint="eastAsia" w:ascii="仿宋" w:hAnsi="仿宋" w:eastAsia="仿宋" w:cs="仿宋"/>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238125</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wps:txbx>
                    <wps:bodyPr wrap="none" lIns="0" tIns="0" rIns="0" bIns="0">
                      <a:spAutoFit/>
                    </wps:bodyPr>
                  </wps:wsp>
                </a:graphicData>
              </a:graphic>
            </wp:anchor>
          </w:drawing>
        </mc:Choice>
        <mc:Fallback>
          <w:pict>
            <v:shape id="_x0000_s1026" o:spid="_x0000_s1026" o:spt="202" type="#_x0000_t202" style="position:absolute;left:0pt;margin-top:18.75pt;height:144pt;width:144pt;mso-position-horizontal:center;mso-position-horizontal-relative:margin;mso-wrap-style:none;z-index:251664384;mso-width-relative:page;mso-height-relative:page;" filled="f" stroked="f" coordsize="21600,21600" o:gfxdata="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zf/F1wAAAAcBAAAPAAAAAAAAAAEAIAAAACIAAABkcnMv&#10;ZG93bnJldi54bWxQSwECFAAUAAAACACHTuJA3cXsccsBAACZAwAADgAAAAAAAAABACAAAAAmAQAA&#10;ZHJzL2Uyb0RvYy54bWxQSwUGAAAAAAYABgBZAQAAYwUAAAAA&#10;">
              <v:fill on="f" focussize="0,0"/>
              <v:stroke on="f" weight="1.25pt"/>
              <v:imagedata o:title=""/>
              <o:lock v:ext="edit" aspectratio="f"/>
              <v:textbox inset="0mm,0mm,0mm,0mm" style="mso-fit-shape-to-text:t;">
                <w:txbxContent>
                  <w:p>
                    <w:pPr>
                      <w:pStyle w:val="16"/>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73</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页</w:t>
                    </w:r>
                  </w:p>
                </w:txbxContent>
              </v:textbox>
            </v:shape>
          </w:pict>
        </mc:Fallback>
      </mc:AlternateContent>
    </w: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西安市朱雀大街南段1号汇成天玺C座18层          电话：</w:t>
    </w:r>
    <w:r>
      <w:rPr>
        <w:rFonts w:hint="eastAsia" w:ascii="仿宋" w:hAnsi="仿宋" w:eastAsia="仿宋" w:cs="仿宋"/>
        <w:b/>
        <w:sz w:val="18"/>
        <w:szCs w:val="18"/>
        <w:u w:val="single"/>
        <w:lang w:eastAsia="zh-CN"/>
      </w:rPr>
      <w:t>029-87592321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end"/>
    </w:r>
  </w:p>
  <w:p>
    <w:pPr>
      <w:pStyle w:val="1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楷体" w:hAnsi="楷体" w:eastAsia="楷体" w:cs="楷体"/>
        <w:b/>
        <w:sz w:val="18"/>
        <w:szCs w:val="18"/>
        <w:u w:val="singl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spacing w:line="280" w:lineRule="exact"/>
      <w:rPr>
        <w:rFonts w:ascii="宋体" w:hAnsi="宋体"/>
        <w:b/>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lang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西安市朱雀大街南段1号汇成天玺C座18层          电话：</w:t>
    </w:r>
    <w:r>
      <w:rPr>
        <w:rFonts w:hint="eastAsia" w:ascii="仿宋" w:hAnsi="仿宋" w:eastAsia="仿宋" w:cs="仿宋"/>
        <w:b/>
        <w:sz w:val="18"/>
        <w:szCs w:val="18"/>
        <w:u w:val="single"/>
        <w:lang w:eastAsia="zh-CN"/>
      </w:rPr>
      <w:t>029-87592321</w:t>
    </w:r>
  </w:p>
  <w:p>
    <w:pPr>
      <w:spacing w:line="280" w:lineRule="exact"/>
      <w:jc w:val="center"/>
      <w:rPr>
        <w:rFonts w:ascii="楷体" w:hAnsi="楷体" w:eastAsia="楷体" w:cs="楷体"/>
        <w:b/>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posOffset>2468880</wp:posOffset>
              </wp:positionH>
              <wp:positionV relativeFrom="paragraph">
                <wp:posOffset>36830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4.4pt;margin-top:2.9pt;height:144pt;width:144pt;mso-position-horizontal-relative:margin;mso-wrap-style:none;z-index:251661312;mso-width-relative:page;mso-height-relative:page;" filled="f" stroked="f" coordsize="21600,21600" o:gfxdata="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kqxN7ZAAAACQEAAA8AAAAAAAAAAQAgAAAAIgAAAGRy&#10;cy9kb3ducmV2LnhtbFBLAQIUABQAAAAIAIdO4kApKqhpywEAAJkDAAAOAAAAAAAAAAEAIAAAACgB&#10;AABkcnMvZTJvRG9jLnhtbFBLBQYAAAAABgAGAFkBAABlBQAAAAA=&#10;">
              <v:fill on="f" focussize="0,0"/>
              <v:stroke on="f" weight="1.25pt"/>
              <v:imagedata o:title=""/>
              <o:lock v:ext="edit" aspectratio="f"/>
              <v:textbox inset="0mm,0mm,0mm,0mm" style="mso-fit-shape-to-text:t;">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8</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仿宋" w:hAnsi="仿宋" w:eastAsia="仿宋" w:cs="仿宋"/>
        <w:b/>
        <w:sz w:val="18"/>
        <w:szCs w:val="18"/>
        <w:u w:val="single"/>
        <w:lang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西安市朱雀大街南段1号汇成天玺C座18层          电话：</w:t>
    </w:r>
    <w:r>
      <w:rPr>
        <w:rFonts w:hint="eastAsia" w:ascii="仿宋" w:hAnsi="仿宋" w:eastAsia="仿宋" w:cs="仿宋"/>
        <w:b/>
        <w:sz w:val="18"/>
        <w:szCs w:val="18"/>
        <w:u w:val="single"/>
        <w:lang w:eastAsia="zh-CN"/>
      </w:rPr>
      <w:t>029-87592321</w:t>
    </w:r>
  </w:p>
  <w:p>
    <w:pPr>
      <w:spacing w:line="280" w:lineRule="exact"/>
      <w:jc w:val="center"/>
      <w:rPr>
        <w:rFonts w:ascii="楷体" w:hAnsi="楷体" w:eastAsia="楷体" w:cs="楷体"/>
        <w:b/>
        <w:sz w:val="18"/>
        <w:szCs w:val="18"/>
        <w:u w:val="single"/>
      </w:rPr>
    </w:pPr>
    <w:r>
      <w:rPr>
        <w:sz w:val="18"/>
      </w:rPr>
      <mc:AlternateContent>
        <mc:Choice Requires="wps">
          <w:drawing>
            <wp:anchor distT="0" distB="0" distL="114300" distR="114300" simplePos="0" relativeHeight="251662336" behindDoc="0" locked="0" layoutInCell="1" allowOverlap="1">
              <wp:simplePos x="0" y="0"/>
              <wp:positionH relativeFrom="margin">
                <wp:posOffset>2486025</wp:posOffset>
              </wp:positionH>
              <wp:positionV relativeFrom="paragraph">
                <wp:posOffset>28575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75pt;margin-top:2.25pt;height:144pt;width:144pt;mso-position-horizontal-relative:margin;mso-wrap-style:none;z-index:251662336;mso-width-relative:page;mso-height-relative:page;" filled="f" stroked="f" coordsize="21600,21600" o:gfxdata="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&#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xQ3Ot2gAAAAkBAAAPAAAAAAAAAAEAIAAAACIAAABk&#10;cnMvZG93bnJldi54bWxQSwECFAAUAAAACACHTuJAfwe2bcsBAACZAwAADgAAAAAAAAABACAAAAAp&#10;AQAAZHJzL2Uyb0RvYy54bWxQSwUGAAAAAAYABgBZAQAAZgUAAAAA&#10;">
              <v:fill on="f" focussize="0,0"/>
              <v:stroke on="f" weight="1.25pt"/>
              <v:imagedata o:title=""/>
              <o:lock v:ext="edit" aspectratio="f"/>
              <v:textbox inset="0mm,0mm,0mm,0mm" style="mso-fit-shape-to-text:t;">
                <w:txbxContent>
                  <w:p>
                    <w:pPr>
                      <w:pStyle w:val="1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76</w:t>
                    </w:r>
                    <w:r>
                      <w:fldChar w:fldCharType="end"/>
                    </w:r>
                    <w:r>
                      <w:rPr>
                        <w:rFonts w:hint="eastAsia"/>
                      </w:rPr>
                      <w:t xml:space="preserve"> 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90" w:firstLineChars="50"/>
      <w:rPr>
        <w:rStyle w:val="28"/>
      </w:rPr>
    </w:pPr>
    <w:r>
      <w:rPr>
        <w:rStyle w:val="28"/>
        <w:rFonts w:hint="eastAsia"/>
      </w:rPr>
      <w:t xml:space="preserve">  </w:t>
    </w:r>
  </w:p>
  <w:p>
    <w:pPr>
      <w:spacing w:line="280" w:lineRule="exact"/>
      <w:jc w:val="center"/>
      <w:rPr>
        <w:rFonts w:hint="eastAsia" w:ascii="仿宋" w:hAnsi="仿宋" w:eastAsia="仿宋" w:cs="仿宋"/>
        <w:b/>
        <w:sz w:val="18"/>
        <w:szCs w:val="18"/>
        <w:u w:val="single"/>
        <w:lang w:eastAsia="zh-CN"/>
      </w:rPr>
    </w:pPr>
    <w:r>
      <w:rPr>
        <w:rFonts w:hint="eastAsia" w:ascii="仿宋" w:hAnsi="仿宋" w:eastAsia="仿宋" w:cs="仿宋"/>
        <w:b/>
        <w:sz w:val="18"/>
        <w:szCs w:val="18"/>
        <w:u w:val="single"/>
        <w:lang w:eastAsia="zh-CN"/>
      </w:rPr>
      <w:t>华招广和项目管理有限公司</w:t>
    </w:r>
    <w:r>
      <w:rPr>
        <w:rFonts w:hint="eastAsia" w:ascii="仿宋" w:hAnsi="仿宋" w:eastAsia="仿宋" w:cs="仿宋"/>
        <w:b/>
        <w:sz w:val="18"/>
        <w:szCs w:val="18"/>
        <w:u w:val="single"/>
      </w:rPr>
      <w:t xml:space="preserve">        西安市朱雀大街南段1号汇成天玺C座18层          电话：</w:t>
    </w:r>
    <w:r>
      <w:rPr>
        <w:rFonts w:hint="eastAsia" w:ascii="仿宋" w:hAnsi="仿宋" w:eastAsia="仿宋" w:cs="仿宋"/>
        <w:b/>
        <w:sz w:val="18"/>
        <w:szCs w:val="18"/>
        <w:u w:val="single"/>
        <w:lang w:eastAsia="zh-CN"/>
      </w:rPr>
      <w:t>029-87592321</w:t>
    </w:r>
  </w:p>
  <w:p>
    <w:pPr>
      <w:spacing w:line="280" w:lineRule="exact"/>
      <w:jc w:val="center"/>
      <w:rPr>
        <w:rFonts w:hint="eastAsia" w:ascii="仿宋" w:hAnsi="仿宋" w:eastAsia="仿宋" w:cs="仿宋"/>
        <w:b/>
        <w:sz w:val="18"/>
        <w:szCs w:val="18"/>
      </w:rPr>
    </w:pPr>
    <w:r>
      <w:rPr>
        <w:rFonts w:hint="eastAsia" w:ascii="仿宋" w:hAnsi="仿宋" w:eastAsia="仿宋" w:cs="仿宋"/>
        <w:sz w:val="18"/>
      </w:rPr>
      <mc:AlternateContent>
        <mc:Choice Requires="wps">
          <w:drawing>
            <wp:anchor distT="0" distB="0" distL="114300" distR="114300" simplePos="0" relativeHeight="251663360" behindDoc="0" locked="0" layoutInCell="1" allowOverlap="1">
              <wp:simplePos x="0" y="0"/>
              <wp:positionH relativeFrom="margin">
                <wp:posOffset>4151630</wp:posOffset>
              </wp:positionH>
              <wp:positionV relativeFrom="paragraph">
                <wp:posOffset>48260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326.9pt;margin-top:3.8pt;height:144pt;width:144pt;mso-position-horizontal-relative:margin;mso-wrap-style:none;z-index:251663360;mso-width-relative:page;mso-height-relative:page;" filled="f" stroked="f" coordsize="21600,21600" o:gfxdata="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NUyCo2QAAAAkBAAAPAAAAAAAAAAEAIAAAACIAAABk&#10;cnMvZG93bnJldi54bWxQSwECFAAUAAAACACHTuJAJDON3MwBAACZAwAADgAAAAAAAAABACAAAAAo&#10;AQAAZHJzL2Uyb0RvYy54bWxQSwUGAAAAAAYABgBZAQAAZgUAAAAA&#10;">
              <v:fill on="f" focussize="0,0"/>
              <v:stroke on="f" weight="1.25pt"/>
              <v:imagedata o:title=""/>
              <o:lock v:ext="edit" aspectratio="f"/>
              <v:textbox inset="0mm,0mm,0mm,0mm" style="mso-fit-shape-to-text:t;">
                <w:txbxContent>
                  <w:p>
                    <w:pPr>
                      <w:pStyle w:val="16"/>
                      <w:jc w:val="center"/>
                      <w:rPr>
                        <w:rFonts w:hint="eastAsia" w:ascii="仿宋" w:hAnsi="仿宋" w:eastAsia="仿宋" w:cs="仿宋"/>
                      </w:rPr>
                    </w:pPr>
                    <w:r>
                      <w:rPr>
                        <w:rFonts w:hint="eastAsia" w:ascii="仿宋" w:hAnsi="仿宋" w:eastAsia="仿宋" w:cs="仿宋"/>
                      </w:rPr>
                      <w:t xml:space="preserve">第 </w:t>
                    </w:r>
                    <w:r>
                      <w:rPr>
                        <w:rFonts w:hint="eastAsia" w:ascii="仿宋" w:hAnsi="仿宋" w:eastAsia="仿宋" w:cs="仿宋"/>
                      </w:rPr>
                      <w:fldChar w:fldCharType="begin"/>
                    </w:r>
                    <w:r>
                      <w:rPr>
                        <w:rFonts w:hint="eastAsia" w:ascii="仿宋" w:hAnsi="仿宋" w:eastAsia="仿宋" w:cs="仿宋"/>
                      </w:rPr>
                      <w:instrText xml:space="preserve"> PAGE  \* MERGEFORMAT </w:instrText>
                    </w:r>
                    <w:r>
                      <w:rPr>
                        <w:rFonts w:hint="eastAsia" w:ascii="仿宋" w:hAnsi="仿宋" w:eastAsia="仿宋" w:cs="仿宋"/>
                      </w:rPr>
                      <w:fldChar w:fldCharType="separate"/>
                    </w:r>
                    <w:r>
                      <w:rPr>
                        <w:rFonts w:hint="eastAsia" w:ascii="仿宋" w:hAnsi="仿宋" w:eastAsia="仿宋" w:cs="仿宋"/>
                      </w:rPr>
                      <w:t>56</w:t>
                    </w:r>
                    <w:r>
                      <w:rPr>
                        <w:rFonts w:hint="eastAsia" w:ascii="仿宋" w:hAnsi="仿宋" w:eastAsia="仿宋" w:cs="仿宋"/>
                      </w:rPr>
                      <w:fldChar w:fldCharType="end"/>
                    </w:r>
                    <w:r>
                      <w:rPr>
                        <w:rFonts w:hint="eastAsia" w:ascii="仿宋" w:hAnsi="仿宋" w:eastAsia="仿宋" w:cs="仿宋"/>
                      </w:rPr>
                      <w:t xml:space="preserve"> 页 共 </w:t>
                    </w:r>
                    <w:r>
                      <w:rPr>
                        <w:rFonts w:hint="eastAsia" w:ascii="仿宋" w:hAnsi="仿宋" w:eastAsia="仿宋" w:cs="仿宋"/>
                      </w:rPr>
                      <w:fldChar w:fldCharType="begin"/>
                    </w:r>
                    <w:r>
                      <w:rPr>
                        <w:rFonts w:hint="eastAsia" w:ascii="仿宋" w:hAnsi="仿宋" w:eastAsia="仿宋" w:cs="仿宋"/>
                      </w:rPr>
                      <w:instrText xml:space="preserve"> NUMPAGES  \* MERGEFORMAT </w:instrText>
                    </w:r>
                    <w:r>
                      <w:rPr>
                        <w:rFonts w:hint="eastAsia" w:ascii="仿宋" w:hAnsi="仿宋" w:eastAsia="仿宋" w:cs="仿宋"/>
                      </w:rPr>
                      <w:fldChar w:fldCharType="separate"/>
                    </w:r>
                    <w:r>
                      <w:rPr>
                        <w:rFonts w:hint="eastAsia" w:ascii="仿宋" w:hAnsi="仿宋" w:eastAsia="仿宋" w:cs="仿宋"/>
                      </w:rPr>
                      <w:t>76</w:t>
                    </w:r>
                    <w:r>
                      <w:rPr>
                        <w:rFonts w:hint="eastAsia" w:ascii="仿宋" w:hAnsi="仿宋" w:eastAsia="仿宋" w:cs="仿宋"/>
                      </w:rPr>
                      <w:fldChar w:fldCharType="end"/>
                    </w:r>
                    <w:r>
                      <w:rPr>
                        <w:rFonts w:hint="eastAsia" w:ascii="仿宋" w:hAnsi="仿宋" w:eastAsia="仿宋" w:cs="仿宋"/>
                      </w:rP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hint="eastAsia" w:ascii="楷体" w:hAnsi="楷体" w:eastAsia="楷体" w:cs="楷体"/>
        <w:b/>
        <w:sz w:val="18"/>
        <w:szCs w:val="18"/>
        <w:u w:val="single"/>
        <w:lang w:eastAsia="zh-CN"/>
      </w:rPr>
    </w:pPr>
    <w:r>
      <w:rPr>
        <w:sz w:val="18"/>
      </w:rPr>
      <mc:AlternateContent>
        <mc:Choice Requires="wps">
          <w:drawing>
            <wp:anchor distT="0" distB="0" distL="114300" distR="114300" simplePos="0" relativeHeight="251665408" behindDoc="0" locked="0" layoutInCell="1" allowOverlap="1">
              <wp:simplePos x="0" y="0"/>
              <wp:positionH relativeFrom="margin">
                <wp:posOffset>2484755</wp:posOffset>
              </wp:positionH>
              <wp:positionV relativeFrom="paragraph">
                <wp:posOffset>198755</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left:195.65pt;margin-top:15.65pt;height:144pt;width:144pt;mso-position-horizontal-relative:margin;mso-wrap-style:none;z-index:251665408;mso-width-relative:page;mso-height-relative:page;" filled="f" stroked="f" coordsize="21600,21600" o:gfxdata="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6nxK1wAAAAoBAAAPAAAAAAAAAAEAIAAAACIAAABkcnMv&#10;ZG93bnJldi54bWxQSwECFAAUAAAACACHTuJA012KZcsBAACZAwAADgAAAAAAAAABACAAAAAmAQAA&#10;ZHJzL2Uyb0RvYy54bWxQSwUGAAAAAAYABgBZAQAAYwUAAAAA&#10;">
              <v:fill on="f" focussize="0,0"/>
              <v:stroke on="f" weight="1.25pt"/>
              <v:imagedata o:title=""/>
              <o:lock v:ext="edit" aspectratio="f"/>
              <v:textbox inset="0mm,0mm,0mm,0mm" style="mso-fit-shape-to-text:t;">
                <w:txbxContent>
                  <w:p>
                    <w:pPr>
                      <w:pStyle w:val="16"/>
                      <w:rPr>
                        <w:rFonts w:ascii="楷体" w:hAnsi="楷体" w:eastAsia="楷体" w:cs="楷体"/>
                      </w:rPr>
                    </w:pPr>
                    <w:r>
                      <w:rPr>
                        <w:rFonts w:hint="eastAsia" w:ascii="楷体" w:hAnsi="楷体" w:eastAsia="楷体" w:cs="楷体"/>
                      </w:rPr>
                      <w:t xml:space="preserve">第 </w:t>
                    </w:r>
                    <w:r>
                      <w:rPr>
                        <w:rFonts w:hint="eastAsia" w:ascii="楷体" w:hAnsi="楷体" w:eastAsia="楷体" w:cs="楷体"/>
                      </w:rPr>
                      <w:fldChar w:fldCharType="begin"/>
                    </w:r>
                    <w:r>
                      <w:rPr>
                        <w:rFonts w:hint="eastAsia" w:ascii="楷体" w:hAnsi="楷体" w:eastAsia="楷体" w:cs="楷体"/>
                      </w:rPr>
                      <w:instrText xml:space="preserve"> PAGE  \* MERGEFORMAT </w:instrText>
                    </w:r>
                    <w:r>
                      <w:rPr>
                        <w:rFonts w:hint="eastAsia" w:ascii="楷体" w:hAnsi="楷体" w:eastAsia="楷体" w:cs="楷体"/>
                      </w:rPr>
                      <w:fldChar w:fldCharType="separate"/>
                    </w:r>
                    <w:r>
                      <w:rPr>
                        <w:rFonts w:ascii="楷体" w:hAnsi="楷体" w:eastAsia="楷体" w:cs="楷体"/>
                      </w:rPr>
                      <w:t>59</w:t>
                    </w:r>
                    <w:r>
                      <w:rPr>
                        <w:rFonts w:hint="eastAsia" w:ascii="楷体" w:hAnsi="楷体" w:eastAsia="楷体" w:cs="楷体"/>
                      </w:rPr>
                      <w:fldChar w:fldCharType="end"/>
                    </w:r>
                    <w:r>
                      <w:rPr>
                        <w:rFonts w:hint="eastAsia" w:ascii="楷体" w:hAnsi="楷体" w:eastAsia="楷体" w:cs="楷体"/>
                      </w:rPr>
                      <w:t xml:space="preserve"> 页 共 </w:t>
                    </w:r>
                    <w:r>
                      <w:rPr>
                        <w:rFonts w:hint="eastAsia" w:ascii="楷体" w:hAnsi="楷体" w:eastAsia="楷体" w:cs="楷体"/>
                      </w:rPr>
                      <w:fldChar w:fldCharType="begin"/>
                    </w:r>
                    <w:r>
                      <w:rPr>
                        <w:rFonts w:hint="eastAsia" w:ascii="楷体" w:hAnsi="楷体" w:eastAsia="楷体" w:cs="楷体"/>
                      </w:rPr>
                      <w:instrText xml:space="preserve"> NUMPAGES  \* MERGEFORMAT </w:instrText>
                    </w:r>
                    <w:r>
                      <w:rPr>
                        <w:rFonts w:hint="eastAsia" w:ascii="楷体" w:hAnsi="楷体" w:eastAsia="楷体" w:cs="楷体"/>
                      </w:rPr>
                      <w:fldChar w:fldCharType="separate"/>
                    </w:r>
                    <w:r>
                      <w:rPr>
                        <w:rFonts w:ascii="楷体" w:hAnsi="楷体" w:eastAsia="楷体" w:cs="楷体"/>
                      </w:rPr>
                      <w:t>76</w:t>
                    </w:r>
                    <w:r>
                      <w:rPr>
                        <w:rFonts w:hint="eastAsia" w:ascii="楷体" w:hAnsi="楷体" w:eastAsia="楷体" w:cs="楷体"/>
                      </w:rPr>
                      <w:fldChar w:fldCharType="end"/>
                    </w:r>
                    <w:r>
                      <w:rPr>
                        <w:rFonts w:hint="eastAsia" w:ascii="楷体" w:hAnsi="楷体" w:eastAsia="楷体" w:cs="楷体"/>
                      </w:rPr>
                      <w:t xml:space="preserve"> 页</w:t>
                    </w:r>
                  </w:p>
                </w:txbxContent>
              </v:textbox>
            </v:shape>
          </w:pict>
        </mc:Fallback>
      </mc:AlternateContent>
    </w:r>
    <w:r>
      <w:rPr>
        <w:rFonts w:hint="eastAsia" w:ascii="楷体" w:hAnsi="楷体" w:eastAsia="楷体" w:cs="楷体"/>
        <w:b/>
        <w:sz w:val="18"/>
        <w:szCs w:val="18"/>
        <w:u w:val="single"/>
        <w:lang w:eastAsia="zh-CN"/>
      </w:rPr>
      <w:t>华招广和项目管理有限公司</w:t>
    </w:r>
    <w:r>
      <w:rPr>
        <w:rFonts w:hint="eastAsia" w:ascii="楷体" w:hAnsi="楷体" w:eastAsia="楷体" w:cs="楷体"/>
        <w:b/>
        <w:sz w:val="18"/>
        <w:szCs w:val="18"/>
        <w:u w:val="single"/>
      </w:rPr>
      <w:t xml:space="preserve">        西安市朱雀大街南段1号汇成天玺C座18层          电话：</w:t>
    </w:r>
    <w:r>
      <w:rPr>
        <w:rFonts w:hint="eastAsia" w:ascii="楷体" w:hAnsi="楷体" w:eastAsia="楷体" w:cs="楷体"/>
        <w:b/>
        <w:sz w:val="18"/>
        <w:szCs w:val="18"/>
        <w:u w:val="single"/>
        <w:lang w:eastAsia="zh-CN"/>
      </w:rPr>
      <w:t>029-87592321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楷体" w:hAnsi="楷体" w:eastAsia="楷体" w:cs="楷体"/>
        <w:b/>
        <w:sz w:val="18"/>
        <w:szCs w:val="18"/>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宋体" w:hAnsi="宋体"/>
        <w:b/>
        <w:kern w:val="144"/>
        <w:sz w:val="21"/>
        <w:szCs w:val="21"/>
        <w:u w:val="single"/>
        <w:shd w:val="pct10" w:color="auto" w:fill="FFFF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黑体" w:eastAsia="黑体"/>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r>
      <w:rPr>
        <w:rFonts w:hint="eastAsia" w:ascii="仿宋" w:hAnsi="仿宋" w:eastAsia="仿宋" w:cs="仿宋"/>
        <w:b/>
        <w:u w:val="single"/>
        <w:lang w:val="en-US" w:eastAsia="zh-CN"/>
      </w:rPr>
      <w:t>农村生活饮用水检测项目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left"/>
    </w:pPr>
    <w:r>
      <w:rPr>
        <w:rFonts w:hint="eastAsia" w:ascii="仿宋" w:hAnsi="仿宋" w:eastAsia="仿宋" w:cs="仿宋"/>
        <w:b/>
        <w:u w:val="single"/>
        <w:lang w:val="en-US" w:eastAsia="zh-CN"/>
      </w:rPr>
      <w:t>农村生活饮用水检测项目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rPr>
        <w:rFonts w:ascii="楷体" w:hAnsi="楷体" w:eastAsia="楷体" w:cs="楷体"/>
        <w:b/>
        <w:u w:val="single"/>
        <w:shd w:val="pct10" w:color="auto" w:fill="FFFFFF"/>
      </w:rPr>
    </w:pPr>
    <w:r>
      <w:rPr>
        <w:rFonts w:hint="eastAsia" w:ascii="仿宋" w:hAnsi="仿宋" w:eastAsia="仿宋" w:cs="仿宋"/>
        <w:b/>
        <w:u w:val="single"/>
        <w:lang w:val="en-US" w:eastAsia="zh-CN"/>
      </w:rPr>
      <w:t>农村生活饮用水检测项目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r>
      <w:rPr>
        <w:rFonts w:hint="eastAsia" w:ascii="楷体" w:hAnsi="楷体" w:eastAsia="楷体" w:cs="楷体"/>
        <w:b/>
        <w:u w:val="singl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Cs w:val="21"/>
        <w:shd w:val="pct10" w:color="auto" w:fill="FFFFFF"/>
      </w:rPr>
    </w:pPr>
    <w:r>
      <w:rPr>
        <w:rFonts w:hint="eastAsia" w:ascii="宋体" w:hAnsi="宋体"/>
        <w:b/>
        <w:lang w:eastAsia="zh-CN"/>
      </w:rPr>
      <w:t>韩城市疾病预防控制中心关于武功县设施农业用地上图入库第二阶段采购项目</w:t>
    </w:r>
    <w:r>
      <w:rPr>
        <w:rFonts w:hint="eastAsia" w:ascii="宋体" w:hAnsi="宋体"/>
        <w:b/>
      </w:rPr>
      <w:t xml:space="preserve">                  文件编号: GDZB-2017-0000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jc w:val="both"/>
    </w:pPr>
    <w:r>
      <w:rPr>
        <w:rFonts w:hint="eastAsia" w:ascii="仿宋" w:hAnsi="仿宋" w:eastAsia="仿宋" w:cs="仿宋"/>
        <w:b/>
        <w:u w:val="single"/>
        <w:lang w:val="en-US" w:eastAsia="zh-CN"/>
      </w:rPr>
      <w:t>农村生活饮用水检测项目</w:t>
    </w:r>
    <w:r>
      <w:rPr>
        <w:rFonts w:hint="eastAsia" w:ascii="仿宋" w:hAnsi="仿宋" w:eastAsia="仿宋" w:cs="仿宋"/>
        <w:b/>
        <w:u w:val="single"/>
      </w:rPr>
      <w:t xml:space="preserve">    </w:t>
    </w:r>
    <w:r>
      <w:rPr>
        <w:rFonts w:hint="eastAsia" w:ascii="仿宋" w:hAnsi="仿宋" w:eastAsia="仿宋" w:cs="仿宋"/>
        <w:b/>
        <w:u w:val="single"/>
        <w:lang w:val="en-US" w:eastAsia="zh-CN"/>
      </w:rPr>
      <w:t xml:space="preserve">                                                             </w:t>
    </w:r>
    <w:r>
      <w:rPr>
        <w:rFonts w:hint="eastAsia" w:ascii="仿宋" w:hAnsi="仿宋" w:eastAsia="仿宋" w:cs="仿宋"/>
        <w:b/>
        <w:u w:val="single"/>
        <w:lang w:eastAsia="zh-CN"/>
      </w:rPr>
      <w:t>竞争性磋商文件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ascii="宋体" w:hAnsi="宋体"/>
        <w:b/>
        <w:sz w:val="21"/>
        <w:szCs w:val="21"/>
        <w:shd w:val="pct10" w:color="auto" w:fill="FFFFFF"/>
      </w:rPr>
    </w:pPr>
    <w:r>
      <w:rPr>
        <w:rFonts w:hint="eastAsia" w:ascii="宋体" w:hAnsi="宋体"/>
        <w:b/>
        <w:sz w:val="21"/>
        <w:szCs w:val="21"/>
        <w:shd w:val="pct10" w:color="auto" w:fill="FFFFFF"/>
      </w:rPr>
      <w:t>西安市经开区高陵区重大项目测量评估公司入围项目              文件编号:SDZB2017-2361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1C707A"/>
    <w:multiLevelType w:val="singleLevel"/>
    <w:tmpl w:val="B21C707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ZTVlYjc4MTYxOWE0MmI4MTYyZmE4NjhhODg0NWUifQ=="/>
  </w:docVars>
  <w:rsids>
    <w:rsidRoot w:val="5CA52231"/>
    <w:rsid w:val="00295C4C"/>
    <w:rsid w:val="00314C9C"/>
    <w:rsid w:val="003D1B79"/>
    <w:rsid w:val="004006FE"/>
    <w:rsid w:val="004E284B"/>
    <w:rsid w:val="00574C91"/>
    <w:rsid w:val="00605C8A"/>
    <w:rsid w:val="00716A3F"/>
    <w:rsid w:val="0099218B"/>
    <w:rsid w:val="00AE2E12"/>
    <w:rsid w:val="00C56673"/>
    <w:rsid w:val="016D4D4A"/>
    <w:rsid w:val="018848B9"/>
    <w:rsid w:val="01AF53D2"/>
    <w:rsid w:val="01E01AFA"/>
    <w:rsid w:val="026F22F1"/>
    <w:rsid w:val="02A117CD"/>
    <w:rsid w:val="02AA1D26"/>
    <w:rsid w:val="02D33E38"/>
    <w:rsid w:val="030C1D6D"/>
    <w:rsid w:val="0317331D"/>
    <w:rsid w:val="03427D59"/>
    <w:rsid w:val="037759E0"/>
    <w:rsid w:val="03AC6219"/>
    <w:rsid w:val="04083177"/>
    <w:rsid w:val="046907DC"/>
    <w:rsid w:val="046B31A0"/>
    <w:rsid w:val="04740EAB"/>
    <w:rsid w:val="04BE50B1"/>
    <w:rsid w:val="065027ED"/>
    <w:rsid w:val="06670CDB"/>
    <w:rsid w:val="06707460"/>
    <w:rsid w:val="067F0181"/>
    <w:rsid w:val="06AC3D9C"/>
    <w:rsid w:val="06E36671"/>
    <w:rsid w:val="06FD58FA"/>
    <w:rsid w:val="0708446E"/>
    <w:rsid w:val="071E7D6B"/>
    <w:rsid w:val="074932D5"/>
    <w:rsid w:val="07826662"/>
    <w:rsid w:val="07F208D7"/>
    <w:rsid w:val="07FA3B8F"/>
    <w:rsid w:val="08514E5D"/>
    <w:rsid w:val="089F1C5C"/>
    <w:rsid w:val="09047D11"/>
    <w:rsid w:val="094B1DE4"/>
    <w:rsid w:val="094B7E72"/>
    <w:rsid w:val="09783466"/>
    <w:rsid w:val="09C126F0"/>
    <w:rsid w:val="09E10362"/>
    <w:rsid w:val="09F0034F"/>
    <w:rsid w:val="0A40182F"/>
    <w:rsid w:val="0A441C29"/>
    <w:rsid w:val="0A462C8E"/>
    <w:rsid w:val="0A47098D"/>
    <w:rsid w:val="0A782F46"/>
    <w:rsid w:val="0AC611DC"/>
    <w:rsid w:val="0AE35538"/>
    <w:rsid w:val="0B5F7256"/>
    <w:rsid w:val="0B7432FA"/>
    <w:rsid w:val="0BCE259C"/>
    <w:rsid w:val="0BE407DC"/>
    <w:rsid w:val="0C04209F"/>
    <w:rsid w:val="0C654222"/>
    <w:rsid w:val="0C993304"/>
    <w:rsid w:val="0CA23356"/>
    <w:rsid w:val="0CA26AF9"/>
    <w:rsid w:val="0CAD7162"/>
    <w:rsid w:val="0D035E0E"/>
    <w:rsid w:val="0D046532"/>
    <w:rsid w:val="0D1B42EE"/>
    <w:rsid w:val="0D2378B7"/>
    <w:rsid w:val="0DBA6097"/>
    <w:rsid w:val="0DBC4B86"/>
    <w:rsid w:val="0DC74ACF"/>
    <w:rsid w:val="0E2F54AF"/>
    <w:rsid w:val="0E535B99"/>
    <w:rsid w:val="0E9852F9"/>
    <w:rsid w:val="0E9D2DA8"/>
    <w:rsid w:val="0EB9746D"/>
    <w:rsid w:val="0EF84A2E"/>
    <w:rsid w:val="0F032353"/>
    <w:rsid w:val="0F160CF9"/>
    <w:rsid w:val="0FE65E5D"/>
    <w:rsid w:val="113A0411"/>
    <w:rsid w:val="11C25421"/>
    <w:rsid w:val="125C471A"/>
    <w:rsid w:val="12D77F2E"/>
    <w:rsid w:val="12FE1C75"/>
    <w:rsid w:val="13134FCF"/>
    <w:rsid w:val="13532ADC"/>
    <w:rsid w:val="138A771E"/>
    <w:rsid w:val="13A866AB"/>
    <w:rsid w:val="13C705E7"/>
    <w:rsid w:val="13D50BD8"/>
    <w:rsid w:val="142F3033"/>
    <w:rsid w:val="145D5190"/>
    <w:rsid w:val="14685C58"/>
    <w:rsid w:val="147C3400"/>
    <w:rsid w:val="14E622ED"/>
    <w:rsid w:val="14FE0622"/>
    <w:rsid w:val="150154C3"/>
    <w:rsid w:val="150729CC"/>
    <w:rsid w:val="150F0169"/>
    <w:rsid w:val="153B4ABB"/>
    <w:rsid w:val="1545594D"/>
    <w:rsid w:val="159E5B20"/>
    <w:rsid w:val="15E52C78"/>
    <w:rsid w:val="15EF74ED"/>
    <w:rsid w:val="163B5862"/>
    <w:rsid w:val="16666A8E"/>
    <w:rsid w:val="166925C4"/>
    <w:rsid w:val="167960C4"/>
    <w:rsid w:val="169776BC"/>
    <w:rsid w:val="16A10FD1"/>
    <w:rsid w:val="16B82264"/>
    <w:rsid w:val="17BE2920"/>
    <w:rsid w:val="17C00796"/>
    <w:rsid w:val="17D91989"/>
    <w:rsid w:val="188341B0"/>
    <w:rsid w:val="19521B57"/>
    <w:rsid w:val="1958524A"/>
    <w:rsid w:val="196873D3"/>
    <w:rsid w:val="19764F21"/>
    <w:rsid w:val="197D4F2E"/>
    <w:rsid w:val="19925274"/>
    <w:rsid w:val="19A3119E"/>
    <w:rsid w:val="1ACA1E7D"/>
    <w:rsid w:val="1B2E333A"/>
    <w:rsid w:val="1B5D5967"/>
    <w:rsid w:val="1B762CE2"/>
    <w:rsid w:val="1B800E24"/>
    <w:rsid w:val="1B8018F0"/>
    <w:rsid w:val="1B8B6FB4"/>
    <w:rsid w:val="1C2C6107"/>
    <w:rsid w:val="1C3F3B57"/>
    <w:rsid w:val="1C654B13"/>
    <w:rsid w:val="1C704310"/>
    <w:rsid w:val="1C8A0D7E"/>
    <w:rsid w:val="1C9F1DD3"/>
    <w:rsid w:val="1CBD2782"/>
    <w:rsid w:val="1CC058E0"/>
    <w:rsid w:val="1CE9176D"/>
    <w:rsid w:val="1CEF3C8D"/>
    <w:rsid w:val="1DAD3A24"/>
    <w:rsid w:val="1DAE3C1B"/>
    <w:rsid w:val="1DBF1167"/>
    <w:rsid w:val="1DFA6949"/>
    <w:rsid w:val="1E0D2086"/>
    <w:rsid w:val="1E36609D"/>
    <w:rsid w:val="1E685343"/>
    <w:rsid w:val="1EC5245F"/>
    <w:rsid w:val="1EE018EF"/>
    <w:rsid w:val="1EF86EC7"/>
    <w:rsid w:val="1F193AD6"/>
    <w:rsid w:val="2090323C"/>
    <w:rsid w:val="20B56347"/>
    <w:rsid w:val="20D13F45"/>
    <w:rsid w:val="20F52DBB"/>
    <w:rsid w:val="210851CD"/>
    <w:rsid w:val="218403EA"/>
    <w:rsid w:val="219D3ACF"/>
    <w:rsid w:val="21B602C8"/>
    <w:rsid w:val="224729DE"/>
    <w:rsid w:val="228D72CD"/>
    <w:rsid w:val="22AA45D0"/>
    <w:rsid w:val="22FB4A29"/>
    <w:rsid w:val="23214339"/>
    <w:rsid w:val="233B6B95"/>
    <w:rsid w:val="234C60E3"/>
    <w:rsid w:val="23667A8F"/>
    <w:rsid w:val="237972CB"/>
    <w:rsid w:val="238460C9"/>
    <w:rsid w:val="2387409E"/>
    <w:rsid w:val="239C3527"/>
    <w:rsid w:val="23BD364C"/>
    <w:rsid w:val="23BD5C15"/>
    <w:rsid w:val="23D855A8"/>
    <w:rsid w:val="243A34C8"/>
    <w:rsid w:val="243F7A48"/>
    <w:rsid w:val="2498323C"/>
    <w:rsid w:val="24AD6618"/>
    <w:rsid w:val="24D24F1B"/>
    <w:rsid w:val="24E91E9C"/>
    <w:rsid w:val="24EB35BF"/>
    <w:rsid w:val="25255D5C"/>
    <w:rsid w:val="253668B6"/>
    <w:rsid w:val="253C5361"/>
    <w:rsid w:val="254B7584"/>
    <w:rsid w:val="25D62632"/>
    <w:rsid w:val="261C10D2"/>
    <w:rsid w:val="26B00013"/>
    <w:rsid w:val="26D23436"/>
    <w:rsid w:val="26E01831"/>
    <w:rsid w:val="270200AF"/>
    <w:rsid w:val="27222C9B"/>
    <w:rsid w:val="27323271"/>
    <w:rsid w:val="27EE5444"/>
    <w:rsid w:val="281A1E64"/>
    <w:rsid w:val="282B61D0"/>
    <w:rsid w:val="283930FA"/>
    <w:rsid w:val="284A0F2F"/>
    <w:rsid w:val="285F3C13"/>
    <w:rsid w:val="287F6F5C"/>
    <w:rsid w:val="2884639A"/>
    <w:rsid w:val="289C18BC"/>
    <w:rsid w:val="28D322DB"/>
    <w:rsid w:val="28EB2A8B"/>
    <w:rsid w:val="292C49EE"/>
    <w:rsid w:val="294962CA"/>
    <w:rsid w:val="296F5970"/>
    <w:rsid w:val="29C075C6"/>
    <w:rsid w:val="29C673A2"/>
    <w:rsid w:val="29F41216"/>
    <w:rsid w:val="29F51CDA"/>
    <w:rsid w:val="2A2031AC"/>
    <w:rsid w:val="2A4C49A4"/>
    <w:rsid w:val="2A51745D"/>
    <w:rsid w:val="2B6927F8"/>
    <w:rsid w:val="2B9D7E25"/>
    <w:rsid w:val="2BB9108D"/>
    <w:rsid w:val="2BCD3D86"/>
    <w:rsid w:val="2C4B7EAE"/>
    <w:rsid w:val="2C7125F6"/>
    <w:rsid w:val="2CCA4573"/>
    <w:rsid w:val="2CD23AFF"/>
    <w:rsid w:val="2D2F6022"/>
    <w:rsid w:val="2DE52846"/>
    <w:rsid w:val="2DFF443A"/>
    <w:rsid w:val="2E4648D8"/>
    <w:rsid w:val="2E55254F"/>
    <w:rsid w:val="2E76670C"/>
    <w:rsid w:val="2E98219C"/>
    <w:rsid w:val="2EBA2A9C"/>
    <w:rsid w:val="2EC30FD3"/>
    <w:rsid w:val="2F3D365B"/>
    <w:rsid w:val="2FFD6A02"/>
    <w:rsid w:val="307D1B7F"/>
    <w:rsid w:val="308121AA"/>
    <w:rsid w:val="30882EF9"/>
    <w:rsid w:val="309D06C4"/>
    <w:rsid w:val="30D6704C"/>
    <w:rsid w:val="30E42811"/>
    <w:rsid w:val="30FC1C38"/>
    <w:rsid w:val="312D5C40"/>
    <w:rsid w:val="313451FE"/>
    <w:rsid w:val="3179279B"/>
    <w:rsid w:val="318F07B1"/>
    <w:rsid w:val="321A765E"/>
    <w:rsid w:val="322F33E6"/>
    <w:rsid w:val="324A6E8E"/>
    <w:rsid w:val="324C4540"/>
    <w:rsid w:val="328409AF"/>
    <w:rsid w:val="3285675A"/>
    <w:rsid w:val="3306189B"/>
    <w:rsid w:val="33441EEA"/>
    <w:rsid w:val="33C8035F"/>
    <w:rsid w:val="34285437"/>
    <w:rsid w:val="349D2C44"/>
    <w:rsid w:val="34B67359"/>
    <w:rsid w:val="34BD6422"/>
    <w:rsid w:val="34FD3CDD"/>
    <w:rsid w:val="35474D1B"/>
    <w:rsid w:val="35635AE6"/>
    <w:rsid w:val="35FC0885"/>
    <w:rsid w:val="35FF6EE4"/>
    <w:rsid w:val="36607BFC"/>
    <w:rsid w:val="36647515"/>
    <w:rsid w:val="366B68D7"/>
    <w:rsid w:val="36754531"/>
    <w:rsid w:val="36960592"/>
    <w:rsid w:val="369B31B3"/>
    <w:rsid w:val="36A6383E"/>
    <w:rsid w:val="36C86E67"/>
    <w:rsid w:val="36CF2484"/>
    <w:rsid w:val="36D45F5B"/>
    <w:rsid w:val="36E765D4"/>
    <w:rsid w:val="36E81B47"/>
    <w:rsid w:val="37015A67"/>
    <w:rsid w:val="37696A12"/>
    <w:rsid w:val="37D672E5"/>
    <w:rsid w:val="37D82BA9"/>
    <w:rsid w:val="38236863"/>
    <w:rsid w:val="385B7D01"/>
    <w:rsid w:val="3946502A"/>
    <w:rsid w:val="3A0C2363"/>
    <w:rsid w:val="3A612FFC"/>
    <w:rsid w:val="3A991BBE"/>
    <w:rsid w:val="3AAA1667"/>
    <w:rsid w:val="3AAD0891"/>
    <w:rsid w:val="3B0648C2"/>
    <w:rsid w:val="3B2A69F2"/>
    <w:rsid w:val="3BF0451E"/>
    <w:rsid w:val="3C0C0C6E"/>
    <w:rsid w:val="3CF66938"/>
    <w:rsid w:val="3CFA113A"/>
    <w:rsid w:val="3D474C33"/>
    <w:rsid w:val="3D5F716B"/>
    <w:rsid w:val="3DAA35EA"/>
    <w:rsid w:val="3DAB59FE"/>
    <w:rsid w:val="3DBB3A26"/>
    <w:rsid w:val="3E072A46"/>
    <w:rsid w:val="3E1168FA"/>
    <w:rsid w:val="3E3D638D"/>
    <w:rsid w:val="3E59316B"/>
    <w:rsid w:val="3E7A5E78"/>
    <w:rsid w:val="3E8F35BB"/>
    <w:rsid w:val="3EA96557"/>
    <w:rsid w:val="3EB218A7"/>
    <w:rsid w:val="3EE06A33"/>
    <w:rsid w:val="3EED2A1A"/>
    <w:rsid w:val="3EFA6BAE"/>
    <w:rsid w:val="3F370BCB"/>
    <w:rsid w:val="3F7A43AD"/>
    <w:rsid w:val="3F8E5C59"/>
    <w:rsid w:val="3FF543F2"/>
    <w:rsid w:val="40287CFB"/>
    <w:rsid w:val="407C02A4"/>
    <w:rsid w:val="40AF73C0"/>
    <w:rsid w:val="417F1907"/>
    <w:rsid w:val="41F07ECA"/>
    <w:rsid w:val="420B00B0"/>
    <w:rsid w:val="425D4330"/>
    <w:rsid w:val="427101FB"/>
    <w:rsid w:val="427136EC"/>
    <w:rsid w:val="42B36D52"/>
    <w:rsid w:val="43211C22"/>
    <w:rsid w:val="4360708A"/>
    <w:rsid w:val="43BB7949"/>
    <w:rsid w:val="448C05DF"/>
    <w:rsid w:val="44AC070C"/>
    <w:rsid w:val="44AC45F6"/>
    <w:rsid w:val="44C0719C"/>
    <w:rsid w:val="44DB0AFB"/>
    <w:rsid w:val="45283340"/>
    <w:rsid w:val="45612478"/>
    <w:rsid w:val="45A75332"/>
    <w:rsid w:val="45BF1A3F"/>
    <w:rsid w:val="45D4091B"/>
    <w:rsid w:val="45E00128"/>
    <w:rsid w:val="45E61DF8"/>
    <w:rsid w:val="45FC0156"/>
    <w:rsid w:val="46322C1D"/>
    <w:rsid w:val="468C2F1E"/>
    <w:rsid w:val="46D2182F"/>
    <w:rsid w:val="474536FB"/>
    <w:rsid w:val="478B389E"/>
    <w:rsid w:val="47F40F55"/>
    <w:rsid w:val="484D0B6A"/>
    <w:rsid w:val="4856239B"/>
    <w:rsid w:val="48962D4B"/>
    <w:rsid w:val="48D45224"/>
    <w:rsid w:val="48F3112A"/>
    <w:rsid w:val="493004E9"/>
    <w:rsid w:val="49350D52"/>
    <w:rsid w:val="49D768C0"/>
    <w:rsid w:val="49FE675C"/>
    <w:rsid w:val="4A03006A"/>
    <w:rsid w:val="4A385AE6"/>
    <w:rsid w:val="4AA519CD"/>
    <w:rsid w:val="4AF10388"/>
    <w:rsid w:val="4AF94070"/>
    <w:rsid w:val="4AFB5E63"/>
    <w:rsid w:val="4B965FB0"/>
    <w:rsid w:val="4C256914"/>
    <w:rsid w:val="4C5A1013"/>
    <w:rsid w:val="4C96549F"/>
    <w:rsid w:val="4CAD74C4"/>
    <w:rsid w:val="4CC674CA"/>
    <w:rsid w:val="4CCA0DF3"/>
    <w:rsid w:val="4D3944DB"/>
    <w:rsid w:val="4D3D1756"/>
    <w:rsid w:val="4D49565B"/>
    <w:rsid w:val="4E0C743C"/>
    <w:rsid w:val="4E93715A"/>
    <w:rsid w:val="4E9F6F1B"/>
    <w:rsid w:val="4EC14B14"/>
    <w:rsid w:val="4F141B05"/>
    <w:rsid w:val="4F1B0161"/>
    <w:rsid w:val="4F1B0C9F"/>
    <w:rsid w:val="4F7810D0"/>
    <w:rsid w:val="4F8A7B60"/>
    <w:rsid w:val="50CC1400"/>
    <w:rsid w:val="50DE1F06"/>
    <w:rsid w:val="50FA6915"/>
    <w:rsid w:val="514345C9"/>
    <w:rsid w:val="518270C9"/>
    <w:rsid w:val="519266B2"/>
    <w:rsid w:val="519C1B26"/>
    <w:rsid w:val="51E27AE8"/>
    <w:rsid w:val="521F2034"/>
    <w:rsid w:val="52242BD3"/>
    <w:rsid w:val="527821A3"/>
    <w:rsid w:val="527A4BCD"/>
    <w:rsid w:val="527E492B"/>
    <w:rsid w:val="52BD596D"/>
    <w:rsid w:val="52DE7D41"/>
    <w:rsid w:val="53195734"/>
    <w:rsid w:val="531D2DA5"/>
    <w:rsid w:val="533A6602"/>
    <w:rsid w:val="535A5075"/>
    <w:rsid w:val="53774E9B"/>
    <w:rsid w:val="53B94DB8"/>
    <w:rsid w:val="54075DCC"/>
    <w:rsid w:val="5447089E"/>
    <w:rsid w:val="548D5DC1"/>
    <w:rsid w:val="54A14884"/>
    <w:rsid w:val="54BA1808"/>
    <w:rsid w:val="54EB6E03"/>
    <w:rsid w:val="550601C8"/>
    <w:rsid w:val="55146E5E"/>
    <w:rsid w:val="553B5415"/>
    <w:rsid w:val="553C5232"/>
    <w:rsid w:val="554372DB"/>
    <w:rsid w:val="554B2CF1"/>
    <w:rsid w:val="55C129F3"/>
    <w:rsid w:val="55C43442"/>
    <w:rsid w:val="56150435"/>
    <w:rsid w:val="569B3AE2"/>
    <w:rsid w:val="57E15B41"/>
    <w:rsid w:val="5812279B"/>
    <w:rsid w:val="585554B6"/>
    <w:rsid w:val="58862037"/>
    <w:rsid w:val="58AF1A95"/>
    <w:rsid w:val="58E805C8"/>
    <w:rsid w:val="58F61C6D"/>
    <w:rsid w:val="59047ECD"/>
    <w:rsid w:val="592D49A0"/>
    <w:rsid w:val="59AC7E01"/>
    <w:rsid w:val="5A2F12C4"/>
    <w:rsid w:val="5A351EEE"/>
    <w:rsid w:val="5A521346"/>
    <w:rsid w:val="5AD76600"/>
    <w:rsid w:val="5B191112"/>
    <w:rsid w:val="5B8155F3"/>
    <w:rsid w:val="5BA31738"/>
    <w:rsid w:val="5BA6792C"/>
    <w:rsid w:val="5BD25514"/>
    <w:rsid w:val="5C0974B2"/>
    <w:rsid w:val="5C186F88"/>
    <w:rsid w:val="5C1B42CB"/>
    <w:rsid w:val="5C73777D"/>
    <w:rsid w:val="5CA52231"/>
    <w:rsid w:val="5CAA3CE0"/>
    <w:rsid w:val="5CB315BE"/>
    <w:rsid w:val="5CD05EC4"/>
    <w:rsid w:val="5CEE67CC"/>
    <w:rsid w:val="5D9C44BA"/>
    <w:rsid w:val="5DD3719E"/>
    <w:rsid w:val="5DD4697C"/>
    <w:rsid w:val="5DEC5D6F"/>
    <w:rsid w:val="5DF32237"/>
    <w:rsid w:val="5E1B365D"/>
    <w:rsid w:val="5E245395"/>
    <w:rsid w:val="5E370EEC"/>
    <w:rsid w:val="5E68355E"/>
    <w:rsid w:val="5E693E0B"/>
    <w:rsid w:val="5EF51B46"/>
    <w:rsid w:val="5F716DD1"/>
    <w:rsid w:val="5F9A1C0C"/>
    <w:rsid w:val="60EF7936"/>
    <w:rsid w:val="615D15B4"/>
    <w:rsid w:val="617C53D9"/>
    <w:rsid w:val="619C3FB1"/>
    <w:rsid w:val="61B77CE2"/>
    <w:rsid w:val="61BE4845"/>
    <w:rsid w:val="62014DE8"/>
    <w:rsid w:val="628E2F58"/>
    <w:rsid w:val="62954FBF"/>
    <w:rsid w:val="62F67840"/>
    <w:rsid w:val="6300246C"/>
    <w:rsid w:val="63245663"/>
    <w:rsid w:val="63420DA4"/>
    <w:rsid w:val="637D74E4"/>
    <w:rsid w:val="63DD2A68"/>
    <w:rsid w:val="64166B12"/>
    <w:rsid w:val="64725A90"/>
    <w:rsid w:val="64C46520"/>
    <w:rsid w:val="64EC4D35"/>
    <w:rsid w:val="651265B7"/>
    <w:rsid w:val="6517248E"/>
    <w:rsid w:val="653918E3"/>
    <w:rsid w:val="65BA296F"/>
    <w:rsid w:val="65EE67B8"/>
    <w:rsid w:val="66E43193"/>
    <w:rsid w:val="67267CB5"/>
    <w:rsid w:val="67341171"/>
    <w:rsid w:val="67430B7A"/>
    <w:rsid w:val="674F3DFC"/>
    <w:rsid w:val="676C5425"/>
    <w:rsid w:val="677775CA"/>
    <w:rsid w:val="681F1432"/>
    <w:rsid w:val="68384664"/>
    <w:rsid w:val="683E40AC"/>
    <w:rsid w:val="6894063F"/>
    <w:rsid w:val="68AA0374"/>
    <w:rsid w:val="690C3C0F"/>
    <w:rsid w:val="698915CD"/>
    <w:rsid w:val="69C87321"/>
    <w:rsid w:val="69E7087D"/>
    <w:rsid w:val="69F92CBD"/>
    <w:rsid w:val="6A1A76FF"/>
    <w:rsid w:val="6A5E5183"/>
    <w:rsid w:val="6A6804B7"/>
    <w:rsid w:val="6A8F6A6C"/>
    <w:rsid w:val="6A9D515D"/>
    <w:rsid w:val="6AA03474"/>
    <w:rsid w:val="6AEE00B8"/>
    <w:rsid w:val="6B3468AC"/>
    <w:rsid w:val="6B587443"/>
    <w:rsid w:val="6B6B0DB4"/>
    <w:rsid w:val="6B894DA7"/>
    <w:rsid w:val="6B8B20B8"/>
    <w:rsid w:val="6B8B218D"/>
    <w:rsid w:val="6C3D0FAE"/>
    <w:rsid w:val="6C8E0AE9"/>
    <w:rsid w:val="6D165605"/>
    <w:rsid w:val="6D226F33"/>
    <w:rsid w:val="6D7F2964"/>
    <w:rsid w:val="6DB31991"/>
    <w:rsid w:val="6DCE340F"/>
    <w:rsid w:val="6E8F55C7"/>
    <w:rsid w:val="6E910FE5"/>
    <w:rsid w:val="6E9B76DB"/>
    <w:rsid w:val="6EFE55DA"/>
    <w:rsid w:val="6F5A0AAF"/>
    <w:rsid w:val="6F8932E6"/>
    <w:rsid w:val="700C68AA"/>
    <w:rsid w:val="701D3C4D"/>
    <w:rsid w:val="70200256"/>
    <w:rsid w:val="70501F38"/>
    <w:rsid w:val="705B5D23"/>
    <w:rsid w:val="70865CFA"/>
    <w:rsid w:val="70981F36"/>
    <w:rsid w:val="70E919C6"/>
    <w:rsid w:val="71427881"/>
    <w:rsid w:val="71DE4F62"/>
    <w:rsid w:val="71E640D4"/>
    <w:rsid w:val="725A52FD"/>
    <w:rsid w:val="729E0707"/>
    <w:rsid w:val="72AF2147"/>
    <w:rsid w:val="72D33A44"/>
    <w:rsid w:val="730F643C"/>
    <w:rsid w:val="736A2FD2"/>
    <w:rsid w:val="73B26F4B"/>
    <w:rsid w:val="73DF1469"/>
    <w:rsid w:val="74B17D02"/>
    <w:rsid w:val="74E06AEF"/>
    <w:rsid w:val="75384BC5"/>
    <w:rsid w:val="75661286"/>
    <w:rsid w:val="75B46528"/>
    <w:rsid w:val="75D01C05"/>
    <w:rsid w:val="75D648AF"/>
    <w:rsid w:val="75ED55FA"/>
    <w:rsid w:val="75FB2DFF"/>
    <w:rsid w:val="764B713D"/>
    <w:rsid w:val="76895E06"/>
    <w:rsid w:val="77312EA9"/>
    <w:rsid w:val="77371E97"/>
    <w:rsid w:val="778C38DC"/>
    <w:rsid w:val="77B455D4"/>
    <w:rsid w:val="77B6365C"/>
    <w:rsid w:val="77C117B8"/>
    <w:rsid w:val="77D63E3F"/>
    <w:rsid w:val="77E154C3"/>
    <w:rsid w:val="7815335E"/>
    <w:rsid w:val="78361EBF"/>
    <w:rsid w:val="784349DE"/>
    <w:rsid w:val="78867CF8"/>
    <w:rsid w:val="78DE0702"/>
    <w:rsid w:val="78EC6560"/>
    <w:rsid w:val="79083935"/>
    <w:rsid w:val="790C3251"/>
    <w:rsid w:val="79544133"/>
    <w:rsid w:val="79616F10"/>
    <w:rsid w:val="799500C0"/>
    <w:rsid w:val="7A476702"/>
    <w:rsid w:val="7A5113F9"/>
    <w:rsid w:val="7A537FDD"/>
    <w:rsid w:val="7AD216C8"/>
    <w:rsid w:val="7B005BEC"/>
    <w:rsid w:val="7BA14395"/>
    <w:rsid w:val="7C15026F"/>
    <w:rsid w:val="7C5E091E"/>
    <w:rsid w:val="7D0D1638"/>
    <w:rsid w:val="7D144297"/>
    <w:rsid w:val="7D163F2E"/>
    <w:rsid w:val="7D21497E"/>
    <w:rsid w:val="7D43638A"/>
    <w:rsid w:val="7D5947FB"/>
    <w:rsid w:val="7D636A70"/>
    <w:rsid w:val="7D891CD5"/>
    <w:rsid w:val="7DC35135"/>
    <w:rsid w:val="7DE80F5B"/>
    <w:rsid w:val="7E190276"/>
    <w:rsid w:val="7E532D12"/>
    <w:rsid w:val="7EA877E8"/>
    <w:rsid w:val="7EB03176"/>
    <w:rsid w:val="7EC87E8B"/>
    <w:rsid w:val="7F0F6FFB"/>
    <w:rsid w:val="7F23573B"/>
    <w:rsid w:val="7F4A4909"/>
    <w:rsid w:val="7F543DBA"/>
    <w:rsid w:val="7FAF6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7"/>
    <w:qFormat/>
    <w:uiPriority w:val="99"/>
    <w:pPr>
      <w:keepNext/>
      <w:keepLines/>
      <w:spacing w:before="340" w:after="330" w:line="576" w:lineRule="auto"/>
      <w:outlineLvl w:val="0"/>
    </w:pPr>
    <w:rPr>
      <w:b/>
      <w:bCs/>
      <w:kern w:val="44"/>
      <w:sz w:val="44"/>
      <w:szCs w:val="44"/>
    </w:rPr>
  </w:style>
  <w:style w:type="paragraph" w:styleId="3">
    <w:name w:val="heading 2"/>
    <w:basedOn w:val="1"/>
    <w:next w:val="1"/>
    <w:qFormat/>
    <w:uiPriority w:val="99"/>
    <w:pPr>
      <w:keepNext/>
      <w:keepLines/>
      <w:spacing w:before="260" w:after="260" w:line="413" w:lineRule="auto"/>
      <w:outlineLvl w:val="1"/>
    </w:pPr>
    <w:rPr>
      <w:rFonts w:ascii="Arial" w:hAnsi="Arial" w:eastAsia="黑体"/>
      <w:b/>
      <w:bCs/>
      <w:sz w:val="32"/>
      <w:szCs w:val="32"/>
    </w:rPr>
  </w:style>
  <w:style w:type="paragraph" w:styleId="4">
    <w:name w:val="heading 4"/>
    <w:basedOn w:val="1"/>
    <w:next w:val="1"/>
    <w:qFormat/>
    <w:uiPriority w:val="99"/>
    <w:pPr>
      <w:keepNext/>
      <w:keepLines/>
      <w:adjustRightInd w:val="0"/>
      <w:spacing w:before="280" w:after="290" w:line="376" w:lineRule="atLeast"/>
      <w:textAlignment w:val="baseline"/>
      <w:outlineLvl w:val="3"/>
    </w:pPr>
    <w:rPr>
      <w:rFonts w:ascii="Arial" w:hAnsi="Arial"/>
      <w:b/>
      <w:spacing w:val="20"/>
      <w:sz w:val="28"/>
      <w:szCs w:val="20"/>
    </w:rPr>
  </w:style>
  <w:style w:type="paragraph" w:styleId="5">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0"/>
      <w:sz w:val="24"/>
      <w:szCs w:val="24"/>
      <w:lang w:val="en-US" w:eastAsia="zh-CN" w:bidi="ar"/>
    </w:rPr>
  </w:style>
  <w:style w:type="character" w:default="1" w:styleId="26">
    <w:name w:val="Default Paragraph Font"/>
    <w:unhideWhenUsed/>
    <w:qFormat/>
    <w:uiPriority w:val="1"/>
  </w:style>
  <w:style w:type="table" w:default="1" w:styleId="24">
    <w:name w:val="Normal Table"/>
    <w:unhideWhenUsed/>
    <w:qFormat/>
    <w:uiPriority w:val="99"/>
    <w:tblPr>
      <w:tblCellMar>
        <w:top w:w="0" w:type="dxa"/>
        <w:left w:w="108" w:type="dxa"/>
        <w:bottom w:w="0" w:type="dxa"/>
        <w:right w:w="108" w:type="dxa"/>
      </w:tblCellMar>
    </w:tblPr>
  </w:style>
  <w:style w:type="paragraph" w:styleId="6">
    <w:name w:val="table of authorities"/>
    <w:basedOn w:val="1"/>
    <w:next w:val="1"/>
    <w:unhideWhenUsed/>
    <w:qFormat/>
    <w:uiPriority w:val="99"/>
    <w:pPr>
      <w:ind w:left="420" w:leftChars="200"/>
    </w:pPr>
  </w:style>
  <w:style w:type="paragraph" w:styleId="7">
    <w:name w:val="Note Heading"/>
    <w:basedOn w:val="1"/>
    <w:next w:val="1"/>
    <w:qFormat/>
    <w:uiPriority w:val="0"/>
    <w:pPr>
      <w:jc w:val="center"/>
    </w:pPr>
  </w:style>
  <w:style w:type="paragraph" w:styleId="8">
    <w:name w:val="Normal Indent"/>
    <w:basedOn w:val="1"/>
    <w:next w:val="1"/>
    <w:qFormat/>
    <w:uiPriority w:val="99"/>
    <w:pPr>
      <w:ind w:firstLine="420"/>
    </w:pPr>
  </w:style>
  <w:style w:type="paragraph" w:styleId="9">
    <w:name w:val="toa heading"/>
    <w:basedOn w:val="1"/>
    <w:next w:val="1"/>
    <w:unhideWhenUsed/>
    <w:qFormat/>
    <w:uiPriority w:val="99"/>
    <w:pPr>
      <w:spacing w:before="120"/>
    </w:pPr>
    <w:rPr>
      <w:rFonts w:ascii="Cambria" w:hAnsi="Cambria"/>
      <w:sz w:val="24"/>
    </w:rPr>
  </w:style>
  <w:style w:type="paragraph" w:styleId="10">
    <w:name w:val="annotation text"/>
    <w:basedOn w:val="1"/>
    <w:link w:val="53"/>
    <w:qFormat/>
    <w:uiPriority w:val="0"/>
    <w:pPr>
      <w:jc w:val="left"/>
    </w:pPr>
  </w:style>
  <w:style w:type="paragraph" w:styleId="11">
    <w:name w:val="Body Text"/>
    <w:basedOn w:val="1"/>
    <w:unhideWhenUsed/>
    <w:qFormat/>
    <w:uiPriority w:val="99"/>
    <w:pPr>
      <w:spacing w:after="120"/>
    </w:pPr>
    <w:rPr>
      <w:rFonts w:eastAsia="Times New Roman"/>
    </w:rPr>
  </w:style>
  <w:style w:type="paragraph" w:styleId="12">
    <w:name w:val="Body Text Indent"/>
    <w:basedOn w:val="1"/>
    <w:qFormat/>
    <w:uiPriority w:val="0"/>
    <w:pPr>
      <w:spacing w:after="120" w:afterLines="0"/>
      <w:ind w:left="420" w:leftChars="200"/>
    </w:pPr>
  </w:style>
  <w:style w:type="paragraph" w:styleId="13">
    <w:name w:val="Block Text"/>
    <w:basedOn w:val="1"/>
    <w:qFormat/>
    <w:uiPriority w:val="99"/>
    <w:pPr>
      <w:spacing w:after="120" w:line="240" w:lineRule="auto"/>
      <w:ind w:left="1440" w:leftChars="700" w:right="1440" w:rightChars="700"/>
    </w:pPr>
    <w:rPr>
      <w:rFonts w:ascii="Calibri" w:hAnsi="Calibri"/>
      <w:szCs w:val="22"/>
    </w:rPr>
  </w:style>
  <w:style w:type="paragraph" w:styleId="14">
    <w:name w:val="Plain Text"/>
    <w:basedOn w:val="1"/>
    <w:qFormat/>
    <w:uiPriority w:val="0"/>
    <w:rPr>
      <w:rFonts w:ascii="宋体" w:hAnsi="Courier New"/>
      <w:szCs w:val="20"/>
    </w:rPr>
  </w:style>
  <w:style w:type="paragraph" w:styleId="15">
    <w:name w:val="Balloon Text"/>
    <w:basedOn w:val="1"/>
    <w:link w:val="55"/>
    <w:qFormat/>
    <w:uiPriority w:val="0"/>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style>
  <w:style w:type="paragraph" w:styleId="19">
    <w:name w:val="toc 2"/>
    <w:basedOn w:val="1"/>
    <w:next w:val="1"/>
    <w:qFormat/>
    <w:uiPriority w:val="39"/>
    <w:pPr>
      <w:ind w:left="420" w:leftChars="200"/>
    </w:pPr>
  </w:style>
  <w:style w:type="paragraph" w:styleId="20">
    <w:name w:val="Normal (Web)"/>
    <w:basedOn w:val="1"/>
    <w:next w:val="1"/>
    <w:qFormat/>
    <w:uiPriority w:val="0"/>
    <w:pPr>
      <w:spacing w:beforeAutospacing="1" w:afterAutospacing="1"/>
      <w:jc w:val="left"/>
    </w:pPr>
    <w:rPr>
      <w:kern w:val="0"/>
      <w:sz w:val="24"/>
    </w:rPr>
  </w:style>
  <w:style w:type="paragraph" w:styleId="21">
    <w:name w:val="annotation subject"/>
    <w:basedOn w:val="10"/>
    <w:next w:val="10"/>
    <w:link w:val="54"/>
    <w:qFormat/>
    <w:uiPriority w:val="0"/>
    <w:rPr>
      <w:b/>
      <w:bCs/>
    </w:rPr>
  </w:style>
  <w:style w:type="paragraph" w:styleId="22">
    <w:name w:val="Body Text First Indent"/>
    <w:basedOn w:val="11"/>
    <w:qFormat/>
    <w:uiPriority w:val="0"/>
    <w:pPr>
      <w:ind w:firstLine="420" w:firstLineChars="100"/>
    </w:pPr>
  </w:style>
  <w:style w:type="paragraph" w:styleId="23">
    <w:name w:val="Body Text First Indent 2"/>
    <w:basedOn w:val="12"/>
    <w:qFormat/>
    <w:uiPriority w:val="99"/>
    <w:pPr>
      <w:ind w:firstLine="420" w:firstLineChars="200"/>
    </w:pPr>
    <w:rPr>
      <w:szCs w:val="21"/>
    </w:rPr>
  </w:style>
  <w:style w:type="table" w:styleId="25">
    <w:name w:val="Table Grid"/>
    <w:basedOn w:val="2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Strong"/>
    <w:basedOn w:val="26"/>
    <w:qFormat/>
    <w:uiPriority w:val="0"/>
    <w:rPr>
      <w:b/>
      <w:bCs/>
    </w:rPr>
  </w:style>
  <w:style w:type="character" w:styleId="28">
    <w:name w:val="page number"/>
    <w:basedOn w:val="26"/>
    <w:qFormat/>
    <w:uiPriority w:val="0"/>
  </w:style>
  <w:style w:type="character" w:styleId="29">
    <w:name w:val="FollowedHyperlink"/>
    <w:basedOn w:val="26"/>
    <w:qFormat/>
    <w:uiPriority w:val="0"/>
    <w:rPr>
      <w:color w:val="800080"/>
      <w:u w:val="none"/>
    </w:rPr>
  </w:style>
  <w:style w:type="character" w:styleId="30">
    <w:name w:val="Emphasis"/>
    <w:basedOn w:val="26"/>
    <w:qFormat/>
    <w:uiPriority w:val="0"/>
  </w:style>
  <w:style w:type="character" w:styleId="31">
    <w:name w:val="HTML Definition"/>
    <w:basedOn w:val="26"/>
    <w:qFormat/>
    <w:uiPriority w:val="0"/>
    <w:rPr>
      <w:i/>
      <w:iCs/>
    </w:rPr>
  </w:style>
  <w:style w:type="character" w:styleId="32">
    <w:name w:val="Hyperlink"/>
    <w:basedOn w:val="26"/>
    <w:qFormat/>
    <w:uiPriority w:val="0"/>
    <w:rPr>
      <w:color w:val="0000FF"/>
      <w:u w:val="none"/>
    </w:rPr>
  </w:style>
  <w:style w:type="character" w:styleId="33">
    <w:name w:val="HTML Code"/>
    <w:basedOn w:val="26"/>
    <w:qFormat/>
    <w:uiPriority w:val="0"/>
    <w:rPr>
      <w:rFonts w:ascii="Consolas" w:hAnsi="Consolas" w:eastAsia="Consolas" w:cs="Consolas"/>
      <w:color w:val="C7254E"/>
      <w:sz w:val="21"/>
      <w:szCs w:val="21"/>
      <w:shd w:val="clear" w:fill="F9F2F4"/>
    </w:rPr>
  </w:style>
  <w:style w:type="character" w:styleId="34">
    <w:name w:val="annotation reference"/>
    <w:basedOn w:val="26"/>
    <w:qFormat/>
    <w:uiPriority w:val="0"/>
    <w:rPr>
      <w:sz w:val="21"/>
      <w:szCs w:val="21"/>
    </w:rPr>
  </w:style>
  <w:style w:type="character" w:styleId="35">
    <w:name w:val="HTML Keyboard"/>
    <w:basedOn w:val="26"/>
    <w:qFormat/>
    <w:uiPriority w:val="0"/>
    <w:rPr>
      <w:rFonts w:hint="default" w:ascii="Consolas" w:hAnsi="Consolas" w:eastAsia="Consolas" w:cs="Consolas"/>
      <w:color w:val="FFFFFF"/>
      <w:sz w:val="21"/>
      <w:szCs w:val="21"/>
      <w:shd w:val="clear" w:fill="333333"/>
    </w:rPr>
  </w:style>
  <w:style w:type="character" w:styleId="36">
    <w:name w:val="HTML Sample"/>
    <w:basedOn w:val="26"/>
    <w:qFormat/>
    <w:uiPriority w:val="0"/>
    <w:rPr>
      <w:rFonts w:hint="default" w:ascii="Consolas" w:hAnsi="Consolas" w:eastAsia="Consolas" w:cs="Consolas"/>
      <w:sz w:val="21"/>
      <w:szCs w:val="21"/>
    </w:rPr>
  </w:style>
  <w:style w:type="paragraph" w:customStyle="1" w:styleId="37">
    <w:name w:val="No Spacing1"/>
    <w:qFormat/>
    <w:uiPriority w:val="0"/>
    <w:rPr>
      <w:rFonts w:ascii="Calibri" w:hAnsi="Calibri" w:eastAsia="宋体" w:cs="Calibri"/>
      <w:sz w:val="22"/>
      <w:szCs w:val="22"/>
      <w:lang w:val="en-US" w:eastAsia="zh-CN" w:bidi="ar-SA"/>
    </w:rPr>
  </w:style>
  <w:style w:type="paragraph" w:customStyle="1" w:styleId="38">
    <w:name w:val="Normal Indent1"/>
    <w:basedOn w:val="1"/>
    <w:qFormat/>
    <w:uiPriority w:val="0"/>
    <w:pPr>
      <w:ind w:firstLine="420"/>
    </w:pPr>
    <w:rPr>
      <w:sz w:val="21"/>
    </w:rPr>
  </w:style>
  <w:style w:type="paragraph" w:customStyle="1" w:styleId="39">
    <w:name w:val="正文缩进1"/>
    <w:basedOn w:val="1"/>
    <w:qFormat/>
    <w:uiPriority w:val="0"/>
    <w:pPr>
      <w:autoSpaceDE w:val="0"/>
      <w:autoSpaceDN w:val="0"/>
      <w:adjustRightInd w:val="0"/>
      <w:ind w:firstLine="420"/>
      <w:jc w:val="left"/>
    </w:pPr>
    <w:rPr>
      <w:rFonts w:ascii="宋体"/>
      <w:kern w:val="0"/>
      <w:sz w:val="24"/>
    </w:rPr>
  </w:style>
  <w:style w:type="paragraph" w:customStyle="1" w:styleId="4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09正文_wh"/>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42">
    <w:name w:val="title1"/>
    <w:basedOn w:val="1"/>
    <w:qFormat/>
    <w:uiPriority w:val="0"/>
    <w:pPr>
      <w:spacing w:before="150" w:line="450" w:lineRule="atLeast"/>
      <w:jc w:val="left"/>
    </w:pPr>
    <w:rPr>
      <w:b/>
      <w:kern w:val="0"/>
      <w:sz w:val="24"/>
    </w:rPr>
  </w:style>
  <w:style w:type="paragraph" w:customStyle="1" w:styleId="43">
    <w:name w:val="p15"/>
    <w:basedOn w:val="1"/>
    <w:qFormat/>
    <w:uiPriority w:val="99"/>
    <w:pPr>
      <w:widowControl/>
    </w:pPr>
    <w:rPr>
      <w:kern w:val="0"/>
      <w:szCs w:val="21"/>
    </w:rPr>
  </w:style>
  <w:style w:type="character" w:customStyle="1" w:styleId="44">
    <w:name w:val="font21"/>
    <w:basedOn w:val="26"/>
    <w:qFormat/>
    <w:uiPriority w:val="99"/>
    <w:rPr>
      <w:rFonts w:ascii="宋体" w:hAnsi="宋体" w:eastAsia="宋体"/>
      <w:color w:val="000000"/>
      <w:sz w:val="20"/>
      <w:u w:val="none"/>
    </w:rPr>
  </w:style>
  <w:style w:type="paragraph" w:customStyle="1" w:styleId="45">
    <w:name w:val="List Paragraph"/>
    <w:basedOn w:val="1"/>
    <w:qFormat/>
    <w:uiPriority w:val="34"/>
    <w:pPr>
      <w:ind w:firstLine="420" w:firstLineChars="200"/>
    </w:pPr>
    <w:rPr>
      <w:rFonts w:ascii="Calibri" w:hAnsi="Calibri"/>
      <w:szCs w:val="22"/>
    </w:rPr>
  </w:style>
  <w:style w:type="paragraph" w:customStyle="1" w:styleId="46">
    <w:name w:val="title11"/>
    <w:basedOn w:val="1"/>
    <w:qFormat/>
    <w:uiPriority w:val="0"/>
    <w:pPr>
      <w:spacing w:before="100"/>
      <w:jc w:val="left"/>
    </w:pPr>
    <w:rPr>
      <w:b/>
      <w:kern w:val="0"/>
      <w:sz w:val="15"/>
      <w:szCs w:val="15"/>
    </w:rPr>
  </w:style>
  <w:style w:type="paragraph" w:customStyle="1" w:styleId="47">
    <w:name w:val="title13"/>
    <w:basedOn w:val="1"/>
    <w:qFormat/>
    <w:uiPriority w:val="0"/>
    <w:pPr>
      <w:spacing w:before="100"/>
      <w:jc w:val="left"/>
    </w:pPr>
    <w:rPr>
      <w:b/>
      <w:kern w:val="0"/>
      <w:sz w:val="15"/>
      <w:szCs w:val="15"/>
    </w:rPr>
  </w:style>
  <w:style w:type="character" w:customStyle="1" w:styleId="48">
    <w:name w:val="phone"/>
    <w:basedOn w:val="26"/>
    <w:qFormat/>
    <w:uiPriority w:val="0"/>
    <w:rPr>
      <w:color w:val="FF8833"/>
      <w:sz w:val="12"/>
      <w:szCs w:val="12"/>
    </w:rPr>
  </w:style>
  <w:style w:type="character" w:customStyle="1" w:styleId="49">
    <w:name w:val="number"/>
    <w:basedOn w:val="26"/>
    <w:qFormat/>
    <w:uiPriority w:val="0"/>
    <w:rPr>
      <w:color w:val="FF8833"/>
      <w:sz w:val="12"/>
      <w:szCs w:val="12"/>
    </w:rPr>
  </w:style>
  <w:style w:type="character" w:customStyle="1" w:styleId="50">
    <w:name w:val="stclosebtn"/>
    <w:basedOn w:val="26"/>
    <w:qFormat/>
    <w:uiPriority w:val="0"/>
  </w:style>
  <w:style w:type="character" w:customStyle="1" w:styleId="51">
    <w:name w:val="proollist"/>
    <w:basedOn w:val="26"/>
    <w:qFormat/>
    <w:uiPriority w:val="0"/>
  </w:style>
  <w:style w:type="character" w:customStyle="1" w:styleId="52">
    <w:name w:val="beforeinfotext"/>
    <w:basedOn w:val="26"/>
    <w:qFormat/>
    <w:uiPriority w:val="0"/>
    <w:rPr>
      <w:color w:val="666666"/>
    </w:rPr>
  </w:style>
  <w:style w:type="character" w:customStyle="1" w:styleId="53">
    <w:name w:val="批注文字 Char"/>
    <w:basedOn w:val="26"/>
    <w:link w:val="10"/>
    <w:qFormat/>
    <w:uiPriority w:val="0"/>
    <w:rPr>
      <w:kern w:val="2"/>
      <w:sz w:val="21"/>
      <w:szCs w:val="24"/>
    </w:rPr>
  </w:style>
  <w:style w:type="character" w:customStyle="1" w:styleId="54">
    <w:name w:val="批注主题 Char"/>
    <w:basedOn w:val="53"/>
    <w:link w:val="21"/>
    <w:qFormat/>
    <w:uiPriority w:val="0"/>
    <w:rPr>
      <w:b/>
      <w:bCs/>
      <w:kern w:val="2"/>
      <w:sz w:val="21"/>
      <w:szCs w:val="24"/>
    </w:rPr>
  </w:style>
  <w:style w:type="character" w:customStyle="1" w:styleId="55">
    <w:name w:val="批注框文本 Char"/>
    <w:basedOn w:val="26"/>
    <w:link w:val="15"/>
    <w:qFormat/>
    <w:uiPriority w:val="0"/>
    <w:rPr>
      <w:kern w:val="2"/>
      <w:sz w:val="18"/>
      <w:szCs w:val="18"/>
    </w:rPr>
  </w:style>
  <w:style w:type="paragraph" w:customStyle="1" w:styleId="56">
    <w:name w:val="正文首行缩进两字符"/>
    <w:basedOn w:val="1"/>
    <w:qFormat/>
    <w:uiPriority w:val="0"/>
    <w:pPr>
      <w:spacing w:line="360" w:lineRule="auto"/>
      <w:ind w:firstLine="200" w:firstLineChars="200"/>
    </w:pPr>
    <w:rPr>
      <w:rFonts w:ascii="Times New Roman" w:hAnsi="Times New Roman"/>
    </w:rPr>
  </w:style>
  <w:style w:type="character" w:customStyle="1" w:styleId="57">
    <w:name w:val="标题 1 Char"/>
    <w:link w:val="2"/>
    <w:qFormat/>
    <w:uiPriority w:val="99"/>
    <w:rPr>
      <w:b/>
      <w:bCs/>
      <w:kern w:val="44"/>
      <w:sz w:val="44"/>
      <w:szCs w:val="44"/>
    </w:rPr>
  </w:style>
  <w:style w:type="paragraph" w:customStyle="1" w:styleId="58">
    <w:name w:val="正文 New"/>
    <w:qFormat/>
    <w:uiPriority w:val="99"/>
    <w:pPr>
      <w:widowControl w:val="0"/>
      <w:jc w:val="both"/>
    </w:pPr>
    <w:rPr>
      <w:rFonts w:ascii="Calibri" w:hAnsi="Calibri" w:eastAsiaTheme="minorEastAsia" w:cstheme="minorBidi"/>
      <w:sz w:val="21"/>
      <w:szCs w:val="22"/>
      <w:lang w:val="en-US" w:eastAsia="zh-CN" w:bidi="ar-SA"/>
    </w:rPr>
  </w:style>
  <w:style w:type="paragraph" w:customStyle="1" w:styleId="59">
    <w:name w:val="Table Paragraph"/>
    <w:basedOn w:val="1"/>
    <w:qFormat/>
    <w:uiPriority w:val="1"/>
    <w:pPr>
      <w:adjustRightInd/>
    </w:pPr>
    <w:rPr>
      <w:rFonts w:ascii="宋体" w:hAnsi="宋体" w:cs="宋体"/>
      <w:sz w:val="22"/>
      <w:szCs w:val="22"/>
      <w:lang w:val="zh-CN" w:bidi="zh-CN"/>
    </w:rPr>
  </w:style>
  <w:style w:type="table" w:customStyle="1" w:styleId="60">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61">
    <w:name w:val="hover25"/>
    <w:basedOn w:val="26"/>
    <w:qFormat/>
    <w:uiPriority w:val="0"/>
    <w:rPr>
      <w:color w:val="167AE0"/>
    </w:rPr>
  </w:style>
  <w:style w:type="character" w:customStyle="1" w:styleId="62">
    <w:name w:val="nth-of-type(5)"/>
    <w:basedOn w:val="26"/>
    <w:qFormat/>
    <w:uiPriority w:val="0"/>
  </w:style>
  <w:style w:type="character" w:customStyle="1" w:styleId="63">
    <w:name w:val="nth-child(2)"/>
    <w:basedOn w:val="26"/>
    <w:qFormat/>
    <w:uiPriority w:val="0"/>
  </w:style>
  <w:style w:type="character" w:customStyle="1" w:styleId="64">
    <w:name w:val="layui-this"/>
    <w:basedOn w:val="26"/>
    <w:qFormat/>
    <w:uiPriority w:val="0"/>
    <w:rPr>
      <w:bdr w:val="single" w:color="EEEEEE" w:sz="6" w:space="0"/>
      <w:shd w:val="clear" w:fill="FFFFFF"/>
    </w:rPr>
  </w:style>
  <w:style w:type="character" w:customStyle="1" w:styleId="65">
    <w:name w:val="first-child"/>
    <w:basedOn w:val="26"/>
    <w:qFormat/>
    <w:uiPriority w:val="0"/>
  </w:style>
  <w:style w:type="character" w:customStyle="1" w:styleId="66">
    <w:name w:val="first-child1"/>
    <w:basedOn w:val="26"/>
    <w:qFormat/>
    <w:uiPriority w:val="0"/>
  </w:style>
  <w:style w:type="character" w:customStyle="1" w:styleId="67">
    <w:name w:val="first-child2"/>
    <w:basedOn w:val="26"/>
    <w:qFormat/>
    <w:uiPriority w:val="0"/>
  </w:style>
  <w:style w:type="character" w:customStyle="1" w:styleId="68">
    <w:name w:val="first-child3"/>
    <w:basedOn w:val="26"/>
    <w:qFormat/>
    <w:uiPriority w:val="0"/>
  </w:style>
  <w:style w:type="character" w:customStyle="1" w:styleId="69">
    <w:name w:val="nth-of-type(8)"/>
    <w:basedOn w:val="26"/>
    <w:qFormat/>
    <w:uiPriority w:val="0"/>
  </w:style>
  <w:style w:type="character" w:customStyle="1" w:styleId="70">
    <w:name w:val="layui-laypage-curr"/>
    <w:basedOn w:val="26"/>
    <w:qFormat/>
    <w:uiPriority w:val="0"/>
  </w:style>
  <w:style w:type="character" w:customStyle="1" w:styleId="71">
    <w:name w:val="nth-of-type(7)"/>
    <w:basedOn w:val="26"/>
    <w:qFormat/>
    <w:uiPriority w:val="0"/>
  </w:style>
  <w:style w:type="character" w:customStyle="1" w:styleId="72">
    <w:name w:val="nth-of-type(7)1"/>
    <w:basedOn w:val="26"/>
    <w:qFormat/>
    <w:uiPriority w:val="0"/>
  </w:style>
  <w:style w:type="character" w:customStyle="1" w:styleId="73">
    <w:name w:val="nth-of-type(7)2"/>
    <w:basedOn w:val="26"/>
    <w:qFormat/>
    <w:uiPriority w:val="0"/>
  </w:style>
  <w:style w:type="character" w:customStyle="1" w:styleId="74">
    <w:name w:val="nth-of-type(6)"/>
    <w:basedOn w:val="26"/>
    <w:qFormat/>
    <w:uiPriority w:val="0"/>
  </w:style>
  <w:style w:type="character" w:customStyle="1" w:styleId="75">
    <w:name w:val="lineshow"/>
    <w:basedOn w:val="26"/>
    <w:qFormat/>
    <w:uiPriority w:val="0"/>
  </w:style>
  <w:style w:type="character" w:customStyle="1" w:styleId="76">
    <w:name w:val="lineshow1"/>
    <w:basedOn w:val="26"/>
    <w:qFormat/>
    <w:uiPriority w:val="0"/>
  </w:style>
  <w:style w:type="character" w:customStyle="1" w:styleId="77">
    <w:name w:val="nth-of-type(9)"/>
    <w:basedOn w:val="26"/>
    <w:qFormat/>
    <w:uiPriority w:val="0"/>
  </w:style>
  <w:style w:type="character" w:customStyle="1" w:styleId="78">
    <w:name w:val="nth-of-type(3)"/>
    <w:basedOn w:val="26"/>
    <w:qFormat/>
    <w:uiPriority w:val="0"/>
  </w:style>
  <w:style w:type="character" w:customStyle="1" w:styleId="79">
    <w:name w:val="nth-of-type(4)"/>
    <w:basedOn w:val="26"/>
    <w:qFormat/>
    <w:uiPriority w:val="0"/>
  </w:style>
  <w:style w:type="character" w:customStyle="1" w:styleId="80">
    <w:name w:val="nth-of-type(1)"/>
    <w:basedOn w:val="26"/>
    <w:qFormat/>
    <w:uiPriority w:val="0"/>
  </w:style>
  <w:style w:type="character" w:customStyle="1" w:styleId="81">
    <w:name w:val="nth-of-type(1)1"/>
    <w:basedOn w:val="26"/>
    <w:qFormat/>
    <w:uiPriority w:val="0"/>
  </w:style>
  <w:style w:type="character" w:customStyle="1" w:styleId="82">
    <w:name w:val="nth-of-type(1)2"/>
    <w:basedOn w:val="26"/>
    <w:qFormat/>
    <w:uiPriority w:val="0"/>
  </w:style>
  <w:style w:type="character" w:customStyle="1" w:styleId="83">
    <w:name w:val="nth-of-type(1)3"/>
    <w:basedOn w:val="26"/>
    <w:qFormat/>
    <w:uiPriority w:val="0"/>
  </w:style>
  <w:style w:type="character" w:customStyle="1" w:styleId="84">
    <w:name w:val="nth-of-type(1)4"/>
    <w:basedOn w:val="26"/>
    <w:qFormat/>
    <w:uiPriority w:val="0"/>
  </w:style>
  <w:style w:type="character" w:customStyle="1" w:styleId="85">
    <w:name w:val="nth-of-type(1)5"/>
    <w:basedOn w:val="26"/>
    <w:qFormat/>
    <w:uiPriority w:val="0"/>
  </w:style>
  <w:style w:type="character" w:customStyle="1" w:styleId="86">
    <w:name w:val="nth-of-type(1)6"/>
    <w:basedOn w:val="26"/>
    <w:qFormat/>
    <w:uiPriority w:val="0"/>
  </w:style>
  <w:style w:type="character" w:customStyle="1" w:styleId="87">
    <w:name w:val="nth-of-type(1)7"/>
    <w:basedOn w:val="26"/>
    <w:qFormat/>
    <w:uiPriority w:val="0"/>
    <w:rPr>
      <w:rFonts w:ascii="SourceHanSansCN-Regular" w:hAnsi="SourceHanSansCN-Regular" w:eastAsia="SourceHanSansCN-Regular" w:cs="SourceHanSansCN-Regular"/>
      <w:color w:val="FB560A"/>
      <w:sz w:val="21"/>
      <w:szCs w:val="21"/>
    </w:rPr>
  </w:style>
  <w:style w:type="character" w:customStyle="1" w:styleId="88">
    <w:name w:val="nth-of-type(1)8"/>
    <w:basedOn w:val="26"/>
    <w:qFormat/>
    <w:uiPriority w:val="0"/>
  </w:style>
  <w:style w:type="character" w:customStyle="1" w:styleId="89">
    <w:name w:val="nth-of-type(1)9"/>
    <w:basedOn w:val="26"/>
    <w:qFormat/>
    <w:uiPriority w:val="0"/>
  </w:style>
  <w:style w:type="character" w:customStyle="1" w:styleId="90">
    <w:name w:val="nth-of-type(1)10"/>
    <w:basedOn w:val="26"/>
    <w:qFormat/>
    <w:uiPriority w:val="0"/>
  </w:style>
  <w:style w:type="character" w:customStyle="1" w:styleId="91">
    <w:name w:val="nth-of-type(1)11"/>
    <w:basedOn w:val="26"/>
    <w:qFormat/>
    <w:uiPriority w:val="0"/>
  </w:style>
  <w:style w:type="character" w:customStyle="1" w:styleId="92">
    <w:name w:val="nth-of-type(1)12"/>
    <w:basedOn w:val="26"/>
    <w:qFormat/>
    <w:uiPriority w:val="0"/>
  </w:style>
  <w:style w:type="character" w:customStyle="1" w:styleId="93">
    <w:name w:val="nth-of-type(1)13"/>
    <w:basedOn w:val="26"/>
    <w:qFormat/>
    <w:uiPriority w:val="0"/>
  </w:style>
  <w:style w:type="character" w:customStyle="1" w:styleId="94">
    <w:name w:val="nth-of-type(1)14"/>
    <w:basedOn w:val="26"/>
    <w:qFormat/>
    <w:uiPriority w:val="0"/>
  </w:style>
  <w:style w:type="character" w:customStyle="1" w:styleId="95">
    <w:name w:val="nth-of-type(1)15"/>
    <w:basedOn w:val="26"/>
    <w:qFormat/>
    <w:uiPriority w:val="0"/>
    <w:rPr>
      <w:color w:val="0082DF"/>
    </w:rPr>
  </w:style>
  <w:style w:type="character" w:customStyle="1" w:styleId="96">
    <w:name w:val="nth-of-type(1)16"/>
    <w:basedOn w:val="26"/>
    <w:qFormat/>
    <w:uiPriority w:val="0"/>
  </w:style>
  <w:style w:type="character" w:customStyle="1" w:styleId="97">
    <w:name w:val="nth-of-type(1)17"/>
    <w:basedOn w:val="26"/>
    <w:qFormat/>
    <w:uiPriority w:val="0"/>
    <w:rPr>
      <w:sz w:val="21"/>
      <w:szCs w:val="21"/>
    </w:rPr>
  </w:style>
  <w:style w:type="character" w:customStyle="1" w:styleId="98">
    <w:name w:val="last-child1"/>
    <w:basedOn w:val="26"/>
    <w:qFormat/>
    <w:uiPriority w:val="0"/>
    <w:rPr>
      <w:color w:val="FFFFFF"/>
    </w:rPr>
  </w:style>
  <w:style w:type="character" w:customStyle="1" w:styleId="99">
    <w:name w:val="last-child2"/>
    <w:basedOn w:val="26"/>
    <w:qFormat/>
    <w:uiPriority w:val="0"/>
  </w:style>
  <w:style w:type="character" w:customStyle="1" w:styleId="100">
    <w:name w:val="last-child3"/>
    <w:basedOn w:val="26"/>
    <w:qFormat/>
    <w:uiPriority w:val="0"/>
  </w:style>
  <w:style w:type="character" w:customStyle="1" w:styleId="101">
    <w:name w:val="nth-of-type(2)"/>
    <w:basedOn w:val="26"/>
    <w:qFormat/>
    <w:uiPriority w:val="0"/>
  </w:style>
  <w:style w:type="character" w:customStyle="1" w:styleId="102">
    <w:name w:val="nth-of-type(2)1"/>
    <w:basedOn w:val="26"/>
    <w:qFormat/>
    <w:uiPriority w:val="0"/>
  </w:style>
  <w:style w:type="character" w:customStyle="1" w:styleId="103">
    <w:name w:val="nth-of-type(2)2"/>
    <w:basedOn w:val="26"/>
    <w:qFormat/>
    <w:uiPriority w:val="0"/>
  </w:style>
  <w:style w:type="character" w:customStyle="1" w:styleId="104">
    <w:name w:val="nth-of-type(2)3"/>
    <w:basedOn w:val="26"/>
    <w:qFormat/>
    <w:uiPriority w:val="0"/>
  </w:style>
  <w:style w:type="character" w:customStyle="1" w:styleId="105">
    <w:name w:val="nth-of-type(2)4"/>
    <w:basedOn w:val="26"/>
    <w:qFormat/>
    <w:uiPriority w:val="0"/>
  </w:style>
  <w:style w:type="character" w:customStyle="1" w:styleId="106">
    <w:name w:val="nth-of-type(2)5"/>
    <w:basedOn w:val="26"/>
    <w:qFormat/>
    <w:uiPriority w:val="0"/>
  </w:style>
  <w:style w:type="character" w:customStyle="1" w:styleId="107">
    <w:name w:val="nth-of-type(2)6"/>
    <w:basedOn w:val="26"/>
    <w:qFormat/>
    <w:uiPriority w:val="0"/>
  </w:style>
  <w:style w:type="character" w:customStyle="1" w:styleId="108">
    <w:name w:val="nth-of-type(2)7"/>
    <w:basedOn w:val="26"/>
    <w:qFormat/>
    <w:uiPriority w:val="0"/>
  </w:style>
  <w:style w:type="character" w:customStyle="1" w:styleId="109">
    <w:name w:val="nth-of-type(2)8"/>
    <w:basedOn w:val="26"/>
    <w:qFormat/>
    <w:uiPriority w:val="0"/>
  </w:style>
  <w:style w:type="character" w:customStyle="1" w:styleId="110">
    <w:name w:val="nth-of-type(2)9"/>
    <w:basedOn w:val="26"/>
    <w:qFormat/>
    <w:uiPriority w:val="0"/>
  </w:style>
  <w:style w:type="character" w:customStyle="1" w:styleId="111">
    <w:name w:val="nth-of-type(2)10"/>
    <w:basedOn w:val="26"/>
    <w:qFormat/>
    <w:uiPriority w:val="0"/>
  </w:style>
  <w:style w:type="character" w:customStyle="1" w:styleId="112">
    <w:name w:val="nth-of-type(2)11"/>
    <w:basedOn w:val="26"/>
    <w:qFormat/>
    <w:uiPriority w:val="0"/>
  </w:style>
  <w:style w:type="character" w:customStyle="1" w:styleId="113">
    <w:name w:val="nth-of-type(2)12"/>
    <w:basedOn w:val="26"/>
    <w:qFormat/>
    <w:uiPriority w:val="0"/>
  </w:style>
  <w:style w:type="character" w:customStyle="1" w:styleId="114">
    <w:name w:val="nth-of-type(2)13"/>
    <w:basedOn w:val="26"/>
    <w:qFormat/>
    <w:uiPriority w:val="0"/>
    <w:rPr>
      <w:sz w:val="21"/>
      <w:szCs w:val="21"/>
    </w:rPr>
  </w:style>
  <w:style w:type="character" w:customStyle="1" w:styleId="115">
    <w:name w:val="nth-child(1)"/>
    <w:basedOn w:val="26"/>
    <w:qFormat/>
    <w:uiPriority w:val="0"/>
  </w:style>
  <w:style w:type="character" w:customStyle="1" w:styleId="116">
    <w:name w:val="nth-of-type(10)"/>
    <w:basedOn w:val="26"/>
    <w:qFormat/>
    <w:uiPriority w:val="0"/>
  </w:style>
  <w:style w:type="character" w:customStyle="1" w:styleId="117">
    <w:name w:val="nth-child(3)"/>
    <w:basedOn w:val="26"/>
    <w:qFormat/>
    <w:uiPriority w:val="0"/>
  </w:style>
  <w:style w:type="character" w:customStyle="1" w:styleId="118">
    <w:name w:val="titleshow"/>
    <w:basedOn w:val="26"/>
    <w:qFormat/>
    <w:uiPriority w:val="0"/>
    <w:rPr>
      <w:color w:val="3E464C"/>
    </w:rPr>
  </w:style>
  <w:style w:type="character" w:customStyle="1" w:styleId="119">
    <w:name w:val="before2"/>
    <w:basedOn w:val="26"/>
    <w:qFormat/>
    <w:uiPriority w:val="0"/>
    <w:rPr>
      <w:shd w:val="clear" w:fill="C20E0C"/>
    </w:rPr>
  </w:style>
  <w:style w:type="character" w:customStyle="1" w:styleId="120">
    <w:name w:val="nth-of-type(6)1"/>
    <w:basedOn w:val="26"/>
    <w:qFormat/>
    <w:uiPriority w:val="0"/>
  </w:style>
  <w:style w:type="character" w:customStyle="1" w:styleId="121">
    <w:name w:val="nth-of-type(6)2"/>
    <w:basedOn w:val="26"/>
    <w:qFormat/>
    <w:uiPriority w:val="0"/>
    <w:rPr>
      <w:color w:val="0082DF"/>
    </w:rPr>
  </w:style>
  <w:style w:type="character" w:customStyle="1" w:styleId="122">
    <w:name w:val="nth-of-type(6)3"/>
    <w:basedOn w:val="26"/>
    <w:qFormat/>
    <w:uiPriority w:val="0"/>
  </w:style>
  <w:style w:type="character" w:customStyle="1" w:styleId="123">
    <w:name w:val="nth-of-type(6)4"/>
    <w:basedOn w:val="26"/>
    <w:qFormat/>
    <w:uiPriority w:val="0"/>
  </w:style>
  <w:style w:type="character" w:customStyle="1" w:styleId="124">
    <w:name w:val="nth-of-type(6)5"/>
    <w:basedOn w:val="26"/>
    <w:qFormat/>
    <w:uiPriority w:val="0"/>
  </w:style>
  <w:style w:type="character" w:customStyle="1" w:styleId="125">
    <w:name w:val="nth-of-type(3)1"/>
    <w:basedOn w:val="26"/>
    <w:qFormat/>
    <w:uiPriority w:val="0"/>
  </w:style>
  <w:style w:type="character" w:customStyle="1" w:styleId="126">
    <w:name w:val="nth-of-type(3)2"/>
    <w:basedOn w:val="26"/>
    <w:qFormat/>
    <w:uiPriority w:val="0"/>
  </w:style>
  <w:style w:type="character" w:customStyle="1" w:styleId="127">
    <w:name w:val="nth-of-type(3)3"/>
    <w:basedOn w:val="26"/>
    <w:qFormat/>
    <w:uiPriority w:val="0"/>
  </w:style>
  <w:style w:type="character" w:customStyle="1" w:styleId="128">
    <w:name w:val="nth-of-type(3)4"/>
    <w:basedOn w:val="26"/>
    <w:qFormat/>
    <w:uiPriority w:val="0"/>
  </w:style>
  <w:style w:type="character" w:customStyle="1" w:styleId="129">
    <w:name w:val="nth-of-type(3)5"/>
    <w:basedOn w:val="26"/>
    <w:qFormat/>
    <w:uiPriority w:val="0"/>
  </w:style>
  <w:style w:type="character" w:customStyle="1" w:styleId="130">
    <w:name w:val="nth-of-type(3)6"/>
    <w:basedOn w:val="26"/>
    <w:qFormat/>
    <w:uiPriority w:val="0"/>
  </w:style>
  <w:style w:type="character" w:customStyle="1" w:styleId="131">
    <w:name w:val="nth-of-type(3)7"/>
    <w:basedOn w:val="26"/>
    <w:qFormat/>
    <w:uiPriority w:val="0"/>
    <w:rPr>
      <w:sz w:val="21"/>
      <w:szCs w:val="21"/>
    </w:rPr>
  </w:style>
  <w:style w:type="character" w:customStyle="1" w:styleId="132">
    <w:name w:val="nth-of-type(4)1"/>
    <w:basedOn w:val="26"/>
    <w:qFormat/>
    <w:uiPriority w:val="0"/>
  </w:style>
  <w:style w:type="character" w:customStyle="1" w:styleId="133">
    <w:name w:val="nth-of-type(4)2"/>
    <w:basedOn w:val="26"/>
    <w:qFormat/>
    <w:uiPriority w:val="0"/>
  </w:style>
  <w:style w:type="character" w:customStyle="1" w:styleId="134">
    <w:name w:val="nth-of-type(4)3"/>
    <w:basedOn w:val="26"/>
    <w:qFormat/>
    <w:uiPriority w:val="0"/>
  </w:style>
  <w:style w:type="character" w:customStyle="1" w:styleId="135">
    <w:name w:val="nth-of-type(4)4"/>
    <w:basedOn w:val="26"/>
    <w:qFormat/>
    <w:uiPriority w:val="0"/>
  </w:style>
  <w:style w:type="character" w:customStyle="1" w:styleId="136">
    <w:name w:val="nth-of-type(4)5"/>
    <w:basedOn w:val="26"/>
    <w:qFormat/>
    <w:uiPriority w:val="0"/>
  </w:style>
  <w:style w:type="character" w:customStyle="1" w:styleId="137">
    <w:name w:val="nth-of-type(4)6"/>
    <w:basedOn w:val="26"/>
    <w:qFormat/>
    <w:uiPriority w:val="0"/>
  </w:style>
  <w:style w:type="character" w:customStyle="1" w:styleId="138">
    <w:name w:val="nth-of-type(4)7"/>
    <w:basedOn w:val="26"/>
    <w:qFormat/>
    <w:uiPriority w:val="0"/>
  </w:style>
  <w:style w:type="character" w:customStyle="1" w:styleId="139">
    <w:name w:val="nth-of-type(4)8"/>
    <w:basedOn w:val="26"/>
    <w:qFormat/>
    <w:uiPriority w:val="0"/>
    <w:rPr>
      <w:sz w:val="21"/>
      <w:szCs w:val="21"/>
    </w:rPr>
  </w:style>
  <w:style w:type="character" w:customStyle="1" w:styleId="140">
    <w:name w:val="layui-this4"/>
    <w:basedOn w:val="26"/>
    <w:qFormat/>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30893</Words>
  <Characters>32306</Characters>
  <Lines>289</Lines>
  <Paragraphs>81</Paragraphs>
  <TotalTime>83</TotalTime>
  <ScaleCrop>false</ScaleCrop>
  <LinksUpToDate>false</LinksUpToDate>
  <CharactersWithSpaces>34332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2020-12-10T01:31:00Z</dcterms:created>
  <dc:creator>Administrator</dc:creator>
  <cp:lastModifiedBy>QinL109</cp:lastModifiedBy>
  <cp:lastPrinted>2022-05-10T07:51:00Z</cp:lastPrinted>
  <dcterms:modified xsi:type="dcterms:W3CDTF">2023-12-12T07:46:39Z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D2D16B882E4A40DF96511E49F7A19AF6</vt:lpwstr>
  </property>
</Properties>
</file>