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文件编号:</w:t>
      </w:r>
      <w:r>
        <w:rPr>
          <w:rFonts w:hint="eastAsia" w:ascii="仿宋" w:hAnsi="仿宋" w:eastAsia="仿宋" w:cs="仿宋"/>
          <w:b/>
          <w:color w:val="000000" w:themeColor="text1"/>
          <w:sz w:val="36"/>
          <w:szCs w:val="36"/>
          <w:highlight w:val="none"/>
          <w:lang w:eastAsia="zh-CN"/>
          <w14:textFill>
            <w14:solidFill>
              <w14:schemeClr w14:val="tx1"/>
            </w14:solidFill>
          </w14:textFill>
        </w:rPr>
        <w:t>HZGH-2023-060</w:t>
      </w:r>
    </w:p>
    <w:p>
      <w:pPr>
        <w:pStyle w:val="11"/>
        <w:rPr>
          <w:rFonts w:hint="eastAsia"/>
          <w:highlight w:val="none"/>
        </w:rPr>
      </w:pPr>
    </w:p>
    <w:p>
      <w:pPr>
        <w:jc w:val="both"/>
        <w:rPr>
          <w:rFonts w:hint="eastAsia" w:ascii="仿宋" w:hAnsi="仿宋" w:eastAsia="仿宋" w:cs="仿宋"/>
          <w:b/>
          <w:color w:val="000000" w:themeColor="text1"/>
          <w:sz w:val="48"/>
          <w:szCs w:val="48"/>
          <w:highlight w:val="none"/>
          <w:u w:val="wavyHeavy" w:color="FF0000"/>
          <w14:textFill>
            <w14:solidFill>
              <w14:schemeClr w14:val="tx1"/>
            </w14:solidFill>
          </w14:textFill>
        </w:rPr>
      </w:pPr>
    </w:p>
    <w:p>
      <w:pPr>
        <w:jc w:val="center"/>
        <w:rPr>
          <w:rFonts w:hint="eastAsia"/>
          <w:highlight w:val="none"/>
          <w:lang w:val="en-US" w:eastAsia="zh-CN"/>
        </w:rPr>
      </w:pPr>
      <w:r>
        <w:rPr>
          <w:rFonts w:hint="eastAsia" w:ascii="仿宋" w:hAnsi="仿宋" w:eastAsia="仿宋" w:cs="仿宋"/>
          <w:b/>
          <w:bCs/>
          <w:color w:val="000000" w:themeColor="text1"/>
          <w:spacing w:val="20"/>
          <w:kern w:val="0"/>
          <w:sz w:val="52"/>
          <w:szCs w:val="52"/>
          <w:highlight w:val="none"/>
          <w:lang w:val="en-US" w:eastAsia="zh-CN" w:bidi="ar-SA"/>
          <w14:textFill>
            <w14:solidFill>
              <w14:schemeClr w14:val="tx1"/>
            </w14:solidFill>
          </w14:textFill>
        </w:rPr>
        <w:t>农村生活饮用水检测项目</w:t>
      </w:r>
    </w:p>
    <w:p>
      <w:pPr>
        <w:rPr>
          <w:rFonts w:hint="eastAsia"/>
          <w:highlight w:val="none"/>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r>
        <w:rPr>
          <w:rFonts w:hint="eastAsia" w:ascii="仿宋" w:hAnsi="仿宋" w:eastAsia="仿宋" w:cs="仿宋"/>
          <w:b/>
          <w:bCs/>
          <w:color w:val="000000" w:themeColor="text1"/>
          <w:spacing w:val="20"/>
          <w:kern w:val="0"/>
          <w:sz w:val="72"/>
          <w:szCs w:val="72"/>
          <w:highlight w:val="none"/>
          <w14:textFill>
            <w14:solidFill>
              <w14:schemeClr w14:val="tx1"/>
            </w14:solidFill>
          </w14:textFill>
        </w:rPr>
        <w:t>竞争性磋商文件</w:t>
      </w:r>
    </w:p>
    <w:p>
      <w:pPr>
        <w:pStyle w:val="11"/>
        <w:jc w:val="center"/>
        <w:rPr>
          <w:rFonts w:hint="eastAsia" w:ascii="仿宋" w:hAnsi="仿宋" w:eastAsia="仿宋" w:cs="仿宋"/>
          <w:b/>
          <w:bCs/>
          <w:color w:val="000000" w:themeColor="text1"/>
          <w:spacing w:val="20"/>
          <w:kern w:val="0"/>
          <w:sz w:val="40"/>
          <w:szCs w:val="40"/>
          <w:highlight w:val="none"/>
          <w:lang w:eastAsia="zh-CN"/>
          <w14:textFill>
            <w14:solidFill>
              <w14:schemeClr w14:val="tx1"/>
            </w14:solidFill>
          </w14:textFill>
        </w:rPr>
      </w:pPr>
      <w:r>
        <w:rPr>
          <w:rFonts w:hint="eastAsia" w:ascii="仿宋" w:hAnsi="仿宋" w:eastAsia="仿宋" w:cs="仿宋"/>
          <w:b/>
          <w:bCs/>
          <w:color w:val="000000" w:themeColor="text1"/>
          <w:spacing w:val="20"/>
          <w:kern w:val="0"/>
          <w:sz w:val="40"/>
          <w:szCs w:val="40"/>
          <w:highlight w:val="none"/>
          <w:lang w:val="en-US" w:eastAsia="zh-CN"/>
          <w14:textFill>
            <w14:solidFill>
              <w14:schemeClr w14:val="tx1"/>
            </w14:solidFill>
          </w14:textFill>
        </w:rPr>
        <w:t>专门面向中小企业项目</w:t>
      </w:r>
    </w:p>
    <w:p>
      <w:pPr>
        <w:rPr>
          <w:rFonts w:hint="eastAsia"/>
          <w:highlight w:val="none"/>
        </w:rPr>
      </w:pPr>
    </w:p>
    <w:p>
      <w:pPr>
        <w:ind w:firstLine="643" w:firstLineChars="200"/>
        <w:jc w:val="center"/>
        <w:outlineLvl w:val="0"/>
        <w:rPr>
          <w:rFonts w:hint="eastAsia" w:ascii="仿宋" w:hAnsi="仿宋" w:eastAsia="仿宋" w:cs="仿宋"/>
          <w:b/>
          <w:bCs/>
          <w:color w:val="000000" w:themeColor="text1"/>
          <w:kern w:val="0"/>
          <w:sz w:val="84"/>
          <w:szCs w:val="84"/>
          <w:highlight w:val="none"/>
          <w14:textFill>
            <w14:solidFill>
              <w14:schemeClr w14:val="tx1"/>
            </w14:solidFill>
          </w14:textFill>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7456" behindDoc="1" locked="0" layoutInCell="1" allowOverlap="1">
            <wp:simplePos x="0" y="0"/>
            <wp:positionH relativeFrom="column">
              <wp:posOffset>2153285</wp:posOffset>
            </wp:positionH>
            <wp:positionV relativeFrom="paragraph">
              <wp:posOffset>264795</wp:posOffset>
            </wp:positionV>
            <wp:extent cx="1466215" cy="1390650"/>
            <wp:effectExtent l="0" t="0" r="635" b="0"/>
            <wp:wrapTight wrapText="bothSides">
              <wp:wrapPolygon>
                <wp:start x="0" y="0"/>
                <wp:lineTo x="0" y="21304"/>
                <wp:lineTo x="21329" y="21304"/>
                <wp:lineTo x="21329" y="0"/>
                <wp:lineTo x="0" y="0"/>
              </wp:wrapPolygon>
            </wp:wrapTight>
            <wp:docPr id="3" name="图片 3"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3eb5700307075d23daf00df32f9f8"/>
                    <pic:cNvPicPr>
                      <a:picLocks noChangeAspect="1"/>
                    </pic:cNvPicPr>
                  </pic:nvPicPr>
                  <pic:blipFill>
                    <a:blip r:embed="rId24"/>
                    <a:stretch>
                      <a:fillRect/>
                    </a:stretch>
                  </pic:blipFill>
                  <pic:spPr>
                    <a:xfrm>
                      <a:off x="0" y="0"/>
                      <a:ext cx="1466215" cy="1390650"/>
                    </a:xfrm>
                    <a:prstGeom prst="rect">
                      <a:avLst/>
                    </a:prstGeom>
                  </pic:spPr>
                </pic:pic>
              </a:graphicData>
            </a:graphic>
          </wp:anchor>
        </w:drawing>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pStyle w:val="37"/>
        <w:rPr>
          <w:rFonts w:hint="eastAsia" w:ascii="仿宋" w:hAnsi="仿宋" w:eastAsia="仿宋" w:cs="仿宋"/>
          <w:b/>
          <w:color w:val="000000" w:themeColor="text1"/>
          <w:sz w:val="32"/>
          <w:szCs w:val="32"/>
          <w:highlight w:val="none"/>
          <w14:textFill>
            <w14:solidFill>
              <w14:schemeClr w14:val="tx1"/>
            </w14:solidFill>
          </w14:textFill>
        </w:rPr>
      </w:pPr>
    </w:p>
    <w:p>
      <w:pPr>
        <w:spacing w:line="560" w:lineRule="exact"/>
        <w:ind w:firstLine="1606" w:firstLineChars="5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Fonts w:hint="eastAsia" w:ascii="仿宋" w:hAnsi="仿宋" w:eastAsia="仿宋" w:cs="仿宋"/>
          <w:b/>
          <w:color w:val="000000" w:themeColor="text1"/>
          <w:sz w:val="32"/>
          <w:szCs w:val="32"/>
          <w:highlight w:val="none"/>
          <w14:textFill>
            <w14:solidFill>
              <w14:schemeClr w14:val="tx1"/>
            </w14:solidFill>
          </w14:textFill>
        </w:rPr>
        <w:t>人：</w:t>
      </w:r>
      <w:r>
        <w:rPr>
          <w:rFonts w:hint="eastAsia" w:ascii="仿宋" w:hAnsi="仿宋" w:eastAsia="仿宋" w:cs="仿宋"/>
          <w:b/>
          <w:color w:val="000000" w:themeColor="text1"/>
          <w:sz w:val="32"/>
          <w:szCs w:val="32"/>
          <w:highlight w:val="none"/>
          <w:lang w:eastAsia="zh-CN"/>
          <w14:textFill>
            <w14:solidFill>
              <w14:schemeClr w14:val="tx1"/>
            </w14:solidFill>
          </w14:textFill>
        </w:rPr>
        <w:t>韩城市疾病预防控制中心</w:t>
      </w:r>
    </w:p>
    <w:p>
      <w:pPr>
        <w:spacing w:line="560" w:lineRule="exact"/>
        <w:ind w:firstLine="1606" w:firstLineChars="500"/>
        <w:jc w:val="both"/>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w:t>
      </w:r>
      <w:r>
        <w:rPr>
          <w:rFonts w:hint="eastAsia" w:ascii="仿宋" w:hAnsi="仿宋" w:eastAsia="仿宋" w:cs="仿宋"/>
          <w:b/>
          <w:color w:val="000000" w:themeColor="text1"/>
          <w:sz w:val="32"/>
          <w:szCs w:val="32"/>
          <w:highlight w:val="none"/>
          <w:lang w:eastAsia="zh-CN"/>
          <w14:textFill>
            <w14:solidFill>
              <w14:schemeClr w14:val="tx1"/>
            </w14:solidFill>
          </w14:textFill>
        </w:rPr>
        <w:t>华招广和项目管理有限公司</w:t>
      </w:r>
    </w:p>
    <w:p>
      <w:pPr>
        <w:spacing w:line="56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pPr>
        <w:spacing w:line="560" w:lineRule="exact"/>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仿宋" w:hAnsi="仿宋" w:eastAsia="仿宋" w:cs="仿宋"/>
          <w:b/>
          <w:bCs/>
          <w:color w:val="000000" w:themeColor="text1"/>
          <w:sz w:val="32"/>
          <w:szCs w:val="32"/>
          <w:highlight w:val="none"/>
          <w14:textFill>
            <w14:solidFill>
              <w14:schemeClr w14:val="tx1"/>
            </w14:solidFill>
          </w14:textFill>
        </w:rPr>
        <w:t>二零二</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b/>
          <w:bCs/>
          <w:color w:val="000000" w:themeColor="text1"/>
          <w:sz w:val="32"/>
          <w:szCs w:val="32"/>
          <w:highlight w:val="none"/>
          <w14:textFill>
            <w14:solidFill>
              <w14:schemeClr w14:val="tx1"/>
            </w14:solidFill>
          </w14:textFill>
        </w:rPr>
        <w:t>年</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十二月</w:t>
      </w:r>
    </w:p>
    <w:p>
      <w:pPr>
        <w:spacing w:line="560" w:lineRule="exact"/>
        <w:jc w:val="center"/>
        <w:rPr>
          <w:rFonts w:hint="eastAsia" w:ascii="仿宋" w:hAnsi="仿宋" w:eastAsia="仿宋" w:cs="仿宋"/>
          <w:b/>
          <w:color w:val="000000"/>
          <w:sz w:val="52"/>
          <w:szCs w:val="52"/>
          <w:highlight w:val="none"/>
          <w:u w:val="double"/>
        </w:rPr>
      </w:pPr>
      <w:r>
        <w:rPr>
          <w:rFonts w:hint="eastAsia" w:ascii="仿宋" w:hAnsi="仿宋" w:eastAsia="仿宋" w:cs="仿宋"/>
          <w:b/>
          <w:color w:val="000000"/>
          <w:sz w:val="48"/>
          <w:szCs w:val="48"/>
          <w:highlight w:val="none"/>
          <w:u w:val="double"/>
        </w:rPr>
        <w:t>特 别 提 示</w:t>
      </w:r>
    </w:p>
    <w:p>
      <w:pPr>
        <w:spacing w:line="640" w:lineRule="exact"/>
        <w:rPr>
          <w:rFonts w:hint="eastAsia" w:ascii="仿宋" w:hAnsi="仿宋" w:eastAsia="仿宋" w:cs="仿宋"/>
          <w:b/>
          <w:bCs/>
          <w:color w:val="000000"/>
          <w:sz w:val="24"/>
          <w:highlight w:val="none"/>
        </w:rPr>
      </w:pPr>
    </w:p>
    <w:p>
      <w:pPr>
        <w:spacing w:line="6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各供应商</w:t>
      </w:r>
      <w:r>
        <w:rPr>
          <w:rFonts w:hint="eastAsia" w:ascii="仿宋" w:hAnsi="仿宋" w:eastAsia="仿宋" w:cs="仿宋"/>
          <w:color w:val="000000"/>
          <w:sz w:val="24"/>
          <w:highlight w:val="none"/>
        </w:rPr>
        <w:t>：在此我们特别善意地提醒您注意！</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1、请您仔细地阅读竞争性磋商文件并正确理解竞争性磋商文件中各项具体要求。</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2、请您严格按照竞争性磋商文件载明的竞争性磋商响应文件格式要求编制竞争性磋商响应文件。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3、请您按照竞争性磋商文件要求密封竞争性磋商响应文件。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4、请您明确标记竞争性磋商响应文件的正本、副本。</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5</w:t>
      </w:r>
      <w:r>
        <w:rPr>
          <w:rFonts w:hint="eastAsia" w:ascii="仿宋" w:hAnsi="仿宋" w:eastAsia="仿宋" w:cs="仿宋"/>
          <w:b/>
          <w:bCs/>
          <w:color w:val="000000"/>
          <w:sz w:val="24"/>
          <w:highlight w:val="none"/>
        </w:rPr>
        <w:t>、如在竞争性磋商响应文件递交截止时间前放弃本次投标，请以书面形式发出弃标函。</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auto"/>
          <w:sz w:val="24"/>
          <w:highlight w:val="none"/>
        </w:rPr>
        <w:t>请您于</w:t>
      </w:r>
      <w:r>
        <w:rPr>
          <w:rFonts w:hint="eastAsia" w:ascii="仿宋" w:hAnsi="仿宋" w:eastAsia="仿宋" w:cs="仿宋"/>
          <w:b/>
          <w:bCs/>
          <w:color w:val="auto"/>
          <w:sz w:val="24"/>
          <w:highlight w:val="none"/>
          <w:lang w:eastAsia="zh-CN"/>
        </w:rPr>
        <w:t>202</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lang w:val="en-US" w:eastAsia="zh-CN"/>
        </w:rPr>
        <w:t>12</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26</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0:00</w:t>
      </w:r>
      <w:r>
        <w:rPr>
          <w:rFonts w:hint="eastAsia" w:ascii="仿宋" w:hAnsi="仿宋" w:eastAsia="仿宋" w:cs="仿宋"/>
          <w:color w:val="auto"/>
          <w:sz w:val="24"/>
          <w:highlight w:val="none"/>
        </w:rPr>
        <w:t>，</w:t>
      </w:r>
      <w:r>
        <w:rPr>
          <w:rFonts w:hint="eastAsia" w:ascii="仿宋" w:hAnsi="仿宋" w:eastAsia="仿宋" w:cs="仿宋"/>
          <w:color w:val="000000"/>
          <w:sz w:val="24"/>
          <w:highlight w:val="none"/>
        </w:rPr>
        <w:t>准时到西安市朱雀大街南段1号汇成天玺C座18层</w:t>
      </w:r>
      <w:r>
        <w:rPr>
          <w:rFonts w:hint="eastAsia" w:ascii="仿宋" w:hAnsi="仿宋" w:eastAsia="仿宋" w:cs="仿宋"/>
          <w:color w:val="000000"/>
          <w:sz w:val="24"/>
          <w:highlight w:val="none"/>
          <w:lang w:eastAsia="zh-CN"/>
        </w:rPr>
        <w:t>1818</w:t>
      </w:r>
      <w:r>
        <w:rPr>
          <w:rFonts w:hint="eastAsia" w:ascii="仿宋" w:hAnsi="仿宋" w:eastAsia="仿宋" w:cs="仿宋"/>
          <w:color w:val="000000"/>
          <w:sz w:val="24"/>
          <w:highlight w:val="none"/>
        </w:rPr>
        <w:t>室递交竞争性磋商响应文件并参加竞争性磋商会议，避免迟误。</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、请您到达竞争性磋商会议地点后及时到签到处签字登记。</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8</w:t>
      </w:r>
      <w:r>
        <w:rPr>
          <w:rFonts w:hint="eastAsia" w:ascii="仿宋" w:hAnsi="仿宋" w:eastAsia="仿宋" w:cs="仿宋"/>
          <w:b/>
          <w:bCs/>
          <w:color w:val="000000"/>
          <w:sz w:val="24"/>
          <w:highlight w:val="none"/>
        </w:rPr>
        <w:t>、请您按照《陕西省财政厅关于政府采购供应商注册登记有关事项的通知》中的要求，通过陕西省政府采购网（http://www.ccgp-shaanxi.gov.cn/）注册登记加入陕西省政府采购供应商库，并接受财政部门的监督管理。</w:t>
      </w:r>
    </w:p>
    <w:p>
      <w:pPr>
        <w:spacing w:line="640" w:lineRule="exact"/>
        <w:ind w:firstLine="480" w:firstLineChars="200"/>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谨记上述提示，将有助您顺利地参加投标。若有什么需要帮助，请您与我们的工作人员联系，我们将竭诚为您服务。</w:t>
      </w:r>
    </w:p>
    <w:p>
      <w:pPr>
        <w:spacing w:line="640" w:lineRule="exact"/>
        <w:rPr>
          <w:rFonts w:hint="eastAsia" w:ascii="仿宋" w:hAnsi="仿宋" w:eastAsia="仿宋" w:cs="仿宋"/>
          <w:b/>
          <w:color w:val="000000" w:themeColor="text1"/>
          <w:sz w:val="52"/>
          <w:szCs w:val="52"/>
          <w:highlight w:val="none"/>
          <w14:textFill>
            <w14:solidFill>
              <w14:schemeClr w14:val="tx1"/>
            </w14:solidFill>
          </w14:textFill>
        </w:rPr>
        <w:sectPr>
          <w:footerReference r:id="rId9" w:type="first"/>
          <w:footerReference r:id="rId8" w:type="default"/>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p>
    <w:p>
      <w:pPr>
        <w:spacing w:line="480" w:lineRule="exact"/>
        <w:jc w:val="center"/>
        <w:rPr>
          <w:rFonts w:hint="eastAsia" w:ascii="仿宋" w:hAnsi="仿宋" w:eastAsia="仿宋" w:cs="仿宋"/>
          <w:color w:val="000000" w:themeColor="text1"/>
          <w:sz w:val="48"/>
          <w:szCs w:val="48"/>
          <w:highlight w:val="none"/>
          <w:lang w:val="zh-CN"/>
          <w14:textFill>
            <w14:solidFill>
              <w14:schemeClr w14:val="tx1"/>
            </w14:solidFill>
          </w14:textFill>
        </w:rPr>
      </w:pPr>
      <w:r>
        <w:rPr>
          <w:rFonts w:hint="eastAsia" w:ascii="仿宋" w:hAnsi="仿宋" w:eastAsia="仿宋" w:cs="仿宋"/>
          <w:color w:val="000000" w:themeColor="text1"/>
          <w:sz w:val="48"/>
          <w:szCs w:val="48"/>
          <w:highlight w:val="none"/>
          <w:lang w:val="zh-CN"/>
          <w14:textFill>
            <w14:solidFill>
              <w14:schemeClr w14:val="tx1"/>
            </w14:solidFill>
          </w14:textFill>
        </w:rPr>
        <w:t>目  录</w:t>
      </w:r>
    </w:p>
    <w:p>
      <w:pPr>
        <w:rPr>
          <w:rFonts w:hint="eastAsia" w:ascii="仿宋" w:hAnsi="仿宋" w:eastAsia="仿宋" w:cs="仿宋"/>
          <w:color w:val="000000" w:themeColor="text1"/>
          <w:highlight w:val="none"/>
          <w:lang w:val="zh-CN"/>
          <w14:textFill>
            <w14:solidFill>
              <w14:schemeClr w14:val="tx1"/>
            </w14:solidFill>
          </w14:textFill>
        </w:rPr>
      </w:pP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_Toc20848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52"/>
          <w:highlight w:val="none"/>
        </w:rPr>
        <w:t>第一章 竞争性磋商邀请书</w:t>
      </w:r>
      <w:r>
        <w:rPr>
          <w:sz w:val="22"/>
          <w:szCs w:val="28"/>
          <w:highlight w:val="none"/>
        </w:rPr>
        <w:tab/>
      </w:r>
      <w:r>
        <w:rPr>
          <w:sz w:val="22"/>
          <w:szCs w:val="28"/>
          <w:highlight w:val="none"/>
        </w:rPr>
        <w:fldChar w:fldCharType="begin"/>
      </w:r>
      <w:r>
        <w:rPr>
          <w:sz w:val="22"/>
          <w:szCs w:val="28"/>
          <w:highlight w:val="none"/>
        </w:rPr>
        <w:instrText xml:space="preserve"> PAGEREF _Toc20848 \h </w:instrText>
      </w:r>
      <w:r>
        <w:rPr>
          <w:sz w:val="22"/>
          <w:szCs w:val="28"/>
          <w:highlight w:val="none"/>
        </w:rPr>
        <w:fldChar w:fldCharType="separate"/>
      </w:r>
      <w:r>
        <w:rPr>
          <w:sz w:val="22"/>
          <w:szCs w:val="28"/>
          <w:highlight w:val="none"/>
        </w:rPr>
        <w:t>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第二章 供应商须知</w:t>
      </w:r>
      <w:r>
        <w:rPr>
          <w:sz w:val="22"/>
          <w:szCs w:val="28"/>
          <w:highlight w:val="none"/>
        </w:rPr>
        <w:tab/>
      </w:r>
      <w:r>
        <w:rPr>
          <w:sz w:val="22"/>
          <w:szCs w:val="28"/>
          <w:highlight w:val="none"/>
        </w:rPr>
        <w:fldChar w:fldCharType="begin"/>
      </w:r>
      <w:r>
        <w:rPr>
          <w:sz w:val="22"/>
          <w:szCs w:val="28"/>
          <w:highlight w:val="none"/>
        </w:rPr>
        <w:instrText xml:space="preserve"> PAGEREF _Toc19749 \h </w:instrText>
      </w:r>
      <w:r>
        <w:rPr>
          <w:sz w:val="22"/>
          <w:szCs w:val="28"/>
          <w:highlight w:val="none"/>
        </w:rPr>
        <w:fldChar w:fldCharType="separate"/>
      </w:r>
      <w:r>
        <w:rPr>
          <w:sz w:val="22"/>
          <w:szCs w:val="28"/>
          <w:highlight w:val="none"/>
        </w:rPr>
        <w:t>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_Toc1739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一、供应商须知前附表</w:t>
      </w:r>
      <w:r>
        <w:rPr>
          <w:sz w:val="22"/>
          <w:szCs w:val="28"/>
          <w:highlight w:val="none"/>
        </w:rPr>
        <w:tab/>
      </w:r>
      <w:r>
        <w:rPr>
          <w:sz w:val="22"/>
          <w:szCs w:val="28"/>
          <w:highlight w:val="none"/>
        </w:rPr>
        <w:fldChar w:fldCharType="begin"/>
      </w:r>
      <w:r>
        <w:rPr>
          <w:sz w:val="22"/>
          <w:szCs w:val="28"/>
          <w:highlight w:val="none"/>
        </w:rPr>
        <w:instrText xml:space="preserve"> PAGEREF _Toc1739 \h </w:instrText>
      </w:r>
      <w:r>
        <w:rPr>
          <w:sz w:val="22"/>
          <w:szCs w:val="28"/>
          <w:highlight w:val="none"/>
        </w:rPr>
        <w:fldChar w:fldCharType="separate"/>
      </w:r>
      <w:r>
        <w:rPr>
          <w:sz w:val="22"/>
          <w:szCs w:val="28"/>
          <w:highlight w:val="none"/>
        </w:rPr>
        <w:t>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_Toc12152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二、项目说明</w:t>
      </w:r>
      <w:r>
        <w:rPr>
          <w:sz w:val="22"/>
          <w:szCs w:val="28"/>
          <w:highlight w:val="none"/>
        </w:rPr>
        <w:tab/>
      </w:r>
      <w:r>
        <w:rPr>
          <w:sz w:val="22"/>
          <w:szCs w:val="28"/>
          <w:highlight w:val="none"/>
        </w:rPr>
        <w:fldChar w:fldCharType="begin"/>
      </w:r>
      <w:r>
        <w:rPr>
          <w:sz w:val="22"/>
          <w:szCs w:val="28"/>
          <w:highlight w:val="none"/>
        </w:rPr>
        <w:instrText xml:space="preserve"> PAGEREF _Toc12152 \h </w:instrText>
      </w:r>
      <w:r>
        <w:rPr>
          <w:sz w:val="22"/>
          <w:szCs w:val="28"/>
          <w:highlight w:val="none"/>
        </w:rPr>
        <w:fldChar w:fldCharType="separate"/>
      </w:r>
      <w:r>
        <w:rPr>
          <w:sz w:val="22"/>
          <w:szCs w:val="28"/>
          <w:highlight w:val="none"/>
        </w:rPr>
        <w:t>12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_Toc24776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三、竞争性磋商文件</w:t>
      </w:r>
      <w:r>
        <w:rPr>
          <w:sz w:val="22"/>
          <w:szCs w:val="28"/>
          <w:highlight w:val="none"/>
        </w:rPr>
        <w:tab/>
      </w:r>
      <w:r>
        <w:rPr>
          <w:sz w:val="22"/>
          <w:szCs w:val="28"/>
          <w:highlight w:val="none"/>
        </w:rPr>
        <w:fldChar w:fldCharType="begin"/>
      </w:r>
      <w:r>
        <w:rPr>
          <w:sz w:val="22"/>
          <w:szCs w:val="28"/>
          <w:highlight w:val="none"/>
        </w:rPr>
        <w:instrText xml:space="preserve"> PAGEREF _Toc24776 \h </w:instrText>
      </w:r>
      <w:r>
        <w:rPr>
          <w:sz w:val="22"/>
          <w:szCs w:val="28"/>
          <w:highlight w:val="none"/>
        </w:rPr>
        <w:fldChar w:fldCharType="separate"/>
      </w:r>
      <w:r>
        <w:rPr>
          <w:sz w:val="22"/>
          <w:szCs w:val="28"/>
          <w:highlight w:val="none"/>
        </w:rPr>
        <w:t>12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_Toc1600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四、竞争性磋商响应文件</w:t>
      </w:r>
      <w:r>
        <w:rPr>
          <w:sz w:val="22"/>
          <w:szCs w:val="28"/>
          <w:highlight w:val="none"/>
        </w:rPr>
        <w:tab/>
      </w:r>
      <w:r>
        <w:rPr>
          <w:sz w:val="22"/>
          <w:szCs w:val="28"/>
          <w:highlight w:val="none"/>
        </w:rPr>
        <w:fldChar w:fldCharType="begin"/>
      </w:r>
      <w:r>
        <w:rPr>
          <w:sz w:val="22"/>
          <w:szCs w:val="28"/>
          <w:highlight w:val="none"/>
        </w:rPr>
        <w:instrText xml:space="preserve"> PAGEREF _Toc1600 \h </w:instrText>
      </w:r>
      <w:r>
        <w:rPr>
          <w:sz w:val="22"/>
          <w:szCs w:val="28"/>
          <w:highlight w:val="none"/>
        </w:rPr>
        <w:fldChar w:fldCharType="separate"/>
      </w:r>
      <w:r>
        <w:rPr>
          <w:sz w:val="22"/>
          <w:szCs w:val="28"/>
          <w:highlight w:val="none"/>
        </w:rPr>
        <w:t>13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color w:val="000000" w:themeColor="text1"/>
          <w:sz w:val="22"/>
          <w:szCs w:val="28"/>
          <w:highlight w:val="none"/>
          <w14:textFill>
            <w14:solidFill>
              <w14:schemeClr w14:val="tx1"/>
            </w14:solidFill>
          </w14:textFill>
        </w:rPr>
        <w:instrText xml:space="preserve"> HYPERLINK \l _Toc27461 </w:instrText>
      </w:r>
      <w:r>
        <w:rPr>
          <w:rFonts w:hint="eastAsia" w:ascii="仿宋" w:hAnsi="仿宋" w:eastAsia="仿宋" w:cs="仿宋"/>
          <w:color w:val="000000" w:themeColor="text1"/>
          <w:sz w:val="22"/>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t>五、磋商担保</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_Toc5793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lang w:val="en-US" w:eastAsia="zh-CN"/>
        </w:rPr>
        <w:t>六</w:t>
      </w:r>
      <w:r>
        <w:rPr>
          <w:rFonts w:hint="eastAsia" w:ascii="仿宋" w:hAnsi="仿宋" w:eastAsia="仿宋" w:cs="仿宋"/>
          <w:kern w:val="0"/>
          <w:sz w:val="22"/>
          <w:szCs w:val="32"/>
          <w:highlight w:val="none"/>
        </w:rPr>
        <w:t>、磋商响应</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_Toc23636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32"/>
          <w:highlight w:val="none"/>
          <w:lang w:val="en-US" w:eastAsia="zh-CN"/>
        </w:rPr>
        <w:t>七</w:t>
      </w:r>
      <w:r>
        <w:rPr>
          <w:rFonts w:hint="eastAsia" w:ascii="仿宋" w:hAnsi="仿宋" w:eastAsia="仿宋" w:cs="仿宋"/>
          <w:bCs/>
          <w:sz w:val="22"/>
          <w:szCs w:val="32"/>
          <w:highlight w:val="none"/>
        </w:rPr>
        <w:t>、磋商、评审及定标</w:t>
      </w:r>
      <w:r>
        <w:rPr>
          <w:sz w:val="22"/>
          <w:szCs w:val="28"/>
          <w:highlight w:val="none"/>
        </w:rPr>
        <w:tab/>
      </w:r>
      <w:r>
        <w:rPr>
          <w:sz w:val="22"/>
          <w:szCs w:val="28"/>
          <w:highlight w:val="none"/>
        </w:rPr>
        <w:fldChar w:fldCharType="begin"/>
      </w:r>
      <w:r>
        <w:rPr>
          <w:sz w:val="22"/>
          <w:szCs w:val="28"/>
          <w:highlight w:val="none"/>
        </w:rPr>
        <w:instrText xml:space="preserve"> PAGEREF _Toc23636 \h </w:instrText>
      </w:r>
      <w:r>
        <w:rPr>
          <w:sz w:val="22"/>
          <w:szCs w:val="28"/>
          <w:highlight w:val="none"/>
        </w:rPr>
        <w:fldChar w:fldCharType="separate"/>
      </w:r>
      <w:r>
        <w:rPr>
          <w:sz w:val="22"/>
          <w:szCs w:val="28"/>
          <w:highlight w:val="none"/>
        </w:rPr>
        <w:t>20</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_Toc28361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八</w:t>
      </w:r>
      <w:r>
        <w:rPr>
          <w:rFonts w:hint="eastAsia" w:ascii="仿宋" w:hAnsi="仿宋" w:eastAsia="仿宋" w:cs="仿宋"/>
          <w:sz w:val="22"/>
          <w:szCs w:val="32"/>
          <w:highlight w:val="none"/>
        </w:rPr>
        <w:t>、合同</w:t>
      </w:r>
      <w:r>
        <w:rPr>
          <w:sz w:val="22"/>
          <w:szCs w:val="28"/>
          <w:highlight w:val="none"/>
        </w:rPr>
        <w:tab/>
      </w:r>
      <w:r>
        <w:rPr>
          <w:sz w:val="22"/>
          <w:szCs w:val="28"/>
          <w:highlight w:val="none"/>
        </w:rPr>
        <w:fldChar w:fldCharType="begin"/>
      </w:r>
      <w:r>
        <w:rPr>
          <w:sz w:val="22"/>
          <w:szCs w:val="28"/>
          <w:highlight w:val="none"/>
        </w:rPr>
        <w:instrText xml:space="preserve"> PAGEREF _Toc28361 \h </w:instrText>
      </w:r>
      <w:r>
        <w:rPr>
          <w:sz w:val="22"/>
          <w:szCs w:val="28"/>
          <w:highlight w:val="none"/>
        </w:rPr>
        <w:fldChar w:fldCharType="separate"/>
      </w:r>
      <w:r>
        <w:rPr>
          <w:sz w:val="22"/>
          <w:szCs w:val="28"/>
          <w:highlight w:val="none"/>
        </w:rPr>
        <w:t>32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_Toc24945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九</w:t>
      </w:r>
      <w:r>
        <w:rPr>
          <w:rFonts w:hint="eastAsia" w:ascii="仿宋" w:hAnsi="仿宋" w:eastAsia="仿宋" w:cs="仿宋"/>
          <w:sz w:val="22"/>
          <w:szCs w:val="32"/>
          <w:highlight w:val="none"/>
        </w:rPr>
        <w:t>、合同的履约验收</w:t>
      </w:r>
      <w:r>
        <w:rPr>
          <w:sz w:val="22"/>
          <w:szCs w:val="28"/>
          <w:highlight w:val="none"/>
        </w:rPr>
        <w:tab/>
      </w:r>
      <w:r>
        <w:rPr>
          <w:sz w:val="22"/>
          <w:szCs w:val="28"/>
          <w:highlight w:val="none"/>
        </w:rPr>
        <w:fldChar w:fldCharType="begin"/>
      </w:r>
      <w:r>
        <w:rPr>
          <w:sz w:val="22"/>
          <w:szCs w:val="28"/>
          <w:highlight w:val="none"/>
        </w:rPr>
        <w:instrText xml:space="preserve"> PAGEREF _Toc24945 \h </w:instrText>
      </w:r>
      <w:r>
        <w:rPr>
          <w:sz w:val="22"/>
          <w:szCs w:val="28"/>
          <w:highlight w:val="none"/>
        </w:rPr>
        <w:fldChar w:fldCharType="separate"/>
      </w:r>
      <w:r>
        <w:rPr>
          <w:sz w:val="22"/>
          <w:szCs w:val="28"/>
          <w:highlight w:val="none"/>
        </w:rPr>
        <w:t>33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_Toc19792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十</w:t>
      </w:r>
      <w:r>
        <w:rPr>
          <w:rFonts w:hint="eastAsia" w:ascii="仿宋" w:hAnsi="仿宋" w:eastAsia="仿宋" w:cs="仿宋"/>
          <w:sz w:val="22"/>
          <w:szCs w:val="32"/>
          <w:highlight w:val="none"/>
        </w:rPr>
        <w:t>、招标服务费</w:t>
      </w:r>
      <w:r>
        <w:rPr>
          <w:sz w:val="22"/>
          <w:szCs w:val="28"/>
          <w:highlight w:val="none"/>
        </w:rPr>
        <w:tab/>
      </w:r>
      <w:r>
        <w:rPr>
          <w:sz w:val="22"/>
          <w:szCs w:val="28"/>
          <w:highlight w:val="none"/>
        </w:rPr>
        <w:fldChar w:fldCharType="begin"/>
      </w:r>
      <w:r>
        <w:rPr>
          <w:sz w:val="22"/>
          <w:szCs w:val="28"/>
          <w:highlight w:val="none"/>
        </w:rPr>
        <w:instrText xml:space="preserve"> PAGEREF _Toc19792 \h </w:instrText>
      </w:r>
      <w:r>
        <w:rPr>
          <w:sz w:val="22"/>
          <w:szCs w:val="28"/>
          <w:highlight w:val="none"/>
        </w:rPr>
        <w:fldChar w:fldCharType="separate"/>
      </w:r>
      <w:r>
        <w:rPr>
          <w:sz w:val="22"/>
          <w:szCs w:val="28"/>
          <w:highlight w:val="none"/>
        </w:rPr>
        <w:t>33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rFonts w:hint="eastAsia" w:ascii="仿宋" w:hAnsi="仿宋" w:eastAsia="仿宋" w:cs="仿宋"/>
          <w:color w:val="000000" w:themeColor="text1"/>
          <w:sz w:val="22"/>
          <w:szCs w:val="28"/>
          <w:highlight w:val="none"/>
          <w:lang w:val="en-US" w:eastAsia="zh-CN"/>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_Toc14425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一</w:t>
      </w:r>
      <w:r>
        <w:rPr>
          <w:rFonts w:hint="eastAsia" w:ascii="仿宋" w:hAnsi="仿宋" w:eastAsia="仿宋" w:cs="仿宋"/>
          <w:sz w:val="22"/>
          <w:szCs w:val="32"/>
          <w:highlight w:val="none"/>
        </w:rPr>
        <w:t>、重新组织采购活动</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_Toc15549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二</w:t>
      </w:r>
      <w:r>
        <w:rPr>
          <w:rFonts w:hint="eastAsia" w:ascii="仿宋" w:hAnsi="仿宋" w:eastAsia="仿宋" w:cs="仿宋"/>
          <w:sz w:val="22"/>
          <w:szCs w:val="32"/>
          <w:highlight w:val="none"/>
        </w:rPr>
        <w:t>、询问、质疑与投诉</w:t>
      </w:r>
      <w:r>
        <w:rPr>
          <w:sz w:val="22"/>
          <w:szCs w:val="28"/>
          <w:highlight w:val="none"/>
        </w:rPr>
        <w:tab/>
      </w:r>
      <w:r>
        <w:rPr>
          <w:sz w:val="22"/>
          <w:szCs w:val="28"/>
          <w:highlight w:val="none"/>
        </w:rPr>
        <w:fldChar w:fldCharType="begin"/>
      </w:r>
      <w:r>
        <w:rPr>
          <w:sz w:val="22"/>
          <w:szCs w:val="28"/>
          <w:highlight w:val="none"/>
        </w:rPr>
        <w:instrText xml:space="preserve"> PAGEREF _Toc15549 \h </w:instrText>
      </w:r>
      <w:r>
        <w:rPr>
          <w:sz w:val="22"/>
          <w:szCs w:val="28"/>
          <w:highlight w:val="none"/>
        </w:rPr>
        <w:fldChar w:fldCharType="separate"/>
      </w:r>
      <w:r>
        <w:rPr>
          <w:sz w:val="22"/>
          <w:szCs w:val="28"/>
          <w:highlight w:val="none"/>
        </w:rPr>
        <w:t>34</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_Toc19464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三</w:t>
      </w:r>
      <w:r>
        <w:rPr>
          <w:rFonts w:hint="eastAsia" w:ascii="仿宋" w:hAnsi="仿宋" w:eastAsia="仿宋" w:cs="仿宋"/>
          <w:sz w:val="22"/>
          <w:szCs w:val="32"/>
          <w:highlight w:val="none"/>
        </w:rPr>
        <w:t>、拒绝商业贿赂</w:t>
      </w:r>
      <w:r>
        <w:rPr>
          <w:sz w:val="22"/>
          <w:szCs w:val="28"/>
          <w:highlight w:val="none"/>
        </w:rPr>
        <w:tab/>
      </w:r>
      <w:r>
        <w:rPr>
          <w:sz w:val="22"/>
          <w:szCs w:val="28"/>
          <w:highlight w:val="none"/>
        </w:rPr>
        <w:fldChar w:fldCharType="begin"/>
      </w:r>
      <w:r>
        <w:rPr>
          <w:sz w:val="22"/>
          <w:szCs w:val="28"/>
          <w:highlight w:val="none"/>
        </w:rPr>
        <w:instrText xml:space="preserve"> PAGEREF _Toc19464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_Toc20324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第三章  服务内容及要求</w:t>
      </w:r>
      <w:r>
        <w:rPr>
          <w:sz w:val="22"/>
          <w:szCs w:val="28"/>
          <w:highlight w:val="none"/>
        </w:rPr>
        <w:tab/>
      </w:r>
      <w:r>
        <w:rPr>
          <w:sz w:val="22"/>
          <w:szCs w:val="28"/>
          <w:highlight w:val="none"/>
        </w:rPr>
        <w:fldChar w:fldCharType="begin"/>
      </w:r>
      <w:r>
        <w:rPr>
          <w:sz w:val="22"/>
          <w:szCs w:val="28"/>
          <w:highlight w:val="none"/>
        </w:rPr>
        <w:instrText xml:space="preserve"> PAGEREF _Toc20324 \h </w:instrText>
      </w:r>
      <w:r>
        <w:rPr>
          <w:sz w:val="22"/>
          <w:szCs w:val="28"/>
          <w:highlight w:val="none"/>
        </w:rPr>
        <w:fldChar w:fldCharType="separate"/>
      </w:r>
      <w:r>
        <w:rPr>
          <w:sz w:val="22"/>
          <w:szCs w:val="28"/>
          <w:highlight w:val="none"/>
        </w:rPr>
        <w:t>36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_Toc21581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第四章  商务要求</w:t>
      </w:r>
      <w:r>
        <w:rPr>
          <w:sz w:val="22"/>
          <w:szCs w:val="28"/>
          <w:highlight w:val="none"/>
        </w:rPr>
        <w:tab/>
      </w:r>
      <w:r>
        <w:rPr>
          <w:sz w:val="22"/>
          <w:szCs w:val="28"/>
          <w:highlight w:val="none"/>
        </w:rPr>
        <w:fldChar w:fldCharType="begin"/>
      </w:r>
      <w:r>
        <w:rPr>
          <w:sz w:val="22"/>
          <w:szCs w:val="28"/>
          <w:highlight w:val="none"/>
        </w:rPr>
        <w:instrText xml:space="preserve"> PAGEREF _Toc21581 \h </w:instrText>
      </w:r>
      <w:r>
        <w:rPr>
          <w:sz w:val="22"/>
          <w:szCs w:val="28"/>
          <w:highlight w:val="none"/>
        </w:rPr>
        <w:fldChar w:fldCharType="separate"/>
      </w:r>
      <w:r>
        <w:rPr>
          <w:sz w:val="22"/>
          <w:szCs w:val="28"/>
          <w:highlight w:val="none"/>
        </w:rPr>
        <w:t>37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_Toc2890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第五章  合同条款</w:t>
      </w:r>
      <w:r>
        <w:rPr>
          <w:sz w:val="22"/>
          <w:szCs w:val="28"/>
          <w:highlight w:val="none"/>
        </w:rPr>
        <w:tab/>
      </w:r>
      <w:r>
        <w:rPr>
          <w:sz w:val="22"/>
          <w:szCs w:val="28"/>
          <w:highlight w:val="none"/>
        </w:rPr>
        <w:fldChar w:fldCharType="begin"/>
      </w:r>
      <w:r>
        <w:rPr>
          <w:sz w:val="22"/>
          <w:szCs w:val="28"/>
          <w:highlight w:val="none"/>
        </w:rPr>
        <w:instrText xml:space="preserve"> PAGEREF _Toc2890 \h </w:instrText>
      </w:r>
      <w:r>
        <w:rPr>
          <w:sz w:val="22"/>
          <w:szCs w:val="28"/>
          <w:highlight w:val="none"/>
        </w:rPr>
        <w:fldChar w:fldCharType="separate"/>
      </w:r>
      <w:r>
        <w:rPr>
          <w:sz w:val="22"/>
          <w:szCs w:val="28"/>
          <w:highlight w:val="none"/>
        </w:rPr>
        <w:t>38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_Toc32022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第六章  竞争性磋商响应文件格式</w:t>
      </w:r>
      <w:r>
        <w:rPr>
          <w:sz w:val="22"/>
          <w:szCs w:val="28"/>
          <w:highlight w:val="none"/>
        </w:rPr>
        <w:tab/>
      </w:r>
      <w:r>
        <w:rPr>
          <w:sz w:val="22"/>
          <w:szCs w:val="28"/>
          <w:highlight w:val="none"/>
        </w:rPr>
        <w:fldChar w:fldCharType="begin"/>
      </w:r>
      <w:r>
        <w:rPr>
          <w:sz w:val="22"/>
          <w:szCs w:val="28"/>
          <w:highlight w:val="none"/>
        </w:rPr>
        <w:instrText xml:space="preserve"> PAGEREF _Toc32022 \h </w:instrText>
      </w:r>
      <w:r>
        <w:rPr>
          <w:sz w:val="22"/>
          <w:szCs w:val="28"/>
          <w:highlight w:val="none"/>
        </w:rPr>
        <w:fldChar w:fldCharType="separate"/>
      </w:r>
      <w:r>
        <w:rPr>
          <w:sz w:val="22"/>
          <w:szCs w:val="28"/>
          <w:highlight w:val="none"/>
        </w:rPr>
        <w:t>43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sectPr>
          <w:footerReference r:id="rId10" w:type="default"/>
          <w:pgSz w:w="11906" w:h="16838"/>
          <w:pgMar w:top="1418" w:right="1418" w:bottom="1418" w:left="1418" w:header="720" w:footer="720" w:gutter="0"/>
          <w:pgBorders>
            <w:top w:val="none" w:sz="0" w:space="0"/>
            <w:left w:val="none" w:sz="0" w:space="0"/>
            <w:bottom w:val="none" w:sz="0" w:space="0"/>
            <w:right w:val="none" w:sz="0" w:space="0"/>
          </w:pgBorders>
          <w:pgNumType w:start="1"/>
          <w:cols w:space="720" w:num="1"/>
          <w:docGrid w:linePitch="312" w:charSpace="0"/>
        </w:sectPr>
      </w:pP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spacing w:line="480" w:lineRule="exact"/>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bookmarkStart w:id="0" w:name="_Toc20848"/>
      <w:r>
        <w:rPr>
          <w:rFonts w:hint="eastAsia" w:ascii="仿宋" w:hAnsi="仿宋" w:eastAsia="仿宋" w:cs="仿宋"/>
          <w:b/>
          <w:bCs/>
          <w:color w:val="000000" w:themeColor="text1"/>
          <w:sz w:val="48"/>
          <w:szCs w:val="48"/>
          <w:highlight w:val="none"/>
          <w14:textFill>
            <w14:solidFill>
              <w14:schemeClr w14:val="tx1"/>
            </w14:solidFill>
          </w14:textFill>
        </w:rPr>
        <w:t>第一章 竞争性磋商邀请书</w:t>
      </w:r>
      <w:bookmarkEnd w:id="0"/>
    </w:p>
    <w:p>
      <w:pPr>
        <w:keepNext w:val="0"/>
        <w:keepLines w:val="0"/>
        <w:pageBreakBefore w:val="0"/>
        <w:widowControl/>
        <w:kinsoku/>
        <w:overflowPunct/>
        <w:autoSpaceDE/>
        <w:autoSpaceDN/>
        <w:bidi w:val="0"/>
        <w:spacing w:line="440" w:lineRule="exact"/>
        <w:ind w:right="-197" w:rightChars="-94" w:firstLine="482"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项目概况</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农村生活饮用水检测项目</w:t>
      </w:r>
      <w:r>
        <w:rPr>
          <w:rFonts w:hint="eastAsia" w:ascii="仿宋" w:hAnsi="仿宋" w:eastAsia="仿宋" w:cs="仿宋"/>
          <w:color w:val="000000" w:themeColor="text1"/>
          <w:sz w:val="24"/>
          <w:highlight w:val="none"/>
          <w14:textFill>
            <w14:solidFill>
              <w14:schemeClr w14:val="tx1"/>
            </w14:solidFill>
          </w14:textFill>
        </w:rPr>
        <w:t>的潜在供应商应在西安市朱雀大街南段1号汇成天玺C座18层18</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室获取采购文件，并于 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26</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0分（北京时间）前提交响应文件。 </w:t>
      </w:r>
    </w:p>
    <w:p>
      <w:pPr>
        <w:keepNext w:val="0"/>
        <w:keepLines w:val="0"/>
        <w:pageBreakBefore w:val="0"/>
        <w:widowControl/>
        <w:kinsoku/>
        <w:overflowPunct/>
        <w:autoSpaceDE/>
        <w:autoSpaceDN/>
        <w:bidi w:val="0"/>
        <w:spacing w:line="440" w:lineRule="exact"/>
        <w:ind w:right="-197" w:rightChars="-94"/>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一、项目基本情况</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lang w:eastAsia="zh-CN"/>
          <w14:textFill>
            <w14:solidFill>
              <w14:schemeClr w14:val="tx1"/>
            </w14:solidFill>
          </w14:textFill>
        </w:rPr>
        <w:t>HZGH-2023-060</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lang w:eastAsia="zh-CN"/>
          <w14:textFill>
            <w14:solidFill>
              <w14:schemeClr w14:val="tx1"/>
            </w14:solidFill>
          </w14:textFill>
        </w:rPr>
        <w:t>农村生活饮用水检测项目</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采购方式：竞争性磋商</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w:t>
      </w:r>
      <w:r>
        <w:rPr>
          <w:rFonts w:hint="eastAsia" w:ascii="仿宋" w:hAnsi="仿宋" w:eastAsia="仿宋" w:cs="仿宋"/>
          <w:color w:val="000000" w:themeColor="text1"/>
          <w:sz w:val="24"/>
          <w:highlight w:val="none"/>
          <w:lang w:eastAsia="zh-CN"/>
          <w14:textFill>
            <w14:solidFill>
              <w14:schemeClr w14:val="tx1"/>
            </w14:solidFill>
          </w14:textFill>
        </w:rPr>
        <w:t>732000.00</w:t>
      </w:r>
      <w:r>
        <w:rPr>
          <w:rFonts w:hint="eastAsia" w:ascii="仿宋" w:hAnsi="仿宋" w:eastAsia="仿宋" w:cs="仿宋"/>
          <w:color w:val="000000" w:themeColor="text1"/>
          <w:sz w:val="24"/>
          <w:highlight w:val="none"/>
          <w14:textFill>
            <w14:solidFill>
              <w14:schemeClr w14:val="tx1"/>
            </w14:solidFill>
          </w14:textFill>
        </w:rPr>
        <w:t>元</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农村生活饮用水检测项目</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合同包预算金额：</w:t>
      </w:r>
      <w:r>
        <w:rPr>
          <w:rFonts w:hint="eastAsia" w:ascii="仿宋" w:hAnsi="仿宋" w:eastAsia="仿宋" w:cs="仿宋"/>
          <w:color w:val="000000" w:themeColor="text1"/>
          <w:sz w:val="24"/>
          <w:highlight w:val="none"/>
          <w:lang w:eastAsia="zh-CN"/>
          <w14:textFill>
            <w14:solidFill>
              <w14:schemeClr w14:val="tx1"/>
            </w14:solidFill>
          </w14:textFill>
        </w:rPr>
        <w:t>732000.00</w:t>
      </w:r>
      <w:r>
        <w:rPr>
          <w:rFonts w:hint="eastAsia" w:ascii="仿宋" w:hAnsi="仿宋" w:eastAsia="仿宋" w:cs="仿宋"/>
          <w:color w:val="000000" w:themeColor="text1"/>
          <w:sz w:val="24"/>
          <w:highlight w:val="none"/>
          <w14:textFill>
            <w14:solidFill>
              <w14:schemeClr w14:val="tx1"/>
            </w14:solidFill>
          </w14:textFill>
        </w:rPr>
        <w:t>元</w:t>
      </w:r>
    </w:p>
    <w:tbl>
      <w:tblPr>
        <w:tblStyle w:val="24"/>
        <w:tblW w:w="521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24"/>
        <w:gridCol w:w="1405"/>
        <w:gridCol w:w="1589"/>
        <w:gridCol w:w="888"/>
        <w:gridCol w:w="1990"/>
        <w:gridCol w:w="1485"/>
        <w:gridCol w:w="14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3" w:hRule="atLeast"/>
          <w:tblHeader/>
          <w:jc w:val="center"/>
        </w:trPr>
        <w:tc>
          <w:tcPr>
            <w:tcW w:w="472"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品目号</w:t>
            </w:r>
          </w:p>
        </w:tc>
        <w:tc>
          <w:tcPr>
            <w:tcW w:w="718"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品目名称</w:t>
            </w:r>
          </w:p>
        </w:tc>
        <w:tc>
          <w:tcPr>
            <w:tcW w:w="812"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采购标的</w:t>
            </w:r>
          </w:p>
        </w:tc>
        <w:tc>
          <w:tcPr>
            <w:tcW w:w="454"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数量</w:t>
            </w:r>
          </w:p>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（单位）</w:t>
            </w:r>
          </w:p>
        </w:tc>
        <w:tc>
          <w:tcPr>
            <w:tcW w:w="1017"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技术规格、参数</w:t>
            </w:r>
          </w:p>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及要求</w:t>
            </w:r>
          </w:p>
        </w:tc>
        <w:tc>
          <w:tcPr>
            <w:tcW w:w="759"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品目预算</w:t>
            </w:r>
          </w:p>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(元)</w:t>
            </w:r>
          </w:p>
        </w:tc>
        <w:tc>
          <w:tcPr>
            <w:tcW w:w="765"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both"/>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01" w:hRule="atLeast"/>
          <w:jc w:val="center"/>
        </w:trPr>
        <w:tc>
          <w:tcPr>
            <w:tcW w:w="472"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718"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其他专业技</w:t>
            </w:r>
          </w:p>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术服务</w:t>
            </w:r>
          </w:p>
        </w:tc>
        <w:tc>
          <w:tcPr>
            <w:tcW w:w="812"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农村生活饮用</w:t>
            </w:r>
          </w:p>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水检测项目</w:t>
            </w:r>
          </w:p>
        </w:tc>
        <w:tc>
          <w:tcPr>
            <w:tcW w:w="454"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1(项)</w:t>
            </w:r>
          </w:p>
        </w:tc>
        <w:tc>
          <w:tcPr>
            <w:tcW w:w="1017"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详见采购文件</w:t>
            </w:r>
          </w:p>
        </w:tc>
        <w:tc>
          <w:tcPr>
            <w:tcW w:w="759"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732000.00</w:t>
            </w:r>
          </w:p>
        </w:tc>
        <w:tc>
          <w:tcPr>
            <w:tcW w:w="765" w:type="pct"/>
            <w:shd w:val="clear" w:color="auto" w:fill="auto"/>
            <w:tcMar>
              <w:top w:w="0" w:type="dxa"/>
              <w:left w:w="0" w:type="dxa"/>
              <w:bottom w:w="0" w:type="dxa"/>
              <w:right w:w="0" w:type="dxa"/>
            </w:tcMar>
            <w:vAlign w:val="center"/>
          </w:tcPr>
          <w:p>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732000.00</w:t>
            </w:r>
          </w:p>
        </w:tc>
      </w:tr>
    </w:tbl>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本合同包不接受联合体投标 </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合同履行期限：无 </w:t>
      </w:r>
    </w:p>
    <w:p>
      <w:pPr>
        <w:keepNext w:val="0"/>
        <w:keepLines w:val="0"/>
        <w:pageBreakBefore w:val="0"/>
        <w:widowControl/>
        <w:kinsoku/>
        <w:overflowPunct/>
        <w:autoSpaceDE/>
        <w:autoSpaceDN/>
        <w:bidi w:val="0"/>
        <w:spacing w:line="440" w:lineRule="exact"/>
        <w:ind w:right="-197" w:rightChars="-94"/>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二、申请人的资格要求：</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1.满足《中华人民共和国政府釆购法》第二十二条规定;</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2.落实政府采购政策需满足的资格要求： </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农村生活饮用水检测项目</w:t>
      </w:r>
      <w:r>
        <w:rPr>
          <w:rFonts w:hint="eastAsia" w:ascii="仿宋" w:hAnsi="仿宋" w:eastAsia="仿宋" w:cs="仿宋"/>
          <w:color w:val="000000" w:themeColor="text1"/>
          <w:sz w:val="24"/>
          <w:highlight w:val="none"/>
          <w14:textFill>
            <w14:solidFill>
              <w14:schemeClr w14:val="tx1"/>
            </w14:solidFill>
          </w14:textFill>
        </w:rPr>
        <w:t>)落实政府采购政策需满足的资格要求如下: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（4）、财政部司法部关于政府采购支持监狱企业发展有关问题的通知--财库〔2014〕68号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（5）、《国务院办公厅关于建立政府强制采购节能产品制度的通知》--国办发〔2007〕51号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（13）、其他需要落实的政府采购政策。</w:t>
      </w:r>
    </w:p>
    <w:p>
      <w:pPr>
        <w:keepNext w:val="0"/>
        <w:keepLines w:val="0"/>
        <w:pageBreakBefore w:val="0"/>
        <w:widowControl/>
        <w:kinsoku/>
        <w:overflowPunct/>
        <w:autoSpaceDE/>
        <w:autoSpaceDN/>
        <w:bidi w:val="0"/>
        <w:spacing w:line="440" w:lineRule="exact"/>
        <w:ind w:right="-197" w:rightChars="-94"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3.本项目的特定资格要求：</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农村生活饮用水检测项目</w:t>
      </w:r>
      <w:r>
        <w:rPr>
          <w:rFonts w:hint="eastAsia" w:ascii="仿宋" w:hAnsi="仿宋" w:eastAsia="仿宋" w:cs="仿宋"/>
          <w:color w:val="000000" w:themeColor="text1"/>
          <w:sz w:val="24"/>
          <w:highlight w:val="none"/>
          <w14:textFill>
            <w14:solidFill>
              <w14:schemeClr w14:val="tx1"/>
            </w14:solidFill>
          </w14:textFill>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w:t>
      </w:r>
      <w:r>
        <w:rPr>
          <w:rFonts w:hint="eastAsia" w:ascii="仿宋" w:hAnsi="仿宋" w:eastAsia="仿宋" w:cs="仿宋"/>
          <w:i w:val="0"/>
          <w:iCs w:val="0"/>
          <w:caps w:val="0"/>
          <w:color w:val="000000"/>
          <w:spacing w:val="0"/>
          <w:sz w:val="24"/>
          <w:szCs w:val="24"/>
          <w:highlight w:val="none"/>
          <w:shd w:val="clear" w:color="auto" w:fill="FFFFFF"/>
          <w:lang w:eastAsia="zh-CN"/>
        </w:rPr>
        <w:t>提供具有财务审计资质单位出具的2021年度或2022年度财务报告</w:t>
      </w:r>
      <w:r>
        <w:rPr>
          <w:rFonts w:hint="eastAsia" w:ascii="仿宋" w:hAnsi="仿宋" w:eastAsia="仿宋" w:cs="仿宋"/>
          <w:i w:val="0"/>
          <w:iCs w:val="0"/>
          <w:caps w:val="0"/>
          <w:color w:val="000000"/>
          <w:spacing w:val="0"/>
          <w:sz w:val="24"/>
          <w:szCs w:val="24"/>
          <w:highlight w:val="none"/>
          <w:shd w:val="clear" w:color="auto" w:fill="FFFFFF"/>
        </w:rPr>
        <w:t xml:space="preserve">（成立时间至磋商时间不足一年的可提供成立后任意时段的资产负债表）或磋商前六个月内其基本账户银行出具的资信证明（附开户许可证或基本账户证明）或政府采购信用担保机构出具的磋商担保函。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税收缴纳证明：提供2022年1月1日至今任意一个月已缴纳的纳税证明或完税证明（包含增值税、企业所得税、营业税至少一种）；（依法免税的供应商应提供相关文件证明）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3、供应商</w:t>
      </w:r>
      <w:r>
        <w:rPr>
          <w:rFonts w:hint="eastAsia" w:ascii="仿宋" w:hAnsi="仿宋" w:eastAsia="仿宋" w:cs="仿宋"/>
          <w:i w:val="0"/>
          <w:iCs w:val="0"/>
          <w:caps w:val="0"/>
          <w:color w:val="000000"/>
          <w:spacing w:val="0"/>
          <w:sz w:val="24"/>
          <w:szCs w:val="24"/>
          <w:highlight w:val="none"/>
          <w:shd w:val="clear" w:color="auto" w:fill="FFFFFF"/>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4</w:t>
      </w:r>
      <w:r>
        <w:rPr>
          <w:rFonts w:hint="eastAsia" w:ascii="仿宋" w:hAnsi="仿宋" w:eastAsia="仿宋" w:cs="仿宋"/>
          <w:i w:val="0"/>
          <w:iCs w:val="0"/>
          <w:caps w:val="0"/>
          <w:color w:val="000000"/>
          <w:spacing w:val="0"/>
          <w:sz w:val="24"/>
          <w:szCs w:val="24"/>
          <w:highlight w:val="none"/>
          <w:shd w:val="clear" w:color="auto" w:fill="FFFFFF"/>
        </w:rPr>
        <w:t>、单位负责人为同一人或者存在直接控股、管理关系的不同供应商，不得参加同一合同项下的政府采购活动；（提供书面承诺函，格式自拟加盖供应商公章）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5、本项目专门面向中小企业采购；须符合《政府采购促进中小企业发展管理办法》（财库〔2020〕46号）规定的中小企业参加；(提供《中小企业声明函》，式样见竞争性磋商响应文件格式)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6、供应商须具备CMA检验检测机构资质认定证书；</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keepNext w:val="0"/>
        <w:keepLines w:val="0"/>
        <w:pageBreakBefore w:val="0"/>
        <w:widowControl/>
        <w:kinsoku/>
        <w:overflowPunct/>
        <w:autoSpaceDE/>
        <w:autoSpaceDN/>
        <w:bidi w:val="0"/>
        <w:spacing w:line="440" w:lineRule="exact"/>
        <w:ind w:right="-197" w:rightChars="-94" w:firstLine="482" w:firstLineChars="200"/>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三、获取采购文件</w:t>
      </w:r>
    </w:p>
    <w:p>
      <w:pPr>
        <w:keepNext w:val="0"/>
        <w:keepLines w:val="0"/>
        <w:pageBreakBefore w:val="0"/>
        <w:widowControl/>
        <w:kinsoku/>
        <w:overflowPunct/>
        <w:autoSpaceDE/>
        <w:autoSpaceDN/>
        <w:bidi w:val="0"/>
        <w:spacing w:line="440" w:lineRule="exact"/>
        <w:ind w:left="239" w:leftChars="114"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日至202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19</w:t>
      </w:r>
      <w:r>
        <w:rPr>
          <w:rFonts w:hint="eastAsia" w:ascii="仿宋" w:hAnsi="仿宋" w:eastAsia="仿宋" w:cs="仿宋"/>
          <w:color w:val="000000" w:themeColor="text1"/>
          <w:sz w:val="24"/>
          <w:highlight w:val="none"/>
          <w14:textFill>
            <w14:solidFill>
              <w14:schemeClr w14:val="tx1"/>
            </w14:solidFill>
          </w14:textFill>
        </w:rPr>
        <w:t>日，每天上午09:00:00至12:00:00，下午14:00:00至17:00:00（北京时间,法定节假日除外）</w:t>
      </w:r>
    </w:p>
    <w:p>
      <w:pPr>
        <w:keepNext w:val="0"/>
        <w:keepLines w:val="0"/>
        <w:pageBreakBefore w:val="0"/>
        <w:widowControl/>
        <w:kinsoku/>
        <w:overflowPunct/>
        <w:autoSpaceDE/>
        <w:autoSpaceDN/>
        <w:bidi w:val="0"/>
        <w:spacing w:line="440" w:lineRule="exact"/>
        <w:ind w:right="-197" w:rightChars="-94" w:firstLine="720" w:firstLineChars="3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w:t>
      </w:r>
      <w:r>
        <w:rPr>
          <w:rFonts w:hint="eastAsia" w:ascii="仿宋" w:hAnsi="仿宋" w:eastAsia="仿宋" w:cs="仿宋"/>
          <w:color w:val="000000" w:themeColor="text1"/>
          <w:sz w:val="24"/>
          <w:highlight w:val="none"/>
          <w:lang w:eastAsia="zh-CN"/>
          <w14:textFill>
            <w14:solidFill>
              <w14:schemeClr w14:val="tx1"/>
            </w14:solidFill>
          </w14:textFill>
        </w:rPr>
        <w:t>1812</w:t>
      </w:r>
      <w:r>
        <w:rPr>
          <w:rFonts w:hint="eastAsia" w:ascii="仿宋" w:hAnsi="仿宋" w:eastAsia="仿宋" w:cs="仿宋"/>
          <w:color w:val="000000" w:themeColor="text1"/>
          <w:sz w:val="24"/>
          <w:highlight w:val="none"/>
          <w14:textFill>
            <w14:solidFill>
              <w14:schemeClr w14:val="tx1"/>
            </w14:solidFill>
          </w14:textFill>
        </w:rPr>
        <w:t>室</w:t>
      </w:r>
    </w:p>
    <w:p>
      <w:pPr>
        <w:keepNext w:val="0"/>
        <w:keepLines w:val="0"/>
        <w:pageBreakBefore w:val="0"/>
        <w:widowControl/>
        <w:kinsoku/>
        <w:overflowPunct/>
        <w:autoSpaceDE/>
        <w:autoSpaceDN/>
        <w:bidi w:val="0"/>
        <w:spacing w:line="440" w:lineRule="exact"/>
        <w:ind w:right="-197" w:rightChars="-94" w:firstLine="720" w:firstLineChars="3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方式：现场获取</w:t>
      </w:r>
    </w:p>
    <w:p>
      <w:pPr>
        <w:keepNext w:val="0"/>
        <w:keepLines w:val="0"/>
        <w:pageBreakBefore w:val="0"/>
        <w:widowControl/>
        <w:kinsoku/>
        <w:overflowPunct/>
        <w:autoSpaceDE/>
        <w:autoSpaceDN/>
        <w:bidi w:val="0"/>
        <w:spacing w:line="440" w:lineRule="exact"/>
        <w:ind w:right="-197" w:rightChars="-94" w:firstLine="720" w:firstLineChars="3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售价：</w:t>
      </w:r>
      <w:r>
        <w:rPr>
          <w:rFonts w:hint="eastAsia" w:ascii="仿宋" w:hAnsi="仿宋" w:eastAsia="仿宋" w:cs="仿宋"/>
          <w:color w:val="000000" w:themeColor="text1"/>
          <w:sz w:val="24"/>
          <w:highlight w:val="none"/>
          <w:lang w:val="en-US" w:eastAsia="zh-CN"/>
          <w14:textFill>
            <w14:solidFill>
              <w14:schemeClr w14:val="tx1"/>
            </w14:solidFill>
          </w14:textFill>
        </w:rPr>
        <w:t>0元</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kinsoku/>
        <w:overflowPunct/>
        <w:autoSpaceDE/>
        <w:autoSpaceDN/>
        <w:bidi w:val="0"/>
        <w:spacing w:line="440" w:lineRule="exact"/>
        <w:ind w:right="-197" w:rightChars="-94" w:firstLine="241"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四、响应文件提交</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截止时间： 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26</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0分00秒 （北京时间）</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地点：西安市朱雀大街南段1号汇成天玺C座18层1818室 </w:t>
      </w:r>
    </w:p>
    <w:p>
      <w:pPr>
        <w:keepNext w:val="0"/>
        <w:keepLines w:val="0"/>
        <w:pageBreakBefore w:val="0"/>
        <w:widowControl/>
        <w:kinsoku/>
        <w:overflowPunct/>
        <w:autoSpaceDE/>
        <w:autoSpaceDN/>
        <w:bidi w:val="0"/>
        <w:spacing w:line="440" w:lineRule="exact"/>
        <w:ind w:right="-197" w:rightChars="-94" w:firstLine="241" w:firstLineChars="100"/>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五、开启</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 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26</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0分00秒 （北京时间）</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地点：西安市朱雀大街南段1号汇成天玺C座18层1818室</w:t>
      </w:r>
    </w:p>
    <w:p>
      <w:pPr>
        <w:keepNext w:val="0"/>
        <w:keepLines w:val="0"/>
        <w:pageBreakBefore w:val="0"/>
        <w:widowControl/>
        <w:kinsoku/>
        <w:overflowPunct/>
        <w:autoSpaceDE/>
        <w:autoSpaceDN/>
        <w:bidi w:val="0"/>
        <w:spacing w:line="440" w:lineRule="exact"/>
        <w:ind w:right="-197" w:rightChars="-94" w:firstLine="241"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六、公告期限</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自本公告发布之日起3个工作日。</w:t>
      </w:r>
    </w:p>
    <w:p>
      <w:pPr>
        <w:keepNext w:val="0"/>
        <w:keepLines w:val="0"/>
        <w:pageBreakBefore w:val="0"/>
        <w:widowControl/>
        <w:kinsoku/>
        <w:overflowPunct/>
        <w:autoSpaceDE/>
        <w:autoSpaceDN/>
        <w:bidi w:val="0"/>
        <w:spacing w:line="440" w:lineRule="exact"/>
        <w:ind w:right="-197" w:rightChars="-94" w:firstLine="241" w:firstLineChars="100"/>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七、其他补充事宜</w:t>
      </w:r>
    </w:p>
    <w:p>
      <w:pPr>
        <w:keepNext w:val="0"/>
        <w:keepLines w:val="0"/>
        <w:pageBreakBefore w:val="0"/>
        <w:widowControl/>
        <w:kinsoku/>
        <w:overflowPunct/>
        <w:autoSpaceDE/>
        <w:autoSpaceDN/>
        <w:bidi w:val="0"/>
        <w:spacing w:line="440" w:lineRule="exact"/>
        <w:ind w:right="-197" w:rightChars="-94" w:firstLine="720" w:firstLineChars="3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注：1、本项目仅对中小企业发售。2、获取竞争性磋商文件时（9：00—12：00，14：00--17：00（节假日除外））请携带有效的单位介绍信及被介绍人身份证复印件，加盖供应商公章（鲜章）,可自带 U 盘拷贝电子文件（本项目仅支持现场报名获取，谢绝邮寄）。</w:t>
      </w:r>
    </w:p>
    <w:p>
      <w:pPr>
        <w:keepNext w:val="0"/>
        <w:keepLines w:val="0"/>
        <w:pageBreakBefore w:val="0"/>
        <w:widowControl/>
        <w:kinsoku/>
        <w:overflowPunct/>
        <w:autoSpaceDE/>
        <w:autoSpaceDN/>
        <w:bidi w:val="0"/>
        <w:spacing w:line="440" w:lineRule="exact"/>
        <w:ind w:right="-197" w:rightChars="-94"/>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八、凡对本次采购提出询问，请按以下方式联系。</w:t>
      </w:r>
    </w:p>
    <w:p>
      <w:pPr>
        <w:keepNext w:val="0"/>
        <w:keepLines w:val="0"/>
        <w:pageBreakBefore w:val="0"/>
        <w:widowControl/>
        <w:kinsoku/>
        <w:overflowPunct/>
        <w:autoSpaceDE/>
        <w:autoSpaceDN/>
        <w:bidi w:val="0"/>
        <w:spacing w:line="440" w:lineRule="exact"/>
        <w:ind w:right="-197" w:rightChars="-94"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1.釆购人信息</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韩城市疾病预防控制中心</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bookmarkStart w:id="93" w:name="_GoBack"/>
      <w:r>
        <w:rPr>
          <w:rFonts w:hint="eastAsia" w:ascii="仿宋" w:hAnsi="仿宋" w:eastAsia="仿宋" w:cs="仿宋"/>
          <w:color w:val="000000" w:themeColor="text1"/>
          <w:sz w:val="24"/>
          <w:highlight w:val="none"/>
          <w:lang w:val="en-US" w:eastAsia="zh-CN"/>
          <w14:textFill>
            <w14:solidFill>
              <w14:schemeClr w14:val="tx1"/>
            </w14:solidFill>
          </w14:textFill>
        </w:rPr>
        <w:t>韩城市新城区普照路东段</w:t>
      </w:r>
      <w:bookmarkEnd w:id="93"/>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0913-5210060</w:t>
      </w:r>
    </w:p>
    <w:p>
      <w:pPr>
        <w:keepNext w:val="0"/>
        <w:keepLines w:val="0"/>
        <w:pageBreakBefore w:val="0"/>
        <w:widowControl/>
        <w:kinsoku/>
        <w:overflowPunct/>
        <w:autoSpaceDE/>
        <w:autoSpaceDN/>
        <w:bidi w:val="0"/>
        <w:spacing w:line="440" w:lineRule="exact"/>
        <w:ind w:right="-197" w:rightChars="-94"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2.釆购代理机构信息</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地址：西安市朱雀大街南段1号汇成天玺C座18层</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eastAsia="zh-CN"/>
          <w14:textFill>
            <w14:solidFill>
              <w14:schemeClr w14:val="tx1"/>
            </w14:solidFill>
          </w14:textFill>
        </w:rPr>
        <w:t>029-87592321</w:t>
      </w:r>
    </w:p>
    <w:p>
      <w:pPr>
        <w:keepNext w:val="0"/>
        <w:keepLines w:val="0"/>
        <w:pageBreakBefore w:val="0"/>
        <w:widowControl/>
        <w:kinsoku/>
        <w:overflowPunct/>
        <w:autoSpaceDE/>
        <w:autoSpaceDN/>
        <w:bidi w:val="0"/>
        <w:spacing w:line="440" w:lineRule="exact"/>
        <w:ind w:right="-197" w:rightChars="-94"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3.项目联系方式 </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党工</w:t>
      </w:r>
    </w:p>
    <w:p>
      <w:pPr>
        <w:keepNext w:val="0"/>
        <w:keepLines w:val="0"/>
        <w:pageBreakBefore w:val="0"/>
        <w:widowControl/>
        <w:kinsoku/>
        <w:overflowPunct/>
        <w:autoSpaceDE/>
        <w:autoSpaceDN/>
        <w:bidi w:val="0"/>
        <w:spacing w:line="440" w:lineRule="exact"/>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w:t>
      </w:r>
      <w:r>
        <w:rPr>
          <w:rFonts w:hint="eastAsia" w:ascii="仿宋" w:hAnsi="仿宋" w:eastAsia="仿宋" w:cs="仿宋"/>
          <w:color w:val="000000" w:themeColor="text1"/>
          <w:sz w:val="24"/>
          <w:highlight w:val="none"/>
          <w:lang w:eastAsia="zh-CN"/>
          <w14:textFill>
            <w14:solidFill>
              <w14:schemeClr w14:val="tx1"/>
            </w14:solidFill>
          </w14:textFill>
        </w:rPr>
        <w:t>029-87592321</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84455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5.25pt;margin-top:6.65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tY/tgAAAAJAQAA&#10;DwAAAAAAAAABACAAAAAiAAAAZHJzL2Rvd25yZXYueG1sUEsBAhQAFAAAAAgAh07iQNmWpKQZAgAA&#10;XAQAAA4AAAAAAAAAAQAgAAAAJwEAAGRycy9lMm9Eb2MueG1sUEsFBgAAAAAGAAYAWQEAALIFAAAA&#10;AA==&#10;">
                <v:fill on="t"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pStyle w:val="2"/>
        <w:spacing w:before="0" w:after="0" w:line="240" w:lineRule="auto"/>
        <w:jc w:val="center"/>
        <w:rPr>
          <w:rFonts w:hint="eastAsia" w:ascii="仿宋" w:hAnsi="仿宋" w:eastAsia="仿宋" w:cs="仿宋"/>
          <w:color w:val="000000" w:themeColor="text1"/>
          <w:highlight w:val="none"/>
          <w14:textFill>
            <w14:solidFill>
              <w14:schemeClr w14:val="tx1"/>
            </w14:solidFill>
          </w14:textFill>
        </w:rPr>
      </w:pPr>
      <w:bookmarkStart w:id="1" w:name="_Toc19749"/>
      <w:r>
        <w:rPr>
          <w:rFonts w:hint="eastAsia" w:ascii="仿宋" w:hAnsi="仿宋" w:eastAsia="仿宋" w:cs="仿宋"/>
          <w:color w:val="000000" w:themeColor="text1"/>
          <w:highlight w:val="none"/>
          <w14:textFill>
            <w14:solidFill>
              <w14:schemeClr w14:val="tx1"/>
            </w14:solidFill>
          </w14:textFill>
        </w:rPr>
        <w:t>第二章 供应商须知</w:t>
      </w:r>
      <w:bookmarkEnd w:id="1"/>
    </w:p>
    <w:p>
      <w:pPr>
        <w:pStyle w:val="3"/>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1739"/>
      <w:r>
        <w:rPr>
          <w:rFonts w:hint="eastAsia" w:ascii="仿宋" w:hAnsi="仿宋" w:eastAsia="仿宋" w:cs="仿宋"/>
          <w:color w:val="000000" w:themeColor="text1"/>
          <w:sz w:val="28"/>
          <w:szCs w:val="28"/>
          <w:highlight w:val="none"/>
          <w14:textFill>
            <w14:solidFill>
              <w14:schemeClr w14:val="tx1"/>
            </w14:solidFill>
          </w14:textFill>
        </w:rPr>
        <w:t>一、供应商须知前附表</w:t>
      </w:r>
      <w:bookmarkEnd w:id="2"/>
    </w:p>
    <w:tbl>
      <w:tblPr>
        <w:tblStyle w:val="24"/>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492"/>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1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764"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韩城市疾病预防控制中心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联系地址：韩城市新城区普照路东段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联系电话：0913-5210060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采购代理机构</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华招广和项目管理有限公司</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地址：西安市朱雀大街南段1号汇成天玺C座18层</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党工</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农村生活饮用水检测项目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HZGH-2023-060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项目性质</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732000.00元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项目用途</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农村生活饮用水检测项目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采购内容和要求</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农村生活饮用水检测项目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供应商资格要求</w:t>
            </w:r>
          </w:p>
        </w:tc>
        <w:tc>
          <w:tcPr>
            <w:tcW w:w="6764" w:type="dxa"/>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w:t>
            </w:r>
            <w:r>
              <w:rPr>
                <w:rFonts w:hint="eastAsia" w:ascii="仿宋" w:hAnsi="仿宋" w:eastAsia="仿宋" w:cs="仿宋"/>
                <w:i w:val="0"/>
                <w:iCs w:val="0"/>
                <w:caps w:val="0"/>
                <w:color w:val="000000"/>
                <w:spacing w:val="0"/>
                <w:sz w:val="24"/>
                <w:szCs w:val="24"/>
                <w:highlight w:val="none"/>
                <w:shd w:val="clear" w:color="auto" w:fill="FFFFFF"/>
                <w:lang w:eastAsia="zh-CN"/>
              </w:rPr>
              <w:t>提供具有财务审计资质单位出具的2021年度或2022年度财务报告</w:t>
            </w:r>
            <w:r>
              <w:rPr>
                <w:rFonts w:hint="eastAsia" w:ascii="仿宋" w:hAnsi="仿宋" w:eastAsia="仿宋" w:cs="仿宋"/>
                <w:i w:val="0"/>
                <w:iCs w:val="0"/>
                <w:caps w:val="0"/>
                <w:color w:val="000000"/>
                <w:spacing w:val="0"/>
                <w:sz w:val="24"/>
                <w:szCs w:val="24"/>
                <w:highlight w:val="none"/>
                <w:shd w:val="clear" w:color="auto" w:fill="FFFFFF"/>
              </w:rPr>
              <w:t xml:space="preserve">（成立时间至磋商时间不足一年的可提供成立后任意时段的资产负债表）或磋商前六个月内其基本账户银行出具的资信证明（附开户许可证或基本账户证明）或政府采购信用担保机构出具的磋商担保函。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税收缴纳证明：提供2022年1月1日至今任意一个月已缴纳的纳税证明或完税证明（包含增值税、企业所得税、营业税至少一种）；（依法免税的供应商应提供相关文件证明）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2、被授权人参与磋商时需提供法定代表人或负责人授权委托书（附法定代表人或负责人及被授权人身份证复印件）；（被授权人须提供身份证原件，身份证原件可由本人持有） </w:t>
            </w:r>
          </w:p>
          <w:p>
            <w:pPr>
              <w:pStyle w:val="42"/>
              <w:keepNext w:val="0"/>
              <w:keepLines w:val="0"/>
              <w:pageBreakBefore w:val="0"/>
              <w:widowControl/>
              <w:kinsoku/>
              <w:wordWrap w:val="0"/>
              <w:overflowPunct/>
              <w:topLine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4、单位负责人为同一人或者存在直接控股、管理关系的不同供应商，不得参加同一合同项下的政府采购活动；（提供书面承诺函，格式自拟加盖供应商公章） </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5、本项目专门面向中小企业采购；须符合《政府采购促进中小企业发展管理办法》（财库〔2020〕46号）规定的中小企业参加；(提供《中小企业声明函》，式样见竞争性磋商响应文件格式)</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6、供应商须具备CMA检验检测机构资质认定证书；</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7、本项目不接受联合体磋商。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服务期限、地点</w:t>
            </w:r>
          </w:p>
        </w:tc>
        <w:tc>
          <w:tcPr>
            <w:tcW w:w="6764" w:type="dxa"/>
          </w:tcPr>
          <w:p>
            <w:pPr>
              <w:pStyle w:val="41"/>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1、服务期限：自合同签订之日起12个月内服务完毕。</w:t>
            </w:r>
          </w:p>
          <w:p>
            <w:pPr>
              <w:pStyle w:val="41"/>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2、服务地点：甲方指定地点。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竞争性磋商文件发售</w:t>
            </w:r>
          </w:p>
        </w:tc>
        <w:tc>
          <w:tcPr>
            <w:tcW w:w="6764" w:type="dxa"/>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日上午9:00-12:00，下午2:00-5:00时止（节假日除外）。</w:t>
            </w:r>
          </w:p>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发售地点：西安市朱雀大街南段1号汇成天玺C座18层</w:t>
            </w:r>
            <w:r>
              <w:rPr>
                <w:rFonts w:hint="eastAsia" w:ascii="仿宋" w:hAnsi="仿宋" w:eastAsia="仿宋" w:cs="仿宋"/>
                <w:color w:val="auto"/>
                <w:sz w:val="24"/>
                <w:szCs w:val="24"/>
                <w:highlight w:val="none"/>
                <w:lang w:eastAsia="zh-CN"/>
              </w:rPr>
              <w:t>1812</w:t>
            </w:r>
            <w:r>
              <w:rPr>
                <w:rFonts w:hint="eastAsia" w:ascii="仿宋" w:hAnsi="仿宋" w:eastAsia="仿宋" w:cs="仿宋"/>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联合体磋商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现场勘查、标前答疑会</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供应商对竞争性磋商文件提出质疑的时间</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构成竞争性磋商文件的其他文件</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磋商响应文件截止时间及磋商时间和地点</w:t>
            </w:r>
          </w:p>
        </w:tc>
        <w:tc>
          <w:tcPr>
            <w:tcW w:w="6764" w:type="dxa"/>
          </w:tcPr>
          <w:p>
            <w:pPr>
              <w:pStyle w:val="43"/>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3"/>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3、磋商地点：西安市朱雀大街南段1号汇成天玺C座18层</w:t>
            </w:r>
            <w:r>
              <w:rPr>
                <w:rFonts w:hint="eastAsia" w:ascii="仿宋" w:hAnsi="仿宋" w:eastAsia="仿宋" w:cs="仿宋"/>
                <w:color w:val="auto"/>
                <w:sz w:val="24"/>
                <w:szCs w:val="24"/>
                <w:highlight w:val="none"/>
                <w:lang w:val="en-US" w:eastAsia="zh-CN"/>
              </w:rPr>
              <w:t>1818</w:t>
            </w:r>
            <w:r>
              <w:rPr>
                <w:rFonts w:hint="eastAsia" w:ascii="仿宋" w:hAnsi="仿宋" w:eastAsia="仿宋" w:cs="仿宋"/>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磋商响应有效期</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磋商担保</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val="0"/>
                <w:bCs/>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汇款账户</w:t>
            </w:r>
          </w:p>
        </w:tc>
        <w:tc>
          <w:tcPr>
            <w:tcW w:w="6764" w:type="dxa"/>
          </w:tcPr>
          <w:p>
            <w:pPr>
              <w:pStyle w:val="41"/>
              <w:spacing w:line="560" w:lineRule="exact"/>
              <w:ind w:firstLine="0" w:firstLineChars="0"/>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中国建设银行：招标服务费（交纳账户）</w:t>
            </w:r>
          </w:p>
          <w:p>
            <w:pPr>
              <w:pStyle w:val="41"/>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名称：华招广和项目管理有限公司</w:t>
            </w:r>
          </w:p>
          <w:p>
            <w:pPr>
              <w:pStyle w:val="41"/>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开户行：中国建设银行股份有限公司西安金泰假日花城支行</w:t>
            </w:r>
          </w:p>
          <w:p>
            <w:pPr>
              <w:pStyle w:val="41"/>
              <w:spacing w:line="560" w:lineRule="exact"/>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帐号：6105 0186 5800 0000 0059</w:t>
            </w:r>
          </w:p>
          <w:p>
            <w:pPr>
              <w:pStyle w:val="41"/>
              <w:keepNext w:val="0"/>
              <w:keepLines w:val="0"/>
              <w:pageBreakBefore w:val="0"/>
              <w:kinsoku/>
              <w:wordWrap/>
              <w:overflowPunct/>
              <w:topLinePunct w:val="0"/>
              <w:autoSpaceDE/>
              <w:autoSpaceDN/>
              <w:bidi w:val="0"/>
              <w:adjustRightInd/>
              <w:spacing w:line="640" w:lineRule="exact"/>
              <w:ind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kern w:val="2"/>
                <w:sz w:val="24"/>
                <w:szCs w:val="24"/>
                <w:highlight w:val="none"/>
              </w:rPr>
              <w:t>注:招标服务费采用转账形式交纳。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备选磋商方案</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和报价</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盖章签字</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竞争性磋商响应文件数量、装订</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auto"/>
                <w:sz w:val="24"/>
                <w:highlight w:val="none"/>
                <w:lang w:eastAsia="zh-CN"/>
              </w:rPr>
              <w:t>用</w:t>
            </w:r>
            <w:r>
              <w:rPr>
                <w:rFonts w:hint="eastAsia" w:ascii="仿宋" w:hAnsi="仿宋" w:eastAsia="仿宋" w:cs="仿宋"/>
                <w:color w:val="auto"/>
                <w:sz w:val="24"/>
                <w:highlight w:val="none"/>
              </w:rPr>
              <w:t>U盘或移动硬盘</w:t>
            </w:r>
            <w:r>
              <w:rPr>
                <w:rFonts w:hint="eastAsia" w:ascii="仿宋" w:hAnsi="仿宋" w:eastAsia="仿宋" w:cs="仿宋"/>
                <w:color w:val="auto"/>
                <w:sz w:val="24"/>
                <w:highlight w:val="none"/>
                <w:lang w:eastAsia="zh-CN"/>
              </w:rPr>
              <w:t>拷贝</w:t>
            </w:r>
            <w:r>
              <w:rPr>
                <w:rFonts w:hint="eastAsia" w:ascii="仿宋" w:hAnsi="仿宋" w:eastAsia="仿宋" w:cs="仿宋"/>
                <w:color w:val="auto"/>
                <w:sz w:val="24"/>
                <w:highlight w:val="none"/>
              </w:rPr>
              <w:t>），电子版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文件正本的word版本及PDF版本（PDF文件为完整签字、盖章的正本扫描件）。纸质磋商响应文件均须A4纸打印（提倡双面打印），分别各自装订成册并编制目录和页码。电子版放置磋商响应文件正本标袋内。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6764" w:type="dxa"/>
            <w:vAlign w:val="center"/>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本项目为交钥匙项目。</w:t>
            </w:r>
            <w:r>
              <w:rPr>
                <w:rFonts w:hint="eastAsia" w:ascii="仿宋" w:hAnsi="仿宋" w:eastAsia="仿宋" w:cs="仿宋"/>
                <w:color w:val="auto"/>
                <w:sz w:val="24"/>
                <w:szCs w:val="24"/>
                <w:highlight w:val="none"/>
              </w:rPr>
              <w:t>磋商报价=服务费+保险费+人员费+</w:t>
            </w:r>
            <w:r>
              <w:rPr>
                <w:rFonts w:hint="eastAsia" w:ascii="仿宋" w:hAnsi="仿宋" w:eastAsia="仿宋" w:cs="仿宋"/>
                <w:color w:val="auto"/>
                <w:sz w:val="24"/>
                <w:szCs w:val="24"/>
                <w:highlight w:val="none"/>
                <w:lang w:val="en-US" w:eastAsia="zh-CN"/>
              </w:rPr>
              <w:t>设备费+</w:t>
            </w:r>
            <w:r>
              <w:rPr>
                <w:rFonts w:hint="eastAsia" w:ascii="仿宋" w:hAnsi="仿宋" w:eastAsia="仿宋" w:cs="仿宋"/>
                <w:color w:val="auto"/>
                <w:sz w:val="24"/>
                <w:szCs w:val="24"/>
                <w:highlight w:val="none"/>
              </w:rPr>
              <w:t>其他相关伴随费用。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6764" w:type="dxa"/>
            <w:vAlign w:val="center"/>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其它事项</w:t>
            </w:r>
          </w:p>
        </w:tc>
        <w:tc>
          <w:tcPr>
            <w:tcW w:w="6764" w:type="dxa"/>
            <w:vAlign w:val="center"/>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本次采购、磋商报价、评审和合同授予均以项目为单位，供应商必须就一个完整项目进行响应。成交供应商与采购人在成交通知书发出</w:t>
            </w:r>
            <w:r>
              <w:rPr>
                <w:rFonts w:hint="eastAsia" w:ascii="仿宋" w:hAnsi="仿宋" w:eastAsia="仿宋" w:cs="仿宋"/>
                <w:color w:val="auto"/>
                <w:kern w:val="2"/>
                <w:sz w:val="24"/>
                <w:szCs w:val="24"/>
                <w:highlight w:val="none"/>
                <w:lang w:val="en-US" w:eastAsia="zh-CN"/>
              </w:rPr>
              <w:t>25</w:t>
            </w:r>
            <w:r>
              <w:rPr>
                <w:rFonts w:hint="eastAsia" w:ascii="仿宋" w:hAnsi="仿宋" w:eastAsia="仿宋" w:cs="仿宋"/>
                <w:color w:val="auto"/>
                <w:kern w:val="2"/>
                <w:sz w:val="24"/>
                <w:szCs w:val="24"/>
                <w:highlight w:val="none"/>
              </w:rPr>
              <w:t>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val="en-US" w:eastAsia="zh-CN"/>
              </w:rPr>
              <w:t>27</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eastAsia="zh-CN"/>
              </w:rPr>
              <w:t>本项目是否专门面向中小企业</w:t>
            </w:r>
          </w:p>
        </w:tc>
        <w:tc>
          <w:tcPr>
            <w:tcW w:w="6764" w:type="dxa"/>
            <w:vAlign w:val="center"/>
          </w:tcPr>
          <w:p>
            <w:pPr>
              <w:pStyle w:val="43"/>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000000"/>
                <w:kern w:val="2"/>
                <w:sz w:val="24"/>
                <w:szCs w:val="24"/>
                <w:highlight w:val="none"/>
                <w:lang w:eastAsia="zh-CN"/>
              </w:rPr>
              <w:t>☑是</w:t>
            </w:r>
            <w:r>
              <w:rPr>
                <w:rFonts w:hint="eastAsia" w:ascii="仿宋" w:hAnsi="仿宋" w:eastAsia="仿宋" w:cs="仿宋"/>
                <w:color w:val="000000"/>
                <w:kern w:val="2"/>
                <w:sz w:val="24"/>
                <w:szCs w:val="24"/>
                <w:highlight w:val="none"/>
                <w:lang w:val="en-US" w:eastAsia="zh-CN"/>
              </w:rPr>
              <w:t xml:space="preserve">   </w:t>
            </w:r>
            <w:r>
              <w:rPr>
                <w:rFonts w:hint="eastAsia" w:ascii="仿宋" w:hAnsi="仿宋" w:eastAsia="仿宋" w:cs="仿宋"/>
                <w:color w:val="000000"/>
                <w:kern w:val="2"/>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本项目所属行业</w:t>
            </w:r>
          </w:p>
        </w:tc>
        <w:tc>
          <w:tcPr>
            <w:tcW w:w="6764" w:type="dxa"/>
            <w:vAlign w:val="center"/>
          </w:tcPr>
          <w:p>
            <w:pPr>
              <w:pStyle w:val="43"/>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rPr>
            </w:pPr>
            <w:r>
              <w:rPr>
                <w:rFonts w:hint="default" w:ascii="仿宋" w:hAnsi="仿宋" w:eastAsia="仿宋" w:cs="仿宋"/>
                <w:color w:val="auto"/>
                <w:kern w:val="2"/>
                <w:sz w:val="24"/>
                <w:szCs w:val="24"/>
                <w:highlight w:val="none"/>
                <w:lang w:val="en-US" w:eastAsia="zh-CN"/>
              </w:rPr>
              <w:t>其他未列明行业</w:t>
            </w:r>
          </w:p>
        </w:tc>
      </w:tr>
    </w:tbl>
    <w:p>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bookmarkStart w:id="3" w:name="_Toc12152"/>
      <w:r>
        <w:rPr>
          <w:rFonts w:hint="eastAsia" w:ascii="仿宋" w:hAnsi="仿宋" w:eastAsia="仿宋" w:cs="仿宋"/>
          <w:color w:val="000000" w:themeColor="text1"/>
          <w:kern w:val="0"/>
          <w:sz w:val="28"/>
          <w:szCs w:val="28"/>
          <w:highlight w:val="none"/>
          <w14:textFill>
            <w14:solidFill>
              <w14:schemeClr w14:val="tx1"/>
            </w14:solidFill>
          </w14:textFill>
        </w:rPr>
        <w:t>二、项目说明</w:t>
      </w:r>
      <w:bookmarkEnd w:id="3"/>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1、本项目说明详见供应商须知前附表。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2、本项目按照《中华人民共和国政府采购法》等有关法律、行政法规和部门规章，通过竞争性磋商方式择优选定成交供应商。</w:t>
      </w:r>
    </w:p>
    <w:p>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4" w:name="_Toc24776"/>
      <w:bookmarkStart w:id="5" w:name="_Toc458848819"/>
      <w:bookmarkStart w:id="6" w:name="_Toc458848734"/>
      <w:bookmarkStart w:id="7" w:name="_Toc458848967"/>
      <w:r>
        <w:rPr>
          <w:rFonts w:hint="eastAsia" w:ascii="仿宋" w:hAnsi="仿宋" w:eastAsia="仿宋" w:cs="仿宋"/>
          <w:color w:val="000000" w:themeColor="text1"/>
          <w:kern w:val="0"/>
          <w:sz w:val="28"/>
          <w:szCs w:val="28"/>
          <w:highlight w:val="none"/>
          <w14:textFill>
            <w14:solidFill>
              <w14:schemeClr w14:val="tx1"/>
            </w14:solidFill>
          </w14:textFill>
        </w:rPr>
        <w:t>三、竞争性磋商文件</w:t>
      </w:r>
      <w:bookmarkEnd w:id="4"/>
      <w:bookmarkEnd w:id="5"/>
      <w:bookmarkEnd w:id="6"/>
      <w:bookmarkEnd w:id="7"/>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1、竞争性磋商文件购买：供应商须经过正常渠道购买竞争性磋商文件，且供应商名称与登记领取竞争性磋商文件的单位名称一致，否则将作为无效响应处理。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2、竞争性磋商文件由竞争性磋商文件目录前五章组成。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3、供应商应详细阅读和充分理解竞争性磋商文件所有的事项、格式、条款和规范要求等，在竞争性磋商响应文件中对竞争性磋商文件的各方面都做出实质性的响应，按照竞争性磋商文件的要求提交全部资料。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4、竞争性磋商文件的澄清或修改：</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5、供应商若对磋商文件有任何疑问，可以以书面形式向采购代理机构提出询问。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6、供应商认为竞争性磋商文件使自己的权益受到损害的，在收到竞争性磋商文件之日起七个工作日内，以书面形式向采购代理机构提出质疑，逾期提出的无效，因此带来的一切不利后果由供应商自负。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8、供应商必须从采购代理机构购买竞争性磋商文件，供应商自行转让或复制竞争性磋商文件视为无效。竞争性磋商文件售后不退，仅作为本次采购使用。</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9、如发现竞争性磋商文件内容与现行法律法规不相符的情况，以现行法律法规为准。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10、现场勘查、标前答疑会：见须知前附表。</w:t>
      </w:r>
    </w:p>
    <w:p>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8" w:name="_Toc458848968"/>
      <w:bookmarkStart w:id="9" w:name="_Toc1600"/>
      <w:bookmarkStart w:id="10" w:name="_Toc458848735"/>
      <w:bookmarkStart w:id="11" w:name="_Toc458848820"/>
      <w:r>
        <w:rPr>
          <w:rFonts w:hint="eastAsia" w:ascii="仿宋" w:hAnsi="仿宋" w:eastAsia="仿宋" w:cs="仿宋"/>
          <w:color w:val="000000" w:themeColor="text1"/>
          <w:kern w:val="0"/>
          <w:sz w:val="28"/>
          <w:szCs w:val="28"/>
          <w:highlight w:val="none"/>
          <w14:textFill>
            <w14:solidFill>
              <w14:schemeClr w14:val="tx1"/>
            </w14:solidFill>
          </w14:textFill>
        </w:rPr>
        <w:t>四、竞争性磋商响应文件</w:t>
      </w:r>
      <w:bookmarkEnd w:id="8"/>
      <w:bookmarkEnd w:id="9"/>
      <w:bookmarkEnd w:id="10"/>
      <w:bookmarkEnd w:id="1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w:t>
      </w:r>
      <w:r>
        <w:rPr>
          <w:rFonts w:hint="eastAsia" w:ascii="仿宋" w:hAnsi="仿宋" w:eastAsia="仿宋" w:cs="仿宋"/>
          <w:i w:val="0"/>
          <w:iCs w:val="0"/>
          <w:caps w:val="0"/>
          <w:color w:val="000000"/>
          <w:spacing w:val="0"/>
          <w:sz w:val="24"/>
          <w:szCs w:val="24"/>
          <w:highlight w:val="none"/>
          <w:shd w:val="clear" w:color="auto" w:fill="FFFFFF"/>
          <w:lang w:eastAsia="zh-CN"/>
        </w:rPr>
        <w:t>提供具有财务审计资质单位出具的2021年度或2022年度财务报告</w:t>
      </w:r>
      <w:r>
        <w:rPr>
          <w:rFonts w:hint="eastAsia" w:ascii="仿宋" w:hAnsi="仿宋" w:eastAsia="仿宋" w:cs="仿宋"/>
          <w:i w:val="0"/>
          <w:iCs w:val="0"/>
          <w:caps w:val="0"/>
          <w:color w:val="000000"/>
          <w:spacing w:val="0"/>
          <w:sz w:val="24"/>
          <w:szCs w:val="24"/>
          <w:highlight w:val="none"/>
          <w:shd w:val="clear" w:color="auto" w:fill="FFFFFF"/>
        </w:rPr>
        <w:t xml:space="preserve">（成立时间至磋商时间不足一年的可提供成立后任意时段的资产负债表）或磋商前六个月内其基本账户银行出具的资信证明（附开户许可证或基本账户证明）或政府采购信用担保机构出具的磋商担保函。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税收缴纳证明：提供2022年1月1日至今任意一个月已缴纳的纳税证明或完税证明（包含增值税、企业所得税、营业税至少一种）；（依法免税的供应商应提供相关文件证明）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4</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5、本项目专门面向中小企业采购；须符合《政府采购促进中小企业发展管理办法》（财库〔2020〕46号）规定的中小企业参加；(提供《中小企业声明函》，式样见竞争性磋商响应文件格式)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6、供应商须具备CMA检验检测机构资质认定证书；</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7、本项目不接受联合体磋商。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2、合格供应商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依照《中华人民共和国公司法》合法注册的法人或其他组织、符合《中华人民共和国政府采购法》</w:t>
      </w:r>
      <w:bookmarkStart w:id="12" w:name="OLE_LINK8"/>
      <w:r>
        <w:rPr>
          <w:rFonts w:hint="eastAsia" w:ascii="仿宋" w:hAnsi="仿宋" w:eastAsia="仿宋" w:cs="仿宋"/>
          <w:color w:val="000000" w:themeColor="text1"/>
          <w:sz w:val="24"/>
          <w:highlight w:val="none"/>
          <w14:textFill>
            <w14:solidFill>
              <w14:schemeClr w14:val="tx1"/>
            </w14:solidFill>
          </w14:textFill>
        </w:rPr>
        <w:t>及其实施条例等有关法律法规的规定</w:t>
      </w:r>
      <w:bookmarkEnd w:id="12"/>
      <w:r>
        <w:rPr>
          <w:rFonts w:hint="eastAsia" w:ascii="仿宋" w:hAnsi="仿宋" w:eastAsia="仿宋" w:cs="仿宋"/>
          <w:color w:val="000000" w:themeColor="text1"/>
          <w:sz w:val="24"/>
          <w:highlight w:val="none"/>
          <w14:textFill>
            <w14:solidFill>
              <w14:schemeClr w14:val="tx1"/>
            </w14:solidFill>
          </w14:textFill>
        </w:rPr>
        <w:t>并满足本项目资格条件。不符合上述规定的供应商，磋商响应无效。</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3、供应商信用信息：</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3-1、采购人或采购代理机构将于本项目磋商截止日在‘信用中国’网站、‘中国政府采购网’网站等渠道对供应商进行信用记录查询，</w:t>
      </w:r>
      <w:r>
        <w:rPr>
          <w:rFonts w:hint="eastAsia" w:ascii="仿宋" w:hAnsi="仿宋" w:eastAsia="仿宋" w:cs="仿宋"/>
          <w:color w:val="000000" w:themeColor="text1"/>
          <w:sz w:val="24"/>
          <w:highlight w:val="none"/>
          <w:lang w:eastAsia="zh-CN"/>
          <w14:textFill>
            <w14:solidFill>
              <w14:schemeClr w14:val="tx1"/>
            </w14:solidFill>
          </w14:textFill>
        </w:rPr>
        <w:t>查询的信用记录将进行打印存档，</w:t>
      </w:r>
      <w:r>
        <w:rPr>
          <w:rFonts w:hint="eastAsia" w:ascii="仿宋" w:hAnsi="仿宋" w:eastAsia="仿宋" w:cs="仿宋"/>
          <w:color w:val="000000" w:themeColor="text1"/>
          <w:sz w:val="24"/>
          <w:highlight w:val="none"/>
          <w14:textFill>
            <w14:solidFill>
              <w14:schemeClr w14:val="tx1"/>
            </w14:solidFill>
          </w14:textFill>
        </w:rPr>
        <w:t>凡被列入失信被执行人、重大税收违法案件当事人名单、政府采购严重违法失信行为记录名单的，视为存在不良信用记录，参与本项目的将被拒绝。</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3-2、特别说明：</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（1）供应商如在成交通知书发出前出现违法失信行为，采购人仍有权利提请评审委员会取消其成交资格；</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（2）供应商在磋商响应文件中已出具的信用查询结果并不能取代采购人或采购代理机构在评审前进行复查。</w:t>
      </w:r>
    </w:p>
    <w:p>
      <w:pPr>
        <w:pageBreakBefore w:val="0"/>
        <w:widowControl/>
        <w:shd w:val="clear" w:color="auto" w:fill="FFFFFF"/>
        <w:kinsoku/>
        <w:wordWrap/>
        <w:topLinePunct w:val="0"/>
        <w:autoSpaceDE/>
        <w:autoSpaceDN/>
        <w:bidi w:val="0"/>
        <w:spacing w:line="64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4、竞争性磋商响应文件的组成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4-1、竞争性磋商函（格式）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4-2、磋商报价一览表（格式）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2020年1月1日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同类项目业绩</w:t>
      </w:r>
      <w:r>
        <w:rPr>
          <w:rFonts w:hint="eastAsia" w:ascii="仿宋" w:hAnsi="仿宋" w:eastAsia="仿宋" w:cs="仿宋"/>
          <w:color w:val="000000" w:themeColor="text1"/>
          <w:sz w:val="24"/>
          <w:highlight w:val="none"/>
          <w14:textFill>
            <w14:solidFill>
              <w14:schemeClr w14:val="tx1"/>
            </w14:solidFill>
          </w14:textFill>
        </w:rPr>
        <w:t>（提供合同复印件加盖公章）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、服务方案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4-9、人员及服务能力</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4-10、质量保证承诺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4-11、合理化建议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4-12、履约承诺</w:t>
      </w:r>
    </w:p>
    <w:p>
      <w:pPr>
        <w:pageBreakBefore w:val="0"/>
        <w:kinsoku/>
        <w:wordWrap/>
        <w:topLinePunct w:val="0"/>
        <w:autoSpaceDE/>
        <w:autoSpaceDN/>
        <w:bidi w:val="0"/>
        <w:spacing w:line="64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4-13、服务承诺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14、</w:t>
      </w:r>
      <w:r>
        <w:rPr>
          <w:rFonts w:hint="eastAsia" w:ascii="仿宋" w:hAnsi="仿宋" w:eastAsia="仿宋" w:cs="仿宋"/>
          <w:color w:val="000000" w:themeColor="text1"/>
          <w:sz w:val="24"/>
          <w:highlight w:val="none"/>
          <w14:textFill>
            <w14:solidFill>
              <w14:schemeClr w14:val="tx1"/>
            </w14:solidFill>
          </w14:textFill>
        </w:rPr>
        <w:t>磋商文件要求的其他资料及供应商认为需要提供的文件和资料。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5、竞争性磋商响应文件编写说明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5-1、竞争性磋商响应文件格式：竞争性磋商响应文件应当按照竞争性磋商文件给定的格式和要求编制，格式之外的可自行编写。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5-3、除供应商对错误处需修改外，全套竞争性磋商响应文件应无涂改或行间插字或增删。如有修改，修改处应加盖供应商公章及法定代表人或被授权人签字（或盖章）确认。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5-4、竞争性磋商响应文件的正本和副本均需打印或用不褪色、不变质的墨水书写。因字迹潦草或表达不清所引起的后果由供应商自行负责。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5-5、竞争性磋商响应文件电子版内容须与竞争性磋商响应文件纸质版正本中的内容一致。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6、磋商文件的装订及密封</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7、竞争性磋商响应文件的计量单位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竞争性磋商响应文件中所使用的计量单位，除有特殊要求外，均采用国家法定计量单位。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8、磋商报价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w:t>
      </w:r>
      <w:r>
        <w:rPr>
          <w:rFonts w:hint="eastAsia" w:ascii="仿宋" w:hAnsi="仿宋" w:eastAsia="仿宋" w:cs="仿宋"/>
          <w:color w:val="000000" w:themeColor="text1"/>
          <w:sz w:val="24"/>
          <w:highlight w:val="none"/>
          <w:lang w:val="en-US" w:eastAsia="zh-CN"/>
          <w14:textFill>
            <w14:solidFill>
              <w14:schemeClr w14:val="tx1"/>
            </w14:solidFill>
          </w14:textFill>
        </w:rPr>
        <w:t>本项目为交钥匙项目。</w:t>
      </w:r>
      <w:r>
        <w:rPr>
          <w:rFonts w:hint="eastAsia" w:ascii="仿宋" w:hAnsi="仿宋" w:eastAsia="仿宋" w:cs="仿宋"/>
          <w:color w:val="000000" w:themeColor="text1"/>
          <w:sz w:val="24"/>
          <w:highlight w:val="none"/>
          <w14:textFill>
            <w14:solidFill>
              <w14:schemeClr w14:val="tx1"/>
            </w14:solidFill>
          </w14:textFill>
        </w:rPr>
        <w:t>磋商报价=服务费+保险费+人员费+</w:t>
      </w:r>
      <w:r>
        <w:rPr>
          <w:rFonts w:hint="eastAsia" w:ascii="仿宋" w:hAnsi="仿宋" w:eastAsia="仿宋" w:cs="仿宋"/>
          <w:color w:val="000000" w:themeColor="text1"/>
          <w:sz w:val="24"/>
          <w:highlight w:val="none"/>
          <w:lang w:val="en-US" w:eastAsia="zh-CN"/>
          <w14:textFill>
            <w14:solidFill>
              <w14:schemeClr w14:val="tx1"/>
            </w14:solidFill>
          </w14:textFill>
        </w:rPr>
        <w:t>设备费+</w:t>
      </w:r>
      <w:r>
        <w:rPr>
          <w:rFonts w:hint="eastAsia" w:ascii="仿宋" w:hAnsi="仿宋" w:eastAsia="仿宋" w:cs="仿宋"/>
          <w:color w:val="000000" w:themeColor="text1"/>
          <w:sz w:val="24"/>
          <w:highlight w:val="none"/>
          <w14:textFill>
            <w14:solidFill>
              <w14:schemeClr w14:val="tx1"/>
            </w14:solidFill>
          </w14:textFill>
        </w:rPr>
        <w:t>其他相关伴随费用</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8-2、供应商所报的磋商价在合同执行过程中是固定不变的，不得以任何理由予以变更。任何包含价格调整要求的磋商，将被认为是非响应性磋商而予以拒绝。</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8-3、</w:t>
      </w:r>
      <w:r>
        <w:rPr>
          <w:rFonts w:hint="eastAsia" w:ascii="仿宋" w:hAnsi="仿宋" w:eastAsia="仿宋" w:cs="仿宋"/>
          <w:color w:val="000000" w:themeColor="text1"/>
          <w:sz w:val="24"/>
          <w:highlight w:val="none"/>
          <w14:textFill>
            <w14:solidFill>
              <w14:schemeClr w14:val="tx1"/>
            </w14:solidFill>
          </w14:textFill>
        </w:rPr>
        <w:t>不接受超过</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中规定的预算金额或者最高限价的报价、可变动性报价、赠送及“零”报价，否则视为无效投标。</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9、各供应商须对以下内容做出承诺：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9-1、供应商不得以他人名义磋商和串通磋商。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9-2、必须根据竞争性磋商文件要求进行服务；</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9-3、非经采购人同意，不得将本项目内容进行分包实施，一经发现，立即取消其成交资格，并承担由此引起的一切经济损失；经采购人同意，成交人可以依法采取分包方式履行合同。</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9-4、接受采购人委托的相关单位对服务内容、质量、进度、实施方案、价款支付与结算等的监督和管理。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9-5、供应商应保证在本项目使用的任何服务的任何一部分，不会产生因第三方提出的侵犯其专利权、商标权、著作权或其它知识产权而引起的法律和经济纠纷，由此引起的纠纷，由供应商承担所有相关责任；</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9-7、供应商不能以“赠送”、“赠予”等任何名义提供货物和服务规避竞争性磋商文件的约束。否则，将作为无效响应文件处理。供应商的行为将作为以不正当手段排挤其他供应商认定。</w:t>
      </w:r>
    </w:p>
    <w:p>
      <w:pPr>
        <w:pStyle w:val="3"/>
        <w:pageBreakBefore w:val="0"/>
        <w:kinsoku/>
        <w:overflowPunct/>
        <w:autoSpaceDE/>
        <w:autoSpaceDN/>
        <w:bidi w:val="0"/>
        <w:adjustRightInd/>
        <w:snapToGrid/>
        <w:spacing w:before="0" w:after="0" w:line="560" w:lineRule="exact"/>
        <w:textAlignment w:val="auto"/>
        <w:rPr>
          <w:rFonts w:hint="eastAsia" w:ascii="仿宋" w:hAnsi="仿宋" w:eastAsia="仿宋" w:cs="仿宋"/>
          <w:color w:val="auto"/>
          <w:kern w:val="0"/>
          <w:sz w:val="28"/>
          <w:szCs w:val="28"/>
          <w:highlight w:val="none"/>
        </w:rPr>
      </w:pPr>
      <w:bookmarkStart w:id="13" w:name="_Toc3854"/>
      <w:bookmarkStart w:id="14" w:name="_Toc458848736"/>
      <w:bookmarkStart w:id="15" w:name="_Toc458848969"/>
      <w:bookmarkStart w:id="16" w:name="_Toc458848821"/>
      <w:bookmarkStart w:id="17" w:name="_Toc14492"/>
      <w:bookmarkStart w:id="18" w:name="_Toc5793"/>
      <w:bookmarkStart w:id="19" w:name="_Toc458848737"/>
      <w:bookmarkStart w:id="20" w:name="_Toc458848970"/>
      <w:bookmarkStart w:id="21" w:name="_Toc458848822"/>
      <w:r>
        <w:rPr>
          <w:rFonts w:hint="eastAsia" w:ascii="仿宋" w:hAnsi="仿宋" w:eastAsia="仿宋" w:cs="仿宋"/>
          <w:color w:val="auto"/>
          <w:kern w:val="0"/>
          <w:sz w:val="28"/>
          <w:szCs w:val="28"/>
          <w:highlight w:val="none"/>
        </w:rPr>
        <w:t>五、磋商担保</w:t>
      </w:r>
      <w:bookmarkEnd w:id="13"/>
      <w:bookmarkEnd w:id="14"/>
      <w:bookmarkEnd w:id="15"/>
      <w:bookmarkEnd w:id="16"/>
    </w:p>
    <w:bookmarkEnd w:id="17"/>
    <w:p>
      <w:pPr>
        <w:pageBreakBefore w:val="0"/>
        <w:kinsoku/>
        <w:overflowPunct/>
        <w:autoSpaceDE/>
        <w:autoSpaceDN/>
        <w:bidi w:val="0"/>
        <w:adjustRightInd/>
        <w:snapToGrid/>
        <w:spacing w:line="560" w:lineRule="exact"/>
        <w:ind w:firstLine="560" w:firstLineChars="200"/>
        <w:textAlignment w:val="auto"/>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无</w:t>
      </w:r>
    </w:p>
    <w:p>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kern w:val="0"/>
          <w:sz w:val="28"/>
          <w:szCs w:val="28"/>
          <w:highlight w:val="none"/>
          <w14:textFill>
            <w14:solidFill>
              <w14:schemeClr w14:val="tx1"/>
            </w14:solidFill>
          </w14:textFill>
        </w:rPr>
        <w:t>、磋商响应</w:t>
      </w:r>
      <w:bookmarkEnd w:id="18"/>
      <w:bookmarkEnd w:id="19"/>
      <w:bookmarkEnd w:id="20"/>
      <w:bookmarkEnd w:id="2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竞争性磋商响应</w:t>
      </w:r>
      <w:r>
        <w:rPr>
          <w:rFonts w:hint="eastAsia" w:ascii="仿宋" w:hAnsi="仿宋" w:eastAsia="仿宋" w:cs="仿宋"/>
          <w:color w:val="000000" w:themeColor="text1"/>
          <w:sz w:val="24"/>
          <w:highlight w:val="none"/>
          <w14:textFill>
            <w14:solidFill>
              <w14:schemeClr w14:val="tx1"/>
            </w14:solidFill>
          </w14:textFill>
        </w:rPr>
        <w:t>文件、必备资质文件的递交：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供应商应按规定的时间、地点，于磋商截止时间前递交竞争性磋商响应文件；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1-2、逾</w:t>
      </w:r>
      <w:r>
        <w:rPr>
          <w:rFonts w:hint="eastAsia" w:ascii="仿宋" w:hAnsi="仿宋" w:eastAsia="仿宋" w:cs="仿宋"/>
          <w:color w:val="000000" w:themeColor="text1"/>
          <w:sz w:val="24"/>
          <w:highlight w:val="none"/>
          <w14:textFill>
            <w14:solidFill>
              <w14:schemeClr w14:val="tx1"/>
            </w14:solidFill>
          </w14:textFill>
        </w:rPr>
        <w:t>期送达或者未按照竞争性磋商文件要求密封的竞争性磋商响应文件，将被拒收</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、供应商在规定的磋商截止时间后递交磋商响应文件，将被拒收。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、本次磋商不接受邮寄的磋商响应文件。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响应文件的补充、修改与撤回：</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2-2、供应商提出修改要求的，须在磋商响应截止时间前密封送到采购代理机构，并在封面上加注“修改”字样。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2-4、磋商截止时间之后，供应商不得补充、修改竞争性磋商响应文件；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、竞争性磋商响应有效期：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3-1、自磋商之日起算90个日历日。竞争性磋商响应有效期短于竞争性磋商文件规定的磋商响应有效期，按无效竞争性磋商响应处理。成交单位的竞争性磋商有效期延长至合同执行完毕。</w:t>
      </w:r>
    </w:p>
    <w:p>
      <w:pPr>
        <w:pStyle w:val="41"/>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3-2、在原有有效期结束前，采购代理机构可要求供应商延长竞争性磋商响应有效期。拒绝延长有效期的供应商不得参与该项目后续采购活动。同意延长有效期的供应商不得修改竞争性磋商响应文件的实质性内容。</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w:t>
      </w:r>
      <w:r>
        <w:rPr>
          <w:rFonts w:hint="eastAsia" w:ascii="仿宋" w:hAnsi="仿宋" w:eastAsia="仿宋" w:cs="仿宋"/>
          <w:color w:val="000000" w:themeColor="text1"/>
          <w:kern w:val="2"/>
          <w:sz w:val="24"/>
          <w:szCs w:val="24"/>
          <w:highlight w:val="none"/>
          <w14:textFill>
            <w14:solidFill>
              <w14:schemeClr w14:val="tx1"/>
            </w14:solidFill>
          </w14:textFill>
        </w:rPr>
        <w:t>有下列情形之一的，属于恶意串通，对其依照《中华人民共和国政府采购法》</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第七十七条第一款的规定追究法律责任，响应无效：</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4-1、供应商直接或者间接从采购人或采购代理机构处获得其他供应商的相关情况并修改其磋商响应文件；</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4-2、供应商按照采购人或采购代理机构的授意撤换、修改磋商响应文件；</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4-3、供应商之间协商报价、技术方案等磋商响应文件的实质性内容；</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4-4、属于同一集团、协会、商会等组织成员的供应商按照该组织要求协同参加政府采购活动；</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4-5、供应商之间事先约定由某一特定供应商成交；</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4-6、供应商之间商定部分供应商放弃参加政府采购活动或放弃成交；</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4-7、供应商相互之间，为谋求特定供应商成交或排斥其他供应商的其他串通行为。</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5、有下列情形之一的，视为供应商串通磋商，其响应无效：</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5-1、不同供应商的磋商响应文件由同一单位或者个人编制；</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5-2、不同供应商委托同一单位或者个人办理磋商事宜；</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5-3、不同供应商的磋商响应文件载明的项目管理成员或者联系人为同一人；</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5-4、不同供应商的磋商响应文件异常一致或者磋商报价呈现规律性差异；</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5-5、不同供应商的磋商响应文件相互混装；</w:t>
      </w:r>
    </w:p>
    <w:p>
      <w:pPr>
        <w:pStyle w:val="41"/>
        <w:pageBreakBefore w:val="0"/>
        <w:kinsoku/>
        <w:wordWrap/>
        <w:topLinePunct w:val="0"/>
        <w:autoSpaceDE/>
        <w:autoSpaceDN/>
        <w:bidi w:val="0"/>
        <w:spacing w:line="640" w:lineRule="exact"/>
        <w:ind w:firstLine="0" w:firstLineChars="0"/>
        <w:textAlignment w:val="auto"/>
        <w:outlineLvl w:val="1"/>
        <w:rPr>
          <w:rFonts w:hint="eastAsia" w:ascii="仿宋" w:hAnsi="仿宋" w:eastAsia="仿宋" w:cs="仿宋"/>
          <w:b/>
          <w:bCs/>
          <w:color w:val="000000" w:themeColor="text1"/>
          <w:szCs w:val="28"/>
          <w:highlight w:val="none"/>
          <w14:textFill>
            <w14:solidFill>
              <w14:schemeClr w14:val="tx1"/>
            </w14:solidFill>
          </w14:textFill>
        </w:rPr>
      </w:pPr>
      <w:bookmarkStart w:id="22" w:name="_Toc458848738"/>
      <w:bookmarkStart w:id="23" w:name="_Toc23636"/>
      <w:bookmarkStart w:id="24" w:name="_Toc10685"/>
      <w:bookmarkStart w:id="25" w:name="_Toc458848823"/>
      <w:r>
        <w:rPr>
          <w:rFonts w:hint="eastAsia" w:ascii="仿宋" w:hAnsi="仿宋" w:eastAsia="仿宋" w:cs="仿宋"/>
          <w:b/>
          <w:bCs/>
          <w:color w:val="000000" w:themeColor="text1"/>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Cs w:val="28"/>
          <w:highlight w:val="none"/>
          <w14:textFill>
            <w14:solidFill>
              <w14:schemeClr w14:val="tx1"/>
            </w14:solidFill>
          </w14:textFill>
        </w:rPr>
        <w:t>、磋商、评审及定标</w:t>
      </w:r>
      <w:bookmarkEnd w:id="22"/>
      <w:bookmarkEnd w:id="23"/>
      <w:bookmarkEnd w:id="24"/>
      <w:bookmarkEnd w:id="25"/>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1-1、采购代理机构按竞争性磋商文件规定的时间、地点组织磋商。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1-2、所有参会人员应签名报到，以证明其出席。供应商未参加磋商的，视同认可磋商结果。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1-3、磋商会议由采购代理机构主持。主持人宣读磋商会议开始，并宣读会场纪律，宣布参加会议的供应商名单。</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、供应商的法定代表人或被授权人与监标人当众共同查验竞争性磋商响应文件的密封情况，签字确认并宣读检查结果</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、主持人宣布磋商会议结束，所有供应商离场。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、采购代理机构对磋商过程进行摄像、文字记录，并存档备查。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、供应商代表对磋商过程有疑义的，以及认为采购人、采购代理机构相关工作人员有需要回避的情形的，应当场提出询问或回避申请。</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bookmarkStart w:id="26" w:name="OLE_LINK4"/>
      <w:bookmarkStart w:id="27" w:name="OLE_LINK14"/>
      <w:r>
        <w:rPr>
          <w:rFonts w:hint="eastAsia" w:ascii="仿宋" w:hAnsi="仿宋" w:eastAsia="仿宋" w:cs="仿宋"/>
          <w:color w:val="000000" w:themeColor="text1"/>
          <w:sz w:val="24"/>
          <w:highlight w:val="none"/>
          <w14:textFill>
            <w14:solidFill>
              <w14:schemeClr w14:val="tx1"/>
            </w14:solidFill>
          </w14:textFill>
        </w:rPr>
        <w:t>采购代理机构根据《中华人民共和国政府采购法》及其实施条例、《政府采购竞争性磋商采购方式管理暂行办法》的通知（财库【2014】214号）等规定，依法组建磋商小组。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（2）采购人可派代表进入磋商小组，并向采购代理机构出具授权函。</w:t>
      </w:r>
      <w:bookmarkEnd w:id="26"/>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（3）磋商小组应推荐一名评审专家担任评审组长，并由评审组长牵头组织该项目评审工作，采购人授权的评审专家，不得担任评审组长。</w:t>
      </w:r>
    </w:p>
    <w:bookmarkEnd w:id="27"/>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（4）磋商小组成员应当遵守并履行下列职责义务：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a、遵纪守法，客观、公正、认真负责地履行职责，根据磋商文件规定的评审程序、评审方法和评审标准审查磋商响应文件；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b、资格审查、符合性审查、评价磋商响应文件是否符合磋商文件的商务、技术等实质性要求；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c、要求供应商对磋商响应文件有关事项作出澄清或者说明；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d、对磋商响应文件进行比较和评价；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e、推荐成交候选单位名单，对磋商意见承担个人责任；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f、拟定磋商结果；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g、对磋商过程及各供应商的商业机密予以保密；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h、向财政部门报告在评审过程中发现的供应商的违法违规行为；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i、配合采购人、采购代理机构答复各供应商提出的质疑；</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j、配合各部门的投诉处理和监督检查工作。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2-2、在政府采购活动中，采购人员及相关人员（包括评审委员会）与供应商有下列利害关系之一的，应当回避：</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（1）参加采购活动前3年内与供应商存在劳动关系；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（2）参加采购活动前3年内担任供应商的董事、监事；</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（3）参加采购活动前3年内是供应商的控股股东或者实际控制人；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（4）与供应商的法定代表人或者负责人有夫妻、直系血亲、三代以内旁系血亲或者近姻亲关系；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（5）与供应商有其他可能影响政府采购活动公平、公正进行的关系。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、磋商原则：坚持公平、公正、科学、择优原则，禁止不正当竞争。</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、评审办法：本次磋商采用综合评分法（详见本节评分标准）。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、磋商工作程序</w:t>
      </w:r>
      <w:r>
        <w:rPr>
          <w:rFonts w:hint="eastAsia" w:ascii="仿宋" w:hAnsi="仿宋" w:eastAsia="仿宋" w:cs="仿宋"/>
          <w:color w:val="000000" w:themeColor="text1"/>
          <w:sz w:val="24"/>
          <w:highlight w:val="none"/>
          <w14:textFill>
            <w14:solidFill>
              <w14:schemeClr w14:val="tx1"/>
            </w14:solidFill>
          </w14:textFill>
        </w:rPr>
        <w:t>:资格性审查、符合性审查、澄清、评价、推荐成交候选人的工作程序进行评审。</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-1、资格性审查</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磋商会议结束后，</w:t>
      </w:r>
      <w:r>
        <w:rPr>
          <w:rFonts w:hint="eastAsia" w:ascii="仿宋" w:hAnsi="仿宋" w:eastAsia="仿宋" w:cs="仿宋"/>
          <w:b/>
          <w:color w:val="000000" w:themeColor="text1"/>
          <w:sz w:val="24"/>
          <w:highlight w:val="none"/>
          <w:lang w:eastAsia="zh-CN"/>
          <w14:textFill>
            <w14:solidFill>
              <w14:schemeClr w14:val="tx1"/>
            </w14:solidFill>
          </w14:textFill>
        </w:rPr>
        <w:t>由采购人</w:t>
      </w:r>
      <w:r>
        <w:rPr>
          <w:rFonts w:hint="eastAsia" w:ascii="仿宋" w:hAnsi="仿宋" w:eastAsia="仿宋" w:cs="仿宋"/>
          <w:b/>
          <w:color w:val="000000" w:themeColor="text1"/>
          <w:sz w:val="24"/>
          <w:highlight w:val="none"/>
          <w14:textFill>
            <w14:solidFill>
              <w14:schemeClr w14:val="tx1"/>
            </w14:solidFill>
          </w14:textFill>
        </w:rPr>
        <w:t>依法对供应商的资格进行审查，缺项或一项不符合要求即</w:t>
      </w:r>
      <w:r>
        <w:rPr>
          <w:rFonts w:hint="eastAsia" w:ascii="仿宋" w:hAnsi="仿宋" w:eastAsia="仿宋" w:cs="仿宋"/>
          <w:b/>
          <w:color w:val="000000" w:themeColor="text1"/>
          <w:sz w:val="24"/>
          <w:highlight w:val="none"/>
          <w:lang w:eastAsia="zh-CN"/>
          <w14:textFill>
            <w14:solidFill>
              <w14:schemeClr w14:val="tx1"/>
            </w14:solidFill>
          </w14:textFill>
        </w:rPr>
        <w:t>不合格，不合格的供应商其响应无效。资格证明文件须装订在每份</w:t>
      </w:r>
      <w:r>
        <w:rPr>
          <w:rFonts w:hint="eastAsia" w:ascii="仿宋" w:hAnsi="仿宋" w:eastAsia="仿宋" w:cs="仿宋"/>
          <w:b/>
          <w:color w:val="000000" w:themeColor="text1"/>
          <w:sz w:val="24"/>
          <w:highlight w:val="none"/>
          <w:lang w:val="en-US" w:eastAsia="zh-CN"/>
          <w14:textFill>
            <w14:solidFill>
              <w14:schemeClr w14:val="tx1"/>
            </w14:solidFill>
          </w14:textFill>
        </w:rPr>
        <w:t>响应</w:t>
      </w:r>
      <w:r>
        <w:rPr>
          <w:rFonts w:hint="eastAsia" w:ascii="仿宋" w:hAnsi="仿宋" w:eastAsia="仿宋" w:cs="仿宋"/>
          <w:b/>
          <w:color w:val="000000" w:themeColor="text1"/>
          <w:sz w:val="24"/>
          <w:highlight w:val="none"/>
          <w:lang w:eastAsia="zh-CN"/>
          <w14:textFill>
            <w14:solidFill>
              <w14:schemeClr w14:val="tx1"/>
            </w14:solidFill>
          </w14:textFill>
        </w:rPr>
        <w:t>文件中。资格审查以</w:t>
      </w:r>
      <w:r>
        <w:rPr>
          <w:rFonts w:hint="eastAsia" w:ascii="仿宋" w:hAnsi="仿宋" w:eastAsia="仿宋" w:cs="仿宋"/>
          <w:b/>
          <w:color w:val="000000" w:themeColor="text1"/>
          <w:sz w:val="24"/>
          <w:highlight w:val="none"/>
          <w:lang w:val="en-US" w:eastAsia="zh-CN"/>
          <w14:textFill>
            <w14:solidFill>
              <w14:schemeClr w14:val="tx1"/>
            </w14:solidFill>
          </w14:textFill>
        </w:rPr>
        <w:t>响应</w:t>
      </w:r>
      <w:r>
        <w:rPr>
          <w:rFonts w:hint="eastAsia" w:ascii="仿宋" w:hAnsi="仿宋" w:eastAsia="仿宋" w:cs="仿宋"/>
          <w:b/>
          <w:color w:val="000000" w:themeColor="text1"/>
          <w:sz w:val="24"/>
          <w:highlight w:val="none"/>
          <w:lang w:eastAsia="zh-CN"/>
          <w14:textFill>
            <w14:solidFill>
              <w14:schemeClr w14:val="tx1"/>
            </w14:solidFill>
          </w14:textFill>
        </w:rPr>
        <w:t>文件“正本”为准</w:t>
      </w:r>
      <w:r>
        <w:rPr>
          <w:rFonts w:hint="eastAsia" w:ascii="仿宋" w:hAnsi="仿宋" w:eastAsia="仿宋" w:cs="仿宋"/>
          <w:b/>
          <w:color w:val="000000" w:themeColor="text1"/>
          <w:sz w:val="24"/>
          <w:highlight w:val="none"/>
          <w14:textFill>
            <w14:solidFill>
              <w14:schemeClr w14:val="tx1"/>
            </w14:solidFill>
          </w14:textFill>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w:t>
      </w:r>
      <w:r>
        <w:rPr>
          <w:rFonts w:hint="eastAsia" w:ascii="仿宋" w:hAnsi="仿宋" w:eastAsia="仿宋" w:cs="仿宋"/>
          <w:i w:val="0"/>
          <w:iCs w:val="0"/>
          <w:caps w:val="0"/>
          <w:color w:val="000000"/>
          <w:spacing w:val="0"/>
          <w:sz w:val="24"/>
          <w:szCs w:val="24"/>
          <w:highlight w:val="none"/>
          <w:shd w:val="clear" w:color="auto" w:fill="FFFFFF"/>
          <w:lang w:eastAsia="zh-CN"/>
        </w:rPr>
        <w:t>提供具有财务审计资质单位出具的2021年度或2022年度财务报告</w:t>
      </w:r>
      <w:r>
        <w:rPr>
          <w:rFonts w:hint="eastAsia" w:ascii="仿宋" w:hAnsi="仿宋" w:eastAsia="仿宋" w:cs="仿宋"/>
          <w:i w:val="0"/>
          <w:iCs w:val="0"/>
          <w:caps w:val="0"/>
          <w:color w:val="000000"/>
          <w:spacing w:val="0"/>
          <w:sz w:val="24"/>
          <w:szCs w:val="24"/>
          <w:highlight w:val="none"/>
          <w:shd w:val="clear" w:color="auto" w:fill="FFFFFF"/>
        </w:rPr>
        <w:t xml:space="preserve">（成立时间至磋商时间不足一年的可提供成立后任意时段的资产负债表）或磋商前六个月内其基本账户银行出具的资信证明（附开户许可证或基本账户证明）或政府采购信用担保机构出具的磋商担保函。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税收缴纳证明：提供2022年1月1日至今任意一个月已缴纳的纳税证明或完税证明（包含增值税、企业所得税、营业税至少一种）；（依法免税的供应商应提供相关文件证明）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4</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lang w:val="en-US" w:eastAsia="zh-CN"/>
        </w:rPr>
        <w:t>5、本项目专门面向中小企业采购；须符合《政府采购促进中小企业发展管理办法》（财库〔2020〕46号）规定的中小企业参加；(提供《中小企业声明函》，式样见竞争性磋商响应文件格式)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6、供应商须具备CMA检验检测机构资质认定证书；</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-2、磋商响应文件符合性审查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（1）供应商名称与登记领取磋商文件的单位名称不一致；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）磋商响应文件未按照磋商文件的要求盖章签字；</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）磋商响应文件不符合磋商文件要求的数量；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）针对同一项目提交两份或多份内容不同的磋商响应文件，未书面声明哪一份是有效的或出现选择性报价的；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）磋商报价（每轮）超过采购预算； </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）磋商有效期不符合磋商文件的要求；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）对磋商文件商务要求未作出明确且实质性响应；</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-3、竞争性磋商响应文件的澄清：</w:t>
      </w:r>
    </w:p>
    <w:p>
      <w:pPr>
        <w:pageBreakBefore w:val="0"/>
        <w:kinsoku/>
        <w:wordWrap/>
        <w:overflowPunct w:val="0"/>
        <w:topLinePunct w:val="0"/>
        <w:autoSpaceDE/>
        <w:autoSpaceDN/>
        <w:bidi w:val="0"/>
        <w:adjustRightInd w:val="0"/>
        <w:snapToGrid w:val="0"/>
        <w:spacing w:line="640" w:lineRule="exact"/>
        <w:ind w:firstLine="360" w:firstLineChars="15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（2）书写错误的评审标准：</w:t>
      </w:r>
    </w:p>
    <w:p>
      <w:pPr>
        <w:pageBreakBefore w:val="0"/>
        <w:kinsoku/>
        <w:wordWrap/>
        <w:overflowPunct w:val="0"/>
        <w:topLinePunct w:val="0"/>
        <w:autoSpaceDE/>
        <w:autoSpaceDN/>
        <w:bidi w:val="0"/>
        <w:adjustRightInd w:val="0"/>
        <w:snapToGrid w:val="0"/>
        <w:spacing w:line="640" w:lineRule="exact"/>
        <w:ind w:firstLine="720" w:firstLineChars="3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磋商小组在评审过程中，发现竞争性磋商响应文件出现下列情况之一者，按以下原则修正：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a、磋商响应文件有关内容与“磋商报价一览表”不一致的，以“磋商报价一览表”为准；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b、大写金额与小写金额不一致的，以大写金额为准；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c、单价金额小数点或者百分比有明显错位的，以“磋商报价一览表”的总价为准，并修改单价；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d、总价金额与按单价汇总金额不一致的，以单价乘以数量的计算结果为准；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e、磋商响应文件图表与文字不符时，以文字为准；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f、磋商响应文件正本与副本不符时，以正本为准；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g、对不同文字文本磋商响应文件的解释发生异议的，以中文文本为准；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h、多处内容交叉不符时，以磋商小组评审结果为准。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注：按上述方法修正的内容（其中，同时出现上述a至d两种以上不一致的，按上述规定的顺序修正），经供应商确认后产生约束力，供应商不确认的，其磋商响应无效。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-4、评议：</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（1）磋商小组评审竞争性磋商响应文件响应性及符合性只根据竞争性磋商响应文件本身的内容，而不寻求其他外部证据。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（2）磋商小组所有成员应当集中与单一供应商分别进行磋商，并给予所有参加磋商的供应商平等的磋商机会。</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（4）磋商结束后，磋商小组应当要求所有实质性响应的供应商在规定时间内提交最后报价。</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（6）其他需说明的情况：</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a、对于竞争性磋商响应文件中不构成实质性偏差的小的不正规、不一致或不规则，采购人可以接受，但这种接受不能损害或影响任何供应商的相对排序；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b、最低报价不是成交的唯一条件；</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c、如果磋商响应实质上没有响应竞争性磋商文件的要求，其磋商响应将被拒绝，供应商不得通过修正或撤消不合要求的偏离或保留从而使其磋商响应成为实质上响应的磋商响应。</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d、无论磋商的结果如何，磋商期间一切费用自理。</w:t>
      </w:r>
    </w:p>
    <w:p>
      <w:pPr>
        <w:spacing w:line="480" w:lineRule="exact"/>
        <w:ind w:firstLine="600" w:firstLineChars="24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 xml:space="preserve">、评分标准 </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74"/>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spacing w:line="560" w:lineRule="exact"/>
              <w:ind w:right="-94"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74" w:type="dxa"/>
            <w:noWrap w:val="0"/>
            <w:vAlign w:val="center"/>
          </w:tcPr>
          <w:p>
            <w:pPr>
              <w:spacing w:line="560" w:lineRule="exact"/>
              <w:ind w:left="-118" w:leftChars="-56" w:right="-94"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186" w:type="dxa"/>
            <w:noWrap w:val="0"/>
            <w:vAlign w:val="center"/>
          </w:tcPr>
          <w:p>
            <w:pPr>
              <w:widowControl/>
              <w:spacing w:line="5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widowControl/>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磋商报价得分=（磋商基准价/最终磋商报价）×价格权值×100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spacing w:line="5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服务方案</w:t>
            </w:r>
          </w:p>
        </w:tc>
        <w:tc>
          <w:tcPr>
            <w:tcW w:w="774" w:type="dxa"/>
            <w:noWrap w:val="0"/>
            <w:vAlign w:val="center"/>
          </w:tcPr>
          <w:p>
            <w:pPr>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40分</w:t>
            </w:r>
          </w:p>
        </w:tc>
        <w:tc>
          <w:tcPr>
            <w:tcW w:w="7186" w:type="dxa"/>
            <w:noWrap w:val="0"/>
            <w:vAlign w:val="top"/>
          </w:tcPr>
          <w:p>
            <w:pPr>
              <w:widowControl/>
              <w:numPr>
                <w:ilvl w:val="0"/>
                <w:numId w:val="0"/>
              </w:numPr>
              <w:spacing w:line="5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1、服务方案科学合理、层次清楚，措施得当，根据响应程度，内容详细、全面的计[10-5)分，内容不具体，缺项的计[5-0）分，未提供不计分；</w:t>
            </w:r>
          </w:p>
          <w:p>
            <w:pPr>
              <w:widowControl/>
              <w:numPr>
                <w:ilvl w:val="0"/>
                <w:numId w:val="0"/>
              </w:numPr>
              <w:spacing w:line="5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2、对本项目实施的重点、难点给出相应的解决方案，据响应程度。内容详细、全面的计[10-5)分，内容不具体，缺项的计[5-0）分，未提供不计分；</w:t>
            </w:r>
          </w:p>
          <w:p>
            <w:pPr>
              <w:widowControl/>
              <w:numPr>
                <w:ilvl w:val="0"/>
                <w:numId w:val="0"/>
              </w:numPr>
              <w:spacing w:line="5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3、水质检测、采样程序、水样送达实验室情况，根据响应程度，内容详细、全面的计[10-5)分，内容不具体，缺项的计[5-0），分未提供不计分；</w:t>
            </w:r>
          </w:p>
          <w:p>
            <w:pPr>
              <w:widowControl/>
              <w:numPr>
                <w:ilvl w:val="0"/>
                <w:numId w:val="0"/>
              </w:numPr>
              <w:spacing w:line="5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4、服务检测结果保证措施、服务检测进度保证措施及进度计划，内容详细、全面的计[10-5)分，内容不具体、缺项的计[5-0）分，未提供不计分；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spacing w:line="56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人员及服务能力</w:t>
            </w:r>
          </w:p>
        </w:tc>
        <w:tc>
          <w:tcPr>
            <w:tcW w:w="774" w:type="dxa"/>
            <w:noWrap w:val="0"/>
            <w:vAlign w:val="center"/>
          </w:tcPr>
          <w:p>
            <w:pPr>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14分</w:t>
            </w:r>
          </w:p>
        </w:tc>
        <w:tc>
          <w:tcPr>
            <w:tcW w:w="7186" w:type="dxa"/>
            <w:noWrap w:val="0"/>
            <w:vAlign w:val="top"/>
          </w:tcPr>
          <w:p>
            <w:pPr>
              <w:widowControl/>
              <w:numPr>
                <w:ilvl w:val="0"/>
                <w:numId w:val="0"/>
              </w:numPr>
              <w:spacing w:line="5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人员设置及人员分工安排合理、职责划分明确，具备能承担检验检测任务的专业人员，结合韩城市疾病预防控制中心此次检测服务项目做合理分配，根据人员设置及分工、分配的响应程度，内容详细、全面的计[7-3)分，内容不具体，缺项的计[3-0）分，未提供不计分。</w:t>
            </w:r>
          </w:p>
          <w:p>
            <w:pPr>
              <w:widowControl/>
              <w:numPr>
                <w:ilvl w:val="0"/>
                <w:numId w:val="0"/>
              </w:numPr>
              <w:spacing w:line="5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相应的水质检测设备及检测场地，根据检测配置、场地是否齐全、合理，能满足项目进度和服务质量要求进行赋分（提供相关设备、场地的实际使用证明材料），根据响应程度，内容详细、全面的计[7-3)分，内容不具体，缺项的计[3-0）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spacing w:line="56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业绩</w:t>
            </w:r>
          </w:p>
        </w:tc>
        <w:tc>
          <w:tcPr>
            <w:tcW w:w="774" w:type="dxa"/>
            <w:noWrap w:val="0"/>
            <w:vAlign w:val="center"/>
          </w:tcPr>
          <w:p>
            <w:pPr>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5分</w:t>
            </w:r>
          </w:p>
        </w:tc>
        <w:tc>
          <w:tcPr>
            <w:tcW w:w="7186" w:type="dxa"/>
            <w:noWrap w:val="0"/>
            <w:vAlign w:val="top"/>
          </w:tcPr>
          <w:p>
            <w:pPr>
              <w:widowControl/>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以合同</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形式提供</w:t>
            </w:r>
            <w:r>
              <w:rPr>
                <w:rFonts w:hint="eastAsia" w:ascii="仿宋" w:hAnsi="仿宋" w:eastAsia="仿宋" w:cs="仿宋"/>
                <w:color w:val="auto"/>
                <w:sz w:val="24"/>
                <w:szCs w:val="24"/>
                <w:highlight w:val="none"/>
                <w:lang w:val="en-US" w:eastAsia="zh-CN"/>
              </w:rPr>
              <w:t>2020年1月1日至今同类项目业绩</w:t>
            </w:r>
            <w:r>
              <w:rPr>
                <w:rFonts w:hint="eastAsia" w:ascii="仿宋" w:hAnsi="仿宋" w:eastAsia="仿宋" w:cs="仿宋"/>
                <w:color w:val="auto"/>
                <w:sz w:val="24"/>
                <w:szCs w:val="24"/>
                <w:highlight w:val="none"/>
              </w:rPr>
              <w:t>，每份计</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分，计满</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分为止；</w:t>
            </w:r>
          </w:p>
          <w:p>
            <w:pPr>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需提供</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合同（含首页、</w:t>
            </w:r>
            <w:r>
              <w:rPr>
                <w:rFonts w:hint="eastAsia" w:ascii="仿宋" w:hAnsi="仿宋" w:eastAsia="仿宋" w:cs="仿宋"/>
                <w:color w:val="auto"/>
                <w:sz w:val="24"/>
                <w:szCs w:val="24"/>
                <w:highlight w:val="none"/>
                <w:lang w:val="en-US" w:eastAsia="zh-CN"/>
              </w:rPr>
              <w:t>服务内容</w:t>
            </w:r>
            <w:r>
              <w:rPr>
                <w:rFonts w:hint="eastAsia" w:ascii="仿宋" w:hAnsi="仿宋" w:eastAsia="仿宋" w:cs="仿宋"/>
                <w:color w:val="auto"/>
                <w:sz w:val="24"/>
                <w:szCs w:val="24"/>
                <w:highlight w:val="none"/>
              </w:rPr>
              <w:t>、签字盖章页）复印件，否则业绩不予认可。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spacing w:line="4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eastAsia="zh-CN"/>
              </w:rPr>
              <w:t>质量保证承诺</w:t>
            </w:r>
          </w:p>
        </w:tc>
        <w:tc>
          <w:tcPr>
            <w:tcW w:w="774" w:type="dxa"/>
            <w:noWrap w:val="0"/>
            <w:vAlign w:val="center"/>
          </w:tcPr>
          <w:p>
            <w:pPr>
              <w:spacing w:line="4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8分</w:t>
            </w:r>
          </w:p>
        </w:tc>
        <w:tc>
          <w:tcPr>
            <w:tcW w:w="7186" w:type="dxa"/>
            <w:noWrap w:val="0"/>
            <w:vAlign w:val="top"/>
          </w:tcPr>
          <w:p>
            <w:pPr>
              <w:numPr>
                <w:ilvl w:val="0"/>
                <w:numId w:val="0"/>
              </w:numPr>
              <w:spacing w:line="48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服务</w:t>
            </w:r>
            <w:r>
              <w:rPr>
                <w:rFonts w:hint="eastAsia" w:ascii="仿宋" w:hAnsi="仿宋" w:eastAsia="仿宋" w:cs="仿宋"/>
                <w:sz w:val="24"/>
                <w:szCs w:val="24"/>
                <w:highlight w:val="none"/>
              </w:rPr>
              <w:t>质量</w:t>
            </w:r>
            <w:r>
              <w:rPr>
                <w:rFonts w:hint="eastAsia" w:ascii="仿宋" w:hAnsi="仿宋" w:eastAsia="仿宋" w:cs="仿宋"/>
                <w:sz w:val="24"/>
                <w:szCs w:val="24"/>
                <w:highlight w:val="none"/>
                <w:lang w:eastAsia="zh-CN"/>
              </w:rPr>
              <w:t>保证承诺</w:t>
            </w:r>
            <w:r>
              <w:rPr>
                <w:rFonts w:hint="eastAsia" w:ascii="仿宋" w:hAnsi="仿宋" w:eastAsia="仿宋" w:cs="仿宋"/>
                <w:sz w:val="24"/>
                <w:szCs w:val="24"/>
                <w:highlight w:val="none"/>
              </w:rPr>
              <w:t>内容全面完整、科学合理、质量保障</w:t>
            </w:r>
            <w:r>
              <w:rPr>
                <w:rFonts w:hint="eastAsia" w:ascii="仿宋" w:hAnsi="仿宋" w:eastAsia="仿宋" w:cs="仿宋"/>
                <w:sz w:val="24"/>
                <w:szCs w:val="24"/>
                <w:highlight w:val="none"/>
                <w:lang w:eastAsia="zh-CN"/>
              </w:rPr>
              <w:t>全面、合理、有可实施性</w:t>
            </w:r>
            <w:r>
              <w:rPr>
                <w:rFonts w:hint="eastAsia" w:ascii="仿宋" w:hAnsi="仿宋" w:eastAsia="仿宋" w:cs="仿宋"/>
                <w:sz w:val="24"/>
                <w:szCs w:val="24"/>
                <w:highlight w:val="none"/>
              </w:rPr>
              <w:t>根据情况计</w:t>
            </w:r>
            <w:r>
              <w:rPr>
                <w:rFonts w:hint="eastAsia" w:ascii="仿宋" w:hAnsi="仿宋" w:eastAsia="仿宋" w:cs="仿宋"/>
                <w:sz w:val="24"/>
                <w:szCs w:val="24"/>
                <w:highlight w:val="none"/>
                <w:lang w:val="en-US" w:eastAsia="zh-CN"/>
              </w:rPr>
              <w:t>[8-4)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质量保障</w:t>
            </w:r>
            <w:r>
              <w:rPr>
                <w:rFonts w:hint="eastAsia" w:ascii="仿宋" w:hAnsi="仿宋" w:eastAsia="仿宋" w:cs="仿宋"/>
                <w:sz w:val="24"/>
                <w:szCs w:val="24"/>
                <w:highlight w:val="none"/>
                <w:lang w:eastAsia="zh-CN"/>
              </w:rPr>
              <w:t>描述不全面</w:t>
            </w:r>
            <w:r>
              <w:rPr>
                <w:rFonts w:hint="eastAsia" w:ascii="仿宋" w:hAnsi="仿宋" w:eastAsia="仿宋" w:cs="仿宋"/>
                <w:sz w:val="24"/>
                <w:szCs w:val="24"/>
                <w:highlight w:val="none"/>
              </w:rPr>
              <w:t>的计</w:t>
            </w:r>
            <w:r>
              <w:rPr>
                <w:rFonts w:hint="eastAsia" w:ascii="仿宋" w:hAnsi="仿宋" w:eastAsia="仿宋" w:cs="仿宋"/>
                <w:sz w:val="24"/>
                <w:szCs w:val="24"/>
                <w:highlight w:val="none"/>
                <w:lang w:val="en-US" w:eastAsia="zh-CN"/>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，未提供不计分</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spacing w:line="4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eastAsia="zh-CN"/>
              </w:rPr>
              <w:t>合理化建议</w:t>
            </w:r>
          </w:p>
        </w:tc>
        <w:tc>
          <w:tcPr>
            <w:tcW w:w="774" w:type="dxa"/>
            <w:noWrap w:val="0"/>
            <w:vAlign w:val="center"/>
          </w:tcPr>
          <w:p>
            <w:pPr>
              <w:spacing w:line="46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6分</w:t>
            </w:r>
          </w:p>
        </w:tc>
        <w:tc>
          <w:tcPr>
            <w:tcW w:w="7186" w:type="dxa"/>
            <w:noWrap w:val="0"/>
            <w:vAlign w:val="center"/>
          </w:tcPr>
          <w:p>
            <w:pPr>
              <w:numPr>
                <w:ilvl w:val="0"/>
                <w:numId w:val="0"/>
              </w:numPr>
              <w:spacing w:line="480" w:lineRule="exact"/>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针对本次水质检测做出合理化建议，</w:t>
            </w:r>
            <w:r>
              <w:rPr>
                <w:rFonts w:hint="eastAsia" w:ascii="仿宋" w:hAnsi="仿宋" w:eastAsia="仿宋" w:cs="仿宋"/>
                <w:sz w:val="24"/>
                <w:highlight w:val="none"/>
              </w:rPr>
              <w:t>根据建议内容</w:t>
            </w:r>
            <w:r>
              <w:rPr>
                <w:rFonts w:hint="eastAsia" w:ascii="仿宋" w:hAnsi="仿宋" w:eastAsia="仿宋" w:cs="仿宋"/>
                <w:sz w:val="24"/>
                <w:highlight w:val="none"/>
                <w:lang w:val="en-US" w:eastAsia="zh-CN"/>
              </w:rPr>
              <w:t>的详细程度，</w:t>
            </w:r>
            <w:r>
              <w:rPr>
                <w:rFonts w:hint="eastAsia" w:ascii="仿宋" w:hAnsi="仿宋" w:eastAsia="仿宋" w:cs="仿宋"/>
                <w:kern w:val="0"/>
                <w:sz w:val="24"/>
                <w:szCs w:val="24"/>
                <w:highlight w:val="none"/>
                <w:lang w:val="en-US" w:eastAsia="zh-CN"/>
              </w:rPr>
              <w:t>内容详细、全面的计[6-3)分，不合理的计[3-</w:t>
            </w:r>
            <w:r>
              <w:rPr>
                <w:rFonts w:hint="eastAsia" w:ascii="仿宋" w:hAnsi="仿宋" w:eastAsia="仿宋" w:cs="仿宋"/>
                <w:color w:val="auto"/>
                <w:sz w:val="24"/>
                <w:szCs w:val="24"/>
                <w:highlight w:val="none"/>
                <w:lang w:val="en-US" w:eastAsia="zh-CN"/>
              </w:rPr>
              <w:t>0）</w:t>
            </w:r>
            <w:r>
              <w:rPr>
                <w:rFonts w:hint="eastAsia" w:ascii="仿宋" w:hAnsi="仿宋" w:eastAsia="仿宋" w:cs="仿宋"/>
                <w:kern w:val="0"/>
                <w:sz w:val="24"/>
                <w:szCs w:val="24"/>
                <w:highlight w:val="none"/>
                <w:lang w:val="en-US" w:eastAsia="zh-CN"/>
              </w:rPr>
              <w:t>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numPr>
                <w:ilvl w:val="0"/>
                <w:numId w:val="0"/>
              </w:numPr>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履约</w:t>
            </w:r>
          </w:p>
          <w:p>
            <w:pPr>
              <w:numPr>
                <w:ilvl w:val="0"/>
                <w:numId w:val="0"/>
              </w:numPr>
              <w:spacing w:line="480" w:lineRule="exac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rPr>
              <w:t>能力</w:t>
            </w:r>
          </w:p>
        </w:tc>
        <w:tc>
          <w:tcPr>
            <w:tcW w:w="774" w:type="dxa"/>
            <w:noWrap w:val="0"/>
            <w:vAlign w:val="center"/>
          </w:tcPr>
          <w:p>
            <w:pPr>
              <w:numPr>
                <w:ilvl w:val="0"/>
                <w:numId w:val="0"/>
              </w:numPr>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c>
          <w:tcPr>
            <w:tcW w:w="7186" w:type="dxa"/>
            <w:noWrap w:val="0"/>
            <w:vAlign w:val="center"/>
          </w:tcPr>
          <w:p>
            <w:pPr>
              <w:numPr>
                <w:ilvl w:val="0"/>
                <w:numId w:val="0"/>
              </w:numPr>
              <w:spacing w:line="48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履约能力</w:t>
            </w:r>
            <w:r>
              <w:rPr>
                <w:rFonts w:hint="eastAsia" w:ascii="仿宋" w:hAnsi="仿宋" w:eastAsia="仿宋" w:cs="仿宋"/>
                <w:sz w:val="24"/>
                <w:szCs w:val="24"/>
                <w:highlight w:val="none"/>
                <w:lang w:val="en-US" w:eastAsia="zh-CN"/>
              </w:rPr>
              <w:t>内容</w:t>
            </w:r>
            <w:r>
              <w:rPr>
                <w:rFonts w:hint="eastAsia" w:ascii="仿宋" w:hAnsi="仿宋" w:eastAsia="仿宋" w:cs="仿宋"/>
                <w:sz w:val="24"/>
                <w:szCs w:val="24"/>
                <w:highlight w:val="none"/>
              </w:rPr>
              <w:t>详细、具体,包括</w:t>
            </w:r>
            <w:r>
              <w:rPr>
                <w:rFonts w:hint="eastAsia" w:ascii="仿宋" w:hAnsi="仿宋" w:eastAsia="仿宋" w:cs="仿宋"/>
                <w:color w:val="auto"/>
                <w:kern w:val="0"/>
                <w:sz w:val="24"/>
                <w:szCs w:val="24"/>
                <w:highlight w:val="none"/>
                <w:lang w:eastAsia="zh-CN"/>
              </w:rPr>
              <w:t>服务</w:t>
            </w:r>
            <w:r>
              <w:rPr>
                <w:rFonts w:hint="eastAsia" w:ascii="仿宋" w:hAnsi="仿宋" w:eastAsia="仿宋" w:cs="仿宋"/>
                <w:color w:val="auto"/>
                <w:kern w:val="0"/>
                <w:sz w:val="24"/>
                <w:szCs w:val="24"/>
                <w:highlight w:val="none"/>
              </w:rPr>
              <w:t>人员素质、管理水平</w:t>
            </w:r>
            <w:r>
              <w:rPr>
                <w:rFonts w:hint="eastAsia" w:ascii="仿宋" w:hAnsi="仿宋" w:eastAsia="仿宋" w:cs="仿宋"/>
                <w:color w:val="auto"/>
                <w:kern w:val="0"/>
                <w:sz w:val="24"/>
                <w:szCs w:val="24"/>
                <w:highlight w:val="none"/>
                <w:lang w:eastAsia="zh-CN"/>
              </w:rPr>
              <w:t>、企业文化</w:t>
            </w:r>
            <w:r>
              <w:rPr>
                <w:rFonts w:hint="eastAsia" w:ascii="仿宋" w:hAnsi="仿宋" w:eastAsia="仿宋" w:cs="仿宋"/>
                <w:color w:val="auto"/>
                <w:kern w:val="0"/>
                <w:sz w:val="24"/>
                <w:szCs w:val="24"/>
                <w:highlight w:val="none"/>
              </w:rPr>
              <w:t>等方面</w:t>
            </w:r>
            <w:r>
              <w:rPr>
                <w:rFonts w:hint="eastAsia" w:ascii="仿宋" w:hAnsi="仿宋" w:eastAsia="仿宋" w:cs="仿宋"/>
                <w:color w:val="auto"/>
                <w:kern w:val="0"/>
                <w:sz w:val="24"/>
                <w:szCs w:val="24"/>
                <w:highlight w:val="none"/>
                <w:lang w:val="en-US" w:eastAsia="zh-CN"/>
              </w:rPr>
              <w:t>进行综合比较，根据详细及响应程度，</w:t>
            </w:r>
            <w:r>
              <w:rPr>
                <w:rFonts w:hint="eastAsia" w:ascii="仿宋" w:hAnsi="仿宋" w:eastAsia="仿宋" w:cs="仿宋"/>
                <w:kern w:val="0"/>
                <w:sz w:val="24"/>
                <w:szCs w:val="24"/>
                <w:highlight w:val="none"/>
                <w:lang w:val="en-US" w:eastAsia="zh-CN"/>
              </w:rPr>
              <w:t>内容详细、全面的计[5-3)分，内容不具体，缺项的计[3-</w:t>
            </w:r>
            <w:r>
              <w:rPr>
                <w:rFonts w:hint="eastAsia" w:ascii="仿宋" w:hAnsi="仿宋" w:eastAsia="仿宋" w:cs="仿宋"/>
                <w:color w:val="auto"/>
                <w:sz w:val="24"/>
                <w:szCs w:val="24"/>
                <w:highlight w:val="none"/>
                <w:lang w:val="en-US" w:eastAsia="zh-CN"/>
              </w:rPr>
              <w:t>0）</w:t>
            </w:r>
            <w:r>
              <w:rPr>
                <w:rFonts w:hint="eastAsia" w:ascii="仿宋" w:hAnsi="仿宋" w:eastAsia="仿宋" w:cs="仿宋"/>
                <w:kern w:val="0"/>
                <w:sz w:val="24"/>
                <w:szCs w:val="24"/>
                <w:highlight w:val="none"/>
                <w:lang w:val="en-US" w:eastAsia="zh-CN"/>
              </w:rPr>
              <w:t>分，</w:t>
            </w:r>
            <w:r>
              <w:rPr>
                <w:rFonts w:hint="eastAsia" w:ascii="仿宋" w:hAnsi="仿宋" w:eastAsia="仿宋" w:cs="仿宋"/>
                <w:sz w:val="24"/>
                <w:highlight w:val="none"/>
                <w:lang w:val="en-US" w:eastAsia="zh-CN"/>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pPr>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w:t>
            </w:r>
          </w:p>
          <w:p>
            <w:pPr>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rPr>
              <w:t>承诺</w:t>
            </w:r>
          </w:p>
        </w:tc>
        <w:tc>
          <w:tcPr>
            <w:tcW w:w="774" w:type="dxa"/>
            <w:noWrap w:val="0"/>
            <w:vAlign w:val="center"/>
          </w:tcPr>
          <w:p>
            <w:pPr>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tc>
        <w:tc>
          <w:tcPr>
            <w:tcW w:w="7186" w:type="dxa"/>
            <w:noWrap w:val="0"/>
            <w:vAlign w:val="center"/>
          </w:tcPr>
          <w:p>
            <w:pPr>
              <w:numPr>
                <w:ilvl w:val="0"/>
                <w:numId w:val="0"/>
              </w:numPr>
              <w:spacing w:line="480" w:lineRule="exact"/>
              <w:jc w:val="left"/>
              <w:rPr>
                <w:rFonts w:hint="eastAsia" w:ascii="仿宋" w:hAnsi="仿宋" w:eastAsia="仿宋" w:cs="仿宋"/>
                <w:sz w:val="24"/>
                <w:szCs w:val="24"/>
                <w:highlight w:val="none"/>
                <w:lang w:val="en-US" w:eastAsia="zh-CN"/>
              </w:rPr>
            </w:pPr>
            <w:r>
              <w:rPr>
                <w:rFonts w:hint="eastAsia" w:ascii="仿宋" w:hAnsi="仿宋" w:eastAsia="仿宋" w:cs="仿宋"/>
                <w:highlight w:val="none"/>
                <w:lang w:val="en-US" w:eastAsia="zh-CN"/>
              </w:rPr>
              <w:t>1、</w:t>
            </w:r>
            <w:r>
              <w:rPr>
                <w:rFonts w:hint="eastAsia" w:ascii="仿宋" w:hAnsi="仿宋" w:eastAsia="仿宋" w:cs="仿宋"/>
                <w:sz w:val="24"/>
                <w:szCs w:val="24"/>
                <w:highlight w:val="none"/>
              </w:rPr>
              <w:t>针对本采购项目及采购人实际需求提供详细具体可行的服务承诺，</w:t>
            </w:r>
            <w:r>
              <w:rPr>
                <w:rFonts w:hint="eastAsia" w:ascii="仿宋" w:hAnsi="仿宋" w:eastAsia="仿宋" w:cs="仿宋"/>
                <w:sz w:val="24"/>
                <w:szCs w:val="24"/>
                <w:highlight w:val="none"/>
                <w:lang w:eastAsia="zh-CN"/>
              </w:rPr>
              <w:t>承诺全面、合理、有可实施性，</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响应程度</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kern w:val="0"/>
                <w:sz w:val="24"/>
                <w:szCs w:val="24"/>
                <w:highlight w:val="none"/>
                <w:lang w:val="en-US" w:eastAsia="zh-CN"/>
              </w:rPr>
              <w:t>内容详细、全面的计[6-3)分，内容不具体，缺项的计[3-</w:t>
            </w:r>
            <w:r>
              <w:rPr>
                <w:rFonts w:hint="eastAsia" w:ascii="仿宋" w:hAnsi="仿宋" w:eastAsia="仿宋" w:cs="仿宋"/>
                <w:color w:val="auto"/>
                <w:sz w:val="24"/>
                <w:szCs w:val="24"/>
                <w:highlight w:val="none"/>
                <w:lang w:val="en-US" w:eastAsia="zh-CN"/>
              </w:rPr>
              <w:t>0）</w:t>
            </w:r>
            <w:r>
              <w:rPr>
                <w:rFonts w:hint="eastAsia" w:ascii="仿宋" w:hAnsi="仿宋" w:eastAsia="仿宋" w:cs="仿宋"/>
                <w:kern w:val="0"/>
                <w:sz w:val="24"/>
                <w:szCs w:val="24"/>
                <w:highlight w:val="none"/>
                <w:lang w:val="en-US" w:eastAsia="zh-CN"/>
              </w:rPr>
              <w:t>分，</w:t>
            </w:r>
            <w:r>
              <w:rPr>
                <w:rFonts w:hint="eastAsia" w:ascii="仿宋" w:hAnsi="仿宋" w:eastAsia="仿宋" w:cs="仿宋"/>
                <w:sz w:val="24"/>
                <w:szCs w:val="24"/>
                <w:highlight w:val="none"/>
                <w:lang w:val="en-US" w:eastAsia="zh-CN"/>
              </w:rPr>
              <w:t>未提供不计分。</w:t>
            </w:r>
          </w:p>
          <w:p>
            <w:pPr>
              <w:numPr>
                <w:ilvl w:val="0"/>
                <w:numId w:val="0"/>
              </w:numPr>
              <w:spacing w:line="48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具有良好的服务能力，完备的策略和服务体系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服务能力</w:t>
            </w:r>
            <w:r>
              <w:rPr>
                <w:rFonts w:hint="eastAsia" w:ascii="仿宋" w:hAnsi="仿宋" w:eastAsia="仿宋" w:cs="仿宋"/>
                <w:sz w:val="24"/>
                <w:szCs w:val="24"/>
                <w:highlight w:val="none"/>
                <w:lang w:eastAsia="zh-CN"/>
              </w:rPr>
              <w:t>优秀、有可实施性的，</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响应程度</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kern w:val="0"/>
                <w:sz w:val="24"/>
                <w:szCs w:val="24"/>
                <w:highlight w:val="none"/>
                <w:lang w:val="en-US" w:eastAsia="zh-CN"/>
              </w:rPr>
              <w:t>内容详细、全面的计[6-3)分，内容不具体，缺项的计[3-</w:t>
            </w:r>
            <w:r>
              <w:rPr>
                <w:rFonts w:hint="eastAsia" w:ascii="仿宋" w:hAnsi="仿宋" w:eastAsia="仿宋" w:cs="仿宋"/>
                <w:color w:val="auto"/>
                <w:sz w:val="24"/>
                <w:szCs w:val="24"/>
                <w:highlight w:val="none"/>
                <w:lang w:val="en-US" w:eastAsia="zh-CN"/>
              </w:rPr>
              <w:t>0）</w:t>
            </w:r>
            <w:r>
              <w:rPr>
                <w:rFonts w:hint="eastAsia" w:ascii="仿宋" w:hAnsi="仿宋" w:eastAsia="仿宋" w:cs="仿宋"/>
                <w:kern w:val="0"/>
                <w:sz w:val="24"/>
                <w:szCs w:val="24"/>
                <w:highlight w:val="none"/>
                <w:lang w:val="en-US" w:eastAsia="zh-CN"/>
              </w:rPr>
              <w:t>分，</w:t>
            </w:r>
            <w:r>
              <w:rPr>
                <w:rFonts w:hint="eastAsia" w:ascii="仿宋" w:hAnsi="仿宋" w:eastAsia="仿宋" w:cs="仿宋"/>
                <w:sz w:val="24"/>
                <w:szCs w:val="24"/>
                <w:highlight w:val="none"/>
                <w:lang w:val="en-US" w:eastAsia="zh-CN"/>
              </w:rPr>
              <w:t>未提供不计分。</w:t>
            </w:r>
          </w:p>
        </w:tc>
      </w:tr>
    </w:tbl>
    <w:p>
      <w:pPr>
        <w:widowControl/>
        <w:autoSpaceDE w:val="0"/>
        <w:autoSpaceDN w:val="0"/>
        <w:spacing w:line="56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注：1）评委打分超过得分界限或未按本方法赋分时，该评委的打分按废票处理。</w:t>
      </w:r>
    </w:p>
    <w:p>
      <w:pPr>
        <w:widowControl/>
        <w:autoSpaceDE w:val="0"/>
        <w:autoSpaceDN w:val="0"/>
        <w:spacing w:line="560" w:lineRule="exact"/>
        <w:ind w:firstLine="480" w:firstLineChars="200"/>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2）各种计算数字均保 留两位小数，第三位“四舍五入”。</w:t>
      </w:r>
    </w:p>
    <w:p>
      <w:pPr>
        <w:spacing w:line="5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3）特殊情况处理：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a、若出现综合得分相同的，最后磋商报价得分高者为第一成交候选供应商，若综合评分和最后磋商报价的得分均相同的，服务</w:t>
      </w:r>
      <w:r>
        <w:rPr>
          <w:rFonts w:hint="eastAsia" w:ascii="仿宋" w:hAnsi="仿宋" w:eastAsia="仿宋" w:cs="仿宋"/>
          <w:color w:val="000000" w:themeColor="text1"/>
          <w:sz w:val="24"/>
          <w:highlight w:val="none"/>
          <w:lang w:eastAsia="zh-CN"/>
          <w14:textFill>
            <w14:solidFill>
              <w14:schemeClr w14:val="tx1"/>
            </w14:solidFill>
          </w14:textFill>
        </w:rPr>
        <w:t>方案</w:t>
      </w:r>
      <w:r>
        <w:rPr>
          <w:rFonts w:hint="eastAsia" w:ascii="仿宋" w:hAnsi="仿宋" w:eastAsia="仿宋" w:cs="仿宋"/>
          <w:color w:val="000000" w:themeColor="text1"/>
          <w:sz w:val="24"/>
          <w:highlight w:val="none"/>
          <w14:textFill>
            <w14:solidFill>
              <w14:schemeClr w14:val="tx1"/>
            </w14:solidFill>
          </w14:textFill>
        </w:rPr>
        <w:t>得分高者为第一成交候选供应商，若上述两项得分相同，则由全体磋商小组成员无记名投票，得票高者为第一成交候选供应商。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b、当供应商某评分项出现未报、漏报或零报价时，该分项得零分，并不参与磋商报价分的计算。</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c、评议过程中，若出现本评分方法以外的特殊情况时，将暂停评审，待磋商小组商榷后再进行复会。</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、政府采购政策评分标准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pPr>
        <w:spacing w:line="560" w:lineRule="exact"/>
        <w:ind w:firstLine="522"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000000" w:themeColor="text1"/>
          <w:sz w:val="24"/>
          <w:highlight w:val="none"/>
          <w14:textFill>
            <w14:solidFill>
              <w14:schemeClr w14:val="tx1"/>
            </w14:solidFill>
          </w14:textFill>
        </w:rPr>
        <w:t>1）根据《政府采购促进中小企业发展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号）的办法</w:t>
      </w:r>
      <w:r>
        <w:rPr>
          <w:rFonts w:hint="eastAsia" w:ascii="仿宋" w:hAnsi="仿宋" w:eastAsia="仿宋" w:cs="仿宋"/>
          <w:color w:val="000000" w:themeColor="text1"/>
          <w:sz w:val="24"/>
          <w:highlight w:val="none"/>
          <w:lang w:eastAsia="zh-CN"/>
          <w14:textFill>
            <w14:solidFill>
              <w14:schemeClr w14:val="tx1"/>
            </w14:solidFill>
          </w14:textFill>
        </w:rPr>
        <w:t>及</w:t>
      </w:r>
      <w:bookmarkStart w:id="28"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28"/>
      <w:r>
        <w:rPr>
          <w:rFonts w:hint="eastAsia" w:ascii="仿宋" w:hAnsi="仿宋" w:eastAsia="仿宋" w:cs="仿宋"/>
          <w:color w:val="000000" w:themeColor="text1"/>
          <w:sz w:val="24"/>
          <w:highlight w:val="none"/>
          <w:lang w:val="en-US" w:eastAsia="zh-CN"/>
          <w14:textFill>
            <w14:solidFill>
              <w14:schemeClr w14:val="tx1"/>
            </w14:solidFill>
          </w14:textFill>
        </w:rPr>
        <w:t>的通知</w:t>
      </w:r>
      <w:r>
        <w:rPr>
          <w:rFonts w:hint="eastAsia" w:ascii="仿宋" w:hAnsi="仿宋" w:eastAsia="仿宋" w:cs="仿宋"/>
          <w:color w:val="000000" w:themeColor="text1"/>
          <w:sz w:val="24"/>
          <w:highlight w:val="none"/>
          <w14:textFill>
            <w14:solidFill>
              <w14:schemeClr w14:val="tx1"/>
            </w14:solidFill>
          </w14:textFill>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）小微企业按《政府采购促进中小企业发展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（2）监狱企业属于小型、微型企业的，不重复享受政策。 </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（1）根据《财政部、国家发展改革委、生态环境部、市场监管总局&lt;关于调整优化节能产品、环境标志产品政府采购执行机制&gt;的通知》的</w:t>
      </w:r>
      <w:r>
        <w:rPr>
          <w:rFonts w:hint="eastAsia" w:ascii="仿宋" w:hAnsi="仿宋" w:eastAsia="仿宋" w:cs="仿宋"/>
          <w:color w:val="000000" w:themeColor="text1"/>
          <w:sz w:val="24"/>
          <w:highlight w:val="none"/>
          <w14:textFill>
            <w14:solidFill>
              <w14:schemeClr w14:val="tx1"/>
            </w14:solidFill>
          </w14:textFill>
        </w:rPr>
        <w:t>有关规定</w:t>
      </w:r>
      <w:r>
        <w:rPr>
          <w:rFonts w:hint="eastAsia" w:ascii="仿宋" w:hAnsi="仿宋" w:eastAsia="仿宋" w:cs="仿宋"/>
          <w:bCs/>
          <w:color w:val="000000" w:themeColor="text1"/>
          <w:sz w:val="24"/>
          <w:highlight w:val="none"/>
          <w14:textFill>
            <w14:solidFill>
              <w14:schemeClr w14:val="tx1"/>
            </w14:solidFill>
          </w14:textFill>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在</w:t>
      </w:r>
      <w:r>
        <w:rPr>
          <w:rFonts w:hint="eastAsia" w:ascii="仿宋" w:hAnsi="仿宋" w:eastAsia="仿宋" w:cs="仿宋"/>
          <w:bCs/>
          <w:color w:val="000000" w:themeColor="text1"/>
          <w:sz w:val="24"/>
          <w:highlight w:val="none"/>
          <w:lang w:eastAsia="zh-CN"/>
          <w14:textFill>
            <w14:solidFill>
              <w14:schemeClr w14:val="tx1"/>
            </w14:solidFill>
          </w14:textFill>
        </w:rPr>
        <w:t>竞争性磋商响应</w:t>
      </w:r>
      <w:r>
        <w:rPr>
          <w:rFonts w:hint="eastAsia" w:ascii="仿宋" w:hAnsi="仿宋" w:eastAsia="仿宋" w:cs="仿宋"/>
          <w:bCs/>
          <w:color w:val="000000" w:themeColor="text1"/>
          <w:sz w:val="24"/>
          <w:highlight w:val="none"/>
          <w14:textFill>
            <w14:solidFill>
              <w14:schemeClr w14:val="tx1"/>
            </w14:solidFill>
          </w14:textFill>
        </w:rPr>
        <w:t>文件中对所投产品为节能、环境标志产品清单中的产品，在</w:t>
      </w:r>
      <w:r>
        <w:rPr>
          <w:rFonts w:hint="eastAsia" w:ascii="仿宋" w:hAnsi="仿宋" w:eastAsia="仿宋" w:cs="仿宋"/>
          <w:bCs/>
          <w:color w:val="000000" w:themeColor="text1"/>
          <w:sz w:val="24"/>
          <w:highlight w:val="none"/>
          <w:lang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（4）若节能、环境标志品目清单内的产品仅是构成投标产品的部件、组件或零件 </w:t>
      </w:r>
    </w:p>
    <w:p>
      <w:pPr>
        <w:autoSpaceDE w:val="0"/>
        <w:autoSpaceDN w:val="0"/>
        <w:adjustRightInd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（5）节能、环境标志产品部分计分只对属于品目清单内的非强制类产品进行计分， </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强制类产品不给予计分。 </w:t>
      </w:r>
    </w:p>
    <w:p>
      <w:pPr>
        <w:spacing w:line="560" w:lineRule="exact"/>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w:t>
      </w:r>
      <w:bookmarkStart w:id="29" w:name="_Toc14886425"/>
      <w:bookmarkStart w:id="30" w:name="_Toc22138"/>
      <w:r>
        <w:rPr>
          <w:rFonts w:hint="eastAsia" w:ascii="仿宋" w:hAnsi="仿宋" w:eastAsia="仿宋" w:cs="仿宋"/>
          <w:b/>
          <w:bCs/>
          <w:color w:val="000000" w:themeColor="text1"/>
          <w:sz w:val="24"/>
          <w:highlight w:val="none"/>
          <w:lang w:val="zh-CN"/>
          <w14:textFill>
            <w14:solidFill>
              <w14:schemeClr w14:val="tx1"/>
            </w14:solidFill>
          </w14:textFill>
        </w:rPr>
        <w:t>信用担保</w:t>
      </w:r>
      <w:bookmarkEnd w:id="29"/>
      <w:bookmarkEnd w:id="30"/>
      <w:r>
        <w:rPr>
          <w:rFonts w:hint="eastAsia" w:ascii="仿宋" w:hAnsi="仿宋" w:eastAsia="仿宋" w:cs="仿宋"/>
          <w:b/>
          <w:bCs/>
          <w:color w:val="000000" w:themeColor="text1"/>
          <w:sz w:val="24"/>
          <w:highlight w:val="none"/>
          <w:lang w:val="zh-CN"/>
          <w14:textFill>
            <w14:solidFill>
              <w14:schemeClr w14:val="tx1"/>
            </w14:solidFill>
          </w14:textFill>
        </w:rPr>
        <w:t>及融资</w:t>
      </w:r>
    </w:p>
    <w:p>
      <w:pPr>
        <w:adjustRightInd w:val="0"/>
        <w:snapToGrid w:val="0"/>
        <w:spacing w:line="560" w:lineRule="exact"/>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auto"/>
          <w:sz w:val="24"/>
          <w:szCs w:val="24"/>
          <w:highlight w:val="none"/>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3、定标</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3-1、定标程序</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（4）采购代理机构接到采购人的《成交复函》后，在2个工作日内，将成交结果在</w:t>
      </w:r>
      <w:r>
        <w:rPr>
          <w:rFonts w:hint="eastAsia" w:ascii="仿宋" w:hAnsi="仿宋" w:eastAsia="仿宋" w:cs="仿宋"/>
          <w:color w:val="000000" w:themeColor="text1"/>
          <w:sz w:val="24"/>
          <w:highlight w:val="none"/>
          <w:lang w:val="en-US" w:eastAsia="zh-CN"/>
          <w14:textFill>
            <w14:solidFill>
              <w14:schemeClr w14:val="tx1"/>
            </w14:solidFill>
          </w14:textFill>
        </w:rPr>
        <w:t>陕西省</w:t>
      </w:r>
      <w:r>
        <w:rPr>
          <w:rFonts w:hint="eastAsia" w:ascii="仿宋" w:hAnsi="仿宋" w:eastAsia="仿宋" w:cs="仿宋"/>
          <w:color w:val="000000" w:themeColor="text1"/>
          <w:sz w:val="24"/>
          <w:highlight w:val="none"/>
          <w:lang w:eastAsia="zh-CN"/>
          <w14:textFill>
            <w14:solidFill>
              <w14:schemeClr w14:val="tx1"/>
            </w14:solidFill>
          </w14:textFill>
        </w:rPr>
        <w:t>政府采购</w:t>
      </w:r>
      <w:r>
        <w:rPr>
          <w:rFonts w:hint="eastAsia" w:ascii="仿宋" w:hAnsi="仿宋" w:eastAsia="仿宋" w:cs="仿宋"/>
          <w:color w:val="000000" w:themeColor="text1"/>
          <w:sz w:val="24"/>
          <w:highlight w:val="none"/>
          <w14:textFill>
            <w14:solidFill>
              <w14:schemeClr w14:val="tx1"/>
            </w14:solidFill>
          </w14:textFill>
        </w:rPr>
        <w:t>网上发布公告。公告发布1个工作日，其他供应商若有异议，按《政府采购法》第52条执行。</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3-2、成交供应商确定后，采购人和采购代理机构对未成交原因不作任何解释，竞争性磋商响应文件不予退还（含纸质及电子版文件）。</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4、磋商无效的情形：</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、磋商响应文件未按磋商文件要求签署、盖章的；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、不具备磋商文件中规定的资格要求的；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、报价超过磋商文件中规定的预算金额或者最高限价的；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、磋商响应文件含有采购人不能接受的附加条件的；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、提供虚假材料谋取成交的；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、采取不正当手段诋毁、排挤其他供应商的；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、法律、法规和磋商文件规定的其他无效情形。</w:t>
      </w:r>
    </w:p>
    <w:p>
      <w:pPr>
        <w:adjustRightInd w:val="0"/>
        <w:snapToGrid w:val="0"/>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5、成交通知书</w:t>
      </w:r>
    </w:p>
    <w:p>
      <w:pPr>
        <w:pageBreakBefore w:val="0"/>
        <w:tabs>
          <w:tab w:val="left" w:pos="2700"/>
        </w:tabs>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5-1、成交通知书将在成交公告发布的同时由采购代理机构向成交人发出，成交供应商应在接到采购代理机构通知之日起七日内领取成交通知书。</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5-2、成交通知书发出后，采购人不得违法改变成交结果，成交人无正当理由不得弃成交。</w:t>
      </w:r>
    </w:p>
    <w:p>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1" w:name="_Toc28361"/>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、合同</w:t>
      </w:r>
      <w:bookmarkEnd w:id="31"/>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w:t>
      </w:r>
      <w:r>
        <w:rPr>
          <w:rFonts w:hint="eastAsia" w:ascii="仿宋" w:hAnsi="仿宋" w:eastAsia="仿宋" w:cs="仿宋"/>
          <w:color w:val="auto"/>
          <w:sz w:val="24"/>
          <w:highlight w:val="none"/>
          <w:lang w:val="en-US" w:eastAsia="zh-CN"/>
        </w:rPr>
        <w:t>二十五</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3、成交通知书将是合同的重要组成部分。竞争性磋商文件、成交供应商的竞争性磋商响应文件及评议过程中有关的澄清文件均作为合同附件。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财库[2020]46号）规定的政策获取政府采购合同后，小型、微型企业不得分包或转包给大型、中型企业，中型企业不得分包或转包给大型企业。</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5、所签订的合同不得对磋商文件确定的事项和成交人磋商响应文件作实质性修改。</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6、采购人需追加与合同标的相同的货物、工程或服务的，在不改变合同其他条款的前提下，可以与供应商协商签订补充合同，但所有补充合同的采购金额不得超过原合同采购金额的百分之十。</w:t>
      </w:r>
    </w:p>
    <w:p>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2" w:name="_Toc24945"/>
      <w:bookmarkStart w:id="33" w:name="_Toc494556650"/>
      <w:bookmarkStart w:id="34" w:name="_Toc493074178"/>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、合同的履约验收</w:t>
      </w:r>
      <w:bookmarkEnd w:id="32"/>
      <w:bookmarkEnd w:id="33"/>
      <w:bookmarkEnd w:id="34"/>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采购人应按照政府采购合同约定的技术、服务、安全标准组织对供应商每一项技术、服务、安全标准的履约情况进行验收，并出具验收书。</w:t>
      </w:r>
    </w:p>
    <w:p>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5" w:name="_Toc19792"/>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、招标服务费</w:t>
      </w:r>
      <w:bookmarkEnd w:id="35"/>
    </w:p>
    <w:p>
      <w:pPr>
        <w:tabs>
          <w:tab w:val="left" w:pos="2700"/>
        </w:tabs>
        <w:spacing w:line="560" w:lineRule="exact"/>
        <w:ind w:firstLine="480" w:firstLineChars="200"/>
        <w:rPr>
          <w:rFonts w:hint="eastAsia" w:ascii="仿宋" w:hAnsi="仿宋" w:eastAsia="仿宋" w:cs="仿宋"/>
          <w:sz w:val="24"/>
          <w:highlight w:val="none"/>
        </w:rPr>
      </w:pPr>
      <w:bookmarkStart w:id="36" w:name="_Toc458848826"/>
      <w:bookmarkStart w:id="37" w:name="_Toc458848974"/>
      <w:bookmarkStart w:id="38" w:name="_Toc458848741"/>
      <w:r>
        <w:rPr>
          <w:rFonts w:hint="eastAsia" w:ascii="仿宋" w:hAnsi="仿宋" w:eastAsia="仿宋" w:cs="仿宋"/>
          <w:sz w:val="24"/>
          <w:highlight w:val="none"/>
        </w:rPr>
        <w:t>1、</w:t>
      </w:r>
      <w:r>
        <w:rPr>
          <w:rFonts w:hint="eastAsia" w:ascii="仿宋" w:hAnsi="仿宋" w:eastAsia="仿宋" w:cs="仿宋"/>
          <w:sz w:val="24"/>
          <w:highlight w:val="none"/>
          <w:lang w:val="en-US" w:eastAsia="zh-CN"/>
        </w:rPr>
        <w:t>成交供应商</w:t>
      </w:r>
      <w:r>
        <w:rPr>
          <w:rFonts w:hint="eastAsia" w:ascii="仿宋" w:hAnsi="仿宋" w:eastAsia="仿宋" w:cs="仿宋"/>
          <w:sz w:val="24"/>
          <w:highlight w:val="none"/>
        </w:rPr>
        <w:t>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w:t>
      </w:r>
      <w:r>
        <w:rPr>
          <w:rFonts w:hint="eastAsia" w:ascii="仿宋" w:hAnsi="仿宋" w:eastAsia="仿宋" w:cs="仿宋"/>
          <w:sz w:val="24"/>
          <w:highlight w:val="none"/>
          <w:lang w:eastAsia="zh-CN"/>
        </w:rPr>
        <w:t>华招广和项目管理有限公司</w:t>
      </w:r>
      <w:r>
        <w:rPr>
          <w:rFonts w:hint="eastAsia" w:ascii="仿宋" w:hAnsi="仿宋" w:eastAsia="仿宋" w:cs="仿宋"/>
          <w:sz w:val="24"/>
          <w:highlight w:val="none"/>
        </w:rPr>
        <w:t>交纳招标服务费。</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2、招标服务费应采用转账形式交纳。</w:t>
      </w:r>
    </w:p>
    <w:p>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9" w:name="_Toc14425"/>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w:t>
      </w:r>
      <w:bookmarkEnd w:id="36"/>
      <w:bookmarkEnd w:id="37"/>
      <w:bookmarkEnd w:id="38"/>
      <w:r>
        <w:rPr>
          <w:rFonts w:hint="eastAsia" w:ascii="仿宋" w:hAnsi="仿宋" w:eastAsia="仿宋" w:cs="仿宋"/>
          <w:color w:val="000000" w:themeColor="text1"/>
          <w:sz w:val="28"/>
          <w:szCs w:val="28"/>
          <w:highlight w:val="none"/>
          <w14:textFill>
            <w14:solidFill>
              <w14:schemeClr w14:val="tx1"/>
            </w14:solidFill>
          </w14:textFill>
        </w:rPr>
        <w:t>重新组织采购活动</w:t>
      </w:r>
      <w:bookmarkEnd w:id="39"/>
    </w:p>
    <w:p>
      <w:pPr>
        <w:spacing w:line="56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如果发生下列情况之一的，采购人或采购代理机构将按《政府采购竞争性磋商采购方式管理暂行办法》等有关规定重新组织采购：</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（1）、因情况变化，不再符合规定的竞争性磋商采购方式适用情形的；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（3）、磋商小组三分之二以上的专家认定所有磋商报价存在价格不实的现象；</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bookmarkStart w:id="40" w:name="_Toc458848742"/>
      <w:bookmarkStart w:id="41" w:name="_Toc458848975"/>
      <w:bookmarkStart w:id="42" w:name="_Toc458848827"/>
      <w:r>
        <w:rPr>
          <w:rFonts w:hint="eastAsia" w:ascii="仿宋" w:hAnsi="仿宋" w:eastAsia="仿宋" w:cs="仿宋"/>
          <w:color w:val="000000" w:themeColor="text1"/>
          <w:sz w:val="24"/>
          <w:highlight w:val="none"/>
          <w14:textFill>
            <w14:solidFill>
              <w14:schemeClr w14:val="tx1"/>
            </w14:solidFill>
          </w14:textFill>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3" w:name="_Toc15549"/>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w:t>
      </w:r>
      <w:bookmarkEnd w:id="40"/>
      <w:bookmarkEnd w:id="41"/>
      <w:bookmarkEnd w:id="42"/>
      <w:r>
        <w:rPr>
          <w:rFonts w:hint="eastAsia" w:ascii="仿宋" w:hAnsi="仿宋" w:eastAsia="仿宋" w:cs="仿宋"/>
          <w:color w:val="000000" w:themeColor="text1"/>
          <w:sz w:val="28"/>
          <w:szCs w:val="28"/>
          <w:highlight w:val="none"/>
          <w14:textFill>
            <w14:solidFill>
              <w14:schemeClr w14:val="tx1"/>
            </w14:solidFill>
          </w14:textFill>
        </w:rPr>
        <w:t>询问、质疑与投诉</w:t>
      </w:r>
      <w:bookmarkEnd w:id="43"/>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44" w:name="_Toc458848976"/>
      <w:bookmarkStart w:id="45" w:name="_Toc458848828"/>
      <w:bookmarkStart w:id="46" w:name="_Toc458848743"/>
      <w:r>
        <w:rPr>
          <w:rFonts w:hint="eastAsia" w:ascii="仿宋" w:hAnsi="仿宋" w:eastAsia="仿宋" w:cs="仿宋"/>
          <w:color w:val="000000" w:themeColor="text1"/>
          <w:sz w:val="24"/>
          <w:highlight w:val="none"/>
          <w14:textFill>
            <w14:solidFill>
              <w14:schemeClr w14:val="tx1"/>
            </w14:solidFill>
          </w14:textFill>
        </w:rPr>
        <w:t>1、询问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供应商对政府采购活动事项有疑问的，可以向采购人、采购代理机构提出询问。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2-1、供应商认为磋商文件、磋商过程和成交结果使自己的权益受到损害的，可以采购人、采购代理机构提出质疑，具体时限为：</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（一）对可以质疑的采购文件提出质疑的，为收到采购文件之日起七个工作日内；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（二）对采购过程提出质疑的，为各采购程序环节结束之日起七个工作日内；</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（三）对成交结果提出质疑的，为成交结果公告期限届满之日起七个工作日内。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2-2、供应商须在法定质疑期内一次性提出针对同一采购程序环节的质疑。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2-3、供应商必须按照财政部发布的《政府采购供应商质疑函范本》及其制作说明提出质疑。详见“中国政府采购网（www.ccgp.gov.cn）”下载专区。</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2-6、供应商应在法定期限内以书面形式提出质疑，联系人： </w:t>
      </w:r>
      <w:r>
        <w:rPr>
          <w:rFonts w:hint="eastAsia" w:ascii="仿宋" w:hAnsi="仿宋" w:eastAsia="仿宋" w:cs="仿宋"/>
          <w:color w:val="000000" w:themeColor="text1"/>
          <w:sz w:val="24"/>
          <w:highlight w:val="none"/>
          <w:lang w:eastAsia="zh-CN"/>
          <w14:textFill>
            <w14:solidFill>
              <w14:schemeClr w14:val="tx1"/>
            </w14:solidFill>
          </w14:textFill>
        </w:rPr>
        <w:t>党工</w:t>
      </w: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eastAsia="zh-CN"/>
          <w14:textFill>
            <w14:solidFill>
              <w14:schemeClr w14:val="tx1"/>
            </w14:solidFill>
          </w14:textFill>
        </w:rPr>
        <w:t>029-87592321</w:t>
      </w: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（西安市朱雀大街南段1号汇成天玺C座18层1812室）。</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w:t>
      </w:r>
    </w:p>
    <w:p>
      <w:pPr>
        <w:pStyle w:val="41"/>
        <w:spacing w:line="560" w:lineRule="exact"/>
        <w:ind w:firstLine="480"/>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3-1、质疑供应商对采购人、采购代理机构的答复不满意或者采购人、采购代理机构未在规定的时间内作出答复的，可按《政府采购法》第55条</w:t>
      </w:r>
      <w:r>
        <w:rPr>
          <w:rFonts w:hint="eastAsia" w:ascii="仿宋" w:hAnsi="仿宋" w:eastAsia="仿宋" w:cs="仿宋"/>
          <w:color w:val="000000" w:themeColor="text1"/>
          <w:kern w:val="2"/>
          <w:sz w:val="24"/>
          <w:szCs w:val="20"/>
          <w:highlight w:val="none"/>
          <w14:textFill>
            <w14:solidFill>
              <w14:schemeClr w14:val="tx1"/>
            </w14:solidFill>
          </w14:textFill>
        </w:rPr>
        <w:t>和《政府采购质疑和投诉办法》（财政部令第94号）第17条等有关规定执行。</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3-2、本项目质疑供应商对采购人、采购代理机构的答复不满意或者采购人、采购代理机构未在规定时间内作出答复的，可在15个工作日内向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韩城市财政局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提起投诉。</w:t>
      </w:r>
    </w:p>
    <w:p>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7" w:name="_Toc1946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、拒绝商业贿赂</w:t>
      </w:r>
      <w:bookmarkEnd w:id="44"/>
      <w:bookmarkEnd w:id="45"/>
      <w:bookmarkEnd w:id="46"/>
      <w:bookmarkEnd w:id="47"/>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1、遵照陕西省财政厅的规定，采购人、采购代理机构、供应商和评审专家在磋商活动中，都要签订相应的《拒绝政府采购领域商业贿赂承诺书》，并对违反承诺的行为承担全部责任。</w:t>
      </w:r>
    </w:p>
    <w:p>
      <w:pPr>
        <w:spacing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2、供应商必须填写一份《拒绝政府采购领域商业贿赂承诺书》并附在磋商响应文件中，同时应保证磋商响应文件正、副本中一致。</w:t>
      </w:r>
    </w:p>
    <w:p>
      <w:pPr>
        <w:pStyle w:val="2"/>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bookmarkStart w:id="48" w:name="_Toc20324"/>
      <w:r>
        <w:rPr>
          <w:rFonts w:hint="eastAsia" w:ascii="仿宋" w:hAnsi="仿宋" w:eastAsia="仿宋" w:cs="仿宋"/>
          <w:color w:val="000000" w:themeColor="text1"/>
          <w:kern w:val="0"/>
          <w:highlight w:val="none"/>
          <w14:textFill>
            <w14:solidFill>
              <w14:schemeClr w14:val="tx1"/>
            </w14:solidFill>
          </w14:textFill>
        </w:rPr>
        <w:t>第三章  服务内容及要求</w:t>
      </w:r>
      <w:bookmarkEnd w:id="48"/>
    </w:p>
    <w:p>
      <w:pPr>
        <w:pStyle w:val="11"/>
        <w:spacing w:before="177" w:line="360" w:lineRule="auto"/>
        <w:ind w:left="1" w:right="76" w:firstLine="492"/>
        <w:jc w:val="both"/>
        <w:rPr>
          <w:rFonts w:hint="eastAsia" w:ascii="仿宋" w:hAnsi="仿宋" w:eastAsia="仿宋" w:cs="仿宋"/>
          <w:spacing w:val="1"/>
          <w:sz w:val="24"/>
          <w:szCs w:val="24"/>
        </w:rPr>
      </w:pPr>
      <w:r>
        <w:rPr>
          <w:rFonts w:hint="eastAsia" w:ascii="仿宋" w:hAnsi="仿宋" w:eastAsia="仿宋" w:cs="仿宋"/>
          <w:spacing w:val="-4"/>
          <w:sz w:val="24"/>
          <w:szCs w:val="24"/>
        </w:rPr>
        <w:t>1</w:t>
      </w:r>
      <w:r>
        <w:rPr>
          <w:rFonts w:hint="eastAsia" w:ascii="仿宋" w:hAnsi="仿宋" w:eastAsia="仿宋" w:cs="仿宋"/>
          <w:spacing w:val="-13"/>
          <w:sz w:val="24"/>
          <w:szCs w:val="24"/>
        </w:rPr>
        <w:t xml:space="preserve"> </w:t>
      </w:r>
      <w:r>
        <w:rPr>
          <w:rFonts w:hint="eastAsia" w:ascii="仿宋" w:hAnsi="仿宋" w:eastAsia="仿宋" w:cs="仿宋"/>
          <w:spacing w:val="-4"/>
          <w:sz w:val="24"/>
          <w:szCs w:val="24"/>
        </w:rPr>
        <w:t>、对韩城</w:t>
      </w:r>
      <w:r>
        <w:rPr>
          <w:rFonts w:hint="eastAsia" w:ascii="仿宋" w:hAnsi="仿宋" w:eastAsia="仿宋" w:cs="仿宋"/>
          <w:spacing w:val="-4"/>
          <w:sz w:val="24"/>
          <w:szCs w:val="24"/>
          <w:lang w:eastAsia="zh-CN"/>
        </w:rPr>
        <w:t>市区域内</w:t>
      </w:r>
      <w:r>
        <w:rPr>
          <w:rFonts w:hint="eastAsia" w:ascii="仿宋" w:hAnsi="仿宋" w:eastAsia="仿宋" w:cs="仿宋"/>
          <w:spacing w:val="-56"/>
          <w:sz w:val="24"/>
          <w:szCs w:val="24"/>
        </w:rPr>
        <w:t xml:space="preserve"> </w:t>
      </w:r>
      <w:r>
        <w:rPr>
          <w:rFonts w:hint="eastAsia" w:ascii="仿宋" w:hAnsi="仿宋" w:eastAsia="仿宋" w:cs="仿宋"/>
          <w:spacing w:val="-4"/>
          <w:sz w:val="24"/>
          <w:szCs w:val="24"/>
        </w:rPr>
        <w:t>4</w:t>
      </w:r>
      <w:r>
        <w:rPr>
          <w:rFonts w:hint="eastAsia" w:ascii="仿宋" w:hAnsi="仿宋" w:eastAsia="仿宋" w:cs="仿宋"/>
          <w:spacing w:val="-4"/>
          <w:sz w:val="24"/>
          <w:szCs w:val="24"/>
          <w:lang w:eastAsia="zh-CN"/>
        </w:rPr>
        <w:t>88</w:t>
      </w:r>
      <w:r>
        <w:rPr>
          <w:rFonts w:hint="eastAsia" w:ascii="仿宋" w:hAnsi="仿宋" w:eastAsia="仿宋" w:cs="仿宋"/>
          <w:spacing w:val="-4"/>
          <w:sz w:val="24"/>
          <w:szCs w:val="24"/>
        </w:rPr>
        <w:t>处农村饮水安全项目水质达</w:t>
      </w:r>
      <w:r>
        <w:rPr>
          <w:rFonts w:hint="eastAsia" w:ascii="仿宋" w:hAnsi="仿宋" w:eastAsia="仿宋" w:cs="仿宋"/>
          <w:spacing w:val="1"/>
          <w:sz w:val="24"/>
          <w:szCs w:val="24"/>
        </w:rPr>
        <w:t>标情况开展水质检测工作；</w:t>
      </w:r>
    </w:p>
    <w:p>
      <w:pPr>
        <w:pStyle w:val="11"/>
        <w:spacing w:before="177" w:line="360" w:lineRule="auto"/>
        <w:ind w:left="1" w:right="76" w:firstLine="492"/>
        <w:jc w:val="both"/>
        <w:rPr>
          <w:rFonts w:hint="eastAsia" w:ascii="仿宋" w:hAnsi="仿宋" w:eastAsia="仿宋" w:cs="仿宋"/>
          <w:spacing w:val="1"/>
          <w:sz w:val="24"/>
          <w:szCs w:val="24"/>
          <w:lang w:eastAsia="zh-CN"/>
        </w:rPr>
      </w:pPr>
      <w:r>
        <w:rPr>
          <w:rFonts w:hint="eastAsia" w:ascii="仿宋" w:hAnsi="仿宋" w:eastAsia="仿宋" w:cs="仿宋"/>
          <w:spacing w:val="1"/>
          <w:sz w:val="24"/>
          <w:szCs w:val="24"/>
        </w:rPr>
        <w:t>2、检测标准</w:t>
      </w:r>
      <w:r>
        <w:rPr>
          <w:rFonts w:hint="eastAsia" w:ascii="仿宋" w:hAnsi="仿宋" w:eastAsia="仿宋" w:cs="仿宋"/>
          <w:spacing w:val="1"/>
          <w:sz w:val="24"/>
          <w:szCs w:val="24"/>
          <w:lang w:eastAsia="zh-CN"/>
        </w:rPr>
        <w:t>及指标</w:t>
      </w:r>
    </w:p>
    <w:p>
      <w:pPr>
        <w:pStyle w:val="11"/>
        <w:spacing w:before="177" w:line="360" w:lineRule="auto"/>
        <w:ind w:left="1" w:right="76" w:firstLine="492"/>
        <w:jc w:val="both"/>
        <w:rPr>
          <w:rFonts w:hint="eastAsia" w:ascii="仿宋" w:hAnsi="仿宋" w:eastAsia="仿宋" w:cs="仿宋"/>
          <w:spacing w:val="-3"/>
          <w:position w:val="17"/>
          <w:sz w:val="24"/>
          <w:szCs w:val="24"/>
          <w:lang w:eastAsia="zh-CN"/>
        </w:rPr>
      </w:pPr>
      <w:r>
        <w:rPr>
          <w:rFonts w:hint="eastAsia" w:ascii="仿宋" w:hAnsi="仿宋" w:eastAsia="仿宋" w:cs="仿宋"/>
          <w:spacing w:val="-3"/>
          <w:position w:val="17"/>
          <w:sz w:val="24"/>
          <w:szCs w:val="24"/>
        </w:rPr>
        <w:t>执行《生活饮用水卫生标准》（GB 5749-2022</w:t>
      </w:r>
      <w:r>
        <w:rPr>
          <w:rFonts w:hint="eastAsia" w:ascii="仿宋" w:hAnsi="仿宋" w:eastAsia="仿宋" w:cs="仿宋"/>
          <w:spacing w:val="-3"/>
          <w:position w:val="17"/>
          <w:sz w:val="24"/>
          <w:szCs w:val="24"/>
          <w:lang w:eastAsia="zh-CN"/>
        </w:rPr>
        <w:t>）中表1水质常规指标37项，具体情况如下：</w:t>
      </w:r>
    </w:p>
    <w:p>
      <w:pPr>
        <w:pStyle w:val="11"/>
        <w:spacing w:before="177" w:line="360" w:lineRule="auto"/>
        <w:ind w:left="1" w:right="76" w:firstLine="492"/>
        <w:jc w:val="both"/>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（1）微生物指标（3 项）：总大肠菌群、大肠埃希氏菌、菌落总数；</w:t>
      </w:r>
    </w:p>
    <w:p>
      <w:pPr>
        <w:pStyle w:val="11"/>
        <w:spacing w:before="177" w:line="360" w:lineRule="auto"/>
        <w:ind w:left="1" w:right="76" w:firstLine="492"/>
        <w:jc w:val="both"/>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（2）毒理指标（18 项）：砷、镉、铬（六价）、铅、汞、氰化物、氟化物、硝酸盐、 三氯甲烷、一氯二溴甲烷、二氯一溴甲烷、三溴甲烷、三卤甲烷、二氯乙酸、三氯乙酸、溴酸盐、亚氯酸盐、氯酸盐；</w:t>
      </w:r>
    </w:p>
    <w:p>
      <w:pPr>
        <w:pStyle w:val="11"/>
        <w:spacing w:before="177" w:line="360" w:lineRule="auto"/>
        <w:ind w:left="1" w:right="76" w:firstLine="492"/>
        <w:jc w:val="both"/>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（3）感官性状和一般化学指标（16 项）：色度、浑浊度、臭和味、肉眼可见物、pH 值、铝、铁、锰、铜、锌、氯化物、硫酸盐、溶解性总固体、总硬度、高锰酸盐指数、氨；</w:t>
      </w:r>
    </w:p>
    <w:p>
      <w:pPr>
        <w:pStyle w:val="11"/>
        <w:spacing w:before="177"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    3、在规定服务期限内，</w:t>
      </w:r>
      <w:r>
        <w:rPr>
          <w:rFonts w:hint="eastAsia" w:ascii="仿宋" w:hAnsi="仿宋" w:eastAsia="仿宋" w:cs="仿宋"/>
          <w:spacing w:val="1"/>
          <w:sz w:val="24"/>
          <w:szCs w:val="24"/>
          <w:lang w:val="en-US" w:eastAsia="zh-CN"/>
        </w:rPr>
        <w:t>供应商</w:t>
      </w:r>
      <w:r>
        <w:rPr>
          <w:rFonts w:hint="eastAsia" w:ascii="仿宋" w:hAnsi="仿宋" w:eastAsia="仿宋" w:cs="仿宋"/>
          <w:spacing w:val="1"/>
          <w:sz w:val="24"/>
          <w:szCs w:val="24"/>
          <w:lang w:eastAsia="zh-CN"/>
        </w:rPr>
        <w:t>应完成采样，并向</w:t>
      </w:r>
      <w:r>
        <w:rPr>
          <w:rFonts w:hint="eastAsia" w:ascii="仿宋" w:hAnsi="仿宋" w:eastAsia="仿宋" w:cs="仿宋"/>
          <w:spacing w:val="1"/>
          <w:sz w:val="24"/>
          <w:szCs w:val="24"/>
          <w:lang w:val="en-US" w:eastAsia="zh-CN"/>
        </w:rPr>
        <w:t>采购方</w:t>
      </w:r>
      <w:r>
        <w:rPr>
          <w:rFonts w:hint="eastAsia" w:ascii="仿宋" w:hAnsi="仿宋" w:eastAsia="仿宋" w:cs="仿宋"/>
          <w:spacing w:val="1"/>
          <w:sz w:val="24"/>
          <w:szCs w:val="24"/>
          <w:lang w:eastAsia="zh-CN"/>
        </w:rPr>
        <w:t>出具有效的 CMA 认证样品检验报告。</w:t>
      </w:r>
    </w:p>
    <w:p>
      <w:pPr>
        <w:keepNext/>
        <w:keepLines/>
        <w:pageBreakBefore w:val="0"/>
        <w:widowControl w:val="0"/>
        <w:kinsoku/>
        <w:wordWrap/>
        <w:overflowPunct/>
        <w:topLinePunct w:val="0"/>
        <w:autoSpaceDE/>
        <w:autoSpaceDN/>
        <w:bidi w:val="0"/>
        <w:adjustRightInd/>
        <w:snapToGrid/>
        <w:spacing w:before="0" w:after="0" w:line="560" w:lineRule="exact"/>
        <w:ind w:firstLine="420" w:firstLineChars="200"/>
        <w:jc w:val="both"/>
        <w:textAlignment w:val="auto"/>
        <w:outlineLvl w:val="9"/>
        <w:rPr>
          <w:rFonts w:hint="eastAsia" w:ascii="仿宋" w:hAnsi="仿宋" w:eastAsia="仿宋" w:cs="仿宋"/>
          <w:color w:val="000000" w:themeColor="text1"/>
          <w:kern w:val="0"/>
          <w:highlight w:val="none"/>
          <w14:textFill>
            <w14:solidFill>
              <w14:schemeClr w14:val="tx1"/>
            </w14:solidFill>
          </w14:textFill>
        </w:rPr>
      </w:pPr>
    </w:p>
    <w:p>
      <w:pPr>
        <w:pStyle w:val="23"/>
        <w:rPr>
          <w:rFonts w:hint="eastAsia"/>
          <w:highlight w:val="none"/>
        </w:rPr>
      </w:pPr>
    </w:p>
    <w:p>
      <w:pPr>
        <w:rPr>
          <w:rFonts w:hint="eastAsia" w:ascii="仿宋" w:hAnsi="仿宋" w:eastAsia="仿宋" w:cs="仿宋"/>
          <w:color w:val="000000" w:themeColor="text1"/>
          <w:kern w:val="0"/>
          <w:highlight w:val="none"/>
          <w14:textFill>
            <w14:solidFill>
              <w14:schemeClr w14:val="tx1"/>
            </w14:solidFill>
          </w14:textFill>
        </w:rPr>
      </w:pPr>
      <w:bookmarkStart w:id="49" w:name="_Toc21581"/>
      <w:r>
        <w:rPr>
          <w:rFonts w:hint="eastAsia" w:ascii="仿宋" w:hAnsi="仿宋" w:eastAsia="仿宋" w:cs="仿宋"/>
          <w:color w:val="000000" w:themeColor="text1"/>
          <w:kern w:val="0"/>
          <w:highlight w:val="none"/>
          <w14:textFill>
            <w14:solidFill>
              <w14:schemeClr w14:val="tx1"/>
            </w14:solidFill>
          </w14:textFill>
        </w:rPr>
        <w:br w:type="page"/>
      </w:r>
    </w:p>
    <w:p>
      <w:pPr>
        <w:pStyle w:val="2"/>
        <w:spacing w:before="0" w:after="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第四章   商务要求</w:t>
      </w:r>
      <w:bookmarkEnd w:id="49"/>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一、服务期限及地点：</w:t>
      </w:r>
      <w:bookmarkStart w:id="50" w:name="_Toc167714037"/>
      <w:bookmarkStart w:id="51" w:name="_Toc167712839"/>
      <w:bookmarkStart w:id="52" w:name="_Toc167715234"/>
    </w:p>
    <w:bookmarkEnd w:id="50"/>
    <w:bookmarkEnd w:id="51"/>
    <w:bookmarkEnd w:id="52"/>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自合同签订之日起12个月内服务完毕</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2、交付地点：甲方指定地点。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b w:val="0"/>
          <w:bCs/>
          <w:color w:val="000000" w:themeColor="text1"/>
          <w:sz w:val="24"/>
          <w:highlight w:val="none"/>
          <w:lang w:val="en-US" w:eastAsia="zh-CN"/>
          <w14:textFill>
            <w14:solidFill>
              <w14:schemeClr w14:val="tx1"/>
            </w14:solidFill>
          </w14:textFill>
        </w:rPr>
      </w:pPr>
      <w:bookmarkStart w:id="53" w:name="_Toc167715238"/>
      <w:bookmarkStart w:id="54" w:name="_Toc167712843"/>
      <w:bookmarkStart w:id="55" w:name="_Toc167714041"/>
      <w:r>
        <w:rPr>
          <w:rFonts w:hint="eastAsia" w:ascii="仿宋" w:hAnsi="仿宋" w:eastAsia="仿宋" w:cs="仿宋"/>
          <w:b w:val="0"/>
          <w:bCs/>
          <w:color w:val="000000" w:themeColor="text1"/>
          <w:sz w:val="24"/>
          <w:highlight w:val="none"/>
          <w:lang w:val="en-US" w:eastAsia="zh-CN"/>
          <w14:textFill>
            <w14:solidFill>
              <w14:schemeClr w14:val="tx1"/>
            </w14:solidFill>
          </w14:textFill>
        </w:rPr>
        <w:t>合同双方签订盖章生效后，付合同金额的百分之四十（40%）费用；全部工作完成后，成交单位提供检测报告后，30日内付清合同剩余款项。</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eastAsia="zh-CN"/>
          <w14:textFill>
            <w14:solidFill>
              <w14:schemeClr w14:val="tx1"/>
            </w14:solidFill>
          </w14:textFill>
        </w:rPr>
        <w:t>成交</w:t>
      </w:r>
      <w:r>
        <w:rPr>
          <w:rFonts w:hint="eastAsia" w:ascii="仿宋" w:hAnsi="仿宋" w:eastAsia="仿宋" w:cs="仿宋"/>
          <w:color w:val="000000" w:themeColor="text1"/>
          <w:kern w:val="0"/>
          <w:sz w:val="24"/>
          <w:highlight w:val="none"/>
          <w14:textFill>
            <w14:solidFill>
              <w14:schemeClr w14:val="tx1"/>
            </w14:solidFill>
          </w14:textFill>
        </w:rPr>
        <w:t>单位所提供的项目成果必须经采购人审核验收，符合采购人要求，并达到技术指标先进、质量可靠、配置合理，满足</w:t>
      </w:r>
      <w:r>
        <w:rPr>
          <w:rFonts w:hint="eastAsia" w:ascii="仿宋" w:hAnsi="仿宋" w:eastAsia="仿宋" w:cs="仿宋"/>
          <w:color w:val="000000" w:themeColor="text1"/>
          <w:kern w:val="0"/>
          <w:sz w:val="24"/>
          <w:highlight w:val="none"/>
          <w:lang w:eastAsia="zh-CN"/>
          <w14:textFill>
            <w14:solidFill>
              <w14:schemeClr w14:val="tx1"/>
            </w14:solidFill>
          </w14:textFill>
        </w:rPr>
        <w:t>采购</w:t>
      </w:r>
      <w:r>
        <w:rPr>
          <w:rFonts w:hint="eastAsia" w:ascii="仿宋" w:hAnsi="仿宋" w:eastAsia="仿宋" w:cs="仿宋"/>
          <w:color w:val="000000" w:themeColor="text1"/>
          <w:kern w:val="0"/>
          <w:sz w:val="24"/>
          <w:highlight w:val="none"/>
          <w14:textFill>
            <w14:solidFill>
              <w14:schemeClr w14:val="tx1"/>
            </w14:solidFill>
          </w14:textFill>
        </w:rPr>
        <w:t>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2、服务的质量必须符合国家标准和有关规范，确保服务达到最佳使用要求。</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14:textFill>
            <w14:solidFill>
              <w14:schemeClr w14:val="tx1"/>
            </w14:solidFill>
          </w14:textFill>
        </w:rPr>
        <w:t>合同实施：</w:t>
      </w:r>
      <w:bookmarkStart w:id="56" w:name="_Toc167715264"/>
      <w:bookmarkStart w:id="57" w:name="_Toc167712869"/>
      <w:bookmarkStart w:id="58" w:name="_Toc167714067"/>
    </w:p>
    <w:bookmarkEnd w:id="56"/>
    <w:bookmarkEnd w:id="57"/>
    <w:bookmarkEnd w:id="58"/>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成交单位应在合同签订后七（7）个日历日内安排人员（项目组成人员简历表所列）与使用单位就</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等工作进行安排、部署。</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2、若未能在项目周期内完成合同规定的义务，由此对采购人造成的延误和一切损失，由成交单位承担和赔偿。</w:t>
      </w:r>
      <w:bookmarkEnd w:id="53"/>
      <w:bookmarkEnd w:id="54"/>
      <w:bookmarkEnd w:id="55"/>
    </w:p>
    <w:p>
      <w:pPr>
        <w:spacing w:line="56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highlight w:val="none"/>
          <w14:textFill>
            <w14:solidFill>
              <w14:schemeClr w14:val="tx1"/>
            </w14:solidFill>
          </w14:textFill>
        </w:rPr>
        <w:t>、违约责任</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2、按合同要求提供服务或服务质量不能满足技术要求，采购人有权终止合同，并对供</w:t>
      </w:r>
    </w:p>
    <w:p>
      <w:pPr>
        <w:spacing w:line="560" w:lineRule="exact"/>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594995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1273175" y="2276475"/>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4.05pt;margin-top:46.85pt;height:38.85pt;width:432.1pt;mso-wrap-distance-bottom:0pt;mso-wrap-distance-left:9pt;mso-wrap-distance-right:9pt;mso-wrap-distance-top:0pt;z-index:251660288;mso-width-relative:page;mso-height-relative:page;" fillcolor="#FFFFFF" filled="t" stroked="t" coordsize="21600,21600" o:gfxdata="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wh9FNgAAAAIAQAADwAAAAAAAAABACAAAAAiAAAAZHJzL2Rvd25yZXYu&#10;eG1sUEsBAhQAFAAAAAgAh07iQHKFR+Q0AgAAegQAAA4AAAAAAAAAAQAgAAAAJwEAAGRycy9lMm9E&#10;b2MueG1sUEsFBgAAAAAGAAYAWQEAAM0FA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方违约行为进行追究，同时按《政府采购法》的有关规定进行处罚。</w:t>
      </w:r>
      <w:r>
        <w:rPr>
          <w:rFonts w:hint="eastAsia" w:ascii="仿宋" w:hAnsi="仿宋" w:eastAsia="仿宋" w:cs="仿宋"/>
          <w:color w:val="000000" w:themeColor="text1"/>
          <w:kern w:val="0"/>
          <w:highlight w:val="none"/>
          <w14:textFill>
            <w14:solidFill>
              <w14:schemeClr w14:val="tx1"/>
            </w14:solidFill>
          </w14:textFill>
        </w:rPr>
        <w:br w:type="page"/>
      </w:r>
    </w:p>
    <w:p>
      <w:pPr>
        <w:spacing w:line="560" w:lineRule="exact"/>
        <w:jc w:val="center"/>
        <w:rPr>
          <w:rFonts w:hint="eastAsia" w:ascii="仿宋" w:hAnsi="仿宋" w:eastAsia="仿宋" w:cs="仿宋"/>
          <w:color w:val="000000" w:themeColor="text1"/>
          <w:kern w:val="0"/>
          <w:highlight w:val="none"/>
          <w:lang w:eastAsia="zh-CN"/>
          <w14:textFill>
            <w14:solidFill>
              <w14:schemeClr w14:val="tx1"/>
            </w14:solidFill>
          </w14:textFill>
        </w:rPr>
      </w:pPr>
      <w:bookmarkStart w:id="59" w:name="_Toc2890"/>
      <w:r>
        <w:rPr>
          <w:rStyle w:val="57"/>
          <w:rFonts w:hint="eastAsia" w:ascii="仿宋" w:hAnsi="仿宋" w:eastAsia="仿宋" w:cs="仿宋"/>
          <w:color w:val="000000" w:themeColor="text1"/>
          <w:highlight w:val="none"/>
          <w14:textFill>
            <w14:solidFill>
              <w14:schemeClr w14:val="tx1"/>
            </w14:solidFill>
          </w14:textFill>
        </w:rPr>
        <w:t>第五章  合同条款</w:t>
      </w:r>
      <w:bookmarkEnd w:id="59"/>
      <w:r>
        <w:rPr>
          <w:rStyle w:val="57"/>
          <w:rFonts w:hint="eastAsia" w:ascii="仿宋" w:hAnsi="仿宋" w:eastAsia="仿宋" w:cs="仿宋"/>
          <w:color w:val="000000" w:themeColor="text1"/>
          <w:highlight w:val="none"/>
          <w:lang w:eastAsia="zh-CN"/>
          <w14:textFill>
            <w14:solidFill>
              <w14:schemeClr w14:val="tx1"/>
            </w14:solidFill>
          </w14:textFill>
        </w:rPr>
        <w:t>（</w:t>
      </w:r>
      <w:r>
        <w:rPr>
          <w:rStyle w:val="57"/>
          <w:rFonts w:hint="eastAsia" w:ascii="仿宋" w:hAnsi="仿宋" w:eastAsia="仿宋" w:cs="仿宋"/>
          <w:color w:val="000000" w:themeColor="text1"/>
          <w:highlight w:val="none"/>
          <w:lang w:val="en-US" w:eastAsia="zh-CN"/>
          <w14:textFill>
            <w14:solidFill>
              <w14:schemeClr w14:val="tx1"/>
            </w14:solidFill>
          </w14:textFill>
        </w:rPr>
        <w:t>参考格式</w:t>
      </w:r>
      <w:r>
        <w:rPr>
          <w:rStyle w:val="57"/>
          <w:rFonts w:hint="eastAsia" w:ascii="仿宋" w:hAnsi="仿宋" w:eastAsia="仿宋" w:cs="仿宋"/>
          <w:color w:val="000000" w:themeColor="text1"/>
          <w:highlight w:val="none"/>
          <w:lang w:eastAsia="zh-CN"/>
          <w14:textFill>
            <w14:solidFill>
              <w14:schemeClr w14:val="tx1"/>
            </w14:solidFill>
          </w14:textFill>
        </w:rPr>
        <w:t>）</w:t>
      </w:r>
    </w:p>
    <w:p>
      <w:pPr>
        <w:ind w:firstLine="5520" w:firstLineChars="2300"/>
        <w:jc w:val="both"/>
        <w:rPr>
          <w:rFonts w:hint="eastAsia" w:ascii="仿宋" w:hAnsi="仿宋" w:eastAsia="仿宋" w:cs="仿宋"/>
          <w:b w:val="0"/>
          <w:bCs/>
          <w:color w:val="000000" w:themeColor="text1"/>
          <w:sz w:val="24"/>
          <w:szCs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一、合同格式</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农村生活饮用水检测项目</w:t>
      </w:r>
      <w:r>
        <w:rPr>
          <w:rFonts w:hint="eastAsia" w:ascii="仿宋" w:hAnsi="仿宋" w:eastAsia="仿宋" w:cs="仿宋"/>
          <w:color w:val="000000" w:themeColor="text1"/>
          <w:sz w:val="24"/>
          <w:highlight w:val="none"/>
          <w14:textFill>
            <w14:solidFill>
              <w14:schemeClr w14:val="tx1"/>
            </w14:solidFill>
          </w14:textFill>
        </w:rPr>
        <w:t>(文件编号</w:t>
      </w:r>
      <w:r>
        <w:rPr>
          <w:rFonts w:hint="eastAsia" w:ascii="仿宋" w:hAnsi="仿宋" w:eastAsia="仿宋" w:cs="仿宋"/>
          <w:color w:val="000000" w:themeColor="text1"/>
          <w:sz w:val="24"/>
          <w:highlight w:val="none"/>
          <w:lang w:eastAsia="zh-CN"/>
          <w14:textFill>
            <w14:solidFill>
              <w14:schemeClr w14:val="tx1"/>
            </w14:solidFill>
          </w14:textFill>
        </w:rPr>
        <w:t>：HZGH-2023-060</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eastAsia="zh-CN"/>
          <w14:textFill>
            <w14:solidFill>
              <w14:schemeClr w14:val="tx1"/>
            </w14:solidFill>
          </w14:textFill>
        </w:rPr>
        <w:t>韩城市财政局</w:t>
      </w:r>
      <w:r>
        <w:rPr>
          <w:rFonts w:hint="eastAsia" w:ascii="仿宋" w:hAnsi="仿宋" w:eastAsia="仿宋" w:cs="仿宋"/>
          <w:color w:val="000000" w:themeColor="text1"/>
          <w:sz w:val="24"/>
          <w:highlight w:val="none"/>
          <w14:textFill>
            <w14:solidFill>
              <w14:schemeClr w14:val="tx1"/>
            </w14:solidFill>
          </w14:textFill>
        </w:rPr>
        <w:t>的监督管理下，由</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组织竞争性磋商。</w:t>
      </w:r>
      <w:r>
        <w:rPr>
          <w:rFonts w:hint="eastAsia" w:ascii="仿宋" w:hAnsi="仿宋" w:eastAsia="仿宋" w:cs="仿宋"/>
          <w:color w:val="000000" w:themeColor="text1"/>
          <w:sz w:val="24"/>
          <w:highlight w:val="none"/>
          <w:lang w:eastAsia="zh-CN"/>
          <w14:textFill>
            <w14:solidFill>
              <w14:schemeClr w14:val="tx1"/>
            </w14:solidFill>
          </w14:textFill>
        </w:rPr>
        <w:t>韩城市疾病预防控制中心</w:t>
      </w:r>
      <w:r>
        <w:rPr>
          <w:rFonts w:hint="eastAsia" w:ascii="仿宋" w:hAnsi="仿宋" w:eastAsia="仿宋" w:cs="仿宋"/>
          <w:color w:val="000000" w:themeColor="text1"/>
          <w:sz w:val="24"/>
          <w:highlight w:val="none"/>
          <w14:textFill>
            <w14:solidFill>
              <w14:schemeClr w14:val="tx1"/>
            </w14:solidFill>
          </w14:textFill>
        </w:rPr>
        <w:t>(以下简称“甲方”)确定 (成交单位名称) （以下简称“乙方”）为成交单位。</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w:t>
      </w:r>
      <w:r>
        <w:rPr>
          <w:rFonts w:hint="eastAsia" w:ascii="仿宋" w:hAnsi="仿宋" w:eastAsia="仿宋" w:cs="仿宋"/>
          <w:color w:val="000000" w:themeColor="text1"/>
          <w:sz w:val="24"/>
          <w:highlight w:val="none"/>
          <w:lang w:val="en-US"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》和《中华人民共和国政府采购法》《中华人民共和国政府采购法实施条例》，甲方通过竞争性磋商采购（服务名称） ，并接受了乙方以价格(成交金额大写)(以下简称“合同价”)提供的服务。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bookmarkStart w:id="60" w:name="_Toc193126879"/>
      <w:bookmarkStart w:id="61" w:name="_Toc193187095"/>
      <w:bookmarkStart w:id="62" w:name="_Toc194663916"/>
      <w:bookmarkStart w:id="63" w:name="_Toc188808831"/>
      <w:r>
        <w:rPr>
          <w:rFonts w:hint="eastAsia" w:ascii="仿宋" w:hAnsi="仿宋" w:eastAsia="仿宋" w:cs="仿宋"/>
          <w:color w:val="000000" w:themeColor="text1"/>
          <w:sz w:val="24"/>
          <w:highlight w:val="none"/>
          <w14:textFill>
            <w14:solidFill>
              <w14:schemeClr w14:val="tx1"/>
            </w14:solidFill>
          </w14:textFill>
        </w:rPr>
        <w:t>本合同在此声明如下：</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1、本合同中的词语和术语的含义与合同条款中定义的相同。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2、下述文件是本合同的一部分，并与本合同一起阅读和解释：</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1）合同条款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2）合同条款附件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附件1—服务方案</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附件2—服务承诺</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w:t>
      </w:r>
    </w:p>
    <w:p>
      <w:pPr>
        <w:spacing w:line="560" w:lineRule="exact"/>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3、考虑到甲方将按照本合同向乙方支付款项，乙方在此保证全部按照合同的规定向甲方提</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供服务，并修补缺陷。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4、考虑到乙方提供的服务并修补缺陷，甲方在此保证按照合同规定的时间和方式向乙方支付合同价或其他按合同规定应支付的金额。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合同双方签订盖章生效后，付合同金额的百分之四十（40%）费用；全部工作完成后，成交单位提供检测报告后，30日内付清合同剩余款项。</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6、服务期限：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服务地点：</w:t>
      </w:r>
      <w:r>
        <w:rPr>
          <w:rFonts w:hint="eastAsia" w:ascii="仿宋" w:hAnsi="仿宋" w:eastAsia="仿宋" w:cs="仿宋"/>
          <w:color w:val="000000" w:themeColor="text1"/>
          <w:sz w:val="24"/>
          <w:highlight w:val="none"/>
          <w:lang w:val="en-US" w:eastAsia="zh-CN"/>
          <w14:textFill>
            <w14:solidFill>
              <w14:schemeClr w14:val="tx1"/>
            </w14:solidFill>
          </w14:textFill>
        </w:rPr>
        <w:t>甲方指定地点。</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本合同一式</w:t>
      </w:r>
      <w:r>
        <w:rPr>
          <w:rFonts w:hint="eastAsia" w:ascii="仿宋" w:hAnsi="仿宋" w:eastAsia="仿宋" w:cs="仿宋"/>
          <w:color w:val="000000" w:themeColor="text1"/>
          <w:sz w:val="24"/>
          <w:highlight w:val="none"/>
          <w:lang w:eastAsia="zh-CN"/>
          <w14:textFill>
            <w14:solidFill>
              <w14:schemeClr w14:val="tx1"/>
            </w14:solidFill>
          </w14:textFill>
        </w:rPr>
        <w:t>伍</w:t>
      </w:r>
      <w:r>
        <w:rPr>
          <w:rFonts w:hint="eastAsia" w:ascii="仿宋" w:hAnsi="仿宋" w:eastAsia="仿宋" w:cs="仿宋"/>
          <w:color w:val="000000" w:themeColor="text1"/>
          <w:sz w:val="24"/>
          <w:highlight w:val="none"/>
          <w14:textFill>
            <w14:solidFill>
              <w14:schemeClr w14:val="tx1"/>
            </w14:solidFill>
          </w14:textFill>
        </w:rPr>
        <w:t>份，其中，甲方贰份，乙方贰份，</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备案壹份。</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8、本合同由买卖双方共同签字盖章之日起生效。</w:t>
      </w:r>
    </w:p>
    <w:tbl>
      <w:tblPr>
        <w:tblStyle w:val="24"/>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甲方名称：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tc>
        <w:tc>
          <w:tcPr>
            <w:tcW w:w="3936"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乙方名称：</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邮    编：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电    话：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传    真：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    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tc>
      </w:tr>
      <w:bookmarkEnd w:id="60"/>
      <w:bookmarkEnd w:id="61"/>
      <w:bookmarkEnd w:id="62"/>
      <w:bookmarkEnd w:id="63"/>
    </w:tbl>
    <w:p>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pPr>
        <w:spacing w:line="480" w:lineRule="exact"/>
        <w:ind w:firstLine="480" w:firstLineChars="20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pPr>
        <w:bidi w:val="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二、合同条款</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第一条 本着平等互惠、互相支持、共同发展的原则，就甲方针对本项目的事宜， 经甲乙双方友好协商， 共同签署本合同，以资共同遵守。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第二条 服务定义：根据甲方需要，乙方为甲方提供该项目的服务等业务。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第四条 服务期限，从    年  月  日起至    年  月   日。</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第五条 服务费用：人民币       元，合计人民币       元。</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条 甲方的权利</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1、甲方有权享有乙方按照上述约定提供的服务。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4、除本合同约定的服务费用外，乙方不得向甲方及其甲方人员收取其他任何费用，如甲方发现乙方有此类行为，甲方有权要求乙方清退所收费用，退还利息并支付违约金；</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5、对乙方相关服务资料的所有权、使用权的约定：归甲方所有。乙方不得以任何借口留存，否则承担由此产生的一切法律和经济责任。未经甲方允许，任何单位和个人不得转让和使用本项目的相关内容。</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条 甲方的义务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1、在服务实施过程中，甲方应为乙方提供必要的工作便利与指导，配合乙方履行职责。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2、甲方不得将本合同的内容向甲乙双方以外的、与签订和履行本合同无关的任何第三方透露，不得泄露乙方的商业秘密（包括本合同及其附件和合同签订前的各项方案）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第九条 任何一方违反或擅自变更本合同的约定，应当承担由此给对方造成的经济损失和相关责任。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条甲方违约责任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1、由于甲方的原因或因不可抗力的自然因素影响，则服务周期顺延。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2、对于乙方提供的资料以及属于乙方的内容，甲方有义务保密，不得向第三方提供或用于本合同以外的项目，否则乙方有权要求甲方按本合同项目款总额的20%赔偿损失。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条乙方违约责任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1、合同签订后，如乙方擅自中途停止或解除合同，乙方应向甲方双倍返还定金。没有约定定金的，乙方向甲方赔偿服务价款。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2、在甲方提供了必要的工作、生活条件，并且保证了项目款按时到位，乙方未能按合同规定的日期提供服务时，应向甲方赔偿拖期损失费，每天的拖期损失费按合同约定的项目总价款。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3、因天气、交通、政府行为、甲方提供的资料不准确等客观原因造成的服务周期拖期，乙方不承担赔偿责任。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7、在合同期内和合同终止后，乙方应负责所有资料的保密，非经甲方书面认可，不得向任何人以任何方式提供任何资料。严格按甲方要求程序传递各种资料，否则甲方有权单方解除合同，并追回所付项目款。</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8、乙方若擅自转包或分包本合同标的，甲方有权解除合同，并可要求乙方偿付预算30%的违约金，同时追究其法律责任。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 xml:space="preserve">条 因执行本合同发生的一切争议，双方应首先友好协商解决。经协商不能解决，应向甲方所在地人民法院提起诉讼。在诉讼期间，除必须在诉讼过程中进行解决的问题外，合同其余部分应继续履行。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 xml:space="preserve">条 甲、乙双方有一方有正当理由要求变更本合同，须提前一个月以书面形式通知对方并协商解决，双方应签署变更合同。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 xml:space="preserve">条 本合同期满双方不再续约或者因一方违约导致本合同无法履行，则本合同终止。但合同的终止不得损害第三方的利益，双方应为此做出合理安排。 </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条 未经对方同意，甲乙任何一方不得将本合同部分或全部权利和义务转让给第三方。</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条 本合同中涉及的所有“通知”、“同意”、“确认” 等事项均应以书面形式做出，并作为依据。</w:t>
      </w:r>
    </w:p>
    <w:p>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left"/>
        <w:textAlignment w:val="auto"/>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 xml:space="preserve">条 本合同有关附件及补充合同是本合同不可分割的组成部分，与本合同具有同等法律效力；本合同未尽事宜，双方另行协商并签署补充合同，作为本合同的附件，具有同等法律效力。 </w:t>
      </w:r>
    </w:p>
    <w:p>
      <w:pPr>
        <w:rPr>
          <w:rFonts w:hint="eastAsia" w:ascii="仿宋" w:hAnsi="仿宋" w:eastAsia="仿宋" w:cs="仿宋"/>
          <w:highlight w:val="none"/>
        </w:rPr>
      </w:pPr>
      <w:bookmarkStart w:id="64" w:name="_Toc32022"/>
      <w:r>
        <w:rPr>
          <w:rFonts w:hint="eastAsia" w:ascii="仿宋" w:hAnsi="仿宋" w:eastAsia="仿宋" w:cs="仿宋"/>
          <w:highlight w:val="none"/>
        </w:rPr>
        <w:br w:type="page"/>
      </w:r>
    </w:p>
    <w:p>
      <w:pPr>
        <w:pStyle w:val="2"/>
        <w:bidi w:val="0"/>
        <w:jc w:val="center"/>
        <w:rPr>
          <w:rFonts w:hint="eastAsia" w:ascii="仿宋" w:hAnsi="仿宋" w:eastAsia="仿宋" w:cs="仿宋"/>
          <w:highlight w:val="none"/>
        </w:rPr>
      </w:pPr>
      <w:r>
        <w:rPr>
          <w:rFonts w:hint="eastAsia" w:ascii="仿宋" w:hAnsi="仿宋" w:eastAsia="仿宋" w:cs="仿宋"/>
          <w:highlight w:val="none"/>
        </w:rPr>
        <w:t>第六章  竞争性磋商响应文件格式</w:t>
      </w:r>
      <w:bookmarkEnd w:id="64"/>
    </w:p>
    <w:p>
      <w:pPr>
        <w:spacing w:line="5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竞争性磋商响应文件编制说明</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1、竞争性磋商响应文件应当按照竞争性磋商文件给定的格式和要求编制，格式之外的可自行编写。</w:t>
      </w:r>
    </w:p>
    <w:p>
      <w:pPr>
        <w:spacing w:line="56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3、纸质竞争性磋商响应文件均须A4纸打印（提倡双面打印），分别各自装订成册并编制目录和页码。</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4、竞争性磋商响应文件正本中的法人授权书须为原件，其它资质证明文件为复印件加盖供应商公章（鲜章）。副本可以是正本的复印件。</w:t>
      </w: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right="140"/>
        <w:rPr>
          <w:rFonts w:hint="eastAsia" w:ascii="仿宋" w:hAnsi="仿宋" w:eastAsia="仿宋" w:cs="仿宋"/>
          <w:color w:val="000000" w:themeColor="text1"/>
          <w:sz w:val="36"/>
          <w:szCs w:val="36"/>
          <w:highlight w:val="none"/>
          <w14:textFill>
            <w14:solidFill>
              <w14:schemeClr w14:val="tx1"/>
            </w14:solidFill>
          </w14:textFill>
        </w:rPr>
      </w:pPr>
    </w:p>
    <w:p>
      <w:pPr>
        <w:rPr>
          <w:rFonts w:hint="eastAsia" w:ascii="仿宋" w:hAnsi="仿宋" w:eastAsia="仿宋" w:cs="仿宋"/>
          <w:b/>
          <w:color w:val="000000" w:themeColor="text1"/>
          <w:sz w:val="20"/>
          <w:szCs w:val="20"/>
          <w:highlight w:val="none"/>
          <w:u w:val="wavyHeavy" w:color="FF0000"/>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文件编号: </w:t>
      </w:r>
      <w:r>
        <w:rPr>
          <w:rFonts w:hint="eastAsia" w:ascii="仿宋" w:hAnsi="仿宋" w:eastAsia="仿宋" w:cs="仿宋"/>
          <w:b/>
          <w:color w:val="000000" w:themeColor="text1"/>
          <w:sz w:val="36"/>
          <w:szCs w:val="36"/>
          <w:highlight w:val="none"/>
          <w:lang w:eastAsia="zh-CN"/>
          <w14:textFill>
            <w14:solidFill>
              <w14:schemeClr w14:val="tx1"/>
            </w14:solidFill>
          </w14:textFill>
        </w:rPr>
        <w:t>HZGH-2023-060</w:t>
      </w: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pStyle w:val="11"/>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农村生活饮用水检测项目</w:t>
      </w: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r>
        <w:rPr>
          <w:rFonts w:hint="eastAsia" w:ascii="仿宋" w:hAnsi="仿宋" w:eastAsia="仿宋" w:cs="仿宋"/>
          <w:b/>
          <w:color w:val="000000" w:themeColor="text1"/>
          <w:sz w:val="52"/>
          <w:szCs w:val="52"/>
          <w:highlight w:val="none"/>
          <w14:textFill>
            <w14:solidFill>
              <w14:schemeClr w14:val="tx1"/>
            </w14:solidFill>
          </w14:textFill>
        </w:rPr>
        <w:t>竞争性磋商响应文件</w:t>
      </w: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highlight w:val="none"/>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687" w:firstLineChars="600"/>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   应   商：</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color w:val="000000" w:themeColor="text1"/>
          <w:sz w:val="13"/>
          <w:szCs w:val="13"/>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时        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697" w:firstLineChars="837"/>
        <w:textAlignment w:val="auto"/>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ind w:firstLine="3697" w:firstLineChars="837"/>
        <w:rPr>
          <w:rFonts w:hint="eastAsia" w:ascii="仿宋" w:hAnsi="仿宋" w:eastAsia="仿宋" w:cs="仿宋"/>
          <w:b/>
          <w:color w:val="000000" w:themeColor="text1"/>
          <w:sz w:val="44"/>
          <w:szCs w:val="44"/>
          <w:highlight w:val="none"/>
          <w14:textFill>
            <w14:solidFill>
              <w14:schemeClr w14:val="tx1"/>
            </w14:solidFill>
          </w14:textFill>
        </w:rPr>
      </w:pPr>
    </w:p>
    <w:p>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pStyle w:val="18"/>
        <w:rPr>
          <w:rFonts w:hint="eastAsia"/>
          <w:highlight w:val="none"/>
        </w:rPr>
      </w:pPr>
    </w:p>
    <w:p>
      <w:pPr>
        <w:spacing w:line="480" w:lineRule="exact"/>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1.竞争性磋商函（格式）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2.磋商报价一览表（格式）</w:t>
      </w:r>
    </w:p>
    <w:p>
      <w:pPr>
        <w:spacing w:line="480" w:lineRule="auto"/>
        <w:ind w:firstLine="2551" w:firstLineChars="1063"/>
        <w:jc w:val="both"/>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分项报价表（格式自拟）</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2020年1月1日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同类项目业绩</w:t>
      </w:r>
      <w:r>
        <w:rPr>
          <w:rFonts w:hint="eastAsia" w:ascii="仿宋" w:hAnsi="仿宋" w:eastAsia="仿宋" w:cs="仿宋"/>
          <w:color w:val="000000" w:themeColor="text1"/>
          <w:sz w:val="24"/>
          <w:highlight w:val="none"/>
          <w14:textFill>
            <w14:solidFill>
              <w14:schemeClr w14:val="tx1"/>
            </w14:solidFill>
          </w14:textFill>
        </w:rPr>
        <w:t>（提供合同复印件加盖公章）</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8、服务方案</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9、人员及服务能力</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10、质量保证承诺</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11、合理化建议</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12、履约承诺</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13、服务承诺</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.供应商认为有必要说明的事宜（若有）</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14:textFill>
            <w14:solidFill>
              <w14:schemeClr w14:val="tx1"/>
            </w14:solidFill>
          </w14:textFill>
        </w:rPr>
        <w:t>.供应商拒绝政府采购领域商业贿赂承诺书（格式）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.《中小企业声明函》</w:t>
      </w:r>
    </w:p>
    <w:p>
      <w:pPr>
        <w:spacing w:line="480" w:lineRule="auto"/>
        <w:ind w:firstLine="2551" w:firstLineChars="1063"/>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val="en-US" w:eastAsia="zh-CN"/>
          <w14:textFill>
            <w14:solidFill>
              <w14:schemeClr w14:val="tx1"/>
            </w14:solidFill>
          </w14:textFill>
        </w:rPr>
        <w:t>7</w:t>
      </w:r>
      <w:r>
        <w:rPr>
          <w:rFonts w:hint="eastAsia" w:ascii="仿宋" w:hAnsi="仿宋" w:eastAsia="仿宋" w:cs="仿宋"/>
          <w:bCs/>
          <w:color w:val="000000" w:themeColor="text1"/>
          <w:sz w:val="24"/>
          <w:highlight w:val="none"/>
          <w14:textFill>
            <w14:solidFill>
              <w14:schemeClr w14:val="tx1"/>
            </w14:solidFill>
          </w14:textFill>
        </w:rPr>
        <w:t>.《残疾人福利性单位声明函》</w:t>
      </w:r>
      <w:r>
        <w:rPr>
          <w:rFonts w:hint="eastAsia" w:ascii="仿宋" w:hAnsi="仿宋" w:eastAsia="仿宋" w:cs="仿宋"/>
          <w:color w:val="000000" w:themeColor="text1"/>
          <w:sz w:val="24"/>
          <w:highlight w:val="none"/>
          <w14:textFill>
            <w14:solidFill>
              <w14:schemeClr w14:val="tx1"/>
            </w14:solidFill>
          </w14:textFill>
        </w:rPr>
        <w:t>（格式，若有）</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18.《监狱、戒毒企业声明函》（格式，若有）</w:t>
      </w:r>
    </w:p>
    <w:p>
      <w:pPr>
        <w:spacing w:line="600" w:lineRule="exact"/>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6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1.竞争性磋商函</w:t>
      </w:r>
      <w:r>
        <w:rPr>
          <w:rFonts w:hint="eastAsia" w:ascii="仿宋" w:hAnsi="仿宋" w:eastAsia="仿宋" w:cs="仿宋"/>
          <w:bCs/>
          <w:color w:val="000000" w:themeColor="text1"/>
          <w:sz w:val="22"/>
          <w:szCs w:val="22"/>
          <w:highlight w:val="none"/>
          <w14:textFill>
            <w14:solidFill>
              <w14:schemeClr w14:val="tx1"/>
            </w14:solidFill>
          </w14:textFill>
        </w:rPr>
        <w:t>（格式）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致：</w:t>
      </w:r>
      <w:r>
        <w:rPr>
          <w:rFonts w:hint="eastAsia" w:ascii="仿宋" w:hAnsi="仿宋" w:eastAsia="仿宋" w:cs="仿宋"/>
          <w:b/>
          <w:color w:val="000000" w:themeColor="text1"/>
          <w:sz w:val="24"/>
          <w:highlight w:val="none"/>
          <w:lang w:eastAsia="zh-CN"/>
          <w14:textFill>
            <w14:solidFill>
              <w14:schemeClr w14:val="tx1"/>
            </w14:solidFill>
          </w14:textFill>
        </w:rPr>
        <w:t>华招广和项目管理有限公司</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根据贵单位</w:t>
      </w:r>
      <w:r>
        <w:rPr>
          <w:rFonts w:hint="eastAsia" w:ascii="仿宋" w:hAnsi="仿宋" w:eastAsia="仿宋" w:cs="仿宋"/>
          <w:color w:val="000000" w:themeColor="text1"/>
          <w:sz w:val="24"/>
          <w:highlight w:val="none"/>
          <w:u w:val="single"/>
          <w14:textFill>
            <w14:solidFill>
              <w14:schemeClr w14:val="tx1"/>
            </w14:solidFill>
          </w14:textFill>
        </w:rPr>
        <w:t xml:space="preserve">         （采购项目名称）    </w:t>
      </w:r>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的磋商公告，我方代表</w:t>
      </w:r>
      <w:r>
        <w:rPr>
          <w:rFonts w:hint="eastAsia" w:ascii="仿宋" w:hAnsi="仿宋" w:eastAsia="仿宋" w:cs="仿宋"/>
          <w:color w:val="000000" w:themeColor="text1"/>
          <w:sz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 xml:space="preserve">     （供应商名称）     </w:t>
      </w:r>
      <w:r>
        <w:rPr>
          <w:rFonts w:hint="eastAsia" w:ascii="仿宋" w:hAnsi="仿宋" w:eastAsia="仿宋" w:cs="仿宋"/>
          <w:color w:val="000000" w:themeColor="text1"/>
          <w:sz w:val="24"/>
          <w:highlight w:val="none"/>
          <w14:textFill>
            <w14:solidFill>
              <w14:schemeClr w14:val="tx1"/>
            </w14:solidFill>
          </w14:textFill>
        </w:rPr>
        <w:t>就该项目进行磋商。</w:t>
      </w:r>
    </w:p>
    <w:p>
      <w:pPr>
        <w:keepNext w:val="0"/>
        <w:keepLines w:val="0"/>
        <w:pageBreakBefore w:val="0"/>
        <w:widowControl w:val="0"/>
        <w:kinsoku/>
        <w:wordWrap/>
        <w:overflowPunct/>
        <w:topLinePunct w:val="0"/>
        <w:bidi w:val="0"/>
        <w:snapToGrid/>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在此，我方郑重声明以下诸点，并负法律责任：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1、我方提交的竞争性磋商响应文件正本一份，副本叁份，电子文件一份。</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2、我方所附磋商报价表中应提交和交付的货物/服务磋商总价为人民币：</w:t>
      </w:r>
      <w:r>
        <w:rPr>
          <w:rFonts w:hint="eastAsia" w:ascii="仿宋" w:hAnsi="仿宋" w:eastAsia="仿宋" w:cs="仿宋"/>
          <w:color w:val="000000" w:themeColor="text1"/>
          <w:sz w:val="24"/>
          <w:highlight w:val="none"/>
          <w:u w:val="single"/>
          <w14:textFill>
            <w14:solidFill>
              <w14:schemeClr w14:val="tx1"/>
            </w14:solidFill>
          </w14:textFill>
        </w:rPr>
        <w:t>（同时用汉字大写和数字表示的磋商总价）</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3、我方已详细审阅全部竞争性磋商文件，完全理解并同意放弃对这方面有不明及误解质疑的权力。</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4、我方完全理解并同意竞争性磋商</w:t>
      </w:r>
      <w:r>
        <w:rPr>
          <w:rFonts w:hint="eastAsia" w:ascii="仿宋" w:hAnsi="仿宋" w:eastAsia="仿宋" w:cs="仿宋"/>
          <w:color w:val="000000" w:themeColor="text1"/>
          <w:sz w:val="24"/>
          <w:highlight w:val="none"/>
          <w:lang w:eastAsia="zh-CN"/>
          <w14:textFill>
            <w14:solidFill>
              <w14:schemeClr w14:val="tx1"/>
            </w14:solidFill>
          </w14:textFill>
        </w:rPr>
        <w:t>文件</w:t>
      </w:r>
      <w:r>
        <w:rPr>
          <w:rFonts w:hint="eastAsia" w:ascii="仿宋" w:hAnsi="仿宋" w:eastAsia="仿宋" w:cs="仿宋"/>
          <w:color w:val="000000" w:themeColor="text1"/>
          <w:sz w:val="24"/>
          <w:highlight w:val="none"/>
          <w14:textFill>
            <w14:solidFill>
              <w14:schemeClr w14:val="tx1"/>
            </w14:solidFill>
          </w14:textFill>
        </w:rPr>
        <w:t>中拒绝投标的条款。</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5、我方同意按照要求提供磋商有关的一切数据或资料。</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6、我方将按竞争性磋商文件的规定履行合同责任和义务。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7、我方完全理解最低报价不是成交的唯一条件，采购人权选择质优价廉的货物/服务。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8、我方同意按竞争性磋商文件规定，遵守贵方有关采购的各项规定。</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9、若我方被选为成交供应商，我方保证按有关规定向贵方支付招标服务费。</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10、磋商响应有效期为自提交磋商响应文件的截止之日起90个日历日。</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11、所有关于本项目的函电，请按下列地址联系：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 细 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政 编 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       话：</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       真：</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子 邮 件：</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开 户 银 行：</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帐       号：</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rPr>
          <w:rFonts w:hint="eastAsia" w:ascii="仿宋" w:hAnsi="仿宋" w:eastAsia="仿宋" w:cs="仿宋"/>
          <w:color w:val="000000" w:themeColor="text1"/>
          <w:sz w:val="24"/>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3360" w:firstLineChars="1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授权</w:t>
      </w:r>
      <w:r>
        <w:rPr>
          <w:rFonts w:hint="eastAsia" w:ascii="仿宋" w:hAnsi="仿宋" w:eastAsia="仿宋" w:cs="仿宋"/>
          <w:color w:val="000000" w:themeColor="text1"/>
          <w:sz w:val="24"/>
          <w:highlight w:val="none"/>
          <w:lang w:val="zh-CN"/>
          <w14:textFill>
            <w14:solidFill>
              <w14:schemeClr w14:val="tx1"/>
            </w14:solidFill>
          </w14:textFill>
        </w:rPr>
        <w:t>代表签名：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3960" w:firstLineChars="165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联系电话/手机：</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sectPr>
          <w:headerReference r:id="rId12" w:type="first"/>
          <w:footerReference r:id="rId14" w:type="first"/>
          <w:headerReference r:id="rId11" w:type="default"/>
          <w:footerReference r:id="rId13" w:type="default"/>
          <w:pgSz w:w="11907" w:h="16840"/>
          <w:pgMar w:top="1418" w:right="1287" w:bottom="936" w:left="1259" w:header="907" w:footer="654" w:gutter="0"/>
          <w:pgBorders>
            <w:top w:val="none" w:sz="0" w:space="0"/>
            <w:left w:val="none" w:sz="0" w:space="0"/>
            <w:bottom w:val="none" w:sz="0" w:space="0"/>
            <w:right w:val="none" w:sz="0" w:space="0"/>
          </w:pgBorders>
          <w:cols w:space="720" w:num="1"/>
          <w:titlePg/>
          <w:docGrid w:linePitch="312" w:charSpace="0"/>
        </w:sectPr>
      </w:pPr>
    </w:p>
    <w:p>
      <w:pPr>
        <w:pStyle w:val="41"/>
        <w:ind w:firstLine="562"/>
        <w:rPr>
          <w:rFonts w:hint="eastAsia" w:ascii="仿宋" w:hAnsi="仿宋" w:eastAsia="仿宋" w:cs="仿宋"/>
          <w:b/>
          <w:color w:val="000000" w:themeColor="text1"/>
          <w:highlight w:val="none"/>
          <w14:textFill>
            <w14:solidFill>
              <w14:schemeClr w14:val="tx1"/>
            </w14:solidFill>
          </w14:textFill>
        </w:rPr>
      </w:pPr>
      <w:bookmarkStart w:id="65" w:name="_Toc188808834"/>
      <w:bookmarkStart w:id="66" w:name="_Toc193126882"/>
      <w:bookmarkStart w:id="67" w:name="_Toc193187098"/>
      <w:bookmarkStart w:id="68" w:name="_Toc194663919"/>
      <w:r>
        <w:rPr>
          <w:rFonts w:hint="eastAsia" w:ascii="仿宋" w:hAnsi="仿宋" w:eastAsia="仿宋" w:cs="仿宋"/>
          <w:b/>
          <w:color w:val="000000" w:themeColor="text1"/>
          <w:highlight w:val="none"/>
          <w14:textFill>
            <w14:solidFill>
              <w14:schemeClr w14:val="tx1"/>
            </w14:solidFill>
          </w14:textFill>
        </w:rPr>
        <w:t>2.磋商报价一览表</w:t>
      </w:r>
      <w:bookmarkEnd w:id="65"/>
      <w:bookmarkEnd w:id="66"/>
      <w:bookmarkEnd w:id="67"/>
      <w:bookmarkEnd w:id="68"/>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ind w:firstLine="723" w:firstLineChars="200"/>
        <w:jc w:val="center"/>
        <w:rPr>
          <w:rFonts w:hint="eastAsia" w:ascii="仿宋" w:hAnsi="仿宋" w:eastAsia="仿宋" w:cs="仿宋"/>
          <w:b/>
          <w:bCs/>
          <w:color w:val="000000" w:themeColor="text1"/>
          <w:sz w:val="36"/>
          <w:szCs w:val="21"/>
          <w:highlight w:val="none"/>
          <w14:textFill>
            <w14:solidFill>
              <w14:schemeClr w14:val="tx1"/>
            </w14:solidFill>
          </w14:textFill>
        </w:rPr>
      </w:pP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供应商名称：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tbl>
      <w:tblPr>
        <w:tblStyle w:val="24"/>
        <w:tblW w:w="141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2"/>
        <w:gridCol w:w="5135"/>
        <w:gridCol w:w="6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822" w:type="dxa"/>
            <w:vAlign w:val="center"/>
          </w:tcPr>
          <w:p>
            <w:pPr>
              <w:spacing w:line="480" w:lineRule="exact"/>
              <w:ind w:right="143" w:rightChars="68" w:firstLine="118" w:firstLineChars="49"/>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p>
        </w:tc>
        <w:tc>
          <w:tcPr>
            <w:tcW w:w="5135" w:type="dxa"/>
            <w:vAlign w:val="center"/>
          </w:tcPr>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磋商报价（人民币:元）</w:t>
            </w:r>
          </w:p>
        </w:tc>
        <w:tc>
          <w:tcPr>
            <w:tcW w:w="6186" w:type="dxa"/>
            <w:tcMar>
              <w:top w:w="57" w:type="dxa"/>
              <w:left w:w="28" w:type="dxa"/>
              <w:bottom w:w="57" w:type="dxa"/>
              <w:right w:w="28" w:type="dxa"/>
            </w:tcMar>
            <w:vAlign w:val="center"/>
          </w:tcPr>
          <w:p>
            <w:pPr>
              <w:spacing w:line="48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服务期限</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月</w:t>
            </w:r>
            <w:r>
              <w:rPr>
                <w:rFonts w:hint="eastAsia" w:ascii="仿宋" w:hAnsi="仿宋" w:eastAsia="仿宋" w:cs="仿宋"/>
                <w:b/>
                <w:color w:val="000000" w:themeColor="text1"/>
                <w:sz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2822" w:type="dxa"/>
            <w:vMerge w:val="restart"/>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5135" w:type="dxa"/>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2822" w:type="dxa"/>
            <w:vMerge w:val="continue"/>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321" w:type="dxa"/>
            <w:gridSpan w:val="2"/>
            <w:vAlign w:val="top"/>
          </w:tcPr>
          <w:p>
            <w:pPr>
              <w:spacing w:line="480" w:lineRule="exact"/>
              <w:ind w:left="210" w:leftChars="1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（大写）                                </w:t>
            </w:r>
          </w:p>
        </w:tc>
      </w:tr>
    </w:tbl>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（全称、签章）                            电话：</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法定代表人或被授权人：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（盖章或签字）        </w:t>
      </w:r>
    </w:p>
    <w:p>
      <w:pPr>
        <w:keepNext w:val="0"/>
        <w:keepLines w:val="0"/>
        <w:pageBreakBefore w:val="0"/>
        <w:widowControl w:val="0"/>
        <w:kinsoku/>
        <w:wordWrap/>
        <w:overflowPunct/>
        <w:topLinePunct w:val="0"/>
        <w:autoSpaceDE/>
        <w:autoSpaceDN/>
        <w:bidi w:val="0"/>
        <w:adjustRightInd/>
        <w:snapToGrid/>
        <w:spacing w:after="100" w:afterAutospacing="1" w:line="640" w:lineRule="exact"/>
        <w:jc w:val="left"/>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highlight w:val="none"/>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p>
    <w:p>
      <w:pPr>
        <w:numPr>
          <w:ilvl w:val="0"/>
          <w:numId w:val="1"/>
        </w:numPr>
        <w:spacing w:after="100" w:afterAutospacing="1" w:line="480" w:lineRule="auto"/>
        <w:ind w:left="0" w:leftChars="0" w:firstLine="0" w:firstLineChars="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分项报价表</w:t>
      </w:r>
    </w:p>
    <w:p>
      <w:pPr>
        <w:spacing w:line="440" w:lineRule="exact"/>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格式自拟</w:t>
      </w:r>
    </w:p>
    <w:p>
      <w:pPr>
        <w:spacing w:line="440" w:lineRule="exact"/>
        <w:rPr>
          <w:rFonts w:hint="eastAsia" w:ascii="仿宋" w:hAnsi="仿宋" w:eastAsia="仿宋" w:cs="仿宋"/>
          <w:color w:val="auto"/>
          <w:sz w:val="24"/>
          <w:highlight w:val="none"/>
        </w:rPr>
      </w:pPr>
    </w:p>
    <w:p>
      <w:pPr>
        <w:pStyle w:val="11"/>
        <w:rPr>
          <w:rFonts w:hint="eastAsia" w:ascii="仿宋" w:hAnsi="仿宋" w:eastAsia="仿宋" w:cs="仿宋"/>
          <w:sz w:val="24"/>
          <w:szCs w:val="24"/>
          <w:highlight w:val="none"/>
          <w:lang w:val="en-US" w:eastAsia="zh-CN"/>
        </w:rPr>
        <w:sectPr>
          <w:headerReference r:id="rId16" w:type="first"/>
          <w:headerReference r:id="rId15" w:type="default"/>
          <w:footerReference r:id="rId17" w:type="default"/>
          <w:pgSz w:w="16840" w:h="11907" w:orient="landscape"/>
          <w:pgMar w:top="1259" w:right="1418" w:bottom="1287" w:left="936" w:header="851" w:footer="1021"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highlight w:val="none"/>
        </w:rPr>
        <w:t xml:space="preserve">       </w:t>
      </w:r>
    </w:p>
    <w:p>
      <w:pPr>
        <w:pStyle w:val="41"/>
        <w:ind w:firstLine="562"/>
        <w:rPr>
          <w:rFonts w:hint="eastAsia" w:ascii="仿宋" w:hAnsi="仿宋" w:eastAsia="仿宋" w:cs="仿宋"/>
          <w:b/>
          <w:color w:val="000000" w:themeColor="text1"/>
          <w:szCs w:val="28"/>
          <w:highlight w:val="none"/>
          <w14:textFill>
            <w14:solidFill>
              <w14:schemeClr w14:val="tx1"/>
            </w14:solidFill>
          </w14:textFill>
        </w:rPr>
      </w:pPr>
      <w:bookmarkStart w:id="69" w:name="_Toc49019236"/>
      <w:bookmarkStart w:id="70" w:name="_Toc47261690"/>
      <w:bookmarkStart w:id="71" w:name="_Toc48995851"/>
      <w:bookmarkStart w:id="72" w:name="_Toc188808839"/>
      <w:bookmarkStart w:id="73" w:name="_Toc47262069"/>
      <w:bookmarkStart w:id="74" w:name="_Toc193187104"/>
      <w:bookmarkStart w:id="75" w:name="_Toc47418731"/>
      <w:bookmarkStart w:id="76" w:name="_Toc47418255"/>
      <w:bookmarkStart w:id="77" w:name="_Toc49019497"/>
      <w:bookmarkStart w:id="78" w:name="_Toc47418938"/>
      <w:bookmarkStart w:id="79" w:name="_Toc194663925"/>
      <w:bookmarkStart w:id="80" w:name="_Toc47261885"/>
      <w:bookmarkStart w:id="81" w:name="_Toc193126888"/>
      <w:bookmarkStart w:id="82" w:name="_Toc13908"/>
      <w:bookmarkStart w:id="83" w:name="_Toc48791235"/>
      <w:bookmarkStart w:id="84" w:name="_Toc237"/>
      <w:bookmarkStart w:id="85" w:name="_Toc458617477"/>
      <w:r>
        <w:rPr>
          <w:rFonts w:hint="eastAsia" w:ascii="仿宋" w:hAnsi="仿宋" w:eastAsia="仿宋" w:cs="仿宋"/>
          <w:b/>
          <w:color w:val="000000" w:themeColor="text1"/>
          <w:szCs w:val="28"/>
          <w:highlight w:val="none"/>
          <w:lang w:val="en-US" w:eastAsia="zh-CN"/>
          <w14:textFill>
            <w14:solidFill>
              <w14:schemeClr w14:val="tx1"/>
            </w14:solidFill>
          </w14:textFill>
        </w:rPr>
        <w:t>4</w:t>
      </w:r>
      <w:r>
        <w:rPr>
          <w:rFonts w:hint="eastAsia" w:ascii="仿宋" w:hAnsi="仿宋" w:eastAsia="仿宋" w:cs="仿宋"/>
          <w:b/>
          <w:color w:val="000000" w:themeColor="text1"/>
          <w:szCs w:val="28"/>
          <w:highlight w:val="none"/>
          <w14:textFill>
            <w14:solidFill>
              <w14:schemeClr w14:val="tx1"/>
            </w14:solidFill>
          </w14:textFill>
        </w:rPr>
        <w:t>、商务条款响应偏离表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4"/>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54"/>
        <w:gridCol w:w="2829"/>
        <w:gridCol w:w="1394"/>
        <w:gridCol w:w="13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275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磋商文件商务要求</w:t>
            </w:r>
          </w:p>
        </w:tc>
        <w:tc>
          <w:tcPr>
            <w:tcW w:w="282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磋商响应文件商务响应</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440" w:lineRule="exact"/>
        <w:rPr>
          <w:rFonts w:hint="eastAsia" w:ascii="仿宋" w:hAnsi="仿宋" w:eastAsia="仿宋" w:cs="仿宋"/>
          <w:b/>
          <w:bCs/>
          <w:color w:val="000000" w:themeColor="text1"/>
          <w:sz w:val="24"/>
          <w:highlight w:val="none"/>
          <w:lang w:val="zh-CN" w:eastAsia="zh-CN"/>
          <w14:textFill>
            <w14:solidFill>
              <w14:schemeClr w14:val="tx1"/>
            </w14:solidFill>
          </w14:textFill>
        </w:rPr>
      </w:pPr>
    </w:p>
    <w:p>
      <w:pPr>
        <w:spacing w:line="440" w:lineRule="exact"/>
        <w:rPr>
          <w:rFonts w:hint="eastAsia" w:ascii="仿宋" w:hAnsi="仿宋" w:eastAsia="仿宋" w:cs="仿宋"/>
          <w:sz w:val="24"/>
          <w:highlight w:val="none"/>
          <w:lang w:val="zh-CN"/>
        </w:rPr>
      </w:pPr>
      <w:r>
        <w:rPr>
          <w:rFonts w:hint="eastAsia" w:ascii="仿宋" w:hAnsi="仿宋" w:eastAsia="仿宋" w:cs="仿宋"/>
          <w:b/>
          <w:bCs/>
          <w:color w:val="auto"/>
          <w:sz w:val="22"/>
          <w:szCs w:val="22"/>
          <w:highlight w:val="none"/>
          <w:lang w:eastAsia="zh-CN"/>
        </w:rPr>
        <w:t>注：本表按照磋商文件第四章《</w:t>
      </w:r>
      <w:r>
        <w:rPr>
          <w:rFonts w:hint="eastAsia" w:ascii="仿宋" w:hAnsi="仿宋" w:eastAsia="仿宋" w:cs="仿宋"/>
          <w:b/>
          <w:bCs/>
          <w:color w:val="auto"/>
          <w:sz w:val="22"/>
          <w:szCs w:val="22"/>
          <w:highlight w:val="none"/>
          <w:lang w:val="en-US" w:eastAsia="zh-CN"/>
        </w:rPr>
        <w:t>商务要求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逐条响应，否则按无效投标处理。</w:t>
      </w:r>
      <w:r>
        <w:rPr>
          <w:rFonts w:hint="eastAsia" w:ascii="仿宋" w:hAnsi="仿宋" w:eastAsia="仿宋" w:cs="仿宋"/>
          <w:b/>
          <w:bCs/>
          <w:color w:val="auto"/>
          <w:sz w:val="22"/>
          <w:szCs w:val="22"/>
          <w:highlight w:val="none"/>
          <w:u w:val="none"/>
          <w:lang w:val="en-US" w:eastAsia="zh-CN"/>
        </w:rPr>
        <w:t>偏离情况填写：优于、等于或者低于，偏离说明对偏离情况做出详细说明。</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sectPr>
          <w:headerReference r:id="rId19" w:type="first"/>
          <w:footerReference r:id="rId21" w:type="first"/>
          <w:headerReference r:id="rId18" w:type="default"/>
          <w:footerReference r:id="rId20"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pPr>
    </w:p>
    <w:p>
      <w:pPr>
        <w:pStyle w:val="41"/>
        <w:ind w:firstLine="562"/>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lang w:val="en-US" w:eastAsia="zh-CN"/>
          <w14:textFill>
            <w14:solidFill>
              <w14:schemeClr w14:val="tx1"/>
            </w14:solidFill>
          </w14:textFill>
        </w:rPr>
        <w:t>5</w:t>
      </w:r>
      <w:r>
        <w:rPr>
          <w:rFonts w:hint="eastAsia" w:ascii="仿宋" w:hAnsi="仿宋" w:eastAsia="仿宋" w:cs="仿宋"/>
          <w:b/>
          <w:color w:val="000000" w:themeColor="text1"/>
          <w:szCs w:val="28"/>
          <w:highlight w:val="none"/>
          <w14:textFill>
            <w14:solidFill>
              <w14:schemeClr w14:val="tx1"/>
            </w14:solidFill>
          </w14:textFill>
        </w:rPr>
        <w:t>、服务条款响应偏离表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240" w:lineRule="exact"/>
        <w:ind w:left="210" w:leftChars="100"/>
        <w:rPr>
          <w:rFonts w:hint="eastAsia" w:ascii="仿宋" w:hAnsi="仿宋" w:eastAsia="仿宋" w:cs="仿宋"/>
          <w:b/>
          <w:bCs/>
          <w:color w:val="000000" w:themeColor="text1"/>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4"/>
        <w:tblW w:w="95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16"/>
        <w:gridCol w:w="2300"/>
        <w:gridCol w:w="2767"/>
        <w:gridCol w:w="1314"/>
        <w:gridCol w:w="1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1116"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服务内容</w:t>
            </w:r>
          </w:p>
        </w:tc>
        <w:tc>
          <w:tcPr>
            <w:tcW w:w="2300"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磋商文件服务要求</w:t>
            </w:r>
          </w:p>
        </w:tc>
        <w:tc>
          <w:tcPr>
            <w:tcW w:w="2767"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磋商响应文件服务响应</w:t>
            </w:r>
          </w:p>
        </w:tc>
        <w:tc>
          <w:tcPr>
            <w:tcW w:w="131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29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240" w:lineRule="auto"/>
        <w:ind w:left="210" w:leftChars="100"/>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注：本表请按项目的实际技术要求，逐条对应磋商文件第三章《</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服务内容及要求</w:t>
      </w: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认真填写，偏离情况填写：优于、等于或低于，偏离说明对偏离情况做出详细说明。</w:t>
      </w:r>
    </w:p>
    <w:p>
      <w:pPr>
        <w:spacing w:line="440" w:lineRule="exact"/>
        <w:rPr>
          <w:rFonts w:hint="eastAsia" w:ascii="仿宋" w:hAnsi="仿宋" w:eastAsia="仿宋" w:cs="仿宋"/>
          <w:color w:val="000000" w:themeColor="text1"/>
          <w:sz w:val="24"/>
          <w:highlight w:val="none"/>
          <w:lang w:val="zh-CN"/>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pStyle w:val="41"/>
        <w:ind w:firstLineChars="7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14:textFill>
            <w14:solidFill>
              <w14:schemeClr w14:val="tx1"/>
            </w14:solidFill>
          </w14:textFill>
        </w:rPr>
        <w:br w:type="page"/>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仿宋" w:hAnsi="仿宋" w:eastAsia="仿宋" w:cs="仿宋"/>
          <w:b/>
          <w:color w:val="000000" w:themeColor="text1"/>
          <w:kern w:val="0"/>
          <w:sz w:val="28"/>
          <w:szCs w:val="22"/>
          <w:highlight w:val="none"/>
          <w:lang w:val="en-US" w:eastAsia="zh-CN"/>
          <w14:textFill>
            <w14:solidFill>
              <w14:schemeClr w14:val="tx1"/>
            </w14:solidFill>
          </w14:textFill>
        </w:rPr>
        <w:t>6</w:t>
      </w:r>
      <w:r>
        <w:rPr>
          <w:rFonts w:hint="eastAsia" w:ascii="仿宋" w:hAnsi="仿宋" w:eastAsia="仿宋" w:cs="仿宋"/>
          <w:b/>
          <w:color w:val="000000" w:themeColor="text1"/>
          <w:szCs w:val="28"/>
          <w:highlight w:val="none"/>
          <w14:textFill>
            <w14:solidFill>
              <w14:schemeClr w14:val="tx1"/>
            </w14:solidFill>
          </w14:textFill>
        </w:rPr>
        <w:t>.资格证明文件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bookmarkStart w:id="86" w:name="_Toc193126891"/>
      <w:bookmarkStart w:id="87" w:name="_Toc188808842"/>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w:t>
      </w:r>
      <w:r>
        <w:rPr>
          <w:rFonts w:hint="eastAsia" w:ascii="仿宋" w:hAnsi="仿宋" w:eastAsia="仿宋" w:cs="仿宋"/>
          <w:i w:val="0"/>
          <w:iCs w:val="0"/>
          <w:caps w:val="0"/>
          <w:color w:val="000000"/>
          <w:spacing w:val="0"/>
          <w:sz w:val="24"/>
          <w:szCs w:val="24"/>
          <w:highlight w:val="none"/>
          <w:shd w:val="clear" w:color="auto" w:fill="FFFFFF"/>
          <w:lang w:eastAsia="zh-CN"/>
        </w:rPr>
        <w:t>提供具有财务审计资质单位出具的2021年度或2022年度财务报告</w:t>
      </w:r>
      <w:r>
        <w:rPr>
          <w:rFonts w:hint="eastAsia" w:ascii="仿宋" w:hAnsi="仿宋" w:eastAsia="仿宋" w:cs="仿宋"/>
          <w:i w:val="0"/>
          <w:iCs w:val="0"/>
          <w:caps w:val="0"/>
          <w:color w:val="000000"/>
          <w:spacing w:val="0"/>
          <w:sz w:val="24"/>
          <w:szCs w:val="24"/>
          <w:highlight w:val="none"/>
          <w:shd w:val="clear" w:color="auto" w:fill="FFFFFF"/>
        </w:rPr>
        <w:t xml:space="preserve">（成立时间至磋商时间不足一年的可提供成立后任意时段的资产负债表）或磋商前六个月内其基本账户银行出具的资信证明（附开户许可证或基本账户证明）或政府采购信用担保机构出具的磋商担保函。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税收缴纳证明：提供2022年1月1日至今任意一个月已缴纳的纳税证明或完税证明（包含增值税、企业所得税、营业税至少一种）；（依法免税的供应商应提供相关文件证明）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（2）、特定资格条件：</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widowControl/>
        <w:spacing w:line="560" w:lineRule="exact"/>
        <w:ind w:right="-197" w:rightChars="-94" w:firstLine="480" w:firstLineChars="200"/>
        <w:jc w:val="left"/>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2、被授权人参与磋商时需提供法定代表人或负责人授权委托书（附法定代表人或负责人及被授权人身份证复印件）；（被授权人须提供身份证原件，身份证原件可由本人持有）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、单位负责人为同一人或者存在直接控股、管理关系的不同供应商，不得参加同一合同项下的政府采购活动；（提供书面承诺函，格式自拟加盖供应商公章）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5、本项目专门面向中小企业采购；须符合《政府采购促进中小企业发展管理办法》（财库〔2020〕46号）规定的中小企业参加；(提供《中小企业声明函》，式样见竞争性磋商响应文件格式)</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6、供应商须具备CMA检验检测机构资质认定证书；</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b/>
          <w:color w:val="000000" w:themeColor="text1"/>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法定代表人资格证明书</w:t>
      </w:r>
    </w:p>
    <w:tbl>
      <w:tblPr>
        <w:tblStyle w:val="24"/>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lang w:eastAsia="zh-CN"/>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w:t>
            </w:r>
            <w:r>
              <w:rPr>
                <w:rFonts w:hint="eastAsia" w:ascii="仿宋" w:hAnsi="仿宋" w:eastAsia="仿宋" w:cs="仿宋"/>
                <w:bCs/>
                <w:caps/>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w:t>
            </w:r>
          </w:p>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信息</w:t>
            </w: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工商登记机关</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网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表人</w:t>
            </w: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    名</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    务</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联系电话</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传    真</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center"/>
              <w:rPr>
                <w:rFonts w:hint="eastAsia" w:ascii="仿宋" w:hAnsi="仿宋" w:eastAsia="仿宋" w:cs="仿宋"/>
                <w:color w:val="000000" w:themeColor="text1"/>
                <w:spacing w:val="-4"/>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r>
    </w:tbl>
    <w:p>
      <w:pPr>
        <w:pStyle w:val="41"/>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（供应商单位公章）   日 期：</w:t>
      </w:r>
    </w:p>
    <w:p>
      <w:pPr>
        <w:rPr>
          <w:rFonts w:hint="eastAsia" w:ascii="仿宋" w:hAnsi="仿宋" w:eastAsia="仿宋" w:cs="仿宋"/>
          <w:color w:val="000000" w:themeColor="text1"/>
          <w:kern w:val="0"/>
          <w:sz w:val="24"/>
          <w:highlight w:val="none"/>
          <w:u w:val="none"/>
          <w14:textFill>
            <w14:solidFill>
              <w14:schemeClr w14:val="tx1"/>
            </w14:solidFill>
          </w14:textFill>
        </w:rPr>
      </w:pPr>
    </w:p>
    <w:p>
      <w:pPr>
        <w:ind w:firstLine="723" w:firstLineChars="300"/>
        <w:rPr>
          <w:rFonts w:hint="eastAsia" w:ascii="仿宋" w:hAnsi="仿宋" w:eastAsia="仿宋" w:cs="仿宋"/>
          <w:b/>
          <w:bCs/>
          <w:color w:val="000000" w:themeColor="text1"/>
          <w:kern w:val="0"/>
          <w:sz w:val="24"/>
          <w:highlight w:val="none"/>
          <w:u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（法定代表人直接投标，只须提供法定代表人证明书及身份证原件）</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法定代表人授权委托书</w:t>
      </w:r>
    </w:p>
    <w:tbl>
      <w:tblPr>
        <w:tblStyle w:val="24"/>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lang w:eastAsia="zh-CN"/>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w:t>
            </w:r>
            <w:r>
              <w:rPr>
                <w:rFonts w:hint="eastAsia" w:ascii="仿宋" w:hAnsi="仿宋" w:eastAsia="仿宋" w:cs="仿宋"/>
                <w:bCs/>
                <w:caps/>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权项</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目与</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内容</w:t>
            </w: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7138"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授权范围</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法律责任</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企业信息</w:t>
            </w: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8493" w:type="dxa"/>
            <w:gridSpan w:val="6"/>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被授权人签字或盖章：</w:t>
            </w:r>
          </w:p>
        </w:tc>
      </w:tr>
    </w:tbl>
    <w:p>
      <w:pPr>
        <w:autoSpaceDE w:val="0"/>
        <w:autoSpaceDN w:val="0"/>
        <w:adjustRightInd w:val="0"/>
        <w:snapToGrid w:val="0"/>
        <w:spacing w:line="48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供应商名称：</w:t>
      </w:r>
      <w:r>
        <w:rPr>
          <w:rFonts w:hint="eastAsia" w:ascii="仿宋" w:hAnsi="仿宋" w:eastAsia="仿宋" w:cs="仿宋"/>
          <w:bCs/>
          <w:caps/>
          <w:color w:val="000000" w:themeColor="text1"/>
          <w:sz w:val="24"/>
          <w:highlight w:val="none"/>
          <w:u w:val="single"/>
          <w14:textFill>
            <w14:solidFill>
              <w14:schemeClr w14:val="tx1"/>
            </w14:solidFill>
          </w14:textFill>
        </w:rPr>
        <w:t xml:space="preserve">             </w:t>
      </w:r>
      <w:r>
        <w:rPr>
          <w:rFonts w:hint="eastAsia" w:ascii="仿宋" w:hAnsi="仿宋" w:eastAsia="仿宋" w:cs="仿宋"/>
          <w:bCs/>
          <w:caps/>
          <w:color w:val="000000" w:themeColor="text1"/>
          <w:sz w:val="24"/>
          <w:highlight w:val="none"/>
          <w14:textFill>
            <w14:solidFill>
              <w14:schemeClr w14:val="tx1"/>
            </w14:solidFill>
          </w14:textFill>
        </w:rPr>
        <w:t xml:space="preserve">（供应商单位公章）     日 期：  </w:t>
      </w:r>
    </w:p>
    <w:p>
      <w:pPr>
        <w:pStyle w:val="41"/>
        <w:ind w:firstLine="0" w:firstLineChars="0"/>
        <w:rPr>
          <w:rFonts w:hint="eastAsia" w:ascii="仿宋" w:hAnsi="仿宋" w:eastAsia="仿宋" w:cs="仿宋"/>
          <w:color w:val="000000" w:themeColor="text1"/>
          <w:kern w:val="0"/>
          <w:sz w:val="24"/>
          <w:highlight w:val="none"/>
          <w:u w:val="none"/>
          <w14:textFill>
            <w14:solidFill>
              <w14:schemeClr w14:val="tx1"/>
            </w14:solidFill>
          </w14:textFill>
        </w:rPr>
      </w:pPr>
    </w:p>
    <w:p>
      <w:pPr>
        <w:pStyle w:val="41"/>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被授权人投标时</w:t>
      </w:r>
      <w:r>
        <w:rPr>
          <w:rFonts w:hint="eastAsia" w:ascii="仿宋" w:hAnsi="仿宋" w:eastAsia="仿宋" w:cs="仿宋"/>
          <w:b/>
          <w:bCs/>
          <w:color w:val="000000" w:themeColor="text1"/>
          <w:kern w:val="0"/>
          <w:sz w:val="24"/>
          <w:highlight w:val="none"/>
          <w:u w:val="none"/>
          <w14:textFill>
            <w14:solidFill>
              <w14:schemeClr w14:val="tx1"/>
            </w14:solidFill>
          </w14:textFill>
        </w:rPr>
        <w:t>，须提供</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法定代表人授权委托书</w:t>
      </w:r>
      <w:r>
        <w:rPr>
          <w:rFonts w:hint="eastAsia" w:ascii="仿宋" w:hAnsi="仿宋" w:eastAsia="仿宋" w:cs="仿宋"/>
          <w:b/>
          <w:bCs/>
          <w:color w:val="000000" w:themeColor="text1"/>
          <w:kern w:val="0"/>
          <w:sz w:val="24"/>
          <w:highlight w:val="none"/>
          <w:u w:val="none"/>
          <w14:textFill>
            <w14:solidFill>
              <w14:schemeClr w14:val="tx1"/>
            </w14:solidFill>
          </w14:textFill>
        </w:rPr>
        <w:t>及</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被授权人身份证</w:t>
      </w:r>
      <w:r>
        <w:rPr>
          <w:rFonts w:hint="eastAsia" w:ascii="仿宋" w:hAnsi="仿宋" w:eastAsia="仿宋" w:cs="仿宋"/>
          <w:b/>
          <w:bCs/>
          <w:color w:val="000000" w:themeColor="text1"/>
          <w:kern w:val="0"/>
          <w:sz w:val="24"/>
          <w:highlight w:val="none"/>
          <w:u w:val="none"/>
          <w14:textFill>
            <w14:solidFill>
              <w14:schemeClr w14:val="tx1"/>
            </w14:solidFill>
          </w14:textFill>
        </w:rPr>
        <w:t>原件）</w:t>
      </w:r>
    </w:p>
    <w:p>
      <w:pPr>
        <w:pStyle w:val="41"/>
        <w:ind w:firstLine="562"/>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7</w:t>
      </w:r>
      <w:r>
        <w:rPr>
          <w:rFonts w:hint="eastAsia" w:ascii="仿宋" w:hAnsi="仿宋" w:eastAsia="仿宋" w:cs="仿宋"/>
          <w:b/>
          <w:color w:val="000000" w:themeColor="text1"/>
          <w:highlight w:val="none"/>
          <w:lang w:eastAsia="zh-CN"/>
          <w14:textFill>
            <w14:solidFill>
              <w14:schemeClr w14:val="tx1"/>
            </w14:solidFill>
          </w14:textFill>
        </w:rPr>
        <w:t>、2020年1月1日</w:t>
      </w:r>
      <w:r>
        <w:rPr>
          <w:rFonts w:hint="eastAsia" w:ascii="仿宋" w:hAnsi="仿宋" w:eastAsia="仿宋" w:cs="仿宋"/>
          <w:b/>
          <w:color w:val="000000" w:themeColor="text1"/>
          <w:highlight w:val="none"/>
          <w14:textFill>
            <w14:solidFill>
              <w14:schemeClr w14:val="tx1"/>
            </w14:solidFill>
          </w14:textFill>
        </w:rPr>
        <w:t>至今</w:t>
      </w:r>
      <w:r>
        <w:rPr>
          <w:rFonts w:hint="eastAsia" w:ascii="仿宋" w:hAnsi="仿宋" w:eastAsia="仿宋" w:cs="仿宋"/>
          <w:b/>
          <w:color w:val="000000" w:themeColor="text1"/>
          <w:highlight w:val="none"/>
          <w:lang w:val="en-US" w:eastAsia="zh-CN"/>
          <w14:textFill>
            <w14:solidFill>
              <w14:schemeClr w14:val="tx1"/>
            </w14:solidFill>
          </w14:textFill>
        </w:rPr>
        <w:t>同类项目业绩</w:t>
      </w:r>
      <w:r>
        <w:rPr>
          <w:rFonts w:hint="eastAsia" w:ascii="仿宋" w:hAnsi="仿宋" w:eastAsia="仿宋" w:cs="仿宋"/>
          <w:b/>
          <w:color w:val="000000" w:themeColor="text1"/>
          <w:highlight w:val="none"/>
          <w14:textFill>
            <w14:solidFill>
              <w14:schemeClr w14:val="tx1"/>
            </w14:solidFill>
          </w14:textFill>
        </w:rPr>
        <w:t>（提供合同复印件加盖公章）</w:t>
      </w: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8、服务方案</w:t>
      </w: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9、人员及服务能力</w:t>
      </w: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10、质量保证承诺</w:t>
      </w: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11、合理化建议</w:t>
      </w: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12、履约承诺</w:t>
      </w: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13、服务承诺</w:t>
      </w: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bookmarkStart w:id="88" w:name="_Toc193187111"/>
      <w:bookmarkStart w:id="89" w:name="_Toc188808855"/>
      <w:bookmarkStart w:id="90" w:name="_Toc194663942"/>
      <w:bookmarkStart w:id="91" w:name="_Toc193126905"/>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14</w:t>
      </w:r>
      <w:r>
        <w:rPr>
          <w:rFonts w:hint="eastAsia" w:ascii="仿宋" w:hAnsi="仿宋" w:eastAsia="仿宋" w:cs="仿宋"/>
          <w:b/>
          <w:color w:val="000000" w:themeColor="text1"/>
          <w:highlight w:val="none"/>
          <w:lang w:eastAsia="zh-CN"/>
          <w14:textFill>
            <w14:solidFill>
              <w14:schemeClr w14:val="tx1"/>
            </w14:solidFill>
          </w14:textFill>
        </w:rPr>
        <w:t>、</w:t>
      </w:r>
      <w:r>
        <w:rPr>
          <w:rFonts w:hint="eastAsia" w:ascii="仿宋" w:hAnsi="仿宋" w:eastAsia="仿宋" w:cs="仿宋"/>
          <w:b/>
          <w:color w:val="000000" w:themeColor="text1"/>
          <w:highlight w:val="none"/>
          <w14:textFill>
            <w14:solidFill>
              <w14:schemeClr w14:val="tx1"/>
            </w14:solidFill>
          </w14:textFill>
        </w:rPr>
        <w:t>供应商认为有必要说明的事宜</w:t>
      </w: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pStyle w:val="38"/>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41"/>
        <w:ind w:left="0" w:leftChars="0" w:firstLine="0" w:firstLineChars="0"/>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1</w:t>
      </w:r>
      <w:r>
        <w:rPr>
          <w:rFonts w:hint="eastAsia" w:ascii="仿宋" w:hAnsi="仿宋" w:eastAsia="仿宋" w:cs="仿宋"/>
          <w:b/>
          <w:color w:val="000000" w:themeColor="text1"/>
          <w:szCs w:val="28"/>
          <w:highlight w:val="none"/>
          <w:lang w:val="en-US" w:eastAsia="zh-CN"/>
          <w14:textFill>
            <w14:solidFill>
              <w14:schemeClr w14:val="tx1"/>
            </w14:solidFill>
          </w14:textFill>
        </w:rPr>
        <w:t>5</w:t>
      </w:r>
      <w:r>
        <w:rPr>
          <w:rFonts w:hint="eastAsia" w:ascii="仿宋" w:hAnsi="仿宋" w:eastAsia="仿宋" w:cs="仿宋"/>
          <w:b/>
          <w:color w:val="000000" w:themeColor="text1"/>
          <w:szCs w:val="28"/>
          <w:highlight w:val="none"/>
          <w:lang w:eastAsia="zh-CN"/>
          <w14:textFill>
            <w14:solidFill>
              <w14:schemeClr w14:val="tx1"/>
            </w14:solidFill>
          </w14:textFill>
        </w:rPr>
        <w:t>、供应商</w:t>
      </w:r>
      <w:r>
        <w:rPr>
          <w:rFonts w:hint="eastAsia" w:ascii="仿宋" w:hAnsi="仿宋" w:eastAsia="仿宋" w:cs="仿宋"/>
          <w:b/>
          <w:color w:val="000000" w:themeColor="text1"/>
          <w:szCs w:val="28"/>
          <w:highlight w:val="none"/>
          <w14:textFill>
            <w14:solidFill>
              <w14:schemeClr w14:val="tx1"/>
            </w14:solidFill>
          </w14:textFill>
        </w:rPr>
        <w:t>承诺书</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r>
        <w:rPr>
          <w:rFonts w:hint="eastAsia" w:ascii="仿宋" w:hAnsi="仿宋" w:eastAsia="仿宋" w:cs="仿宋"/>
          <w:b w:val="0"/>
          <w:bCs/>
          <w:color w:val="000000" w:themeColor="text1"/>
          <w:sz w:val="24"/>
          <w:szCs w:val="24"/>
          <w:highlight w:val="none"/>
          <w14:textFill>
            <w14:solidFill>
              <w14:schemeClr w14:val="tx1"/>
            </w14:solidFill>
          </w14:textFill>
        </w:rPr>
        <w:t> </w:t>
      </w:r>
    </w:p>
    <w:p>
      <w:pPr>
        <w:widowControl/>
        <w:spacing w:line="480" w:lineRule="exact"/>
        <w:jc w:val="left"/>
        <w:rPr>
          <w:rFonts w:hint="eastAsia" w:ascii="仿宋" w:hAnsi="仿宋" w:eastAsia="仿宋" w:cs="仿宋"/>
          <w:b/>
          <w:color w:val="000000" w:themeColor="text1"/>
          <w:kern w:val="0"/>
          <w:highlight w:val="none"/>
          <w14:textFill>
            <w14:solidFill>
              <w14:schemeClr w14:val="tx1"/>
            </w14:solidFill>
          </w14:textFill>
        </w:rPr>
      </w:pP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陕西省政府采购供应商</w:t>
      </w: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拒绝政府采购领域商业贿赂承诺书Ⅰ</w:t>
      </w:r>
    </w:p>
    <w:p>
      <w:pPr>
        <w:widowControl/>
        <w:spacing w:line="40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为响应党中央、国务院关于治理政府采购领域商业贿赂行为的号召</w:t>
      </w:r>
      <w:r>
        <w:rPr>
          <w:rFonts w:hint="eastAsia" w:ascii="仿宋" w:hAnsi="仿宋" w:eastAsia="仿宋" w:cs="仿宋"/>
          <w:color w:val="000000" w:themeColor="text1"/>
          <w:kern w:val="0"/>
          <w:sz w:val="24"/>
          <w:highlight w:val="none"/>
          <w14:textFill>
            <w14:solidFill>
              <w14:schemeClr w14:val="tx1"/>
            </w14:solidFill>
          </w14:textFill>
        </w:rPr>
        <w:t xml:space="preserve">，我单位作为     </w:t>
      </w:r>
      <w:r>
        <w:rPr>
          <w:rFonts w:hint="eastAsia" w:ascii="仿宋" w:hAnsi="仿宋" w:eastAsia="仿宋" w:cs="仿宋"/>
          <w:color w:val="000000" w:themeColor="text1"/>
          <w:kern w:val="0"/>
          <w:sz w:val="24"/>
          <w:highlight w:val="none"/>
          <w:u w:val="single"/>
          <w14:textFill>
            <w14:solidFill>
              <w14:schemeClr w14:val="tx1"/>
            </w14:solidFill>
          </w14:textFill>
        </w:rPr>
        <w:t xml:space="preserve">（项目名称）         </w:t>
      </w:r>
      <w:r>
        <w:rPr>
          <w:rFonts w:hint="eastAsia" w:ascii="仿宋" w:hAnsi="仿宋" w:eastAsia="仿宋" w:cs="仿宋"/>
          <w:color w:val="000000" w:themeColor="text1"/>
          <w:kern w:val="0"/>
          <w:sz w:val="24"/>
          <w:highlight w:val="none"/>
          <w14:textFill>
            <w14:solidFill>
              <w14:schemeClr w14:val="tx1"/>
            </w14:solidFill>
          </w14:textFill>
        </w:rPr>
        <w:t xml:space="preserve"> 的供应商，</w:t>
      </w:r>
      <w:r>
        <w:rPr>
          <w:rFonts w:hint="eastAsia" w:ascii="仿宋" w:hAnsi="仿宋" w:eastAsia="仿宋" w:cs="仿宋"/>
          <w:color w:val="000000" w:themeColor="text1"/>
          <w:sz w:val="24"/>
          <w:highlight w:val="none"/>
          <w14:textFill>
            <w14:solidFill>
              <w14:schemeClr w14:val="tx1"/>
            </w14:solidFill>
          </w14:textFill>
        </w:rPr>
        <w:t xml:space="preserve">在此庄严承诺：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1、在参与政府采购活动中遵纪守法、诚信经营、公平竞标。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2、不向采购人、采购代理机构和政府采购评审专家进行任何形式的商业贿赂以谋取交易机会。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3、不向政府采购采购代理机构和采购人提供虚假资质文件或采用虚假应标方式参与政府采购市场竞争并谋取成交。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4、不采取“围标、陪标”等商业欺诈手段获得政府采购定单。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5、不采取不正当手段低毁、排挤其他供应商。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6、不在提供商品和服务时“偷梁换柱、以次充好”损害采购人的合法权益。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7、不与采购人、采购代理机构政府采购评审专家或其它供应商恶意串通，进行质疑和投诉，维护政府采购市场秩序。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8、尊重和接受政府采购监督管理部门的监督和政府采购代理机构采购要求，承担因违约行为给采购人造成的损失。 </w:t>
      </w:r>
    </w:p>
    <w:p>
      <w:pPr>
        <w:widowControl/>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9、不发生其他有悖于政府采购公开、公平、公正和诚信原则的行为。 </w:t>
      </w: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p>
    <w:p>
      <w:pPr>
        <w:widowControl/>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w:t>
      </w:r>
    </w:p>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承诺书Ⅱ</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，本公司承诺：在参加本项目</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承诺书Ⅲ</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，本公司郑重申告并承诺：近三年受到有关行政主管部门的行政处理、不良行为记录为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承诺书Ⅳ</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，本公司郑重申告：近三年因</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问题的不法行为记录为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本公司承诺：本次</w:t>
            </w:r>
            <w:r>
              <w:rPr>
                <w:rFonts w:hint="eastAsia" w:ascii="仿宋" w:hAnsi="仿宋" w:eastAsia="仿宋" w:cs="仿宋"/>
                <w:color w:val="000000" w:themeColor="text1"/>
                <w:sz w:val="24"/>
                <w:highlight w:val="none"/>
                <w:lang w:val="en-US" w:eastAsia="zh-CN"/>
                <w14:textFill>
                  <w14:solidFill>
                    <w14:schemeClr w14:val="tx1"/>
                  </w14:solidFill>
                </w14:textFill>
              </w:rPr>
              <w:t>所投服务符合相关行业标准</w:t>
            </w:r>
            <w:r>
              <w:rPr>
                <w:rFonts w:hint="eastAsia" w:ascii="仿宋" w:hAnsi="仿宋" w:eastAsia="仿宋"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uto"/>
        <w:ind w:right="480"/>
        <w:rPr>
          <w:rFonts w:hint="eastAsia" w:ascii="仿宋" w:hAnsi="仿宋" w:eastAsia="仿宋" w:cs="仿宋"/>
          <w:color w:val="000000" w:themeColor="text1"/>
          <w:sz w:val="24"/>
          <w:szCs w:val="28"/>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w:t>
      </w:r>
      <w:r>
        <w:rPr>
          <w:rFonts w:hint="eastAsia" w:ascii="仿宋" w:hAnsi="仿宋" w:eastAsia="仿宋" w:cs="仿宋"/>
          <w:b/>
          <w:color w:val="000000" w:themeColor="text1"/>
          <w:sz w:val="36"/>
          <w:szCs w:val="36"/>
          <w:highlight w:val="none"/>
          <w14:textFill>
            <w14:solidFill>
              <w14:schemeClr w14:val="tx1"/>
            </w14:solidFill>
          </w14:textFill>
        </w:rPr>
        <w:fldChar w:fldCharType="begin"/>
      </w:r>
      <w:r>
        <w:rPr>
          <w:rFonts w:hint="eastAsia" w:ascii="仿宋" w:hAnsi="仿宋" w:eastAsia="仿宋" w:cs="仿宋"/>
          <w:b/>
          <w:color w:val="000000" w:themeColor="text1"/>
          <w:sz w:val="36"/>
          <w:szCs w:val="36"/>
          <w:highlight w:val="none"/>
          <w14:textFill>
            <w14:solidFill>
              <w14:schemeClr w14:val="tx1"/>
            </w14:solidFill>
          </w14:textFill>
        </w:rPr>
        <w:instrText xml:space="preserve"> = 5 \* ROMAN </w:instrText>
      </w:r>
      <w:r>
        <w:rPr>
          <w:rFonts w:hint="eastAsia" w:ascii="仿宋" w:hAnsi="仿宋" w:eastAsia="仿宋" w:cs="仿宋"/>
          <w:b/>
          <w:color w:val="000000" w:themeColor="text1"/>
          <w:sz w:val="36"/>
          <w:szCs w:val="36"/>
          <w:highlight w:val="none"/>
          <w14:textFill>
            <w14:solidFill>
              <w14:schemeClr w14:val="tx1"/>
            </w14:solidFill>
          </w14:textFill>
        </w:rPr>
        <w:fldChar w:fldCharType="separate"/>
      </w:r>
      <w:r>
        <w:rPr>
          <w:rFonts w:hint="eastAsia" w:ascii="仿宋" w:hAnsi="仿宋" w:eastAsia="仿宋" w:cs="仿宋"/>
          <w:b/>
          <w:color w:val="000000" w:themeColor="text1"/>
          <w:sz w:val="36"/>
          <w:szCs w:val="36"/>
          <w:highlight w:val="none"/>
          <w14:textFill>
            <w14:solidFill>
              <w14:schemeClr w14:val="tx1"/>
            </w14:solidFill>
          </w14:textFill>
        </w:rPr>
        <w:t>V</w:t>
      </w:r>
      <w:r>
        <w:rPr>
          <w:rFonts w:hint="eastAsia" w:ascii="仿宋" w:hAnsi="仿宋" w:eastAsia="仿宋" w:cs="仿宋"/>
          <w:b/>
          <w:color w:val="000000" w:themeColor="text1"/>
          <w:sz w:val="36"/>
          <w:szCs w:val="36"/>
          <w:highlight w:val="none"/>
          <w14:textFill>
            <w14:solidFill>
              <w14:schemeClr w14:val="tx1"/>
            </w14:solidFill>
          </w14:textFill>
        </w:rPr>
        <w:fldChar w:fldCharType="end"/>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，本公司承诺：参加本次</w:t>
            </w:r>
            <w:r>
              <w:rPr>
                <w:rFonts w:hint="eastAsia" w:ascii="仿宋" w:hAnsi="仿宋" w:eastAsia="仿宋" w:cs="仿宋"/>
                <w:color w:val="000000" w:themeColor="text1"/>
                <w:sz w:val="24"/>
                <w:highlight w:val="none"/>
                <w:lang w:eastAsia="zh-CN"/>
                <w14:textFill>
                  <w14:solidFill>
                    <w14:schemeClr w14:val="tx1"/>
                  </w14:solidFill>
                </w14:textFill>
              </w:rPr>
              <w:t>磋商活动</w:t>
            </w:r>
            <w:r>
              <w:rPr>
                <w:rFonts w:hint="eastAsia" w:ascii="仿宋" w:hAnsi="仿宋" w:eastAsia="仿宋" w:cs="仿宋"/>
                <w:color w:val="000000" w:themeColor="text1"/>
                <w:sz w:val="24"/>
                <w:highlight w:val="none"/>
                <w14:textFill>
                  <w14:solidFill>
                    <w14:schemeClr w14:val="tx1"/>
                  </w14:solidFill>
                </w14:textFill>
              </w:rPr>
              <w:t>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500" w:lineRule="exact"/>
        <w:rPr>
          <w:rFonts w:hint="eastAsia" w:ascii="仿宋" w:hAnsi="仿宋" w:eastAsia="仿宋" w:cs="仿宋"/>
          <w:b/>
          <w:bCs/>
          <w:color w:val="000000" w:themeColor="text1"/>
          <w:sz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承诺书Ⅵ</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w:t>
            </w:r>
            <w:r>
              <w:rPr>
                <w:rFonts w:hint="eastAsia" w:ascii="仿宋" w:hAnsi="仿宋" w:eastAsia="仿宋" w:cs="仿宋"/>
                <w:color w:val="000000" w:themeColor="text1"/>
                <w:sz w:val="24"/>
                <w:highlight w:val="none"/>
                <w:lang w:eastAsia="zh-CN"/>
                <w14:textFill>
                  <w14:solidFill>
                    <w14:schemeClr w14:val="tx1"/>
                  </w14:solidFill>
                </w14:textFill>
              </w:rPr>
              <w:t>我单位法人代表及主要负责人所在的公司在近三年内没有违法违规行为，</w:t>
            </w:r>
            <w:r>
              <w:rPr>
                <w:rFonts w:hint="eastAsia" w:ascii="仿宋" w:hAnsi="仿宋" w:eastAsia="仿宋" w:cs="仿宋"/>
                <w:color w:val="000000" w:themeColor="text1"/>
                <w:sz w:val="24"/>
                <w:highlight w:val="none"/>
                <w14:textFill>
                  <w14:solidFill>
                    <w14:schemeClr w14:val="tx1"/>
                  </w14:solidFill>
                </w14:textFill>
              </w:rPr>
              <w:t>如有</w:t>
            </w:r>
            <w:r>
              <w:rPr>
                <w:rFonts w:hint="eastAsia" w:ascii="仿宋" w:hAnsi="仿宋" w:eastAsia="仿宋" w:cs="仿宋"/>
                <w:color w:val="000000" w:themeColor="text1"/>
                <w:sz w:val="24"/>
                <w:highlight w:val="none"/>
                <w:lang w:eastAsia="zh-CN"/>
                <w14:textFill>
                  <w14:solidFill>
                    <w14:schemeClr w14:val="tx1"/>
                  </w14:solidFill>
                </w14:textFill>
              </w:rPr>
              <w:t>，我单位自愿放弃本次项目的磋商。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pStyle w:val="41"/>
        <w:ind w:firstLine="174"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6、</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中小</w:t>
      </w:r>
      <w:r>
        <w:rPr>
          <w:rFonts w:hint="eastAsia" w:ascii="仿宋" w:hAnsi="仿宋" w:eastAsia="仿宋" w:cs="仿宋"/>
          <w:b/>
          <w:bCs/>
          <w:color w:val="000000" w:themeColor="text1"/>
          <w:szCs w:val="28"/>
          <w:highlight w:val="none"/>
          <w14:textFill>
            <w14:solidFill>
              <w14:schemeClr w14:val="tx1"/>
            </w14:solidFill>
          </w14:textFill>
        </w:rPr>
        <w:t>企业声明函》</w:t>
      </w:r>
      <w:bookmarkStart w:id="92" w:name="OLE_LINK19"/>
    </w:p>
    <w:bookmarkEnd w:id="92"/>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中小企业声明函（服务）</w:t>
      </w:r>
    </w:p>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lang w:eastAsia="zh-CN"/>
          <w14:textFill>
            <w14:solidFill>
              <w14:schemeClr w14:val="tx1"/>
            </w14:solidFill>
          </w14:textFill>
        </w:rPr>
        <w:t>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r>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从业人员、营业收入、资产总额填报上一年度数据，无上一年度数据的新成立企业可不填报。</w:t>
      </w:r>
    </w:p>
    <w:p>
      <w:pPr>
        <w:pStyle w:val="41"/>
        <w:ind w:firstLine="149"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7、</w:t>
      </w:r>
      <w:r>
        <w:rPr>
          <w:rFonts w:hint="eastAsia" w:ascii="仿宋" w:hAnsi="仿宋" w:eastAsia="仿宋" w:cs="仿宋"/>
          <w:b/>
          <w:bCs/>
          <w:color w:val="000000" w:themeColor="text1"/>
          <w:szCs w:val="28"/>
          <w:highlight w:val="none"/>
          <w14:textFill>
            <w14:solidFill>
              <w14:schemeClr w14:val="tx1"/>
            </w14:solidFill>
          </w14:textFill>
        </w:rPr>
        <w:t>《残疾人福利性单位声明函》</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（非</w:t>
      </w:r>
      <w:r>
        <w:rPr>
          <w:rFonts w:hint="eastAsia" w:ascii="仿宋" w:hAnsi="仿宋" w:eastAsia="仿宋" w:cs="仿宋"/>
          <w:b/>
          <w:color w:val="000000" w:themeColor="text1"/>
          <w:spacing w:val="6"/>
          <w:sz w:val="18"/>
          <w:szCs w:val="18"/>
          <w:highlight w:val="none"/>
          <w14:textFill>
            <w14:solidFill>
              <w14:schemeClr w14:val="tx1"/>
            </w14:solidFill>
          </w14:textFill>
        </w:rPr>
        <w:t>残疾人福利企业</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不</w:t>
      </w:r>
      <w:r>
        <w:rPr>
          <w:rFonts w:hint="eastAsia" w:ascii="仿宋" w:hAnsi="仿宋" w:eastAsia="仿宋" w:cs="仿宋"/>
          <w:b/>
          <w:color w:val="000000" w:themeColor="text1"/>
          <w:spacing w:val="6"/>
          <w:sz w:val="18"/>
          <w:szCs w:val="18"/>
          <w:highlight w:val="none"/>
          <w14:textFill>
            <w14:solidFill>
              <w14:schemeClr w14:val="tx1"/>
            </w14:solidFill>
          </w14:textFill>
        </w:rPr>
        <w:t>填写</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w:t>
      </w:r>
    </w:p>
    <w:p>
      <w:pPr>
        <w:spacing w:line="588" w:lineRule="exact"/>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日  期：</w:t>
      </w: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w:t>
      </w:r>
      <w:r>
        <w:rPr>
          <w:rFonts w:hint="eastAsia" w:ascii="仿宋" w:hAnsi="仿宋" w:eastAsia="仿宋" w:cs="仿宋"/>
          <w:b/>
          <w:kern w:val="0"/>
          <w:sz w:val="21"/>
          <w:szCs w:val="20"/>
          <w:highlight w:val="none"/>
          <w:lang w:val="en-US" w:eastAsia="zh-CN"/>
        </w:rPr>
        <w:t>供应商</w:t>
      </w:r>
      <w:r>
        <w:rPr>
          <w:rFonts w:hint="eastAsia" w:ascii="仿宋" w:hAnsi="仿宋" w:eastAsia="仿宋" w:cs="仿宋"/>
          <w:b/>
          <w:kern w:val="0"/>
          <w:sz w:val="21"/>
          <w:szCs w:val="20"/>
          <w:highlight w:val="none"/>
          <w:lang w:val="zh-CN"/>
        </w:rPr>
        <w:t>提供的《残疾人福利性单位声明函》必须真实有效，如果被举报经查实出具虚假声明函的，将被取消投标资格，并按有关规定予以处理。</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pStyle w:val="41"/>
        <w:pageBreakBefore w:val="0"/>
        <w:bidi w:val="0"/>
        <w:spacing w:line="560" w:lineRule="exact"/>
        <w:ind w:left="0" w:leftChars="0" w:firstLine="0" w:firstLineChars="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18、</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监狱、戒毒企业</w:t>
      </w:r>
      <w:r>
        <w:rPr>
          <w:rFonts w:hint="eastAsia" w:ascii="仿宋" w:hAnsi="仿宋" w:eastAsia="仿宋" w:cs="仿宋"/>
          <w:b/>
          <w:bCs/>
          <w:color w:val="000000" w:themeColor="text1"/>
          <w:szCs w:val="28"/>
          <w:highlight w:val="none"/>
          <w14:textFill>
            <w14:solidFill>
              <w14:schemeClr w14:val="tx1"/>
            </w14:solidFill>
          </w14:textFill>
        </w:rPr>
        <w:t>声明函》</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color w:val="000000" w:themeColor="text1"/>
          <w:kern w:val="0"/>
          <w:sz w:val="28"/>
          <w:szCs w:val="28"/>
          <w:highlight w:val="non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000000" w:themeColor="text1"/>
          <w:spacing w:val="6"/>
          <w:sz w:val="21"/>
          <w:szCs w:val="21"/>
          <w:highlight w:val="none"/>
          <w:u w:val="doubl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监狱、戒毒企业声明函</w:t>
      </w:r>
      <w:r>
        <w:rPr>
          <w:rFonts w:hint="eastAsia" w:ascii="仿宋" w:hAnsi="仿宋" w:eastAsia="仿宋" w:cs="仿宋"/>
          <w:b/>
          <w:strike w:val="0"/>
          <w:dstrike w:val="0"/>
          <w:color w:val="000000" w:themeColor="text1"/>
          <w:spacing w:val="6"/>
          <w:sz w:val="18"/>
          <w:szCs w:val="18"/>
          <w:highlight w:val="none"/>
          <w:u w:val="none"/>
          <w:lang w:val="zh-CN"/>
          <w14:textFill>
            <w14:solidFill>
              <w14:schemeClr w14:val="tx1"/>
            </w14:solidFill>
          </w14:textFill>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w:t>
      </w:r>
      <w:r>
        <w:rPr>
          <w:rFonts w:hint="eastAsia" w:ascii="仿宋" w:hAnsi="仿宋" w:eastAsia="仿宋" w:cs="仿宋"/>
          <w:color w:val="000000" w:themeColor="text1"/>
          <w:spacing w:val="-4"/>
          <w:kern w:val="0"/>
          <w:sz w:val="24"/>
          <w:highlight w:val="none"/>
          <w14:textFill>
            <w14:solidFill>
              <w14:schemeClr w14:val="tx1"/>
            </w14:solidFill>
          </w14:textFill>
        </w:rPr>
        <w:t>财政部 司法部 关于政府采购支持监狱企业发展有关问题的通知</w:t>
      </w:r>
      <w:r>
        <w:rPr>
          <w:rFonts w:hint="eastAsia" w:ascii="仿宋" w:hAnsi="仿宋" w:eastAsia="仿宋" w:cs="仿宋"/>
          <w:color w:val="000000" w:themeColor="text1"/>
          <w:sz w:val="24"/>
          <w:highlight w:val="none"/>
          <w14:textFill>
            <w14:solidFill>
              <w14:schemeClr w14:val="tx1"/>
            </w14:solidFill>
          </w14:textFill>
        </w:rPr>
        <w:t>》（财库〔2014〕68号）的规定，本单位为符合条件的监狱、戒毒企业，且本单位参加的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全称（公章）：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备注：供应商提供的《</w:t>
      </w:r>
      <w:r>
        <w:rPr>
          <w:rFonts w:hint="eastAsia" w:ascii="仿宋" w:hAnsi="仿宋" w:eastAsia="仿宋" w:cs="仿宋"/>
          <w:b/>
          <w:bCs w:val="0"/>
          <w:color w:val="000000" w:themeColor="text1"/>
          <w:sz w:val="21"/>
          <w:szCs w:val="20"/>
          <w:highlight w:val="none"/>
          <w14:textFill>
            <w14:solidFill>
              <w14:schemeClr w14:val="tx1"/>
            </w14:solidFill>
          </w14:textFill>
        </w:rPr>
        <w:t>监狱、戒毒企业</w:t>
      </w: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声明函》必须真实有效，供应商</w:t>
      </w:r>
      <w:r>
        <w:rPr>
          <w:rFonts w:hint="eastAsia" w:ascii="仿宋" w:hAnsi="仿宋" w:eastAsia="仿宋" w:cs="仿宋"/>
          <w:b/>
          <w:bCs w:val="0"/>
          <w:color w:val="000000" w:themeColor="text1"/>
          <w:sz w:val="21"/>
          <w:szCs w:val="20"/>
          <w:highlight w:val="none"/>
          <w14:textFill>
            <w14:solidFill>
              <w14:schemeClr w14:val="tx1"/>
            </w14:solidFill>
          </w14:textFill>
        </w:rPr>
        <w:t>应当提供由省级以上监狱管理局、戒毒管理局(含新疆生产建设兵团)出具的属于监狱企业的证明文件。</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41"/>
        <w:spacing w:line="560" w:lineRule="exact"/>
        <w:ind w:firstLine="0" w:firstLineChars="0"/>
        <w:jc w:val="both"/>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rPr>
          <w:rFonts w:hint="eastAsia" w:ascii="仿宋" w:hAnsi="仿宋" w:eastAsia="仿宋" w:cs="仿宋"/>
          <w:color w:val="000000" w:themeColor="text1"/>
          <w:highlight w:val="none"/>
          <w14:textFill>
            <w14:solidFill>
              <w14:schemeClr w14:val="tx1"/>
            </w14:solidFill>
          </w14:textFill>
        </w:rPr>
      </w:pPr>
    </w:p>
    <w:p>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竞争性磋商响应</w:t>
      </w:r>
      <w:r>
        <w:rPr>
          <w:rFonts w:hint="eastAsia" w:ascii="仿宋" w:hAnsi="仿宋" w:eastAsia="仿宋" w:cs="仿宋"/>
          <w:b/>
          <w:color w:val="000000" w:themeColor="text1"/>
          <w:sz w:val="24"/>
          <w:highlight w:val="none"/>
          <w14:textFill>
            <w14:solidFill>
              <w14:schemeClr w14:val="tx1"/>
            </w14:solidFill>
          </w14:textFill>
        </w:rPr>
        <w:t>文件封袋正面标识式样</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157480</wp:posOffset>
                </wp:positionV>
                <wp:extent cx="5678805" cy="7706360"/>
                <wp:effectExtent l="5080" t="4445" r="12065" b="23495"/>
                <wp:wrapNone/>
                <wp:docPr id="5" name="文本框 5"/>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2.4pt;height:606.8pt;width:447.15pt;z-index:251666432;mso-width-relative:page;mso-height-relative:page;" fillcolor="#FFFFFF" filled="t" stroked="t" coordsize="21600,21600" o:gfxdata="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QcYB2QAAAAoBAAAPAAAAAAAAAAEA&#10;IAAAACIAAABkcnMvZG93bnJldi54bWxQSwECFAAUAAAACACHTuJA/Kc8Zg4CAAA3BAAADgAAAAAA&#10;AAABACAAAAAoAQAAZHJzL2Uyb0RvYy54bWxQSwUGAAAAAAYABgBZAQAAqAU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60" w:lineRule="exact"/>
        <w:rPr>
          <w:rFonts w:hint="eastAsia" w:ascii="仿宋" w:hAnsi="仿宋" w:eastAsia="仿宋" w:cs="仿宋"/>
          <w:b/>
          <w:color w:val="000000" w:themeColor="text1"/>
          <w:sz w:val="44"/>
          <w:szCs w:val="44"/>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bookmarkEnd w:id="86"/>
    <w:bookmarkEnd w:id="87"/>
    <w:bookmarkEnd w:id="88"/>
    <w:bookmarkEnd w:id="89"/>
    <w:bookmarkEnd w:id="90"/>
    <w:bookmarkEnd w:id="91"/>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pPr>
        <w:autoSpaceDE w:val="0"/>
        <w:autoSpaceDN w:val="0"/>
        <w:spacing w:line="560" w:lineRule="exact"/>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w:t>
      </w:r>
      <w:r>
        <w:rPr>
          <w:rFonts w:hint="eastAsia" w:ascii="仿宋" w:hAnsi="仿宋" w:eastAsia="仿宋" w:cs="仿宋"/>
          <w:bCs/>
          <w:color w:val="000000" w:themeColor="text1"/>
          <w:sz w:val="24"/>
          <w:highlight w:val="none"/>
          <w:lang w:eastAsia="zh-CN"/>
          <w14:textFill>
            <w14:solidFill>
              <w14:schemeClr w14:val="tx1"/>
            </w14:solidFill>
          </w14:textFill>
        </w:rPr>
        <w:t>029-87592321</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pStyle w:val="16"/>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sectPr>
      <w:footerReference r:id="rId22"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rPr>
      <w:t>第</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PAGE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17</w:t>
    </w:r>
    <w:r>
      <w:rPr>
        <w:rFonts w:hint="eastAsia" w:ascii="楷体" w:hAnsi="楷体" w:eastAsia="楷体" w:cs="楷体"/>
        <w:b/>
        <w:sz w:val="18"/>
        <w:szCs w:val="18"/>
      </w:rPr>
      <w:fldChar w:fldCharType="end"/>
    </w:r>
    <w:r>
      <w:rPr>
        <w:rFonts w:hint="eastAsia" w:ascii="楷体" w:hAnsi="楷体" w:eastAsia="楷体" w:cs="楷体"/>
        <w:b/>
        <w:sz w:val="18"/>
        <w:szCs w:val="18"/>
      </w:rPr>
      <w:t>页 共</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NUMPAGES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62</w:t>
    </w:r>
    <w:r>
      <w:rPr>
        <w:rFonts w:hint="eastAsia" w:ascii="楷体" w:hAnsi="楷体" w:eastAsia="楷体" w:cs="楷体"/>
        <w:b/>
        <w:sz w:val="18"/>
        <w:szCs w:val="18"/>
      </w:rPr>
      <w:fldChar w:fldCharType="end"/>
    </w:r>
    <w:r>
      <w:rPr>
        <w:rFonts w:hint="eastAsia" w:ascii="楷体" w:hAnsi="楷体" w:eastAsia="楷体" w:cs="楷体"/>
        <w:b/>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b/>
        <w:szCs w:val="21"/>
      </w:rPr>
    </w:pPr>
    <w:r>
      <w:rPr>
        <w:rFonts w:hint="eastAsia"/>
        <w:b/>
        <w:szCs w:val="21"/>
      </w:rPr>
      <w:t>--------------</w:t>
    </w:r>
    <w:r>
      <w:rPr>
        <w:rFonts w:hint="eastAsia"/>
        <w:b/>
      </w:rPr>
      <w:t>-</w:t>
    </w:r>
    <w:r>
      <w:rPr>
        <w:rFonts w:hint="eastAsia"/>
        <w:b/>
        <w:szCs w:val="21"/>
      </w:rPr>
      <w:t>--------------------------------------------------</w:t>
    </w:r>
    <w:r>
      <w:rPr>
        <w:szCs w:val="21"/>
      </w:rPr>
      <w:fldChar w:fldCharType="begin"/>
    </w:r>
    <w:r>
      <w:rPr>
        <w:rStyle w:val="28"/>
        <w:szCs w:val="21"/>
      </w:rPr>
      <w:instrText xml:space="preserve"> PAGE </w:instrText>
    </w:r>
    <w:r>
      <w:rPr>
        <w:szCs w:val="21"/>
      </w:rPr>
      <w:fldChar w:fldCharType="separate"/>
    </w:r>
    <w:r>
      <w:rPr>
        <w:rStyle w:val="28"/>
        <w:szCs w:val="21"/>
      </w:rPr>
      <w:t>41</w:t>
    </w:r>
    <w:r>
      <w:rPr>
        <w:szCs w:val="21"/>
      </w:rPr>
      <w:fldChar w:fldCharType="end"/>
    </w:r>
    <w:r>
      <w:rPr>
        <w:rStyle w:val="28"/>
        <w:rFonts w:hint="eastAsia"/>
        <w:szCs w:val="21"/>
      </w:rPr>
      <w:t xml:space="preserve"> </w:t>
    </w:r>
    <w:r>
      <w:rPr>
        <w:rFonts w:hint="eastAsia"/>
        <w:b/>
        <w:szCs w:val="21"/>
      </w:rPr>
      <w:t>---------------------------------------------------------</w:t>
    </w:r>
  </w:p>
  <w:p>
    <w:pPr>
      <w:spacing w:line="280" w:lineRule="exact"/>
      <w:jc w:val="center"/>
      <w:rPr>
        <w:b/>
        <w:szCs w:val="21"/>
      </w:rPr>
    </w:pPr>
    <w:r>
      <w:rPr>
        <w:rFonts w:hint="eastAsia"/>
        <w:b/>
        <w:szCs w:val="21"/>
        <w:lang w:eastAsia="zh-CN"/>
      </w:rPr>
      <w:t>华招广和项目管理有限公司</w:t>
    </w:r>
    <w:r>
      <w:rPr>
        <w:rFonts w:hint="eastAsia"/>
        <w:b/>
        <w:szCs w:val="21"/>
      </w:rPr>
      <w:t xml:space="preserve">  SHAANXI SHANGDE TENDERING CO，LTD</w:t>
    </w:r>
  </w:p>
  <w:p>
    <w:pPr>
      <w:spacing w:line="280" w:lineRule="exact"/>
      <w:jc w:val="center"/>
      <w:rPr>
        <w:rStyle w:val="28"/>
        <w:b/>
        <w:szCs w:val="21"/>
      </w:rPr>
    </w:pPr>
    <w:r>
      <w:rPr>
        <w:rFonts w:hint="eastAsia"/>
        <w:b/>
      </w:rPr>
      <w:t>地 址：西安市南二环西段华融国际A座25层D区   电 话：029-85350801/2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lang w:eastAsia="zh-CN"/>
      </w:rPr>
    </w:pPr>
    <w:r>
      <w:rPr>
        <w:rFonts w:hint="eastAsia" w:ascii="仿宋" w:hAnsi="仿宋" w:eastAsia="仿宋" w:cs="仿宋"/>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238125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wps:txbx>
                    <wps:bodyPr wrap="none" lIns="0" tIns="0" rIns="0" bIns="0">
                      <a:spAutoFit/>
                    </wps:bodyPr>
                  </wps:wsp>
                </a:graphicData>
              </a:graphic>
            </wp:anchor>
          </w:drawing>
        </mc:Choice>
        <mc:Fallback>
          <w:pict>
            <v:shape id="_x0000_s1026" o:spid="_x0000_s1026" o:spt="202" type="#_x0000_t202" style="position:absolute;left:0pt;margin-top:18.75pt;height:144pt;width:144pt;mso-position-horizontal:center;mso-position-horizontal-relative:margin;mso-wrap-style:none;z-index:251664384;mso-width-relative:page;mso-height-relative:page;" filled="f" stroked="f" coordsize="21600,21600" o:gfxdata="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zf/F1wAAAAcBAAAPAAAAAAAAAAEAIAAAACIAAABkcnMv&#10;ZG93bnJldi54bWxQSwECFAAUAAAACACHTuJA3cXsccsBAACZAwAADgAAAAAAAAABACAAAAAmAQAA&#10;ZHJzL2Uyb0RvYy54bWxQSwUGAAAAAAYABgBZAQAAYwUAAAAA&#10;">
              <v:fill on="f" focussize="0,0"/>
              <v:stroke on="f" weight="1.25pt"/>
              <v:imagedata o:title=""/>
              <o:lock v:ext="edit" aspectratio="f"/>
              <v:textbox inset="0mm,0mm,0mm,0mm" style="mso-fit-shape-to-text:t;">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v:textbox>
            </v:shape>
          </w:pict>
        </mc:Fallback>
      </mc:AlternateConten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西安市朱雀大街南段1号汇成天玺C座18层          电话：</w:t>
    </w:r>
    <w:r>
      <w:rPr>
        <w:rFonts w:hint="eastAsia" w:ascii="仿宋" w:hAnsi="仿宋" w:eastAsia="仿宋" w:cs="仿宋"/>
        <w:b/>
        <w:sz w:val="18"/>
        <w:szCs w:val="18"/>
        <w:u w:val="single"/>
        <w:lang w:eastAsia="zh-CN"/>
      </w:rPr>
      <w:t>029-87592321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lang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西安市朱雀大街南段1号汇成天玺C座18层          电话：</w:t>
    </w:r>
    <w:r>
      <w:rPr>
        <w:rFonts w:hint="eastAsia" w:ascii="仿宋" w:hAnsi="仿宋" w:eastAsia="仿宋" w:cs="仿宋"/>
        <w:b/>
        <w:sz w:val="18"/>
        <w:szCs w:val="18"/>
        <w:u w:val="single"/>
        <w:lang w:eastAsia="zh-CN"/>
      </w:rPr>
      <w:t>029-87592321</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2468880</wp:posOffset>
              </wp:positionH>
              <wp:positionV relativeFrom="paragraph">
                <wp:posOffset>36830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4.4pt;margin-top:2.9pt;height:144pt;width:144pt;mso-position-horizontal-relative:margin;mso-wrap-style:none;z-index:251661312;mso-width-relative:page;mso-height-relative:page;" filled="f" stroked="f" coordsize="21600,21600" o:gfxdata="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qxN7ZAAAACQEAAA8AAAAAAAAAAQAgAAAAIgAAAGRy&#10;cy9kb3ducmV2LnhtbFBLAQIUABQAAAAIAIdO4kApKqhpywEAAJkDAAAOAAAAAAAAAAEAIAAAACgB&#10;AABkcnMvZTJvRG9jLnhtbFBLBQYAAAAABgAGAFkBAABlBQAAA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lang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西安市朱雀大街南段1号汇成天玺C座18层          电话：</w:t>
    </w:r>
    <w:r>
      <w:rPr>
        <w:rFonts w:hint="eastAsia" w:ascii="仿宋" w:hAnsi="仿宋" w:eastAsia="仿宋" w:cs="仿宋"/>
        <w:b/>
        <w:sz w:val="18"/>
        <w:szCs w:val="18"/>
        <w:u w:val="single"/>
        <w:lang w:eastAsia="zh-CN"/>
      </w:rPr>
      <w:t>029-87592321</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posOffset>2486025</wp:posOffset>
              </wp:positionH>
              <wp:positionV relativeFrom="paragraph">
                <wp:posOffset>28575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75pt;margin-top:2.25pt;height:144pt;width:144pt;mso-position-horizontal-relative:margin;mso-wrap-style:none;z-index:251662336;mso-width-relative:page;mso-height-relative:page;" filled="f" stroked="f" coordsize="21600,21600" o:gfxdata="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&#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Q3Ot2gAAAAkBAAAPAAAAAAAAAAEAIAAAACIAAABk&#10;cnMvZG93bnJldi54bWxQSwECFAAUAAAACACHTuJAfwe2bcsBAACZAwAADgAAAAAAAAABACAAAAAp&#10;AQAAZHJzL2Uyb0RvYy54bWxQSwUGAAAAAAYABgBZAQAAZgU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0" w:firstLineChars="50"/>
      <w:rPr>
        <w:rStyle w:val="28"/>
      </w:rPr>
    </w:pPr>
    <w:r>
      <w:rPr>
        <w:rStyle w:val="28"/>
        <w:rFonts w:hint="eastAsia"/>
      </w:rPr>
      <w:t xml:space="preserve">  </w:t>
    </w:r>
  </w:p>
  <w:p>
    <w:pPr>
      <w:spacing w:line="280" w:lineRule="exact"/>
      <w:jc w:val="center"/>
      <w:rPr>
        <w:rFonts w:hint="eastAsia" w:ascii="仿宋" w:hAnsi="仿宋" w:eastAsia="仿宋" w:cs="仿宋"/>
        <w:b/>
        <w:sz w:val="18"/>
        <w:szCs w:val="18"/>
        <w:u w:val="single"/>
        <w:lang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西安市朱雀大街南段1号汇成天玺C座18层          电话：</w:t>
    </w:r>
    <w:r>
      <w:rPr>
        <w:rFonts w:hint="eastAsia" w:ascii="仿宋" w:hAnsi="仿宋" w:eastAsia="仿宋" w:cs="仿宋"/>
        <w:b/>
        <w:sz w:val="18"/>
        <w:szCs w:val="18"/>
        <w:u w:val="single"/>
        <w:lang w:eastAsia="zh-CN"/>
      </w:rPr>
      <w:t>029-87592321</w:t>
    </w:r>
  </w:p>
  <w:p>
    <w:pPr>
      <w:spacing w:line="280" w:lineRule="exact"/>
      <w:jc w:val="center"/>
      <w:rPr>
        <w:rFonts w:hint="eastAsia" w:ascii="仿宋" w:hAnsi="仿宋" w:eastAsia="仿宋" w:cs="仿宋"/>
        <w:b/>
        <w:sz w:val="18"/>
        <w:szCs w:val="18"/>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posOffset>4151630</wp:posOffset>
              </wp:positionH>
              <wp:positionV relativeFrom="paragraph">
                <wp:posOffset>48260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326.9pt;margin-top:3.8pt;height:144pt;width:144pt;mso-position-horizontal-relative:margin;mso-wrap-style:none;z-index:251663360;mso-width-relative:page;mso-height-relative:page;" filled="f" stroked="f" coordsize="21600,21600" o:gfxdata="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S1uwltKLDM4&#10;8dPPH6dff06/vxP0oUC9hxrzHj1mxuGDGzB59gM6E+9BBpO+yIhgHOU9nuUVQyQ8PaqWVVViiGNs&#10;viB+8fTcB4j3whmSjIYGnF+WlR0+QhxT55RUzbo7pXWeobakR9Tr6v11fnEOIbq2WCSxGLtNVhy2&#10;w0Rt69ojMutxCRpqcecp0Q8WNU77MhthNraTkcqDv91HbCF3llBHqKkYTixzm7YrrcS/95z19E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yCo2QAAAAkBAAAPAAAAAAAAAAEAIAAAACIAAABk&#10;cnMvZG93bnJldi54bWxQSwECFAAUAAAACACHTuJAJDON3MwBAACZAwAADgAAAAAAAAABACAAAAAo&#10;AQAAZHJzL2Uyb0RvYy54bWxQSwUGAAAAAAYABgBZAQAAZgUAAAAA&#10;">
              <v:fill on="f" focussize="0,0"/>
              <v:stroke on="f" weight="1.25pt"/>
              <v:imagedata o:title=""/>
              <o:lock v:ext="edit" aspectratio="f"/>
              <v:textbox inset="0mm,0mm,0mm,0mm" style="mso-fit-shape-to-text:t;">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楷体" w:hAnsi="楷体" w:eastAsia="楷体" w:cs="楷体"/>
        <w:b/>
        <w:sz w:val="18"/>
        <w:szCs w:val="18"/>
        <w:u w:val="single"/>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posOffset>2484755</wp:posOffset>
              </wp:positionH>
              <wp:positionV relativeFrom="paragraph">
                <wp:posOffset>198755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65pt;margin-top:15.65pt;height:144pt;width:144pt;mso-position-horizontal-relative:margin;mso-wrap-style:none;z-index:251665408;mso-width-relative:page;mso-height-relative:page;" filled="f" stroked="f" coordsize="21600,21600" o:gfxdata="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6nxK1wAAAAoBAAAPAAAAAAAAAAEAIAAAACIAAABkcnMv&#10;ZG93bnJldi54bWxQSwECFAAUAAAACACHTuJA012KZcsBAACZAwAADgAAAAAAAAABACAAAAAmAQAA&#10;ZHJzL2Uyb0RvYy54bWxQSwUGAAAAAAYABgBZAQAAYwUAAA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西安市朱雀大街南段1号汇成天玺C座18层          电话：</w:t>
    </w:r>
    <w:r>
      <w:rPr>
        <w:rFonts w:hint="eastAsia" w:ascii="楷体" w:hAnsi="楷体" w:eastAsia="楷体" w:cs="楷体"/>
        <w:b/>
        <w:sz w:val="18"/>
        <w:szCs w:val="18"/>
        <w:u w:val="single"/>
        <w:lang w:eastAsia="zh-CN"/>
      </w:rPr>
      <w:t>029-87592321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农村生活饮用水检测项目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r>
      <w:rPr>
        <w:rFonts w:hint="eastAsia" w:ascii="仿宋" w:hAnsi="仿宋" w:eastAsia="仿宋" w:cs="仿宋"/>
        <w:b/>
        <w:u w:val="single"/>
        <w:lang w:val="en-US" w:eastAsia="zh-CN"/>
      </w:rPr>
      <w:t>农村生活饮用水检测项目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 w:hAnsi="楷体" w:eastAsia="楷体" w:cs="楷体"/>
        <w:b/>
        <w:u w:val="single"/>
        <w:shd w:val="pct10" w:color="auto" w:fill="FFFFFF"/>
      </w:rPr>
    </w:pPr>
    <w:r>
      <w:rPr>
        <w:rFonts w:hint="eastAsia" w:ascii="仿宋" w:hAnsi="仿宋" w:eastAsia="仿宋" w:cs="仿宋"/>
        <w:b/>
        <w:u w:val="single"/>
        <w:lang w:val="en-US" w:eastAsia="zh-CN"/>
      </w:rPr>
      <w:t>农村生活饮用水检测项目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Cs w:val="21"/>
        <w:shd w:val="pct10" w:color="auto" w:fill="FFFFFF"/>
      </w:rPr>
    </w:pPr>
    <w:r>
      <w:rPr>
        <w:rFonts w:hint="eastAsia" w:ascii="宋体" w:hAnsi="宋体"/>
        <w:b/>
        <w:lang w:eastAsia="zh-CN"/>
      </w:rPr>
      <w:t>韩城市疾病预防控制中心关于武功县设施农业用地上图入库第二阶段采购项目</w:t>
    </w:r>
    <w:r>
      <w:rPr>
        <w:rFonts w:hint="eastAsia" w:ascii="宋体" w:hAnsi="宋体"/>
        <w:b/>
      </w:rPr>
      <w:t xml:space="preserve">                  文件编号: GDZB-2017-0000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农村生活饮用水检测项目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文件编号:SDZB2017-2361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C707A"/>
    <w:multiLevelType w:val="singleLevel"/>
    <w:tmpl w:val="B21C70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TVlYjc4MTYxOWE0MmI4MTYyZmE4NjhhODg0NWUifQ=="/>
  </w:docVars>
  <w:rsids>
    <w:rsidRoot w:val="5CA52231"/>
    <w:rsid w:val="00295C4C"/>
    <w:rsid w:val="00314C9C"/>
    <w:rsid w:val="003D1B79"/>
    <w:rsid w:val="004006FE"/>
    <w:rsid w:val="004E284B"/>
    <w:rsid w:val="00574C91"/>
    <w:rsid w:val="00605C8A"/>
    <w:rsid w:val="00716A3F"/>
    <w:rsid w:val="0099218B"/>
    <w:rsid w:val="00AE2E12"/>
    <w:rsid w:val="00C56673"/>
    <w:rsid w:val="016D4D4A"/>
    <w:rsid w:val="018848B9"/>
    <w:rsid w:val="01AF53D2"/>
    <w:rsid w:val="01E01AFA"/>
    <w:rsid w:val="026F22F1"/>
    <w:rsid w:val="02A117CD"/>
    <w:rsid w:val="02AA1D26"/>
    <w:rsid w:val="02D33E38"/>
    <w:rsid w:val="030C1D6D"/>
    <w:rsid w:val="0317331D"/>
    <w:rsid w:val="03427D59"/>
    <w:rsid w:val="037759E0"/>
    <w:rsid w:val="03AC6219"/>
    <w:rsid w:val="04083177"/>
    <w:rsid w:val="046907DC"/>
    <w:rsid w:val="046B31A0"/>
    <w:rsid w:val="04740EAB"/>
    <w:rsid w:val="04BE50B1"/>
    <w:rsid w:val="065027ED"/>
    <w:rsid w:val="06670CDB"/>
    <w:rsid w:val="06707460"/>
    <w:rsid w:val="067F0181"/>
    <w:rsid w:val="06AC3D9C"/>
    <w:rsid w:val="06E36671"/>
    <w:rsid w:val="06FD58FA"/>
    <w:rsid w:val="0708446E"/>
    <w:rsid w:val="071E7D6B"/>
    <w:rsid w:val="074932D5"/>
    <w:rsid w:val="07826662"/>
    <w:rsid w:val="07F208D7"/>
    <w:rsid w:val="07FA3B8F"/>
    <w:rsid w:val="08514E5D"/>
    <w:rsid w:val="089F1C5C"/>
    <w:rsid w:val="09047D11"/>
    <w:rsid w:val="094B1DE4"/>
    <w:rsid w:val="094B7E72"/>
    <w:rsid w:val="09783466"/>
    <w:rsid w:val="09C126F0"/>
    <w:rsid w:val="09E10362"/>
    <w:rsid w:val="09F0034F"/>
    <w:rsid w:val="0A40182F"/>
    <w:rsid w:val="0A441C29"/>
    <w:rsid w:val="0A462C8E"/>
    <w:rsid w:val="0A47098D"/>
    <w:rsid w:val="0A782F46"/>
    <w:rsid w:val="0AC611DC"/>
    <w:rsid w:val="0AE35538"/>
    <w:rsid w:val="0B5F7256"/>
    <w:rsid w:val="0B7432FA"/>
    <w:rsid w:val="0BCE259C"/>
    <w:rsid w:val="0BE407DC"/>
    <w:rsid w:val="0C04209F"/>
    <w:rsid w:val="0C654222"/>
    <w:rsid w:val="0C993304"/>
    <w:rsid w:val="0CA23356"/>
    <w:rsid w:val="0CA26AF9"/>
    <w:rsid w:val="0CAD7162"/>
    <w:rsid w:val="0D035E0E"/>
    <w:rsid w:val="0D046532"/>
    <w:rsid w:val="0D1B42EE"/>
    <w:rsid w:val="0D2378B7"/>
    <w:rsid w:val="0DBA6097"/>
    <w:rsid w:val="0DBC4B86"/>
    <w:rsid w:val="0DC74ACF"/>
    <w:rsid w:val="0E2F54AF"/>
    <w:rsid w:val="0E535B99"/>
    <w:rsid w:val="0E9852F9"/>
    <w:rsid w:val="0E9D2DA8"/>
    <w:rsid w:val="0EB9746D"/>
    <w:rsid w:val="0EF84A2E"/>
    <w:rsid w:val="0F032353"/>
    <w:rsid w:val="0F160CF9"/>
    <w:rsid w:val="0FE65E5D"/>
    <w:rsid w:val="113A0411"/>
    <w:rsid w:val="11C25421"/>
    <w:rsid w:val="125C471A"/>
    <w:rsid w:val="12D77F2E"/>
    <w:rsid w:val="12FE1C75"/>
    <w:rsid w:val="13134FCF"/>
    <w:rsid w:val="13532ADC"/>
    <w:rsid w:val="138A771E"/>
    <w:rsid w:val="13A866AB"/>
    <w:rsid w:val="13C705E7"/>
    <w:rsid w:val="13D50BD8"/>
    <w:rsid w:val="142F3033"/>
    <w:rsid w:val="145D5190"/>
    <w:rsid w:val="14685C58"/>
    <w:rsid w:val="147C3400"/>
    <w:rsid w:val="14E622ED"/>
    <w:rsid w:val="14FE0622"/>
    <w:rsid w:val="150154C3"/>
    <w:rsid w:val="150729CC"/>
    <w:rsid w:val="150F0169"/>
    <w:rsid w:val="153B4ABB"/>
    <w:rsid w:val="1545594D"/>
    <w:rsid w:val="159E5B20"/>
    <w:rsid w:val="15E52C78"/>
    <w:rsid w:val="15EF74ED"/>
    <w:rsid w:val="163B5862"/>
    <w:rsid w:val="16666A8E"/>
    <w:rsid w:val="166925C4"/>
    <w:rsid w:val="167960C4"/>
    <w:rsid w:val="169776BC"/>
    <w:rsid w:val="16A10FD1"/>
    <w:rsid w:val="16B82264"/>
    <w:rsid w:val="17BE2920"/>
    <w:rsid w:val="17C00796"/>
    <w:rsid w:val="17D91989"/>
    <w:rsid w:val="188341B0"/>
    <w:rsid w:val="19521B57"/>
    <w:rsid w:val="1958524A"/>
    <w:rsid w:val="196873D3"/>
    <w:rsid w:val="19764F21"/>
    <w:rsid w:val="197D4F2E"/>
    <w:rsid w:val="19925274"/>
    <w:rsid w:val="19A3119E"/>
    <w:rsid w:val="1ACA1E7D"/>
    <w:rsid w:val="1B2E333A"/>
    <w:rsid w:val="1B5D5967"/>
    <w:rsid w:val="1B762CE2"/>
    <w:rsid w:val="1B800E24"/>
    <w:rsid w:val="1B8018F0"/>
    <w:rsid w:val="1B8B6FB4"/>
    <w:rsid w:val="1C2C6107"/>
    <w:rsid w:val="1C3F3B57"/>
    <w:rsid w:val="1C654B13"/>
    <w:rsid w:val="1C704310"/>
    <w:rsid w:val="1C8A0D7E"/>
    <w:rsid w:val="1C9F1DD3"/>
    <w:rsid w:val="1CBD2782"/>
    <w:rsid w:val="1CC058E0"/>
    <w:rsid w:val="1CE9176D"/>
    <w:rsid w:val="1CEF3C8D"/>
    <w:rsid w:val="1DAD3A24"/>
    <w:rsid w:val="1DAE3C1B"/>
    <w:rsid w:val="1DBF1167"/>
    <w:rsid w:val="1DFA6949"/>
    <w:rsid w:val="1E0D2086"/>
    <w:rsid w:val="1E36609D"/>
    <w:rsid w:val="1E685343"/>
    <w:rsid w:val="1EC5245F"/>
    <w:rsid w:val="1EE018EF"/>
    <w:rsid w:val="1EF86EC7"/>
    <w:rsid w:val="1F193AD6"/>
    <w:rsid w:val="2090323C"/>
    <w:rsid w:val="20B56347"/>
    <w:rsid w:val="20D13F45"/>
    <w:rsid w:val="20F52DBB"/>
    <w:rsid w:val="210851CD"/>
    <w:rsid w:val="218403EA"/>
    <w:rsid w:val="219D3ACF"/>
    <w:rsid w:val="21B602C8"/>
    <w:rsid w:val="224729DE"/>
    <w:rsid w:val="228D72CD"/>
    <w:rsid w:val="22AA45D0"/>
    <w:rsid w:val="22FB4A29"/>
    <w:rsid w:val="23214339"/>
    <w:rsid w:val="233B6B95"/>
    <w:rsid w:val="234C60E3"/>
    <w:rsid w:val="23667A8F"/>
    <w:rsid w:val="237972CB"/>
    <w:rsid w:val="238460C9"/>
    <w:rsid w:val="2387409E"/>
    <w:rsid w:val="239C3527"/>
    <w:rsid w:val="23BD364C"/>
    <w:rsid w:val="23BD5C15"/>
    <w:rsid w:val="23D855A8"/>
    <w:rsid w:val="243A34C8"/>
    <w:rsid w:val="243F7A48"/>
    <w:rsid w:val="2498323C"/>
    <w:rsid w:val="24AD6618"/>
    <w:rsid w:val="24D24F1B"/>
    <w:rsid w:val="24E91E9C"/>
    <w:rsid w:val="24EB35BF"/>
    <w:rsid w:val="25255D5C"/>
    <w:rsid w:val="253668B6"/>
    <w:rsid w:val="253C5361"/>
    <w:rsid w:val="254B7584"/>
    <w:rsid w:val="25D62632"/>
    <w:rsid w:val="261C10D2"/>
    <w:rsid w:val="26B00013"/>
    <w:rsid w:val="26D23436"/>
    <w:rsid w:val="26E01831"/>
    <w:rsid w:val="270200AF"/>
    <w:rsid w:val="27222C9B"/>
    <w:rsid w:val="27323271"/>
    <w:rsid w:val="27EE5444"/>
    <w:rsid w:val="281A1E64"/>
    <w:rsid w:val="282B61D0"/>
    <w:rsid w:val="283930FA"/>
    <w:rsid w:val="284A0F2F"/>
    <w:rsid w:val="285F3C13"/>
    <w:rsid w:val="287F6F5C"/>
    <w:rsid w:val="2884639A"/>
    <w:rsid w:val="289C18BC"/>
    <w:rsid w:val="28D322DB"/>
    <w:rsid w:val="28EB2A8B"/>
    <w:rsid w:val="292C49EE"/>
    <w:rsid w:val="294962CA"/>
    <w:rsid w:val="296F5970"/>
    <w:rsid w:val="29C075C6"/>
    <w:rsid w:val="29C673A2"/>
    <w:rsid w:val="29F41216"/>
    <w:rsid w:val="29F51CDA"/>
    <w:rsid w:val="2A2031AC"/>
    <w:rsid w:val="2A4C49A4"/>
    <w:rsid w:val="2A51745D"/>
    <w:rsid w:val="2B6927F8"/>
    <w:rsid w:val="2B9D7E25"/>
    <w:rsid w:val="2BB9108D"/>
    <w:rsid w:val="2BCD3D86"/>
    <w:rsid w:val="2C4B7EAE"/>
    <w:rsid w:val="2C7125F6"/>
    <w:rsid w:val="2CCA4573"/>
    <w:rsid w:val="2CD23AFF"/>
    <w:rsid w:val="2D2F6022"/>
    <w:rsid w:val="2DE52846"/>
    <w:rsid w:val="2DFF443A"/>
    <w:rsid w:val="2E4648D8"/>
    <w:rsid w:val="2E55254F"/>
    <w:rsid w:val="2E76670C"/>
    <w:rsid w:val="2E98219C"/>
    <w:rsid w:val="2EBA2A9C"/>
    <w:rsid w:val="2EC30FD3"/>
    <w:rsid w:val="2F3D365B"/>
    <w:rsid w:val="2FFD6A02"/>
    <w:rsid w:val="307D1B7F"/>
    <w:rsid w:val="308121AA"/>
    <w:rsid w:val="30882EF9"/>
    <w:rsid w:val="309D06C4"/>
    <w:rsid w:val="30D6704C"/>
    <w:rsid w:val="30E42811"/>
    <w:rsid w:val="30FC1C38"/>
    <w:rsid w:val="312D5C40"/>
    <w:rsid w:val="313451FE"/>
    <w:rsid w:val="3179279B"/>
    <w:rsid w:val="318F07B1"/>
    <w:rsid w:val="321A765E"/>
    <w:rsid w:val="322F33E6"/>
    <w:rsid w:val="324A6E8E"/>
    <w:rsid w:val="324C4540"/>
    <w:rsid w:val="328409AF"/>
    <w:rsid w:val="3285675A"/>
    <w:rsid w:val="3306189B"/>
    <w:rsid w:val="33441EEA"/>
    <w:rsid w:val="33C8035F"/>
    <w:rsid w:val="34285437"/>
    <w:rsid w:val="349D2C44"/>
    <w:rsid w:val="34B67359"/>
    <w:rsid w:val="34BD6422"/>
    <w:rsid w:val="34FD3CDD"/>
    <w:rsid w:val="35474D1B"/>
    <w:rsid w:val="35635AE6"/>
    <w:rsid w:val="35FC0885"/>
    <w:rsid w:val="35FF6EE4"/>
    <w:rsid w:val="36607BFC"/>
    <w:rsid w:val="36647515"/>
    <w:rsid w:val="366B68D7"/>
    <w:rsid w:val="36754531"/>
    <w:rsid w:val="36960592"/>
    <w:rsid w:val="369B31B3"/>
    <w:rsid w:val="36A6383E"/>
    <w:rsid w:val="36C86E67"/>
    <w:rsid w:val="36CF2484"/>
    <w:rsid w:val="36D45F5B"/>
    <w:rsid w:val="36E765D4"/>
    <w:rsid w:val="36E81B47"/>
    <w:rsid w:val="37015A67"/>
    <w:rsid w:val="37696A12"/>
    <w:rsid w:val="37D672E5"/>
    <w:rsid w:val="37D82BA9"/>
    <w:rsid w:val="38236863"/>
    <w:rsid w:val="385B7D01"/>
    <w:rsid w:val="3946502A"/>
    <w:rsid w:val="3A0C2363"/>
    <w:rsid w:val="3A612FFC"/>
    <w:rsid w:val="3A991BBE"/>
    <w:rsid w:val="3AAA1667"/>
    <w:rsid w:val="3AAD0891"/>
    <w:rsid w:val="3B0648C2"/>
    <w:rsid w:val="3B2A69F2"/>
    <w:rsid w:val="3BF0451E"/>
    <w:rsid w:val="3C0C0C6E"/>
    <w:rsid w:val="3CF66938"/>
    <w:rsid w:val="3CFA113A"/>
    <w:rsid w:val="3D474C33"/>
    <w:rsid w:val="3D5F716B"/>
    <w:rsid w:val="3DAA35EA"/>
    <w:rsid w:val="3DAB59FE"/>
    <w:rsid w:val="3DBB3A26"/>
    <w:rsid w:val="3E072A46"/>
    <w:rsid w:val="3E1168FA"/>
    <w:rsid w:val="3E3D638D"/>
    <w:rsid w:val="3E59316B"/>
    <w:rsid w:val="3E7A5E78"/>
    <w:rsid w:val="3E8F35BB"/>
    <w:rsid w:val="3EA96557"/>
    <w:rsid w:val="3EB218A7"/>
    <w:rsid w:val="3EE06A33"/>
    <w:rsid w:val="3EED2A1A"/>
    <w:rsid w:val="3EFA6BAE"/>
    <w:rsid w:val="3F370BCB"/>
    <w:rsid w:val="3F7A43AD"/>
    <w:rsid w:val="3F8E5C59"/>
    <w:rsid w:val="3FF543F2"/>
    <w:rsid w:val="40287CFB"/>
    <w:rsid w:val="407C02A4"/>
    <w:rsid w:val="40AF73C0"/>
    <w:rsid w:val="417F1907"/>
    <w:rsid w:val="41F07ECA"/>
    <w:rsid w:val="420B00B0"/>
    <w:rsid w:val="425D4330"/>
    <w:rsid w:val="427101FB"/>
    <w:rsid w:val="427136EC"/>
    <w:rsid w:val="42B36D52"/>
    <w:rsid w:val="43211C22"/>
    <w:rsid w:val="4360708A"/>
    <w:rsid w:val="43BB7949"/>
    <w:rsid w:val="448C05DF"/>
    <w:rsid w:val="44AC070C"/>
    <w:rsid w:val="44AC45F6"/>
    <w:rsid w:val="44C0719C"/>
    <w:rsid w:val="44DB0AFB"/>
    <w:rsid w:val="45283340"/>
    <w:rsid w:val="45612478"/>
    <w:rsid w:val="45A75332"/>
    <w:rsid w:val="45BF1A3F"/>
    <w:rsid w:val="45D4091B"/>
    <w:rsid w:val="45E00128"/>
    <w:rsid w:val="45E61DF8"/>
    <w:rsid w:val="45FC0156"/>
    <w:rsid w:val="46322C1D"/>
    <w:rsid w:val="468C2F1E"/>
    <w:rsid w:val="46D2182F"/>
    <w:rsid w:val="474536FB"/>
    <w:rsid w:val="478B389E"/>
    <w:rsid w:val="47F40F55"/>
    <w:rsid w:val="484D0B6A"/>
    <w:rsid w:val="4856239B"/>
    <w:rsid w:val="48962D4B"/>
    <w:rsid w:val="48D45224"/>
    <w:rsid w:val="48F3112A"/>
    <w:rsid w:val="493004E9"/>
    <w:rsid w:val="49350D52"/>
    <w:rsid w:val="49D768C0"/>
    <w:rsid w:val="49FE675C"/>
    <w:rsid w:val="4A03006A"/>
    <w:rsid w:val="4A385AE6"/>
    <w:rsid w:val="4AA519CD"/>
    <w:rsid w:val="4AF10388"/>
    <w:rsid w:val="4AF94070"/>
    <w:rsid w:val="4AFB5E63"/>
    <w:rsid w:val="4B965FB0"/>
    <w:rsid w:val="4C256914"/>
    <w:rsid w:val="4C5A1013"/>
    <w:rsid w:val="4C96549F"/>
    <w:rsid w:val="4CAD74C4"/>
    <w:rsid w:val="4CC674CA"/>
    <w:rsid w:val="4CCA0DF3"/>
    <w:rsid w:val="4D3944DB"/>
    <w:rsid w:val="4D3D1756"/>
    <w:rsid w:val="4D49565B"/>
    <w:rsid w:val="4E0C743C"/>
    <w:rsid w:val="4E93715A"/>
    <w:rsid w:val="4E9F6F1B"/>
    <w:rsid w:val="4EC14B14"/>
    <w:rsid w:val="4F141B05"/>
    <w:rsid w:val="4F1B0161"/>
    <w:rsid w:val="4F1B0C9F"/>
    <w:rsid w:val="4F7810D0"/>
    <w:rsid w:val="4F8A7B60"/>
    <w:rsid w:val="50CC1400"/>
    <w:rsid w:val="50DE1F06"/>
    <w:rsid w:val="50FA6915"/>
    <w:rsid w:val="514345C9"/>
    <w:rsid w:val="518270C9"/>
    <w:rsid w:val="519266B2"/>
    <w:rsid w:val="519C1B26"/>
    <w:rsid w:val="51E27AE8"/>
    <w:rsid w:val="521F2034"/>
    <w:rsid w:val="52242BD3"/>
    <w:rsid w:val="527821A3"/>
    <w:rsid w:val="527A4BCD"/>
    <w:rsid w:val="527E492B"/>
    <w:rsid w:val="52BD596D"/>
    <w:rsid w:val="52DE7D41"/>
    <w:rsid w:val="53195734"/>
    <w:rsid w:val="531D2DA5"/>
    <w:rsid w:val="533A6602"/>
    <w:rsid w:val="535A5075"/>
    <w:rsid w:val="53774E9B"/>
    <w:rsid w:val="53B94DB8"/>
    <w:rsid w:val="54075DCC"/>
    <w:rsid w:val="5447089E"/>
    <w:rsid w:val="548D5DC1"/>
    <w:rsid w:val="54A14884"/>
    <w:rsid w:val="54BA1808"/>
    <w:rsid w:val="54EB6E03"/>
    <w:rsid w:val="550601C8"/>
    <w:rsid w:val="55146E5E"/>
    <w:rsid w:val="553B5415"/>
    <w:rsid w:val="553C5232"/>
    <w:rsid w:val="554372DB"/>
    <w:rsid w:val="554B2CF1"/>
    <w:rsid w:val="55C129F3"/>
    <w:rsid w:val="55C43442"/>
    <w:rsid w:val="56150435"/>
    <w:rsid w:val="569B3AE2"/>
    <w:rsid w:val="57E15B41"/>
    <w:rsid w:val="5812279B"/>
    <w:rsid w:val="585554B6"/>
    <w:rsid w:val="58862037"/>
    <w:rsid w:val="58AF1A95"/>
    <w:rsid w:val="58E805C8"/>
    <w:rsid w:val="58F61C6D"/>
    <w:rsid w:val="59047ECD"/>
    <w:rsid w:val="592D49A0"/>
    <w:rsid w:val="59AC7E01"/>
    <w:rsid w:val="5A2F12C4"/>
    <w:rsid w:val="5A351EEE"/>
    <w:rsid w:val="5A521346"/>
    <w:rsid w:val="5AD76600"/>
    <w:rsid w:val="5B191112"/>
    <w:rsid w:val="5B8155F3"/>
    <w:rsid w:val="5BA31738"/>
    <w:rsid w:val="5BA6792C"/>
    <w:rsid w:val="5BD25514"/>
    <w:rsid w:val="5C0974B2"/>
    <w:rsid w:val="5C186F88"/>
    <w:rsid w:val="5C1B42CB"/>
    <w:rsid w:val="5C73777D"/>
    <w:rsid w:val="5CA52231"/>
    <w:rsid w:val="5CAA3CE0"/>
    <w:rsid w:val="5CB315BE"/>
    <w:rsid w:val="5CD05EC4"/>
    <w:rsid w:val="5CEE67CC"/>
    <w:rsid w:val="5D9C44BA"/>
    <w:rsid w:val="5DD3719E"/>
    <w:rsid w:val="5DD4697C"/>
    <w:rsid w:val="5DEC5D6F"/>
    <w:rsid w:val="5DF32237"/>
    <w:rsid w:val="5E1B365D"/>
    <w:rsid w:val="5E245395"/>
    <w:rsid w:val="5E370EEC"/>
    <w:rsid w:val="5E68355E"/>
    <w:rsid w:val="5E693E0B"/>
    <w:rsid w:val="5EF51B46"/>
    <w:rsid w:val="5F716DD1"/>
    <w:rsid w:val="5F9A1C0C"/>
    <w:rsid w:val="60EF7936"/>
    <w:rsid w:val="615D15B4"/>
    <w:rsid w:val="617C53D9"/>
    <w:rsid w:val="619C3FB1"/>
    <w:rsid w:val="61B77CE2"/>
    <w:rsid w:val="61BE4845"/>
    <w:rsid w:val="62014DE8"/>
    <w:rsid w:val="628E2F58"/>
    <w:rsid w:val="62954FBF"/>
    <w:rsid w:val="62F67840"/>
    <w:rsid w:val="6300246C"/>
    <w:rsid w:val="63245663"/>
    <w:rsid w:val="63420DA4"/>
    <w:rsid w:val="637D74E4"/>
    <w:rsid w:val="63DD2A68"/>
    <w:rsid w:val="64166B12"/>
    <w:rsid w:val="64725A90"/>
    <w:rsid w:val="64C46520"/>
    <w:rsid w:val="64EC4D35"/>
    <w:rsid w:val="651265B7"/>
    <w:rsid w:val="6517248E"/>
    <w:rsid w:val="653918E3"/>
    <w:rsid w:val="65BA296F"/>
    <w:rsid w:val="65EE67B8"/>
    <w:rsid w:val="66E43193"/>
    <w:rsid w:val="67267CB5"/>
    <w:rsid w:val="67341171"/>
    <w:rsid w:val="67430B7A"/>
    <w:rsid w:val="674F3DFC"/>
    <w:rsid w:val="676C5425"/>
    <w:rsid w:val="677775CA"/>
    <w:rsid w:val="681F1432"/>
    <w:rsid w:val="68384664"/>
    <w:rsid w:val="683E40AC"/>
    <w:rsid w:val="6894063F"/>
    <w:rsid w:val="68AA0374"/>
    <w:rsid w:val="690C3C0F"/>
    <w:rsid w:val="698915CD"/>
    <w:rsid w:val="69C87321"/>
    <w:rsid w:val="69E7087D"/>
    <w:rsid w:val="69F92CBD"/>
    <w:rsid w:val="6A1A76FF"/>
    <w:rsid w:val="6A5E5183"/>
    <w:rsid w:val="6A6804B7"/>
    <w:rsid w:val="6A8F6A6C"/>
    <w:rsid w:val="6A9D515D"/>
    <w:rsid w:val="6AA03474"/>
    <w:rsid w:val="6AEE00B8"/>
    <w:rsid w:val="6B3468AC"/>
    <w:rsid w:val="6B587443"/>
    <w:rsid w:val="6B6B0DB4"/>
    <w:rsid w:val="6B894DA7"/>
    <w:rsid w:val="6B8B20B8"/>
    <w:rsid w:val="6B8B218D"/>
    <w:rsid w:val="6C3D0FAE"/>
    <w:rsid w:val="6C8E0AE9"/>
    <w:rsid w:val="6D165605"/>
    <w:rsid w:val="6D226F33"/>
    <w:rsid w:val="6D7F2964"/>
    <w:rsid w:val="6DB31991"/>
    <w:rsid w:val="6DCE340F"/>
    <w:rsid w:val="6E8F55C7"/>
    <w:rsid w:val="6E910FE5"/>
    <w:rsid w:val="6E9B76DB"/>
    <w:rsid w:val="6EFE55DA"/>
    <w:rsid w:val="6F5A0AAF"/>
    <w:rsid w:val="6F8932E6"/>
    <w:rsid w:val="700C68AA"/>
    <w:rsid w:val="701D3C4D"/>
    <w:rsid w:val="70200256"/>
    <w:rsid w:val="70501F38"/>
    <w:rsid w:val="705B5D23"/>
    <w:rsid w:val="70865CFA"/>
    <w:rsid w:val="70981F36"/>
    <w:rsid w:val="70E919C6"/>
    <w:rsid w:val="71427881"/>
    <w:rsid w:val="71DE4F62"/>
    <w:rsid w:val="71E640D4"/>
    <w:rsid w:val="725A52FD"/>
    <w:rsid w:val="729E0707"/>
    <w:rsid w:val="72AF2147"/>
    <w:rsid w:val="72D33A44"/>
    <w:rsid w:val="730F643C"/>
    <w:rsid w:val="736A2FD2"/>
    <w:rsid w:val="73B26F4B"/>
    <w:rsid w:val="73DF1469"/>
    <w:rsid w:val="74B17D02"/>
    <w:rsid w:val="74E06AEF"/>
    <w:rsid w:val="75384BC5"/>
    <w:rsid w:val="75661286"/>
    <w:rsid w:val="75B46528"/>
    <w:rsid w:val="75D01C05"/>
    <w:rsid w:val="75D648AF"/>
    <w:rsid w:val="75ED55FA"/>
    <w:rsid w:val="75FB2DFF"/>
    <w:rsid w:val="764B713D"/>
    <w:rsid w:val="76895E06"/>
    <w:rsid w:val="77312EA9"/>
    <w:rsid w:val="77371E97"/>
    <w:rsid w:val="778C38DC"/>
    <w:rsid w:val="77B455D4"/>
    <w:rsid w:val="77B6365C"/>
    <w:rsid w:val="77C117B8"/>
    <w:rsid w:val="77D63E3F"/>
    <w:rsid w:val="77E154C3"/>
    <w:rsid w:val="7815335E"/>
    <w:rsid w:val="78361EBF"/>
    <w:rsid w:val="784349DE"/>
    <w:rsid w:val="78867CF8"/>
    <w:rsid w:val="78DE0702"/>
    <w:rsid w:val="78EC6560"/>
    <w:rsid w:val="79083935"/>
    <w:rsid w:val="790C3251"/>
    <w:rsid w:val="79544133"/>
    <w:rsid w:val="79616F10"/>
    <w:rsid w:val="799500C0"/>
    <w:rsid w:val="7A476702"/>
    <w:rsid w:val="7A5113F9"/>
    <w:rsid w:val="7A537FDD"/>
    <w:rsid w:val="7AD216C8"/>
    <w:rsid w:val="7B005BEC"/>
    <w:rsid w:val="7BA14395"/>
    <w:rsid w:val="7C15026F"/>
    <w:rsid w:val="7C5E091E"/>
    <w:rsid w:val="7D0D1638"/>
    <w:rsid w:val="7D144297"/>
    <w:rsid w:val="7D163F2E"/>
    <w:rsid w:val="7D21497E"/>
    <w:rsid w:val="7D43638A"/>
    <w:rsid w:val="7D5947FB"/>
    <w:rsid w:val="7D636A70"/>
    <w:rsid w:val="7D891CD5"/>
    <w:rsid w:val="7DC35135"/>
    <w:rsid w:val="7DE80F5B"/>
    <w:rsid w:val="7E190276"/>
    <w:rsid w:val="7E532D12"/>
    <w:rsid w:val="7EA877E8"/>
    <w:rsid w:val="7EB03176"/>
    <w:rsid w:val="7EC87E8B"/>
    <w:rsid w:val="7F0F6FFB"/>
    <w:rsid w:val="7F23573B"/>
    <w:rsid w:val="7F4A4909"/>
    <w:rsid w:val="7F543DBA"/>
    <w:rsid w:val="7FA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5">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te Heading"/>
    <w:basedOn w:val="1"/>
    <w:next w:val="1"/>
    <w:qFormat/>
    <w:uiPriority w:val="0"/>
    <w:pPr>
      <w:jc w:val="center"/>
    </w:pPr>
  </w:style>
  <w:style w:type="paragraph" w:styleId="8">
    <w:name w:val="Normal Indent"/>
    <w:basedOn w:val="1"/>
    <w:next w:val="1"/>
    <w:qFormat/>
    <w:uiPriority w:val="99"/>
    <w:pPr>
      <w:ind w:firstLine="42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3"/>
    <w:qFormat/>
    <w:uiPriority w:val="0"/>
    <w:pPr>
      <w:jc w:val="left"/>
    </w:pPr>
  </w:style>
  <w:style w:type="paragraph" w:styleId="11">
    <w:name w:val="Body Text"/>
    <w:basedOn w:val="1"/>
    <w:unhideWhenUsed/>
    <w:qFormat/>
    <w:uiPriority w:val="99"/>
    <w:pPr>
      <w:spacing w:after="120"/>
    </w:pPr>
    <w:rPr>
      <w:rFonts w:eastAsia="Times New Roman"/>
    </w:rPr>
  </w:style>
  <w:style w:type="paragraph" w:styleId="12">
    <w:name w:val="Body Text Indent"/>
    <w:basedOn w:val="1"/>
    <w:qFormat/>
    <w:uiPriority w:val="0"/>
    <w:pPr>
      <w:spacing w:after="120" w:afterLines="0"/>
      <w:ind w:left="420" w:leftChars="200"/>
    </w:p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Plain Text"/>
    <w:basedOn w:val="1"/>
    <w:qFormat/>
    <w:uiPriority w:val="0"/>
    <w:rPr>
      <w:rFonts w:ascii="宋体" w:hAnsi="Courier New"/>
      <w:szCs w:val="20"/>
    </w:rPr>
  </w:style>
  <w:style w:type="paragraph" w:styleId="15">
    <w:name w:val="Balloon Text"/>
    <w:basedOn w:val="1"/>
    <w:link w:val="55"/>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next w:val="1"/>
    <w:qFormat/>
    <w:uiPriority w:val="0"/>
    <w:pPr>
      <w:spacing w:beforeAutospacing="1" w:afterAutospacing="1"/>
      <w:jc w:val="left"/>
    </w:pPr>
    <w:rPr>
      <w:kern w:val="0"/>
      <w:sz w:val="24"/>
    </w:rPr>
  </w:style>
  <w:style w:type="paragraph" w:styleId="21">
    <w:name w:val="annotation subject"/>
    <w:basedOn w:val="10"/>
    <w:next w:val="10"/>
    <w:link w:val="54"/>
    <w:qFormat/>
    <w:uiPriority w:val="0"/>
    <w:rPr>
      <w:b/>
      <w:bCs/>
    </w:rPr>
  </w:style>
  <w:style w:type="paragraph" w:styleId="22">
    <w:name w:val="Body Text First Indent"/>
    <w:basedOn w:val="11"/>
    <w:qFormat/>
    <w:uiPriority w:val="0"/>
    <w:pPr>
      <w:ind w:firstLine="420" w:firstLineChars="100"/>
    </w:pPr>
  </w:style>
  <w:style w:type="paragraph" w:styleId="23">
    <w:name w:val="Body Text First Indent 2"/>
    <w:basedOn w:val="12"/>
    <w:qFormat/>
    <w:uiPriority w:val="99"/>
    <w:pPr>
      <w:ind w:firstLine="420" w:firstLineChars="200"/>
    </w:pPr>
    <w:rPr>
      <w:szCs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rPr>
      <w:i/>
      <w:iCs/>
    </w:rPr>
  </w:style>
  <w:style w:type="character" w:styleId="32">
    <w:name w:val="Hyperlink"/>
    <w:basedOn w:val="26"/>
    <w:qFormat/>
    <w:uiPriority w:val="0"/>
    <w:rPr>
      <w:color w:val="0000FF"/>
      <w:u w:val="none"/>
    </w:rPr>
  </w:style>
  <w:style w:type="character" w:styleId="33">
    <w:name w:val="HTML Code"/>
    <w:basedOn w:val="26"/>
    <w:qFormat/>
    <w:uiPriority w:val="0"/>
    <w:rPr>
      <w:rFonts w:ascii="Consolas" w:hAnsi="Consolas" w:eastAsia="Consolas" w:cs="Consolas"/>
      <w:color w:val="C7254E"/>
      <w:sz w:val="21"/>
      <w:szCs w:val="21"/>
      <w:shd w:val="clear" w:fill="F9F2F4"/>
    </w:rPr>
  </w:style>
  <w:style w:type="character" w:styleId="34">
    <w:name w:val="annotation reference"/>
    <w:basedOn w:val="26"/>
    <w:qFormat/>
    <w:uiPriority w:val="0"/>
    <w:rPr>
      <w:sz w:val="21"/>
      <w:szCs w:val="21"/>
    </w:rPr>
  </w:style>
  <w:style w:type="character" w:styleId="35">
    <w:name w:val="HTML Keyboard"/>
    <w:basedOn w:val="26"/>
    <w:qFormat/>
    <w:uiPriority w:val="0"/>
    <w:rPr>
      <w:rFonts w:hint="default" w:ascii="Consolas" w:hAnsi="Consolas" w:eastAsia="Consolas" w:cs="Consolas"/>
      <w:color w:val="FFFFFF"/>
      <w:sz w:val="21"/>
      <w:szCs w:val="21"/>
      <w:shd w:val="clear" w:fill="333333"/>
    </w:rPr>
  </w:style>
  <w:style w:type="character" w:styleId="36">
    <w:name w:val="HTML Sample"/>
    <w:basedOn w:val="26"/>
    <w:qFormat/>
    <w:uiPriority w:val="0"/>
    <w:rPr>
      <w:rFonts w:hint="default" w:ascii="Consolas" w:hAnsi="Consolas" w:eastAsia="Consolas" w:cs="Consolas"/>
      <w:sz w:val="21"/>
      <w:szCs w:val="21"/>
    </w:rPr>
  </w:style>
  <w:style w:type="paragraph" w:customStyle="1" w:styleId="37">
    <w:name w:val="No Spacing1"/>
    <w:qFormat/>
    <w:uiPriority w:val="0"/>
    <w:rPr>
      <w:rFonts w:ascii="Calibri" w:hAnsi="Calibri" w:eastAsia="宋体" w:cs="Calibri"/>
      <w:sz w:val="22"/>
      <w:szCs w:val="22"/>
      <w:lang w:val="en-US" w:eastAsia="zh-CN" w:bidi="ar-SA"/>
    </w:rPr>
  </w:style>
  <w:style w:type="paragraph" w:customStyle="1" w:styleId="38">
    <w:name w:val="Normal Indent1"/>
    <w:basedOn w:val="1"/>
    <w:qFormat/>
    <w:uiPriority w:val="0"/>
    <w:pPr>
      <w:ind w:firstLine="420"/>
    </w:pPr>
    <w:rPr>
      <w:sz w:val="21"/>
    </w:rPr>
  </w:style>
  <w:style w:type="paragraph" w:customStyle="1" w:styleId="39">
    <w:name w:val="正文缩进1"/>
    <w:basedOn w:val="1"/>
    <w:qFormat/>
    <w:uiPriority w:val="0"/>
    <w:pPr>
      <w:autoSpaceDE w:val="0"/>
      <w:autoSpaceDN w:val="0"/>
      <w:adjustRightInd w:val="0"/>
      <w:ind w:firstLine="420"/>
      <w:jc w:val="left"/>
    </w:pPr>
    <w:rPr>
      <w:rFonts w:ascii="宋体"/>
      <w:kern w:val="0"/>
      <w:sz w:val="24"/>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title1"/>
    <w:basedOn w:val="1"/>
    <w:qFormat/>
    <w:uiPriority w:val="0"/>
    <w:pPr>
      <w:spacing w:before="150" w:line="450" w:lineRule="atLeast"/>
      <w:jc w:val="left"/>
    </w:pPr>
    <w:rPr>
      <w:b/>
      <w:kern w:val="0"/>
      <w:sz w:val="24"/>
    </w:rPr>
  </w:style>
  <w:style w:type="paragraph" w:customStyle="1" w:styleId="43">
    <w:name w:val="p15"/>
    <w:basedOn w:val="1"/>
    <w:qFormat/>
    <w:uiPriority w:val="99"/>
    <w:pPr>
      <w:widowControl/>
    </w:pPr>
    <w:rPr>
      <w:kern w:val="0"/>
      <w:szCs w:val="21"/>
    </w:rPr>
  </w:style>
  <w:style w:type="character" w:customStyle="1" w:styleId="44">
    <w:name w:val="font21"/>
    <w:basedOn w:val="26"/>
    <w:qFormat/>
    <w:uiPriority w:val="99"/>
    <w:rPr>
      <w:rFonts w:ascii="宋体" w:hAnsi="宋体" w:eastAsia="宋体"/>
      <w:color w:val="000000"/>
      <w:sz w:val="20"/>
      <w:u w:val="none"/>
    </w:rPr>
  </w:style>
  <w:style w:type="paragraph" w:customStyle="1" w:styleId="45">
    <w:name w:val="List Paragraph"/>
    <w:basedOn w:val="1"/>
    <w:qFormat/>
    <w:uiPriority w:val="34"/>
    <w:pPr>
      <w:ind w:firstLine="420" w:firstLineChars="200"/>
    </w:pPr>
    <w:rPr>
      <w:rFonts w:ascii="Calibri" w:hAnsi="Calibri"/>
      <w:szCs w:val="22"/>
    </w:rPr>
  </w:style>
  <w:style w:type="paragraph" w:customStyle="1" w:styleId="46">
    <w:name w:val="title11"/>
    <w:basedOn w:val="1"/>
    <w:qFormat/>
    <w:uiPriority w:val="0"/>
    <w:pPr>
      <w:spacing w:before="100"/>
      <w:jc w:val="left"/>
    </w:pPr>
    <w:rPr>
      <w:b/>
      <w:kern w:val="0"/>
      <w:sz w:val="15"/>
      <w:szCs w:val="15"/>
    </w:rPr>
  </w:style>
  <w:style w:type="paragraph" w:customStyle="1" w:styleId="47">
    <w:name w:val="title13"/>
    <w:basedOn w:val="1"/>
    <w:qFormat/>
    <w:uiPriority w:val="0"/>
    <w:pPr>
      <w:spacing w:before="100"/>
      <w:jc w:val="left"/>
    </w:pPr>
    <w:rPr>
      <w:b/>
      <w:kern w:val="0"/>
      <w:sz w:val="15"/>
      <w:szCs w:val="15"/>
    </w:rPr>
  </w:style>
  <w:style w:type="character" w:customStyle="1" w:styleId="48">
    <w:name w:val="phone"/>
    <w:basedOn w:val="26"/>
    <w:qFormat/>
    <w:uiPriority w:val="0"/>
    <w:rPr>
      <w:color w:val="FF8833"/>
      <w:sz w:val="12"/>
      <w:szCs w:val="12"/>
    </w:rPr>
  </w:style>
  <w:style w:type="character" w:customStyle="1" w:styleId="49">
    <w:name w:val="number"/>
    <w:basedOn w:val="26"/>
    <w:qFormat/>
    <w:uiPriority w:val="0"/>
    <w:rPr>
      <w:color w:val="FF8833"/>
      <w:sz w:val="12"/>
      <w:szCs w:val="12"/>
    </w:rPr>
  </w:style>
  <w:style w:type="character" w:customStyle="1" w:styleId="50">
    <w:name w:val="stclosebtn"/>
    <w:basedOn w:val="26"/>
    <w:qFormat/>
    <w:uiPriority w:val="0"/>
  </w:style>
  <w:style w:type="character" w:customStyle="1" w:styleId="51">
    <w:name w:val="proollist"/>
    <w:basedOn w:val="26"/>
    <w:qFormat/>
    <w:uiPriority w:val="0"/>
  </w:style>
  <w:style w:type="character" w:customStyle="1" w:styleId="52">
    <w:name w:val="beforeinfotext"/>
    <w:basedOn w:val="26"/>
    <w:qFormat/>
    <w:uiPriority w:val="0"/>
    <w:rPr>
      <w:color w:val="666666"/>
    </w:rPr>
  </w:style>
  <w:style w:type="character" w:customStyle="1" w:styleId="53">
    <w:name w:val="批注文字 Char"/>
    <w:basedOn w:val="26"/>
    <w:link w:val="10"/>
    <w:qFormat/>
    <w:uiPriority w:val="0"/>
    <w:rPr>
      <w:kern w:val="2"/>
      <w:sz w:val="21"/>
      <w:szCs w:val="24"/>
    </w:rPr>
  </w:style>
  <w:style w:type="character" w:customStyle="1" w:styleId="54">
    <w:name w:val="批注主题 Char"/>
    <w:basedOn w:val="53"/>
    <w:link w:val="21"/>
    <w:qFormat/>
    <w:uiPriority w:val="0"/>
    <w:rPr>
      <w:b/>
      <w:bCs/>
      <w:kern w:val="2"/>
      <w:sz w:val="21"/>
      <w:szCs w:val="24"/>
    </w:rPr>
  </w:style>
  <w:style w:type="character" w:customStyle="1" w:styleId="55">
    <w:name w:val="批注框文本 Char"/>
    <w:basedOn w:val="26"/>
    <w:link w:val="15"/>
    <w:qFormat/>
    <w:uiPriority w:val="0"/>
    <w:rPr>
      <w:kern w:val="2"/>
      <w:sz w:val="18"/>
      <w:szCs w:val="18"/>
    </w:rPr>
  </w:style>
  <w:style w:type="paragraph" w:customStyle="1" w:styleId="56">
    <w:name w:val="正文首行缩进两字符"/>
    <w:basedOn w:val="1"/>
    <w:qFormat/>
    <w:uiPriority w:val="0"/>
    <w:pPr>
      <w:spacing w:line="360" w:lineRule="auto"/>
      <w:ind w:firstLine="200" w:firstLineChars="200"/>
    </w:pPr>
    <w:rPr>
      <w:rFonts w:ascii="Times New Roman" w:hAnsi="Times New Roman"/>
    </w:rPr>
  </w:style>
  <w:style w:type="character" w:customStyle="1" w:styleId="57">
    <w:name w:val="标题 1 Char"/>
    <w:link w:val="2"/>
    <w:qFormat/>
    <w:uiPriority w:val="99"/>
    <w:rPr>
      <w:b/>
      <w:bCs/>
      <w:kern w:val="44"/>
      <w:sz w:val="44"/>
      <w:szCs w:val="44"/>
    </w:rPr>
  </w:style>
  <w:style w:type="paragraph" w:customStyle="1" w:styleId="58">
    <w:name w:val="正文 New"/>
    <w:qFormat/>
    <w:uiPriority w:val="99"/>
    <w:pPr>
      <w:widowControl w:val="0"/>
      <w:jc w:val="both"/>
    </w:pPr>
    <w:rPr>
      <w:rFonts w:ascii="Calibri" w:hAnsi="Calibri" w:eastAsiaTheme="minorEastAsia" w:cstheme="minorBidi"/>
      <w:sz w:val="21"/>
      <w:szCs w:val="22"/>
      <w:lang w:val="en-US" w:eastAsia="zh-CN" w:bidi="ar-SA"/>
    </w:rPr>
  </w:style>
  <w:style w:type="paragraph" w:customStyle="1" w:styleId="59">
    <w:name w:val="Table Paragraph"/>
    <w:basedOn w:val="1"/>
    <w:qFormat/>
    <w:uiPriority w:val="1"/>
    <w:pPr>
      <w:adjustRightInd/>
    </w:pPr>
    <w:rPr>
      <w:rFonts w:ascii="宋体" w:hAnsi="宋体" w:cs="宋体"/>
      <w:sz w:val="22"/>
      <w:szCs w:val="22"/>
      <w:lang w:val="zh-CN" w:bidi="zh-CN"/>
    </w:rPr>
  </w:style>
  <w:style w:type="table" w:customStyle="1" w:styleId="60">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61">
    <w:name w:val="hover25"/>
    <w:basedOn w:val="26"/>
    <w:qFormat/>
    <w:uiPriority w:val="0"/>
    <w:rPr>
      <w:color w:val="167AE0"/>
    </w:rPr>
  </w:style>
  <w:style w:type="character" w:customStyle="1" w:styleId="62">
    <w:name w:val="nth-of-type(5)"/>
    <w:basedOn w:val="26"/>
    <w:qFormat/>
    <w:uiPriority w:val="0"/>
  </w:style>
  <w:style w:type="character" w:customStyle="1" w:styleId="63">
    <w:name w:val="nth-child(2)"/>
    <w:basedOn w:val="26"/>
    <w:qFormat/>
    <w:uiPriority w:val="0"/>
  </w:style>
  <w:style w:type="character" w:customStyle="1" w:styleId="64">
    <w:name w:val="layui-this"/>
    <w:basedOn w:val="26"/>
    <w:qFormat/>
    <w:uiPriority w:val="0"/>
    <w:rPr>
      <w:bdr w:val="single" w:color="EEEEEE" w:sz="6" w:space="0"/>
      <w:shd w:val="clear" w:fill="FFFFFF"/>
    </w:rPr>
  </w:style>
  <w:style w:type="character" w:customStyle="1" w:styleId="65">
    <w:name w:val="first-child"/>
    <w:basedOn w:val="26"/>
    <w:qFormat/>
    <w:uiPriority w:val="0"/>
  </w:style>
  <w:style w:type="character" w:customStyle="1" w:styleId="66">
    <w:name w:val="first-child1"/>
    <w:basedOn w:val="26"/>
    <w:qFormat/>
    <w:uiPriority w:val="0"/>
  </w:style>
  <w:style w:type="character" w:customStyle="1" w:styleId="67">
    <w:name w:val="first-child2"/>
    <w:basedOn w:val="26"/>
    <w:qFormat/>
    <w:uiPriority w:val="0"/>
  </w:style>
  <w:style w:type="character" w:customStyle="1" w:styleId="68">
    <w:name w:val="first-child3"/>
    <w:basedOn w:val="26"/>
    <w:qFormat/>
    <w:uiPriority w:val="0"/>
  </w:style>
  <w:style w:type="character" w:customStyle="1" w:styleId="69">
    <w:name w:val="nth-of-type(8)"/>
    <w:basedOn w:val="26"/>
    <w:qFormat/>
    <w:uiPriority w:val="0"/>
  </w:style>
  <w:style w:type="character" w:customStyle="1" w:styleId="70">
    <w:name w:val="layui-laypage-curr"/>
    <w:basedOn w:val="26"/>
    <w:qFormat/>
    <w:uiPriority w:val="0"/>
  </w:style>
  <w:style w:type="character" w:customStyle="1" w:styleId="71">
    <w:name w:val="nth-of-type(7)"/>
    <w:basedOn w:val="26"/>
    <w:qFormat/>
    <w:uiPriority w:val="0"/>
  </w:style>
  <w:style w:type="character" w:customStyle="1" w:styleId="72">
    <w:name w:val="nth-of-type(7)1"/>
    <w:basedOn w:val="26"/>
    <w:qFormat/>
    <w:uiPriority w:val="0"/>
  </w:style>
  <w:style w:type="character" w:customStyle="1" w:styleId="73">
    <w:name w:val="nth-of-type(7)2"/>
    <w:basedOn w:val="26"/>
    <w:qFormat/>
    <w:uiPriority w:val="0"/>
  </w:style>
  <w:style w:type="character" w:customStyle="1" w:styleId="74">
    <w:name w:val="nth-of-type(6)"/>
    <w:basedOn w:val="26"/>
    <w:qFormat/>
    <w:uiPriority w:val="0"/>
  </w:style>
  <w:style w:type="character" w:customStyle="1" w:styleId="75">
    <w:name w:val="lineshow"/>
    <w:basedOn w:val="26"/>
    <w:qFormat/>
    <w:uiPriority w:val="0"/>
  </w:style>
  <w:style w:type="character" w:customStyle="1" w:styleId="76">
    <w:name w:val="lineshow1"/>
    <w:basedOn w:val="26"/>
    <w:qFormat/>
    <w:uiPriority w:val="0"/>
  </w:style>
  <w:style w:type="character" w:customStyle="1" w:styleId="77">
    <w:name w:val="nth-of-type(9)"/>
    <w:basedOn w:val="26"/>
    <w:qFormat/>
    <w:uiPriority w:val="0"/>
  </w:style>
  <w:style w:type="character" w:customStyle="1" w:styleId="78">
    <w:name w:val="nth-of-type(3)"/>
    <w:basedOn w:val="26"/>
    <w:qFormat/>
    <w:uiPriority w:val="0"/>
  </w:style>
  <w:style w:type="character" w:customStyle="1" w:styleId="79">
    <w:name w:val="nth-of-type(4)"/>
    <w:basedOn w:val="26"/>
    <w:qFormat/>
    <w:uiPriority w:val="0"/>
  </w:style>
  <w:style w:type="character" w:customStyle="1" w:styleId="80">
    <w:name w:val="nth-of-type(1)"/>
    <w:basedOn w:val="26"/>
    <w:qFormat/>
    <w:uiPriority w:val="0"/>
  </w:style>
  <w:style w:type="character" w:customStyle="1" w:styleId="81">
    <w:name w:val="nth-of-type(1)1"/>
    <w:basedOn w:val="26"/>
    <w:qFormat/>
    <w:uiPriority w:val="0"/>
  </w:style>
  <w:style w:type="character" w:customStyle="1" w:styleId="82">
    <w:name w:val="nth-of-type(1)2"/>
    <w:basedOn w:val="26"/>
    <w:qFormat/>
    <w:uiPriority w:val="0"/>
  </w:style>
  <w:style w:type="character" w:customStyle="1" w:styleId="83">
    <w:name w:val="nth-of-type(1)3"/>
    <w:basedOn w:val="26"/>
    <w:qFormat/>
    <w:uiPriority w:val="0"/>
  </w:style>
  <w:style w:type="character" w:customStyle="1" w:styleId="84">
    <w:name w:val="nth-of-type(1)4"/>
    <w:basedOn w:val="26"/>
    <w:qFormat/>
    <w:uiPriority w:val="0"/>
  </w:style>
  <w:style w:type="character" w:customStyle="1" w:styleId="85">
    <w:name w:val="nth-of-type(1)5"/>
    <w:basedOn w:val="26"/>
    <w:qFormat/>
    <w:uiPriority w:val="0"/>
  </w:style>
  <w:style w:type="character" w:customStyle="1" w:styleId="86">
    <w:name w:val="nth-of-type(1)6"/>
    <w:basedOn w:val="26"/>
    <w:qFormat/>
    <w:uiPriority w:val="0"/>
  </w:style>
  <w:style w:type="character" w:customStyle="1" w:styleId="87">
    <w:name w:val="nth-of-type(1)7"/>
    <w:basedOn w:val="26"/>
    <w:qFormat/>
    <w:uiPriority w:val="0"/>
    <w:rPr>
      <w:rFonts w:ascii="SourceHanSansCN-Regular" w:hAnsi="SourceHanSansCN-Regular" w:eastAsia="SourceHanSansCN-Regular" w:cs="SourceHanSansCN-Regular"/>
      <w:color w:val="FB560A"/>
      <w:sz w:val="21"/>
      <w:szCs w:val="21"/>
    </w:rPr>
  </w:style>
  <w:style w:type="character" w:customStyle="1" w:styleId="88">
    <w:name w:val="nth-of-type(1)8"/>
    <w:basedOn w:val="26"/>
    <w:qFormat/>
    <w:uiPriority w:val="0"/>
  </w:style>
  <w:style w:type="character" w:customStyle="1" w:styleId="89">
    <w:name w:val="nth-of-type(1)9"/>
    <w:basedOn w:val="26"/>
    <w:qFormat/>
    <w:uiPriority w:val="0"/>
  </w:style>
  <w:style w:type="character" w:customStyle="1" w:styleId="90">
    <w:name w:val="nth-of-type(1)10"/>
    <w:basedOn w:val="26"/>
    <w:qFormat/>
    <w:uiPriority w:val="0"/>
  </w:style>
  <w:style w:type="character" w:customStyle="1" w:styleId="91">
    <w:name w:val="nth-of-type(1)11"/>
    <w:basedOn w:val="26"/>
    <w:qFormat/>
    <w:uiPriority w:val="0"/>
  </w:style>
  <w:style w:type="character" w:customStyle="1" w:styleId="92">
    <w:name w:val="nth-of-type(1)12"/>
    <w:basedOn w:val="26"/>
    <w:qFormat/>
    <w:uiPriority w:val="0"/>
  </w:style>
  <w:style w:type="character" w:customStyle="1" w:styleId="93">
    <w:name w:val="nth-of-type(1)13"/>
    <w:basedOn w:val="26"/>
    <w:qFormat/>
    <w:uiPriority w:val="0"/>
  </w:style>
  <w:style w:type="character" w:customStyle="1" w:styleId="94">
    <w:name w:val="nth-of-type(1)14"/>
    <w:basedOn w:val="26"/>
    <w:qFormat/>
    <w:uiPriority w:val="0"/>
  </w:style>
  <w:style w:type="character" w:customStyle="1" w:styleId="95">
    <w:name w:val="nth-of-type(1)15"/>
    <w:basedOn w:val="26"/>
    <w:qFormat/>
    <w:uiPriority w:val="0"/>
    <w:rPr>
      <w:color w:val="0082DF"/>
    </w:rPr>
  </w:style>
  <w:style w:type="character" w:customStyle="1" w:styleId="96">
    <w:name w:val="nth-of-type(1)16"/>
    <w:basedOn w:val="26"/>
    <w:qFormat/>
    <w:uiPriority w:val="0"/>
  </w:style>
  <w:style w:type="character" w:customStyle="1" w:styleId="97">
    <w:name w:val="nth-of-type(1)17"/>
    <w:basedOn w:val="26"/>
    <w:qFormat/>
    <w:uiPriority w:val="0"/>
    <w:rPr>
      <w:sz w:val="21"/>
      <w:szCs w:val="21"/>
    </w:rPr>
  </w:style>
  <w:style w:type="character" w:customStyle="1" w:styleId="98">
    <w:name w:val="last-child1"/>
    <w:basedOn w:val="26"/>
    <w:qFormat/>
    <w:uiPriority w:val="0"/>
    <w:rPr>
      <w:color w:val="FFFFFF"/>
    </w:rPr>
  </w:style>
  <w:style w:type="character" w:customStyle="1" w:styleId="99">
    <w:name w:val="last-child2"/>
    <w:basedOn w:val="26"/>
    <w:qFormat/>
    <w:uiPriority w:val="0"/>
  </w:style>
  <w:style w:type="character" w:customStyle="1" w:styleId="100">
    <w:name w:val="last-child3"/>
    <w:basedOn w:val="26"/>
    <w:qFormat/>
    <w:uiPriority w:val="0"/>
  </w:style>
  <w:style w:type="character" w:customStyle="1" w:styleId="101">
    <w:name w:val="nth-of-type(2)"/>
    <w:basedOn w:val="26"/>
    <w:qFormat/>
    <w:uiPriority w:val="0"/>
  </w:style>
  <w:style w:type="character" w:customStyle="1" w:styleId="102">
    <w:name w:val="nth-of-type(2)1"/>
    <w:basedOn w:val="26"/>
    <w:qFormat/>
    <w:uiPriority w:val="0"/>
  </w:style>
  <w:style w:type="character" w:customStyle="1" w:styleId="103">
    <w:name w:val="nth-of-type(2)2"/>
    <w:basedOn w:val="26"/>
    <w:qFormat/>
    <w:uiPriority w:val="0"/>
  </w:style>
  <w:style w:type="character" w:customStyle="1" w:styleId="104">
    <w:name w:val="nth-of-type(2)3"/>
    <w:basedOn w:val="26"/>
    <w:qFormat/>
    <w:uiPriority w:val="0"/>
  </w:style>
  <w:style w:type="character" w:customStyle="1" w:styleId="105">
    <w:name w:val="nth-of-type(2)4"/>
    <w:basedOn w:val="26"/>
    <w:qFormat/>
    <w:uiPriority w:val="0"/>
  </w:style>
  <w:style w:type="character" w:customStyle="1" w:styleId="106">
    <w:name w:val="nth-of-type(2)5"/>
    <w:basedOn w:val="26"/>
    <w:qFormat/>
    <w:uiPriority w:val="0"/>
  </w:style>
  <w:style w:type="character" w:customStyle="1" w:styleId="107">
    <w:name w:val="nth-of-type(2)6"/>
    <w:basedOn w:val="26"/>
    <w:qFormat/>
    <w:uiPriority w:val="0"/>
  </w:style>
  <w:style w:type="character" w:customStyle="1" w:styleId="108">
    <w:name w:val="nth-of-type(2)7"/>
    <w:basedOn w:val="26"/>
    <w:qFormat/>
    <w:uiPriority w:val="0"/>
  </w:style>
  <w:style w:type="character" w:customStyle="1" w:styleId="109">
    <w:name w:val="nth-of-type(2)8"/>
    <w:basedOn w:val="26"/>
    <w:qFormat/>
    <w:uiPriority w:val="0"/>
  </w:style>
  <w:style w:type="character" w:customStyle="1" w:styleId="110">
    <w:name w:val="nth-of-type(2)9"/>
    <w:basedOn w:val="26"/>
    <w:qFormat/>
    <w:uiPriority w:val="0"/>
  </w:style>
  <w:style w:type="character" w:customStyle="1" w:styleId="111">
    <w:name w:val="nth-of-type(2)10"/>
    <w:basedOn w:val="26"/>
    <w:qFormat/>
    <w:uiPriority w:val="0"/>
  </w:style>
  <w:style w:type="character" w:customStyle="1" w:styleId="112">
    <w:name w:val="nth-of-type(2)11"/>
    <w:basedOn w:val="26"/>
    <w:qFormat/>
    <w:uiPriority w:val="0"/>
  </w:style>
  <w:style w:type="character" w:customStyle="1" w:styleId="113">
    <w:name w:val="nth-of-type(2)12"/>
    <w:basedOn w:val="26"/>
    <w:qFormat/>
    <w:uiPriority w:val="0"/>
  </w:style>
  <w:style w:type="character" w:customStyle="1" w:styleId="114">
    <w:name w:val="nth-of-type(2)13"/>
    <w:basedOn w:val="26"/>
    <w:qFormat/>
    <w:uiPriority w:val="0"/>
    <w:rPr>
      <w:sz w:val="21"/>
      <w:szCs w:val="21"/>
    </w:rPr>
  </w:style>
  <w:style w:type="character" w:customStyle="1" w:styleId="115">
    <w:name w:val="nth-child(1)"/>
    <w:basedOn w:val="26"/>
    <w:qFormat/>
    <w:uiPriority w:val="0"/>
  </w:style>
  <w:style w:type="character" w:customStyle="1" w:styleId="116">
    <w:name w:val="nth-of-type(10)"/>
    <w:basedOn w:val="26"/>
    <w:qFormat/>
    <w:uiPriority w:val="0"/>
  </w:style>
  <w:style w:type="character" w:customStyle="1" w:styleId="117">
    <w:name w:val="nth-child(3)"/>
    <w:basedOn w:val="26"/>
    <w:qFormat/>
    <w:uiPriority w:val="0"/>
  </w:style>
  <w:style w:type="character" w:customStyle="1" w:styleId="118">
    <w:name w:val="titleshow"/>
    <w:basedOn w:val="26"/>
    <w:qFormat/>
    <w:uiPriority w:val="0"/>
    <w:rPr>
      <w:color w:val="3E464C"/>
    </w:rPr>
  </w:style>
  <w:style w:type="character" w:customStyle="1" w:styleId="119">
    <w:name w:val="before2"/>
    <w:basedOn w:val="26"/>
    <w:qFormat/>
    <w:uiPriority w:val="0"/>
    <w:rPr>
      <w:shd w:val="clear" w:fill="C20E0C"/>
    </w:rPr>
  </w:style>
  <w:style w:type="character" w:customStyle="1" w:styleId="120">
    <w:name w:val="nth-of-type(6)1"/>
    <w:basedOn w:val="26"/>
    <w:qFormat/>
    <w:uiPriority w:val="0"/>
  </w:style>
  <w:style w:type="character" w:customStyle="1" w:styleId="121">
    <w:name w:val="nth-of-type(6)2"/>
    <w:basedOn w:val="26"/>
    <w:qFormat/>
    <w:uiPriority w:val="0"/>
    <w:rPr>
      <w:color w:val="0082DF"/>
    </w:rPr>
  </w:style>
  <w:style w:type="character" w:customStyle="1" w:styleId="122">
    <w:name w:val="nth-of-type(6)3"/>
    <w:basedOn w:val="26"/>
    <w:qFormat/>
    <w:uiPriority w:val="0"/>
  </w:style>
  <w:style w:type="character" w:customStyle="1" w:styleId="123">
    <w:name w:val="nth-of-type(6)4"/>
    <w:basedOn w:val="26"/>
    <w:qFormat/>
    <w:uiPriority w:val="0"/>
  </w:style>
  <w:style w:type="character" w:customStyle="1" w:styleId="124">
    <w:name w:val="nth-of-type(6)5"/>
    <w:basedOn w:val="26"/>
    <w:qFormat/>
    <w:uiPriority w:val="0"/>
  </w:style>
  <w:style w:type="character" w:customStyle="1" w:styleId="125">
    <w:name w:val="nth-of-type(3)1"/>
    <w:basedOn w:val="26"/>
    <w:qFormat/>
    <w:uiPriority w:val="0"/>
  </w:style>
  <w:style w:type="character" w:customStyle="1" w:styleId="126">
    <w:name w:val="nth-of-type(3)2"/>
    <w:basedOn w:val="26"/>
    <w:qFormat/>
    <w:uiPriority w:val="0"/>
  </w:style>
  <w:style w:type="character" w:customStyle="1" w:styleId="127">
    <w:name w:val="nth-of-type(3)3"/>
    <w:basedOn w:val="26"/>
    <w:qFormat/>
    <w:uiPriority w:val="0"/>
  </w:style>
  <w:style w:type="character" w:customStyle="1" w:styleId="128">
    <w:name w:val="nth-of-type(3)4"/>
    <w:basedOn w:val="26"/>
    <w:qFormat/>
    <w:uiPriority w:val="0"/>
  </w:style>
  <w:style w:type="character" w:customStyle="1" w:styleId="129">
    <w:name w:val="nth-of-type(3)5"/>
    <w:basedOn w:val="26"/>
    <w:qFormat/>
    <w:uiPriority w:val="0"/>
  </w:style>
  <w:style w:type="character" w:customStyle="1" w:styleId="130">
    <w:name w:val="nth-of-type(3)6"/>
    <w:basedOn w:val="26"/>
    <w:qFormat/>
    <w:uiPriority w:val="0"/>
  </w:style>
  <w:style w:type="character" w:customStyle="1" w:styleId="131">
    <w:name w:val="nth-of-type(3)7"/>
    <w:basedOn w:val="26"/>
    <w:qFormat/>
    <w:uiPriority w:val="0"/>
    <w:rPr>
      <w:sz w:val="21"/>
      <w:szCs w:val="21"/>
    </w:rPr>
  </w:style>
  <w:style w:type="character" w:customStyle="1" w:styleId="132">
    <w:name w:val="nth-of-type(4)1"/>
    <w:basedOn w:val="26"/>
    <w:qFormat/>
    <w:uiPriority w:val="0"/>
  </w:style>
  <w:style w:type="character" w:customStyle="1" w:styleId="133">
    <w:name w:val="nth-of-type(4)2"/>
    <w:basedOn w:val="26"/>
    <w:qFormat/>
    <w:uiPriority w:val="0"/>
  </w:style>
  <w:style w:type="character" w:customStyle="1" w:styleId="134">
    <w:name w:val="nth-of-type(4)3"/>
    <w:basedOn w:val="26"/>
    <w:qFormat/>
    <w:uiPriority w:val="0"/>
  </w:style>
  <w:style w:type="character" w:customStyle="1" w:styleId="135">
    <w:name w:val="nth-of-type(4)4"/>
    <w:basedOn w:val="26"/>
    <w:qFormat/>
    <w:uiPriority w:val="0"/>
  </w:style>
  <w:style w:type="character" w:customStyle="1" w:styleId="136">
    <w:name w:val="nth-of-type(4)5"/>
    <w:basedOn w:val="26"/>
    <w:qFormat/>
    <w:uiPriority w:val="0"/>
  </w:style>
  <w:style w:type="character" w:customStyle="1" w:styleId="137">
    <w:name w:val="nth-of-type(4)6"/>
    <w:basedOn w:val="26"/>
    <w:qFormat/>
    <w:uiPriority w:val="0"/>
  </w:style>
  <w:style w:type="character" w:customStyle="1" w:styleId="138">
    <w:name w:val="nth-of-type(4)7"/>
    <w:basedOn w:val="26"/>
    <w:qFormat/>
    <w:uiPriority w:val="0"/>
  </w:style>
  <w:style w:type="character" w:customStyle="1" w:styleId="139">
    <w:name w:val="nth-of-type(4)8"/>
    <w:basedOn w:val="26"/>
    <w:qFormat/>
    <w:uiPriority w:val="0"/>
    <w:rPr>
      <w:sz w:val="21"/>
      <w:szCs w:val="21"/>
    </w:rPr>
  </w:style>
  <w:style w:type="character" w:customStyle="1" w:styleId="140">
    <w:name w:val="layui-this4"/>
    <w:basedOn w:val="2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30893</Words>
  <Characters>32306</Characters>
  <Lines>289</Lines>
  <Paragraphs>81</Paragraphs>
  <TotalTime>83</TotalTime>
  <ScaleCrop>false</ScaleCrop>
  <LinksUpToDate>false</LinksUpToDate>
  <CharactersWithSpaces>34332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2020-12-10T01:31:00Z</dcterms:created>
  <dc:creator>Administrator</dc:creator>
  <cp:lastModifiedBy>QinL109</cp:lastModifiedBy>
  <cp:lastPrinted>2022-05-10T07:51:00Z</cp:lastPrinted>
  <dcterms:modified xsi:type="dcterms:W3CDTF">2023-12-12T07:46:39Z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D2D16B882E4A40DF96511E49F7A19AF6</vt:lpwstr>
  </property>
</Properties>
</file>