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i w:val="0"/>
          <w:iCs w:val="0"/>
          <w:color w:val="auto"/>
          <w:sz w:val="44"/>
          <w:szCs w:val="44"/>
          <w:highlight w:val="none"/>
          <w:lang w:val="en-US" w:eastAsia="zh-CN"/>
        </w:rPr>
      </w:pPr>
      <w:r>
        <w:rPr>
          <w:rFonts w:hint="eastAsia" w:ascii="宋体" w:hAnsi="宋体" w:eastAsia="宋体" w:cs="宋体"/>
          <w:b/>
          <w:bCs/>
          <w:color w:val="auto"/>
          <w:sz w:val="32"/>
          <w:szCs w:val="40"/>
          <w:highlight w:val="none"/>
          <w:lang w:val="en-US" w:eastAsia="zh-CN"/>
        </w:rPr>
        <w:t>项目编号：CY2023-24</w:t>
      </w:r>
      <w:bookmarkStart w:id="86" w:name="_GoBack"/>
      <w:bookmarkEnd w:id="86"/>
    </w:p>
    <w:p>
      <w:pPr>
        <w:jc w:val="center"/>
        <w:rPr>
          <w:rFonts w:hint="eastAsia" w:ascii="宋体" w:hAnsi="宋体" w:eastAsia="宋体" w:cs="宋体"/>
          <w:b/>
          <w:bCs/>
          <w:i w:val="0"/>
          <w:iCs w:val="0"/>
          <w:color w:val="auto"/>
          <w:sz w:val="44"/>
          <w:szCs w:val="44"/>
          <w:highlight w:val="none"/>
          <w:lang w:val="en-US" w:eastAsia="zh-CN"/>
        </w:rPr>
      </w:pPr>
    </w:p>
    <w:p>
      <w:pPr>
        <w:jc w:val="center"/>
        <w:rPr>
          <w:rFonts w:hint="eastAsia" w:ascii="宋体" w:hAnsi="宋体" w:eastAsia="宋体" w:cs="宋体"/>
          <w:b/>
          <w:bCs/>
          <w:i w:val="0"/>
          <w:iCs w:val="0"/>
          <w:color w:val="auto"/>
          <w:sz w:val="44"/>
          <w:szCs w:val="44"/>
          <w:highlight w:val="none"/>
          <w:lang w:val="en-US" w:eastAsia="zh-CN"/>
        </w:rPr>
      </w:pPr>
    </w:p>
    <w:p>
      <w:pPr>
        <w:jc w:val="center"/>
        <w:rPr>
          <w:rFonts w:hint="eastAsia" w:ascii="宋体" w:hAnsi="宋体" w:eastAsia="宋体" w:cs="宋体"/>
          <w:b/>
          <w:bCs/>
          <w:color w:val="auto"/>
          <w:sz w:val="44"/>
          <w:szCs w:val="44"/>
          <w:highlight w:val="none"/>
          <w:lang w:val="en-US" w:eastAsia="zh-CN"/>
        </w:rPr>
      </w:pPr>
      <w:r>
        <w:rPr>
          <w:rFonts w:hint="eastAsia" w:ascii="宋体" w:hAnsi="宋体" w:eastAsia="宋体" w:cs="宋体"/>
          <w:b/>
          <w:bCs/>
          <w:color w:val="auto"/>
          <w:sz w:val="44"/>
          <w:szCs w:val="44"/>
          <w:highlight w:val="none"/>
          <w:lang w:val="en-US" w:eastAsia="zh-CN"/>
        </w:rPr>
        <w:t>延安职业技术学院智能制造系统集成</w:t>
      </w:r>
    </w:p>
    <w:p>
      <w:pPr>
        <w:jc w:val="center"/>
        <w:rPr>
          <w:rFonts w:hint="eastAsia" w:ascii="宋体" w:hAnsi="宋体" w:eastAsia="宋体" w:cs="宋体"/>
          <w:b/>
          <w:bCs/>
          <w:color w:val="auto"/>
          <w:sz w:val="72"/>
          <w:szCs w:val="144"/>
          <w:highlight w:val="none"/>
          <w:lang w:val="en-US" w:eastAsia="zh-CN"/>
        </w:rPr>
      </w:pPr>
      <w:r>
        <w:rPr>
          <w:rFonts w:hint="eastAsia" w:ascii="宋体" w:hAnsi="宋体" w:eastAsia="宋体" w:cs="宋体"/>
          <w:b/>
          <w:bCs/>
          <w:color w:val="auto"/>
          <w:sz w:val="44"/>
          <w:szCs w:val="44"/>
          <w:highlight w:val="none"/>
          <w:lang w:val="en-US" w:eastAsia="zh-CN"/>
        </w:rPr>
        <w:t>应用技术实训平台采购项目</w:t>
      </w:r>
    </w:p>
    <w:p>
      <w:pPr>
        <w:jc w:val="center"/>
        <w:rPr>
          <w:rFonts w:hint="eastAsia" w:ascii="宋体" w:hAnsi="宋体" w:eastAsia="宋体" w:cs="宋体"/>
          <w:b/>
          <w:bCs/>
          <w:color w:val="auto"/>
          <w:sz w:val="72"/>
          <w:szCs w:val="144"/>
          <w:highlight w:val="none"/>
          <w:lang w:val="en-US" w:eastAsia="zh-CN"/>
        </w:rPr>
      </w:pPr>
    </w:p>
    <w:p>
      <w:pPr>
        <w:jc w:val="center"/>
        <w:rPr>
          <w:rFonts w:hint="eastAsia" w:ascii="宋体" w:hAnsi="宋体" w:eastAsia="宋体" w:cs="宋体"/>
          <w:b/>
          <w:bCs/>
          <w:color w:val="auto"/>
          <w:sz w:val="72"/>
          <w:szCs w:val="144"/>
          <w:highlight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96"/>
          <w:szCs w:val="160"/>
          <w:highlight w:val="none"/>
          <w:lang w:val="en-US" w:eastAsia="zh-CN"/>
        </w:rPr>
      </w:pPr>
      <w:r>
        <w:rPr>
          <w:rFonts w:hint="eastAsia" w:ascii="宋体" w:hAnsi="宋体" w:eastAsia="宋体" w:cs="宋体"/>
          <w:b/>
          <w:bCs/>
          <w:color w:val="auto"/>
          <w:sz w:val="44"/>
          <w:szCs w:val="44"/>
          <w:highlight w:val="none"/>
          <w:lang w:val="en-US" w:eastAsia="zh-CN"/>
        </w:rPr>
        <w:t>竞争性谈判文件</w:t>
      </w:r>
    </w:p>
    <w:p>
      <w:pPr>
        <w:jc w:val="center"/>
        <w:rPr>
          <w:rFonts w:hint="eastAsia" w:ascii="宋体" w:hAnsi="宋体" w:eastAsia="宋体" w:cs="宋体"/>
          <w:b/>
          <w:bCs/>
          <w:color w:val="auto"/>
          <w:sz w:val="72"/>
          <w:szCs w:val="144"/>
          <w:highlight w:val="none"/>
          <w:lang w:val="en-US" w:eastAsia="zh-CN"/>
        </w:rPr>
      </w:pPr>
    </w:p>
    <w:p>
      <w:pPr>
        <w:jc w:val="center"/>
        <w:rPr>
          <w:rFonts w:hint="eastAsia" w:ascii="宋体" w:hAnsi="宋体" w:eastAsia="宋体" w:cs="宋体"/>
          <w:b/>
          <w:bCs/>
          <w:color w:val="auto"/>
          <w:sz w:val="72"/>
          <w:szCs w:val="144"/>
          <w:highlight w:val="none"/>
          <w:lang w:val="en-US" w:eastAsia="zh-CN"/>
        </w:rPr>
      </w:pPr>
    </w:p>
    <w:p>
      <w:pPr>
        <w:jc w:val="center"/>
        <w:rPr>
          <w:rFonts w:hint="eastAsia" w:ascii="宋体" w:hAnsi="宋体" w:eastAsia="宋体" w:cs="宋体"/>
          <w:b/>
          <w:bCs/>
          <w:color w:val="auto"/>
          <w:sz w:val="72"/>
          <w:szCs w:val="144"/>
          <w:highlight w:val="none"/>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1063" w:firstLineChars="331"/>
        <w:jc w:val="both"/>
        <w:textAlignment w:val="auto"/>
        <w:rPr>
          <w:rFonts w:hint="eastAsia" w:ascii="宋体" w:hAnsi="宋体" w:eastAsia="宋体" w:cs="宋体"/>
          <w:b/>
          <w:bCs/>
          <w:color w:val="auto"/>
          <w:sz w:val="32"/>
          <w:szCs w:val="32"/>
          <w:highlight w:val="none"/>
          <w:u w:val="none"/>
          <w:lang w:val="en-US" w:eastAsia="zh-CN"/>
        </w:rPr>
      </w:pPr>
      <w:r>
        <w:rPr>
          <w:rFonts w:hint="eastAsia" w:ascii="宋体" w:hAnsi="宋体" w:eastAsia="宋体" w:cs="宋体"/>
          <w:b/>
          <w:bCs/>
          <w:color w:val="auto"/>
          <w:sz w:val="32"/>
          <w:szCs w:val="32"/>
          <w:highlight w:val="none"/>
          <w:u w:val="none"/>
          <w:lang w:val="en-US" w:eastAsia="zh-CN"/>
        </w:rPr>
        <w:t>采   购   人：</w:t>
      </w:r>
      <w:r>
        <w:rPr>
          <w:rFonts w:hint="eastAsia" w:ascii="宋体" w:hAnsi="宋体" w:eastAsia="宋体" w:cs="宋体"/>
          <w:b/>
          <w:bCs/>
          <w:sz w:val="32"/>
          <w:szCs w:val="32"/>
          <w:highlight w:val="none"/>
          <w:u w:val="none"/>
          <w:lang w:val="en-US" w:eastAsia="zh-CN"/>
        </w:rPr>
        <w:t>延安职业技术学院</w:t>
      </w:r>
      <w:r>
        <w:rPr>
          <w:rFonts w:hint="eastAsia" w:ascii="宋体" w:hAnsi="宋体" w:eastAsia="宋体" w:cs="宋体"/>
          <w:b/>
          <w:bCs/>
          <w:color w:val="auto"/>
          <w:sz w:val="32"/>
          <w:szCs w:val="32"/>
          <w:highlight w:val="none"/>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ind w:left="0" w:leftChars="0" w:firstLine="1063" w:firstLineChars="331"/>
        <w:jc w:val="both"/>
        <w:textAlignment w:val="auto"/>
        <w:rPr>
          <w:rFonts w:hint="eastAsia" w:ascii="宋体" w:hAnsi="宋体" w:eastAsia="宋体" w:cs="宋体"/>
          <w:b/>
          <w:bCs/>
          <w:color w:val="auto"/>
          <w:sz w:val="32"/>
          <w:szCs w:val="32"/>
          <w:highlight w:val="none"/>
          <w:u w:val="none"/>
          <w:lang w:val="en-US" w:eastAsia="zh-CN"/>
        </w:rPr>
      </w:pPr>
      <w:r>
        <w:rPr>
          <w:rFonts w:hint="eastAsia" w:ascii="宋体" w:hAnsi="宋体" w:eastAsia="宋体" w:cs="宋体"/>
          <w:b/>
          <w:bCs/>
          <w:color w:val="auto"/>
          <w:sz w:val="32"/>
          <w:szCs w:val="32"/>
          <w:highlight w:val="none"/>
          <w:u w:val="none"/>
          <w:lang w:val="en-US" w:eastAsia="zh-CN"/>
        </w:rPr>
        <w:t xml:space="preserve">采购代理机构：陕西楚元项目管理有限公司     </w:t>
      </w:r>
    </w:p>
    <w:p>
      <w:pPr>
        <w:keepNext w:val="0"/>
        <w:keepLines w:val="0"/>
        <w:pageBreakBefore w:val="0"/>
        <w:widowControl w:val="0"/>
        <w:kinsoku/>
        <w:wordWrap/>
        <w:overflowPunct/>
        <w:topLinePunct w:val="0"/>
        <w:autoSpaceDE/>
        <w:autoSpaceDN/>
        <w:bidi w:val="0"/>
        <w:adjustRightInd/>
        <w:snapToGrid/>
        <w:ind w:left="0" w:leftChars="0" w:firstLine="1063" w:firstLineChars="331"/>
        <w:textAlignment w:val="auto"/>
        <w:rPr>
          <w:rFonts w:hint="default"/>
          <w:color w:val="auto"/>
          <w:u w:val="single"/>
          <w:lang w:val="en-US" w:eastAsia="zh-CN"/>
        </w:rPr>
        <w:sectPr>
          <w:footerReference r:id="rId3" w:type="default"/>
          <w:pgSz w:w="11906" w:h="16838"/>
          <w:pgMar w:top="1417" w:right="1417" w:bottom="1417" w:left="1417" w:header="851" w:footer="850" w:gutter="0"/>
          <w:pgBorders>
            <w:top w:val="none" w:sz="0" w:space="0"/>
            <w:left w:val="none" w:sz="0" w:space="0"/>
            <w:bottom w:val="none" w:sz="0" w:space="0"/>
            <w:right w:val="none" w:sz="0" w:space="0"/>
          </w:pgBorders>
          <w:cols w:space="425" w:num="1"/>
          <w:docGrid w:type="lines" w:linePitch="312" w:charSpace="0"/>
        </w:sectPr>
      </w:pPr>
      <w:r>
        <w:rPr>
          <w:rFonts w:hint="eastAsia"/>
          <w:b/>
          <w:bCs/>
          <w:color w:val="auto"/>
          <w:sz w:val="32"/>
          <w:szCs w:val="40"/>
          <w:u w:val="none"/>
          <w:lang w:val="en-US" w:eastAsia="zh-CN"/>
        </w:rPr>
        <w:t xml:space="preserve">日        期：二〇二三年十二月               </w:t>
      </w:r>
    </w:p>
    <w:sdt>
      <w:sdtPr>
        <w:rPr>
          <w:rFonts w:ascii="宋体" w:hAnsi="宋体" w:eastAsia="宋体" w:cstheme="minorBidi"/>
          <w:color w:val="auto"/>
          <w:kern w:val="2"/>
          <w:sz w:val="21"/>
          <w:szCs w:val="24"/>
          <w:lang w:val="en-US" w:eastAsia="zh-CN" w:bidi="ar-SA"/>
        </w:rPr>
        <w:id w:val="147475210"/>
        <w15:color w:val="DBDBDB"/>
        <w:docPartObj>
          <w:docPartGallery w:val="Table of Contents"/>
          <w:docPartUnique/>
        </w:docPartObj>
      </w:sdtPr>
      <w:sdtEndPr>
        <w:rPr>
          <w:rFonts w:hint="eastAsia" w:ascii="宋体" w:hAnsi="宋体" w:eastAsia="宋体" w:cs="宋体"/>
          <w:bCs/>
          <w:color w:val="auto"/>
          <w:kern w:val="2"/>
          <w:sz w:val="21"/>
          <w:szCs w:val="32"/>
          <w:highlight w:val="none"/>
          <w:u w:val="none"/>
          <w:lang w:val="en-US" w:eastAsia="zh-CN" w:bidi="ar-SA"/>
        </w:rPr>
      </w:sdtEndPr>
      <w:sdtContent>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color w:val="auto"/>
            </w:rPr>
          </w:pPr>
          <w:r>
            <w:rPr>
              <w:rFonts w:ascii="宋体" w:hAnsi="宋体" w:eastAsia="宋体"/>
              <w:b/>
              <w:bCs/>
              <w:color w:val="auto"/>
              <w:sz w:val="28"/>
              <w:szCs w:val="36"/>
            </w:rPr>
            <w:t>目录</w:t>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
              <w:bCs/>
              <w:color w:val="auto"/>
              <w:sz w:val="21"/>
              <w:szCs w:val="21"/>
              <w:highlight w:val="none"/>
              <w:u w:val="none"/>
              <w:lang w:val="en-US" w:eastAsia="zh-CN"/>
            </w:rPr>
            <w:fldChar w:fldCharType="begin"/>
          </w:r>
          <w:r>
            <w:rPr>
              <w:rFonts w:hint="eastAsia" w:ascii="宋体" w:hAnsi="宋体" w:eastAsia="宋体" w:cs="宋体"/>
              <w:b/>
              <w:bCs/>
              <w:color w:val="auto"/>
              <w:sz w:val="21"/>
              <w:szCs w:val="21"/>
              <w:highlight w:val="none"/>
              <w:u w:val="none"/>
              <w:lang w:val="en-US" w:eastAsia="zh-CN"/>
            </w:rPr>
            <w:instrText xml:space="preserve">TOC \o "1-3" \h \u </w:instrText>
          </w:r>
          <w:r>
            <w:rPr>
              <w:rFonts w:hint="eastAsia" w:ascii="宋体" w:hAnsi="宋体" w:eastAsia="宋体" w:cs="宋体"/>
              <w:b/>
              <w:bCs/>
              <w:color w:val="auto"/>
              <w:sz w:val="21"/>
              <w:szCs w:val="21"/>
              <w:highlight w:val="none"/>
              <w:u w:val="none"/>
              <w:lang w:val="en-US" w:eastAsia="zh-CN"/>
            </w:rPr>
            <w:fldChar w:fldCharType="separate"/>
          </w: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_Toc31079 </w:instrText>
          </w:r>
          <w:r>
            <w:rPr>
              <w:rFonts w:hint="eastAsia" w:ascii="宋体" w:hAnsi="宋体" w:eastAsia="宋体" w:cs="宋体"/>
              <w:bCs/>
              <w:sz w:val="21"/>
              <w:szCs w:val="21"/>
              <w:highlight w:val="none"/>
              <w:lang w:val="en-US" w:eastAsia="zh-CN"/>
            </w:rPr>
            <w:fldChar w:fldCharType="separate"/>
          </w:r>
          <w:r>
            <w:rPr>
              <w:rFonts w:hint="eastAsia" w:ascii="宋体" w:hAnsi="宋体" w:eastAsiaTheme="minorEastAsia" w:cstheme="minorBidi"/>
              <w:kern w:val="2"/>
              <w:sz w:val="21"/>
              <w:szCs w:val="32"/>
              <w:highlight w:val="none"/>
              <w:lang w:val="zh-CN" w:eastAsia="zh-CN" w:bidi="ar-SA"/>
            </w:rPr>
            <w:t>第一部分 竞争性谈判公告</w:t>
          </w:r>
          <w:r>
            <w:rPr>
              <w:sz w:val="21"/>
              <w:szCs w:val="24"/>
            </w:rPr>
            <w:tab/>
          </w:r>
          <w:r>
            <w:rPr>
              <w:sz w:val="21"/>
              <w:szCs w:val="24"/>
            </w:rPr>
            <w:fldChar w:fldCharType="begin"/>
          </w:r>
          <w:r>
            <w:rPr>
              <w:sz w:val="21"/>
              <w:szCs w:val="24"/>
            </w:rPr>
            <w:instrText xml:space="preserve"> PAGEREF _Toc31079 \h </w:instrText>
          </w:r>
          <w:r>
            <w:rPr>
              <w:sz w:val="21"/>
              <w:szCs w:val="24"/>
            </w:rPr>
            <w:fldChar w:fldCharType="separate"/>
          </w:r>
          <w:r>
            <w:rPr>
              <w:sz w:val="21"/>
              <w:szCs w:val="24"/>
            </w:rPr>
            <w:t>1</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_Toc30717 </w:instrText>
          </w:r>
          <w:r>
            <w:rPr>
              <w:rFonts w:hint="eastAsia" w:ascii="宋体" w:hAnsi="宋体" w:eastAsia="宋体" w:cs="宋体"/>
              <w:bCs/>
              <w:sz w:val="21"/>
              <w:szCs w:val="21"/>
              <w:highlight w:val="none"/>
              <w:lang w:val="en-US" w:eastAsia="zh-CN"/>
            </w:rPr>
            <w:fldChar w:fldCharType="separate"/>
          </w:r>
          <w:r>
            <w:rPr>
              <w:sz w:val="21"/>
              <w:szCs w:val="32"/>
              <w:highlight w:val="none"/>
            </w:rPr>
            <w:t>第</w:t>
          </w:r>
          <w:r>
            <w:rPr>
              <w:rFonts w:hint="eastAsia"/>
              <w:sz w:val="21"/>
              <w:szCs w:val="32"/>
              <w:highlight w:val="none"/>
              <w:lang w:val="en-US" w:eastAsia="zh-CN"/>
            </w:rPr>
            <w:t>二</w:t>
          </w:r>
          <w:r>
            <w:rPr>
              <w:sz w:val="21"/>
              <w:szCs w:val="32"/>
              <w:highlight w:val="none"/>
            </w:rPr>
            <w:t>部分</w:t>
          </w:r>
          <w:r>
            <w:rPr>
              <w:rFonts w:hint="eastAsia"/>
              <w:sz w:val="21"/>
              <w:szCs w:val="32"/>
              <w:highlight w:val="none"/>
              <w:lang w:val="en-US" w:eastAsia="zh-CN"/>
            </w:rPr>
            <w:t xml:space="preserve"> 谈判</w:t>
          </w:r>
          <w:r>
            <w:rPr>
              <w:sz w:val="21"/>
              <w:szCs w:val="32"/>
              <w:highlight w:val="none"/>
            </w:rPr>
            <w:t>须知</w:t>
          </w:r>
          <w:r>
            <w:rPr>
              <w:rFonts w:hint="eastAsia"/>
              <w:sz w:val="21"/>
              <w:szCs w:val="32"/>
              <w:highlight w:val="none"/>
              <w:lang w:val="en-US" w:eastAsia="zh-CN"/>
            </w:rPr>
            <w:t>前附表</w:t>
          </w:r>
          <w:r>
            <w:rPr>
              <w:sz w:val="21"/>
              <w:szCs w:val="24"/>
            </w:rPr>
            <w:tab/>
          </w:r>
          <w:r>
            <w:rPr>
              <w:rFonts w:hint="eastAsia"/>
              <w:sz w:val="21"/>
              <w:szCs w:val="24"/>
              <w:lang w:val="en-US" w:eastAsia="zh-CN"/>
            </w:rPr>
            <w:t>5</w:t>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_Toc30405 </w:instrText>
          </w:r>
          <w:r>
            <w:rPr>
              <w:rFonts w:hint="eastAsia" w:ascii="宋体" w:hAnsi="宋体" w:eastAsia="宋体" w:cs="宋体"/>
              <w:bCs/>
              <w:sz w:val="21"/>
              <w:szCs w:val="21"/>
              <w:highlight w:val="none"/>
              <w:lang w:val="en-US" w:eastAsia="zh-CN"/>
            </w:rPr>
            <w:fldChar w:fldCharType="separate"/>
          </w:r>
          <w:r>
            <w:rPr>
              <w:sz w:val="21"/>
              <w:szCs w:val="32"/>
              <w:highlight w:val="none"/>
            </w:rPr>
            <w:t>第</w:t>
          </w:r>
          <w:r>
            <w:rPr>
              <w:rFonts w:hint="eastAsia"/>
              <w:sz w:val="21"/>
              <w:szCs w:val="32"/>
              <w:highlight w:val="none"/>
              <w:lang w:val="en-US" w:eastAsia="zh-CN"/>
            </w:rPr>
            <w:t>三</w:t>
          </w:r>
          <w:r>
            <w:rPr>
              <w:sz w:val="21"/>
              <w:szCs w:val="32"/>
              <w:highlight w:val="none"/>
            </w:rPr>
            <w:t>部分</w:t>
          </w:r>
          <w:r>
            <w:rPr>
              <w:rFonts w:hint="eastAsia"/>
              <w:sz w:val="21"/>
              <w:szCs w:val="32"/>
              <w:highlight w:val="none"/>
              <w:lang w:val="en-US" w:eastAsia="zh-CN"/>
            </w:rPr>
            <w:t xml:space="preserve"> </w:t>
          </w:r>
          <w:r>
            <w:rPr>
              <w:rFonts w:hint="eastAsia"/>
              <w:sz w:val="21"/>
              <w:szCs w:val="32"/>
              <w:highlight w:val="none"/>
              <w:lang w:eastAsia="zh-CN"/>
            </w:rPr>
            <w:t>谈判</w:t>
          </w:r>
          <w:r>
            <w:rPr>
              <w:sz w:val="21"/>
              <w:szCs w:val="32"/>
              <w:highlight w:val="none"/>
            </w:rPr>
            <w:t>须知</w:t>
          </w:r>
          <w:r>
            <w:rPr>
              <w:sz w:val="21"/>
              <w:szCs w:val="24"/>
            </w:rPr>
            <w:tab/>
          </w:r>
          <w:r>
            <w:rPr>
              <w:sz w:val="21"/>
              <w:szCs w:val="24"/>
            </w:rPr>
            <w:fldChar w:fldCharType="begin"/>
          </w:r>
          <w:r>
            <w:rPr>
              <w:sz w:val="21"/>
              <w:szCs w:val="24"/>
            </w:rPr>
            <w:instrText xml:space="preserve"> PAGEREF _Toc30405 \h </w:instrText>
          </w:r>
          <w:r>
            <w:rPr>
              <w:sz w:val="21"/>
              <w:szCs w:val="24"/>
            </w:rPr>
            <w:fldChar w:fldCharType="separate"/>
          </w:r>
          <w:r>
            <w:rPr>
              <w:sz w:val="21"/>
              <w:szCs w:val="24"/>
            </w:rPr>
            <w:t>8</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_Toc960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1"/>
              <w:highlight w:val="none"/>
            </w:rPr>
            <w:t>1．适用范围</w:t>
          </w:r>
          <w:r>
            <w:rPr>
              <w:sz w:val="21"/>
              <w:szCs w:val="24"/>
            </w:rPr>
            <w:tab/>
          </w:r>
          <w:r>
            <w:rPr>
              <w:sz w:val="21"/>
              <w:szCs w:val="24"/>
            </w:rPr>
            <w:fldChar w:fldCharType="begin"/>
          </w:r>
          <w:r>
            <w:rPr>
              <w:sz w:val="21"/>
              <w:szCs w:val="24"/>
            </w:rPr>
            <w:instrText xml:space="preserve"> PAGEREF _Toc960 \h </w:instrText>
          </w:r>
          <w:r>
            <w:rPr>
              <w:sz w:val="21"/>
              <w:szCs w:val="24"/>
            </w:rPr>
            <w:fldChar w:fldCharType="separate"/>
          </w:r>
          <w:r>
            <w:rPr>
              <w:sz w:val="21"/>
              <w:szCs w:val="24"/>
            </w:rPr>
            <w:t>8</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_Toc5637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1"/>
              <w:highlight w:val="none"/>
            </w:rPr>
            <w:t>2．定义</w:t>
          </w:r>
          <w:r>
            <w:rPr>
              <w:sz w:val="21"/>
              <w:szCs w:val="24"/>
            </w:rPr>
            <w:tab/>
          </w:r>
          <w:r>
            <w:rPr>
              <w:sz w:val="21"/>
              <w:szCs w:val="24"/>
            </w:rPr>
            <w:fldChar w:fldCharType="begin"/>
          </w:r>
          <w:r>
            <w:rPr>
              <w:sz w:val="21"/>
              <w:szCs w:val="24"/>
            </w:rPr>
            <w:instrText xml:space="preserve"> PAGEREF _Toc5637 \h </w:instrText>
          </w:r>
          <w:r>
            <w:rPr>
              <w:sz w:val="21"/>
              <w:szCs w:val="24"/>
            </w:rPr>
            <w:fldChar w:fldCharType="separate"/>
          </w:r>
          <w:r>
            <w:rPr>
              <w:sz w:val="21"/>
              <w:szCs w:val="24"/>
            </w:rPr>
            <w:t>8</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_Toc29702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1"/>
              <w:highlight w:val="none"/>
            </w:rPr>
            <w:t>3．合格供应商的范围</w:t>
          </w:r>
          <w:r>
            <w:rPr>
              <w:sz w:val="21"/>
              <w:szCs w:val="24"/>
            </w:rPr>
            <w:tab/>
          </w:r>
          <w:r>
            <w:rPr>
              <w:sz w:val="21"/>
              <w:szCs w:val="24"/>
            </w:rPr>
            <w:fldChar w:fldCharType="begin"/>
          </w:r>
          <w:r>
            <w:rPr>
              <w:sz w:val="21"/>
              <w:szCs w:val="24"/>
            </w:rPr>
            <w:instrText xml:space="preserve"> PAGEREF _Toc29702 \h </w:instrText>
          </w:r>
          <w:r>
            <w:rPr>
              <w:sz w:val="21"/>
              <w:szCs w:val="24"/>
            </w:rPr>
            <w:fldChar w:fldCharType="separate"/>
          </w:r>
          <w:r>
            <w:rPr>
              <w:sz w:val="21"/>
              <w:szCs w:val="24"/>
            </w:rPr>
            <w:t>8</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_Toc6725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4"/>
              <w:highlight w:val="none"/>
            </w:rPr>
            <w:t>4</w:t>
          </w:r>
          <w:r>
            <w:rPr>
              <w:rFonts w:hint="eastAsia" w:asciiTheme="minorEastAsia" w:hAnsiTheme="minorEastAsia" w:eastAsiaTheme="minorEastAsia" w:cstheme="minorEastAsia"/>
              <w:sz w:val="21"/>
              <w:szCs w:val="21"/>
              <w:highlight w:val="none"/>
            </w:rPr>
            <w:t>．</w:t>
          </w:r>
          <w:r>
            <w:rPr>
              <w:rFonts w:hint="eastAsia" w:asciiTheme="minorEastAsia" w:hAnsiTheme="minorEastAsia" w:cstheme="minorEastAsia"/>
              <w:sz w:val="21"/>
              <w:szCs w:val="24"/>
              <w:highlight w:val="none"/>
              <w:lang w:eastAsia="zh-CN"/>
            </w:rPr>
            <w:t>谈判</w:t>
          </w:r>
          <w:r>
            <w:rPr>
              <w:rFonts w:hint="eastAsia" w:asciiTheme="minorEastAsia" w:hAnsiTheme="minorEastAsia" w:eastAsiaTheme="minorEastAsia" w:cstheme="minorEastAsia"/>
              <w:sz w:val="21"/>
              <w:szCs w:val="24"/>
              <w:highlight w:val="none"/>
            </w:rPr>
            <w:t>代表</w:t>
          </w:r>
          <w:r>
            <w:rPr>
              <w:sz w:val="21"/>
              <w:szCs w:val="24"/>
            </w:rPr>
            <w:tab/>
          </w:r>
          <w:r>
            <w:rPr>
              <w:sz w:val="21"/>
              <w:szCs w:val="24"/>
            </w:rPr>
            <w:fldChar w:fldCharType="begin"/>
          </w:r>
          <w:r>
            <w:rPr>
              <w:sz w:val="21"/>
              <w:szCs w:val="24"/>
            </w:rPr>
            <w:instrText xml:space="preserve"> PAGEREF _Toc6725 \h </w:instrText>
          </w:r>
          <w:r>
            <w:rPr>
              <w:sz w:val="21"/>
              <w:szCs w:val="24"/>
            </w:rPr>
            <w:fldChar w:fldCharType="separate"/>
          </w:r>
          <w:r>
            <w:rPr>
              <w:sz w:val="21"/>
              <w:szCs w:val="24"/>
            </w:rPr>
            <w:t>8</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_Toc10934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4"/>
              <w:highlight w:val="none"/>
            </w:rPr>
            <w:t>5</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4"/>
              <w:highlight w:val="none"/>
            </w:rPr>
            <w:t>费用</w:t>
          </w:r>
          <w:r>
            <w:rPr>
              <w:sz w:val="21"/>
              <w:szCs w:val="24"/>
            </w:rPr>
            <w:tab/>
          </w:r>
          <w:r>
            <w:rPr>
              <w:sz w:val="21"/>
              <w:szCs w:val="24"/>
            </w:rPr>
            <w:fldChar w:fldCharType="begin"/>
          </w:r>
          <w:r>
            <w:rPr>
              <w:sz w:val="21"/>
              <w:szCs w:val="24"/>
            </w:rPr>
            <w:instrText xml:space="preserve"> PAGEREF _Toc10934 \h </w:instrText>
          </w:r>
          <w:r>
            <w:rPr>
              <w:sz w:val="21"/>
              <w:szCs w:val="24"/>
            </w:rPr>
            <w:fldChar w:fldCharType="separate"/>
          </w:r>
          <w:r>
            <w:rPr>
              <w:sz w:val="21"/>
              <w:szCs w:val="24"/>
            </w:rPr>
            <w:t>8</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_Toc25606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4"/>
              <w:highlight w:val="none"/>
            </w:rPr>
            <w:t>6</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4"/>
              <w:highlight w:val="none"/>
            </w:rPr>
            <w:t>响应文件</w:t>
          </w:r>
          <w:r>
            <w:rPr>
              <w:sz w:val="21"/>
              <w:szCs w:val="24"/>
            </w:rPr>
            <w:tab/>
          </w:r>
          <w:r>
            <w:rPr>
              <w:sz w:val="21"/>
              <w:szCs w:val="24"/>
            </w:rPr>
            <w:fldChar w:fldCharType="begin"/>
          </w:r>
          <w:r>
            <w:rPr>
              <w:sz w:val="21"/>
              <w:szCs w:val="24"/>
            </w:rPr>
            <w:instrText xml:space="preserve"> PAGEREF _Toc25606 \h </w:instrText>
          </w:r>
          <w:r>
            <w:rPr>
              <w:sz w:val="21"/>
              <w:szCs w:val="24"/>
            </w:rPr>
            <w:fldChar w:fldCharType="separate"/>
          </w:r>
          <w:r>
            <w:rPr>
              <w:sz w:val="21"/>
              <w:szCs w:val="24"/>
            </w:rPr>
            <w:t>8</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_Toc23455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4"/>
              <w:highlight w:val="none"/>
            </w:rPr>
            <w:t>7</w:t>
          </w:r>
          <w:r>
            <w:rPr>
              <w:rFonts w:hint="eastAsia" w:asciiTheme="minorEastAsia" w:hAnsiTheme="minorEastAsia" w:eastAsiaTheme="minorEastAsia" w:cstheme="minorEastAsia"/>
              <w:sz w:val="21"/>
              <w:szCs w:val="21"/>
              <w:highlight w:val="none"/>
            </w:rPr>
            <w:t>．</w:t>
          </w:r>
          <w:r>
            <w:rPr>
              <w:rFonts w:hint="eastAsia" w:asciiTheme="minorEastAsia" w:hAnsiTheme="minorEastAsia" w:cstheme="minorEastAsia"/>
              <w:sz w:val="21"/>
              <w:szCs w:val="24"/>
              <w:highlight w:val="none"/>
              <w:lang w:eastAsia="zh-CN"/>
            </w:rPr>
            <w:t>谈判</w:t>
          </w:r>
          <w:r>
            <w:rPr>
              <w:rFonts w:hint="eastAsia" w:asciiTheme="minorEastAsia" w:hAnsiTheme="minorEastAsia" w:eastAsiaTheme="minorEastAsia" w:cstheme="minorEastAsia"/>
              <w:sz w:val="21"/>
              <w:szCs w:val="24"/>
              <w:highlight w:val="none"/>
            </w:rPr>
            <w:t>保证金</w:t>
          </w:r>
          <w:r>
            <w:rPr>
              <w:sz w:val="21"/>
              <w:szCs w:val="24"/>
            </w:rPr>
            <w:tab/>
          </w:r>
          <w:r>
            <w:rPr>
              <w:sz w:val="21"/>
              <w:szCs w:val="24"/>
            </w:rPr>
            <w:fldChar w:fldCharType="begin"/>
          </w:r>
          <w:r>
            <w:rPr>
              <w:sz w:val="21"/>
              <w:szCs w:val="24"/>
            </w:rPr>
            <w:instrText xml:space="preserve"> PAGEREF _Toc23455 \h </w:instrText>
          </w:r>
          <w:r>
            <w:rPr>
              <w:sz w:val="21"/>
              <w:szCs w:val="24"/>
            </w:rPr>
            <w:fldChar w:fldCharType="separate"/>
          </w:r>
          <w:r>
            <w:rPr>
              <w:sz w:val="21"/>
              <w:szCs w:val="24"/>
            </w:rPr>
            <w:t>9</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_Toc8166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cstheme="minorEastAsia"/>
              <w:sz w:val="21"/>
              <w:szCs w:val="24"/>
              <w:highlight w:val="none"/>
              <w:lang w:val="en-US" w:eastAsia="zh-CN"/>
            </w:rPr>
            <w:t>8</w:t>
          </w:r>
          <w:r>
            <w:rPr>
              <w:rFonts w:hint="eastAsia" w:asciiTheme="minorEastAsia" w:hAnsiTheme="minorEastAsia" w:eastAsiaTheme="minorEastAsia" w:cstheme="minorEastAsia"/>
              <w:sz w:val="21"/>
              <w:szCs w:val="21"/>
              <w:highlight w:val="none"/>
            </w:rPr>
            <w:t>．</w:t>
          </w:r>
          <w:r>
            <w:rPr>
              <w:rFonts w:hint="eastAsia" w:asciiTheme="minorEastAsia" w:hAnsiTheme="minorEastAsia" w:cstheme="minorEastAsia"/>
              <w:sz w:val="21"/>
              <w:szCs w:val="24"/>
              <w:highlight w:val="none"/>
              <w:lang w:eastAsia="zh-CN"/>
            </w:rPr>
            <w:t>谈判</w:t>
          </w:r>
          <w:r>
            <w:rPr>
              <w:rFonts w:hint="eastAsia" w:asciiTheme="minorEastAsia" w:hAnsiTheme="minorEastAsia" w:eastAsiaTheme="minorEastAsia" w:cstheme="minorEastAsia"/>
              <w:sz w:val="21"/>
              <w:szCs w:val="24"/>
              <w:highlight w:val="none"/>
            </w:rPr>
            <w:t>内容</w:t>
          </w:r>
          <w:r>
            <w:rPr>
              <w:sz w:val="21"/>
              <w:szCs w:val="24"/>
            </w:rPr>
            <w:tab/>
          </w:r>
          <w:r>
            <w:rPr>
              <w:sz w:val="21"/>
              <w:szCs w:val="24"/>
            </w:rPr>
            <w:fldChar w:fldCharType="begin"/>
          </w:r>
          <w:r>
            <w:rPr>
              <w:sz w:val="21"/>
              <w:szCs w:val="24"/>
            </w:rPr>
            <w:instrText xml:space="preserve"> PAGEREF _Toc8166 \h </w:instrText>
          </w:r>
          <w:r>
            <w:rPr>
              <w:sz w:val="21"/>
              <w:szCs w:val="24"/>
            </w:rPr>
            <w:fldChar w:fldCharType="separate"/>
          </w:r>
          <w:r>
            <w:rPr>
              <w:sz w:val="21"/>
              <w:szCs w:val="24"/>
            </w:rPr>
            <w:t>10</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_Toc20680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cstheme="minorEastAsia"/>
              <w:sz w:val="21"/>
              <w:szCs w:val="24"/>
              <w:highlight w:val="none"/>
              <w:lang w:val="en-US" w:eastAsia="zh-CN"/>
            </w:rPr>
            <w:t>9</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4"/>
              <w:highlight w:val="none"/>
            </w:rPr>
            <w:t>评审工作程序</w:t>
          </w:r>
          <w:r>
            <w:rPr>
              <w:sz w:val="21"/>
              <w:szCs w:val="24"/>
            </w:rPr>
            <w:tab/>
          </w:r>
          <w:r>
            <w:rPr>
              <w:sz w:val="21"/>
              <w:szCs w:val="24"/>
            </w:rPr>
            <w:fldChar w:fldCharType="begin"/>
          </w:r>
          <w:r>
            <w:rPr>
              <w:sz w:val="21"/>
              <w:szCs w:val="24"/>
            </w:rPr>
            <w:instrText xml:space="preserve"> PAGEREF _Toc20680 \h </w:instrText>
          </w:r>
          <w:r>
            <w:rPr>
              <w:sz w:val="21"/>
              <w:szCs w:val="24"/>
            </w:rPr>
            <w:fldChar w:fldCharType="separate"/>
          </w:r>
          <w:r>
            <w:rPr>
              <w:sz w:val="21"/>
              <w:szCs w:val="24"/>
            </w:rPr>
            <w:t>10</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_Toc2093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4"/>
              <w:highlight w:val="none"/>
            </w:rPr>
            <w:t>10</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4"/>
              <w:highlight w:val="none"/>
            </w:rPr>
            <w:t>评审原则</w:t>
          </w:r>
          <w:r>
            <w:rPr>
              <w:sz w:val="21"/>
              <w:szCs w:val="24"/>
            </w:rPr>
            <w:tab/>
          </w:r>
          <w:r>
            <w:rPr>
              <w:sz w:val="21"/>
              <w:szCs w:val="24"/>
            </w:rPr>
            <w:fldChar w:fldCharType="begin"/>
          </w:r>
          <w:r>
            <w:rPr>
              <w:sz w:val="21"/>
              <w:szCs w:val="24"/>
            </w:rPr>
            <w:instrText xml:space="preserve"> PAGEREF _Toc2093 \h </w:instrText>
          </w:r>
          <w:r>
            <w:rPr>
              <w:sz w:val="21"/>
              <w:szCs w:val="24"/>
            </w:rPr>
            <w:fldChar w:fldCharType="separate"/>
          </w:r>
          <w:r>
            <w:rPr>
              <w:sz w:val="21"/>
              <w:szCs w:val="24"/>
            </w:rPr>
            <w:t>11</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_Toc31309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4"/>
              <w:highlight w:val="none"/>
            </w:rPr>
            <w:t>11</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4"/>
              <w:highlight w:val="none"/>
            </w:rPr>
            <w:t>评审标准</w:t>
          </w:r>
          <w:r>
            <w:rPr>
              <w:sz w:val="21"/>
              <w:szCs w:val="24"/>
            </w:rPr>
            <w:tab/>
          </w:r>
          <w:r>
            <w:rPr>
              <w:sz w:val="21"/>
              <w:szCs w:val="24"/>
            </w:rPr>
            <w:fldChar w:fldCharType="begin"/>
          </w:r>
          <w:r>
            <w:rPr>
              <w:sz w:val="21"/>
              <w:szCs w:val="24"/>
            </w:rPr>
            <w:instrText xml:space="preserve"> PAGEREF _Toc31309 \h </w:instrText>
          </w:r>
          <w:r>
            <w:rPr>
              <w:sz w:val="21"/>
              <w:szCs w:val="24"/>
            </w:rPr>
            <w:fldChar w:fldCharType="separate"/>
          </w:r>
          <w:r>
            <w:rPr>
              <w:sz w:val="21"/>
              <w:szCs w:val="24"/>
            </w:rPr>
            <w:t>12</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_Toc14255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1"/>
              <w:highlight w:val="none"/>
            </w:rPr>
            <w:t>12．</w:t>
          </w:r>
          <w:r>
            <w:rPr>
              <w:rFonts w:hint="eastAsia" w:asciiTheme="minorEastAsia" w:hAnsiTheme="minorEastAsia" w:cstheme="minorEastAsia"/>
              <w:sz w:val="21"/>
              <w:szCs w:val="21"/>
              <w:highlight w:val="none"/>
              <w:lang w:eastAsia="zh-CN"/>
            </w:rPr>
            <w:t>谈判</w:t>
          </w:r>
          <w:r>
            <w:rPr>
              <w:rFonts w:hint="eastAsia" w:asciiTheme="minorEastAsia" w:hAnsiTheme="minorEastAsia" w:eastAsiaTheme="minorEastAsia" w:cstheme="minorEastAsia"/>
              <w:sz w:val="21"/>
              <w:szCs w:val="21"/>
              <w:highlight w:val="none"/>
            </w:rPr>
            <w:t>小组</w:t>
          </w:r>
          <w:r>
            <w:rPr>
              <w:sz w:val="21"/>
              <w:szCs w:val="24"/>
            </w:rPr>
            <w:tab/>
          </w:r>
          <w:r>
            <w:rPr>
              <w:sz w:val="21"/>
              <w:szCs w:val="24"/>
            </w:rPr>
            <w:fldChar w:fldCharType="begin"/>
          </w:r>
          <w:r>
            <w:rPr>
              <w:sz w:val="21"/>
              <w:szCs w:val="24"/>
            </w:rPr>
            <w:instrText xml:space="preserve"> PAGEREF _Toc14255 \h </w:instrText>
          </w:r>
          <w:r>
            <w:rPr>
              <w:sz w:val="21"/>
              <w:szCs w:val="24"/>
            </w:rPr>
            <w:fldChar w:fldCharType="separate"/>
          </w:r>
          <w:r>
            <w:rPr>
              <w:sz w:val="21"/>
              <w:szCs w:val="24"/>
            </w:rPr>
            <w:t>12</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_Toc28214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1"/>
              <w:highlight w:val="none"/>
            </w:rPr>
            <w:t>13．</w:t>
          </w:r>
          <w:r>
            <w:rPr>
              <w:rFonts w:hint="eastAsia" w:asciiTheme="minorEastAsia" w:hAnsiTheme="minorEastAsia" w:cstheme="minorEastAsia"/>
              <w:sz w:val="21"/>
              <w:szCs w:val="21"/>
              <w:highlight w:val="none"/>
              <w:lang w:eastAsia="zh-CN"/>
            </w:rPr>
            <w:t>谈判</w:t>
          </w:r>
          <w:r>
            <w:rPr>
              <w:rFonts w:hint="eastAsia" w:asciiTheme="minorEastAsia" w:hAnsiTheme="minorEastAsia" w:eastAsiaTheme="minorEastAsia" w:cstheme="minorEastAsia"/>
              <w:sz w:val="21"/>
              <w:szCs w:val="21"/>
              <w:highlight w:val="none"/>
            </w:rPr>
            <w:t>评审纪律</w:t>
          </w:r>
          <w:r>
            <w:rPr>
              <w:sz w:val="21"/>
              <w:szCs w:val="24"/>
            </w:rPr>
            <w:tab/>
          </w:r>
          <w:r>
            <w:rPr>
              <w:sz w:val="21"/>
              <w:szCs w:val="24"/>
            </w:rPr>
            <w:fldChar w:fldCharType="begin"/>
          </w:r>
          <w:r>
            <w:rPr>
              <w:sz w:val="21"/>
              <w:szCs w:val="24"/>
            </w:rPr>
            <w:instrText xml:space="preserve"> PAGEREF _Toc28214 \h </w:instrText>
          </w:r>
          <w:r>
            <w:rPr>
              <w:sz w:val="21"/>
              <w:szCs w:val="24"/>
            </w:rPr>
            <w:fldChar w:fldCharType="separate"/>
          </w:r>
          <w:r>
            <w:rPr>
              <w:sz w:val="21"/>
              <w:szCs w:val="24"/>
            </w:rPr>
            <w:t>12</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_Toc16592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1"/>
              <w:highlight w:val="none"/>
            </w:rPr>
            <w:t>14．无效响应文件情况说明</w:t>
          </w:r>
          <w:r>
            <w:rPr>
              <w:sz w:val="21"/>
              <w:szCs w:val="24"/>
            </w:rPr>
            <w:tab/>
          </w:r>
          <w:r>
            <w:rPr>
              <w:sz w:val="21"/>
              <w:szCs w:val="24"/>
            </w:rPr>
            <w:fldChar w:fldCharType="begin"/>
          </w:r>
          <w:r>
            <w:rPr>
              <w:sz w:val="21"/>
              <w:szCs w:val="24"/>
            </w:rPr>
            <w:instrText xml:space="preserve"> PAGEREF _Toc16592 \h </w:instrText>
          </w:r>
          <w:r>
            <w:rPr>
              <w:sz w:val="21"/>
              <w:szCs w:val="24"/>
            </w:rPr>
            <w:fldChar w:fldCharType="separate"/>
          </w:r>
          <w:r>
            <w:rPr>
              <w:sz w:val="21"/>
              <w:szCs w:val="24"/>
            </w:rPr>
            <w:t>13</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_Toc24547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1"/>
              <w:highlight w:val="none"/>
            </w:rPr>
            <w:t>15．对响应文件的修正</w:t>
          </w:r>
          <w:r>
            <w:rPr>
              <w:sz w:val="21"/>
              <w:szCs w:val="24"/>
            </w:rPr>
            <w:tab/>
          </w:r>
          <w:r>
            <w:rPr>
              <w:sz w:val="21"/>
              <w:szCs w:val="24"/>
            </w:rPr>
            <w:fldChar w:fldCharType="begin"/>
          </w:r>
          <w:r>
            <w:rPr>
              <w:sz w:val="21"/>
              <w:szCs w:val="24"/>
            </w:rPr>
            <w:instrText xml:space="preserve"> PAGEREF _Toc24547 \h </w:instrText>
          </w:r>
          <w:r>
            <w:rPr>
              <w:sz w:val="21"/>
              <w:szCs w:val="24"/>
            </w:rPr>
            <w:fldChar w:fldCharType="separate"/>
          </w:r>
          <w:r>
            <w:rPr>
              <w:sz w:val="21"/>
              <w:szCs w:val="24"/>
            </w:rPr>
            <w:t>13</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_Toc4534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1"/>
              <w:highlight w:val="none"/>
            </w:rPr>
            <w:t>16．</w:t>
          </w:r>
          <w:r>
            <w:rPr>
              <w:rFonts w:hint="eastAsia" w:asciiTheme="minorEastAsia" w:hAnsiTheme="minorEastAsia" w:eastAsiaTheme="minorEastAsia" w:cstheme="minorEastAsia"/>
              <w:sz w:val="21"/>
              <w:szCs w:val="21"/>
              <w:highlight w:val="none"/>
              <w:lang w:val="en-US" w:eastAsia="zh-CN"/>
            </w:rPr>
            <w:t>确定成交供应商</w:t>
          </w:r>
          <w:r>
            <w:rPr>
              <w:sz w:val="21"/>
              <w:szCs w:val="24"/>
            </w:rPr>
            <w:tab/>
          </w:r>
          <w:r>
            <w:rPr>
              <w:sz w:val="21"/>
              <w:szCs w:val="24"/>
            </w:rPr>
            <w:fldChar w:fldCharType="begin"/>
          </w:r>
          <w:r>
            <w:rPr>
              <w:sz w:val="21"/>
              <w:szCs w:val="24"/>
            </w:rPr>
            <w:instrText xml:space="preserve"> PAGEREF _Toc4534 \h </w:instrText>
          </w:r>
          <w:r>
            <w:rPr>
              <w:sz w:val="21"/>
              <w:szCs w:val="24"/>
            </w:rPr>
            <w:fldChar w:fldCharType="separate"/>
          </w:r>
          <w:r>
            <w:rPr>
              <w:sz w:val="21"/>
              <w:szCs w:val="24"/>
            </w:rPr>
            <w:t>14</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_Toc5127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1"/>
              <w:highlight w:val="none"/>
            </w:rPr>
            <w:t>17．成交通知</w:t>
          </w:r>
          <w:r>
            <w:rPr>
              <w:rFonts w:hint="eastAsia" w:asciiTheme="minorEastAsia" w:hAnsiTheme="minorEastAsia" w:cstheme="minorEastAsia"/>
              <w:sz w:val="21"/>
              <w:szCs w:val="21"/>
              <w:highlight w:val="none"/>
              <w:lang w:val="en-US" w:eastAsia="zh-CN"/>
            </w:rPr>
            <w:t>书</w:t>
          </w:r>
          <w:r>
            <w:rPr>
              <w:sz w:val="21"/>
              <w:szCs w:val="24"/>
            </w:rPr>
            <w:tab/>
          </w:r>
          <w:r>
            <w:rPr>
              <w:sz w:val="21"/>
              <w:szCs w:val="24"/>
            </w:rPr>
            <w:fldChar w:fldCharType="begin"/>
          </w:r>
          <w:r>
            <w:rPr>
              <w:sz w:val="21"/>
              <w:szCs w:val="24"/>
            </w:rPr>
            <w:instrText xml:space="preserve"> PAGEREF _Toc5127 \h </w:instrText>
          </w:r>
          <w:r>
            <w:rPr>
              <w:sz w:val="21"/>
              <w:szCs w:val="24"/>
            </w:rPr>
            <w:fldChar w:fldCharType="separate"/>
          </w:r>
          <w:r>
            <w:rPr>
              <w:sz w:val="21"/>
              <w:szCs w:val="24"/>
            </w:rPr>
            <w:t>14</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_Toc14055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1"/>
              <w:highlight w:val="none"/>
            </w:rPr>
            <w:t>18．合同授予</w:t>
          </w:r>
          <w:r>
            <w:rPr>
              <w:sz w:val="21"/>
              <w:szCs w:val="24"/>
            </w:rPr>
            <w:tab/>
          </w:r>
          <w:r>
            <w:rPr>
              <w:sz w:val="21"/>
              <w:szCs w:val="24"/>
            </w:rPr>
            <w:fldChar w:fldCharType="begin"/>
          </w:r>
          <w:r>
            <w:rPr>
              <w:sz w:val="21"/>
              <w:szCs w:val="24"/>
            </w:rPr>
            <w:instrText xml:space="preserve"> PAGEREF _Toc14055 \h </w:instrText>
          </w:r>
          <w:r>
            <w:rPr>
              <w:sz w:val="21"/>
              <w:szCs w:val="24"/>
            </w:rPr>
            <w:fldChar w:fldCharType="separate"/>
          </w:r>
          <w:r>
            <w:rPr>
              <w:sz w:val="21"/>
              <w:szCs w:val="24"/>
            </w:rPr>
            <w:t>14</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_Toc15685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1"/>
              <w:highlight w:val="none"/>
            </w:rPr>
            <w:t>19．</w:t>
          </w:r>
          <w:r>
            <w:rPr>
              <w:rFonts w:hint="eastAsia" w:asciiTheme="minorEastAsia" w:hAnsiTheme="minorEastAsia" w:cstheme="minorEastAsia"/>
              <w:sz w:val="21"/>
              <w:szCs w:val="21"/>
              <w:highlight w:val="none"/>
              <w:lang w:eastAsia="zh-CN"/>
            </w:rPr>
            <w:t>谈判</w:t>
          </w:r>
          <w:r>
            <w:rPr>
              <w:rFonts w:hint="eastAsia" w:asciiTheme="minorEastAsia" w:hAnsiTheme="minorEastAsia" w:eastAsiaTheme="minorEastAsia" w:cstheme="minorEastAsia"/>
              <w:sz w:val="21"/>
              <w:szCs w:val="21"/>
              <w:highlight w:val="none"/>
            </w:rPr>
            <w:t>有效期</w:t>
          </w:r>
          <w:r>
            <w:rPr>
              <w:sz w:val="21"/>
              <w:szCs w:val="24"/>
            </w:rPr>
            <w:tab/>
          </w:r>
          <w:r>
            <w:rPr>
              <w:sz w:val="21"/>
              <w:szCs w:val="24"/>
            </w:rPr>
            <w:fldChar w:fldCharType="begin"/>
          </w:r>
          <w:r>
            <w:rPr>
              <w:sz w:val="21"/>
              <w:szCs w:val="24"/>
            </w:rPr>
            <w:instrText xml:space="preserve"> PAGEREF _Toc15685 \h </w:instrText>
          </w:r>
          <w:r>
            <w:rPr>
              <w:sz w:val="21"/>
              <w:szCs w:val="24"/>
            </w:rPr>
            <w:fldChar w:fldCharType="separate"/>
          </w:r>
          <w:r>
            <w:rPr>
              <w:sz w:val="21"/>
              <w:szCs w:val="24"/>
            </w:rPr>
            <w:t>14</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_Toc22492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1"/>
              <w:highlight w:val="none"/>
            </w:rPr>
            <w:t>20．签订合同</w:t>
          </w:r>
          <w:r>
            <w:rPr>
              <w:sz w:val="21"/>
              <w:szCs w:val="24"/>
            </w:rPr>
            <w:tab/>
          </w:r>
          <w:r>
            <w:rPr>
              <w:sz w:val="21"/>
              <w:szCs w:val="24"/>
            </w:rPr>
            <w:fldChar w:fldCharType="begin"/>
          </w:r>
          <w:r>
            <w:rPr>
              <w:sz w:val="21"/>
              <w:szCs w:val="24"/>
            </w:rPr>
            <w:instrText xml:space="preserve"> PAGEREF _Toc22492 \h </w:instrText>
          </w:r>
          <w:r>
            <w:rPr>
              <w:sz w:val="21"/>
              <w:szCs w:val="24"/>
            </w:rPr>
            <w:fldChar w:fldCharType="separate"/>
          </w:r>
          <w:r>
            <w:rPr>
              <w:sz w:val="21"/>
              <w:szCs w:val="24"/>
            </w:rPr>
            <w:t>14</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_Toc20207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1"/>
              <w:highlight w:val="none"/>
            </w:rPr>
            <w:t>21．</w:t>
          </w:r>
          <w:r>
            <w:rPr>
              <w:rFonts w:hint="eastAsia" w:asciiTheme="minorEastAsia" w:hAnsiTheme="minorEastAsia" w:eastAsiaTheme="minorEastAsia" w:cstheme="minorEastAsia"/>
              <w:sz w:val="21"/>
              <w:szCs w:val="21"/>
              <w:highlight w:val="none"/>
              <w:lang w:val="en-US" w:eastAsia="zh-CN"/>
            </w:rPr>
            <w:t>采购</w:t>
          </w:r>
          <w:r>
            <w:rPr>
              <w:rFonts w:hint="eastAsia" w:asciiTheme="minorEastAsia" w:hAnsiTheme="minorEastAsia" w:eastAsiaTheme="minorEastAsia" w:cstheme="minorEastAsia"/>
              <w:sz w:val="21"/>
              <w:szCs w:val="21"/>
              <w:highlight w:val="none"/>
            </w:rPr>
            <w:t>代理服务费</w:t>
          </w:r>
          <w:r>
            <w:rPr>
              <w:sz w:val="21"/>
              <w:szCs w:val="24"/>
            </w:rPr>
            <w:tab/>
          </w:r>
          <w:r>
            <w:rPr>
              <w:sz w:val="21"/>
              <w:szCs w:val="24"/>
            </w:rPr>
            <w:fldChar w:fldCharType="begin"/>
          </w:r>
          <w:r>
            <w:rPr>
              <w:sz w:val="21"/>
              <w:szCs w:val="24"/>
            </w:rPr>
            <w:instrText xml:space="preserve"> PAGEREF _Toc20207 \h </w:instrText>
          </w:r>
          <w:r>
            <w:rPr>
              <w:sz w:val="21"/>
              <w:szCs w:val="24"/>
            </w:rPr>
            <w:fldChar w:fldCharType="separate"/>
          </w:r>
          <w:r>
            <w:rPr>
              <w:sz w:val="21"/>
              <w:szCs w:val="24"/>
            </w:rPr>
            <w:t>14</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_Toc25954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1"/>
              <w:highlight w:val="none"/>
            </w:rPr>
            <w:t>22．质疑</w:t>
          </w:r>
          <w:r>
            <w:rPr>
              <w:sz w:val="21"/>
              <w:szCs w:val="24"/>
            </w:rPr>
            <w:tab/>
          </w:r>
          <w:r>
            <w:rPr>
              <w:sz w:val="21"/>
              <w:szCs w:val="24"/>
            </w:rPr>
            <w:fldChar w:fldCharType="begin"/>
          </w:r>
          <w:r>
            <w:rPr>
              <w:sz w:val="21"/>
              <w:szCs w:val="24"/>
            </w:rPr>
            <w:instrText xml:space="preserve"> PAGEREF _Toc25954 \h </w:instrText>
          </w:r>
          <w:r>
            <w:rPr>
              <w:sz w:val="21"/>
              <w:szCs w:val="24"/>
            </w:rPr>
            <w:fldChar w:fldCharType="separate"/>
          </w:r>
          <w:r>
            <w:rPr>
              <w:sz w:val="21"/>
              <w:szCs w:val="24"/>
            </w:rPr>
            <w:t>15</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6"/>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_Toc32370 </w:instrText>
          </w:r>
          <w:r>
            <w:rPr>
              <w:rFonts w:hint="eastAsia" w:ascii="宋体" w:hAnsi="宋体" w:eastAsia="宋体" w:cs="宋体"/>
              <w:bCs/>
              <w:sz w:val="21"/>
              <w:szCs w:val="21"/>
              <w:highlight w:val="none"/>
              <w:lang w:val="en-US" w:eastAsia="zh-CN"/>
            </w:rPr>
            <w:fldChar w:fldCharType="separate"/>
          </w:r>
          <w:r>
            <w:rPr>
              <w:rFonts w:hint="eastAsia" w:asciiTheme="minorEastAsia" w:hAnsiTheme="minorEastAsia" w:eastAsiaTheme="minorEastAsia" w:cstheme="minorEastAsia"/>
              <w:sz w:val="21"/>
              <w:szCs w:val="21"/>
              <w:highlight w:val="none"/>
            </w:rPr>
            <w:t>23．需要落实的政府采购政策</w:t>
          </w:r>
          <w:r>
            <w:rPr>
              <w:sz w:val="21"/>
              <w:szCs w:val="24"/>
            </w:rPr>
            <w:tab/>
          </w:r>
          <w:r>
            <w:rPr>
              <w:sz w:val="21"/>
              <w:szCs w:val="24"/>
            </w:rPr>
            <w:fldChar w:fldCharType="begin"/>
          </w:r>
          <w:r>
            <w:rPr>
              <w:sz w:val="21"/>
              <w:szCs w:val="24"/>
            </w:rPr>
            <w:instrText xml:space="preserve"> PAGEREF _Toc32370 \h </w:instrText>
          </w:r>
          <w:r>
            <w:rPr>
              <w:sz w:val="21"/>
              <w:szCs w:val="24"/>
            </w:rPr>
            <w:fldChar w:fldCharType="separate"/>
          </w:r>
          <w:r>
            <w:rPr>
              <w:sz w:val="21"/>
              <w:szCs w:val="24"/>
            </w:rPr>
            <w:t>15</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sz w:val="21"/>
              <w:szCs w:val="24"/>
            </w:rPr>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_Toc28599 </w:instrText>
          </w:r>
          <w:r>
            <w:rPr>
              <w:rFonts w:hint="eastAsia" w:ascii="宋体" w:hAnsi="宋体" w:eastAsia="宋体" w:cs="宋体"/>
              <w:bCs/>
              <w:sz w:val="21"/>
              <w:szCs w:val="21"/>
              <w:highlight w:val="none"/>
              <w:lang w:val="en-US" w:eastAsia="zh-CN"/>
            </w:rPr>
            <w:fldChar w:fldCharType="separate"/>
          </w:r>
          <w:r>
            <w:rPr>
              <w:rFonts w:hint="eastAsia" w:ascii="宋体" w:hAnsi="宋体"/>
              <w:sz w:val="21"/>
              <w:szCs w:val="36"/>
              <w:highlight w:val="none"/>
            </w:rPr>
            <w:t>第</w:t>
          </w:r>
          <w:r>
            <w:rPr>
              <w:rFonts w:hint="eastAsia" w:ascii="宋体" w:hAnsi="宋体"/>
              <w:sz w:val="21"/>
              <w:szCs w:val="36"/>
              <w:highlight w:val="none"/>
              <w:lang w:val="en-US" w:eastAsia="zh-CN"/>
            </w:rPr>
            <w:t>四</w:t>
          </w:r>
          <w:r>
            <w:rPr>
              <w:rFonts w:hint="eastAsia" w:ascii="宋体" w:hAnsi="宋体"/>
              <w:sz w:val="21"/>
              <w:szCs w:val="36"/>
              <w:highlight w:val="none"/>
            </w:rPr>
            <w:t>部分</w:t>
          </w:r>
          <w:r>
            <w:rPr>
              <w:rFonts w:hint="eastAsia" w:ascii="宋体" w:hAnsi="宋体"/>
              <w:sz w:val="21"/>
              <w:szCs w:val="36"/>
              <w:highlight w:val="none"/>
              <w:lang w:val="en-US" w:eastAsia="zh-CN"/>
            </w:rPr>
            <w:t xml:space="preserve"> </w:t>
          </w:r>
          <w:r>
            <w:rPr>
              <w:rFonts w:hint="eastAsia" w:ascii="宋体" w:hAnsi="宋体"/>
              <w:sz w:val="21"/>
              <w:szCs w:val="36"/>
              <w:highlight w:val="none"/>
            </w:rPr>
            <w:t>采购</w:t>
          </w:r>
          <w:r>
            <w:rPr>
              <w:rFonts w:hint="eastAsia" w:ascii="宋体" w:hAnsi="宋体"/>
              <w:sz w:val="21"/>
              <w:szCs w:val="36"/>
              <w:highlight w:val="none"/>
              <w:lang w:val="en-US" w:eastAsia="zh-CN"/>
            </w:rPr>
            <w:t>需求</w:t>
          </w:r>
          <w:r>
            <w:rPr>
              <w:sz w:val="21"/>
              <w:szCs w:val="24"/>
            </w:rPr>
            <w:tab/>
          </w:r>
          <w:r>
            <w:rPr>
              <w:sz w:val="21"/>
              <w:szCs w:val="24"/>
            </w:rPr>
            <w:fldChar w:fldCharType="begin"/>
          </w:r>
          <w:r>
            <w:rPr>
              <w:sz w:val="21"/>
              <w:szCs w:val="24"/>
            </w:rPr>
            <w:instrText xml:space="preserve"> PAGEREF _Toc28599 \h </w:instrText>
          </w:r>
          <w:r>
            <w:rPr>
              <w:sz w:val="21"/>
              <w:szCs w:val="24"/>
            </w:rPr>
            <w:fldChar w:fldCharType="separate"/>
          </w:r>
          <w:r>
            <w:rPr>
              <w:sz w:val="21"/>
              <w:szCs w:val="24"/>
            </w:rPr>
            <w:t>18</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rPr>
              <w:rFonts w:hint="default"/>
              <w:sz w:val="21"/>
              <w:szCs w:val="24"/>
              <w:lang w:val="en-US"/>
            </w:rPr>
          </w:pPr>
          <w:r>
            <w:rPr>
              <w:rFonts w:hint="eastAsia"/>
              <w:sz w:val="21"/>
              <w:szCs w:val="24"/>
              <w:lang w:val="en-US" w:eastAsia="zh-CN"/>
            </w:rPr>
            <w:fldChar w:fldCharType="begin"/>
          </w:r>
          <w:r>
            <w:rPr>
              <w:rFonts w:hint="eastAsia"/>
              <w:sz w:val="21"/>
              <w:szCs w:val="24"/>
              <w:lang w:val="en-US" w:eastAsia="zh-CN"/>
            </w:rPr>
            <w:instrText xml:space="preserve"> HYPERLINK \l _Toc12662 </w:instrText>
          </w:r>
          <w:r>
            <w:rPr>
              <w:rFonts w:hint="eastAsia"/>
              <w:sz w:val="21"/>
              <w:szCs w:val="24"/>
              <w:lang w:val="en-US" w:eastAsia="zh-CN"/>
            </w:rPr>
            <w:fldChar w:fldCharType="separate"/>
          </w:r>
          <w:r>
            <w:rPr>
              <w:rFonts w:hint="eastAsia"/>
              <w:sz w:val="21"/>
              <w:szCs w:val="24"/>
              <w:lang w:val="en-US" w:eastAsia="zh-CN"/>
            </w:rPr>
            <w:t>第五部分 拟签订合同文本</w:t>
          </w:r>
          <w:r>
            <w:rPr>
              <w:sz w:val="21"/>
              <w:szCs w:val="24"/>
            </w:rPr>
            <w:tab/>
          </w:r>
          <w:r>
            <w:rPr>
              <w:rFonts w:hint="eastAsia"/>
              <w:sz w:val="21"/>
              <w:szCs w:val="24"/>
              <w:lang w:val="en-US" w:eastAsia="zh-CN"/>
            </w:rPr>
            <w:t>4</w:t>
          </w:r>
          <w:r>
            <w:rPr>
              <w:rFonts w:hint="eastAsia"/>
              <w:sz w:val="21"/>
              <w:szCs w:val="24"/>
              <w:lang w:val="en-US" w:eastAsia="zh-CN"/>
            </w:rPr>
            <w:fldChar w:fldCharType="end"/>
          </w:r>
          <w:r>
            <w:rPr>
              <w:rFonts w:hint="eastAsia"/>
              <w:sz w:val="21"/>
              <w:szCs w:val="24"/>
              <w:lang w:val="en-US" w:eastAsia="zh-CN"/>
            </w:rPr>
            <w:t>4</w:t>
          </w:r>
        </w:p>
        <w:p>
          <w:pPr>
            <w:pStyle w:val="15"/>
            <w:keepNext w:val="0"/>
            <w:keepLines w:val="0"/>
            <w:pageBreakBefore w:val="0"/>
            <w:widowControl w:val="0"/>
            <w:tabs>
              <w:tab w:val="right" w:leader="dot" w:pos="9072"/>
            </w:tabs>
            <w:kinsoku/>
            <w:wordWrap/>
            <w:overflowPunct/>
            <w:topLinePunct w:val="0"/>
            <w:autoSpaceDE/>
            <w:autoSpaceDN/>
            <w:bidi w:val="0"/>
            <w:adjustRightInd/>
            <w:snapToGrid/>
            <w:spacing w:line="440" w:lineRule="exact"/>
            <w:textAlignment w:val="auto"/>
          </w:pPr>
          <w:r>
            <w:rPr>
              <w:rFonts w:hint="eastAsia" w:ascii="宋体" w:hAnsi="宋体" w:eastAsia="宋体" w:cs="宋体"/>
              <w:bCs/>
              <w:color w:val="auto"/>
              <w:sz w:val="21"/>
              <w:szCs w:val="21"/>
              <w:highlight w:val="none"/>
              <w:u w:val="none"/>
              <w:lang w:val="en-US" w:eastAsia="zh-CN"/>
            </w:rPr>
            <w:fldChar w:fldCharType="begin"/>
          </w:r>
          <w:r>
            <w:rPr>
              <w:rFonts w:hint="eastAsia" w:ascii="宋体" w:hAnsi="宋体" w:eastAsia="宋体" w:cs="宋体"/>
              <w:bCs/>
              <w:sz w:val="21"/>
              <w:szCs w:val="21"/>
              <w:highlight w:val="none"/>
              <w:lang w:val="en-US" w:eastAsia="zh-CN"/>
            </w:rPr>
            <w:instrText xml:space="preserve"> HYPERLINK \l _Toc2752 </w:instrText>
          </w:r>
          <w:r>
            <w:rPr>
              <w:rFonts w:hint="eastAsia" w:ascii="宋体" w:hAnsi="宋体" w:eastAsia="宋体" w:cs="宋体"/>
              <w:bCs/>
              <w:sz w:val="21"/>
              <w:szCs w:val="21"/>
              <w:highlight w:val="none"/>
              <w:lang w:val="en-US" w:eastAsia="zh-CN"/>
            </w:rPr>
            <w:fldChar w:fldCharType="separate"/>
          </w:r>
          <w:r>
            <w:rPr>
              <w:rFonts w:hint="eastAsia" w:ascii="宋体" w:hAnsi="宋体" w:eastAsia="宋体" w:cs="宋体"/>
              <w:bCs/>
              <w:sz w:val="21"/>
              <w:szCs w:val="32"/>
              <w:highlight w:val="none"/>
              <w:lang w:val="en-US" w:eastAsia="zh-CN"/>
            </w:rPr>
            <w:t>第六部分 响应文件格式</w:t>
          </w:r>
          <w:r>
            <w:rPr>
              <w:sz w:val="21"/>
              <w:szCs w:val="24"/>
            </w:rPr>
            <w:tab/>
          </w:r>
          <w:r>
            <w:rPr>
              <w:sz w:val="21"/>
              <w:szCs w:val="24"/>
            </w:rPr>
            <w:fldChar w:fldCharType="begin"/>
          </w:r>
          <w:r>
            <w:rPr>
              <w:sz w:val="21"/>
              <w:szCs w:val="24"/>
            </w:rPr>
            <w:instrText xml:space="preserve"> PAGEREF _Toc2752 \h </w:instrText>
          </w:r>
          <w:r>
            <w:rPr>
              <w:sz w:val="21"/>
              <w:szCs w:val="24"/>
            </w:rPr>
            <w:fldChar w:fldCharType="separate"/>
          </w:r>
          <w:r>
            <w:rPr>
              <w:sz w:val="21"/>
              <w:szCs w:val="24"/>
            </w:rPr>
            <w:t>50</w:t>
          </w:r>
          <w:r>
            <w:rPr>
              <w:sz w:val="21"/>
              <w:szCs w:val="24"/>
            </w:rPr>
            <w:fldChar w:fldCharType="end"/>
          </w:r>
          <w:r>
            <w:rPr>
              <w:rFonts w:hint="eastAsia" w:ascii="宋体" w:hAnsi="宋体" w:eastAsia="宋体" w:cs="宋体"/>
              <w:bCs/>
              <w:color w:val="auto"/>
              <w:sz w:val="21"/>
              <w:szCs w:val="21"/>
              <w:highlight w:val="none"/>
              <w:u w:val="non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jc w:val="both"/>
            <w:textAlignment w:val="auto"/>
            <w:rPr>
              <w:rFonts w:hint="eastAsia" w:ascii="宋体" w:hAnsi="宋体" w:eastAsia="宋体" w:cs="宋体"/>
              <w:b/>
              <w:bCs/>
              <w:color w:val="auto"/>
              <w:sz w:val="32"/>
              <w:szCs w:val="32"/>
              <w:highlight w:val="none"/>
              <w:u w:val="none"/>
              <w:lang w:val="en-US" w:eastAsia="zh-CN"/>
            </w:rPr>
          </w:pPr>
          <w:r>
            <w:rPr>
              <w:rFonts w:hint="eastAsia" w:ascii="宋体" w:hAnsi="宋体" w:eastAsia="宋体" w:cs="宋体"/>
              <w:bCs/>
              <w:color w:val="auto"/>
              <w:szCs w:val="21"/>
              <w:highlight w:val="none"/>
              <w:u w:val="none"/>
              <w:lang w:val="en-US" w:eastAsia="zh-CN"/>
            </w:rPr>
            <w:fldChar w:fldCharType="end"/>
          </w:r>
        </w:p>
      </w:sdtContent>
    </w:sdt>
    <w:p>
      <w:pPr>
        <w:pStyle w:val="3"/>
        <w:spacing w:line="240" w:lineRule="auto"/>
        <w:rPr>
          <w:rFonts w:hint="default"/>
          <w:color w:val="auto"/>
          <w:sz w:val="24"/>
          <w:szCs w:val="22"/>
          <w:lang w:val="en-US" w:eastAsia="zh-CN"/>
        </w:rPr>
        <w:sectPr>
          <w:headerReference r:id="rId4" w:type="default"/>
          <w:pgSz w:w="11906" w:h="16838"/>
          <w:pgMar w:top="1417" w:right="1417" w:bottom="1417" w:left="1417" w:header="851" w:footer="992" w:gutter="0"/>
          <w:pgBorders>
            <w:top w:val="none" w:sz="0" w:space="0"/>
            <w:left w:val="none" w:sz="0" w:space="0"/>
            <w:bottom w:val="none" w:sz="0" w:space="0"/>
            <w:right w:val="none" w:sz="0" w:space="0"/>
          </w:pgBorders>
          <w:cols w:space="425" w:num="1"/>
          <w:docGrid w:type="lines" w:linePitch="312" w:charSpace="0"/>
        </w:sectPr>
      </w:pPr>
    </w:p>
    <w:p>
      <w:pPr>
        <w:pStyle w:val="30"/>
        <w:spacing w:line="288" w:lineRule="auto"/>
        <w:jc w:val="center"/>
        <w:outlineLvl w:val="0"/>
        <w:rPr>
          <w:rFonts w:hint="default" w:ascii="方正小标宋简体" w:hAnsi="方正小标宋简体" w:eastAsia="方正小标宋简体" w:cs="方正小标宋简体"/>
          <w:color w:val="000000"/>
          <w:kern w:val="32"/>
          <w:sz w:val="44"/>
          <w:szCs w:val="44"/>
          <w:lang w:val="en-US"/>
        </w:rPr>
      </w:pPr>
      <w:bookmarkStart w:id="0" w:name="_Toc27691"/>
      <w:bookmarkStart w:id="1" w:name="_Toc31079"/>
      <w:r>
        <w:rPr>
          <w:rFonts w:hint="eastAsia" w:ascii="宋体" w:hAnsi="宋体" w:eastAsiaTheme="minorEastAsia" w:cstheme="minorBidi"/>
          <w:b/>
          <w:color w:val="auto"/>
          <w:kern w:val="2"/>
          <w:sz w:val="32"/>
          <w:szCs w:val="32"/>
          <w:highlight w:val="none"/>
          <w:lang w:val="zh-CN" w:eastAsia="zh-CN" w:bidi="ar-SA"/>
        </w:rPr>
        <w:t>第一部分</w:t>
      </w:r>
      <w:bookmarkEnd w:id="0"/>
      <w:bookmarkEnd w:id="1"/>
      <w:r>
        <w:rPr>
          <w:rFonts w:hint="eastAsia" w:ascii="宋体" w:hAnsi="宋体" w:cstheme="minorBidi"/>
          <w:b/>
          <w:color w:val="auto"/>
          <w:kern w:val="2"/>
          <w:sz w:val="32"/>
          <w:szCs w:val="32"/>
          <w:highlight w:val="none"/>
          <w:lang w:val="en-US" w:eastAsia="zh-CN" w:bidi="ar-SA"/>
        </w:rPr>
        <w:t xml:space="preserve"> 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rFonts w:hint="eastAsia" w:ascii="宋体" w:hAnsi="宋体" w:eastAsia="宋体" w:cs="宋体"/>
          <w:b w:val="0"/>
          <w:bCs w:val="0"/>
          <w:color w:val="000000" w:themeColor="text1"/>
          <w:sz w:val="21"/>
          <w:szCs w:val="21"/>
          <w14:textFill>
            <w14:solidFill>
              <w14:schemeClr w14:val="tx1"/>
            </w14:solidFill>
          </w14:textFill>
        </w:rPr>
      </w:pPr>
      <w:bookmarkStart w:id="2" w:name="_Toc30717"/>
      <w:bookmarkStart w:id="3" w:name="_Toc75259335"/>
      <w:r>
        <w:rPr>
          <w:rStyle w:val="25"/>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项目概况</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智能制造系统集成应用技术实训平台采购项目采购项目的潜在供应商应在全国公共资源交易平台（陕西省.延安市）获取采购文件，并于2023年12月25日14时30分（北京时间）前提交响应文件。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Style w:val="25"/>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一、项目基本情况</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项目编号：CY2023-24</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项目名称：智能制造系统集成应用技术实训平台采购项目</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采购方式：竞争性谈判</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预算金额：600,000.00元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采购需求：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合同包1(延安职业技术学院智能制造系统集成应用技术实训平台采购项目):</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合同包预算金额：600,000.00元</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合同包最高限价：600,000.00元</w:t>
      </w:r>
    </w:p>
    <w:tbl>
      <w:tblPr>
        <w:tblStyle w:val="22"/>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77"/>
        <w:gridCol w:w="789"/>
        <w:gridCol w:w="2359"/>
        <w:gridCol w:w="1113"/>
        <w:gridCol w:w="1564"/>
        <w:gridCol w:w="1405"/>
        <w:gridCol w:w="140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b/>
                <w:bCs/>
                <w:color w:val="000000" w:themeColor="text1"/>
                <w:sz w:val="21"/>
                <w:szCs w:val="21"/>
                <w14:textFill>
                  <w14:solidFill>
                    <w14:schemeClr w14:val="tx1"/>
                  </w14:solidFill>
                </w14:textFill>
              </w:rPr>
            </w:pPr>
            <w:r>
              <w:rPr>
                <w:rFonts w:hint="eastAsia" w:ascii="宋体" w:hAnsi="宋体" w:eastAsia="宋体" w:cs="宋体"/>
                <w:b/>
                <w:bCs/>
                <w:color w:val="000000" w:themeColor="text1"/>
                <w:kern w:val="0"/>
                <w:sz w:val="21"/>
                <w:szCs w:val="21"/>
                <w:lang w:val="en-US" w:eastAsia="zh-CN" w:bidi="ar"/>
                <w14:textFill>
                  <w14:solidFill>
                    <w14:schemeClr w14:val="tx1"/>
                  </w14:solidFill>
                </w14:textFill>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教学仪器</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智能制造系统集成应用技术实训平台采购</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600,000.00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en-US" w:eastAsia="zh-CN" w:bidi="ar"/>
                <w14:textFill>
                  <w14:solidFill>
                    <w14:schemeClr w14:val="tx1"/>
                  </w14:solidFill>
                </w14:textFill>
              </w:rPr>
              <w:t>600,000.00</w:t>
            </w:r>
          </w:p>
        </w:tc>
      </w:tr>
    </w:tbl>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本合同包不接受联合体投标</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合同履行期限：合同签订之日起30个日历天内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Style w:val="25"/>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二、申请人的资格要求：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1.满足《中华人民共和国政府采购法》第二十二条规定;</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2.落实政府采购政策需满足的资格要求：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合同包1(延安职业技术学院智能制造系统集成应用技术实训平台采购项目)落实政府采购政策需满足的资格要求如下: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1.《财政部工业和信息化部关于印发〈政府采购促进中小企业发展管理办法〉的通知》（财库〔2020〕46号）；</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2.《财政部司法部关于政府采购支持监狱企业发展有关问题的通知》（财库〔2014〕68号）；</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3.《国务院办公厅关于建立政府强制采购节能产品制度的通知》（国办发〔2007〕51号）；</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4.《节能产品政府采购实施意见》（财库〔2004〕185号）；</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5.《环境标志产品政府采购实施的意见》（财库〔2006〕90号）；</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6.《三部门联合发布关于促进残疾人就业政府采购政策的通知》（财库〔2017〕141号）。</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7.《财政部 农业农村部 国家乡镇振兴局关于运用政府采购政策支持产业振兴的通知》（财库【2021】19号）；</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8.陕西省财政厅关于印发《陕西省中小企业政府采购信用融资办法》（陕财办采〔2018〕23号）；</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9.其他需要落实的政府采购政策。</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3.本项目的特定资格要求：</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合同包1(延安职业技术学院智能制造系统集成应用技术实训平台采购项目)特定资格要求如下:</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1.具有独立承担民事责任能力的法人或其他组织，提供合法有效的统一社会信用代码的营业执照（含年度报告）或事业单位法人证书等国家规定的相关证明，自然人参与的提供其身份证明；</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2.银行开户许可证或开户行基本信息；</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3.法定代表人授权书（委托代理人参加须提供法定代表人授权书、法定代表人身份证复印件及被授权人身份证）或法定代表人身份证（法定代表人直接参加只须提供本人身份证）；</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4.供应商应出具参加政府采购活动前3年内在经营活动中没有重大违法记录的书面声明；</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5.税收缴纳证明：自2023年1月1日以来已缴纳的至少一个月的纳税证明或完税证明，纳税证明或完税证明上应有代收机构或税务机关的公章。依法免税的供应商应提供相关文件证明；</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6.社会保障资金缴纳证明：自2023年1月1日以来已缴存的至少一个月的社会保障资金缴存单据或社保机构开具的社会保险参保缴费情况证明，依法不需要缴纳社会保障资金的供应商应提供相关文件证明；</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7.财务状况报告：提供2022年度经审计的财务报告（至少包括审计报告、资产负债表和利润表，成立时间至提交投标文件截止时间不足一年的可提供成立后任意时段的资产负债表）或其开标前三个月内基本存款账户开户银行出具的资信证明；</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8.供应商不得列入“信用中国”网站中严重主体失信名单和经营异常名单，不得为“中国执行信息网”网站失信被执行人，不得为“中国政府采购网”政府采购严重违法失信行为记录名单中被财政部门禁止参加政府采购活动的供应商（处罚期限届满的除外）（提供查询结果网页截图，并加盖供应商公章）；</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br w:type="textWrapping"/>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注：单位负责人为同一人或者存在直接控股、管理关系的不同供应商，不得参加同一合同项下的政府采购活动。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Style w:val="25"/>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三、获取采购文件</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时间：2023年12月13日至2023年12月15日，每天上午09:00:00至12:00:00，下午14:00:00至17:00:00（北京时间）</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途径：全国公共资源交易平台（陕西省.延安市）</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方式：在线获取</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售价：免费获取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Style w:val="25"/>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四、响应文件提交</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截止时间：2023年12月25日14时30分00秒（北京时间）</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地点：延安市公共资源交易中心交易二厅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Style w:val="25"/>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五、开启</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时间：2023年12月25日14时30分00秒（北京时间）</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地点：延安市公共资源交易中心交易二厅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Style w:val="25"/>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六、公告期限</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自本公告发布之日起3个工作日。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Style w:val="25"/>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七、其他补充事宜</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1、报名登记及下载文件：供应商使用捆绑CA证书登录全国公共资源交易平台（陕西省·延安市）延安市公共资源交易中心，选择电子交易平台中的陕西政府采购交易系统进行登录，登录后选择“交易乙方”身份进入供应商界面进行报名及下载采购文件。</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2、请供应商按照陕西省财政厅关于政府采购供应商注册登记有关事项的通知中的要求，通过陕西省政府采购网注册登记加入陕西省政府采购供应商库。</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3、本项目不专门面向中小企业采购；本次开标采用线上不见面开标模式，电子文件上传递交；供应商需在开标前登录政府采购不见面开标大厅进行签到、解密。</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t>4、本次招标公告在《陕西省政府采购网》、《全国公共资源交易平台（陕西省·延安市）》媒介上发布。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Style w:val="25"/>
          <w:rFonts w:hint="eastAsia" w:ascii="宋体" w:hAnsi="宋体" w:eastAsia="宋体" w:cs="宋体"/>
          <w:b/>
          <w:bCs/>
          <w:i w:val="0"/>
          <w:iCs w:val="0"/>
          <w:caps w:val="0"/>
          <w:color w:val="000000" w:themeColor="text1"/>
          <w:spacing w:val="0"/>
          <w:sz w:val="21"/>
          <w:szCs w:val="21"/>
          <w:shd w:val="clear" w:fill="FFFFFF"/>
          <w14:textFill>
            <w14:solidFill>
              <w14:schemeClr w14:val="tx1"/>
            </w14:solidFill>
          </w14:textFill>
        </w:rPr>
        <w:t>八、对本次招标提出询问，请按以下方式联系。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i w:val="0"/>
          <w:iCs w:val="0"/>
          <w:caps w:val="0"/>
          <w:color w:val="000000" w:themeColor="text1"/>
          <w:spacing w:val="0"/>
          <w:sz w:val="21"/>
          <w:szCs w:val="21"/>
          <w:shd w:val="clear" w:fill="FFFFFF"/>
          <w14:textFill>
            <w14:solidFill>
              <w14:schemeClr w14:val="tx1"/>
            </w14:solidFill>
          </w14:textFill>
        </w:rPr>
        <w:t>1.采购人信息</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名称：延安职业技术学院</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地址：延安市宝塔区枣园路</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联系方式：0911-8235602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i w:val="0"/>
          <w:iCs w:val="0"/>
          <w:caps w:val="0"/>
          <w:color w:val="000000" w:themeColor="text1"/>
          <w:spacing w:val="0"/>
          <w:sz w:val="21"/>
          <w:szCs w:val="21"/>
          <w:shd w:val="clear" w:fill="FFFFFF"/>
          <w14:textFill>
            <w14:solidFill>
              <w14:schemeClr w14:val="tx1"/>
            </w14:solidFill>
          </w14:textFill>
        </w:rPr>
        <w:t>2.采购代理机构信息</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名称：陕西楚元项目管理有限公司</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地址：延安市新区鼎盛豪庭公寓4号楼2楼201室</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联系方式：0911-8899222</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val="0"/>
          <w:bCs w:val="0"/>
          <w:color w:val="000000" w:themeColor="text1"/>
          <w:sz w:val="21"/>
          <w:szCs w:val="21"/>
          <w14:textFill>
            <w14:solidFill>
              <w14:schemeClr w14:val="tx1"/>
            </w14:solidFill>
          </w14:textFill>
        </w:rPr>
      </w:pPr>
      <w:r>
        <w:rPr>
          <w:rFonts w:hint="eastAsia" w:ascii="宋体" w:hAnsi="宋体" w:eastAsia="宋体" w:cs="宋体"/>
          <w:b w:val="0"/>
          <w:bCs w:val="0"/>
          <w:i w:val="0"/>
          <w:iCs w:val="0"/>
          <w:caps w:val="0"/>
          <w:color w:val="000000" w:themeColor="text1"/>
          <w:spacing w:val="0"/>
          <w:sz w:val="21"/>
          <w:szCs w:val="21"/>
          <w:shd w:val="clear" w:fill="FFFFFF"/>
          <w14:textFill>
            <w14:solidFill>
              <w14:schemeClr w14:val="tx1"/>
            </w14:solidFill>
          </w14:textFill>
        </w:rPr>
        <w:t>3.项目联系方式</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项目联系人：姚工</w:t>
      </w:r>
    </w:p>
    <w:p>
      <w:pPr>
        <w:pStyle w:val="1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电话：18191181988</w:t>
      </w:r>
    </w:p>
    <w:p>
      <w:pPr>
        <w:keepNext w:val="0"/>
        <w:keepLines w:val="0"/>
        <w:pageBreakBefore w:val="0"/>
        <w:widowControl w:val="0"/>
        <w:kinsoku/>
        <w:wordWrap/>
        <w:overflowPunct/>
        <w:topLinePunct w:val="0"/>
        <w:autoSpaceDE/>
        <w:autoSpaceDN/>
        <w:bidi w:val="0"/>
        <w:adjustRightInd/>
        <w:snapToGrid/>
        <w:jc w:val="center"/>
        <w:textAlignment w:val="auto"/>
        <w:outlineLvl w:val="9"/>
        <w:rPr>
          <w:b/>
          <w:color w:val="auto"/>
          <w:sz w:val="32"/>
          <w:szCs w:val="32"/>
          <w:highlight w:val="none"/>
        </w:rPr>
      </w:pPr>
    </w:p>
    <w:p>
      <w:pPr>
        <w:rPr>
          <w:b/>
          <w:color w:val="auto"/>
          <w:sz w:val="32"/>
          <w:szCs w:val="32"/>
          <w:highlight w:val="none"/>
        </w:rPr>
      </w:pPr>
      <w:r>
        <w:rPr>
          <w:b/>
          <w:color w:val="auto"/>
          <w:sz w:val="32"/>
          <w:szCs w:val="32"/>
          <w:highlight w:val="none"/>
        </w:rPr>
        <w:br w:type="page"/>
      </w: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default" w:eastAsiaTheme="minorEastAsia"/>
          <w:b/>
          <w:color w:val="auto"/>
          <w:sz w:val="32"/>
          <w:szCs w:val="32"/>
          <w:highlight w:val="none"/>
          <w:lang w:val="en-US" w:eastAsia="zh-CN"/>
        </w:rPr>
      </w:pPr>
      <w:r>
        <w:rPr>
          <w:b/>
          <w:color w:val="auto"/>
          <w:sz w:val="32"/>
          <w:szCs w:val="32"/>
          <w:highlight w:val="none"/>
        </w:rPr>
        <w:t>第</w:t>
      </w:r>
      <w:r>
        <w:rPr>
          <w:rFonts w:hint="eastAsia"/>
          <w:b/>
          <w:color w:val="auto"/>
          <w:sz w:val="32"/>
          <w:szCs w:val="32"/>
          <w:highlight w:val="none"/>
          <w:lang w:val="en-US" w:eastAsia="zh-CN"/>
        </w:rPr>
        <w:t>二</w:t>
      </w:r>
      <w:r>
        <w:rPr>
          <w:b/>
          <w:color w:val="auto"/>
          <w:sz w:val="32"/>
          <w:szCs w:val="32"/>
          <w:highlight w:val="none"/>
        </w:rPr>
        <w:t>部分</w:t>
      </w:r>
      <w:r>
        <w:rPr>
          <w:rFonts w:hint="eastAsia"/>
          <w:b/>
          <w:color w:val="auto"/>
          <w:sz w:val="32"/>
          <w:szCs w:val="32"/>
          <w:highlight w:val="none"/>
          <w:lang w:val="en-US" w:eastAsia="zh-CN"/>
        </w:rPr>
        <w:t xml:space="preserve"> 谈判</w:t>
      </w:r>
      <w:r>
        <w:rPr>
          <w:b/>
          <w:color w:val="auto"/>
          <w:sz w:val="32"/>
          <w:szCs w:val="32"/>
          <w:highlight w:val="none"/>
        </w:rPr>
        <w:t>须知</w:t>
      </w:r>
      <w:r>
        <w:rPr>
          <w:rFonts w:hint="eastAsia"/>
          <w:b/>
          <w:color w:val="auto"/>
          <w:sz w:val="32"/>
          <w:szCs w:val="32"/>
          <w:highlight w:val="none"/>
          <w:lang w:val="en-US" w:eastAsia="zh-CN"/>
        </w:rPr>
        <w:t>前附表</w:t>
      </w:r>
      <w:bookmarkEnd w:id="2"/>
    </w:p>
    <w:tbl>
      <w:tblPr>
        <w:tblStyle w:val="22"/>
        <w:tblW w:w="9107" w:type="dxa"/>
        <w:jc w:val="center"/>
        <w:tblLayout w:type="fixed"/>
        <w:tblCellMar>
          <w:top w:w="0" w:type="dxa"/>
          <w:left w:w="28" w:type="dxa"/>
          <w:bottom w:w="0" w:type="dxa"/>
          <w:right w:w="28" w:type="dxa"/>
        </w:tblCellMar>
      </w:tblPr>
      <w:tblGrid>
        <w:gridCol w:w="809"/>
        <w:gridCol w:w="1527"/>
        <w:gridCol w:w="6771"/>
      </w:tblGrid>
      <w:tr>
        <w:tblPrEx>
          <w:tblCellMar>
            <w:top w:w="0" w:type="dxa"/>
            <w:left w:w="28" w:type="dxa"/>
            <w:bottom w:w="0" w:type="dxa"/>
            <w:right w:w="28" w:type="dxa"/>
          </w:tblCellMar>
        </w:tblPrEx>
        <w:trPr>
          <w:trHeight w:val="794"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52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条款</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编 列 内 容</w:t>
            </w:r>
          </w:p>
        </w:tc>
      </w:tr>
      <w:tr>
        <w:tblPrEx>
          <w:tblCellMar>
            <w:top w:w="0" w:type="dxa"/>
            <w:left w:w="28" w:type="dxa"/>
            <w:bottom w:w="0" w:type="dxa"/>
            <w:right w:w="28" w:type="dxa"/>
          </w:tblCellMar>
        </w:tblPrEx>
        <w:trPr>
          <w:trHeight w:val="718"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项目名称</w:t>
            </w:r>
          </w:p>
        </w:tc>
        <w:tc>
          <w:tcPr>
            <w:tcW w:w="6771"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i w:val="0"/>
                <w:iCs w:val="0"/>
                <w:caps w:val="0"/>
                <w:color w:val="000000" w:themeColor="text1"/>
                <w:spacing w:val="0"/>
                <w:sz w:val="21"/>
                <w:szCs w:val="21"/>
                <w:shd w:val="clear" w:fill="FFFFFF"/>
                <w:lang w:eastAsia="zh-CN"/>
                <w14:textFill>
                  <w14:solidFill>
                    <w14:schemeClr w14:val="tx1"/>
                  </w14:solidFill>
                </w14:textFill>
              </w:rPr>
              <w:t>延安职业技术学院智能制造系统集成应用技术实训平台采购项目</w:t>
            </w:r>
          </w:p>
        </w:tc>
      </w:tr>
      <w:tr>
        <w:tblPrEx>
          <w:tblCellMar>
            <w:top w:w="0" w:type="dxa"/>
            <w:left w:w="28" w:type="dxa"/>
            <w:bottom w:w="0" w:type="dxa"/>
            <w:right w:w="28" w:type="dxa"/>
          </w:tblCellMar>
        </w:tblPrEx>
        <w:trPr>
          <w:trHeight w:val="1965"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采购人</w:t>
            </w:r>
          </w:p>
        </w:tc>
        <w:tc>
          <w:tcPr>
            <w:tcW w:w="6771"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采购人名称：</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延安职业技术学院</w:t>
            </w:r>
          </w:p>
          <w:p>
            <w:pPr>
              <w:spacing w:line="36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地  址：</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延安市宝塔区枣园路</w:t>
            </w:r>
          </w:p>
          <w:p>
            <w:pPr>
              <w:spacing w:line="36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联系人：</w:t>
            </w:r>
            <w:r>
              <w:rPr>
                <w:rFonts w:hint="eastAsia" w:ascii="宋体" w:hAnsi="宋体" w:eastAsia="宋体" w:cs="宋体"/>
                <w:color w:val="auto"/>
                <w:sz w:val="21"/>
                <w:szCs w:val="21"/>
                <w:highlight w:val="none"/>
                <w:lang w:val="en-US" w:eastAsia="zh-CN"/>
              </w:rPr>
              <w:t>石老师</w:t>
            </w:r>
          </w:p>
          <w:p>
            <w:pPr>
              <w:spacing w:line="36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zh-CN"/>
              </w:rPr>
              <w:t>电</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zh-CN"/>
              </w:rPr>
              <w:t>话：</w:t>
            </w:r>
            <w:r>
              <w:rPr>
                <w:rFonts w:hint="eastAsia" w:ascii="宋体" w:hAnsi="宋体" w:eastAsia="宋体" w:cs="宋体"/>
                <w:color w:val="auto"/>
                <w:sz w:val="21"/>
                <w:szCs w:val="21"/>
                <w:highlight w:val="none"/>
                <w:lang w:val="en-US" w:eastAsia="zh-CN"/>
              </w:rPr>
              <w:t>13772280281</w:t>
            </w:r>
          </w:p>
        </w:tc>
      </w:tr>
      <w:tr>
        <w:tblPrEx>
          <w:tblCellMar>
            <w:top w:w="0" w:type="dxa"/>
            <w:left w:w="28" w:type="dxa"/>
            <w:bottom w:w="0" w:type="dxa"/>
            <w:right w:w="28" w:type="dxa"/>
          </w:tblCellMar>
        </w:tblPrEx>
        <w:trPr>
          <w:trHeight w:val="2016"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机构</w:t>
            </w:r>
          </w:p>
        </w:tc>
        <w:tc>
          <w:tcPr>
            <w:tcW w:w="6771"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采购代理机构：</w:t>
            </w:r>
            <w:r>
              <w:rPr>
                <w:rFonts w:hint="eastAsia" w:ascii="宋体" w:hAnsi="宋体" w:eastAsia="宋体" w:cs="宋体"/>
                <w:color w:val="auto"/>
                <w:sz w:val="21"/>
                <w:szCs w:val="21"/>
                <w:highlight w:val="none"/>
                <w:lang w:eastAsia="zh-CN"/>
              </w:rPr>
              <w:t>陕西楚元项目管理有限公司</w:t>
            </w:r>
          </w:p>
          <w:p>
            <w:pPr>
              <w:spacing w:line="360" w:lineRule="auto"/>
              <w:jc w:val="left"/>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pPr>
            <w:r>
              <w:rPr>
                <w:rFonts w:hint="eastAsia" w:ascii="宋体" w:hAnsi="宋体" w:eastAsia="宋体" w:cs="宋体"/>
                <w:color w:val="auto"/>
                <w:sz w:val="21"/>
                <w:szCs w:val="21"/>
                <w:highlight w:val="none"/>
              </w:rPr>
              <w:t>地   址：</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延安市新区鼎盛豪庭公寓4号楼2楼201室</w:t>
            </w:r>
          </w:p>
          <w:p>
            <w:pPr>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w:t>
            </w:r>
            <w:r>
              <w:rPr>
                <w:rFonts w:hint="eastAsia" w:ascii="宋体" w:hAnsi="宋体" w:eastAsia="宋体" w:cs="宋体"/>
                <w:color w:val="auto"/>
                <w:sz w:val="21"/>
                <w:szCs w:val="21"/>
                <w:highlight w:val="none"/>
                <w:lang w:val="en-US" w:eastAsia="zh-CN"/>
              </w:rPr>
              <w:t>姚</w:t>
            </w:r>
            <w:r>
              <w:rPr>
                <w:rFonts w:hint="eastAsia" w:ascii="宋体" w:hAnsi="宋体" w:eastAsia="宋体" w:cs="宋体"/>
                <w:color w:val="auto"/>
                <w:sz w:val="21"/>
                <w:szCs w:val="21"/>
                <w:highlight w:val="none"/>
              </w:rPr>
              <w:t>工</w:t>
            </w:r>
          </w:p>
          <w:p>
            <w:pPr>
              <w:spacing w:line="360" w:lineRule="auto"/>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  话：</w:t>
            </w:r>
            <w:r>
              <w:rPr>
                <w:rFonts w:hint="eastAsia" w:ascii="宋体" w:hAnsi="宋体" w:eastAsia="宋体" w:cs="宋体"/>
                <w:color w:val="auto"/>
                <w:sz w:val="21"/>
                <w:szCs w:val="21"/>
                <w:highlight w:val="none"/>
                <w:lang w:val="en-US" w:eastAsia="zh-CN"/>
              </w:rPr>
              <w:t>18191181988</w:t>
            </w:r>
          </w:p>
        </w:tc>
      </w:tr>
      <w:tr>
        <w:tblPrEx>
          <w:tblCellMar>
            <w:top w:w="0" w:type="dxa"/>
            <w:left w:w="28" w:type="dxa"/>
            <w:bottom w:w="0" w:type="dxa"/>
            <w:right w:w="28" w:type="dxa"/>
          </w:tblCellMar>
        </w:tblPrEx>
        <w:trPr>
          <w:trHeight w:val="1335"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sz w:val="21"/>
                <w:szCs w:val="21"/>
                <w:highlight w:val="none"/>
                <w:lang w:val="en-US" w:eastAsia="zh-CN"/>
              </w:rPr>
              <w:t>采购标的对应所属行业</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pacing w:line="360" w:lineRule="auto"/>
              <w:ind w:right="0" w:rightChars="0"/>
              <w:textAlignment w:val="auto"/>
              <w:outlineLvl w:val="9"/>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制造业</w:t>
            </w:r>
          </w:p>
        </w:tc>
      </w:tr>
      <w:tr>
        <w:tblPrEx>
          <w:tblCellMar>
            <w:top w:w="0" w:type="dxa"/>
            <w:left w:w="28" w:type="dxa"/>
            <w:bottom w:w="0" w:type="dxa"/>
            <w:right w:w="28" w:type="dxa"/>
          </w:tblCellMar>
        </w:tblPrEx>
        <w:trPr>
          <w:trHeight w:val="1213"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落实政府采购</w:t>
            </w:r>
          </w:p>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政策</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面向中小企业采购</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面向小微企业采购</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4"/>
                <w:sz w:val="31"/>
                <w:szCs w:val="21"/>
                <w:highlight w:val="none"/>
                <w:lang w:eastAsia="zh-CN"/>
              </w:rPr>
              <w:instrText xml:space="preserve">,</w:instrText>
            </w:r>
            <w:r>
              <w:rPr>
                <w:rFonts w:hint="eastAsia" w:ascii="宋体" w:hAnsi="宋体" w:eastAsia="宋体" w:cs="宋体"/>
                <w:color w:val="auto"/>
                <w:position w:val="0"/>
                <w:sz w:val="21"/>
                <w:szCs w:val="21"/>
                <w:highlight w:val="none"/>
                <w:lang w:eastAsia="zh-CN"/>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lang w:val="en-US" w:eastAsia="zh-CN"/>
              </w:rPr>
              <w:t>不面向</w:t>
            </w:r>
          </w:p>
        </w:tc>
      </w:tr>
      <w:tr>
        <w:tblPrEx>
          <w:tblCellMar>
            <w:top w:w="0" w:type="dxa"/>
            <w:left w:w="28" w:type="dxa"/>
            <w:bottom w:w="0" w:type="dxa"/>
            <w:right w:w="28" w:type="dxa"/>
          </w:tblCellMar>
        </w:tblPrEx>
        <w:trPr>
          <w:trHeight w:val="1213"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勘踏现场</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是□      否</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4"/>
                <w:sz w:val="31"/>
                <w:szCs w:val="21"/>
                <w:highlight w:val="none"/>
                <w:lang w:eastAsia="zh-CN"/>
              </w:rPr>
              <w:instrText xml:space="preserve">,</w:instrText>
            </w:r>
            <w:r>
              <w:rPr>
                <w:rFonts w:hint="eastAsia" w:ascii="宋体" w:hAnsi="宋体" w:eastAsia="宋体" w:cs="宋体"/>
                <w:color w:val="auto"/>
                <w:position w:val="0"/>
                <w:sz w:val="21"/>
                <w:szCs w:val="21"/>
                <w:highlight w:val="none"/>
                <w:lang w:eastAsia="zh-CN"/>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p>
        </w:tc>
      </w:tr>
      <w:tr>
        <w:tblPrEx>
          <w:tblCellMar>
            <w:top w:w="0" w:type="dxa"/>
            <w:left w:w="28" w:type="dxa"/>
            <w:bottom w:w="0" w:type="dxa"/>
            <w:right w:w="28" w:type="dxa"/>
          </w:tblCellMar>
        </w:tblPrEx>
        <w:trPr>
          <w:trHeight w:val="1213"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进口产品</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是□      否</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p>
        </w:tc>
      </w:tr>
      <w:tr>
        <w:tblPrEx>
          <w:tblCellMar>
            <w:top w:w="0" w:type="dxa"/>
            <w:left w:w="28" w:type="dxa"/>
            <w:bottom w:w="0" w:type="dxa"/>
            <w:right w:w="28" w:type="dxa"/>
          </w:tblCellMar>
        </w:tblPrEx>
        <w:trPr>
          <w:trHeight w:val="1213"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8</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样品</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是□      否</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p>
        </w:tc>
      </w:tr>
      <w:tr>
        <w:tblPrEx>
          <w:tblCellMar>
            <w:top w:w="0" w:type="dxa"/>
            <w:left w:w="28" w:type="dxa"/>
            <w:bottom w:w="0" w:type="dxa"/>
            <w:right w:w="28" w:type="dxa"/>
          </w:tblCellMar>
        </w:tblPrEx>
        <w:trPr>
          <w:trHeight w:val="1262"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9</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备选方案</w:t>
            </w:r>
          </w:p>
        </w:tc>
        <w:tc>
          <w:tcPr>
            <w:tcW w:w="6771"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不允许提供</w:t>
            </w:r>
          </w:p>
        </w:tc>
      </w:tr>
      <w:tr>
        <w:tblPrEx>
          <w:tblCellMar>
            <w:top w:w="0" w:type="dxa"/>
            <w:left w:w="28" w:type="dxa"/>
            <w:bottom w:w="0" w:type="dxa"/>
            <w:right w:w="28" w:type="dxa"/>
          </w:tblCellMar>
        </w:tblPrEx>
        <w:trPr>
          <w:trHeight w:val="9090"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供应商特定资格要求</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1.具有独立承担民事责任能力的法人或其他组织，提供合法有效的统一社会信用代码的营业执照（含年度报告）或事业单位法人证书等国家规定的相关证明，自然人参与的提供其身份证明；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2.银行开户许可证或开户行基本信息；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3.法定代表人授权书（委托代理人参加须提供法定代表人授权书、法定代表人身份证复印件及被授权人身份证）或法定代表人身份证（法定代表人直接参加只须提供本人身份证）；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4.供应商应出具参加政府采购活动前3年内在经营活动中没有重大违法记录的书面声明；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5.税收缴纳证明：自2023年1月1日以来已缴纳的至少一个月的纳税证明或完税证明，纳税证明或完税证明上应有代收机构或税务机关的公章。依法免税的供应商应提供相关文件证明；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6.社会保障资金缴纳证明：自2023年1月1日以来已缴存的至少一个月的社会保障资金缴存单据或社保机构开具的社会保险参保缴费情况证明，依法不需要缴纳社会保障资金的供应商应提供相关文件证明；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7.财务状况报告：</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提供2022年度经审计的财务报告（至少包括审计报告、资产负债表和利润表，成立时间至提交投标文件截止时间不足一年的可提供成立后任意时段的资产负债表）或其开标前三个月内基本存款账户开户银行出具的资信证明</w:t>
            </w:r>
            <w:r>
              <w:rPr>
                <w:rFonts w:hint="eastAsia" w:ascii="宋体" w:hAnsi="宋体" w:eastAsia="宋体" w:cs="宋体"/>
                <w:b w:val="0"/>
                <w:color w:val="auto"/>
                <w:kern w:val="2"/>
                <w:sz w:val="21"/>
                <w:szCs w:val="21"/>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val="0"/>
                <w:color w:val="auto"/>
                <w:kern w:val="2"/>
                <w:sz w:val="21"/>
                <w:szCs w:val="21"/>
                <w:highlight w:val="none"/>
                <w:lang w:val="en-US" w:eastAsia="zh-CN" w:bidi="ar-SA"/>
              </w:rPr>
            </w:pPr>
            <w:r>
              <w:rPr>
                <w:rFonts w:hint="eastAsia" w:ascii="宋体" w:hAnsi="宋体" w:eastAsia="宋体" w:cs="宋体"/>
                <w:b w:val="0"/>
                <w:color w:val="auto"/>
                <w:kern w:val="2"/>
                <w:sz w:val="21"/>
                <w:szCs w:val="21"/>
                <w:highlight w:val="none"/>
                <w:lang w:val="en-US" w:eastAsia="zh-CN" w:bidi="ar-SA"/>
              </w:rPr>
              <w:t>8.供应商不得列入“信用中国”网站中严重主体失信名单和经营异常名单，不得为“中国执行信息网”网站失信被执行人，不得为“中国政府采购网”政府采购严重违法失信行为记录名单中被财政部门禁止参加政府采购活动的供应商（处罚期限届满的除外）（提供查询结果网页截图，并加盖供应商公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color w:val="auto"/>
                <w:kern w:val="0"/>
                <w:highlight w:val="none"/>
                <w:lang w:val="en-US" w:eastAsia="zh-CN"/>
              </w:rPr>
            </w:pPr>
            <w:r>
              <w:rPr>
                <w:rFonts w:hint="eastAsia" w:ascii="宋体" w:hAnsi="宋体" w:eastAsia="宋体" w:cs="宋体"/>
                <w:b w:val="0"/>
                <w:color w:val="auto"/>
                <w:kern w:val="2"/>
                <w:sz w:val="21"/>
                <w:szCs w:val="21"/>
                <w:highlight w:val="none"/>
                <w:lang w:val="en-US" w:eastAsia="zh-CN" w:bidi="ar-SA"/>
              </w:rPr>
              <w:t>9、缴纳保证金的银行转账或电汇凭证。</w:t>
            </w:r>
          </w:p>
        </w:tc>
      </w:tr>
      <w:tr>
        <w:tblPrEx>
          <w:tblCellMar>
            <w:top w:w="0" w:type="dxa"/>
            <w:left w:w="28" w:type="dxa"/>
            <w:bottom w:w="0" w:type="dxa"/>
            <w:right w:w="28" w:type="dxa"/>
          </w:tblCellMar>
        </w:tblPrEx>
        <w:trPr>
          <w:trHeight w:val="90"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谈判保证金</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谈判</w:t>
            </w:r>
            <w:r>
              <w:rPr>
                <w:rFonts w:hint="eastAsia" w:ascii="宋体" w:hAnsi="宋体" w:eastAsia="宋体" w:cs="宋体"/>
                <w:color w:val="auto"/>
                <w:highlight w:val="none"/>
              </w:rPr>
              <w:t>保证金金额：</w:t>
            </w:r>
            <w:r>
              <w:rPr>
                <w:rFonts w:hint="eastAsia" w:ascii="宋体" w:hAnsi="宋体" w:eastAsia="宋体" w:cs="宋体"/>
                <w:color w:val="auto"/>
                <w:highlight w:val="none"/>
                <w:lang w:val="en-US" w:eastAsia="zh-CN"/>
              </w:rPr>
              <w:t>壹万元整</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10,000.00元</w:t>
            </w:r>
            <w:r>
              <w:rPr>
                <w:rFonts w:hint="eastAsia" w:ascii="宋体" w:hAnsi="宋体" w:eastAsia="宋体" w:cs="宋体"/>
                <w:color w:val="auto"/>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谈判</w:t>
            </w:r>
            <w:r>
              <w:rPr>
                <w:rFonts w:hint="eastAsia" w:ascii="宋体" w:hAnsi="宋体" w:eastAsia="宋体" w:cs="宋体"/>
                <w:color w:val="auto"/>
                <w:kern w:val="0"/>
                <w:highlight w:val="none"/>
              </w:rPr>
              <w:t>保证金缴纳账户信息：</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lang w:eastAsia="zh-CN"/>
              </w:rPr>
              <w:t>开户单位：</w:t>
            </w:r>
            <w:r>
              <w:rPr>
                <w:rFonts w:hint="eastAsia" w:ascii="宋体" w:hAnsi="宋体" w:eastAsia="宋体" w:cs="宋体"/>
                <w:b/>
                <w:bCs/>
                <w:color w:val="auto"/>
                <w:kern w:val="0"/>
                <w:highlight w:val="none"/>
                <w:lang w:eastAsia="zh-CN"/>
              </w:rPr>
              <w:t>陕西楚元项目管理有限公司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color w:val="auto"/>
                <w:kern w:val="0"/>
                <w:highlight w:val="none"/>
                <w:lang w:eastAsia="zh-CN"/>
              </w:rPr>
            </w:pPr>
            <w:r>
              <w:rPr>
                <w:rFonts w:hint="eastAsia" w:ascii="宋体" w:hAnsi="宋体" w:eastAsia="宋体" w:cs="宋体"/>
                <w:color w:val="auto"/>
                <w:kern w:val="0"/>
                <w:highlight w:val="none"/>
                <w:lang w:eastAsia="zh-CN"/>
              </w:rPr>
              <w:t>开户行名称：</w:t>
            </w:r>
            <w:r>
              <w:rPr>
                <w:rFonts w:hint="eastAsia" w:ascii="宋体" w:hAnsi="宋体" w:eastAsia="宋体" w:cs="宋体"/>
                <w:b/>
                <w:bCs/>
                <w:color w:val="auto"/>
                <w:kern w:val="0"/>
                <w:highlight w:val="none"/>
                <w:lang w:val="en-US" w:eastAsia="zh-CN"/>
              </w:rPr>
              <w:t>西安银行股份有限公司延安分行</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宋体" w:hAnsi="宋体" w:eastAsia="宋体" w:cs="宋体"/>
                <w:b/>
                <w:bCs/>
                <w:color w:val="auto"/>
                <w:kern w:val="0"/>
                <w:highlight w:val="none"/>
                <w:lang w:val="en-US" w:eastAsia="zh-CN"/>
              </w:rPr>
            </w:pPr>
            <w:r>
              <w:rPr>
                <w:rFonts w:hint="eastAsia" w:ascii="宋体" w:hAnsi="宋体" w:eastAsia="宋体" w:cs="宋体"/>
                <w:color w:val="auto"/>
                <w:kern w:val="0"/>
                <w:highlight w:val="none"/>
                <w:lang w:eastAsia="zh-CN"/>
              </w:rPr>
              <w:t>账      号：</w:t>
            </w:r>
            <w:r>
              <w:rPr>
                <w:rFonts w:hint="eastAsia" w:ascii="宋体" w:hAnsi="宋体" w:eastAsia="宋体" w:cs="宋体"/>
                <w:b/>
                <w:bCs/>
                <w:color w:val="auto"/>
                <w:kern w:val="0"/>
                <w:highlight w:val="none"/>
                <w:lang w:val="en-US" w:eastAsia="zh-CN"/>
              </w:rPr>
              <w:t>371011510000019626</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highlight w:val="none"/>
                <w:lang w:val="en-US" w:eastAsia="zh-CN"/>
              </w:rPr>
              <w:t>注：若</w:t>
            </w:r>
            <w:r>
              <w:rPr>
                <w:rFonts w:hint="eastAsia" w:ascii="宋体" w:hAnsi="宋体" w:eastAsia="宋体" w:cs="宋体"/>
                <w:color w:val="auto"/>
                <w:kern w:val="0"/>
                <w:highlight w:val="none"/>
              </w:rPr>
              <w:t>磋商保证金从供应商</w:t>
            </w:r>
            <w:r>
              <w:rPr>
                <w:rFonts w:hint="eastAsia" w:ascii="宋体" w:hAnsi="宋体" w:eastAsia="宋体" w:cs="宋体"/>
                <w:b w:val="0"/>
                <w:bCs/>
                <w:color w:val="auto"/>
                <w:kern w:val="0"/>
                <w:highlight w:val="none"/>
              </w:rPr>
              <w:t>账户</w:t>
            </w:r>
            <w:r>
              <w:rPr>
                <w:rFonts w:hint="eastAsia" w:ascii="宋体" w:hAnsi="宋体" w:eastAsia="宋体" w:cs="宋体"/>
                <w:color w:val="auto"/>
                <w:kern w:val="0"/>
                <w:highlight w:val="none"/>
              </w:rPr>
              <w:t>转出</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lang w:val="en-US" w:eastAsia="zh-CN"/>
              </w:rPr>
              <w:t>应注明“项目编号”</w:t>
            </w:r>
          </w:p>
        </w:tc>
      </w:tr>
      <w:tr>
        <w:tblPrEx>
          <w:tblCellMar>
            <w:top w:w="0" w:type="dxa"/>
            <w:left w:w="28" w:type="dxa"/>
            <w:bottom w:w="0" w:type="dxa"/>
            <w:right w:w="28" w:type="dxa"/>
          </w:tblCellMar>
        </w:tblPrEx>
        <w:trPr>
          <w:trHeight w:val="831"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12</w:t>
            </w:r>
          </w:p>
        </w:tc>
        <w:tc>
          <w:tcPr>
            <w:tcW w:w="152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响应文件有效期</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响应文件从</w:t>
            </w:r>
            <w:r>
              <w:rPr>
                <w:rFonts w:hint="eastAsia" w:ascii="宋体" w:hAnsi="宋体" w:eastAsia="宋体" w:cs="宋体"/>
                <w:color w:val="auto"/>
                <w:sz w:val="21"/>
                <w:szCs w:val="21"/>
                <w:highlight w:val="none"/>
                <w:lang w:val="en-US" w:eastAsia="zh-CN"/>
              </w:rPr>
              <w:t>谈判</w:t>
            </w:r>
            <w:r>
              <w:rPr>
                <w:rFonts w:hint="eastAsia" w:ascii="宋体" w:hAnsi="宋体" w:eastAsia="宋体" w:cs="宋体"/>
                <w:color w:val="auto"/>
                <w:sz w:val="21"/>
                <w:szCs w:val="21"/>
                <w:highlight w:val="none"/>
              </w:rPr>
              <w:t>之日起，有效期为90日历天。</w:t>
            </w:r>
          </w:p>
        </w:tc>
      </w:tr>
      <w:tr>
        <w:tblPrEx>
          <w:tblCellMar>
            <w:top w:w="0" w:type="dxa"/>
            <w:left w:w="28" w:type="dxa"/>
            <w:bottom w:w="0" w:type="dxa"/>
            <w:right w:w="28" w:type="dxa"/>
          </w:tblCellMar>
        </w:tblPrEx>
        <w:trPr>
          <w:trHeight w:val="2580"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13</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响应文件</w:t>
            </w:r>
            <w:r>
              <w:rPr>
                <w:rFonts w:hint="eastAsia" w:ascii="宋体" w:hAnsi="宋体" w:eastAsia="宋体" w:cs="宋体"/>
                <w:color w:val="auto"/>
                <w:sz w:val="21"/>
                <w:szCs w:val="21"/>
                <w:highlight w:val="none"/>
                <w:lang w:val="en-US" w:eastAsia="zh-CN"/>
              </w:rPr>
              <w:t>数量</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1"/>
                <w:szCs w:val="21"/>
                <w:lang w:eastAsia="zh-CN"/>
              </w:rPr>
            </w:pPr>
            <w:r>
              <w:rPr>
                <w:rFonts w:hint="eastAsia" w:ascii="宋体" w:hAnsi="宋体" w:eastAsia="宋体" w:cs="宋体"/>
                <w:b/>
                <w:bCs/>
                <w:sz w:val="21"/>
                <w:szCs w:val="21"/>
                <w:lang w:val="en-US" w:eastAsia="zh-CN"/>
              </w:rPr>
              <w:t>纸质版：</w:t>
            </w:r>
            <w:r>
              <w:rPr>
                <w:rFonts w:hint="eastAsia" w:ascii="宋体" w:hAnsi="宋体" w:eastAsia="宋体" w:cs="宋体"/>
                <w:sz w:val="21"/>
                <w:szCs w:val="21"/>
              </w:rPr>
              <w:t>正本一份、副本</w:t>
            </w:r>
            <w:r>
              <w:rPr>
                <w:rFonts w:hint="eastAsia" w:ascii="宋体" w:hAnsi="宋体" w:eastAsia="宋体" w:cs="宋体"/>
                <w:sz w:val="21"/>
                <w:szCs w:val="21"/>
                <w:lang w:eastAsia="zh-CN"/>
              </w:rPr>
              <w:t>一</w:t>
            </w:r>
            <w:r>
              <w:rPr>
                <w:rFonts w:hint="eastAsia" w:ascii="宋体" w:hAnsi="宋体" w:eastAsia="宋体" w:cs="宋体"/>
                <w:sz w:val="21"/>
                <w:szCs w:val="21"/>
              </w:rPr>
              <w:t>份</w:t>
            </w:r>
            <w:r>
              <w:rPr>
                <w:rFonts w:hint="eastAsia" w:ascii="宋体" w:hAnsi="宋体" w:eastAsia="宋体" w:cs="宋体"/>
                <w:sz w:val="21"/>
                <w:szCs w:val="21"/>
                <w:lang w:eastAsia="zh-CN"/>
              </w:rPr>
              <w:t>，</w:t>
            </w:r>
            <w:r>
              <w:rPr>
                <w:rFonts w:hint="eastAsia" w:ascii="宋体" w:hAnsi="宋体" w:eastAsia="宋体" w:cs="宋体"/>
                <w:sz w:val="21"/>
                <w:szCs w:val="21"/>
              </w:rPr>
              <w:t>分别胶装装订成册，且封面须清楚地标明“正本”、“副本”</w:t>
            </w:r>
            <w:r>
              <w:rPr>
                <w:rFonts w:hint="eastAsia" w:ascii="宋体" w:hAnsi="宋体" w:eastAsia="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sz w:val="21"/>
                <w:szCs w:val="21"/>
              </w:rPr>
            </w:pPr>
            <w:r>
              <w:rPr>
                <w:rFonts w:hint="eastAsia" w:ascii="宋体" w:hAnsi="宋体" w:eastAsia="宋体" w:cs="宋体"/>
                <w:b/>
                <w:bCs/>
                <w:sz w:val="21"/>
                <w:szCs w:val="21"/>
                <w:lang w:val="en-US" w:eastAsia="zh-CN"/>
              </w:rPr>
              <w:t>非加密电子版</w:t>
            </w:r>
            <w:r>
              <w:rPr>
                <w:rFonts w:hint="eastAsia" w:ascii="宋体" w:hAnsi="宋体" w:eastAsia="宋体" w:cs="宋体"/>
                <w:sz w:val="21"/>
                <w:szCs w:val="21"/>
                <w:lang w:val="en-US" w:eastAsia="zh-CN"/>
              </w:rPr>
              <w:t>：</w:t>
            </w:r>
            <w:r>
              <w:rPr>
                <w:rFonts w:hint="eastAsia" w:ascii="宋体" w:hAnsi="宋体" w:eastAsia="宋体" w:cs="宋体"/>
                <w:sz w:val="21"/>
                <w:szCs w:val="21"/>
              </w:rPr>
              <w:t>提供与正本内容一致的电子版</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U盘存储</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格式</w:t>
            </w:r>
            <w:r>
              <w:rPr>
                <w:rFonts w:hint="eastAsia" w:ascii="宋体" w:hAnsi="宋体" w:eastAsia="宋体" w:cs="宋体"/>
                <w:sz w:val="21"/>
                <w:szCs w:val="21"/>
              </w:rPr>
              <w:t>为PDF</w:t>
            </w:r>
            <w:r>
              <w:rPr>
                <w:rFonts w:hint="eastAsia" w:ascii="宋体" w:hAnsi="宋体" w:eastAsia="宋体" w:cs="宋体"/>
                <w:sz w:val="21"/>
                <w:szCs w:val="21"/>
                <w:lang w:eastAsia="zh-CN"/>
              </w:rPr>
              <w:t>、</w:t>
            </w:r>
            <w:r>
              <w:rPr>
                <w:rFonts w:hint="eastAsia" w:ascii="宋体" w:hAnsi="宋体" w:eastAsia="宋体" w:cs="宋体"/>
                <w:sz w:val="21"/>
                <w:szCs w:val="21"/>
              </w:rPr>
              <w:t>WORD。</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lang w:val="en-US" w:eastAsia="zh-CN"/>
              </w:rPr>
            </w:pPr>
            <w:r>
              <w:rPr>
                <w:rFonts w:hint="eastAsia" w:ascii="宋体" w:hAnsi="宋体" w:eastAsia="宋体" w:cs="宋体"/>
                <w:sz w:val="21"/>
                <w:szCs w:val="21"/>
                <w:lang w:val="en-US" w:eastAsia="zh-CN"/>
              </w:rPr>
              <w:t>正本与副本不符的，以正本为准；纸质版正本内容与电子版要求一致。</w:t>
            </w:r>
          </w:p>
        </w:tc>
      </w:tr>
      <w:tr>
        <w:tblPrEx>
          <w:tblCellMar>
            <w:top w:w="0" w:type="dxa"/>
            <w:left w:w="28" w:type="dxa"/>
            <w:bottom w:w="0" w:type="dxa"/>
            <w:right w:w="28" w:type="dxa"/>
          </w:tblCellMar>
        </w:tblPrEx>
        <w:trPr>
          <w:trHeight w:val="962"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14</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密封要求</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pacing w:line="360" w:lineRule="auto"/>
              <w:ind w:left="0" w:leftChars="0" w:right="0" w:right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无</w:t>
            </w:r>
          </w:p>
        </w:tc>
      </w:tr>
      <w:tr>
        <w:tblPrEx>
          <w:tblCellMar>
            <w:top w:w="0" w:type="dxa"/>
            <w:left w:w="28" w:type="dxa"/>
            <w:bottom w:w="0" w:type="dxa"/>
            <w:right w:w="28" w:type="dxa"/>
          </w:tblCellMar>
        </w:tblPrEx>
        <w:trPr>
          <w:trHeight w:val="2364"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15</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递交要求</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numPr>
                <w:ilvl w:val="0"/>
                <w:numId w:val="1"/>
              </w:numPr>
              <w:suppressLineNumbers w:val="0"/>
              <w:kinsoku/>
              <w:overflowPunct/>
              <w:topLinePunct w:val="0"/>
              <w:bidi w:val="0"/>
              <w:adjustRightInd/>
              <w:spacing w:before="0" w:beforeAutospacing="0" w:after="0" w:afterAutospacing="0" w:line="360" w:lineRule="auto"/>
              <w:ind w:left="0" w:leftChars="0" w:right="0" w:rightChars="0"/>
              <w:jc w:val="left"/>
              <w:textAlignment w:val="auto"/>
              <w:rPr>
                <w:rFonts w:hint="eastAsia" w:ascii="宋体" w:hAnsi="宋体" w:eastAsia="宋体" w:cs="宋体"/>
                <w:i w:val="0"/>
                <w:iCs w:val="0"/>
                <w:caps w:val="0"/>
                <w:color w:val="000000" w:themeColor="text1"/>
                <w:spacing w:val="0"/>
                <w:kern w:val="0"/>
                <w:sz w:val="21"/>
                <w:szCs w:val="21"/>
                <w:shd w:val="clear" w:fill="FFFFFF"/>
                <w:lang w:val="en-US" w:eastAsia="zh-CN" w:bidi="ar"/>
                <w14:textFill>
                  <w14:solidFill>
                    <w14:schemeClr w14:val="tx1"/>
                  </w14:solidFill>
                </w14:textFill>
              </w:rPr>
            </w:pPr>
            <w:r>
              <w:rPr>
                <w:rFonts w:hint="eastAsia" w:ascii="宋体" w:hAnsi="宋体" w:eastAsia="宋体" w:cs="宋体"/>
                <w:lang w:val="en-US" w:eastAsia="zh-CN"/>
              </w:rPr>
              <w:t>本次招标采用不见面开标模式，远程解密；</w:t>
            </w:r>
            <w:r>
              <w:rPr>
                <w:rFonts w:hint="eastAsia" w:ascii="宋体" w:hAnsi="宋体" w:eastAsia="宋体" w:cs="宋体"/>
                <w:color w:val="auto"/>
                <w:sz w:val="21"/>
                <w:szCs w:val="21"/>
                <w:highlight w:val="none"/>
                <w:lang w:val="en-US" w:eastAsia="zh-CN"/>
              </w:rPr>
              <w:t>电子投标文件上传递交至延安市公共资源交易中心网电子招标投标系统；</w:t>
            </w:r>
          </w:p>
          <w:p>
            <w:pPr>
              <w:keepNext w:val="0"/>
              <w:keepLines w:val="0"/>
              <w:pageBreakBefore w:val="0"/>
              <w:widowControl w:val="0"/>
              <w:numPr>
                <w:ilvl w:val="0"/>
                <w:numId w:val="0"/>
              </w:numPr>
              <w:suppressLineNumbers w:val="0"/>
              <w:kinsoku/>
              <w:overflowPunct/>
              <w:topLinePunct w:val="0"/>
              <w:bidi w:val="0"/>
              <w:adjustRightInd/>
              <w:spacing w:before="0" w:beforeAutospacing="0" w:after="0" w:afterAutospacing="0" w:line="360" w:lineRule="auto"/>
              <w:ind w:right="0" w:rightChars="0"/>
              <w:jc w:val="left"/>
              <w:textAlignment w:val="auto"/>
              <w:rPr>
                <w:rFonts w:hint="eastAsia" w:ascii="宋体" w:hAnsi="宋体" w:eastAsia="宋体" w:cs="宋体"/>
                <w:lang w:val="en-US" w:eastAsia="zh-CN"/>
              </w:rPr>
            </w:pPr>
            <w:r>
              <w:rPr>
                <w:rFonts w:hint="eastAsia" w:ascii="宋体" w:hAnsi="宋体" w:eastAsia="宋体" w:cs="宋体"/>
                <w:color w:val="auto"/>
                <w:sz w:val="21"/>
                <w:szCs w:val="21"/>
                <w:highlight w:val="none"/>
                <w:lang w:val="en-US" w:eastAsia="zh-CN"/>
              </w:rPr>
              <w:t>2、纸质投标文件递交要求：正本壹份，副本一份。同时递交贰份加盖公章（鲜章）的政府采购投标回执单、电子投标文件上传成功回执单，开标时间递交或开标后1-3日邮寄到代理公司（邮寄费用自付）；</w:t>
            </w:r>
          </w:p>
        </w:tc>
      </w:tr>
      <w:tr>
        <w:tblPrEx>
          <w:tblCellMar>
            <w:top w:w="0" w:type="dxa"/>
            <w:left w:w="28" w:type="dxa"/>
            <w:bottom w:w="0" w:type="dxa"/>
            <w:right w:w="28" w:type="dxa"/>
          </w:tblCellMar>
        </w:tblPrEx>
        <w:trPr>
          <w:trHeight w:val="915"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16</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评审办法</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pacing w:line="360" w:lineRule="auto"/>
              <w:ind w:left="0" w:leftChars="0" w:right="0" w:rightChars="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lang w:val="en-US" w:eastAsia="zh-CN"/>
              </w:rPr>
              <w:t>最低成交价</w:t>
            </w:r>
            <w:r>
              <w:rPr>
                <w:rFonts w:hint="eastAsia" w:ascii="宋体" w:hAnsi="宋体" w:eastAsia="宋体" w:cs="宋体"/>
                <w:color w:val="auto"/>
                <w:sz w:val="21"/>
                <w:szCs w:val="21"/>
                <w:highlight w:val="none"/>
              </w:rPr>
              <w:t>（详见第三部分）</w:t>
            </w:r>
          </w:p>
        </w:tc>
      </w:tr>
      <w:tr>
        <w:tblPrEx>
          <w:tblCellMar>
            <w:top w:w="0" w:type="dxa"/>
            <w:left w:w="28" w:type="dxa"/>
            <w:bottom w:w="0" w:type="dxa"/>
            <w:right w:w="28" w:type="dxa"/>
          </w:tblCellMar>
        </w:tblPrEx>
        <w:trPr>
          <w:trHeight w:val="1091"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17</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履约保证金</w:t>
            </w:r>
          </w:p>
        </w:tc>
        <w:tc>
          <w:tcPr>
            <w:tcW w:w="677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overflowPunct/>
              <w:topLinePunct w:val="0"/>
              <w:bidi w:val="0"/>
              <w:adjustRightInd/>
              <w:spacing w:line="360" w:lineRule="auto"/>
              <w:ind w:left="0" w:leftChars="0" w:right="0" w:rightChars="0"/>
              <w:jc w:val="left"/>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成交人</w:t>
            </w:r>
            <w:r>
              <w:rPr>
                <w:rFonts w:hint="eastAsia" w:ascii="宋体" w:hAnsi="宋体" w:eastAsia="宋体" w:cs="宋体"/>
                <w:color w:val="000000" w:themeColor="text1"/>
                <w:sz w:val="21"/>
                <w:szCs w:val="21"/>
                <w:highlight w:val="none"/>
                <w14:textFill>
                  <w14:solidFill>
                    <w14:schemeClr w14:val="tx1"/>
                  </w14:solidFill>
                </w14:textFill>
              </w:rPr>
              <w:t>在与</w:t>
            </w:r>
            <w:r>
              <w:rPr>
                <w:rFonts w:hint="eastAsia" w:ascii="宋体" w:hAnsi="宋体" w:eastAsia="宋体" w:cs="宋体"/>
                <w:color w:val="000000" w:themeColor="text1"/>
                <w:sz w:val="21"/>
                <w:szCs w:val="21"/>
                <w:highlight w:val="none"/>
                <w:lang w:val="en-US" w:eastAsia="zh-CN"/>
                <w14:textFill>
                  <w14:solidFill>
                    <w14:schemeClr w14:val="tx1"/>
                  </w14:solidFill>
                </w14:textFill>
              </w:rPr>
              <w:t>采购</w:t>
            </w:r>
            <w:r>
              <w:rPr>
                <w:rFonts w:hint="eastAsia" w:ascii="宋体" w:hAnsi="宋体" w:eastAsia="宋体" w:cs="宋体"/>
                <w:color w:val="000000" w:themeColor="text1"/>
                <w:sz w:val="21"/>
                <w:szCs w:val="21"/>
                <w:highlight w:val="none"/>
                <w:lang w:eastAsia="zh-CN"/>
                <w14:textFill>
                  <w14:solidFill>
                    <w14:schemeClr w14:val="tx1"/>
                  </w14:solidFill>
                </w14:textFill>
              </w:rPr>
              <w:t>人</w:t>
            </w:r>
            <w:r>
              <w:rPr>
                <w:rFonts w:hint="eastAsia" w:ascii="宋体" w:hAnsi="宋体" w:eastAsia="宋体" w:cs="宋体"/>
                <w:color w:val="000000" w:themeColor="text1"/>
                <w:sz w:val="21"/>
                <w:szCs w:val="21"/>
                <w:highlight w:val="none"/>
                <w14:textFill>
                  <w14:solidFill>
                    <w14:schemeClr w14:val="tx1"/>
                  </w14:solidFill>
                </w14:textFill>
              </w:rPr>
              <w:t>签订合同之前，</w:t>
            </w:r>
            <w:r>
              <w:rPr>
                <w:rFonts w:hint="eastAsia" w:ascii="宋体" w:hAnsi="宋体" w:eastAsia="宋体" w:cs="宋体"/>
                <w:color w:val="000000" w:themeColor="text1"/>
                <w:sz w:val="21"/>
                <w:szCs w:val="21"/>
                <w:highlight w:val="none"/>
                <w:lang w:val="en-US" w:eastAsia="zh-CN"/>
                <w14:textFill>
                  <w14:solidFill>
                    <w14:schemeClr w14:val="tx1"/>
                  </w14:solidFill>
                </w14:textFill>
              </w:rPr>
              <w:t>采购人有权要求成交人</w:t>
            </w:r>
            <w:r>
              <w:rPr>
                <w:rFonts w:hint="eastAsia" w:ascii="宋体" w:hAnsi="宋体" w:eastAsia="宋体" w:cs="宋体"/>
                <w:color w:val="000000" w:themeColor="text1"/>
                <w:sz w:val="21"/>
                <w:szCs w:val="21"/>
                <w:highlight w:val="none"/>
                <w14:textFill>
                  <w14:solidFill>
                    <w14:schemeClr w14:val="tx1"/>
                  </w14:solidFill>
                </w14:textFill>
              </w:rPr>
              <w:t>缴纳</w:t>
            </w:r>
            <w:r>
              <w:rPr>
                <w:rFonts w:hint="eastAsia" w:ascii="宋体" w:hAnsi="宋体" w:eastAsia="宋体" w:cs="宋体"/>
                <w:color w:val="000000" w:themeColor="text1"/>
                <w:sz w:val="21"/>
                <w:szCs w:val="21"/>
                <w:highlight w:val="none"/>
                <w:lang w:val="en-US" w:eastAsia="zh-CN"/>
                <w14:textFill>
                  <w14:solidFill>
                    <w14:schemeClr w14:val="tx1"/>
                  </w14:solidFill>
                </w14:textFill>
              </w:rPr>
              <w:t>合同</w:t>
            </w:r>
            <w:r>
              <w:rPr>
                <w:rFonts w:hint="eastAsia" w:ascii="宋体" w:hAnsi="宋体" w:eastAsia="宋体" w:cs="宋体"/>
                <w:color w:val="000000" w:themeColor="text1"/>
                <w:sz w:val="21"/>
                <w:szCs w:val="21"/>
                <w:highlight w:val="none"/>
                <w14:textFill>
                  <w14:solidFill>
                    <w14:schemeClr w14:val="tx1"/>
                  </w14:solidFill>
                </w14:textFill>
              </w:rPr>
              <w:t>价的</w:t>
            </w:r>
            <w:r>
              <w:rPr>
                <w:rFonts w:hint="eastAsia" w:ascii="宋体" w:hAnsi="宋体" w:eastAsia="宋体" w:cs="宋体"/>
                <w:color w:val="000000" w:themeColor="text1"/>
                <w:sz w:val="21"/>
                <w:szCs w:val="21"/>
                <w:highlight w:val="none"/>
                <w:lang w:val="en-US" w:eastAsia="zh-CN"/>
                <w14:textFill>
                  <w14:solidFill>
                    <w14:schemeClr w14:val="tx1"/>
                  </w14:solidFill>
                </w14:textFill>
              </w:rPr>
              <w:t>5</w:t>
            </w:r>
            <w:r>
              <w:rPr>
                <w:rFonts w:hint="eastAsia" w:ascii="宋体" w:hAnsi="宋体" w:eastAsia="宋体" w:cs="宋体"/>
                <w:color w:val="000000" w:themeColor="text1"/>
                <w:sz w:val="21"/>
                <w:szCs w:val="21"/>
                <w:highlight w:val="none"/>
                <w14:textFill>
                  <w14:solidFill>
                    <w14:schemeClr w14:val="tx1"/>
                  </w14:solidFill>
                </w14:textFill>
              </w:rPr>
              <w:t>%作为履约保证金</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履约保证金在政府采购合同履行完毕，且采购人验收通过后，以银行转账的方式无息退还给成交人。</w:t>
            </w:r>
          </w:p>
        </w:tc>
      </w:tr>
      <w:tr>
        <w:tblPrEx>
          <w:tblCellMar>
            <w:top w:w="0" w:type="dxa"/>
            <w:left w:w="28" w:type="dxa"/>
            <w:bottom w:w="0" w:type="dxa"/>
            <w:right w:w="28" w:type="dxa"/>
          </w:tblCellMar>
        </w:tblPrEx>
        <w:trPr>
          <w:trHeight w:val="1437" w:hRule="atLeast"/>
          <w:jc w:val="center"/>
        </w:trPr>
        <w:tc>
          <w:tcPr>
            <w:tcW w:w="80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lang w:val="en-US" w:eastAsia="zh-CN"/>
              </w:rPr>
              <w:t>18</w:t>
            </w:r>
          </w:p>
        </w:tc>
        <w:tc>
          <w:tcPr>
            <w:tcW w:w="1527" w:type="dxa"/>
            <w:tcBorders>
              <w:top w:val="single" w:color="auto" w:sz="4" w:space="0"/>
              <w:left w:val="nil"/>
              <w:bottom w:val="single" w:color="auto" w:sz="4" w:space="0"/>
              <w:right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重新采购或者变更采购方式</w:t>
            </w:r>
          </w:p>
        </w:tc>
        <w:tc>
          <w:tcPr>
            <w:tcW w:w="6771" w:type="dxa"/>
            <w:tcBorders>
              <w:top w:val="single" w:color="auto" w:sz="4" w:space="0"/>
              <w:left w:val="nil"/>
              <w:bottom w:val="single" w:color="auto" w:sz="4" w:space="0"/>
              <w:right w:val="single" w:color="auto" w:sz="4" w:space="0"/>
            </w:tcBorders>
            <w:vAlign w:val="center"/>
          </w:tcPr>
          <w:p>
            <w:pPr>
              <w:keepNext w:val="0"/>
              <w:keepLines w:val="0"/>
              <w:widowControl w:val="0"/>
              <w:suppressLineNumbers w:val="0"/>
              <w:spacing w:before="0" w:beforeAutospacing="0" w:after="0" w:afterAutospacing="0" w:line="360" w:lineRule="auto"/>
              <w:ind w:left="0" w:right="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重新采购或转变采购方式情形须按照《中华人民共和国政府采购法实施条例》、</w:t>
            </w:r>
            <w:r>
              <w:rPr>
                <w:rFonts w:hint="eastAsia" w:ascii="宋体" w:hAnsi="宋体" w:eastAsia="宋体" w:cs="宋体"/>
                <w:color w:val="auto"/>
                <w:spacing w:val="-4"/>
                <w:sz w:val="21"/>
                <w:szCs w:val="21"/>
                <w:highlight w:val="none"/>
              </w:rPr>
              <w:t>《政府采购非招标采购方式管理办法》（财政部令第74号）规定的相关原则处理。</w:t>
            </w:r>
          </w:p>
        </w:tc>
      </w:tr>
    </w:tbl>
    <w:p>
      <w:pPr>
        <w:rPr>
          <w:color w:val="auto"/>
          <w:highlight w:val="none"/>
        </w:rPr>
      </w:pPr>
      <w:r>
        <w:rPr>
          <w:color w:val="auto"/>
          <w:highlight w:val="none"/>
        </w:rPr>
        <w:br w:type="page"/>
      </w:r>
    </w:p>
    <w:p>
      <w:pPr>
        <w:pStyle w:val="17"/>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b/>
          <w:color w:val="auto"/>
          <w:sz w:val="32"/>
          <w:szCs w:val="32"/>
          <w:highlight w:val="none"/>
        </w:rPr>
      </w:pPr>
      <w:bookmarkStart w:id="4" w:name="_Toc30405"/>
      <w:r>
        <w:rPr>
          <w:b/>
          <w:color w:val="auto"/>
          <w:sz w:val="32"/>
          <w:szCs w:val="32"/>
          <w:highlight w:val="none"/>
        </w:rPr>
        <w:t>第</w:t>
      </w:r>
      <w:r>
        <w:rPr>
          <w:rFonts w:hint="eastAsia"/>
          <w:b/>
          <w:color w:val="auto"/>
          <w:sz w:val="32"/>
          <w:szCs w:val="32"/>
          <w:highlight w:val="none"/>
          <w:lang w:val="en-US" w:eastAsia="zh-CN"/>
        </w:rPr>
        <w:t>三</w:t>
      </w:r>
      <w:r>
        <w:rPr>
          <w:b/>
          <w:color w:val="auto"/>
          <w:sz w:val="32"/>
          <w:szCs w:val="32"/>
          <w:highlight w:val="none"/>
        </w:rPr>
        <w:t>部分</w:t>
      </w:r>
      <w:r>
        <w:rPr>
          <w:rFonts w:hint="eastAsia"/>
          <w:b/>
          <w:color w:val="auto"/>
          <w:sz w:val="32"/>
          <w:szCs w:val="32"/>
          <w:highlight w:val="none"/>
          <w:lang w:val="en-US" w:eastAsia="zh-CN"/>
        </w:rPr>
        <w:t xml:space="preserve"> </w:t>
      </w:r>
      <w:r>
        <w:rPr>
          <w:rFonts w:hint="eastAsia"/>
          <w:b/>
          <w:color w:val="auto"/>
          <w:sz w:val="32"/>
          <w:szCs w:val="32"/>
          <w:highlight w:val="none"/>
          <w:lang w:eastAsia="zh-CN"/>
        </w:rPr>
        <w:t>谈判</w:t>
      </w:r>
      <w:r>
        <w:rPr>
          <w:b/>
          <w:color w:val="auto"/>
          <w:sz w:val="32"/>
          <w:szCs w:val="32"/>
          <w:highlight w:val="none"/>
        </w:rPr>
        <w:t>须知</w:t>
      </w:r>
      <w:bookmarkEnd w:id="3"/>
      <w:bookmarkEnd w:id="4"/>
    </w:p>
    <w:p>
      <w:pPr>
        <w:pStyle w:val="17"/>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1"/>
          <w:highlight w:val="none"/>
        </w:rPr>
      </w:pPr>
      <w:bookmarkStart w:id="5" w:name="_Toc75259336"/>
      <w:bookmarkStart w:id="6" w:name="_Toc960"/>
      <w:r>
        <w:rPr>
          <w:rFonts w:hint="eastAsia" w:ascii="宋体" w:hAnsi="宋体" w:eastAsia="宋体" w:cs="宋体"/>
          <w:b/>
          <w:color w:val="auto"/>
          <w:sz w:val="21"/>
          <w:szCs w:val="21"/>
          <w:highlight w:val="none"/>
        </w:rPr>
        <w:t>1．适用范围</w:t>
      </w:r>
      <w:bookmarkEnd w:id="5"/>
      <w:bookmarkEnd w:id="6"/>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rPr>
        <w:t>1本</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文件仅适用于本次</w:t>
      </w:r>
      <w:r>
        <w:rPr>
          <w:rFonts w:hint="eastAsia" w:ascii="宋体" w:hAnsi="宋体" w:eastAsia="宋体" w:cs="宋体"/>
          <w:color w:val="auto"/>
          <w:sz w:val="21"/>
          <w:szCs w:val="21"/>
          <w:highlight w:val="none"/>
          <w:lang w:val="en-US" w:eastAsia="zh-CN"/>
        </w:rPr>
        <w:t>谈判</w:t>
      </w:r>
      <w:r>
        <w:rPr>
          <w:rFonts w:hint="eastAsia" w:ascii="宋体" w:hAnsi="宋体" w:eastAsia="宋体" w:cs="宋体"/>
          <w:color w:val="auto"/>
          <w:sz w:val="21"/>
          <w:szCs w:val="21"/>
          <w:highlight w:val="none"/>
        </w:rPr>
        <w:t>所叙述的</w:t>
      </w:r>
      <w:r>
        <w:rPr>
          <w:rFonts w:hint="eastAsia" w:eastAsia="宋体" w:cs="宋体"/>
          <w:i w:val="0"/>
          <w:iCs w:val="0"/>
          <w:caps w:val="0"/>
          <w:color w:val="000000" w:themeColor="text1"/>
          <w:spacing w:val="0"/>
          <w:sz w:val="21"/>
          <w:szCs w:val="21"/>
          <w:shd w:val="clear" w:fill="FFFFFF"/>
          <w:lang w:eastAsia="zh-CN"/>
          <w14:textFill>
            <w14:solidFill>
              <w14:schemeClr w14:val="tx1"/>
            </w14:solidFill>
          </w14:textFill>
        </w:rPr>
        <w:t>延安职业技术学院智能制造系统集成应用技术实训平台采购项目</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(肥料)项目</w:t>
      </w:r>
      <w:r>
        <w:rPr>
          <w:rFonts w:hint="eastAsia" w:ascii="宋体" w:hAnsi="宋体" w:eastAsia="宋体" w:cs="宋体"/>
          <w:color w:val="auto"/>
          <w:sz w:val="21"/>
          <w:szCs w:val="21"/>
          <w:highlight w:val="none"/>
        </w:rPr>
        <w:t>。</w:t>
      </w:r>
    </w:p>
    <w:p>
      <w:pPr>
        <w:pStyle w:val="17"/>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1"/>
          <w:highlight w:val="none"/>
        </w:rPr>
      </w:pPr>
      <w:bookmarkStart w:id="7" w:name="_Toc75259337"/>
      <w:bookmarkStart w:id="8" w:name="_Toc5637"/>
      <w:r>
        <w:rPr>
          <w:rFonts w:hint="eastAsia" w:ascii="宋体" w:hAnsi="宋体" w:eastAsia="宋体" w:cs="宋体"/>
          <w:b/>
          <w:color w:val="auto"/>
          <w:sz w:val="21"/>
          <w:szCs w:val="21"/>
          <w:highlight w:val="none"/>
        </w:rPr>
        <w:t>2．定义</w:t>
      </w:r>
      <w:bookmarkEnd w:id="7"/>
      <w:bookmarkEnd w:id="8"/>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rPr>
        <w:t>1“采购人”系指</w:t>
      </w:r>
      <w:r>
        <w:rPr>
          <w:rFonts w:hint="eastAsia" w:ascii="宋体" w:hAnsi="宋体" w:eastAsia="宋体" w:cs="宋体"/>
          <w:color w:val="auto"/>
          <w:sz w:val="21"/>
          <w:szCs w:val="21"/>
          <w:highlight w:val="none"/>
          <w:lang w:val="en-US" w:eastAsia="zh-CN"/>
        </w:rPr>
        <w:t>延安职业技术学院</w:t>
      </w:r>
      <w:r>
        <w:rPr>
          <w:rFonts w:hint="eastAsia" w:ascii="宋体" w:hAnsi="宋体" w:eastAsia="宋体" w:cs="宋体"/>
          <w:color w:val="auto"/>
          <w:sz w:val="21"/>
          <w:szCs w:val="21"/>
          <w:highlight w:val="none"/>
        </w:rPr>
        <w:t>。</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rPr>
        <w:t>2“采购代理机构”系指组织本次</w:t>
      </w:r>
      <w:r>
        <w:rPr>
          <w:rFonts w:hint="eastAsia" w:ascii="宋体" w:hAnsi="宋体" w:eastAsia="宋体" w:cs="宋体"/>
          <w:color w:val="auto"/>
          <w:sz w:val="21"/>
          <w:szCs w:val="21"/>
          <w:highlight w:val="none"/>
          <w:lang w:eastAsia="zh-CN"/>
        </w:rPr>
        <w:t>谈判</w:t>
      </w:r>
      <w:r>
        <w:rPr>
          <w:rFonts w:hint="eastAsia" w:ascii="宋体" w:hAnsi="宋体" w:eastAsia="宋体" w:cs="宋体"/>
          <w:color w:val="auto"/>
          <w:sz w:val="21"/>
          <w:szCs w:val="21"/>
          <w:highlight w:val="none"/>
        </w:rPr>
        <w:t>活动的</w:t>
      </w:r>
      <w:r>
        <w:rPr>
          <w:rFonts w:hint="eastAsia" w:ascii="宋体" w:hAnsi="宋体" w:eastAsia="宋体" w:cs="宋体"/>
          <w:color w:val="auto"/>
          <w:sz w:val="21"/>
          <w:szCs w:val="21"/>
          <w:highlight w:val="none"/>
          <w:lang w:val="en-US" w:eastAsia="zh-CN"/>
        </w:rPr>
        <w:t>陕西楚元项目管理有限公司</w:t>
      </w:r>
      <w:r>
        <w:rPr>
          <w:rFonts w:hint="eastAsia" w:ascii="宋体" w:hAnsi="宋体" w:eastAsia="宋体" w:cs="宋体"/>
          <w:color w:val="auto"/>
          <w:sz w:val="21"/>
          <w:szCs w:val="21"/>
          <w:highlight w:val="none"/>
        </w:rPr>
        <w:t>。</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rPr>
        <w:t>3“供应商”系指无条件接受</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文件的各项要求，具备相应履约能力、具有《中华人民共和国政府采购法》第</w:t>
      </w:r>
      <w:r>
        <w:rPr>
          <w:rFonts w:hint="eastAsia" w:ascii="宋体" w:hAnsi="宋体" w:eastAsia="宋体" w:cs="宋体"/>
          <w:color w:val="auto"/>
          <w:sz w:val="21"/>
          <w:szCs w:val="21"/>
          <w:highlight w:val="none"/>
          <w:lang w:val="en-US" w:eastAsia="zh-CN"/>
        </w:rPr>
        <w:t>二十二条</w:t>
      </w:r>
      <w:r>
        <w:rPr>
          <w:rFonts w:hint="eastAsia" w:ascii="宋体" w:hAnsi="宋体" w:eastAsia="宋体" w:cs="宋体"/>
          <w:color w:val="auto"/>
          <w:sz w:val="21"/>
          <w:szCs w:val="21"/>
          <w:highlight w:val="none"/>
        </w:rPr>
        <w:t>规定的相关条件并向</w:t>
      </w:r>
      <w:r>
        <w:rPr>
          <w:rFonts w:hint="eastAsia" w:ascii="宋体" w:hAnsi="宋体" w:eastAsia="宋体" w:cs="宋体"/>
          <w:color w:val="auto"/>
          <w:sz w:val="21"/>
          <w:szCs w:val="21"/>
          <w:highlight w:val="none"/>
          <w:lang w:eastAsia="zh-CN"/>
        </w:rPr>
        <w:t>谈判</w:t>
      </w:r>
      <w:r>
        <w:rPr>
          <w:rFonts w:hint="eastAsia" w:ascii="宋体" w:hAnsi="宋体" w:eastAsia="宋体" w:cs="宋体"/>
          <w:color w:val="auto"/>
          <w:sz w:val="21"/>
          <w:szCs w:val="21"/>
          <w:highlight w:val="none"/>
        </w:rPr>
        <w:t>小组提交响应文件的供应商。</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eastAsia="宋体" w:cs="宋体"/>
          <w:bCs/>
          <w:color w:val="auto"/>
          <w:sz w:val="21"/>
          <w:szCs w:val="21"/>
          <w:highlight w:val="none"/>
        </w:rPr>
        <w:t>.</w:t>
      </w:r>
      <w:r>
        <w:rPr>
          <w:rFonts w:hint="eastAsia" w:ascii="宋体" w:hAnsi="宋体" w:eastAsia="宋体" w:cs="宋体"/>
          <w:color w:val="auto"/>
          <w:sz w:val="21"/>
          <w:szCs w:val="21"/>
          <w:highlight w:val="none"/>
        </w:rPr>
        <w:t>4</w:t>
      </w:r>
      <w:r>
        <w:rPr>
          <w:rFonts w:hint="eastAsia" w:ascii="宋体" w:hAnsi="宋体" w:eastAsia="宋体" w:cs="宋体"/>
          <w:bCs/>
          <w:color w:val="auto"/>
          <w:sz w:val="21"/>
          <w:szCs w:val="21"/>
          <w:highlight w:val="none"/>
        </w:rPr>
        <w:t>供应商在“中国执行信息公开网</w:t>
      </w:r>
      <w:r>
        <w:rPr>
          <w:rFonts w:hint="eastAsia" w:ascii="宋体" w:hAnsi="宋体" w:eastAsia="宋体" w:cs="宋体"/>
          <w:bCs/>
          <w:color w:val="auto"/>
          <w:sz w:val="21"/>
          <w:szCs w:val="21"/>
          <w:highlight w:val="none"/>
          <w:lang w:eastAsia="zh-CN"/>
        </w:rPr>
        <w:t>（http://zxgk.court.gov.cn/）</w:t>
      </w:r>
      <w:r>
        <w:rPr>
          <w:rFonts w:hint="eastAsia" w:ascii="宋体" w:hAnsi="宋体" w:eastAsia="宋体" w:cs="宋体"/>
          <w:bCs/>
          <w:color w:val="auto"/>
          <w:sz w:val="21"/>
          <w:szCs w:val="21"/>
          <w:highlight w:val="none"/>
        </w:rPr>
        <w:t>”未列入失信被执行人，在“信用中国</w:t>
      </w:r>
      <w:r>
        <w:rPr>
          <w:rFonts w:hint="eastAsia" w:ascii="宋体" w:hAnsi="宋体" w:eastAsia="宋体" w:cs="宋体"/>
          <w:bCs/>
          <w:color w:val="auto"/>
          <w:sz w:val="21"/>
          <w:szCs w:val="21"/>
          <w:highlight w:val="none"/>
          <w:lang w:eastAsia="zh-CN"/>
        </w:rPr>
        <w:t>（https://www.creditchina.gov.cn/）</w:t>
      </w:r>
      <w:r>
        <w:rPr>
          <w:rFonts w:hint="eastAsia" w:ascii="宋体" w:hAnsi="宋体" w:eastAsia="宋体" w:cs="宋体"/>
          <w:bCs/>
          <w:color w:val="auto"/>
          <w:sz w:val="21"/>
          <w:szCs w:val="21"/>
          <w:highlight w:val="none"/>
        </w:rPr>
        <w:t>”未列入重大税收违法失信主体，</w:t>
      </w:r>
      <w:r>
        <w:rPr>
          <w:rFonts w:hint="eastAsia" w:ascii="宋体" w:hAnsi="宋体" w:eastAsia="宋体" w:cs="宋体"/>
          <w:bCs/>
          <w:color w:val="auto"/>
          <w:sz w:val="21"/>
          <w:szCs w:val="21"/>
          <w:highlight w:val="none"/>
          <w:lang w:val="en-US" w:eastAsia="zh-CN"/>
        </w:rPr>
        <w:t>在</w:t>
      </w:r>
      <w:r>
        <w:rPr>
          <w:rFonts w:hint="eastAsia" w:ascii="宋体" w:hAnsi="宋体" w:eastAsia="宋体" w:cs="宋体"/>
          <w:bCs/>
          <w:color w:val="auto"/>
          <w:sz w:val="21"/>
          <w:szCs w:val="21"/>
          <w:highlight w:val="none"/>
        </w:rPr>
        <w:t>中国政府采购网</w:t>
      </w:r>
      <w:r>
        <w:rPr>
          <w:rFonts w:hint="eastAsia" w:ascii="宋体" w:hAnsi="宋体" w:eastAsia="宋体" w:cs="宋体"/>
          <w:bCs/>
          <w:color w:val="auto"/>
          <w:sz w:val="21"/>
          <w:szCs w:val="21"/>
          <w:highlight w:val="none"/>
          <w:lang w:eastAsia="zh-CN"/>
        </w:rPr>
        <w:t>（http://www.ccgp.gov.cn/）</w:t>
      </w:r>
      <w:r>
        <w:rPr>
          <w:rFonts w:hint="eastAsia" w:ascii="宋体" w:hAnsi="宋体" w:eastAsia="宋体" w:cs="宋体"/>
          <w:bCs/>
          <w:color w:val="auto"/>
          <w:sz w:val="21"/>
          <w:szCs w:val="21"/>
          <w:highlight w:val="none"/>
          <w:lang w:val="en-US" w:eastAsia="zh-CN"/>
        </w:rPr>
        <w:t>未列入</w:t>
      </w:r>
      <w:r>
        <w:rPr>
          <w:rFonts w:hint="eastAsia" w:ascii="宋体" w:hAnsi="宋体" w:eastAsia="宋体" w:cs="宋体"/>
          <w:bCs/>
          <w:color w:val="auto"/>
          <w:sz w:val="21"/>
          <w:szCs w:val="21"/>
          <w:highlight w:val="none"/>
        </w:rPr>
        <w:t>政府采购严重违法失信行为记录名单</w:t>
      </w:r>
      <w:r>
        <w:rPr>
          <w:rFonts w:hint="eastAsia" w:ascii="宋体" w:hAnsi="宋体" w:eastAsia="宋体" w:cs="宋体"/>
          <w:bCs/>
          <w:color w:val="auto"/>
          <w:sz w:val="21"/>
          <w:szCs w:val="21"/>
          <w:highlight w:val="none"/>
          <w:lang w:val="en-US" w:eastAsia="zh-CN"/>
        </w:rPr>
        <w:t>且未</w:t>
      </w:r>
      <w:r>
        <w:rPr>
          <w:rFonts w:hint="eastAsia" w:ascii="宋体" w:hAnsi="宋体" w:eastAsia="宋体" w:cs="宋体"/>
          <w:bCs/>
          <w:color w:val="auto"/>
          <w:sz w:val="21"/>
          <w:szCs w:val="21"/>
          <w:highlight w:val="none"/>
        </w:rPr>
        <w:t>被财政部门禁止参加政府采购活动（处罚期限届满的除外</w:t>
      </w:r>
      <w:r>
        <w:rPr>
          <w:rFonts w:hint="eastAsia" w:ascii="宋体" w:hAnsi="宋体" w:eastAsia="宋体" w:cs="宋体"/>
          <w:bCs/>
          <w:color w:val="auto"/>
          <w:sz w:val="21"/>
          <w:szCs w:val="21"/>
          <w:highlight w:val="none"/>
          <w:lang w:eastAsia="zh-CN"/>
        </w:rPr>
        <w:t>）</w:t>
      </w:r>
      <w:r>
        <w:rPr>
          <w:rFonts w:hint="eastAsia" w:ascii="宋体" w:hAnsi="宋体" w:eastAsia="宋体" w:cs="宋体"/>
          <w:bCs/>
          <w:color w:val="auto"/>
          <w:sz w:val="21"/>
          <w:szCs w:val="21"/>
          <w:highlight w:val="none"/>
        </w:rPr>
        <w:t>。</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2.5政府采购应当采购本国货物、工程和服务。有特殊情形的除外，情形详见《中华人民共和国政府采购法》第十条规定。 </w:t>
      </w:r>
    </w:p>
    <w:p>
      <w:pPr>
        <w:pStyle w:val="17"/>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1"/>
          <w:highlight w:val="none"/>
        </w:rPr>
      </w:pPr>
      <w:bookmarkStart w:id="9" w:name="_Toc75259338"/>
      <w:bookmarkStart w:id="10" w:name="_Toc29702"/>
      <w:r>
        <w:rPr>
          <w:rFonts w:hint="eastAsia" w:ascii="宋体" w:hAnsi="宋体" w:eastAsia="宋体" w:cs="宋体"/>
          <w:b/>
          <w:color w:val="auto"/>
          <w:sz w:val="21"/>
          <w:szCs w:val="21"/>
          <w:highlight w:val="none"/>
        </w:rPr>
        <w:t>3．合格供应商的范围</w:t>
      </w:r>
      <w:bookmarkEnd w:id="9"/>
      <w:bookmarkEnd w:id="10"/>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4"/>
          <w:highlight w:val="none"/>
        </w:rPr>
      </w:pPr>
      <w:r>
        <w:rPr>
          <w:rFonts w:hint="eastAsia" w:ascii="宋体" w:hAnsi="宋体" w:eastAsia="宋体" w:cs="宋体"/>
          <w:bCs/>
          <w:color w:val="auto"/>
          <w:sz w:val="21"/>
          <w:szCs w:val="24"/>
          <w:highlight w:val="none"/>
        </w:rPr>
        <w:t>3.1具有独立承担民事责任的能力；</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4"/>
          <w:highlight w:val="none"/>
        </w:rPr>
      </w:pPr>
      <w:r>
        <w:rPr>
          <w:rFonts w:hint="eastAsia" w:ascii="宋体" w:hAnsi="宋体" w:eastAsia="宋体" w:cs="宋体"/>
          <w:bCs/>
          <w:color w:val="auto"/>
          <w:sz w:val="21"/>
          <w:szCs w:val="24"/>
          <w:highlight w:val="none"/>
        </w:rPr>
        <w:t>3.2具有良好的商业信誉和健全的财务会计制度；</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4"/>
          <w:highlight w:val="none"/>
        </w:rPr>
      </w:pPr>
      <w:r>
        <w:rPr>
          <w:rFonts w:hint="eastAsia" w:ascii="宋体" w:hAnsi="宋体" w:eastAsia="宋体" w:cs="宋体"/>
          <w:bCs/>
          <w:color w:val="auto"/>
          <w:sz w:val="21"/>
          <w:szCs w:val="24"/>
          <w:highlight w:val="none"/>
        </w:rPr>
        <w:t>3.3具有履行合同所必需的设备和专业技术能力；</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4"/>
          <w:highlight w:val="none"/>
        </w:rPr>
      </w:pPr>
      <w:r>
        <w:rPr>
          <w:rFonts w:hint="eastAsia" w:ascii="宋体" w:hAnsi="宋体" w:eastAsia="宋体" w:cs="宋体"/>
          <w:bCs/>
          <w:color w:val="auto"/>
          <w:sz w:val="21"/>
          <w:szCs w:val="24"/>
          <w:highlight w:val="none"/>
        </w:rPr>
        <w:t>3.4有依法缴纳税收和社会保障资金的良好记录；</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4"/>
          <w:highlight w:val="none"/>
        </w:rPr>
      </w:pPr>
      <w:r>
        <w:rPr>
          <w:rFonts w:hint="eastAsia" w:ascii="宋体" w:hAnsi="宋体" w:eastAsia="宋体" w:cs="宋体"/>
          <w:bCs/>
          <w:color w:val="auto"/>
          <w:sz w:val="21"/>
          <w:szCs w:val="24"/>
          <w:highlight w:val="none"/>
        </w:rPr>
        <w:t>3.5参加政府采购活动前三年内，在经营活动中没有重大违法记录；</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4"/>
          <w:highlight w:val="none"/>
        </w:rPr>
      </w:pPr>
      <w:r>
        <w:rPr>
          <w:rFonts w:hint="eastAsia" w:ascii="宋体" w:hAnsi="宋体" w:eastAsia="宋体" w:cs="宋体"/>
          <w:bCs/>
          <w:color w:val="auto"/>
          <w:sz w:val="21"/>
          <w:szCs w:val="24"/>
          <w:highlight w:val="none"/>
        </w:rPr>
        <w:t>3.6具备法律行政法规规定的其他条件；</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4"/>
          <w:highlight w:val="none"/>
        </w:rPr>
      </w:pPr>
      <w:r>
        <w:rPr>
          <w:rFonts w:hint="eastAsia" w:ascii="宋体" w:hAnsi="宋体" w:eastAsia="宋体" w:cs="宋体"/>
          <w:bCs/>
          <w:color w:val="auto"/>
          <w:sz w:val="21"/>
          <w:szCs w:val="24"/>
          <w:highlight w:val="none"/>
        </w:rPr>
        <w:t>3.7完全满足</w:t>
      </w:r>
      <w:r>
        <w:rPr>
          <w:rFonts w:hint="eastAsia" w:ascii="宋体" w:hAnsi="宋体" w:eastAsia="宋体" w:cs="宋体"/>
          <w:bCs/>
          <w:color w:val="auto"/>
          <w:sz w:val="21"/>
          <w:szCs w:val="24"/>
          <w:highlight w:val="none"/>
          <w:lang w:eastAsia="zh-CN"/>
        </w:rPr>
        <w:t>采购文件</w:t>
      </w:r>
      <w:r>
        <w:rPr>
          <w:rFonts w:hint="eastAsia" w:ascii="宋体" w:hAnsi="宋体" w:eastAsia="宋体" w:cs="宋体"/>
          <w:bCs/>
          <w:color w:val="auto"/>
          <w:sz w:val="21"/>
          <w:szCs w:val="24"/>
          <w:highlight w:val="none"/>
        </w:rPr>
        <w:t>的实质性要求；</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4"/>
          <w:highlight w:val="none"/>
        </w:rPr>
      </w:pPr>
      <w:r>
        <w:rPr>
          <w:rFonts w:hint="eastAsia" w:ascii="宋体" w:hAnsi="宋体" w:eastAsia="宋体" w:cs="宋体"/>
          <w:bCs/>
          <w:color w:val="auto"/>
          <w:sz w:val="21"/>
          <w:szCs w:val="24"/>
          <w:highlight w:val="none"/>
        </w:rPr>
        <w:t>3.8凡具备</w:t>
      </w:r>
      <w:r>
        <w:rPr>
          <w:rFonts w:hint="eastAsia" w:ascii="宋体" w:hAnsi="宋体" w:eastAsia="宋体" w:cs="宋体"/>
          <w:bCs/>
          <w:color w:val="auto"/>
          <w:sz w:val="21"/>
          <w:szCs w:val="24"/>
          <w:highlight w:val="none"/>
          <w:lang w:val="en-US" w:eastAsia="zh-CN"/>
        </w:rPr>
        <w:t>采购</w:t>
      </w:r>
      <w:r>
        <w:rPr>
          <w:rFonts w:hint="eastAsia" w:ascii="宋体" w:hAnsi="宋体" w:eastAsia="宋体" w:cs="宋体"/>
          <w:bCs/>
          <w:color w:val="auto"/>
          <w:sz w:val="21"/>
          <w:szCs w:val="24"/>
          <w:highlight w:val="none"/>
        </w:rPr>
        <w:t>文件要求资格，有服务能力的供应商均可参加。</w:t>
      </w:r>
    </w:p>
    <w:p>
      <w:pPr>
        <w:pStyle w:val="17"/>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4"/>
          <w:highlight w:val="none"/>
        </w:rPr>
      </w:pPr>
      <w:bookmarkStart w:id="11" w:name="_Toc75259339"/>
      <w:bookmarkStart w:id="12" w:name="_Toc6725"/>
      <w:r>
        <w:rPr>
          <w:rFonts w:hint="eastAsia" w:ascii="宋体" w:hAnsi="宋体" w:eastAsia="宋体" w:cs="宋体"/>
          <w:b/>
          <w:color w:val="auto"/>
          <w:sz w:val="21"/>
          <w:szCs w:val="24"/>
          <w:highlight w:val="none"/>
        </w:rPr>
        <w:t>4</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4"/>
          <w:highlight w:val="none"/>
          <w:lang w:eastAsia="zh-CN"/>
        </w:rPr>
        <w:t>谈判</w:t>
      </w:r>
      <w:r>
        <w:rPr>
          <w:rFonts w:hint="eastAsia" w:ascii="宋体" w:hAnsi="宋体" w:eastAsia="宋体" w:cs="宋体"/>
          <w:b/>
          <w:color w:val="auto"/>
          <w:sz w:val="21"/>
          <w:szCs w:val="24"/>
          <w:highlight w:val="none"/>
        </w:rPr>
        <w:t>代表</w:t>
      </w:r>
      <w:bookmarkEnd w:id="11"/>
      <w:bookmarkEnd w:id="12"/>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color w:val="auto"/>
          <w:sz w:val="21"/>
          <w:szCs w:val="24"/>
          <w:highlight w:val="none"/>
        </w:rPr>
      </w:pP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代表必须是法定代表人或持有《法定代表人授权委托书》的被授权代表人。</w:t>
      </w:r>
    </w:p>
    <w:p>
      <w:pPr>
        <w:pStyle w:val="17"/>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4"/>
          <w:highlight w:val="none"/>
        </w:rPr>
      </w:pPr>
      <w:bookmarkStart w:id="13" w:name="_Toc75259340"/>
      <w:bookmarkStart w:id="14" w:name="_Toc10934"/>
      <w:r>
        <w:rPr>
          <w:rFonts w:hint="eastAsia" w:ascii="宋体" w:hAnsi="宋体" w:eastAsia="宋体" w:cs="宋体"/>
          <w:b/>
          <w:color w:val="auto"/>
          <w:sz w:val="21"/>
          <w:szCs w:val="24"/>
          <w:highlight w:val="none"/>
        </w:rPr>
        <w:t>5</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4"/>
          <w:highlight w:val="none"/>
        </w:rPr>
        <w:t>费用</w:t>
      </w:r>
      <w:bookmarkEnd w:id="13"/>
      <w:bookmarkEnd w:id="14"/>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color w:val="auto"/>
          <w:sz w:val="21"/>
          <w:szCs w:val="24"/>
          <w:highlight w:val="none"/>
        </w:rPr>
      </w:pPr>
      <w:r>
        <w:rPr>
          <w:rFonts w:hint="eastAsia" w:ascii="宋体" w:hAnsi="宋体" w:eastAsia="宋体" w:cs="宋体"/>
          <w:color w:val="auto"/>
          <w:sz w:val="21"/>
          <w:szCs w:val="24"/>
          <w:highlight w:val="none"/>
        </w:rPr>
        <w:t>无论</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结果如何，供应商自行承担所有与参加</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有关的全部费用。</w:t>
      </w:r>
    </w:p>
    <w:p>
      <w:pPr>
        <w:pStyle w:val="17"/>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4"/>
          <w:highlight w:val="none"/>
        </w:rPr>
      </w:pPr>
      <w:bookmarkStart w:id="15" w:name="_Toc25606"/>
      <w:bookmarkStart w:id="16" w:name="_Toc75259341"/>
      <w:r>
        <w:rPr>
          <w:rFonts w:hint="eastAsia" w:ascii="宋体" w:hAnsi="宋体" w:eastAsia="宋体" w:cs="宋体"/>
          <w:b/>
          <w:color w:val="auto"/>
          <w:sz w:val="21"/>
          <w:szCs w:val="24"/>
          <w:highlight w:val="none"/>
        </w:rPr>
        <w:t>6</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4"/>
          <w:highlight w:val="none"/>
        </w:rPr>
        <w:t>响应文件</w:t>
      </w:r>
      <w:bookmarkEnd w:id="15"/>
      <w:bookmarkEnd w:id="16"/>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6.1响应文件的组成</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bookmarkStart w:id="17" w:name="_Hlk63272456"/>
      <w:r>
        <w:rPr>
          <w:rFonts w:hint="eastAsia" w:ascii="宋体" w:hAnsi="宋体" w:eastAsia="宋体" w:cs="宋体"/>
          <w:color w:val="auto"/>
          <w:sz w:val="21"/>
          <w:szCs w:val="24"/>
          <w:highlight w:val="none"/>
        </w:rPr>
        <w:t>（1）</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lang w:val="en-US" w:eastAsia="zh-CN"/>
        </w:rPr>
        <w:t>响应</w:t>
      </w:r>
      <w:r>
        <w:rPr>
          <w:rFonts w:hint="eastAsia" w:ascii="宋体" w:hAnsi="宋体" w:eastAsia="宋体" w:cs="宋体"/>
          <w:color w:val="auto"/>
          <w:sz w:val="21"/>
          <w:szCs w:val="24"/>
          <w:highlight w:val="none"/>
        </w:rPr>
        <w:t>函；</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lang w:eastAsia="zh-CN"/>
        </w:rPr>
      </w:pPr>
      <w:r>
        <w:rPr>
          <w:rFonts w:hint="eastAsia" w:ascii="宋体" w:hAnsi="宋体" w:eastAsia="宋体" w:cs="宋体"/>
          <w:color w:val="auto"/>
          <w:sz w:val="21"/>
          <w:szCs w:val="24"/>
          <w:highlight w:val="none"/>
        </w:rPr>
        <w:t>（2）</w:t>
      </w:r>
      <w:r>
        <w:rPr>
          <w:rFonts w:hint="eastAsia" w:ascii="宋体" w:hAnsi="宋体" w:eastAsia="宋体" w:cs="宋体"/>
          <w:color w:val="auto"/>
          <w:sz w:val="21"/>
          <w:szCs w:val="24"/>
          <w:highlight w:val="none"/>
          <w:lang w:val="en-US" w:eastAsia="zh-CN"/>
        </w:rPr>
        <w:t>报价</w:t>
      </w:r>
      <w:r>
        <w:rPr>
          <w:rFonts w:hint="eastAsia" w:ascii="宋体" w:hAnsi="宋体" w:eastAsia="宋体" w:cs="宋体"/>
          <w:color w:val="auto"/>
          <w:sz w:val="21"/>
          <w:szCs w:val="24"/>
          <w:highlight w:val="none"/>
        </w:rPr>
        <w:t>一览表</w:t>
      </w:r>
      <w:r>
        <w:rPr>
          <w:rFonts w:hint="eastAsia" w:ascii="宋体" w:hAnsi="宋体" w:eastAsia="宋体" w:cs="宋体"/>
          <w:color w:val="auto"/>
          <w:sz w:val="21"/>
          <w:szCs w:val="24"/>
          <w:highlight w:val="none"/>
          <w:lang w:eastAsia="zh-CN"/>
        </w:rPr>
        <w:t>；</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（3）法定代表人（自然人）身份证明</w:t>
      </w:r>
      <w:r>
        <w:rPr>
          <w:rFonts w:hint="eastAsia" w:ascii="宋体" w:hAnsi="宋体" w:eastAsia="宋体" w:cs="宋体"/>
          <w:color w:val="auto"/>
          <w:sz w:val="21"/>
          <w:szCs w:val="24"/>
          <w:highlight w:val="none"/>
          <w:lang w:val="en-US" w:eastAsia="zh-CN"/>
        </w:rPr>
        <w:t>或法定代表人</w:t>
      </w:r>
      <w:r>
        <w:rPr>
          <w:rFonts w:hint="eastAsia" w:ascii="宋体" w:hAnsi="宋体" w:eastAsia="宋体" w:cs="宋体"/>
          <w:color w:val="auto"/>
          <w:sz w:val="21"/>
          <w:szCs w:val="24"/>
          <w:highlight w:val="none"/>
        </w:rPr>
        <w:t>授权委托书；</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（4）资格证明文件；</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4"/>
          <w:highlight w:val="none"/>
        </w:rPr>
      </w:pPr>
      <w:r>
        <w:rPr>
          <w:rFonts w:hint="eastAsia" w:ascii="宋体" w:hAnsi="宋体" w:eastAsia="宋体" w:cs="宋体"/>
          <w:bCs/>
          <w:color w:val="auto"/>
          <w:sz w:val="21"/>
          <w:szCs w:val="24"/>
          <w:highlight w:val="none"/>
        </w:rPr>
        <w:t>（</w:t>
      </w:r>
      <w:r>
        <w:rPr>
          <w:rFonts w:hint="eastAsia" w:ascii="宋体" w:hAnsi="宋体" w:eastAsia="宋体" w:cs="宋体"/>
          <w:bCs/>
          <w:color w:val="auto"/>
          <w:sz w:val="21"/>
          <w:szCs w:val="24"/>
          <w:highlight w:val="none"/>
          <w:lang w:val="en-US" w:eastAsia="zh-CN"/>
        </w:rPr>
        <w:t>5</w:t>
      </w:r>
      <w:r>
        <w:rPr>
          <w:rFonts w:hint="eastAsia" w:ascii="宋体" w:hAnsi="宋体" w:eastAsia="宋体" w:cs="宋体"/>
          <w:bCs/>
          <w:color w:val="auto"/>
          <w:sz w:val="21"/>
          <w:szCs w:val="24"/>
          <w:highlight w:val="none"/>
        </w:rPr>
        <w:t>）商务部分；</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4"/>
          <w:highlight w:val="none"/>
        </w:rPr>
      </w:pPr>
      <w:r>
        <w:rPr>
          <w:rFonts w:hint="eastAsia" w:ascii="宋体" w:hAnsi="宋体" w:eastAsia="宋体" w:cs="宋体"/>
          <w:bCs/>
          <w:color w:val="auto"/>
          <w:sz w:val="21"/>
          <w:szCs w:val="24"/>
          <w:highlight w:val="none"/>
        </w:rPr>
        <w:t>（</w:t>
      </w:r>
      <w:r>
        <w:rPr>
          <w:rFonts w:hint="eastAsia" w:ascii="宋体" w:hAnsi="宋体" w:eastAsia="宋体" w:cs="宋体"/>
          <w:bCs/>
          <w:color w:val="auto"/>
          <w:sz w:val="21"/>
          <w:szCs w:val="24"/>
          <w:highlight w:val="none"/>
          <w:lang w:val="en-US" w:eastAsia="zh-CN"/>
        </w:rPr>
        <w:t>6</w:t>
      </w:r>
      <w:r>
        <w:rPr>
          <w:rFonts w:hint="eastAsia" w:ascii="宋体" w:hAnsi="宋体" w:eastAsia="宋体" w:cs="宋体"/>
          <w:bCs/>
          <w:color w:val="auto"/>
          <w:sz w:val="21"/>
          <w:szCs w:val="24"/>
          <w:highlight w:val="none"/>
        </w:rPr>
        <w:t>）技术部分；</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4"/>
          <w:highlight w:val="none"/>
        </w:rPr>
      </w:pPr>
      <w:r>
        <w:rPr>
          <w:rFonts w:hint="eastAsia" w:ascii="宋体" w:hAnsi="宋体" w:eastAsia="宋体" w:cs="宋体"/>
          <w:bCs/>
          <w:color w:val="auto"/>
          <w:sz w:val="21"/>
          <w:szCs w:val="24"/>
          <w:highlight w:val="none"/>
        </w:rPr>
        <w:t>（</w:t>
      </w:r>
      <w:r>
        <w:rPr>
          <w:rFonts w:hint="eastAsia" w:ascii="宋体" w:hAnsi="宋体" w:eastAsia="宋体" w:cs="宋体"/>
          <w:bCs/>
          <w:color w:val="auto"/>
          <w:sz w:val="21"/>
          <w:szCs w:val="24"/>
          <w:highlight w:val="none"/>
          <w:lang w:val="en-US" w:eastAsia="zh-CN"/>
        </w:rPr>
        <w:t>7</w:t>
      </w:r>
      <w:r>
        <w:rPr>
          <w:rFonts w:hint="eastAsia" w:ascii="宋体" w:hAnsi="宋体" w:eastAsia="宋体" w:cs="宋体"/>
          <w:bCs/>
          <w:color w:val="auto"/>
          <w:sz w:val="21"/>
          <w:szCs w:val="24"/>
          <w:highlight w:val="none"/>
        </w:rPr>
        <w:t>）其他材料</w:t>
      </w:r>
    </w:p>
    <w:bookmarkEnd w:id="17"/>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 xml:space="preserve"> 6.2响应文件编制要求</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（1）响应文件按6.1顺序组成，装订成册，</w:t>
      </w:r>
      <w:r>
        <w:rPr>
          <w:rFonts w:hint="eastAsia" w:ascii="宋体" w:hAnsi="宋体" w:eastAsia="宋体" w:cs="宋体"/>
          <w:b/>
          <w:color w:val="auto"/>
          <w:sz w:val="21"/>
          <w:szCs w:val="24"/>
          <w:highlight w:val="none"/>
        </w:rPr>
        <w:t>供应商应</w:t>
      </w:r>
      <w:bookmarkStart w:id="18" w:name="_Hlk74733354"/>
      <w:r>
        <w:rPr>
          <w:rFonts w:hint="eastAsia" w:ascii="宋体" w:hAnsi="宋体" w:eastAsia="宋体" w:cs="宋体"/>
          <w:b/>
          <w:color w:val="auto"/>
          <w:sz w:val="21"/>
          <w:szCs w:val="24"/>
          <w:highlight w:val="none"/>
        </w:rPr>
        <w:t>按标包分别制作响应文件</w:t>
      </w:r>
      <w:bookmarkEnd w:id="18"/>
      <w:r>
        <w:rPr>
          <w:rFonts w:hint="eastAsia" w:ascii="宋体" w:hAnsi="宋体" w:eastAsia="宋体" w:cs="宋体"/>
          <w:color w:val="auto"/>
          <w:sz w:val="21"/>
          <w:szCs w:val="24"/>
          <w:highlight w:val="none"/>
        </w:rPr>
        <w:t>。</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（2）</w:t>
      </w:r>
      <w:r>
        <w:rPr>
          <w:rFonts w:hint="eastAsia" w:ascii="宋体" w:hAnsi="宋体" w:eastAsia="宋体" w:cs="宋体"/>
          <w:sz w:val="21"/>
          <w:szCs w:val="24"/>
          <w:highlight w:val="none"/>
          <w:lang w:val="en-US" w:eastAsia="zh-CN"/>
        </w:rPr>
        <w:t>响应</w:t>
      </w:r>
      <w:r>
        <w:rPr>
          <w:rFonts w:hint="eastAsia" w:ascii="宋体" w:hAnsi="宋体" w:eastAsia="宋体" w:cs="宋体"/>
          <w:sz w:val="21"/>
          <w:szCs w:val="24"/>
          <w:highlight w:val="none"/>
        </w:rPr>
        <w:t>文件</w:t>
      </w:r>
      <w:r>
        <w:rPr>
          <w:rFonts w:hint="eastAsia" w:ascii="宋体" w:hAnsi="宋体" w:eastAsia="宋体" w:cs="宋体"/>
          <w:b/>
          <w:bCs/>
          <w:sz w:val="21"/>
          <w:szCs w:val="24"/>
          <w:highlight w:val="none"/>
        </w:rPr>
        <w:t>正本一份，副本</w:t>
      </w:r>
      <w:r>
        <w:rPr>
          <w:rFonts w:hint="eastAsia" w:ascii="宋体" w:hAnsi="宋体" w:eastAsia="宋体" w:cs="宋体"/>
          <w:b/>
          <w:bCs/>
          <w:sz w:val="21"/>
          <w:szCs w:val="24"/>
          <w:highlight w:val="none"/>
          <w:lang w:val="en-US" w:eastAsia="zh-CN"/>
        </w:rPr>
        <w:t>一</w:t>
      </w:r>
      <w:r>
        <w:rPr>
          <w:rFonts w:hint="eastAsia" w:ascii="宋体" w:hAnsi="宋体" w:eastAsia="宋体" w:cs="宋体"/>
          <w:b/>
          <w:bCs/>
          <w:sz w:val="21"/>
          <w:szCs w:val="24"/>
          <w:highlight w:val="none"/>
        </w:rPr>
        <w:t>份,电子</w:t>
      </w:r>
      <w:r>
        <w:rPr>
          <w:rFonts w:hint="eastAsia" w:ascii="宋体" w:hAnsi="宋体" w:eastAsia="宋体" w:cs="宋体"/>
          <w:b/>
          <w:bCs/>
          <w:sz w:val="21"/>
          <w:szCs w:val="24"/>
          <w:highlight w:val="none"/>
          <w:lang w:val="en-US" w:eastAsia="zh-CN"/>
        </w:rPr>
        <w:t>版（U盘）</w:t>
      </w:r>
      <w:r>
        <w:rPr>
          <w:rFonts w:hint="eastAsia" w:ascii="宋体" w:hAnsi="宋体" w:eastAsia="宋体" w:cs="宋体"/>
          <w:b/>
          <w:bCs/>
          <w:sz w:val="21"/>
          <w:szCs w:val="24"/>
          <w:highlight w:val="none"/>
        </w:rPr>
        <w:t>一份</w:t>
      </w:r>
      <w:r>
        <w:rPr>
          <w:rFonts w:hint="eastAsia" w:ascii="宋体" w:hAnsi="宋体" w:eastAsia="宋体" w:cs="宋体"/>
          <w:sz w:val="21"/>
          <w:szCs w:val="24"/>
          <w:highlight w:val="none"/>
        </w:rPr>
        <w:t>，如果正本与副本不符，以正本为准。</w:t>
      </w:r>
      <w:r>
        <w:rPr>
          <w:rFonts w:hint="eastAsia" w:ascii="宋体" w:hAnsi="宋体" w:eastAsia="宋体" w:cs="宋体"/>
          <w:color w:val="auto"/>
          <w:sz w:val="21"/>
          <w:szCs w:val="24"/>
          <w:highlight w:val="none"/>
        </w:rPr>
        <w:t>响应文件应字迹清楚、内容齐全、数字准确、不应有涂改增删处。如修改时，修改处须有法定代表人或授权代表签字</w:t>
      </w:r>
      <w:r>
        <w:rPr>
          <w:rFonts w:hint="eastAsia" w:ascii="宋体" w:hAnsi="宋体" w:eastAsia="宋体" w:cs="宋体"/>
          <w:color w:val="auto"/>
          <w:sz w:val="21"/>
          <w:szCs w:val="24"/>
          <w:highlight w:val="none"/>
          <w:lang w:val="en-US" w:eastAsia="zh-CN"/>
        </w:rPr>
        <w:t>并加盖供应商公章</w:t>
      </w:r>
      <w:r>
        <w:rPr>
          <w:rFonts w:hint="eastAsia" w:ascii="宋体" w:hAnsi="宋体" w:eastAsia="宋体" w:cs="宋体"/>
          <w:color w:val="auto"/>
          <w:sz w:val="21"/>
          <w:szCs w:val="24"/>
          <w:highlight w:val="none"/>
        </w:rPr>
        <w:t>。</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（3）响应文件必须用不褪色的墨水</w:t>
      </w:r>
      <w:r>
        <w:rPr>
          <w:rFonts w:hint="eastAsia" w:ascii="宋体" w:hAnsi="宋体" w:eastAsia="宋体" w:cs="宋体"/>
          <w:color w:val="auto"/>
          <w:sz w:val="21"/>
          <w:szCs w:val="24"/>
          <w:highlight w:val="none"/>
          <w:lang w:val="en-US" w:eastAsia="zh-CN"/>
        </w:rPr>
        <w:t>书</w:t>
      </w:r>
      <w:r>
        <w:rPr>
          <w:rFonts w:hint="eastAsia" w:ascii="宋体" w:hAnsi="宋体" w:eastAsia="宋体" w:cs="宋体"/>
          <w:color w:val="auto"/>
          <w:sz w:val="21"/>
          <w:szCs w:val="24"/>
          <w:highlight w:val="none"/>
        </w:rPr>
        <w:t>写或打印，</w:t>
      </w:r>
      <w:r>
        <w:rPr>
          <w:rFonts w:hint="eastAsia" w:ascii="宋体" w:hAnsi="宋体" w:eastAsia="宋体" w:cs="宋体"/>
          <w:color w:val="auto"/>
          <w:sz w:val="21"/>
          <w:szCs w:val="24"/>
          <w:highlight w:val="none"/>
          <w:lang w:val="en-US" w:eastAsia="zh-CN"/>
        </w:rPr>
        <w:t>不得复印，</w:t>
      </w:r>
      <w:r>
        <w:rPr>
          <w:rFonts w:hint="eastAsia" w:ascii="宋体" w:hAnsi="宋体" w:eastAsia="宋体" w:cs="宋体"/>
          <w:color w:val="auto"/>
          <w:sz w:val="21"/>
          <w:szCs w:val="24"/>
          <w:highlight w:val="none"/>
        </w:rPr>
        <w:t>并注明“正本”、“副本”字样。响应文件正</w:t>
      </w:r>
      <w:r>
        <w:rPr>
          <w:rFonts w:hint="eastAsia" w:ascii="宋体" w:hAnsi="宋体" w:eastAsia="宋体" w:cs="宋体"/>
          <w:color w:val="auto"/>
          <w:sz w:val="21"/>
          <w:szCs w:val="24"/>
          <w:highlight w:val="none"/>
          <w:lang w:eastAsia="zh-CN"/>
        </w:rPr>
        <w:t>、</w:t>
      </w:r>
      <w:r>
        <w:rPr>
          <w:rFonts w:hint="eastAsia" w:ascii="宋体" w:hAnsi="宋体" w:eastAsia="宋体" w:cs="宋体"/>
          <w:color w:val="auto"/>
          <w:sz w:val="21"/>
          <w:szCs w:val="24"/>
          <w:highlight w:val="none"/>
        </w:rPr>
        <w:t>副本均须采用A4纸装订成册，不得出现散页、重页、掉页现象。</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（4）响应文件</w:t>
      </w:r>
      <w:r>
        <w:rPr>
          <w:rFonts w:hint="eastAsia" w:eastAsia="宋体" w:cs="宋体"/>
          <w:color w:val="auto"/>
          <w:sz w:val="21"/>
          <w:szCs w:val="24"/>
          <w:highlight w:val="none"/>
          <w:lang w:eastAsia="zh-CN"/>
        </w:rPr>
        <w:t>需逐页加盖公章并</w:t>
      </w:r>
      <w:r>
        <w:rPr>
          <w:rFonts w:hint="eastAsia" w:ascii="宋体" w:hAnsi="宋体" w:eastAsia="宋体" w:cs="宋体"/>
          <w:color w:val="auto"/>
          <w:sz w:val="21"/>
          <w:szCs w:val="24"/>
          <w:highlight w:val="none"/>
        </w:rPr>
        <w:t>在需要签字处签字</w:t>
      </w:r>
      <w:r>
        <w:rPr>
          <w:rFonts w:hint="eastAsia" w:eastAsia="宋体" w:cs="宋体"/>
          <w:color w:val="auto"/>
          <w:sz w:val="21"/>
          <w:szCs w:val="24"/>
          <w:highlight w:val="none"/>
          <w:lang w:eastAsia="zh-CN"/>
        </w:rPr>
        <w:t>和</w:t>
      </w:r>
      <w:r>
        <w:rPr>
          <w:rFonts w:hint="eastAsia" w:ascii="宋体" w:hAnsi="宋体" w:eastAsia="宋体" w:cs="宋体"/>
          <w:color w:val="auto"/>
          <w:sz w:val="21"/>
          <w:szCs w:val="24"/>
          <w:highlight w:val="none"/>
        </w:rPr>
        <w:t>加盖公章处加盖供应商红色公章。</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5）供应商在提交响应文件截止时间前，可以对所提交的响应文件进行补充、修改或者撤回，并书面通知采购人、采购代理机构。补充、修改的内容作为响应文件的组成部分。补充、修改的内容与响应文件不一致的，以补充、修改的内容为准。</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6.</w:t>
      </w:r>
      <w:r>
        <w:rPr>
          <w:rFonts w:hint="eastAsia" w:ascii="宋体" w:hAnsi="宋体" w:eastAsia="宋体" w:cs="宋体"/>
          <w:color w:val="auto"/>
          <w:sz w:val="21"/>
          <w:szCs w:val="24"/>
          <w:highlight w:val="none"/>
          <w:lang w:val="en-US" w:eastAsia="zh-CN"/>
        </w:rPr>
        <w:t>3</w:t>
      </w:r>
      <w:r>
        <w:rPr>
          <w:rFonts w:hint="eastAsia" w:ascii="宋体" w:hAnsi="宋体" w:eastAsia="宋体" w:cs="宋体"/>
          <w:b w:val="0"/>
          <w:bCs/>
          <w:color w:val="auto"/>
          <w:sz w:val="21"/>
          <w:szCs w:val="24"/>
          <w:highlight w:val="none"/>
          <w:lang w:eastAsia="zh-CN"/>
        </w:rPr>
        <w:t>谈判</w:t>
      </w:r>
      <w:r>
        <w:rPr>
          <w:rFonts w:hint="eastAsia" w:ascii="宋体" w:hAnsi="宋体" w:eastAsia="宋体" w:cs="宋体"/>
          <w:b w:val="0"/>
          <w:bCs/>
          <w:color w:val="auto"/>
          <w:sz w:val="21"/>
          <w:szCs w:val="24"/>
          <w:highlight w:val="none"/>
        </w:rPr>
        <w:t>时提供的资格证明文件应包括：</w:t>
      </w:r>
    </w:p>
    <w:p>
      <w:pPr>
        <w:keepLines w:val="0"/>
        <w:pageBreakBefore w:val="0"/>
        <w:widowControl w:val="0"/>
        <w:kinsoku/>
        <w:overflowPunct/>
        <w:topLinePunct w:val="0"/>
        <w:bidi w:val="0"/>
        <w:adjustRightInd/>
        <w:snapToGrid/>
        <w:spacing w:line="360" w:lineRule="auto"/>
        <w:ind w:firstLine="420" w:firstLineChars="200"/>
        <w:textAlignment w:val="auto"/>
        <w:outlineLvl w:val="9"/>
        <w:rPr>
          <w:rFonts w:hint="eastAsia" w:ascii="宋体" w:hAnsi="宋体" w:eastAsia="宋体" w:cs="宋体"/>
          <w:b w:val="0"/>
          <w:color w:val="auto"/>
          <w:sz w:val="21"/>
          <w:szCs w:val="21"/>
          <w:highlight w:val="none"/>
          <w:lang w:val="en-US" w:eastAsia="zh-CN"/>
        </w:rPr>
      </w:pPr>
      <w:r>
        <w:rPr>
          <w:rFonts w:hint="eastAsia" w:ascii="宋体" w:hAnsi="宋体" w:eastAsia="宋体" w:cs="宋体"/>
          <w:b w:val="0"/>
          <w:color w:val="auto"/>
          <w:sz w:val="21"/>
          <w:szCs w:val="21"/>
          <w:highlight w:val="none"/>
          <w:lang w:val="en-US" w:eastAsia="zh-CN"/>
        </w:rPr>
        <w:t>第一部分 竞争性谈判公告 第</w:t>
      </w:r>
      <w:r>
        <w:rPr>
          <w:rFonts w:hint="eastAsia" w:ascii="宋体" w:hAnsi="宋体" w:eastAsia="宋体" w:cs="宋体"/>
          <w:b w:val="0"/>
          <w:color w:val="auto"/>
          <w:sz w:val="21"/>
          <w:szCs w:val="21"/>
          <w:highlight w:val="none"/>
        </w:rPr>
        <w:t>二</w:t>
      </w:r>
      <w:r>
        <w:rPr>
          <w:rFonts w:hint="eastAsia" w:ascii="宋体" w:hAnsi="宋体" w:eastAsia="宋体" w:cs="宋体"/>
          <w:b w:val="0"/>
          <w:color w:val="auto"/>
          <w:sz w:val="21"/>
          <w:szCs w:val="21"/>
          <w:highlight w:val="none"/>
          <w:lang w:val="en-US" w:eastAsia="zh-CN"/>
        </w:rPr>
        <w:t xml:space="preserve">条 </w:t>
      </w:r>
      <w:r>
        <w:rPr>
          <w:rFonts w:hint="eastAsia" w:ascii="宋体" w:hAnsi="宋体" w:eastAsia="宋体" w:cs="宋体"/>
          <w:b w:val="0"/>
          <w:color w:val="auto"/>
          <w:sz w:val="21"/>
          <w:szCs w:val="21"/>
          <w:highlight w:val="none"/>
          <w:lang w:eastAsia="zh-CN"/>
        </w:rPr>
        <w:t>申请人的资格要求</w:t>
      </w:r>
      <w:r>
        <w:rPr>
          <w:rFonts w:hint="eastAsia" w:ascii="宋体" w:hAnsi="宋体" w:eastAsia="宋体" w:cs="宋体"/>
          <w:b w:val="0"/>
          <w:color w:val="auto"/>
          <w:sz w:val="21"/>
          <w:szCs w:val="21"/>
          <w:highlight w:val="none"/>
          <w:lang w:val="en-US" w:eastAsia="zh-CN"/>
        </w:rPr>
        <w:t>的内容</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以上资格证明材</w:t>
      </w:r>
      <w:r>
        <w:rPr>
          <w:rFonts w:hint="eastAsia" w:ascii="宋体" w:hAnsi="宋体" w:eastAsia="宋体" w:cs="宋体"/>
          <w:color w:val="000000" w:themeColor="text1"/>
          <w:szCs w:val="24"/>
          <w:highlight w:val="none"/>
          <w14:textFill>
            <w14:solidFill>
              <w14:schemeClr w14:val="tx1"/>
            </w14:solidFill>
          </w14:textFill>
        </w:rPr>
        <w:t>料需</w:t>
      </w:r>
      <w:r>
        <w:rPr>
          <w:rFonts w:hint="eastAsia" w:ascii="宋体" w:hAnsi="宋体" w:eastAsia="宋体" w:cs="宋体"/>
          <w:color w:val="000000" w:themeColor="text1"/>
          <w:szCs w:val="24"/>
          <w:highlight w:val="none"/>
          <w:lang w:eastAsia="zh-CN"/>
          <w14:textFill>
            <w14:solidFill>
              <w14:schemeClr w14:val="tx1"/>
            </w14:solidFill>
          </w14:textFill>
        </w:rPr>
        <w:t>在</w:t>
      </w:r>
      <w:r>
        <w:rPr>
          <w:rFonts w:hint="eastAsia" w:ascii="宋体" w:hAnsi="宋体" w:eastAsia="宋体" w:cs="宋体"/>
          <w:color w:val="000000" w:themeColor="text1"/>
          <w:szCs w:val="24"/>
          <w:highlight w:val="none"/>
          <w:lang w:val="en-US" w:eastAsia="zh-CN"/>
          <w14:textFill>
            <w14:solidFill>
              <w14:schemeClr w14:val="tx1"/>
            </w14:solidFill>
          </w14:textFill>
        </w:rPr>
        <w:t>响应文件中提</w:t>
      </w:r>
      <w:r>
        <w:rPr>
          <w:rFonts w:hint="eastAsia" w:ascii="宋体" w:hAnsi="宋体" w:eastAsia="宋体" w:cs="宋体"/>
          <w:color w:val="auto"/>
          <w:szCs w:val="24"/>
          <w:highlight w:val="none"/>
          <w:lang w:val="en-US" w:eastAsia="zh-CN"/>
        </w:rPr>
        <w:t>供</w:t>
      </w:r>
      <w:r>
        <w:rPr>
          <w:rFonts w:hint="eastAsia" w:ascii="宋体" w:hAnsi="宋体" w:eastAsia="宋体" w:cs="宋体"/>
          <w:b/>
          <w:color w:val="auto"/>
          <w:szCs w:val="24"/>
          <w:highlight w:val="none"/>
        </w:rPr>
        <w:t>清晰、可见</w:t>
      </w:r>
      <w:r>
        <w:rPr>
          <w:rFonts w:hint="eastAsia" w:ascii="宋体" w:hAnsi="宋体" w:eastAsia="宋体" w:cs="宋体"/>
          <w:b/>
          <w:color w:val="auto"/>
          <w:szCs w:val="24"/>
          <w:highlight w:val="none"/>
          <w:lang w:eastAsia="zh-CN"/>
        </w:rPr>
        <w:t>，</w:t>
      </w:r>
      <w:r>
        <w:rPr>
          <w:rFonts w:hint="eastAsia" w:ascii="宋体" w:hAnsi="宋体" w:eastAsia="宋体" w:cs="宋体"/>
          <w:b/>
          <w:color w:val="auto"/>
          <w:szCs w:val="24"/>
          <w:highlight w:val="none"/>
        </w:rPr>
        <w:t>加盖公章的复印件或原件</w:t>
      </w:r>
      <w:r>
        <w:rPr>
          <w:rFonts w:hint="eastAsia" w:ascii="宋体" w:hAnsi="宋体" w:eastAsia="宋体" w:cs="宋体"/>
          <w:b/>
          <w:color w:val="auto"/>
          <w:szCs w:val="24"/>
          <w:highlight w:val="none"/>
          <w:lang w:val="en-US" w:eastAsia="zh-CN"/>
        </w:rPr>
        <w:t>以便采购人进行资格审查</w:t>
      </w:r>
      <w:r>
        <w:rPr>
          <w:rFonts w:hint="eastAsia" w:ascii="宋体" w:hAnsi="宋体" w:eastAsia="宋体" w:cs="宋体"/>
          <w:color w:val="auto"/>
          <w:szCs w:val="24"/>
          <w:highlight w:val="none"/>
        </w:rPr>
        <w:t>，</w:t>
      </w:r>
      <w:r>
        <w:rPr>
          <w:rFonts w:hint="eastAsia" w:ascii="宋体" w:hAnsi="宋体" w:eastAsia="宋体" w:cs="宋体"/>
          <w:b/>
          <w:color w:val="auto"/>
          <w:szCs w:val="24"/>
          <w:highlight w:val="none"/>
          <w:lang w:val="en-US" w:eastAsia="zh-CN"/>
        </w:rPr>
        <w:t>若材料</w:t>
      </w:r>
      <w:r>
        <w:rPr>
          <w:rFonts w:hint="eastAsia" w:ascii="宋体" w:hAnsi="宋体" w:eastAsia="宋体" w:cs="宋体"/>
          <w:b/>
          <w:color w:val="auto"/>
          <w:szCs w:val="24"/>
          <w:highlight w:val="none"/>
        </w:rPr>
        <w:t>内容模糊不清造成对供应商不利的</w:t>
      </w:r>
      <w:r>
        <w:rPr>
          <w:rFonts w:hint="eastAsia" w:ascii="宋体" w:hAnsi="宋体" w:eastAsia="宋体" w:cs="宋体"/>
          <w:b/>
          <w:color w:val="auto"/>
          <w:szCs w:val="24"/>
          <w:highlight w:val="none"/>
          <w:lang w:val="en-US" w:eastAsia="zh-CN"/>
        </w:rPr>
        <w:t>后果</w:t>
      </w:r>
      <w:r>
        <w:rPr>
          <w:rFonts w:hint="eastAsia" w:ascii="宋体" w:hAnsi="宋体" w:eastAsia="宋体" w:cs="宋体"/>
          <w:b/>
          <w:color w:val="auto"/>
          <w:szCs w:val="24"/>
          <w:highlight w:val="none"/>
        </w:rPr>
        <w:t>由供应商自负</w:t>
      </w:r>
      <w:r>
        <w:rPr>
          <w:rFonts w:hint="eastAsia" w:ascii="宋体" w:hAnsi="宋体" w:eastAsia="宋体" w:cs="宋体"/>
          <w:color w:val="auto"/>
          <w:szCs w:val="24"/>
          <w:highlight w:val="none"/>
        </w:rPr>
        <w:t>，若供应商资格证明</w:t>
      </w:r>
      <w:r>
        <w:rPr>
          <w:rFonts w:hint="eastAsia" w:ascii="宋体" w:hAnsi="宋体" w:eastAsia="宋体" w:cs="宋体"/>
          <w:color w:val="auto"/>
          <w:szCs w:val="24"/>
          <w:highlight w:val="none"/>
          <w:lang w:val="en-US" w:eastAsia="zh-CN"/>
        </w:rPr>
        <w:t>材料</w:t>
      </w:r>
      <w:r>
        <w:rPr>
          <w:rFonts w:hint="eastAsia" w:ascii="宋体" w:hAnsi="宋体" w:eastAsia="宋体" w:cs="宋体"/>
          <w:color w:val="auto"/>
          <w:szCs w:val="24"/>
          <w:highlight w:val="none"/>
        </w:rPr>
        <w:t>不符合要求，将按无效响应处理，不进入下一评审环节。</w:t>
      </w:r>
    </w:p>
    <w:p>
      <w:pPr>
        <w:pStyle w:val="17"/>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4"/>
          <w:highlight w:val="none"/>
        </w:rPr>
      </w:pPr>
      <w:bookmarkStart w:id="19" w:name="_Toc75259342"/>
      <w:bookmarkStart w:id="20" w:name="_Toc23455"/>
      <w:r>
        <w:rPr>
          <w:rFonts w:hint="eastAsia" w:ascii="宋体" w:hAnsi="宋体" w:eastAsia="宋体" w:cs="宋体"/>
          <w:b/>
          <w:color w:val="auto"/>
          <w:sz w:val="21"/>
          <w:szCs w:val="24"/>
          <w:highlight w:val="none"/>
        </w:rPr>
        <w:t>7</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4"/>
          <w:highlight w:val="none"/>
          <w:lang w:eastAsia="zh-CN"/>
        </w:rPr>
        <w:t>谈判</w:t>
      </w:r>
      <w:r>
        <w:rPr>
          <w:rFonts w:hint="eastAsia" w:ascii="宋体" w:hAnsi="宋体" w:eastAsia="宋体" w:cs="宋体"/>
          <w:b/>
          <w:color w:val="auto"/>
          <w:sz w:val="21"/>
          <w:szCs w:val="24"/>
          <w:highlight w:val="none"/>
        </w:rPr>
        <w:t>保证金</w:t>
      </w:r>
      <w:bookmarkEnd w:id="19"/>
      <w:bookmarkEnd w:id="2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highlight w:val="none"/>
        </w:rPr>
      </w:pPr>
      <w:r>
        <w:rPr>
          <w:rFonts w:hint="eastAsia" w:ascii="宋体" w:hAnsi="宋体" w:eastAsia="宋体" w:cs="宋体"/>
          <w:color w:val="auto"/>
          <w:kern w:val="0"/>
          <w:highlight w:val="none"/>
        </w:rPr>
        <w:t xml:space="preserve">7.1 </w:t>
      </w:r>
      <w:r>
        <w:rPr>
          <w:rFonts w:hint="eastAsia" w:ascii="宋体" w:hAnsi="宋体" w:eastAsia="宋体" w:cs="宋体"/>
          <w:color w:val="auto"/>
          <w:highlight w:val="none"/>
          <w:lang w:eastAsia="zh-CN"/>
        </w:rPr>
        <w:t>谈判</w:t>
      </w:r>
      <w:r>
        <w:rPr>
          <w:rFonts w:hint="eastAsia" w:ascii="宋体" w:hAnsi="宋体" w:eastAsia="宋体" w:cs="宋体"/>
          <w:color w:val="auto"/>
          <w:highlight w:val="none"/>
        </w:rPr>
        <w:t>保证金金额：</w:t>
      </w:r>
      <w:r>
        <w:rPr>
          <w:rFonts w:hint="eastAsia" w:ascii="宋体" w:hAnsi="宋体" w:eastAsia="宋体" w:cs="宋体"/>
          <w:color w:val="auto"/>
          <w:highlight w:val="none"/>
          <w:lang w:val="en-US" w:eastAsia="zh-CN"/>
        </w:rPr>
        <w:t>壹万元整</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10,000.00元</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7.2 </w:t>
      </w:r>
      <w:r>
        <w:rPr>
          <w:rFonts w:hint="eastAsia" w:ascii="宋体" w:hAnsi="宋体" w:eastAsia="宋体" w:cs="宋体"/>
          <w:color w:val="auto"/>
          <w:kern w:val="0"/>
          <w:highlight w:val="none"/>
          <w:lang w:eastAsia="zh-CN"/>
        </w:rPr>
        <w:t>谈判</w:t>
      </w:r>
      <w:r>
        <w:rPr>
          <w:rFonts w:hint="eastAsia" w:ascii="宋体" w:hAnsi="宋体" w:eastAsia="宋体" w:cs="宋体"/>
          <w:color w:val="auto"/>
          <w:kern w:val="0"/>
          <w:highlight w:val="none"/>
        </w:rPr>
        <w:t>保证金</w:t>
      </w:r>
      <w:r>
        <w:rPr>
          <w:rFonts w:hint="eastAsia" w:ascii="宋体" w:hAnsi="宋体" w:eastAsia="宋体" w:cs="宋体"/>
          <w:color w:val="auto"/>
          <w:kern w:val="0"/>
          <w:highlight w:val="none"/>
          <w:lang w:val="en-US" w:eastAsia="zh-CN"/>
        </w:rPr>
        <w:t>缴纳方式</w:t>
      </w:r>
      <w:r>
        <w:rPr>
          <w:rFonts w:hint="eastAsia" w:ascii="宋体" w:hAnsi="宋体" w:eastAsia="宋体" w:cs="宋体"/>
          <w:color w:val="auto"/>
          <w:kern w:val="0"/>
          <w:highlight w:val="none"/>
        </w:rPr>
        <w:t>：支票、汇票、本票或者金融机构、担保机构出具的保函等非现金形式提交。除保函外，其他形式提交的</w:t>
      </w:r>
      <w:r>
        <w:rPr>
          <w:rFonts w:hint="eastAsia" w:ascii="宋体" w:hAnsi="宋体" w:eastAsia="宋体" w:cs="宋体"/>
          <w:color w:val="auto"/>
          <w:kern w:val="0"/>
          <w:highlight w:val="none"/>
          <w:lang w:eastAsia="zh-CN"/>
        </w:rPr>
        <w:t>谈判</w:t>
      </w:r>
      <w:r>
        <w:rPr>
          <w:rFonts w:hint="eastAsia" w:ascii="宋体" w:hAnsi="宋体" w:eastAsia="宋体" w:cs="宋体"/>
          <w:color w:val="auto"/>
          <w:kern w:val="0"/>
          <w:highlight w:val="none"/>
        </w:rPr>
        <w:t>保证金应从供应商</w:t>
      </w:r>
      <w:r>
        <w:rPr>
          <w:rFonts w:hint="eastAsia" w:ascii="宋体" w:hAnsi="宋体" w:eastAsia="宋体" w:cs="宋体"/>
          <w:b/>
          <w:color w:val="auto"/>
          <w:kern w:val="0"/>
          <w:highlight w:val="none"/>
        </w:rPr>
        <w:t>账户</w:t>
      </w:r>
      <w:r>
        <w:rPr>
          <w:rFonts w:hint="eastAsia" w:ascii="宋体" w:hAnsi="宋体" w:eastAsia="宋体" w:cs="宋体"/>
          <w:color w:val="auto"/>
          <w:kern w:val="0"/>
          <w:highlight w:val="none"/>
        </w:rPr>
        <w:t>转出，供应商须将</w:t>
      </w:r>
      <w:r>
        <w:rPr>
          <w:rFonts w:hint="eastAsia" w:ascii="宋体" w:hAnsi="宋体" w:eastAsia="宋体" w:cs="宋体"/>
          <w:color w:val="auto"/>
          <w:kern w:val="0"/>
          <w:highlight w:val="none"/>
          <w:lang w:val="en-US" w:eastAsia="zh-CN"/>
        </w:rPr>
        <w:t>缴</w:t>
      </w:r>
      <w:r>
        <w:rPr>
          <w:rFonts w:hint="eastAsia" w:ascii="宋体" w:hAnsi="宋体" w:eastAsia="宋体" w:cs="宋体"/>
          <w:color w:val="auto"/>
          <w:kern w:val="0"/>
          <w:highlight w:val="none"/>
        </w:rPr>
        <w:t>款凭证复印件（电汇或转账回单）装订在响应文件中，以银行保函方式递交保证金的，出具保函的银行须为其基本账户开户银行（若其账户开户银行没有出具保函的权限，可由该银行的上一级银行出具保函，并做出相应说明）。</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color w:val="auto"/>
          <w:kern w:val="0"/>
          <w:highlight w:val="none"/>
        </w:rPr>
      </w:pPr>
      <w:r>
        <w:rPr>
          <w:rFonts w:hint="eastAsia" w:ascii="宋体" w:hAnsi="宋体" w:eastAsia="宋体" w:cs="宋体"/>
          <w:b/>
          <w:bCs/>
          <w:color w:val="auto"/>
          <w:kern w:val="0"/>
          <w:highlight w:val="none"/>
          <w:lang w:val="en-US" w:eastAsia="zh-CN"/>
        </w:rPr>
        <w:t>注：若谈判</w:t>
      </w:r>
      <w:r>
        <w:rPr>
          <w:rFonts w:hint="eastAsia" w:ascii="宋体" w:hAnsi="宋体" w:eastAsia="宋体" w:cs="宋体"/>
          <w:b/>
          <w:bCs/>
          <w:color w:val="auto"/>
          <w:kern w:val="0"/>
          <w:highlight w:val="none"/>
        </w:rPr>
        <w:t>保证金从供应商账户转出</w:t>
      </w:r>
      <w:r>
        <w:rPr>
          <w:rFonts w:hint="eastAsia" w:ascii="宋体" w:hAnsi="宋体" w:eastAsia="宋体" w:cs="宋体"/>
          <w:b/>
          <w:bCs/>
          <w:color w:val="auto"/>
          <w:kern w:val="0"/>
          <w:highlight w:val="none"/>
          <w:lang w:eastAsia="zh-CN"/>
        </w:rPr>
        <w:t>，</w:t>
      </w:r>
      <w:r>
        <w:rPr>
          <w:rFonts w:hint="eastAsia" w:ascii="宋体" w:hAnsi="宋体" w:eastAsia="宋体" w:cs="宋体"/>
          <w:b/>
          <w:bCs/>
          <w:color w:val="auto"/>
          <w:kern w:val="0"/>
          <w:highlight w:val="none"/>
          <w:lang w:val="en-US" w:eastAsia="zh-CN"/>
        </w:rPr>
        <w:t>应注明“项目编号”</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7.3 </w:t>
      </w:r>
      <w:r>
        <w:rPr>
          <w:rFonts w:hint="eastAsia" w:ascii="宋体" w:hAnsi="宋体" w:eastAsia="宋体" w:cs="宋体"/>
          <w:color w:val="auto"/>
          <w:kern w:val="0"/>
          <w:highlight w:val="none"/>
          <w:lang w:eastAsia="zh-CN"/>
        </w:rPr>
        <w:t>谈判</w:t>
      </w:r>
      <w:r>
        <w:rPr>
          <w:rFonts w:hint="eastAsia" w:ascii="宋体" w:hAnsi="宋体" w:eastAsia="宋体" w:cs="宋体"/>
          <w:color w:val="auto"/>
          <w:kern w:val="0"/>
          <w:highlight w:val="none"/>
        </w:rPr>
        <w:t>保证金缴纳账户信息：</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rPr>
        <w:t>收款单位：</w:t>
      </w:r>
      <w:r>
        <w:rPr>
          <w:rFonts w:hint="eastAsia" w:ascii="宋体" w:hAnsi="宋体" w:eastAsia="宋体" w:cs="宋体"/>
          <w:b/>
          <w:color w:val="auto"/>
          <w:kern w:val="0"/>
          <w:highlight w:val="none"/>
          <w:lang w:val="en-US" w:eastAsia="zh-CN"/>
        </w:rPr>
        <w:t>陕西楚元项目管理有限公司</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color w:val="auto"/>
          <w:kern w:val="0"/>
          <w:highlight w:val="none"/>
          <w:lang w:val="en-US" w:eastAsia="zh-CN"/>
        </w:rPr>
      </w:pPr>
      <w:r>
        <w:rPr>
          <w:rFonts w:hint="eastAsia" w:ascii="宋体" w:hAnsi="宋体" w:eastAsia="宋体" w:cs="宋体"/>
          <w:b/>
          <w:color w:val="auto"/>
          <w:kern w:val="0"/>
          <w:highlight w:val="none"/>
          <w:lang w:val="en-US" w:eastAsia="zh-CN"/>
        </w:rPr>
        <w:t>开户行名称：西安银行股份有限公司延安分行</w:t>
      </w:r>
    </w:p>
    <w:p>
      <w:pPr>
        <w:keepNext w:val="0"/>
        <w:keepLines w:val="0"/>
        <w:pageBreakBefore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color w:val="auto"/>
          <w:kern w:val="0"/>
          <w:highlight w:val="none"/>
          <w:lang w:val="en-US" w:eastAsia="zh-CN"/>
        </w:rPr>
      </w:pPr>
      <w:r>
        <w:rPr>
          <w:rFonts w:hint="eastAsia" w:ascii="宋体" w:hAnsi="宋体" w:eastAsia="宋体" w:cs="宋体"/>
          <w:b/>
          <w:color w:val="auto"/>
          <w:kern w:val="0"/>
          <w:highlight w:val="none"/>
          <w:lang w:val="en-US" w:eastAsia="zh-CN"/>
        </w:rPr>
        <w:t>账      号：371011510000019626</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7.4 供应商不按要求提交</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保证金的，按无效</w:t>
      </w:r>
      <w:r>
        <w:rPr>
          <w:rFonts w:hint="eastAsia" w:ascii="宋体" w:hAnsi="宋体" w:eastAsia="宋体" w:cs="宋体"/>
          <w:color w:val="auto"/>
          <w:sz w:val="21"/>
          <w:szCs w:val="24"/>
          <w:highlight w:val="none"/>
          <w:lang w:val="en-US" w:eastAsia="zh-CN"/>
        </w:rPr>
        <w:t>响应</w:t>
      </w:r>
      <w:r>
        <w:rPr>
          <w:rFonts w:hint="eastAsia" w:ascii="宋体" w:hAnsi="宋体" w:eastAsia="宋体" w:cs="宋体"/>
          <w:color w:val="auto"/>
          <w:sz w:val="21"/>
          <w:szCs w:val="24"/>
          <w:highlight w:val="none"/>
        </w:rPr>
        <w:t>处理。</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7.5 自成交通知书发出之日起5个工作日内退还未成交供应商的</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保证金，自政府采购合同签订之日起5个工作日内退还成交供应商的</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保证金。</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7.6 有下列情形之一的，</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保证金将不予退还：</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（1）供应商在提交响应文件截止时间后撤回响应文件的；</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（2）供应商在响应文件中提供虚假材料的；</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lang w:eastAsia="zh-CN"/>
        </w:rPr>
      </w:pPr>
      <w:r>
        <w:rPr>
          <w:rFonts w:hint="eastAsia" w:ascii="宋体" w:hAnsi="宋体" w:eastAsia="宋体" w:cs="宋体"/>
          <w:color w:val="auto"/>
          <w:sz w:val="21"/>
          <w:szCs w:val="24"/>
          <w:highlight w:val="none"/>
          <w:lang w:eastAsia="zh-CN"/>
        </w:rPr>
        <w:t>（</w:t>
      </w:r>
      <w:r>
        <w:rPr>
          <w:rFonts w:hint="eastAsia" w:ascii="宋体" w:hAnsi="宋体" w:eastAsia="宋体" w:cs="宋体"/>
          <w:color w:val="auto"/>
          <w:sz w:val="21"/>
          <w:szCs w:val="24"/>
          <w:highlight w:val="none"/>
          <w:lang w:val="en-US" w:eastAsia="zh-CN"/>
        </w:rPr>
        <w:t>3</w:t>
      </w:r>
      <w:r>
        <w:rPr>
          <w:rFonts w:hint="eastAsia" w:ascii="宋体" w:hAnsi="宋体" w:eastAsia="宋体" w:cs="宋体"/>
          <w:color w:val="auto"/>
          <w:sz w:val="21"/>
          <w:szCs w:val="24"/>
          <w:highlight w:val="none"/>
          <w:lang w:eastAsia="zh-CN"/>
        </w:rPr>
        <w:t>）成交供应商不与采购人签订合同的，除因不可抗力或</w:t>
      </w:r>
      <w:r>
        <w:rPr>
          <w:rFonts w:hint="eastAsia" w:ascii="宋体" w:hAnsi="宋体" w:eastAsia="宋体" w:cs="宋体"/>
          <w:color w:val="auto"/>
          <w:sz w:val="21"/>
          <w:szCs w:val="24"/>
          <w:highlight w:val="none"/>
          <w:lang w:val="en-US" w:eastAsia="zh-CN"/>
        </w:rPr>
        <w:t>采购文件</w:t>
      </w:r>
      <w:r>
        <w:rPr>
          <w:rFonts w:hint="eastAsia" w:ascii="宋体" w:hAnsi="宋体" w:eastAsia="宋体" w:cs="宋体"/>
          <w:color w:val="auto"/>
          <w:sz w:val="21"/>
          <w:szCs w:val="24"/>
          <w:highlight w:val="none"/>
          <w:lang w:eastAsia="zh-CN"/>
        </w:rPr>
        <w:t>认可的情形以外；</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lang w:eastAsia="zh-CN"/>
        </w:rPr>
      </w:pPr>
      <w:r>
        <w:rPr>
          <w:rFonts w:hint="eastAsia" w:ascii="宋体" w:hAnsi="宋体" w:eastAsia="宋体" w:cs="宋体"/>
          <w:color w:val="auto"/>
          <w:sz w:val="21"/>
          <w:szCs w:val="24"/>
          <w:highlight w:val="none"/>
          <w:lang w:eastAsia="zh-CN"/>
        </w:rPr>
        <w:t>（</w:t>
      </w:r>
      <w:r>
        <w:rPr>
          <w:rFonts w:hint="eastAsia" w:ascii="宋体" w:hAnsi="宋体" w:eastAsia="宋体" w:cs="宋体"/>
          <w:color w:val="auto"/>
          <w:sz w:val="21"/>
          <w:szCs w:val="24"/>
          <w:highlight w:val="none"/>
          <w:lang w:val="en-US" w:eastAsia="zh-CN"/>
        </w:rPr>
        <w:t>4</w:t>
      </w:r>
      <w:r>
        <w:rPr>
          <w:rFonts w:hint="eastAsia" w:ascii="宋体" w:hAnsi="宋体" w:eastAsia="宋体" w:cs="宋体"/>
          <w:color w:val="auto"/>
          <w:sz w:val="21"/>
          <w:szCs w:val="24"/>
          <w:highlight w:val="none"/>
          <w:lang w:eastAsia="zh-CN"/>
        </w:rPr>
        <w:t>）供应商与采购人、其他供应商或者采购代理机构恶意串通的；</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w:t>
      </w:r>
      <w:r>
        <w:rPr>
          <w:rFonts w:hint="eastAsia" w:ascii="宋体" w:hAnsi="宋体" w:eastAsia="宋体" w:cs="宋体"/>
          <w:color w:val="auto"/>
          <w:sz w:val="21"/>
          <w:szCs w:val="24"/>
          <w:highlight w:val="none"/>
          <w:lang w:val="en-US" w:eastAsia="zh-CN"/>
        </w:rPr>
        <w:t>5</w:t>
      </w:r>
      <w:r>
        <w:rPr>
          <w:rFonts w:hint="eastAsia" w:ascii="宋体" w:hAnsi="宋体" w:eastAsia="宋体" w:cs="宋体"/>
          <w:color w:val="auto"/>
          <w:sz w:val="21"/>
          <w:szCs w:val="24"/>
          <w:highlight w:val="none"/>
        </w:rPr>
        <w:t>）未按</w:t>
      </w:r>
      <w:r>
        <w:rPr>
          <w:rFonts w:hint="eastAsia" w:ascii="宋体" w:hAnsi="宋体" w:eastAsia="宋体" w:cs="宋体"/>
          <w:color w:val="auto"/>
          <w:sz w:val="21"/>
          <w:szCs w:val="24"/>
          <w:highlight w:val="none"/>
          <w:lang w:val="en-US" w:eastAsia="zh-CN"/>
        </w:rPr>
        <w:t>采购</w:t>
      </w:r>
      <w:r>
        <w:rPr>
          <w:rFonts w:hint="eastAsia" w:ascii="宋体" w:hAnsi="宋体" w:eastAsia="宋体" w:cs="宋体"/>
          <w:color w:val="auto"/>
          <w:sz w:val="21"/>
          <w:szCs w:val="24"/>
          <w:highlight w:val="none"/>
        </w:rPr>
        <w:t>文件规定缴纳</w:t>
      </w:r>
      <w:r>
        <w:rPr>
          <w:rFonts w:hint="eastAsia" w:ascii="宋体" w:hAnsi="宋体" w:eastAsia="宋体" w:cs="宋体"/>
          <w:color w:val="auto"/>
          <w:sz w:val="21"/>
          <w:szCs w:val="24"/>
          <w:highlight w:val="none"/>
          <w:lang w:val="en-US" w:eastAsia="zh-CN"/>
        </w:rPr>
        <w:t>采购</w:t>
      </w:r>
      <w:r>
        <w:rPr>
          <w:rFonts w:hint="eastAsia" w:ascii="宋体" w:hAnsi="宋体" w:eastAsia="宋体" w:cs="宋体"/>
          <w:color w:val="auto"/>
          <w:sz w:val="21"/>
          <w:szCs w:val="24"/>
          <w:highlight w:val="none"/>
        </w:rPr>
        <w:t>代理服务费。</w:t>
      </w:r>
    </w:p>
    <w:p>
      <w:pPr>
        <w:pStyle w:val="17"/>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4"/>
          <w:highlight w:val="none"/>
        </w:rPr>
      </w:pPr>
      <w:bookmarkStart w:id="21" w:name="_Toc75259344"/>
      <w:bookmarkStart w:id="22" w:name="_Toc8166"/>
      <w:bookmarkStart w:id="23" w:name="_Toc75259343"/>
      <w:r>
        <w:rPr>
          <w:rFonts w:hint="eastAsia" w:ascii="宋体" w:hAnsi="宋体" w:eastAsia="宋体" w:cs="宋体"/>
          <w:b/>
          <w:color w:val="auto"/>
          <w:sz w:val="21"/>
          <w:szCs w:val="24"/>
          <w:highlight w:val="none"/>
          <w:lang w:val="en-US" w:eastAsia="zh-CN"/>
        </w:rPr>
        <w:t>8</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4"/>
          <w:highlight w:val="none"/>
          <w:lang w:eastAsia="zh-CN"/>
        </w:rPr>
        <w:t>谈判</w:t>
      </w:r>
      <w:r>
        <w:rPr>
          <w:rFonts w:hint="eastAsia" w:ascii="宋体" w:hAnsi="宋体" w:eastAsia="宋体" w:cs="宋体"/>
          <w:b/>
          <w:color w:val="auto"/>
          <w:sz w:val="21"/>
          <w:szCs w:val="24"/>
          <w:highlight w:val="none"/>
        </w:rPr>
        <w:t>内容</w:t>
      </w:r>
      <w:bookmarkEnd w:id="21"/>
      <w:bookmarkEnd w:id="22"/>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lang w:val="en-US" w:eastAsia="zh-CN"/>
        </w:rPr>
        <w:t>8</w:t>
      </w:r>
      <w:r>
        <w:rPr>
          <w:rFonts w:hint="eastAsia" w:ascii="宋体" w:hAnsi="宋体" w:eastAsia="宋体" w:cs="宋体"/>
          <w:color w:val="auto"/>
          <w:sz w:val="21"/>
          <w:szCs w:val="24"/>
          <w:highlight w:val="none"/>
        </w:rPr>
        <w:t>.1采购项目的</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报价、商务部分、技术部分、服务承诺等内容。</w:t>
      </w:r>
    </w:p>
    <w:p>
      <w:pPr>
        <w:pStyle w:val="17"/>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4"/>
          <w:highlight w:val="none"/>
        </w:rPr>
      </w:pPr>
      <w:bookmarkStart w:id="24" w:name="_Toc20680"/>
      <w:r>
        <w:rPr>
          <w:rFonts w:hint="eastAsia" w:ascii="宋体" w:hAnsi="宋体" w:eastAsia="宋体" w:cs="宋体"/>
          <w:b/>
          <w:color w:val="auto"/>
          <w:sz w:val="21"/>
          <w:szCs w:val="24"/>
          <w:highlight w:val="none"/>
          <w:lang w:val="en-US" w:eastAsia="zh-CN"/>
        </w:rPr>
        <w:t>9</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4"/>
          <w:highlight w:val="none"/>
        </w:rPr>
        <w:t>评审工作程序</w:t>
      </w:r>
      <w:bookmarkEnd w:id="23"/>
      <w:bookmarkEnd w:id="24"/>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9</w:t>
      </w:r>
      <w:r>
        <w:rPr>
          <w:rFonts w:hint="eastAsia" w:ascii="宋体" w:hAnsi="宋体" w:eastAsia="宋体" w:cs="宋体"/>
          <w:color w:val="auto"/>
          <w:szCs w:val="24"/>
          <w:highlight w:val="none"/>
        </w:rPr>
        <w:t>.1</w:t>
      </w:r>
      <w:r>
        <w:rPr>
          <w:rFonts w:hint="eastAsia" w:ascii="宋体" w:hAnsi="宋体" w:eastAsia="宋体" w:cs="宋体"/>
          <w:color w:val="auto"/>
          <w:szCs w:val="24"/>
          <w:highlight w:val="none"/>
          <w:lang w:val="en-US" w:eastAsia="zh-CN"/>
        </w:rPr>
        <w:t>代理机构工作人员</w:t>
      </w:r>
      <w:r>
        <w:rPr>
          <w:rFonts w:hint="eastAsia" w:ascii="宋体" w:hAnsi="宋体" w:eastAsia="宋体" w:cs="宋体"/>
          <w:color w:val="auto"/>
          <w:szCs w:val="24"/>
          <w:highlight w:val="none"/>
        </w:rPr>
        <w:t>按下列程序</w:t>
      </w:r>
      <w:r>
        <w:rPr>
          <w:rFonts w:hint="eastAsia" w:ascii="宋体" w:hAnsi="宋体" w:eastAsia="宋体" w:cs="宋体"/>
          <w:color w:val="auto"/>
          <w:szCs w:val="24"/>
          <w:highlight w:val="none"/>
          <w:lang w:val="en-US" w:eastAsia="zh-CN"/>
        </w:rPr>
        <w:t>组织</w:t>
      </w:r>
      <w:r>
        <w:rPr>
          <w:rFonts w:hint="eastAsia" w:ascii="宋体" w:hAnsi="宋体" w:eastAsia="宋体" w:cs="宋体"/>
          <w:color w:val="auto"/>
          <w:szCs w:val="24"/>
          <w:highlight w:val="none"/>
          <w:lang w:eastAsia="zh-CN"/>
        </w:rPr>
        <w:t>谈判</w:t>
      </w:r>
      <w:r>
        <w:rPr>
          <w:rFonts w:hint="eastAsia" w:ascii="宋体" w:hAnsi="宋体" w:eastAsia="宋体" w:cs="宋体"/>
          <w:color w:val="auto"/>
          <w:szCs w:val="24"/>
          <w:highlight w:val="none"/>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（1）采购代理机构按</w:t>
      </w:r>
      <w:r>
        <w:rPr>
          <w:rFonts w:hint="eastAsia" w:ascii="宋体" w:hAnsi="宋体" w:eastAsia="宋体" w:cs="宋体"/>
          <w:color w:val="auto"/>
          <w:szCs w:val="24"/>
          <w:highlight w:val="none"/>
          <w:lang w:val="en-US" w:eastAsia="zh-CN"/>
        </w:rPr>
        <w:t>采购</w:t>
      </w:r>
      <w:r>
        <w:rPr>
          <w:rFonts w:hint="eastAsia" w:ascii="宋体" w:hAnsi="宋体" w:eastAsia="宋体" w:cs="宋体"/>
          <w:color w:val="auto"/>
          <w:szCs w:val="24"/>
          <w:highlight w:val="none"/>
        </w:rPr>
        <w:t>文件规定的时间、地点组织</w:t>
      </w:r>
      <w:r>
        <w:rPr>
          <w:rFonts w:hint="eastAsia" w:ascii="宋体" w:hAnsi="宋体" w:eastAsia="宋体" w:cs="宋体"/>
          <w:color w:val="auto"/>
          <w:szCs w:val="24"/>
          <w:highlight w:val="none"/>
          <w:lang w:eastAsia="zh-CN"/>
        </w:rPr>
        <w:t>谈判</w:t>
      </w:r>
      <w:r>
        <w:rPr>
          <w:rFonts w:hint="eastAsia" w:ascii="宋体" w:hAnsi="宋体" w:eastAsia="宋体" w:cs="宋体"/>
          <w:color w:val="auto"/>
          <w:szCs w:val="24"/>
          <w:highlight w:val="none"/>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（2）</w:t>
      </w:r>
      <w:r>
        <w:rPr>
          <w:rFonts w:hint="eastAsia" w:ascii="宋体" w:hAnsi="宋体" w:eastAsia="宋体" w:cs="宋体"/>
          <w:color w:val="auto"/>
          <w:szCs w:val="24"/>
          <w:highlight w:val="none"/>
          <w:lang w:eastAsia="zh-CN"/>
        </w:rPr>
        <w:t>谈判</w:t>
      </w:r>
      <w:r>
        <w:rPr>
          <w:rFonts w:hint="eastAsia" w:ascii="宋体" w:hAnsi="宋体" w:eastAsia="宋体" w:cs="宋体"/>
          <w:color w:val="auto"/>
          <w:szCs w:val="24"/>
          <w:highlight w:val="none"/>
          <w:lang w:val="en-US" w:eastAsia="zh-CN"/>
        </w:rPr>
        <w:t>会议</w:t>
      </w:r>
      <w:r>
        <w:rPr>
          <w:rFonts w:hint="eastAsia" w:ascii="宋体" w:hAnsi="宋体" w:eastAsia="宋体" w:cs="宋体"/>
          <w:color w:val="auto"/>
          <w:szCs w:val="24"/>
          <w:highlight w:val="none"/>
        </w:rPr>
        <w:t>由采购代理机构主持，采购人代表及有关人员参加；</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（3）供应商应派法定代表人或其授权代表参加</w:t>
      </w:r>
      <w:r>
        <w:rPr>
          <w:rFonts w:hint="eastAsia" w:ascii="宋体" w:hAnsi="宋体" w:eastAsia="宋体" w:cs="宋体"/>
          <w:color w:val="auto"/>
          <w:szCs w:val="24"/>
          <w:highlight w:val="none"/>
          <w:lang w:eastAsia="zh-CN"/>
        </w:rPr>
        <w:t>谈判</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val="en-US" w:eastAsia="zh-CN"/>
        </w:rPr>
        <w:t>供应商</w:t>
      </w:r>
      <w:r>
        <w:rPr>
          <w:rFonts w:hint="eastAsia" w:ascii="宋体" w:hAnsi="宋体" w:eastAsia="宋体" w:cs="宋体"/>
          <w:color w:val="auto"/>
          <w:szCs w:val="24"/>
          <w:highlight w:val="none"/>
        </w:rPr>
        <w:t>应签名报到，以证明其出席；</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（4）</w:t>
      </w:r>
      <w:r>
        <w:rPr>
          <w:rFonts w:hint="eastAsia" w:ascii="宋体" w:hAnsi="宋体" w:eastAsia="宋体" w:cs="宋体"/>
          <w:color w:val="auto"/>
          <w:szCs w:val="24"/>
          <w:highlight w:val="none"/>
          <w:lang w:eastAsia="zh-CN"/>
        </w:rPr>
        <w:t>谈判</w:t>
      </w:r>
      <w:r>
        <w:rPr>
          <w:rFonts w:hint="eastAsia" w:ascii="宋体" w:hAnsi="宋体" w:eastAsia="宋体" w:cs="宋体"/>
          <w:color w:val="auto"/>
          <w:szCs w:val="24"/>
          <w:highlight w:val="none"/>
        </w:rPr>
        <w:t>时</w:t>
      </w:r>
      <w:r>
        <w:rPr>
          <w:rFonts w:hint="eastAsia" w:ascii="宋体" w:hAnsi="宋体" w:eastAsia="宋体" w:cs="宋体"/>
          <w:color w:val="auto"/>
          <w:szCs w:val="24"/>
          <w:highlight w:val="none"/>
          <w:lang w:val="en-US" w:eastAsia="zh-CN"/>
        </w:rPr>
        <w:t>采购代理机构</w:t>
      </w:r>
      <w:r>
        <w:rPr>
          <w:rFonts w:hint="eastAsia" w:ascii="宋体" w:hAnsi="宋体" w:eastAsia="宋体" w:cs="宋体"/>
          <w:color w:val="auto"/>
          <w:szCs w:val="24"/>
          <w:highlight w:val="none"/>
        </w:rPr>
        <w:t>公布供应商的名称；</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（5）按本部分第6.</w:t>
      </w:r>
      <w:r>
        <w:rPr>
          <w:rFonts w:hint="eastAsia" w:ascii="宋体" w:hAnsi="宋体" w:eastAsia="宋体" w:cs="宋体"/>
          <w:color w:val="auto"/>
          <w:szCs w:val="24"/>
          <w:highlight w:val="none"/>
          <w:lang w:val="en-US" w:eastAsia="zh-CN"/>
        </w:rPr>
        <w:t>3</w:t>
      </w:r>
      <w:r>
        <w:rPr>
          <w:rFonts w:hint="eastAsia" w:ascii="宋体" w:hAnsi="宋体" w:eastAsia="宋体" w:cs="宋体"/>
          <w:color w:val="auto"/>
          <w:szCs w:val="24"/>
          <w:highlight w:val="none"/>
        </w:rPr>
        <w:t>条的内容对供应商进行资格审查，不符合</w:t>
      </w:r>
      <w:r>
        <w:rPr>
          <w:rFonts w:hint="eastAsia" w:ascii="宋体" w:hAnsi="宋体" w:eastAsia="宋体" w:cs="宋体"/>
          <w:color w:val="auto"/>
          <w:szCs w:val="24"/>
          <w:highlight w:val="none"/>
          <w:lang w:val="en-US" w:eastAsia="zh-CN"/>
        </w:rPr>
        <w:t>采购</w:t>
      </w:r>
      <w:r>
        <w:rPr>
          <w:rFonts w:hint="eastAsia" w:ascii="宋体" w:hAnsi="宋体" w:eastAsia="宋体" w:cs="宋体"/>
          <w:color w:val="auto"/>
          <w:szCs w:val="24"/>
          <w:highlight w:val="none"/>
        </w:rPr>
        <w:t>文件规定</w:t>
      </w:r>
      <w:r>
        <w:rPr>
          <w:rFonts w:hint="eastAsia" w:ascii="宋体" w:hAnsi="宋体" w:eastAsia="宋体" w:cs="宋体"/>
          <w:color w:val="auto"/>
          <w:szCs w:val="24"/>
          <w:highlight w:val="none"/>
          <w:lang w:val="en-US" w:eastAsia="zh-CN"/>
        </w:rPr>
        <w:t>资格</w:t>
      </w:r>
      <w:r>
        <w:rPr>
          <w:rFonts w:hint="eastAsia" w:ascii="宋体" w:hAnsi="宋体" w:eastAsia="宋体" w:cs="宋体"/>
          <w:color w:val="auto"/>
          <w:szCs w:val="24"/>
          <w:highlight w:val="none"/>
        </w:rPr>
        <w:t>要求的供应商将不再进入后续评审环节（在评审结束前发现供应商资格不符合要求的作无效响应处理）；</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 xml:space="preserve">（6）检查响应文件密封情况，并签字确认； </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（7）开启响应文件，宣读响应文件递交情况；</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（8）</w:t>
      </w:r>
      <w:r>
        <w:rPr>
          <w:rFonts w:hint="eastAsia" w:ascii="宋体" w:hAnsi="宋体" w:eastAsia="宋体" w:cs="宋体"/>
          <w:color w:val="auto"/>
          <w:szCs w:val="24"/>
          <w:highlight w:val="none"/>
          <w:lang w:eastAsia="zh-CN"/>
        </w:rPr>
        <w:t>谈判</w:t>
      </w:r>
      <w:r>
        <w:rPr>
          <w:rFonts w:hint="eastAsia" w:ascii="宋体" w:hAnsi="宋体" w:eastAsia="宋体" w:cs="宋体"/>
          <w:color w:val="auto"/>
          <w:szCs w:val="24"/>
          <w:highlight w:val="none"/>
        </w:rPr>
        <w:t>；</w:t>
      </w:r>
    </w:p>
    <w:p>
      <w:pPr>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（9）评审；</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（10）会议结束。</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lang w:val="zh-CN"/>
        </w:rPr>
      </w:pPr>
      <w:r>
        <w:rPr>
          <w:rFonts w:hint="eastAsia" w:ascii="宋体" w:hAnsi="宋体" w:eastAsia="宋体" w:cs="宋体"/>
          <w:color w:val="auto"/>
          <w:sz w:val="21"/>
          <w:szCs w:val="24"/>
          <w:highlight w:val="none"/>
          <w:lang w:val="zh-CN"/>
        </w:rPr>
        <w:t>谈判小组依据</w:t>
      </w:r>
      <w:r>
        <w:rPr>
          <w:rFonts w:hint="eastAsia" w:ascii="宋体" w:hAnsi="宋体" w:eastAsia="宋体" w:cs="宋体"/>
          <w:color w:val="auto"/>
          <w:sz w:val="21"/>
          <w:szCs w:val="24"/>
          <w:highlight w:val="none"/>
          <w:lang w:val="en-US" w:eastAsia="zh-CN"/>
        </w:rPr>
        <w:t>采购</w:t>
      </w:r>
      <w:r>
        <w:rPr>
          <w:rFonts w:hint="eastAsia" w:ascii="宋体" w:hAnsi="宋体" w:eastAsia="宋体" w:cs="宋体"/>
          <w:color w:val="auto"/>
          <w:sz w:val="21"/>
          <w:szCs w:val="24"/>
          <w:highlight w:val="none"/>
          <w:lang w:val="zh-CN"/>
        </w:rPr>
        <w:t>文件的规定，对响应文件的</w:t>
      </w:r>
      <w:r>
        <w:rPr>
          <w:rFonts w:hint="eastAsia" w:ascii="宋体" w:hAnsi="宋体" w:eastAsia="宋体" w:cs="宋体"/>
          <w:color w:val="auto"/>
          <w:sz w:val="21"/>
          <w:szCs w:val="24"/>
          <w:highlight w:val="none"/>
          <w:lang w:val="en-US" w:eastAsia="zh-CN"/>
        </w:rPr>
        <w:t>符合性</w:t>
      </w:r>
      <w:r>
        <w:rPr>
          <w:rFonts w:hint="eastAsia" w:ascii="宋体" w:hAnsi="宋体" w:eastAsia="宋体" w:cs="宋体"/>
          <w:color w:val="auto"/>
          <w:sz w:val="21"/>
          <w:szCs w:val="24"/>
          <w:highlight w:val="none"/>
          <w:lang w:val="zh-CN"/>
        </w:rPr>
        <w:t>进行审查，以确定是否对</w:t>
      </w:r>
      <w:r>
        <w:rPr>
          <w:rFonts w:hint="eastAsia" w:ascii="宋体" w:hAnsi="宋体" w:eastAsia="宋体" w:cs="宋体"/>
          <w:color w:val="auto"/>
          <w:sz w:val="21"/>
          <w:szCs w:val="24"/>
          <w:highlight w:val="none"/>
          <w:lang w:val="en-US" w:eastAsia="zh-CN"/>
        </w:rPr>
        <w:t>采购</w:t>
      </w:r>
      <w:r>
        <w:rPr>
          <w:rFonts w:hint="eastAsia" w:ascii="宋体" w:hAnsi="宋体" w:eastAsia="宋体" w:cs="宋体"/>
          <w:color w:val="auto"/>
          <w:sz w:val="21"/>
          <w:szCs w:val="24"/>
          <w:highlight w:val="none"/>
          <w:lang w:val="zh-CN"/>
        </w:rPr>
        <w:t>文件的要求做出实质性响应。未对</w:t>
      </w:r>
      <w:r>
        <w:rPr>
          <w:rFonts w:hint="eastAsia" w:ascii="宋体" w:hAnsi="宋体" w:eastAsia="宋体" w:cs="宋体"/>
          <w:color w:val="auto"/>
          <w:sz w:val="21"/>
          <w:szCs w:val="24"/>
          <w:highlight w:val="none"/>
          <w:lang w:val="en-US" w:eastAsia="zh-CN"/>
        </w:rPr>
        <w:t>采购</w:t>
      </w:r>
      <w:r>
        <w:rPr>
          <w:rFonts w:hint="eastAsia" w:ascii="宋体" w:hAnsi="宋体" w:eastAsia="宋体" w:cs="宋体"/>
          <w:color w:val="auto"/>
          <w:sz w:val="21"/>
          <w:szCs w:val="24"/>
          <w:highlight w:val="none"/>
          <w:lang w:val="zh-CN"/>
        </w:rPr>
        <w:t>文件做实质性响应的供应商，不得进入具体谈判程序。</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lang w:val="en-US" w:eastAsia="zh-CN"/>
        </w:rPr>
        <w:t>9</w:t>
      </w:r>
      <w:r>
        <w:rPr>
          <w:rFonts w:hint="eastAsia" w:ascii="宋体" w:hAnsi="宋体" w:eastAsia="宋体" w:cs="宋体"/>
          <w:color w:val="auto"/>
          <w:sz w:val="21"/>
          <w:szCs w:val="24"/>
          <w:highlight w:val="none"/>
        </w:rPr>
        <w:t>.2</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开始，与供应商</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各项内容：</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lang w:val="zh-CN"/>
        </w:rPr>
      </w:pPr>
      <w:r>
        <w:rPr>
          <w:rFonts w:hint="eastAsia" w:ascii="宋体" w:hAnsi="宋体" w:eastAsia="宋体" w:cs="宋体"/>
          <w:color w:val="auto"/>
          <w:sz w:val="21"/>
          <w:szCs w:val="24"/>
          <w:highlight w:val="none"/>
          <w:lang w:val="zh-CN"/>
        </w:rPr>
        <w:t>谈判小组所有成员集中与供应商进行谈判。</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lang w:val="zh-CN"/>
        </w:rPr>
        <w:t>（1）</w:t>
      </w:r>
      <w:r>
        <w:rPr>
          <w:rFonts w:hint="eastAsia" w:ascii="宋体" w:hAnsi="宋体" w:eastAsia="宋体" w:cs="宋体"/>
          <w:color w:val="auto"/>
          <w:sz w:val="21"/>
          <w:szCs w:val="24"/>
          <w:highlight w:val="none"/>
        </w:rPr>
        <w:t>在</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过程中，</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小组可以根据</w:t>
      </w:r>
      <w:r>
        <w:rPr>
          <w:rFonts w:hint="eastAsia" w:ascii="宋体" w:hAnsi="宋体" w:eastAsia="宋体" w:cs="宋体"/>
          <w:color w:val="auto"/>
          <w:sz w:val="21"/>
          <w:szCs w:val="24"/>
          <w:highlight w:val="none"/>
          <w:lang w:val="en-US" w:eastAsia="zh-CN"/>
        </w:rPr>
        <w:t>采购</w:t>
      </w:r>
      <w:r>
        <w:rPr>
          <w:rFonts w:hint="eastAsia" w:ascii="宋体" w:hAnsi="宋体" w:eastAsia="宋体" w:cs="宋体"/>
          <w:color w:val="auto"/>
          <w:sz w:val="21"/>
          <w:szCs w:val="24"/>
          <w:highlight w:val="none"/>
        </w:rPr>
        <w:t>文件和</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情况实质性变动采购需求中的技术、采购要求以及合同草案条款，但不得变动</w:t>
      </w:r>
      <w:r>
        <w:rPr>
          <w:rFonts w:hint="eastAsia" w:ascii="宋体" w:hAnsi="宋体" w:eastAsia="宋体" w:cs="宋体"/>
          <w:color w:val="auto"/>
          <w:sz w:val="21"/>
          <w:szCs w:val="24"/>
          <w:highlight w:val="none"/>
          <w:lang w:val="en-US" w:eastAsia="zh-CN"/>
        </w:rPr>
        <w:t>采购</w:t>
      </w:r>
      <w:r>
        <w:rPr>
          <w:rFonts w:hint="eastAsia" w:ascii="宋体" w:hAnsi="宋体" w:eastAsia="宋体" w:cs="宋体"/>
          <w:color w:val="auto"/>
          <w:sz w:val="21"/>
          <w:szCs w:val="24"/>
          <w:highlight w:val="none"/>
        </w:rPr>
        <w:t xml:space="preserve">文件中的其他内容。实质性变动的内容，须经采购人代表确认。 </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（2）对</w:t>
      </w:r>
      <w:r>
        <w:rPr>
          <w:rFonts w:hint="eastAsia" w:ascii="宋体" w:hAnsi="宋体" w:eastAsia="宋体" w:cs="宋体"/>
          <w:color w:val="auto"/>
          <w:sz w:val="21"/>
          <w:szCs w:val="24"/>
          <w:highlight w:val="none"/>
          <w:lang w:val="en-US" w:eastAsia="zh-CN"/>
        </w:rPr>
        <w:t>采购</w:t>
      </w:r>
      <w:r>
        <w:rPr>
          <w:rFonts w:hint="eastAsia" w:ascii="宋体" w:hAnsi="宋体" w:eastAsia="宋体" w:cs="宋体"/>
          <w:color w:val="auto"/>
          <w:sz w:val="21"/>
          <w:szCs w:val="24"/>
          <w:highlight w:val="none"/>
        </w:rPr>
        <w:t>文件作出的实质性变动是</w:t>
      </w:r>
      <w:r>
        <w:rPr>
          <w:rFonts w:hint="eastAsia" w:ascii="宋体" w:hAnsi="宋体" w:eastAsia="宋体" w:cs="宋体"/>
          <w:color w:val="auto"/>
          <w:sz w:val="21"/>
          <w:szCs w:val="24"/>
          <w:highlight w:val="none"/>
          <w:lang w:val="en-US" w:eastAsia="zh-CN"/>
        </w:rPr>
        <w:t>采购</w:t>
      </w:r>
      <w:r>
        <w:rPr>
          <w:rFonts w:hint="eastAsia" w:ascii="宋体" w:hAnsi="宋体" w:eastAsia="宋体" w:cs="宋体"/>
          <w:color w:val="auto"/>
          <w:sz w:val="21"/>
          <w:szCs w:val="24"/>
          <w:highlight w:val="none"/>
        </w:rPr>
        <w:t>文件的有效组成部分，</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小组应当及时以书面形式同时通知所有参加</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 xml:space="preserve">的供应商。 </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（3）供应商应当按照</w:t>
      </w:r>
      <w:r>
        <w:rPr>
          <w:rFonts w:hint="eastAsia" w:ascii="宋体" w:hAnsi="宋体" w:eastAsia="宋体" w:cs="宋体"/>
          <w:color w:val="auto"/>
          <w:sz w:val="21"/>
          <w:szCs w:val="24"/>
          <w:highlight w:val="none"/>
          <w:lang w:val="en-US" w:eastAsia="zh-CN"/>
        </w:rPr>
        <w:t>采购</w:t>
      </w:r>
      <w:r>
        <w:rPr>
          <w:rFonts w:hint="eastAsia" w:ascii="宋体" w:hAnsi="宋体" w:eastAsia="宋体" w:cs="宋体"/>
          <w:color w:val="auto"/>
          <w:sz w:val="21"/>
          <w:szCs w:val="24"/>
          <w:highlight w:val="none"/>
        </w:rPr>
        <w:t>文件的变动情况和</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小组的要求重新提交响应文件，并由其</w:t>
      </w:r>
      <w:r>
        <w:rPr>
          <w:rFonts w:hint="eastAsia" w:ascii="宋体" w:hAnsi="宋体" w:eastAsia="宋体" w:cs="宋体"/>
          <w:color w:val="auto"/>
          <w:sz w:val="21"/>
          <w:szCs w:val="24"/>
          <w:highlight w:val="none"/>
          <w:lang w:val="en-US" w:eastAsia="zh-CN"/>
        </w:rPr>
        <w:t>法定代表人或</w:t>
      </w:r>
      <w:r>
        <w:rPr>
          <w:rFonts w:hint="eastAsia" w:ascii="宋体" w:hAnsi="宋体" w:eastAsia="宋体" w:cs="宋体"/>
          <w:color w:val="auto"/>
          <w:sz w:val="21"/>
          <w:szCs w:val="24"/>
          <w:highlight w:val="none"/>
        </w:rPr>
        <w:t>授权代表签字、盖章。</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lang w:val="en-US" w:eastAsia="zh-CN"/>
        </w:rPr>
        <w:t>9</w:t>
      </w:r>
      <w:r>
        <w:rPr>
          <w:rFonts w:hint="eastAsia" w:ascii="宋体" w:hAnsi="宋体" w:eastAsia="宋体" w:cs="宋体"/>
          <w:color w:val="auto"/>
          <w:sz w:val="21"/>
          <w:szCs w:val="24"/>
          <w:highlight w:val="none"/>
        </w:rPr>
        <w:t>.3供应商进行二次报价：</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lang w:val="en-US" w:eastAsia="zh-CN"/>
        </w:rPr>
      </w:pPr>
      <w:r>
        <w:rPr>
          <w:rFonts w:hint="eastAsia" w:ascii="宋体" w:hAnsi="宋体" w:eastAsia="宋体" w:cs="宋体"/>
          <w:color w:val="auto"/>
          <w:sz w:val="21"/>
          <w:szCs w:val="24"/>
          <w:highlight w:val="none"/>
          <w:lang w:val="zh-CN"/>
        </w:rPr>
        <w:t>谈判结束后，参加谈判的供应商应</w:t>
      </w:r>
      <w:r>
        <w:rPr>
          <w:rFonts w:hint="eastAsia" w:ascii="宋体" w:hAnsi="宋体" w:eastAsia="宋体" w:cs="宋体"/>
          <w:color w:val="auto"/>
          <w:sz w:val="21"/>
          <w:szCs w:val="24"/>
          <w:highlight w:val="none"/>
          <w:lang w:val="en-US" w:eastAsia="zh-CN"/>
        </w:rPr>
        <w:t>提交二次报价</w:t>
      </w:r>
      <w:r>
        <w:rPr>
          <w:rFonts w:hint="eastAsia" w:ascii="宋体" w:hAnsi="宋体" w:eastAsia="宋体" w:cs="宋体"/>
          <w:color w:val="auto"/>
          <w:sz w:val="21"/>
          <w:szCs w:val="24"/>
          <w:highlight w:val="none"/>
          <w:lang w:val="zh-CN"/>
        </w:rPr>
        <w:t>，并</w:t>
      </w:r>
      <w:r>
        <w:rPr>
          <w:rFonts w:hint="eastAsia" w:ascii="宋体" w:hAnsi="宋体" w:eastAsia="宋体" w:cs="宋体"/>
          <w:color w:val="auto"/>
          <w:sz w:val="21"/>
          <w:szCs w:val="24"/>
          <w:highlight w:val="none"/>
          <w:lang w:val="en-US" w:eastAsia="zh-CN"/>
        </w:rPr>
        <w:t>签字或加盖供应商公</w:t>
      </w:r>
      <w:r>
        <w:rPr>
          <w:rFonts w:hint="eastAsia" w:ascii="宋体" w:hAnsi="宋体" w:eastAsia="宋体" w:cs="宋体"/>
          <w:color w:val="auto"/>
          <w:sz w:val="21"/>
          <w:szCs w:val="24"/>
          <w:highlight w:val="none"/>
          <w:lang w:val="zh-CN"/>
        </w:rPr>
        <w:t>章</w:t>
      </w:r>
      <w:r>
        <w:rPr>
          <w:rFonts w:hint="eastAsia" w:ascii="宋体" w:hAnsi="宋体" w:eastAsia="宋体" w:cs="宋体"/>
          <w:color w:val="auto"/>
          <w:sz w:val="21"/>
          <w:szCs w:val="24"/>
          <w:highlight w:val="none"/>
          <w:lang w:val="en-US" w:eastAsia="zh-CN"/>
        </w:rPr>
        <w:t>确认。</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lang w:val="en-US" w:eastAsia="zh-CN"/>
        </w:rPr>
        <w:t>9</w:t>
      </w:r>
      <w:r>
        <w:rPr>
          <w:rFonts w:hint="eastAsia" w:ascii="宋体" w:hAnsi="宋体" w:eastAsia="宋体" w:cs="宋体"/>
          <w:color w:val="auto"/>
          <w:sz w:val="21"/>
          <w:szCs w:val="24"/>
          <w:highlight w:val="none"/>
          <w:lang w:val="zh-CN"/>
        </w:rPr>
        <w:t>.4</w:t>
      </w:r>
      <w:r>
        <w:rPr>
          <w:rFonts w:hint="eastAsia" w:ascii="宋体" w:hAnsi="宋体" w:eastAsia="宋体" w:cs="宋体"/>
          <w:color w:val="auto"/>
          <w:sz w:val="21"/>
          <w:szCs w:val="24"/>
          <w:highlight w:val="none"/>
        </w:rPr>
        <w:t>确定成交供应商。</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color w:val="auto"/>
          <w:sz w:val="21"/>
          <w:szCs w:val="24"/>
          <w:highlight w:val="none"/>
          <w:lang w:val="zh-CN"/>
        </w:rPr>
      </w:pPr>
      <w:r>
        <w:rPr>
          <w:rFonts w:hint="eastAsia" w:ascii="宋体" w:hAnsi="宋体" w:eastAsia="宋体" w:cs="宋体"/>
          <w:color w:val="auto"/>
          <w:sz w:val="21"/>
          <w:szCs w:val="24"/>
          <w:highlight w:val="none"/>
          <w:lang w:val="en-US" w:eastAsia="zh-CN"/>
        </w:rPr>
        <w:t>9</w:t>
      </w:r>
      <w:r>
        <w:rPr>
          <w:rFonts w:hint="eastAsia" w:ascii="宋体" w:hAnsi="宋体" w:eastAsia="宋体" w:cs="宋体"/>
          <w:color w:val="auto"/>
          <w:sz w:val="21"/>
          <w:szCs w:val="24"/>
          <w:highlight w:val="none"/>
        </w:rPr>
        <w:t>.5</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响应报价说明：</w:t>
      </w:r>
      <w:r>
        <w:rPr>
          <w:rFonts w:hint="eastAsia" w:ascii="宋体" w:hAnsi="宋体" w:eastAsia="宋体" w:cs="宋体"/>
          <w:b/>
          <w:color w:val="auto"/>
          <w:sz w:val="21"/>
          <w:szCs w:val="24"/>
          <w:highlight w:val="none"/>
          <w:lang w:val="zh-CN"/>
        </w:rPr>
        <w:t>本次谈判第二轮报价为最终报价。</w:t>
      </w:r>
    </w:p>
    <w:p>
      <w:pPr>
        <w:pStyle w:val="17"/>
        <w:keepNext w:val="0"/>
        <w:keepLines w:val="0"/>
        <w:pageBreakBefore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4"/>
          <w:highlight w:val="none"/>
        </w:rPr>
      </w:pPr>
      <w:bookmarkStart w:id="25" w:name="_Toc75259345"/>
      <w:bookmarkStart w:id="26" w:name="_Toc2093"/>
      <w:r>
        <w:rPr>
          <w:rFonts w:hint="eastAsia" w:ascii="宋体" w:hAnsi="宋体" w:eastAsia="宋体" w:cs="宋体"/>
          <w:b/>
          <w:color w:val="auto"/>
          <w:sz w:val="21"/>
          <w:szCs w:val="24"/>
          <w:highlight w:val="none"/>
        </w:rPr>
        <w:t>10</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4"/>
          <w:highlight w:val="none"/>
        </w:rPr>
        <w:t>评审原则</w:t>
      </w:r>
      <w:bookmarkEnd w:id="25"/>
      <w:bookmarkEnd w:id="26"/>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rPr>
      </w:pPr>
      <w:r>
        <w:rPr>
          <w:rFonts w:hint="eastAsia" w:ascii="宋体" w:hAnsi="宋体" w:eastAsia="宋体" w:cs="宋体"/>
          <w:color w:val="auto"/>
          <w:sz w:val="21"/>
          <w:szCs w:val="24"/>
          <w:highlight w:val="none"/>
        </w:rPr>
        <w:t>（1）本次</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遵循公开透明、公平竞争、公正和诚实信用的原则。</w:t>
      </w:r>
      <w:r>
        <w:rPr>
          <w:rFonts w:hint="eastAsia" w:ascii="宋体" w:hAnsi="宋体" w:eastAsia="宋体" w:cs="宋体"/>
          <w:color w:val="auto"/>
          <w:sz w:val="21"/>
          <w:szCs w:val="24"/>
          <w:highlight w:val="none"/>
          <w:lang w:eastAsia="zh-CN"/>
        </w:rPr>
        <w:t>谈判</w:t>
      </w:r>
      <w:r>
        <w:rPr>
          <w:rFonts w:hint="eastAsia" w:ascii="宋体" w:hAnsi="宋体" w:eastAsia="宋体" w:cs="宋体"/>
          <w:color w:val="auto"/>
          <w:sz w:val="21"/>
          <w:szCs w:val="24"/>
          <w:highlight w:val="none"/>
        </w:rPr>
        <w:t>小组成员按照客观、公正、审慎的原则，根据</w:t>
      </w:r>
      <w:r>
        <w:rPr>
          <w:rFonts w:hint="eastAsia" w:ascii="宋体" w:hAnsi="宋体" w:eastAsia="宋体" w:cs="宋体"/>
          <w:color w:val="auto"/>
          <w:sz w:val="21"/>
          <w:szCs w:val="24"/>
          <w:highlight w:val="none"/>
          <w:lang w:val="en-US" w:eastAsia="zh-CN"/>
        </w:rPr>
        <w:t>采购</w:t>
      </w:r>
      <w:r>
        <w:rPr>
          <w:rFonts w:hint="eastAsia" w:ascii="宋体" w:hAnsi="宋体" w:eastAsia="宋体" w:cs="宋体"/>
          <w:color w:val="auto"/>
          <w:sz w:val="21"/>
          <w:szCs w:val="24"/>
          <w:highlight w:val="none"/>
        </w:rPr>
        <w:t>文件规定的评审程序、评审方法和评审标准进行独立评审。未实质性响应</w:t>
      </w:r>
      <w:r>
        <w:rPr>
          <w:rFonts w:hint="eastAsia" w:ascii="宋体" w:hAnsi="宋体" w:eastAsia="宋体" w:cs="宋体"/>
          <w:color w:val="auto"/>
          <w:sz w:val="21"/>
          <w:szCs w:val="24"/>
          <w:highlight w:val="none"/>
          <w:lang w:val="en-US" w:eastAsia="zh-CN"/>
        </w:rPr>
        <w:t>采购</w:t>
      </w:r>
      <w:r>
        <w:rPr>
          <w:rFonts w:hint="eastAsia" w:ascii="宋体" w:hAnsi="宋体" w:eastAsia="宋体" w:cs="宋体"/>
          <w:color w:val="auto"/>
          <w:sz w:val="21"/>
          <w:szCs w:val="24"/>
          <w:highlight w:val="none"/>
        </w:rPr>
        <w:t>文件的响应文件按无效响应处理。</w:t>
      </w:r>
    </w:p>
    <w:p>
      <w:pPr>
        <w:pStyle w:val="17"/>
        <w:keepNext w:val="0"/>
        <w:keepLines w:val="0"/>
        <w:pageBreakBefore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4"/>
          <w:highlight w:val="none"/>
          <w:lang w:val="zh-CN"/>
        </w:rPr>
      </w:pPr>
      <w:r>
        <w:rPr>
          <w:rFonts w:hint="eastAsia" w:ascii="宋体" w:hAnsi="宋体" w:eastAsia="宋体" w:cs="宋体"/>
          <w:color w:val="auto"/>
          <w:sz w:val="21"/>
          <w:szCs w:val="24"/>
          <w:highlight w:val="none"/>
          <w:lang w:val="zh-CN"/>
        </w:rPr>
        <w:t>（2）谈判小组应当根据综合</w:t>
      </w:r>
      <w:r>
        <w:rPr>
          <w:rFonts w:hint="eastAsia" w:ascii="宋体" w:hAnsi="宋体" w:eastAsia="宋体" w:cs="宋体"/>
          <w:color w:val="auto"/>
          <w:sz w:val="21"/>
          <w:szCs w:val="24"/>
          <w:highlight w:val="none"/>
          <w:lang w:val="en-US" w:eastAsia="zh-CN"/>
        </w:rPr>
        <w:t>评审</w:t>
      </w:r>
      <w:r>
        <w:rPr>
          <w:rFonts w:hint="eastAsia" w:ascii="宋体" w:hAnsi="宋体" w:eastAsia="宋体" w:cs="宋体"/>
          <w:color w:val="auto"/>
          <w:sz w:val="21"/>
          <w:szCs w:val="24"/>
          <w:highlight w:val="none"/>
          <w:lang w:val="zh-CN"/>
        </w:rPr>
        <w:t>情况，推荐成交候选供应商，并编写评审报告。谈判小组认为供应商的报价有可能影响项目质量或者不能诚信履约的，应当要求其在谈判现场合理的时间内提供书面说明，必要时提交相关证明材料，供应商不能证明其报价合理性的，谈判小组应当将其作为无效</w:t>
      </w:r>
      <w:r>
        <w:rPr>
          <w:rFonts w:hint="eastAsia" w:ascii="宋体" w:hAnsi="宋体" w:eastAsia="宋体" w:cs="宋体"/>
          <w:color w:val="auto"/>
          <w:sz w:val="21"/>
          <w:szCs w:val="24"/>
          <w:highlight w:val="none"/>
          <w:lang w:val="en-US" w:eastAsia="zh-CN"/>
        </w:rPr>
        <w:t>响应</w:t>
      </w:r>
      <w:r>
        <w:rPr>
          <w:rFonts w:hint="eastAsia" w:ascii="宋体" w:hAnsi="宋体" w:eastAsia="宋体" w:cs="宋体"/>
          <w:color w:val="auto"/>
          <w:sz w:val="21"/>
          <w:szCs w:val="24"/>
          <w:highlight w:val="none"/>
          <w:lang w:val="zh-CN"/>
        </w:rPr>
        <w:t>文件处理。</w:t>
      </w:r>
    </w:p>
    <w:p>
      <w:pPr>
        <w:keepNext w:val="0"/>
        <w:keepLines w:val="0"/>
        <w:pageBreakBefore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color w:val="auto"/>
          <w:szCs w:val="24"/>
          <w:highlight w:val="none"/>
          <w:lang w:val="zh-CN"/>
        </w:rPr>
      </w:pPr>
      <w:r>
        <w:rPr>
          <w:rFonts w:hint="eastAsia" w:ascii="宋体" w:hAnsi="宋体" w:eastAsia="宋体" w:cs="宋体"/>
          <w:color w:val="auto"/>
          <w:szCs w:val="24"/>
          <w:highlight w:val="none"/>
          <w:lang w:val="zh-CN"/>
        </w:rPr>
        <w:t>（3）</w:t>
      </w:r>
      <w:r>
        <w:rPr>
          <w:rFonts w:hint="eastAsia" w:ascii="宋体" w:hAnsi="宋体" w:eastAsia="宋体" w:cs="宋体"/>
          <w:bCs/>
          <w:color w:val="auto"/>
          <w:szCs w:val="24"/>
          <w:highlight w:val="none"/>
          <w:lang w:val="zh-CN"/>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（4）本次综合</w:t>
      </w:r>
      <w:r>
        <w:rPr>
          <w:rFonts w:hint="eastAsia" w:ascii="宋体" w:hAnsi="宋体" w:eastAsia="宋体" w:cs="宋体"/>
          <w:color w:val="auto"/>
          <w:szCs w:val="24"/>
          <w:highlight w:val="none"/>
          <w:lang w:val="en-US" w:eastAsia="zh-CN"/>
        </w:rPr>
        <w:t>评审</w:t>
      </w:r>
      <w:r>
        <w:rPr>
          <w:rFonts w:hint="eastAsia" w:ascii="宋体" w:hAnsi="宋体" w:eastAsia="宋体" w:cs="宋体"/>
          <w:color w:val="auto"/>
          <w:szCs w:val="24"/>
          <w:highlight w:val="none"/>
        </w:rPr>
        <w:t>的主要因素是：</w:t>
      </w:r>
      <w:bookmarkStart w:id="27" w:name="_Hlk74319622"/>
      <w:r>
        <w:rPr>
          <w:rFonts w:hint="eastAsia" w:ascii="宋体" w:hAnsi="宋体" w:eastAsia="宋体" w:cs="宋体"/>
          <w:color w:val="auto"/>
          <w:szCs w:val="24"/>
          <w:highlight w:val="none"/>
          <w:lang w:eastAsia="zh-CN"/>
        </w:rPr>
        <w:t>谈判</w:t>
      </w:r>
      <w:r>
        <w:rPr>
          <w:rFonts w:hint="eastAsia" w:ascii="宋体" w:hAnsi="宋体" w:eastAsia="宋体" w:cs="宋体"/>
          <w:color w:val="auto"/>
          <w:szCs w:val="24"/>
          <w:highlight w:val="none"/>
        </w:rPr>
        <w:t>报价、商务部分、技术部分、服务承诺</w:t>
      </w:r>
      <w:bookmarkEnd w:id="27"/>
      <w:r>
        <w:rPr>
          <w:rFonts w:hint="eastAsia" w:ascii="宋体" w:hAnsi="宋体" w:eastAsia="宋体" w:cs="宋体"/>
          <w:color w:val="auto"/>
          <w:szCs w:val="24"/>
          <w:highlight w:val="none"/>
        </w:rPr>
        <w:t>等内容。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val="0"/>
          <w:bCs w:val="0"/>
          <w:color w:val="auto"/>
          <w:szCs w:val="24"/>
          <w:highlight w:val="none"/>
        </w:rPr>
      </w:pPr>
      <w:r>
        <w:rPr>
          <w:rFonts w:hint="eastAsia" w:ascii="宋体" w:hAnsi="宋体" w:eastAsia="宋体" w:cs="宋体"/>
          <w:b w:val="0"/>
          <w:bCs w:val="0"/>
          <w:color w:val="auto"/>
          <w:highlight w:val="none"/>
        </w:rPr>
        <w:t>（5）</w:t>
      </w:r>
      <w:r>
        <w:rPr>
          <w:rFonts w:hint="eastAsia" w:ascii="宋体" w:hAnsi="宋体" w:eastAsia="宋体" w:cs="宋体"/>
          <w:b w:val="0"/>
          <w:bCs w:val="0"/>
          <w:color w:val="auto"/>
          <w:szCs w:val="24"/>
          <w:highlight w:val="none"/>
        </w:rPr>
        <w:t>各供应商应按照</w:t>
      </w:r>
      <w:r>
        <w:rPr>
          <w:rFonts w:hint="eastAsia" w:ascii="宋体" w:hAnsi="宋体" w:eastAsia="宋体" w:cs="宋体"/>
          <w:b w:val="0"/>
          <w:bCs w:val="0"/>
          <w:color w:val="auto"/>
          <w:szCs w:val="24"/>
          <w:highlight w:val="none"/>
          <w:lang w:val="en-US" w:eastAsia="zh-CN"/>
        </w:rPr>
        <w:t>采购</w:t>
      </w:r>
      <w:r>
        <w:rPr>
          <w:rFonts w:hint="eastAsia" w:ascii="宋体" w:hAnsi="宋体" w:eastAsia="宋体" w:cs="宋体"/>
          <w:b w:val="0"/>
          <w:bCs w:val="0"/>
          <w:color w:val="auto"/>
          <w:szCs w:val="24"/>
          <w:highlight w:val="none"/>
        </w:rPr>
        <w:t>文件要求报出</w:t>
      </w:r>
      <w:r>
        <w:rPr>
          <w:rFonts w:hint="eastAsia" w:ascii="宋体" w:hAnsi="宋体" w:eastAsia="宋体" w:cs="宋体"/>
          <w:b w:val="0"/>
          <w:bCs w:val="0"/>
          <w:color w:val="auto"/>
          <w:szCs w:val="24"/>
          <w:highlight w:val="none"/>
          <w:lang w:val="en-US" w:eastAsia="zh-CN"/>
        </w:rPr>
        <w:t>最终</w:t>
      </w:r>
      <w:r>
        <w:rPr>
          <w:rFonts w:hint="eastAsia" w:ascii="宋体" w:hAnsi="宋体" w:eastAsia="宋体" w:cs="宋体"/>
          <w:b w:val="0"/>
          <w:bCs w:val="0"/>
          <w:color w:val="auto"/>
          <w:szCs w:val="24"/>
          <w:highlight w:val="none"/>
        </w:rPr>
        <w:t>报价，</w:t>
      </w:r>
      <w:r>
        <w:rPr>
          <w:rFonts w:hint="eastAsia" w:ascii="宋体" w:hAnsi="宋体" w:eastAsia="宋体" w:cs="宋体"/>
          <w:b w:val="0"/>
          <w:bCs w:val="0"/>
          <w:color w:val="auto"/>
          <w:szCs w:val="24"/>
          <w:highlight w:val="none"/>
          <w:lang w:val="en-US" w:eastAsia="zh-CN"/>
        </w:rPr>
        <w:t>最终</w:t>
      </w:r>
      <w:r>
        <w:rPr>
          <w:rFonts w:hint="eastAsia" w:ascii="宋体" w:hAnsi="宋体" w:eastAsia="宋体" w:cs="宋体"/>
          <w:b w:val="0"/>
          <w:bCs w:val="0"/>
          <w:color w:val="auto"/>
          <w:szCs w:val="24"/>
          <w:highlight w:val="none"/>
        </w:rPr>
        <w:t>报价不得超过项目预算和相应的最高限价</w:t>
      </w:r>
      <w:r>
        <w:rPr>
          <w:rFonts w:hint="eastAsia" w:ascii="宋体" w:hAnsi="宋体" w:eastAsia="宋体" w:cs="宋体"/>
          <w:b w:val="0"/>
          <w:bCs w:val="0"/>
          <w:color w:val="auto"/>
          <w:szCs w:val="24"/>
          <w:highlight w:val="none"/>
          <w:lang w:eastAsia="zh-CN"/>
        </w:rPr>
        <w:t>（</w:t>
      </w:r>
      <w:r>
        <w:rPr>
          <w:rFonts w:hint="eastAsia" w:ascii="宋体" w:hAnsi="宋体" w:eastAsia="宋体" w:cs="宋体"/>
          <w:b w:val="0"/>
          <w:bCs w:val="0"/>
          <w:color w:val="auto"/>
          <w:szCs w:val="24"/>
          <w:highlight w:val="none"/>
          <w:lang w:val="en-US" w:eastAsia="zh-CN"/>
        </w:rPr>
        <w:t>如有</w:t>
      </w:r>
      <w:r>
        <w:rPr>
          <w:rFonts w:hint="eastAsia" w:ascii="宋体" w:hAnsi="宋体" w:eastAsia="宋体" w:cs="宋体"/>
          <w:b w:val="0"/>
          <w:bCs w:val="0"/>
          <w:color w:val="auto"/>
          <w:szCs w:val="24"/>
          <w:highlight w:val="none"/>
          <w:lang w:eastAsia="zh-CN"/>
        </w:rPr>
        <w:t>）</w:t>
      </w:r>
      <w:r>
        <w:rPr>
          <w:rFonts w:hint="eastAsia" w:ascii="宋体" w:hAnsi="宋体" w:eastAsia="宋体" w:cs="宋体"/>
          <w:b w:val="0"/>
          <w:bCs w:val="0"/>
          <w:color w:val="auto"/>
          <w:szCs w:val="24"/>
          <w:highlight w:val="none"/>
        </w:rPr>
        <w:t>。</w:t>
      </w:r>
    </w:p>
    <w:p>
      <w:pPr>
        <w:pStyle w:val="17"/>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4"/>
          <w:highlight w:val="none"/>
        </w:rPr>
      </w:pPr>
      <w:bookmarkStart w:id="28" w:name="_Toc31309"/>
      <w:bookmarkStart w:id="29" w:name="_Toc75259346"/>
      <w:r>
        <w:rPr>
          <w:rFonts w:hint="eastAsia" w:ascii="宋体" w:hAnsi="宋体" w:eastAsia="宋体" w:cs="宋体"/>
          <w:b/>
          <w:color w:val="auto"/>
          <w:sz w:val="21"/>
          <w:szCs w:val="24"/>
          <w:highlight w:val="none"/>
        </w:rPr>
        <w:t>11</w:t>
      </w:r>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4"/>
          <w:highlight w:val="none"/>
        </w:rPr>
        <w:t>评审标准</w:t>
      </w:r>
      <w:bookmarkEnd w:id="28"/>
      <w:bookmarkEnd w:id="2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根据《中华人民共和国政府采购法》</w:t>
      </w:r>
      <w:r>
        <w:rPr>
          <w:rFonts w:hint="eastAsia" w:ascii="宋体" w:hAnsi="宋体" w:eastAsia="宋体" w:cs="宋体"/>
          <w:color w:val="auto"/>
          <w:szCs w:val="24"/>
          <w:highlight w:val="none"/>
          <w:lang w:eastAsia="zh-CN"/>
        </w:rPr>
        <w:t>、</w:t>
      </w:r>
      <w:r>
        <w:rPr>
          <w:rFonts w:hint="eastAsia" w:ascii="宋体" w:hAnsi="宋体" w:eastAsia="宋体" w:cs="宋体"/>
          <w:color w:val="auto"/>
          <w:szCs w:val="24"/>
          <w:highlight w:val="none"/>
        </w:rPr>
        <w:t>《中华人民共和国政府采购法实施条例》、《政府采购非招标采购方式管理办法》（财政部令第74号）及省、市有关规定，</w:t>
      </w:r>
      <w:r>
        <w:rPr>
          <w:rFonts w:hint="eastAsia" w:ascii="宋体" w:hAnsi="宋体" w:eastAsia="宋体" w:cs="宋体"/>
          <w:color w:val="auto"/>
          <w:szCs w:val="24"/>
          <w:highlight w:val="none"/>
          <w:lang w:eastAsia="zh-CN"/>
        </w:rPr>
        <w:t>谈判小组应当从质量和服务均能满足采购文件实质性响应要求的供应商中，按照最后报价由低到高的顺序提出3名以上成交候选人，并编写评审报告</w:t>
      </w:r>
      <w:r>
        <w:rPr>
          <w:rFonts w:hint="eastAsia" w:ascii="宋体" w:hAnsi="宋体" w:eastAsia="宋体" w:cs="宋体"/>
          <w:color w:val="auto"/>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bCs/>
          <w:color w:val="auto"/>
          <w:szCs w:val="24"/>
          <w:highlight w:val="none"/>
          <w:lang w:eastAsia="zh-CN"/>
        </w:rPr>
      </w:pPr>
      <w:r>
        <w:rPr>
          <w:rFonts w:hint="eastAsia" w:ascii="宋体" w:hAnsi="宋体" w:eastAsia="宋体" w:cs="宋体"/>
          <w:color w:val="auto"/>
          <w:szCs w:val="24"/>
          <w:highlight w:val="none"/>
        </w:rPr>
        <w:t>在</w:t>
      </w:r>
      <w:r>
        <w:rPr>
          <w:rFonts w:hint="eastAsia" w:ascii="宋体" w:hAnsi="宋体" w:eastAsia="宋体" w:cs="宋体"/>
          <w:color w:val="auto"/>
          <w:szCs w:val="24"/>
          <w:highlight w:val="none"/>
          <w:lang w:eastAsia="zh-CN"/>
        </w:rPr>
        <w:t>谈判</w:t>
      </w:r>
      <w:r>
        <w:rPr>
          <w:rFonts w:hint="eastAsia" w:ascii="宋体" w:hAnsi="宋体" w:eastAsia="宋体" w:cs="宋体"/>
          <w:color w:val="auto"/>
          <w:szCs w:val="24"/>
          <w:highlight w:val="none"/>
        </w:rPr>
        <w:t>文件规定的响应文件递交截止时间后，供应商不足三家或在评</w:t>
      </w:r>
      <w:r>
        <w:rPr>
          <w:rFonts w:hint="eastAsia" w:ascii="宋体" w:hAnsi="宋体" w:eastAsia="宋体" w:cs="宋体"/>
          <w:color w:val="auto"/>
          <w:szCs w:val="24"/>
          <w:highlight w:val="none"/>
          <w:lang w:val="en-US" w:eastAsia="zh-CN"/>
        </w:rPr>
        <w:t>审</w:t>
      </w:r>
      <w:r>
        <w:rPr>
          <w:rFonts w:hint="eastAsia" w:ascii="宋体" w:hAnsi="宋体" w:eastAsia="宋体" w:cs="宋体"/>
          <w:color w:val="auto"/>
          <w:szCs w:val="24"/>
          <w:highlight w:val="none"/>
        </w:rPr>
        <w:t>期间，出现符合条件的供应商不足三家的情形时，按《政府采购非招标采购方式管理办法》第三十七条执行。</w:t>
      </w:r>
      <w:r>
        <w:rPr>
          <w:rFonts w:hint="eastAsia" w:ascii="宋体" w:hAnsi="宋体" w:eastAsia="宋体" w:cs="宋体"/>
          <w:b/>
          <w:bCs/>
          <w:color w:val="auto"/>
          <w:szCs w:val="24"/>
          <w:highlight w:val="none"/>
          <w:lang w:eastAsia="zh-CN"/>
        </w:rPr>
        <w:t>（</w:t>
      </w:r>
      <w:r>
        <w:rPr>
          <w:rFonts w:hint="eastAsia" w:ascii="宋体" w:hAnsi="宋体" w:eastAsia="宋体" w:cs="宋体"/>
          <w:b/>
          <w:bCs/>
          <w:color w:val="auto"/>
          <w:lang w:val="en-US" w:eastAsia="zh-CN"/>
        </w:rPr>
        <w:t>出现核心产品品牌相同的供应商按一家供应商计算</w:t>
      </w:r>
      <w:r>
        <w:rPr>
          <w:rFonts w:hint="eastAsia" w:ascii="宋体" w:hAnsi="宋体" w:eastAsia="宋体" w:cs="宋体"/>
          <w:b/>
          <w:bCs/>
          <w:color w:val="auto"/>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lang w:val="en-US" w:eastAsia="zh-CN"/>
        </w:rPr>
        <w:t>11.1</w:t>
      </w:r>
      <w:r>
        <w:rPr>
          <w:rFonts w:hint="eastAsia" w:ascii="宋体" w:hAnsi="宋体" w:eastAsia="宋体" w:cs="宋体"/>
          <w:b/>
          <w:color w:val="auto"/>
          <w:szCs w:val="24"/>
          <w:highlight w:val="none"/>
        </w:rPr>
        <w:t>资格审查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szCs w:val="24"/>
          <w:highlight w:val="none"/>
        </w:rPr>
      </w:pPr>
      <w:r>
        <w:rPr>
          <w:rFonts w:hint="eastAsia" w:ascii="宋体" w:hAnsi="宋体" w:eastAsia="宋体" w:cs="宋体"/>
          <w:szCs w:val="24"/>
          <w:highlight w:val="none"/>
          <w:lang w:val="en-US" w:eastAsia="zh-CN"/>
        </w:rPr>
        <w:t>供应商资格要求</w:t>
      </w:r>
      <w:r>
        <w:rPr>
          <w:rFonts w:hint="eastAsia" w:ascii="宋体" w:hAnsi="宋体" w:eastAsia="宋体" w:cs="宋体"/>
          <w:szCs w:val="24"/>
          <w:highlight w:val="none"/>
        </w:rPr>
        <w:t>见第</w:t>
      </w:r>
      <w:r>
        <w:rPr>
          <w:rFonts w:hint="eastAsia" w:ascii="宋体" w:hAnsi="宋体" w:eastAsia="宋体" w:cs="宋体"/>
          <w:szCs w:val="24"/>
          <w:highlight w:val="none"/>
          <w:lang w:val="en-US" w:eastAsia="zh-CN"/>
        </w:rPr>
        <w:t>一</w:t>
      </w:r>
      <w:r>
        <w:rPr>
          <w:rFonts w:hint="eastAsia" w:ascii="宋体" w:hAnsi="宋体" w:eastAsia="宋体" w:cs="宋体"/>
          <w:szCs w:val="24"/>
          <w:highlight w:val="none"/>
        </w:rPr>
        <w:t xml:space="preserve">部分 </w:t>
      </w:r>
      <w:r>
        <w:rPr>
          <w:rFonts w:hint="eastAsia" w:ascii="宋体" w:hAnsi="宋体" w:eastAsia="宋体" w:cs="宋体"/>
          <w:szCs w:val="24"/>
          <w:highlight w:val="none"/>
          <w:lang w:val="en-US" w:eastAsia="zh-CN"/>
        </w:rPr>
        <w:t>竞争性谈判公告</w:t>
      </w:r>
      <w:r>
        <w:rPr>
          <w:rFonts w:hint="eastAsia" w:ascii="宋体" w:hAnsi="宋体" w:eastAsia="宋体" w:cs="宋体"/>
          <w:szCs w:val="24"/>
          <w:highlight w:val="none"/>
        </w:rPr>
        <w:t xml:space="preserve"> </w:t>
      </w:r>
      <w:r>
        <w:rPr>
          <w:rFonts w:hint="eastAsia" w:ascii="宋体" w:hAnsi="宋体" w:eastAsia="宋体" w:cs="宋体"/>
          <w:szCs w:val="24"/>
          <w:highlight w:val="none"/>
          <w:lang w:val="en-US" w:eastAsia="zh-CN"/>
        </w:rPr>
        <w:t>第二条</w:t>
      </w:r>
      <w:r>
        <w:rPr>
          <w:rFonts w:hint="eastAsia" w:ascii="宋体" w:hAnsi="宋体" w:eastAsia="宋体" w:cs="宋体"/>
          <w:szCs w:val="24"/>
          <w:highlight w:val="none"/>
          <w:lang w:eastAsia="zh-CN"/>
        </w:rPr>
        <w:t>，</w:t>
      </w:r>
      <w:r>
        <w:rPr>
          <w:rFonts w:hint="eastAsia" w:ascii="宋体" w:hAnsi="宋体" w:eastAsia="宋体" w:cs="宋体"/>
          <w:szCs w:val="24"/>
          <w:highlight w:val="none"/>
        </w:rPr>
        <w:t>资格证明文件需提供清晰、可见，加盖公章的复印件或原件，由于资料内容模糊不清造成对供应商不利的结果由供应商自负，若供应商资格证明文件</w:t>
      </w:r>
      <w:r>
        <w:rPr>
          <w:rFonts w:hint="eastAsia" w:ascii="宋体" w:hAnsi="宋体" w:eastAsia="宋体" w:cs="宋体"/>
          <w:szCs w:val="24"/>
          <w:highlight w:val="none"/>
          <w:lang w:val="en-US" w:eastAsia="zh-CN"/>
        </w:rPr>
        <w:t>有一项</w:t>
      </w:r>
      <w:r>
        <w:rPr>
          <w:rFonts w:hint="eastAsia" w:ascii="宋体" w:hAnsi="宋体" w:eastAsia="宋体" w:cs="宋体"/>
          <w:szCs w:val="24"/>
          <w:highlight w:val="none"/>
        </w:rPr>
        <w:t>不符合资格要求</w:t>
      </w:r>
      <w:r>
        <w:rPr>
          <w:rFonts w:hint="eastAsia" w:ascii="宋体" w:hAnsi="宋体" w:eastAsia="宋体" w:cs="宋体"/>
          <w:szCs w:val="24"/>
          <w:highlight w:val="none"/>
          <w:lang w:eastAsia="zh-CN"/>
        </w:rPr>
        <w:t>，</w:t>
      </w:r>
      <w:r>
        <w:rPr>
          <w:rFonts w:hint="eastAsia" w:ascii="宋体" w:hAnsi="宋体" w:eastAsia="宋体" w:cs="宋体"/>
          <w:szCs w:val="24"/>
          <w:highlight w:val="none"/>
        </w:rPr>
        <w:t>不再进入符合性</w:t>
      </w:r>
      <w:r>
        <w:rPr>
          <w:rFonts w:hint="eastAsia" w:ascii="宋体" w:hAnsi="宋体" w:eastAsia="宋体" w:cs="宋体"/>
          <w:szCs w:val="24"/>
          <w:highlight w:val="none"/>
          <w:lang w:val="en-US" w:eastAsia="zh-CN"/>
        </w:rPr>
        <w:t>审查</w:t>
      </w:r>
      <w:r>
        <w:rPr>
          <w:rFonts w:hint="eastAsia" w:ascii="宋体" w:hAnsi="宋体" w:eastAsia="宋体" w:cs="宋体"/>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422" w:firstLineChars="200"/>
        <w:textAlignment w:val="auto"/>
        <w:rPr>
          <w:rFonts w:hint="eastAsia" w:ascii="宋体" w:hAnsi="宋体" w:eastAsia="宋体" w:cs="宋体"/>
          <w:b/>
          <w:color w:val="auto"/>
          <w:szCs w:val="24"/>
          <w:highlight w:val="none"/>
          <w:lang w:val="en-US" w:eastAsia="zh-CN"/>
        </w:rPr>
      </w:pPr>
      <w:r>
        <w:rPr>
          <w:rFonts w:hint="eastAsia" w:ascii="宋体" w:hAnsi="宋体" w:eastAsia="宋体" w:cs="宋体"/>
          <w:b/>
          <w:color w:val="auto"/>
          <w:szCs w:val="24"/>
          <w:highlight w:val="none"/>
          <w:lang w:val="en-US" w:eastAsia="zh-CN"/>
        </w:rPr>
        <w:t>11.</w:t>
      </w:r>
      <w:r>
        <w:rPr>
          <w:rFonts w:hint="eastAsia" w:ascii="宋体" w:hAnsi="宋体" w:eastAsia="宋体" w:cs="宋体"/>
          <w:b/>
          <w:color w:val="auto"/>
          <w:szCs w:val="24"/>
          <w:highlight w:val="none"/>
        </w:rPr>
        <w:t>2符合性</w:t>
      </w:r>
      <w:r>
        <w:rPr>
          <w:rFonts w:hint="eastAsia" w:ascii="宋体" w:hAnsi="宋体" w:eastAsia="宋体" w:cs="宋体"/>
          <w:b/>
          <w:color w:val="auto"/>
          <w:szCs w:val="24"/>
          <w:highlight w:val="none"/>
          <w:lang w:val="en-US" w:eastAsia="zh-CN"/>
        </w:rPr>
        <w:t>审查</w:t>
      </w:r>
    </w:p>
    <w:p>
      <w:pPr>
        <w:keepNext w:val="0"/>
        <w:keepLines w:val="0"/>
        <w:pageBreakBefore w:val="0"/>
        <w:widowControl w:val="0"/>
        <w:kinsoku/>
        <w:wordWrap/>
        <w:overflowPunct/>
        <w:topLinePunct w:val="0"/>
        <w:autoSpaceDE/>
        <w:autoSpaceDN/>
        <w:bidi w:val="0"/>
        <w:adjustRightInd/>
        <w:snapToGrid/>
        <w:spacing w:line="360" w:lineRule="auto"/>
        <w:ind w:right="0" w:rightChars="0"/>
        <w:textAlignment w:val="auto"/>
        <w:rPr>
          <w:rFonts w:hint="eastAsia" w:ascii="宋体" w:hAnsi="宋体" w:eastAsia="宋体" w:cs="宋体"/>
          <w:b/>
          <w:color w:val="auto"/>
          <w:szCs w:val="24"/>
          <w:highlight w:val="none"/>
          <w:lang w:eastAsia="zh-CN"/>
        </w:rPr>
      </w:pPr>
      <w:r>
        <w:rPr>
          <w:rFonts w:hint="eastAsia" w:ascii="宋体" w:hAnsi="宋体" w:eastAsia="宋体" w:cs="宋体"/>
          <w:color w:val="auto"/>
          <w:szCs w:val="24"/>
          <w:highlight w:val="none"/>
        </w:rPr>
        <w:t>下述内容凡有一项不合格的响应即作为无效响应处理，不再进入详细评审：</w:t>
      </w:r>
    </w:p>
    <w:tbl>
      <w:tblPr>
        <w:tblStyle w:val="22"/>
        <w:tblW w:w="8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806"/>
        <w:gridCol w:w="6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6" w:type="dxa"/>
            <w:vAlign w:val="center"/>
          </w:tcPr>
          <w:p>
            <w:pPr>
              <w:widowControl/>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序号</w:t>
            </w:r>
          </w:p>
        </w:tc>
        <w:tc>
          <w:tcPr>
            <w:tcW w:w="8072" w:type="dxa"/>
            <w:gridSpan w:val="2"/>
            <w:vAlign w:val="center"/>
          </w:tcPr>
          <w:p>
            <w:pPr>
              <w:widowControl/>
              <w:spacing w:line="360" w:lineRule="auto"/>
              <w:jc w:val="center"/>
              <w:rPr>
                <w:rFonts w:hint="eastAsia" w:ascii="宋体" w:hAnsi="宋体" w:eastAsia="宋体" w:cs="宋体"/>
                <w:kern w:val="0"/>
                <w:szCs w:val="21"/>
                <w:highlight w:val="none"/>
                <w:lang w:val="en-US" w:eastAsia="zh-CN"/>
              </w:rPr>
            </w:pPr>
            <w:r>
              <w:rPr>
                <w:rFonts w:hint="eastAsia" w:ascii="宋体" w:hAnsi="宋体" w:eastAsia="宋体" w:cs="宋体"/>
                <w:bCs/>
                <w:sz w:val="21"/>
                <w:szCs w:val="21"/>
                <w:highlight w:val="none"/>
                <w:lang w:val="en-US" w:eastAsia="zh-CN"/>
              </w:rPr>
              <w:t>审查</w:t>
            </w:r>
            <w:r>
              <w:rPr>
                <w:rFonts w:hint="eastAsia" w:ascii="宋体" w:hAnsi="宋体" w:eastAsia="宋体" w:cs="宋体"/>
                <w:bCs/>
                <w:sz w:val="21"/>
                <w:szCs w:val="21"/>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6" w:type="dxa"/>
            <w:vAlign w:val="center"/>
          </w:tcPr>
          <w:p>
            <w:pPr>
              <w:widowControl/>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1</w:t>
            </w:r>
          </w:p>
        </w:tc>
        <w:tc>
          <w:tcPr>
            <w:tcW w:w="1806" w:type="dxa"/>
            <w:vAlign w:val="center"/>
          </w:tcPr>
          <w:p>
            <w:pPr>
              <w:widowControl/>
              <w:spacing w:line="360" w:lineRule="auto"/>
              <w:jc w:val="center"/>
              <w:rPr>
                <w:rFonts w:hint="eastAsia" w:ascii="宋体" w:hAnsi="宋体" w:eastAsia="宋体" w:cs="宋体"/>
                <w:kern w:val="0"/>
                <w:szCs w:val="21"/>
                <w:highlight w:val="none"/>
              </w:rPr>
            </w:pPr>
            <w:r>
              <w:rPr>
                <w:rFonts w:hint="eastAsia" w:ascii="宋体" w:hAnsi="宋体" w:eastAsia="宋体" w:cs="宋体"/>
                <w:kern w:val="0"/>
                <w:szCs w:val="21"/>
                <w:highlight w:val="none"/>
                <w:lang w:val="en-US" w:eastAsia="zh-CN"/>
              </w:rPr>
              <w:t>响应</w:t>
            </w:r>
            <w:r>
              <w:rPr>
                <w:rFonts w:hint="eastAsia" w:ascii="宋体" w:hAnsi="宋体" w:eastAsia="宋体" w:cs="宋体"/>
                <w:kern w:val="0"/>
                <w:szCs w:val="21"/>
                <w:highlight w:val="none"/>
              </w:rPr>
              <w:t>报价</w:t>
            </w:r>
          </w:p>
        </w:tc>
        <w:tc>
          <w:tcPr>
            <w:tcW w:w="6266" w:type="dxa"/>
            <w:vAlign w:val="center"/>
          </w:tcPr>
          <w:p>
            <w:pPr>
              <w:widowControl/>
              <w:spacing w:line="360" w:lineRule="auto"/>
              <w:jc w:val="left"/>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rPr>
              <w:t>内容无缺漏项，报价唯一，且没有超过采购预算和相应的最高限价</w:t>
            </w:r>
            <w:r>
              <w:rPr>
                <w:rFonts w:hint="eastAsia" w:ascii="宋体" w:hAnsi="宋体" w:eastAsia="宋体" w:cs="宋体"/>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6" w:type="dxa"/>
            <w:vAlign w:val="center"/>
          </w:tcPr>
          <w:p>
            <w:pPr>
              <w:widowControl/>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2</w:t>
            </w:r>
          </w:p>
        </w:tc>
        <w:tc>
          <w:tcPr>
            <w:tcW w:w="1806" w:type="dxa"/>
            <w:vAlign w:val="center"/>
          </w:tcPr>
          <w:p>
            <w:pPr>
              <w:widowControl/>
              <w:spacing w:line="360" w:lineRule="auto"/>
              <w:jc w:val="center"/>
              <w:rPr>
                <w:rFonts w:hint="eastAsia" w:ascii="宋体" w:hAnsi="宋体" w:eastAsia="宋体" w:cs="宋体"/>
                <w:kern w:val="0"/>
                <w:szCs w:val="21"/>
                <w:highlight w:val="none"/>
              </w:rPr>
            </w:pPr>
            <w:r>
              <w:rPr>
                <w:rFonts w:hint="eastAsia" w:ascii="宋体" w:hAnsi="宋体" w:eastAsia="宋体" w:cs="宋体"/>
                <w:kern w:val="0"/>
                <w:szCs w:val="21"/>
                <w:highlight w:val="none"/>
                <w:lang w:val="en-US" w:eastAsia="zh-CN"/>
              </w:rPr>
              <w:t>响应</w:t>
            </w:r>
            <w:r>
              <w:rPr>
                <w:rFonts w:hint="eastAsia" w:ascii="宋体" w:hAnsi="宋体" w:eastAsia="宋体" w:cs="宋体"/>
                <w:kern w:val="0"/>
                <w:szCs w:val="21"/>
                <w:highlight w:val="none"/>
              </w:rPr>
              <w:t>文件有效性</w:t>
            </w:r>
          </w:p>
        </w:tc>
        <w:tc>
          <w:tcPr>
            <w:tcW w:w="6266" w:type="dxa"/>
            <w:vAlign w:val="center"/>
          </w:tcPr>
          <w:p>
            <w:pPr>
              <w:widowControl/>
              <w:spacing w:line="360" w:lineRule="auto"/>
              <w:jc w:val="left"/>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lang w:val="en-US" w:eastAsia="zh-CN"/>
              </w:rPr>
              <w:t>法定代表人或授权代表签字、盖章和供应商公章</w:t>
            </w:r>
            <w:r>
              <w:rPr>
                <w:rFonts w:hint="eastAsia" w:ascii="宋体" w:hAnsi="宋体" w:eastAsia="宋体" w:cs="宋体"/>
                <w:kern w:val="0"/>
                <w:szCs w:val="21"/>
                <w:highlight w:val="none"/>
              </w:rPr>
              <w:t>是否齐全、有效</w:t>
            </w:r>
            <w:r>
              <w:rPr>
                <w:rFonts w:hint="eastAsia" w:ascii="宋体" w:hAnsi="宋体" w:eastAsia="宋体" w:cs="宋体"/>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6" w:type="dxa"/>
            <w:vAlign w:val="center"/>
          </w:tcPr>
          <w:p>
            <w:pPr>
              <w:widowControl/>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3</w:t>
            </w:r>
          </w:p>
        </w:tc>
        <w:tc>
          <w:tcPr>
            <w:tcW w:w="1806" w:type="dxa"/>
            <w:vAlign w:val="center"/>
          </w:tcPr>
          <w:p>
            <w:pPr>
              <w:widowControl/>
              <w:spacing w:line="360" w:lineRule="auto"/>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谈判保证金</w:t>
            </w:r>
          </w:p>
        </w:tc>
        <w:tc>
          <w:tcPr>
            <w:tcW w:w="6266" w:type="dxa"/>
            <w:vAlign w:val="center"/>
          </w:tcPr>
          <w:p>
            <w:pPr>
              <w:widowControl/>
              <w:spacing w:line="360" w:lineRule="auto"/>
              <w:jc w:val="left"/>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谈判保证金是否按采购文件要求缴纳；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6" w:type="dxa"/>
            <w:vAlign w:val="center"/>
          </w:tcPr>
          <w:p>
            <w:pPr>
              <w:widowControl/>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4</w:t>
            </w:r>
          </w:p>
        </w:tc>
        <w:tc>
          <w:tcPr>
            <w:tcW w:w="1806" w:type="dxa"/>
            <w:vAlign w:val="center"/>
          </w:tcPr>
          <w:p>
            <w:pPr>
              <w:widowControl/>
              <w:spacing w:line="360" w:lineRule="auto"/>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响应</w:t>
            </w:r>
            <w:r>
              <w:rPr>
                <w:rFonts w:hint="eastAsia" w:ascii="宋体" w:hAnsi="宋体" w:eastAsia="宋体" w:cs="宋体"/>
                <w:kern w:val="0"/>
                <w:szCs w:val="21"/>
                <w:highlight w:val="none"/>
              </w:rPr>
              <w:t>有效期</w:t>
            </w:r>
          </w:p>
        </w:tc>
        <w:tc>
          <w:tcPr>
            <w:tcW w:w="6266" w:type="dxa"/>
            <w:vAlign w:val="center"/>
          </w:tcPr>
          <w:p>
            <w:pPr>
              <w:widowControl/>
              <w:spacing w:line="360" w:lineRule="auto"/>
              <w:jc w:val="left"/>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Cs w:val="21"/>
                <w:highlight w:val="none"/>
                <w:lang w:val="en-US" w:eastAsia="zh-CN"/>
              </w:rPr>
              <w:t>自响应</w:t>
            </w:r>
            <w:r>
              <w:rPr>
                <w:rFonts w:hint="eastAsia" w:ascii="宋体" w:hAnsi="宋体" w:eastAsia="宋体" w:cs="宋体"/>
                <w:kern w:val="0"/>
                <w:szCs w:val="21"/>
                <w:highlight w:val="none"/>
              </w:rPr>
              <w:t>文件递交截止之日</w:t>
            </w:r>
            <w:r>
              <w:rPr>
                <w:rFonts w:hint="eastAsia" w:ascii="宋体" w:hAnsi="宋体" w:eastAsia="宋体" w:cs="宋体"/>
                <w:kern w:val="0"/>
                <w:szCs w:val="21"/>
                <w:highlight w:val="none"/>
                <w:lang w:val="en-US" w:eastAsia="zh-CN"/>
              </w:rPr>
              <w:t>起不少于</w:t>
            </w:r>
            <w:r>
              <w:rPr>
                <w:rFonts w:hint="eastAsia" w:ascii="宋体" w:hAnsi="宋体" w:eastAsia="宋体" w:cs="宋体"/>
                <w:kern w:val="0"/>
                <w:szCs w:val="21"/>
                <w:highlight w:val="none"/>
              </w:rPr>
              <w:t>90日历日</w:t>
            </w:r>
            <w:r>
              <w:rPr>
                <w:rFonts w:hint="eastAsia" w:ascii="宋体" w:hAnsi="宋体" w:eastAsia="宋体" w:cs="宋体"/>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6" w:type="dxa"/>
            <w:vAlign w:val="center"/>
          </w:tcPr>
          <w:p>
            <w:pPr>
              <w:widowControl/>
              <w:jc w:val="center"/>
              <w:rPr>
                <w:rFonts w:hint="default" w:ascii="宋体" w:hAnsi="宋体" w:eastAsia="宋体" w:cs="宋体"/>
                <w:kern w:val="0"/>
                <w:szCs w:val="21"/>
                <w:highlight w:val="none"/>
                <w:lang w:val="en-US" w:eastAsia="zh-CN"/>
              </w:rPr>
            </w:pPr>
            <w:bookmarkStart w:id="30" w:name="_Toc75259347"/>
            <w:bookmarkStart w:id="31" w:name="_Toc14255"/>
            <w:r>
              <w:rPr>
                <w:rFonts w:hint="eastAsia" w:ascii="宋体" w:hAnsi="宋体" w:eastAsia="宋体" w:cs="宋体"/>
                <w:kern w:val="0"/>
                <w:szCs w:val="21"/>
                <w:highlight w:val="none"/>
                <w:lang w:val="en-US" w:eastAsia="zh-CN"/>
              </w:rPr>
              <w:t>5</w:t>
            </w:r>
          </w:p>
        </w:tc>
        <w:tc>
          <w:tcPr>
            <w:tcW w:w="1806" w:type="dxa"/>
            <w:vAlign w:val="center"/>
          </w:tcPr>
          <w:p>
            <w:pPr>
              <w:widowControl/>
              <w:spacing w:line="360" w:lineRule="auto"/>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技术/服务要求</w:t>
            </w:r>
          </w:p>
        </w:tc>
        <w:tc>
          <w:tcPr>
            <w:tcW w:w="6266" w:type="dxa"/>
            <w:vAlign w:val="center"/>
          </w:tcPr>
          <w:p>
            <w:pPr>
              <w:widowControl/>
              <w:spacing w:line="360" w:lineRule="auto"/>
              <w:jc w:val="left"/>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是否完全理解并接受对合格供应商、合格的货物、工程或服务要求，技术/服务没有重大偏离和保留；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66" w:type="dxa"/>
            <w:vAlign w:val="center"/>
          </w:tcPr>
          <w:p>
            <w:pPr>
              <w:widowControl/>
              <w:jc w:val="center"/>
              <w:rPr>
                <w:rFonts w:hint="default"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6</w:t>
            </w:r>
          </w:p>
        </w:tc>
        <w:tc>
          <w:tcPr>
            <w:tcW w:w="1806" w:type="dxa"/>
            <w:vAlign w:val="center"/>
          </w:tcPr>
          <w:p>
            <w:pPr>
              <w:widowControl/>
              <w:spacing w:line="360" w:lineRule="auto"/>
              <w:jc w:val="center"/>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合同文本</w:t>
            </w:r>
          </w:p>
        </w:tc>
        <w:tc>
          <w:tcPr>
            <w:tcW w:w="6266" w:type="dxa"/>
            <w:vAlign w:val="center"/>
          </w:tcPr>
          <w:p>
            <w:pPr>
              <w:widowControl/>
              <w:spacing w:line="360" w:lineRule="auto"/>
              <w:jc w:val="left"/>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lang w:val="en-US" w:eastAsia="zh-CN"/>
              </w:rPr>
              <w:t>是否完全完全理解并接受招标文件合同基本条款的要求。</w:t>
            </w:r>
          </w:p>
        </w:tc>
      </w:tr>
    </w:tbl>
    <w:p>
      <w:pPr>
        <w:pStyle w:val="17"/>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12．</w:t>
      </w:r>
      <w:r>
        <w:rPr>
          <w:rFonts w:hint="eastAsia" w:ascii="宋体" w:hAnsi="宋体" w:eastAsia="宋体" w:cs="宋体"/>
          <w:b/>
          <w:color w:val="auto"/>
          <w:sz w:val="21"/>
          <w:szCs w:val="21"/>
          <w:highlight w:val="none"/>
          <w:lang w:eastAsia="zh-CN"/>
        </w:rPr>
        <w:t>谈判</w:t>
      </w:r>
      <w:r>
        <w:rPr>
          <w:rFonts w:hint="eastAsia" w:ascii="宋体" w:hAnsi="宋体" w:eastAsia="宋体" w:cs="宋体"/>
          <w:b/>
          <w:color w:val="auto"/>
          <w:sz w:val="21"/>
          <w:szCs w:val="21"/>
          <w:highlight w:val="none"/>
        </w:rPr>
        <w:t>小组</w:t>
      </w:r>
      <w:bookmarkEnd w:id="30"/>
      <w:bookmarkEnd w:id="31"/>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lang w:val="zh-CN"/>
        </w:rPr>
        <w:t>谈判小组由采购人代表和评审专家共同组成，评审专家应当从政府采购评审专家库内相关专业的专家名单中随机抽取，</w:t>
      </w:r>
      <w:r>
        <w:rPr>
          <w:rFonts w:hint="eastAsia" w:ascii="宋体" w:hAnsi="宋体" w:eastAsia="宋体" w:cs="宋体"/>
          <w:sz w:val="21"/>
          <w:szCs w:val="21"/>
          <w:highlight w:val="none"/>
          <w:lang w:val="zh-CN"/>
        </w:rPr>
        <w:t>专家比例不少于</w:t>
      </w:r>
      <w:r>
        <w:rPr>
          <w:rFonts w:hint="eastAsia" w:ascii="宋体" w:hAnsi="宋体" w:eastAsia="宋体" w:cs="宋体"/>
          <w:sz w:val="21"/>
          <w:szCs w:val="21"/>
          <w:highlight w:val="none"/>
          <w:lang w:val="en-US" w:eastAsia="zh-CN"/>
        </w:rPr>
        <w:t>谈判小组</w:t>
      </w:r>
      <w:r>
        <w:rPr>
          <w:rFonts w:hint="eastAsia" w:ascii="宋体" w:hAnsi="宋体" w:eastAsia="宋体" w:cs="宋体"/>
          <w:sz w:val="21"/>
          <w:szCs w:val="21"/>
          <w:highlight w:val="none"/>
          <w:lang w:val="zh-CN"/>
        </w:rPr>
        <w:t>成员总数的三分之二。</w:t>
      </w:r>
    </w:p>
    <w:p>
      <w:pPr>
        <w:pStyle w:val="17"/>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1"/>
          <w:highlight w:val="none"/>
        </w:rPr>
      </w:pPr>
      <w:bookmarkStart w:id="32" w:name="_Toc75259348"/>
      <w:bookmarkStart w:id="33" w:name="_Toc28214"/>
      <w:r>
        <w:rPr>
          <w:rFonts w:hint="eastAsia" w:ascii="宋体" w:hAnsi="宋体" w:eastAsia="宋体" w:cs="宋体"/>
          <w:b/>
          <w:color w:val="auto"/>
          <w:sz w:val="21"/>
          <w:szCs w:val="21"/>
          <w:highlight w:val="none"/>
        </w:rPr>
        <w:t>13．</w:t>
      </w:r>
      <w:r>
        <w:rPr>
          <w:rFonts w:hint="eastAsia" w:ascii="宋体" w:hAnsi="宋体" w:eastAsia="宋体" w:cs="宋体"/>
          <w:b/>
          <w:color w:val="auto"/>
          <w:sz w:val="21"/>
          <w:szCs w:val="21"/>
          <w:highlight w:val="none"/>
          <w:lang w:eastAsia="zh-CN"/>
        </w:rPr>
        <w:t>谈判</w:t>
      </w:r>
      <w:r>
        <w:rPr>
          <w:rFonts w:hint="eastAsia" w:ascii="宋体" w:hAnsi="宋体" w:eastAsia="宋体" w:cs="宋体"/>
          <w:b/>
          <w:color w:val="auto"/>
          <w:sz w:val="21"/>
          <w:szCs w:val="21"/>
          <w:highlight w:val="none"/>
        </w:rPr>
        <w:t>评审纪律</w:t>
      </w:r>
      <w:bookmarkEnd w:id="32"/>
      <w:bookmarkEnd w:id="33"/>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13.1</w:t>
      </w:r>
      <w:r>
        <w:rPr>
          <w:rFonts w:hint="eastAsia" w:ascii="宋体" w:hAnsi="宋体" w:eastAsia="宋体" w:cs="宋体"/>
          <w:color w:val="auto"/>
          <w:sz w:val="21"/>
          <w:szCs w:val="21"/>
          <w:highlight w:val="none"/>
          <w:lang w:eastAsia="zh-CN"/>
        </w:rPr>
        <w:t>谈判</w:t>
      </w:r>
      <w:r>
        <w:rPr>
          <w:rFonts w:hint="eastAsia" w:ascii="宋体" w:hAnsi="宋体" w:eastAsia="宋体" w:cs="宋体"/>
          <w:color w:val="auto"/>
          <w:sz w:val="21"/>
          <w:szCs w:val="21"/>
          <w:highlight w:val="none"/>
        </w:rPr>
        <w:t>小组成员</w:t>
      </w:r>
      <w:r>
        <w:rPr>
          <w:rFonts w:hint="eastAsia" w:ascii="宋体" w:hAnsi="宋体" w:eastAsia="宋体" w:cs="宋体"/>
          <w:color w:val="auto"/>
          <w:sz w:val="21"/>
          <w:szCs w:val="21"/>
          <w:highlight w:val="none"/>
          <w:lang w:val="zh-CN"/>
        </w:rPr>
        <w:t>内部讨论的情况和意见必须保密，任何人不得以任何形式透露给供应商或与供应商有关的单位或个人；</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13.2</w:t>
      </w:r>
      <w:r>
        <w:rPr>
          <w:rFonts w:hint="eastAsia" w:ascii="宋体" w:hAnsi="宋体" w:eastAsia="宋体" w:cs="宋体"/>
          <w:color w:val="auto"/>
          <w:sz w:val="21"/>
          <w:szCs w:val="21"/>
          <w:highlight w:val="none"/>
          <w:lang w:val="zh-CN"/>
        </w:rPr>
        <w:t>在谈判过程中，供应商不得以任何形式对谈判小组成员进行旨在影响谈判结果的私下接触，否则取消其谈判资格；</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13.3</w:t>
      </w:r>
      <w:r>
        <w:rPr>
          <w:rFonts w:hint="eastAsia" w:ascii="宋体" w:hAnsi="宋体" w:eastAsia="宋体" w:cs="宋体"/>
          <w:color w:val="auto"/>
          <w:sz w:val="21"/>
          <w:szCs w:val="21"/>
          <w:highlight w:val="none"/>
          <w:lang w:val="zh-CN"/>
        </w:rPr>
        <w:t>谈判小组以及与谈判有关的人员应当对评审情况和评审过程中获悉的国家秘密、商业秘密予以保密。</w:t>
      </w:r>
    </w:p>
    <w:p>
      <w:pPr>
        <w:pStyle w:val="17"/>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1"/>
          <w:highlight w:val="none"/>
        </w:rPr>
      </w:pPr>
      <w:bookmarkStart w:id="34" w:name="_Toc75259349"/>
      <w:bookmarkStart w:id="35" w:name="_Toc16592"/>
      <w:r>
        <w:rPr>
          <w:rFonts w:hint="eastAsia" w:ascii="宋体" w:hAnsi="宋体" w:eastAsia="宋体" w:cs="宋体"/>
          <w:b/>
          <w:color w:val="auto"/>
          <w:sz w:val="21"/>
          <w:szCs w:val="21"/>
          <w:highlight w:val="none"/>
        </w:rPr>
        <w:t>14．无效响应文件情况说明</w:t>
      </w:r>
      <w:bookmarkEnd w:id="34"/>
      <w:bookmarkEnd w:id="35"/>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响应文件有下列情形之一的，应当按照无效响应文件处理： </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bCs/>
          <w:color w:val="auto"/>
          <w:sz w:val="21"/>
          <w:szCs w:val="21"/>
          <w:highlight w:val="none"/>
        </w:rPr>
        <w:t>14.1</w:t>
      </w:r>
      <w:r>
        <w:rPr>
          <w:rFonts w:hint="eastAsia" w:ascii="宋体" w:hAnsi="宋体" w:eastAsia="宋体" w:cs="宋体"/>
          <w:color w:val="auto"/>
          <w:sz w:val="21"/>
          <w:szCs w:val="21"/>
          <w:highlight w:val="none"/>
        </w:rPr>
        <w:t>未按</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文件规定要求签署、盖章的；</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14.2不具备</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文件中规定的资格要求的；</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14.3报价超过采购预算的；</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14.4未完全响应</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文件规定的实质性要求的；</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14.5不符合法律、法规规定的其他情形</w:t>
      </w:r>
      <w:r>
        <w:rPr>
          <w:rFonts w:hint="eastAsia" w:ascii="宋体" w:hAnsi="宋体" w:eastAsia="宋体" w:cs="宋体"/>
          <w:color w:val="auto"/>
          <w:sz w:val="21"/>
          <w:szCs w:val="21"/>
          <w:highlight w:val="none"/>
          <w:lang w:eastAsia="zh-CN"/>
        </w:rPr>
        <w:t>；</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14.6供应商没有经过正常渠道</w:t>
      </w:r>
      <w:r>
        <w:rPr>
          <w:rFonts w:hint="eastAsia" w:ascii="宋体" w:hAnsi="宋体" w:eastAsia="宋体" w:cs="宋体"/>
          <w:color w:val="auto"/>
          <w:sz w:val="21"/>
          <w:szCs w:val="21"/>
          <w:highlight w:val="none"/>
          <w:lang w:val="en-US" w:eastAsia="zh-CN"/>
        </w:rPr>
        <w:t>获取采购</w:t>
      </w:r>
      <w:r>
        <w:rPr>
          <w:rFonts w:hint="eastAsia" w:ascii="宋体" w:hAnsi="宋体" w:eastAsia="宋体" w:cs="宋体"/>
          <w:color w:val="auto"/>
          <w:sz w:val="21"/>
          <w:szCs w:val="21"/>
          <w:highlight w:val="none"/>
        </w:rPr>
        <w:t>文件或</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名称与登记领取</w:t>
      </w:r>
      <w:r>
        <w:rPr>
          <w:rFonts w:hint="eastAsia" w:ascii="宋体" w:hAnsi="宋体" w:eastAsia="宋体" w:cs="宋体"/>
          <w:color w:val="auto"/>
          <w:sz w:val="21"/>
          <w:szCs w:val="21"/>
          <w:highlight w:val="none"/>
          <w:lang w:eastAsia="zh-CN"/>
        </w:rPr>
        <w:t>采购</w:t>
      </w:r>
      <w:r>
        <w:rPr>
          <w:rFonts w:hint="eastAsia" w:ascii="宋体" w:hAnsi="宋体" w:eastAsia="宋体" w:cs="宋体"/>
          <w:color w:val="auto"/>
          <w:sz w:val="21"/>
          <w:szCs w:val="21"/>
          <w:highlight w:val="none"/>
          <w:lang w:val="en-US" w:eastAsia="zh-CN"/>
        </w:rPr>
        <w:t>文件</w:t>
      </w:r>
      <w:r>
        <w:rPr>
          <w:rFonts w:hint="eastAsia" w:ascii="宋体" w:hAnsi="宋体" w:eastAsia="宋体" w:cs="宋体"/>
          <w:color w:val="auto"/>
          <w:sz w:val="21"/>
          <w:szCs w:val="21"/>
          <w:highlight w:val="none"/>
        </w:rPr>
        <w:t>人的名称不符；</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color w:val="auto"/>
          <w:sz w:val="21"/>
          <w:szCs w:val="21"/>
          <w:highlight w:val="none"/>
        </w:rPr>
        <w:t>14.7响应文件</w:t>
      </w:r>
      <w:r>
        <w:rPr>
          <w:rFonts w:hint="eastAsia" w:ascii="宋体" w:hAnsi="宋体" w:eastAsia="宋体" w:cs="宋体"/>
          <w:bCs/>
          <w:color w:val="auto"/>
          <w:sz w:val="21"/>
          <w:szCs w:val="21"/>
          <w:highlight w:val="none"/>
        </w:rPr>
        <w:t>没有盖单位公章</w:t>
      </w:r>
      <w:r>
        <w:rPr>
          <w:rFonts w:hint="eastAsia" w:eastAsia="宋体" w:cs="宋体"/>
          <w:color w:val="auto"/>
          <w:sz w:val="21"/>
          <w:szCs w:val="21"/>
          <w:highlight w:val="none"/>
          <w:lang w:eastAsia="zh-CN"/>
        </w:rPr>
        <w:t>签章处没有签字和盖章的</w:t>
      </w:r>
      <w:r>
        <w:rPr>
          <w:rFonts w:hint="eastAsia" w:ascii="宋体" w:hAnsi="宋体" w:eastAsia="宋体" w:cs="宋体"/>
          <w:bCs/>
          <w:color w:val="auto"/>
          <w:sz w:val="21"/>
          <w:szCs w:val="21"/>
          <w:highlight w:val="none"/>
        </w:rPr>
        <w:t>，无有效期或有效期达不到</w:t>
      </w:r>
      <w:r>
        <w:rPr>
          <w:rFonts w:hint="eastAsia" w:ascii="宋体" w:hAnsi="宋体" w:eastAsia="宋体" w:cs="宋体"/>
          <w:bCs/>
          <w:color w:val="auto"/>
          <w:sz w:val="21"/>
          <w:szCs w:val="21"/>
          <w:highlight w:val="none"/>
          <w:lang w:val="en-US" w:eastAsia="zh-CN"/>
        </w:rPr>
        <w:t>采购</w:t>
      </w:r>
      <w:r>
        <w:rPr>
          <w:rFonts w:hint="eastAsia" w:ascii="宋体" w:hAnsi="宋体" w:eastAsia="宋体" w:cs="宋体"/>
          <w:bCs/>
          <w:color w:val="auto"/>
          <w:sz w:val="21"/>
          <w:szCs w:val="21"/>
          <w:highlight w:val="none"/>
        </w:rPr>
        <w:t>文件的要求；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14.8供应商针对同一项目递交两份或多份内容不同的响应文件，未书面声明哪一份是有效的；出现选择性报价的；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14.9提供虚假资质证明，除按无效响应文件处理外，并进行相应的处罚；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sz w:val="21"/>
          <w:szCs w:val="21"/>
          <w:highlight w:val="none"/>
        </w:rPr>
        <w:t>14.10</w:t>
      </w:r>
      <w:r>
        <w:rPr>
          <w:rFonts w:hint="eastAsia" w:ascii="宋体" w:hAnsi="宋体" w:eastAsia="宋体" w:cs="宋体"/>
          <w:bCs/>
          <w:color w:val="auto"/>
          <w:kern w:val="0"/>
          <w:sz w:val="21"/>
          <w:szCs w:val="21"/>
          <w:highlight w:val="none"/>
        </w:rPr>
        <w:t>单位负责人为同一人或者存在直接控股、管理关系的不同单位不得同时</w:t>
      </w:r>
      <w:r>
        <w:rPr>
          <w:rFonts w:hint="eastAsia" w:ascii="宋体" w:hAnsi="宋体" w:eastAsia="宋体" w:cs="宋体"/>
          <w:bCs/>
          <w:color w:val="auto"/>
          <w:kern w:val="0"/>
          <w:sz w:val="21"/>
          <w:szCs w:val="21"/>
          <w:highlight w:val="none"/>
          <w:lang w:val="en-US" w:eastAsia="zh-CN"/>
        </w:rPr>
        <w:t>参加</w:t>
      </w:r>
      <w:r>
        <w:rPr>
          <w:rFonts w:hint="eastAsia" w:ascii="宋体" w:hAnsi="宋体" w:eastAsia="宋体" w:cs="宋体"/>
          <w:bCs/>
          <w:color w:val="auto"/>
          <w:kern w:val="0"/>
          <w:sz w:val="21"/>
          <w:szCs w:val="21"/>
          <w:highlight w:val="none"/>
          <w:lang w:eastAsia="zh-CN"/>
        </w:rPr>
        <w:t>谈判</w:t>
      </w:r>
      <w:r>
        <w:rPr>
          <w:rFonts w:hint="eastAsia" w:ascii="宋体" w:hAnsi="宋体" w:eastAsia="宋体" w:cs="宋体"/>
          <w:bCs/>
          <w:color w:val="auto"/>
          <w:kern w:val="0"/>
          <w:sz w:val="21"/>
          <w:szCs w:val="21"/>
          <w:highlight w:val="none"/>
        </w:rPr>
        <w:t>。</w:t>
      </w:r>
    </w:p>
    <w:p>
      <w:pPr>
        <w:pStyle w:val="7"/>
        <w:keepNext w:val="0"/>
        <w:keepLines w:val="0"/>
        <w:pageBreakBefore w:val="0"/>
        <w:widowControl w:val="0"/>
        <w:kinsoku/>
        <w:wordWrap/>
        <w:overflowPunct/>
        <w:topLinePunct w:val="0"/>
        <w:autoSpaceDE/>
        <w:autoSpaceDN/>
        <w:bidi w:val="0"/>
        <w:adjustRightInd/>
        <w:snapToGrid/>
        <w:spacing w:afterLines="0"/>
        <w:ind w:firstLine="420" w:firstLineChars="200"/>
        <w:textAlignment w:val="auto"/>
        <w:rPr>
          <w:rFonts w:hint="eastAsia" w:ascii="宋体" w:hAnsi="宋体" w:eastAsia="宋体" w:cs="宋体"/>
          <w:bCs/>
          <w:color w:val="auto"/>
          <w:sz w:val="21"/>
          <w:szCs w:val="21"/>
          <w:highlight w:val="none"/>
          <w:lang w:val="en-US" w:eastAsia="zh-CN"/>
        </w:rPr>
      </w:pPr>
      <w:r>
        <w:rPr>
          <w:rFonts w:hint="eastAsia" w:ascii="宋体" w:hAnsi="宋体" w:eastAsia="宋体" w:cs="宋体"/>
          <w:bCs/>
          <w:color w:val="auto"/>
          <w:sz w:val="21"/>
          <w:szCs w:val="21"/>
          <w:highlight w:val="none"/>
        </w:rPr>
        <w:t>14.1</w:t>
      </w:r>
      <w:r>
        <w:rPr>
          <w:rFonts w:hint="eastAsia" w:ascii="宋体" w:hAnsi="宋体" w:eastAsia="宋体" w:cs="宋体"/>
          <w:bCs/>
          <w:color w:val="auto"/>
          <w:sz w:val="21"/>
          <w:szCs w:val="21"/>
          <w:highlight w:val="none"/>
          <w:lang w:val="en-US" w:eastAsia="zh-CN"/>
        </w:rPr>
        <w:t>1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bookmarkStart w:id="36" w:name="_Toc24547"/>
      <w:bookmarkStart w:id="37" w:name="_Toc75259350"/>
    </w:p>
    <w:p>
      <w:pPr>
        <w:pStyle w:val="7"/>
        <w:keepNext w:val="0"/>
        <w:keepLines w:val="0"/>
        <w:pageBreakBefore w:val="0"/>
        <w:widowControl w:val="0"/>
        <w:kinsoku/>
        <w:wordWrap/>
        <w:overflowPunct/>
        <w:topLinePunct w:val="0"/>
        <w:autoSpaceDE/>
        <w:autoSpaceDN/>
        <w:bidi w:val="0"/>
        <w:adjustRightInd/>
        <w:snapToGrid/>
        <w:spacing w:afterLines="0"/>
        <w:ind w:firstLine="422" w:firstLineChars="200"/>
        <w:textAlignment w:val="auto"/>
        <w:rPr>
          <w:rFonts w:hint="eastAsia" w:ascii="宋体" w:hAnsi="宋体" w:eastAsia="宋体" w:cs="宋体"/>
          <w:b/>
          <w:color w:val="FF0000"/>
          <w:sz w:val="21"/>
          <w:szCs w:val="21"/>
          <w:highlight w:val="none"/>
        </w:rPr>
      </w:pPr>
      <w:r>
        <w:rPr>
          <w:rFonts w:hint="eastAsia" w:ascii="宋体" w:hAnsi="宋体" w:eastAsia="宋体" w:cs="宋体"/>
          <w:b/>
          <w:color w:val="auto"/>
          <w:sz w:val="21"/>
          <w:szCs w:val="21"/>
          <w:highlight w:val="none"/>
        </w:rPr>
        <w:t>15．对响应文件的修正</w:t>
      </w:r>
      <w:bookmarkEnd w:id="36"/>
      <w:bookmarkEnd w:id="37"/>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谈判</w:t>
      </w:r>
      <w:r>
        <w:rPr>
          <w:rFonts w:hint="eastAsia" w:ascii="宋体" w:hAnsi="宋体" w:eastAsia="宋体" w:cs="宋体"/>
          <w:color w:val="auto"/>
          <w:sz w:val="21"/>
          <w:szCs w:val="21"/>
          <w:highlight w:val="none"/>
        </w:rPr>
        <w:t>中，对价格的计算错误按下述原则修正：</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eastAsia="zh-CN"/>
        </w:rPr>
        <w:t>谈判</w:t>
      </w:r>
      <w:r>
        <w:rPr>
          <w:rFonts w:hint="eastAsia" w:ascii="宋体" w:hAnsi="宋体" w:eastAsia="宋体" w:cs="宋体"/>
          <w:color w:val="auto"/>
          <w:kern w:val="0"/>
          <w:sz w:val="21"/>
          <w:szCs w:val="21"/>
          <w:highlight w:val="none"/>
        </w:rPr>
        <w:t>时，响应文件正本与副本不一致的，以正本为准</w:t>
      </w:r>
      <w:r>
        <w:rPr>
          <w:rFonts w:hint="eastAsia" w:ascii="宋体" w:hAnsi="宋体" w:eastAsia="宋体" w:cs="宋体"/>
          <w:color w:val="auto"/>
          <w:kern w:val="0"/>
          <w:sz w:val="21"/>
          <w:szCs w:val="21"/>
          <w:highlight w:val="none"/>
          <w:lang w:eastAsia="zh-CN"/>
        </w:rPr>
        <w:t>；</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（2）响应文件的大写金额和小写金额不一致的，以大写金额为准； </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（3）总价金额与按单价汇总金额不一致的，以单价金额计算结果为准；</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（4）单价金额小数点有明显错位的，应以总价为准，并修改单价；</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（5）对不同文字文本响应文件的解释发生异议的，以中文文本为准；</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（6）供应商不同意以上修正，则其响应文件将被拒绝。</w:t>
      </w:r>
    </w:p>
    <w:p>
      <w:pPr>
        <w:pStyle w:val="17"/>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1"/>
          <w:highlight w:val="none"/>
          <w:lang w:val="en-US" w:eastAsia="zh-CN"/>
        </w:rPr>
      </w:pPr>
      <w:bookmarkStart w:id="38" w:name="_Toc75259351"/>
      <w:bookmarkStart w:id="39" w:name="_Toc4534"/>
      <w:r>
        <w:rPr>
          <w:rFonts w:hint="eastAsia" w:ascii="宋体" w:hAnsi="宋体" w:eastAsia="宋体" w:cs="宋体"/>
          <w:b/>
          <w:color w:val="auto"/>
          <w:sz w:val="21"/>
          <w:szCs w:val="21"/>
          <w:highlight w:val="none"/>
        </w:rPr>
        <w:t>16</w:t>
      </w:r>
      <w:bookmarkEnd w:id="38"/>
      <w:r>
        <w:rPr>
          <w:rFonts w:hint="eastAsia" w:ascii="宋体" w:hAnsi="宋体" w:eastAsia="宋体" w:cs="宋体"/>
          <w:b/>
          <w:color w:val="auto"/>
          <w:sz w:val="21"/>
          <w:szCs w:val="21"/>
          <w:highlight w:val="none"/>
        </w:rPr>
        <w:t>．</w:t>
      </w:r>
      <w:r>
        <w:rPr>
          <w:rFonts w:hint="eastAsia" w:ascii="宋体" w:hAnsi="宋体" w:eastAsia="宋体" w:cs="宋体"/>
          <w:b/>
          <w:color w:val="auto"/>
          <w:sz w:val="21"/>
          <w:szCs w:val="21"/>
          <w:highlight w:val="none"/>
          <w:lang w:val="en-US" w:eastAsia="zh-CN"/>
        </w:rPr>
        <w:t>确定成交供应商</w:t>
      </w:r>
      <w:bookmarkEnd w:id="39"/>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16.1</w:t>
      </w:r>
      <w:r>
        <w:rPr>
          <w:rFonts w:hint="eastAsia" w:ascii="宋体" w:hAnsi="宋体" w:eastAsia="宋体" w:cs="宋体"/>
          <w:color w:val="auto"/>
          <w:kern w:val="0"/>
          <w:sz w:val="21"/>
          <w:szCs w:val="21"/>
          <w:highlight w:val="none"/>
        </w:rPr>
        <w:t>采购代理机构在评审结束后2个工作日内将评审报告送采购人确认。采购人应当在收到评审报告后5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16.2排序第一的供应商无故放弃成交资格的，没收其谈判保证金，并报监督部门做出处罚。</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kern w:val="0"/>
          <w:sz w:val="21"/>
          <w:szCs w:val="21"/>
          <w:highlight w:val="green"/>
        </w:rPr>
      </w:pPr>
      <w:r>
        <w:rPr>
          <w:rFonts w:hint="eastAsia" w:ascii="宋体" w:hAnsi="宋体" w:eastAsia="宋体" w:cs="宋体"/>
          <w:color w:val="auto"/>
          <w:kern w:val="0"/>
          <w:sz w:val="21"/>
          <w:szCs w:val="21"/>
          <w:highlight w:val="none"/>
          <w:lang w:val="en-US" w:eastAsia="zh-CN"/>
        </w:rPr>
        <w:t>16.3排序第一的供应商放弃成交资格后，采购人可以确定排序第二的供应商为成交人，也可以重新组织采购。</w:t>
      </w:r>
    </w:p>
    <w:p>
      <w:pPr>
        <w:pStyle w:val="17"/>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1"/>
          <w:highlight w:val="none"/>
        </w:rPr>
      </w:pPr>
      <w:bookmarkStart w:id="40" w:name="_Toc75259352"/>
      <w:bookmarkStart w:id="41" w:name="_Toc5127"/>
      <w:r>
        <w:rPr>
          <w:rFonts w:hint="eastAsia" w:ascii="宋体" w:hAnsi="宋体" w:eastAsia="宋体" w:cs="宋体"/>
          <w:b/>
          <w:color w:val="auto"/>
          <w:sz w:val="21"/>
          <w:szCs w:val="21"/>
          <w:highlight w:val="none"/>
        </w:rPr>
        <w:t>17．成交通知</w:t>
      </w:r>
      <w:bookmarkEnd w:id="40"/>
      <w:r>
        <w:rPr>
          <w:rFonts w:hint="eastAsia" w:ascii="宋体" w:hAnsi="宋体" w:eastAsia="宋体" w:cs="宋体"/>
          <w:b/>
          <w:color w:val="auto"/>
          <w:sz w:val="21"/>
          <w:szCs w:val="21"/>
          <w:highlight w:val="none"/>
          <w:lang w:val="en-US" w:eastAsia="zh-CN"/>
        </w:rPr>
        <w:t>书</w:t>
      </w:r>
      <w:bookmarkEnd w:id="41"/>
      <w:r>
        <w:rPr>
          <w:rFonts w:hint="eastAsia" w:ascii="宋体" w:hAnsi="宋体" w:eastAsia="宋体" w:cs="宋体"/>
          <w:b/>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17.1采购人或者采购代理机构应当在成交供应商确定后2个工作日内，在省级以上财政部门指定的政府采购信息发布媒体上公告成交结果，同时向成交供应商发出成交通知书。</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17.2成交通知书将是合同的一个组成部分。</w:t>
      </w:r>
    </w:p>
    <w:p>
      <w:pPr>
        <w:pStyle w:val="17"/>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1"/>
          <w:highlight w:val="none"/>
        </w:rPr>
      </w:pPr>
      <w:bookmarkStart w:id="42" w:name="_Toc14055"/>
      <w:bookmarkStart w:id="43" w:name="_Toc75259353"/>
      <w:r>
        <w:rPr>
          <w:rFonts w:hint="eastAsia" w:ascii="宋体" w:hAnsi="宋体" w:eastAsia="宋体" w:cs="宋体"/>
          <w:b/>
          <w:color w:val="auto"/>
          <w:sz w:val="21"/>
          <w:szCs w:val="21"/>
          <w:highlight w:val="none"/>
        </w:rPr>
        <w:t>18．合同授予</w:t>
      </w:r>
      <w:bookmarkEnd w:id="42"/>
      <w:bookmarkEnd w:id="4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18.1</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文件、响应文件及</w:t>
      </w:r>
      <w:r>
        <w:rPr>
          <w:rFonts w:hint="eastAsia" w:ascii="宋体" w:hAnsi="宋体" w:eastAsia="宋体" w:cs="宋体"/>
          <w:color w:val="auto"/>
          <w:sz w:val="21"/>
          <w:szCs w:val="21"/>
          <w:highlight w:val="none"/>
          <w:lang w:eastAsia="zh-CN"/>
        </w:rPr>
        <w:t>谈判</w:t>
      </w:r>
      <w:r>
        <w:rPr>
          <w:rFonts w:hint="eastAsia" w:ascii="宋体" w:hAnsi="宋体" w:eastAsia="宋体" w:cs="宋体"/>
          <w:color w:val="auto"/>
          <w:sz w:val="21"/>
          <w:szCs w:val="21"/>
          <w:highlight w:val="none"/>
        </w:rPr>
        <w:t>过程中有关补充文件均作为合同附件，并与合同具有相同的法律效力。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18.2当按照合同履行义务，完成</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项目。未经采购人同意，成交供应商不得向他人转让成交项目。</w:t>
      </w:r>
    </w:p>
    <w:p>
      <w:pPr>
        <w:pStyle w:val="17"/>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1"/>
          <w:highlight w:val="none"/>
        </w:rPr>
      </w:pPr>
      <w:bookmarkStart w:id="44" w:name="_Toc15685"/>
      <w:bookmarkStart w:id="45" w:name="_Toc75259354"/>
      <w:r>
        <w:rPr>
          <w:rFonts w:hint="eastAsia" w:ascii="宋体" w:hAnsi="宋体" w:eastAsia="宋体" w:cs="宋体"/>
          <w:b/>
          <w:color w:val="auto"/>
          <w:sz w:val="21"/>
          <w:szCs w:val="21"/>
          <w:highlight w:val="none"/>
        </w:rPr>
        <w:t>19．</w:t>
      </w:r>
      <w:r>
        <w:rPr>
          <w:rFonts w:hint="eastAsia" w:ascii="宋体" w:hAnsi="宋体" w:eastAsia="宋体" w:cs="宋体"/>
          <w:b/>
          <w:color w:val="auto"/>
          <w:sz w:val="21"/>
          <w:szCs w:val="21"/>
          <w:highlight w:val="none"/>
          <w:lang w:eastAsia="zh-CN"/>
        </w:rPr>
        <w:t>谈判</w:t>
      </w:r>
      <w:r>
        <w:rPr>
          <w:rFonts w:hint="eastAsia" w:ascii="宋体" w:hAnsi="宋体" w:eastAsia="宋体" w:cs="宋体"/>
          <w:b/>
          <w:color w:val="auto"/>
          <w:sz w:val="21"/>
          <w:szCs w:val="21"/>
          <w:highlight w:val="none"/>
        </w:rPr>
        <w:t>有效期</w:t>
      </w:r>
      <w:bookmarkEnd w:id="44"/>
      <w:bookmarkEnd w:id="45"/>
    </w:p>
    <w:p>
      <w:pPr>
        <w:pStyle w:val="17"/>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本项目</w:t>
      </w:r>
      <w:r>
        <w:rPr>
          <w:rFonts w:hint="eastAsia" w:ascii="宋体" w:hAnsi="宋体" w:eastAsia="宋体" w:cs="宋体"/>
          <w:b/>
          <w:bCs/>
          <w:color w:val="auto"/>
          <w:sz w:val="21"/>
          <w:szCs w:val="21"/>
          <w:highlight w:val="none"/>
          <w:lang w:eastAsia="zh-CN"/>
        </w:rPr>
        <w:t>谈判</w:t>
      </w:r>
      <w:r>
        <w:rPr>
          <w:rFonts w:hint="eastAsia" w:ascii="宋体" w:hAnsi="宋体" w:eastAsia="宋体" w:cs="宋体"/>
          <w:b/>
          <w:color w:val="auto"/>
          <w:sz w:val="21"/>
          <w:szCs w:val="21"/>
          <w:highlight w:val="none"/>
        </w:rPr>
        <w:t>有效期为</w:t>
      </w:r>
      <w:r>
        <w:rPr>
          <w:rFonts w:hint="eastAsia" w:ascii="宋体" w:hAnsi="宋体" w:eastAsia="宋体" w:cs="宋体"/>
          <w:b/>
          <w:color w:val="auto"/>
          <w:sz w:val="21"/>
          <w:szCs w:val="21"/>
          <w:highlight w:val="none"/>
          <w:u w:val="none"/>
        </w:rPr>
        <w:t>响应文件递交截止之日后90日历日</w:t>
      </w:r>
      <w:r>
        <w:rPr>
          <w:rFonts w:hint="eastAsia" w:ascii="宋体" w:hAnsi="宋体" w:eastAsia="宋体" w:cs="宋体"/>
          <w:b/>
          <w:color w:val="auto"/>
          <w:sz w:val="21"/>
          <w:szCs w:val="21"/>
          <w:highlight w:val="none"/>
        </w:rPr>
        <w:t>。</w:t>
      </w:r>
      <w:r>
        <w:rPr>
          <w:rFonts w:hint="eastAsia" w:ascii="宋体" w:hAnsi="宋体" w:eastAsia="宋体" w:cs="宋体"/>
          <w:color w:val="auto"/>
          <w:sz w:val="21"/>
          <w:szCs w:val="21"/>
          <w:highlight w:val="none"/>
        </w:rPr>
        <w:t>在此期限内，凡符合本</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文件要求的响应文件均保持有效。</w:t>
      </w:r>
    </w:p>
    <w:p>
      <w:pPr>
        <w:pStyle w:val="17"/>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1"/>
          <w:highlight w:val="none"/>
        </w:rPr>
      </w:pPr>
      <w:bookmarkStart w:id="46" w:name="_Toc22492"/>
      <w:bookmarkStart w:id="47" w:name="_Toc75259355"/>
      <w:r>
        <w:rPr>
          <w:rFonts w:hint="eastAsia" w:ascii="宋体" w:hAnsi="宋体" w:eastAsia="宋体" w:cs="宋体"/>
          <w:b/>
          <w:color w:val="auto"/>
          <w:sz w:val="21"/>
          <w:szCs w:val="21"/>
          <w:highlight w:val="none"/>
        </w:rPr>
        <w:t>20．签订合同</w:t>
      </w:r>
      <w:bookmarkEnd w:id="46"/>
      <w:bookmarkEnd w:id="47"/>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20.1成交</w:t>
      </w:r>
      <w:r>
        <w:rPr>
          <w:rFonts w:hint="eastAsia" w:ascii="宋体" w:hAnsi="宋体" w:eastAsia="宋体" w:cs="宋体"/>
          <w:color w:val="auto"/>
          <w:sz w:val="21"/>
          <w:szCs w:val="21"/>
          <w:highlight w:val="none"/>
          <w:lang w:val="en-US" w:eastAsia="zh-CN"/>
        </w:rPr>
        <w:t>供应商应自收到成交通知书之日起</w:t>
      </w:r>
      <w:r>
        <w:rPr>
          <w:rFonts w:hint="eastAsia" w:ascii="宋体" w:hAnsi="宋体" w:eastAsia="宋体" w:cs="宋体"/>
          <w:color w:val="FF0000"/>
          <w:sz w:val="21"/>
          <w:szCs w:val="21"/>
          <w:highlight w:val="none"/>
          <w:lang w:val="en-US" w:eastAsia="zh-CN"/>
        </w:rPr>
        <w:t>15</w:t>
      </w:r>
      <w:r>
        <w:rPr>
          <w:rFonts w:hint="eastAsia" w:ascii="宋体" w:hAnsi="宋体" w:eastAsia="宋体" w:cs="宋体"/>
          <w:color w:val="auto"/>
          <w:sz w:val="21"/>
          <w:szCs w:val="21"/>
          <w:highlight w:val="none"/>
          <w:lang w:val="en-US" w:eastAsia="zh-CN"/>
        </w:rPr>
        <w:t>日内</w:t>
      </w:r>
      <w:r>
        <w:rPr>
          <w:rFonts w:hint="eastAsia" w:ascii="宋体" w:hAnsi="宋体" w:eastAsia="宋体" w:cs="宋体"/>
          <w:color w:val="auto"/>
          <w:sz w:val="21"/>
          <w:szCs w:val="21"/>
          <w:highlight w:val="none"/>
        </w:rPr>
        <w:t>与采购人签订合同。</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20.2成交供应商应按成交通知书中规定的时间与采购人签订合同，否则按违约处理，</w:t>
      </w:r>
      <w:r>
        <w:rPr>
          <w:rFonts w:hint="eastAsia" w:ascii="宋体" w:hAnsi="宋体" w:eastAsia="宋体" w:cs="宋体"/>
          <w:color w:val="auto"/>
          <w:sz w:val="21"/>
          <w:szCs w:val="21"/>
          <w:highlight w:val="none"/>
          <w:lang w:val="en-US" w:eastAsia="zh-CN"/>
        </w:rPr>
        <w:t>没收成交人的谈判保证金，</w:t>
      </w:r>
      <w:r>
        <w:rPr>
          <w:rFonts w:hint="eastAsia" w:ascii="宋体" w:hAnsi="宋体" w:eastAsia="宋体" w:cs="宋体"/>
          <w:color w:val="auto"/>
          <w:sz w:val="21"/>
          <w:szCs w:val="21"/>
          <w:highlight w:val="none"/>
        </w:rPr>
        <w:t>并赔偿本次及再次采购所发生的费用。</w:t>
      </w:r>
    </w:p>
    <w:p>
      <w:pPr>
        <w:pStyle w:val="17"/>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20.3</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文件、成交供应商的响应文件及评审过程中有关澄清文件均应作为合同附件，并与合同具有相同的法律效力。</w:t>
      </w:r>
    </w:p>
    <w:p>
      <w:pPr>
        <w:pStyle w:val="17"/>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1"/>
          <w:highlight w:val="none"/>
        </w:rPr>
      </w:pPr>
      <w:bookmarkStart w:id="48" w:name="_Toc20207"/>
      <w:bookmarkStart w:id="49" w:name="_Toc75259356"/>
      <w:r>
        <w:rPr>
          <w:rFonts w:hint="eastAsia" w:ascii="宋体" w:hAnsi="宋体" w:eastAsia="宋体" w:cs="宋体"/>
          <w:b/>
          <w:color w:val="auto"/>
          <w:sz w:val="21"/>
          <w:szCs w:val="21"/>
          <w:highlight w:val="none"/>
        </w:rPr>
        <w:t>21．</w:t>
      </w:r>
      <w:r>
        <w:rPr>
          <w:rFonts w:hint="eastAsia" w:ascii="宋体" w:hAnsi="宋体" w:eastAsia="宋体" w:cs="宋体"/>
          <w:b/>
          <w:color w:val="auto"/>
          <w:sz w:val="21"/>
          <w:szCs w:val="21"/>
          <w:highlight w:val="none"/>
          <w:lang w:val="en-US" w:eastAsia="zh-CN"/>
        </w:rPr>
        <w:t>采购</w:t>
      </w:r>
      <w:r>
        <w:rPr>
          <w:rFonts w:hint="eastAsia" w:ascii="宋体" w:hAnsi="宋体" w:eastAsia="宋体" w:cs="宋体"/>
          <w:b/>
          <w:color w:val="auto"/>
          <w:sz w:val="21"/>
          <w:szCs w:val="21"/>
          <w:highlight w:val="none"/>
        </w:rPr>
        <w:t>代理服务费</w:t>
      </w:r>
      <w:bookmarkEnd w:id="48"/>
      <w:bookmarkEnd w:id="49"/>
    </w:p>
    <w:p>
      <w:pPr>
        <w:keepNext w:val="0"/>
        <w:keepLines w:val="0"/>
        <w:widowControl w:val="0"/>
        <w:suppressLineNumbers w:val="0"/>
        <w:spacing w:before="0" w:beforeAutospacing="0" w:after="0" w:afterAutospacing="0" w:line="360" w:lineRule="auto"/>
        <w:ind w:left="0" w:leftChars="0" w:right="0" w:firstLine="420" w:firstLineChars="200"/>
        <w:jc w:val="both"/>
        <w:rPr>
          <w:rFonts w:hint="eastAsia" w:ascii="宋体" w:hAnsi="宋体" w:eastAsia="宋体" w:cs="宋体"/>
          <w:b/>
          <w:color w:val="auto"/>
          <w:sz w:val="21"/>
          <w:szCs w:val="21"/>
          <w:highlight w:val="none"/>
        </w:rPr>
      </w:pPr>
      <w:bookmarkStart w:id="50" w:name="_Hlk63417944"/>
      <w:r>
        <w:rPr>
          <w:rFonts w:hint="eastAsia" w:ascii="宋体" w:hAnsi="宋体" w:eastAsia="宋体" w:cs="宋体"/>
          <w:color w:val="auto"/>
          <w:sz w:val="21"/>
          <w:szCs w:val="21"/>
          <w:highlight w:val="none"/>
        </w:rPr>
        <w:t>21.1</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代理服务费参照《国家计委关于印发&lt;招标代理服务收费管理暂行办法&gt;的通知》（计价格〔2002〕1980号）中规定的差额定律累进法计取。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21.2</w:t>
      </w:r>
      <w:r>
        <w:rPr>
          <w:rFonts w:hint="eastAsia" w:ascii="宋体" w:hAnsi="宋体" w:eastAsia="宋体" w:cs="宋体"/>
          <w:color w:val="auto"/>
          <w:sz w:val="21"/>
          <w:szCs w:val="21"/>
          <w:highlight w:val="none"/>
          <w:lang w:val="en-US" w:eastAsia="zh-CN"/>
        </w:rPr>
        <w:t>成交</w:t>
      </w:r>
      <w:r>
        <w:rPr>
          <w:rFonts w:hint="eastAsia" w:ascii="宋体" w:hAnsi="宋体" w:eastAsia="宋体" w:cs="宋体"/>
          <w:color w:val="auto"/>
          <w:sz w:val="21"/>
          <w:szCs w:val="21"/>
          <w:highlight w:val="none"/>
          <w:lang w:eastAsia="zh-CN"/>
        </w:rPr>
        <w:t>人</w:t>
      </w:r>
      <w:r>
        <w:rPr>
          <w:rFonts w:hint="eastAsia" w:ascii="宋体" w:hAnsi="宋体" w:eastAsia="宋体" w:cs="宋体"/>
          <w:color w:val="auto"/>
          <w:sz w:val="21"/>
          <w:szCs w:val="21"/>
          <w:highlight w:val="none"/>
        </w:rPr>
        <w:t>在取得</w:t>
      </w:r>
      <w:r>
        <w:rPr>
          <w:rFonts w:hint="eastAsia" w:ascii="宋体" w:hAnsi="宋体" w:eastAsia="宋体" w:cs="宋体"/>
          <w:color w:val="auto"/>
          <w:sz w:val="21"/>
          <w:szCs w:val="21"/>
          <w:highlight w:val="none"/>
          <w:lang w:val="en-US" w:eastAsia="zh-CN"/>
        </w:rPr>
        <w:t>成交</w:t>
      </w:r>
      <w:r>
        <w:rPr>
          <w:rFonts w:hint="eastAsia" w:ascii="宋体" w:hAnsi="宋体" w:eastAsia="宋体" w:cs="宋体"/>
          <w:color w:val="auto"/>
          <w:sz w:val="21"/>
          <w:szCs w:val="21"/>
          <w:highlight w:val="none"/>
        </w:rPr>
        <w:t>通知书时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向采购代理机构缴</w:t>
      </w:r>
      <w:r>
        <w:rPr>
          <w:rFonts w:hint="eastAsia" w:ascii="宋体" w:hAnsi="宋体" w:eastAsia="宋体" w:cs="宋体"/>
          <w:color w:val="auto"/>
          <w:sz w:val="21"/>
          <w:szCs w:val="21"/>
          <w:highlight w:val="none"/>
          <w:lang w:val="en-US" w:eastAsia="zh-CN"/>
        </w:rPr>
        <w:t>清采购</w:t>
      </w:r>
      <w:r>
        <w:rPr>
          <w:rFonts w:hint="eastAsia" w:ascii="宋体" w:hAnsi="宋体" w:eastAsia="宋体" w:cs="宋体"/>
          <w:color w:val="auto"/>
          <w:sz w:val="21"/>
          <w:szCs w:val="21"/>
          <w:highlight w:val="none"/>
        </w:rPr>
        <w:t>代理服务费。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21.3</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代理服务费以转账或现金形式缴纳。</w:t>
      </w:r>
    </w:p>
    <w:bookmarkEnd w:id="50"/>
    <w:p>
      <w:pPr>
        <w:pStyle w:val="17"/>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1"/>
          <w:highlight w:val="none"/>
        </w:rPr>
      </w:pPr>
      <w:bookmarkStart w:id="51" w:name="_Toc25954"/>
      <w:bookmarkStart w:id="52" w:name="_Toc75259357"/>
      <w:r>
        <w:rPr>
          <w:rFonts w:hint="eastAsia" w:ascii="宋体" w:hAnsi="宋体" w:eastAsia="宋体" w:cs="宋体"/>
          <w:b/>
          <w:color w:val="auto"/>
          <w:sz w:val="21"/>
          <w:szCs w:val="21"/>
          <w:highlight w:val="none"/>
        </w:rPr>
        <w:t>22．质疑</w:t>
      </w:r>
      <w:bookmarkEnd w:id="51"/>
      <w:bookmarkEnd w:id="5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22.1供应商可以在知道或者应知其权益受到损害之日起7个工作日内，以书面形式向采购人、采购代理机构提出质疑。供应商提出质疑应当提交质疑函和必要的证明材料。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22.2项目联系人：</w:t>
      </w:r>
      <w:r>
        <w:rPr>
          <w:rFonts w:hint="eastAsia" w:ascii="宋体" w:hAnsi="宋体" w:eastAsia="宋体" w:cs="宋体"/>
          <w:color w:val="auto"/>
          <w:sz w:val="21"/>
          <w:szCs w:val="21"/>
          <w:highlight w:val="none"/>
          <w:lang w:val="en-US" w:eastAsia="zh-CN"/>
        </w:rPr>
        <w:t>姚工</w:t>
      </w:r>
      <w:r>
        <w:rPr>
          <w:rFonts w:hint="eastAsia" w:ascii="宋体" w:hAnsi="宋体" w:eastAsia="宋体" w:cs="宋体"/>
          <w:color w:val="auto"/>
          <w:sz w:val="21"/>
          <w:szCs w:val="21"/>
          <w:highlight w:val="none"/>
        </w:rPr>
        <w:t>；联系电话：</w:t>
      </w:r>
      <w:r>
        <w:rPr>
          <w:rFonts w:hint="eastAsia" w:ascii="宋体" w:hAnsi="宋体" w:eastAsia="宋体" w:cs="宋体"/>
          <w:color w:val="auto"/>
          <w:sz w:val="21"/>
          <w:szCs w:val="21"/>
          <w:highlight w:val="none"/>
          <w:lang w:val="en-US" w:eastAsia="zh-CN"/>
        </w:rPr>
        <w:t>0911-8899222</w:t>
      </w: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lang w:val="en-US" w:eastAsia="zh-CN"/>
        </w:rPr>
        <w:t>延安市新区鼎盛豪庭公寓4号201室</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22.3质疑函应当包括下列内容：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（一）供应商的姓名或者名称、地址、邮编、联系人及联系电话；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（二）质疑项目的名称、编号；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（四）事实依据；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（五）必要的法律依据；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（六）提出质疑的日期。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供应商为自然人的应当由本人签字；供应商为法人或者其他组织的，应当由法定代表人或其授权代表签字</w:t>
      </w:r>
      <w:r>
        <w:rPr>
          <w:rFonts w:hint="eastAsia" w:ascii="宋体" w:hAnsi="宋体" w:eastAsia="宋体" w:cs="宋体"/>
          <w:color w:val="auto"/>
          <w:sz w:val="21"/>
          <w:szCs w:val="21"/>
          <w:highlight w:val="none"/>
          <w:lang w:val="en-US" w:eastAsia="zh-CN"/>
        </w:rPr>
        <w:t>或</w:t>
      </w:r>
      <w:r>
        <w:rPr>
          <w:rFonts w:hint="eastAsia" w:ascii="宋体" w:hAnsi="宋体" w:eastAsia="宋体" w:cs="宋体"/>
          <w:color w:val="auto"/>
          <w:sz w:val="21"/>
          <w:szCs w:val="21"/>
          <w:highlight w:val="none"/>
        </w:rPr>
        <w:t>盖章，并加盖公章。</w:t>
      </w:r>
      <w:r>
        <w:rPr>
          <w:rFonts w:hint="eastAsia" w:ascii="宋体" w:hAnsi="宋体" w:eastAsia="宋体" w:cs="宋体"/>
          <w:b/>
          <w:bCs/>
          <w:color w:val="auto"/>
          <w:sz w:val="21"/>
          <w:szCs w:val="21"/>
          <w:highlight w:val="none"/>
        </w:rPr>
        <w:t>采购文件要求供应商在法定质疑</w:t>
      </w:r>
      <w:r>
        <w:rPr>
          <w:rFonts w:hint="eastAsia" w:ascii="宋体" w:hAnsi="宋体" w:eastAsia="宋体" w:cs="宋体"/>
          <w:b/>
          <w:bCs/>
          <w:color w:val="auto"/>
          <w:sz w:val="21"/>
          <w:szCs w:val="21"/>
          <w:highlight w:val="none"/>
          <w:lang w:val="en-US" w:eastAsia="zh-CN"/>
        </w:rPr>
        <w:t>期</w:t>
      </w:r>
      <w:r>
        <w:rPr>
          <w:rFonts w:hint="eastAsia" w:ascii="宋体" w:hAnsi="宋体" w:eastAsia="宋体" w:cs="宋体"/>
          <w:b/>
          <w:bCs/>
          <w:color w:val="auto"/>
          <w:sz w:val="21"/>
          <w:szCs w:val="21"/>
          <w:highlight w:val="none"/>
        </w:rPr>
        <w:t>内一次性提出针对同一采购程序环节的质疑。</w:t>
      </w:r>
    </w:p>
    <w:p>
      <w:pPr>
        <w:pStyle w:val="17"/>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outlineLvl w:val="1"/>
        <w:rPr>
          <w:rFonts w:hint="eastAsia" w:ascii="宋体" w:hAnsi="宋体" w:eastAsia="宋体" w:cs="宋体"/>
          <w:b/>
          <w:color w:val="auto"/>
          <w:sz w:val="21"/>
          <w:szCs w:val="21"/>
          <w:highlight w:val="none"/>
        </w:rPr>
      </w:pPr>
      <w:bookmarkStart w:id="53" w:name="_Toc75259358"/>
      <w:bookmarkStart w:id="54" w:name="_Toc32370"/>
      <w:r>
        <w:rPr>
          <w:rFonts w:hint="eastAsia" w:ascii="宋体" w:hAnsi="宋体" w:eastAsia="宋体" w:cs="宋体"/>
          <w:b/>
          <w:color w:val="auto"/>
          <w:sz w:val="21"/>
          <w:szCs w:val="21"/>
          <w:highlight w:val="none"/>
        </w:rPr>
        <w:t>23</w:t>
      </w:r>
      <w:bookmarkStart w:id="55" w:name="_Toc44581001"/>
      <w:bookmarkStart w:id="56" w:name="_Toc44581543"/>
      <w:r>
        <w:rPr>
          <w:rFonts w:hint="eastAsia" w:ascii="宋体" w:hAnsi="宋体" w:eastAsia="宋体" w:cs="宋体"/>
          <w:b/>
          <w:color w:val="auto"/>
          <w:sz w:val="21"/>
          <w:szCs w:val="21"/>
          <w:highlight w:val="none"/>
        </w:rPr>
        <w:t>．需要落实的政府采购政策</w:t>
      </w:r>
      <w:bookmarkEnd w:id="53"/>
      <w:bookmarkEnd w:id="54"/>
      <w:bookmarkEnd w:id="55"/>
      <w:bookmarkEnd w:id="56"/>
      <w:bookmarkStart w:id="57" w:name="_Hlk63418170"/>
    </w:p>
    <w:bookmarkEnd w:id="57"/>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23.1落实促进支持中小企业、监狱企业、残疾人福利性单位发展、脱贫攻坚工作的政策(如专门面向中小企业的采购项目（或采购包），不执行</w:t>
      </w:r>
      <w:r>
        <w:rPr>
          <w:rFonts w:hint="eastAsia" w:ascii="宋体" w:hAnsi="宋体" w:eastAsia="宋体" w:cs="宋体"/>
          <w:color w:val="auto"/>
          <w:sz w:val="21"/>
          <w:szCs w:val="21"/>
          <w:highlight w:val="none"/>
          <w:lang w:val="en-US" w:eastAsia="zh-CN"/>
        </w:rPr>
        <w:t>23.1.1/23.1.2/23.1.3</w:t>
      </w:r>
      <w:r>
        <w:rPr>
          <w:rFonts w:hint="eastAsia" w:ascii="宋体" w:hAnsi="宋体" w:eastAsia="宋体" w:cs="宋体"/>
          <w:color w:val="auto"/>
          <w:sz w:val="21"/>
          <w:szCs w:val="21"/>
          <w:highlight w:val="none"/>
        </w:rPr>
        <w:t>条款)。</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23.1.1《政府采购促进中小企业发展管理办法》（财库〔2020〕46号）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在政府采购活动中，供应商提供的货物、工程或者服务符合下列情形的，享受《办法》规定的中小企业扶持政策: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(一)在货物采购项目中，货物由中小企业制造，即货物由中小企业生产且使用该中小企业商号或者注册商标；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(二)在工程采购项目中，工程由中小企业承建，即工程施工单位为中小企业；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(三)在服务采购项目中，服务由中小企业承接，即提供服务的人员为中小企业依照《中华人民共和国</w:t>
      </w:r>
      <w:r>
        <w:rPr>
          <w:rFonts w:hint="eastAsia" w:ascii="宋体" w:hAnsi="宋体" w:eastAsia="宋体" w:cs="宋体"/>
          <w:color w:val="auto"/>
          <w:sz w:val="21"/>
          <w:szCs w:val="21"/>
          <w:highlight w:val="none"/>
          <w:lang w:val="en-US" w:eastAsia="zh-CN"/>
        </w:rPr>
        <w:t>民法典</w:t>
      </w:r>
      <w:r>
        <w:rPr>
          <w:rFonts w:hint="eastAsia" w:ascii="宋体" w:hAnsi="宋体" w:eastAsia="宋体" w:cs="宋体"/>
          <w:color w:val="auto"/>
          <w:sz w:val="21"/>
          <w:szCs w:val="21"/>
          <w:highlight w:val="none"/>
        </w:rPr>
        <w:t>》订立劳动合同的从业人员。</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在货物采购项目中，供应商提供的货物既有中小企业制造货物，也有大型企业制造货物的，不享受《办法》规定的中小企业扶持政策。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依据《办法》规定享受扶持政策获得政府采购合同的，小微企业不得将合同分包给大中型企业，中型企业不得将合同分包给大型企业。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政府采购促进中小企业发展管理办法》的通知（财库〔2020〕46号）规定，参加政府采购活动的中小企业应当提供《中小企业声明函》。供应商提供的《中小企业声明函》原件必须真实，否则，按照有关规定予以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陕西省财政厅关于落实政府采购支持中小企业政策有关事项的通知</w:t>
      </w:r>
      <w:r>
        <w:rPr>
          <w:rFonts w:hint="eastAsia" w:ascii="宋体" w:hAnsi="宋体" w:eastAsia="宋体" w:cs="宋体"/>
          <w:color w:val="auto"/>
          <w:sz w:val="21"/>
          <w:szCs w:val="21"/>
          <w:highlight w:val="none"/>
          <w:lang w:eastAsia="zh-CN"/>
        </w:rPr>
        <w:t>》（陕财办采函〔2022〕10号）</w:t>
      </w:r>
      <w:r>
        <w:rPr>
          <w:rFonts w:hint="eastAsia" w:ascii="宋体" w:hAnsi="宋体" w:eastAsia="宋体" w:cs="宋体"/>
          <w:color w:val="auto"/>
          <w:sz w:val="21"/>
          <w:szCs w:val="21"/>
          <w:highlight w:val="none"/>
          <w:lang w:val="en-US" w:eastAsia="zh-CN"/>
        </w:rPr>
        <w:t>要求</w:t>
      </w:r>
      <w:r>
        <w:rPr>
          <w:rFonts w:hint="eastAsia" w:ascii="宋体" w:hAnsi="宋体" w:eastAsia="宋体" w:cs="宋体"/>
          <w:color w:val="auto"/>
          <w:sz w:val="21"/>
          <w:szCs w:val="21"/>
          <w:highlight w:val="none"/>
        </w:rPr>
        <w:t>，对符合规定的小微企业报价给予10%的扣除</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用扣除后的价格参加评审。货物服务采购项目联合协议或者分包意向协议约定小微企业的合同份额占到合同总金额30%以上的，对联合体或者大中型企业的报价给予4%的扣除，用扣除后的价格参加评审。适用招标投标法的政府采购工程建设项目，采用综合评估法但未采用低价优先法计算价格分的，评标时应当在采用原报价进行评分的基础上增加其价格得分的1%作为其价格分。组成联合体或者接受分包的小微企业与联合体内其他企业、分包企业之间存在直接控股、管理关系的，不享受价格扣除优惠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23.1.2《财政部 司法部关于政府采购支持监狱企业发展有关问题的通知》（财库〔2014〕68号）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监狱企业参加政府采购活动时，应当提供由省级以上监狱管理局、戒毒管理局（含新疆生产建设兵团）出具的属于监狱企业的证明文件。在政府采购活动中，监狱企业视同小型、微型企业。</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23.1.3《三部门联合发布关于促进残疾人就业政府采购政策的通知》（财库〔2017〕141号）；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符合条件的残疾人福利性单位在参加政府采购活动时，应当提供本通知规定的《残疾人福利性单位声明函》，并对声明的真实性负责。在政府采购活动中，残疾人福利性单位视同小型、微型企业，享受预留份额。</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23.2落实优先采购节能、环保产品的政策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23.2.1根据《财政部 国家发展改革委关于印发〈节能产品政府采购实施意见〉的通知》（财库〔2004〕185号）规定“政府采购属于节能产品品目清单的，在技术、服务等指标同等条件下，应当优先采购节能品目清单的节能产品。”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23.2.2根据《财政部</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环保总局关于环境标志产品政府采购实施的意见》（财库〔2006〕90号）规定“采购人采购的产品属于环境标志产品政府采购清单中品目的，在性能、技术、服务等指标同等条件下，应当优先采购清单中的产品”。</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23.2.3根据《国务院办公厅关于建立政府强制采购节能产品制度的通知》（国办发〔2007〕51号）有关要求，“使用财政性资金进行政府采购活动时，在技术、服务等指标满足采购需求的前提下，要优先采购节能产品，对部分节能效果、性能等达到要求的产品，实行强制采购，以促进节约能源，保护环境，降低政府机构能源费用开支。”</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23.2.4根据《财政部 发展改革委 生态环境部 市场监管总局关于调整优化节能产品、环境标志产品政府采购执行机制的通知》（财库〔2019〕9号）有关要求，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所有投标产品进入“节能产品政府采购品目清单”的，应提供相关证书复印件，相关证书的颁发机构应来自《参与实施政府采购节能产品认证机构名录》。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所有投标产品进入“环境标志产品政府采购品目清单”的，应提供相关证书复印件，相关证书的颁发机构应来自《参与实施政府采购环境标志产品认证机构名录》。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23.3政府采购信用融资政策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政府采购信用融资是指银行业金融机构以政府采购诚信考核和信用审查为基础，凭借政府采购合同，按优于一般中小企业的贷款利率直接向申请贷款的供应商发放贷款的一种融资方式。融资金额未超过政府采购合同金额的，银行原则上不得要求供应商提供财产抵押或第三方担保或其他任何形式的担保条件。</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依据《陕西省财政厅关于印发〈陕西省中小企业政府采购信用融资办法〉的通知》（陕财办采〔2018〕23号）、《陕西省财政厅关于加快推进我省中小企业政府采购信用融资工作的通知》（陕财办采</w:t>
      </w:r>
      <w:r>
        <w:rPr>
          <w:rFonts w:hint="eastAsia" w:ascii="宋体" w:hAnsi="宋体" w:eastAsia="宋体" w:cs="宋体"/>
          <w:kern w:val="2"/>
          <w:sz w:val="21"/>
          <w:szCs w:val="21"/>
          <w:lang w:val="en-US" w:eastAsia="zh-CN" w:bidi="ar"/>
        </w:rPr>
        <w:t>〔</w:t>
      </w:r>
      <w:r>
        <w:rPr>
          <w:rFonts w:hint="eastAsia" w:ascii="宋体" w:hAnsi="宋体" w:eastAsia="宋体" w:cs="宋体"/>
          <w:color w:val="auto"/>
          <w:sz w:val="21"/>
          <w:szCs w:val="21"/>
          <w:highlight w:val="none"/>
        </w:rPr>
        <w:t>2020</w:t>
      </w:r>
      <w:r>
        <w:rPr>
          <w:rFonts w:hint="eastAsia" w:ascii="宋体" w:hAnsi="宋体" w:eastAsia="宋体" w:cs="宋体"/>
          <w:kern w:val="2"/>
          <w:sz w:val="21"/>
          <w:szCs w:val="21"/>
          <w:lang w:val="en-US" w:eastAsia="zh-CN" w:bidi="ar"/>
        </w:rPr>
        <w:t>〕</w:t>
      </w:r>
      <w:r>
        <w:rPr>
          <w:rFonts w:hint="eastAsia" w:ascii="宋体" w:hAnsi="宋体" w:eastAsia="宋体" w:cs="宋体"/>
          <w:color w:val="auto"/>
          <w:sz w:val="21"/>
          <w:szCs w:val="21"/>
          <w:highlight w:val="none"/>
        </w:rPr>
        <w:t>15号），有融资需求的供应商可根据自身情况，在“陕西政府采购信用融资平台（含各市分平台）”查询并办理相关业务。</w:t>
      </w:r>
    </w:p>
    <w:p>
      <w:pPr>
        <w:rPr>
          <w:rFonts w:hint="eastAsia" w:ascii="宋体" w:hAnsi="宋体"/>
          <w:b/>
          <w:color w:val="auto"/>
          <w:sz w:val="32"/>
          <w:szCs w:val="36"/>
          <w:highlight w:val="none"/>
        </w:rPr>
      </w:pPr>
      <w:bookmarkStart w:id="58" w:name="__RefHeading___Toc413314952"/>
      <w:bookmarkEnd w:id="58"/>
      <w:bookmarkStart w:id="59" w:name="_Toc75259359"/>
      <w:r>
        <w:rPr>
          <w:rFonts w:hint="eastAsia" w:ascii="宋体" w:hAnsi="宋体"/>
          <w:b/>
          <w:color w:val="auto"/>
          <w:sz w:val="32"/>
          <w:szCs w:val="36"/>
          <w:highlight w:val="none"/>
        </w:rPr>
        <w:br w:type="page"/>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outlineLvl w:val="0"/>
        <w:rPr>
          <w:rFonts w:hint="eastAsia" w:ascii="宋体" w:hAnsi="宋体"/>
          <w:b/>
          <w:color w:val="auto"/>
          <w:sz w:val="32"/>
          <w:szCs w:val="36"/>
          <w:highlight w:val="none"/>
          <w:lang w:val="en-US" w:eastAsia="zh-CN"/>
        </w:rPr>
      </w:pPr>
      <w:bookmarkStart w:id="60" w:name="_Toc28599"/>
      <w:r>
        <w:rPr>
          <w:rFonts w:hint="eastAsia" w:ascii="宋体" w:hAnsi="宋体"/>
          <w:b/>
          <w:color w:val="auto"/>
          <w:sz w:val="32"/>
          <w:szCs w:val="36"/>
          <w:highlight w:val="none"/>
        </w:rPr>
        <w:t>第</w:t>
      </w:r>
      <w:r>
        <w:rPr>
          <w:rFonts w:hint="eastAsia" w:ascii="宋体" w:hAnsi="宋体"/>
          <w:b/>
          <w:color w:val="auto"/>
          <w:sz w:val="32"/>
          <w:szCs w:val="36"/>
          <w:highlight w:val="none"/>
          <w:lang w:val="en-US" w:eastAsia="zh-CN"/>
        </w:rPr>
        <w:t>四</w:t>
      </w:r>
      <w:r>
        <w:rPr>
          <w:rFonts w:hint="eastAsia" w:ascii="宋体" w:hAnsi="宋体"/>
          <w:b/>
          <w:color w:val="auto"/>
          <w:sz w:val="32"/>
          <w:szCs w:val="36"/>
          <w:highlight w:val="none"/>
        </w:rPr>
        <w:t>部分</w:t>
      </w:r>
      <w:bookmarkEnd w:id="59"/>
      <w:r>
        <w:rPr>
          <w:rFonts w:hint="eastAsia" w:ascii="宋体" w:hAnsi="宋体"/>
          <w:b/>
          <w:color w:val="auto"/>
          <w:sz w:val="32"/>
          <w:szCs w:val="36"/>
          <w:highlight w:val="none"/>
          <w:lang w:val="en-US" w:eastAsia="zh-CN"/>
        </w:rPr>
        <w:t xml:space="preserve"> </w:t>
      </w:r>
      <w:r>
        <w:rPr>
          <w:rFonts w:hint="eastAsia" w:ascii="宋体" w:hAnsi="宋体"/>
          <w:b/>
          <w:color w:val="auto"/>
          <w:sz w:val="32"/>
          <w:szCs w:val="36"/>
          <w:highlight w:val="none"/>
        </w:rPr>
        <w:t>采购</w:t>
      </w:r>
      <w:r>
        <w:rPr>
          <w:rFonts w:hint="eastAsia" w:ascii="宋体" w:hAnsi="宋体"/>
          <w:b/>
          <w:color w:val="auto"/>
          <w:sz w:val="32"/>
          <w:szCs w:val="36"/>
          <w:highlight w:val="none"/>
          <w:lang w:val="en-US" w:eastAsia="zh-CN"/>
        </w:rPr>
        <w:t>需求</w:t>
      </w:r>
      <w:bookmarkEnd w:id="60"/>
    </w:p>
    <w:p>
      <w:pPr>
        <w:keepLines w:val="0"/>
        <w:pageBreakBefore w:val="0"/>
        <w:widowControl w:val="0"/>
        <w:kinsoku/>
        <w:wordWrap/>
        <w:overflowPunct/>
        <w:topLinePunct w:val="0"/>
        <w:autoSpaceDE/>
        <w:autoSpaceDN/>
        <w:bidi w:val="0"/>
        <w:adjustRightInd/>
        <w:snapToGrid/>
        <w:spacing w:line="360" w:lineRule="auto"/>
        <w:ind w:left="0" w:leftChars="0" w:right="0" w:rightChars="0" w:firstLine="422" w:firstLineChars="200"/>
        <w:textAlignment w:val="auto"/>
        <w:outlineLvl w:val="9"/>
        <w:rPr>
          <w:rFonts w:hint="eastAsia" w:ascii="宋体" w:hAnsi="宋体" w:eastAsia="宋体" w:cs="宋体"/>
          <w:b/>
          <w:bCs/>
          <w:color w:val="auto"/>
          <w:sz w:val="21"/>
          <w:szCs w:val="21"/>
          <w:highlight w:val="none"/>
        </w:rPr>
      </w:pPr>
      <w:bookmarkStart w:id="61" w:name="_Toc15647"/>
      <w:r>
        <w:rPr>
          <w:rFonts w:hint="eastAsia" w:ascii="宋体" w:hAnsi="宋体" w:eastAsia="宋体" w:cs="宋体"/>
          <w:b/>
          <w:bCs/>
          <w:color w:val="auto"/>
          <w:sz w:val="21"/>
          <w:szCs w:val="21"/>
          <w:highlight w:val="none"/>
          <w:lang w:val="en-US" w:eastAsia="zh-CN"/>
        </w:rPr>
        <w:t>一、</w:t>
      </w:r>
      <w:r>
        <w:rPr>
          <w:rFonts w:hint="eastAsia" w:ascii="宋体" w:hAnsi="宋体" w:eastAsia="宋体" w:cs="宋体"/>
          <w:b/>
          <w:bCs/>
          <w:color w:val="auto"/>
          <w:sz w:val="21"/>
          <w:szCs w:val="21"/>
          <w:highlight w:val="none"/>
        </w:rPr>
        <w:t>采购</w:t>
      </w:r>
      <w:r>
        <w:rPr>
          <w:rFonts w:hint="eastAsia" w:ascii="宋体" w:hAnsi="宋体" w:eastAsia="宋体" w:cs="宋体"/>
          <w:b/>
          <w:bCs/>
          <w:color w:val="auto"/>
          <w:sz w:val="21"/>
          <w:szCs w:val="21"/>
          <w:highlight w:val="none"/>
          <w:lang w:eastAsia="zh-CN"/>
        </w:rPr>
        <w:t>要求</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i w:val="0"/>
          <w:iCs w:val="0"/>
          <w:caps w:val="0"/>
          <w:color w:val="000000" w:themeColor="text1"/>
          <w:spacing w:val="0"/>
          <w:sz w:val="21"/>
          <w:szCs w:val="21"/>
          <w:shd w:val="clear" w:fill="FFFFFF"/>
          <w:lang w:eastAsia="zh-CN"/>
          <w14:textFill>
            <w14:solidFill>
              <w14:schemeClr w14:val="tx1"/>
            </w14:solidFill>
          </w14:textFill>
        </w:rPr>
      </w:pPr>
      <w:r>
        <w:rPr>
          <w:rFonts w:hint="eastAsia" w:ascii="宋体" w:hAnsi="宋体" w:eastAsia="宋体" w:cs="宋体"/>
          <w:color w:val="auto"/>
          <w:sz w:val="21"/>
          <w:szCs w:val="16"/>
          <w:highlight w:val="none"/>
          <w:lang w:val="en-US" w:eastAsia="zh-CN"/>
        </w:rPr>
        <w:t>1.1</w:t>
      </w:r>
      <w:r>
        <w:rPr>
          <w:rFonts w:hint="eastAsia" w:ascii="宋体" w:hAnsi="宋体" w:eastAsia="宋体" w:cs="宋体"/>
          <w:color w:val="auto"/>
          <w:sz w:val="21"/>
          <w:szCs w:val="16"/>
          <w:highlight w:val="none"/>
        </w:rPr>
        <w:t>项目名称</w:t>
      </w:r>
      <w:r>
        <w:rPr>
          <w:rFonts w:hint="eastAsia" w:ascii="宋体" w:hAnsi="宋体" w:eastAsia="宋体" w:cs="宋体"/>
          <w:color w:val="auto"/>
          <w:sz w:val="21"/>
          <w:szCs w:val="16"/>
          <w:highlight w:val="none"/>
          <w:lang w:eastAsia="zh-CN"/>
        </w:rPr>
        <w:t>：</w:t>
      </w:r>
      <w:r>
        <w:rPr>
          <w:rFonts w:hint="eastAsia" w:ascii="宋体" w:hAnsi="宋体" w:eastAsia="宋体" w:cs="宋体"/>
          <w:i w:val="0"/>
          <w:iCs w:val="0"/>
          <w:caps w:val="0"/>
          <w:color w:val="000000" w:themeColor="text1"/>
          <w:spacing w:val="0"/>
          <w:sz w:val="21"/>
          <w:szCs w:val="21"/>
          <w:shd w:val="clear" w:fill="FFFFFF"/>
          <w:lang w:eastAsia="zh-CN"/>
          <w14:textFill>
            <w14:solidFill>
              <w14:schemeClr w14:val="tx1"/>
            </w14:solidFill>
          </w14:textFill>
        </w:rPr>
        <w:t>延安职业技术学院智能制造系统集成应用技术实训平台采购项目；</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lang w:val="en-US" w:eastAsia="zh-CN"/>
        </w:rPr>
        <w:t>1.2采购预算：预算金额为60万</w:t>
      </w:r>
      <w:r>
        <w:rPr>
          <w:rFonts w:hint="eastAsia" w:ascii="宋体" w:hAnsi="宋体" w:eastAsia="宋体" w:cs="宋体"/>
          <w:color w:val="auto"/>
          <w:sz w:val="21"/>
          <w:szCs w:val="16"/>
          <w:highlight w:val="none"/>
        </w:rPr>
        <w:t>元</w:t>
      </w:r>
      <w:r>
        <w:rPr>
          <w:rFonts w:hint="eastAsia" w:ascii="宋体" w:hAnsi="宋体" w:eastAsia="宋体" w:cs="宋体"/>
          <w:color w:val="auto"/>
          <w:sz w:val="21"/>
          <w:szCs w:val="16"/>
          <w:highlight w:val="none"/>
          <w:lang w:val="en-US" w:eastAsia="zh-CN"/>
        </w:rPr>
        <w:t>，财政性资金，资金已落实到位。</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default" w:ascii="宋体" w:hAnsi="宋体" w:eastAsia="宋体" w:cs="宋体"/>
          <w:color w:val="auto"/>
          <w:kern w:val="0"/>
          <w:sz w:val="21"/>
          <w:szCs w:val="21"/>
          <w:highlight w:val="none"/>
          <w:lang w:val="en-US" w:eastAsia="zh-CN" w:bidi="ar-SA"/>
        </w:rPr>
      </w:pPr>
      <w:r>
        <w:rPr>
          <w:rFonts w:hint="eastAsia" w:ascii="宋体" w:hAnsi="宋体" w:eastAsia="宋体" w:cs="宋体"/>
          <w:color w:val="auto"/>
          <w:sz w:val="21"/>
          <w:szCs w:val="16"/>
          <w:highlight w:val="none"/>
          <w:lang w:val="en-US" w:eastAsia="zh-CN"/>
        </w:rPr>
        <w:t>1.3供货期</w:t>
      </w:r>
      <w:r>
        <w:rPr>
          <w:rFonts w:hint="eastAsia" w:ascii="宋体" w:hAnsi="宋体" w:eastAsia="宋体" w:cs="宋体"/>
          <w:color w:val="auto"/>
          <w:sz w:val="21"/>
          <w:szCs w:val="16"/>
          <w:highlight w:val="none"/>
          <w:lang w:eastAsia="zh-CN"/>
        </w:rPr>
        <w:t>：</w:t>
      </w:r>
      <w:r>
        <w:rPr>
          <w:rFonts w:hint="eastAsia" w:ascii="宋体" w:hAnsi="宋体" w:eastAsia="宋体" w:cs="宋体"/>
          <w:kern w:val="0"/>
          <w:sz w:val="21"/>
          <w:szCs w:val="21"/>
        </w:rPr>
        <w:t>合同签订之日起30</w:t>
      </w:r>
      <w:r>
        <w:rPr>
          <w:rFonts w:hint="eastAsia" w:ascii="宋体" w:hAnsi="宋体" w:eastAsia="宋体" w:cs="宋体"/>
          <w:sz w:val="21"/>
          <w:szCs w:val="21"/>
        </w:rPr>
        <w:t>个日历天内</w:t>
      </w:r>
      <w:r>
        <w:rPr>
          <w:rFonts w:hint="eastAsia" w:ascii="宋体" w:hAnsi="宋体" w:eastAsia="宋体" w:cs="宋体"/>
          <w:color w:val="auto"/>
          <w:kern w:val="0"/>
          <w:sz w:val="21"/>
          <w:szCs w:val="21"/>
          <w:highlight w:val="none"/>
          <w:lang w:val="en-US" w:eastAsia="zh-CN" w:bidi="ar-SA"/>
        </w:rPr>
        <w:t>；质保期：1年；</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16"/>
          <w:highlight w:val="none"/>
        </w:rPr>
      </w:pPr>
      <w:r>
        <w:rPr>
          <w:rFonts w:hint="eastAsia" w:ascii="宋体" w:hAnsi="宋体" w:eastAsia="宋体" w:cs="宋体"/>
          <w:color w:val="auto"/>
          <w:sz w:val="21"/>
          <w:szCs w:val="16"/>
          <w:highlight w:val="none"/>
          <w:lang w:val="en-US" w:eastAsia="zh-CN"/>
        </w:rPr>
        <w:t>1.4服务</w:t>
      </w:r>
      <w:r>
        <w:rPr>
          <w:rFonts w:hint="eastAsia" w:ascii="宋体" w:hAnsi="宋体" w:eastAsia="宋体" w:cs="宋体"/>
          <w:color w:val="auto"/>
          <w:sz w:val="21"/>
          <w:szCs w:val="16"/>
          <w:highlight w:val="none"/>
        </w:rPr>
        <w:t>地点：</w:t>
      </w:r>
      <w:r>
        <w:rPr>
          <w:rFonts w:hint="eastAsia" w:ascii="宋体" w:hAnsi="宋体" w:eastAsia="宋体" w:cs="宋体"/>
          <w:color w:val="auto"/>
          <w:sz w:val="21"/>
          <w:szCs w:val="16"/>
          <w:highlight w:val="none"/>
          <w:lang w:val="en-US" w:eastAsia="zh-CN"/>
        </w:rPr>
        <w:t>采购人</w:t>
      </w:r>
      <w:r>
        <w:rPr>
          <w:rFonts w:hint="eastAsia" w:ascii="宋体" w:hAnsi="宋体" w:eastAsia="宋体" w:cs="宋体"/>
          <w:color w:val="auto"/>
          <w:sz w:val="21"/>
          <w:szCs w:val="16"/>
          <w:highlight w:val="none"/>
        </w:rPr>
        <w:t>指定地点；</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default" w:ascii="宋体" w:hAnsi="宋体" w:eastAsia="宋体" w:cs="宋体"/>
          <w:color w:val="auto"/>
          <w:sz w:val="21"/>
          <w:szCs w:val="16"/>
          <w:highlight w:val="none"/>
          <w:lang w:val="en-US" w:eastAsia="zh-CN"/>
        </w:rPr>
      </w:pPr>
      <w:r>
        <w:rPr>
          <w:rFonts w:hint="eastAsia" w:ascii="宋体" w:hAnsi="宋体" w:eastAsia="宋体" w:cs="宋体"/>
          <w:color w:val="auto"/>
          <w:sz w:val="21"/>
          <w:szCs w:val="16"/>
          <w:highlight w:val="none"/>
          <w:lang w:val="en-US" w:eastAsia="zh-CN"/>
        </w:rPr>
        <w:t>1.5</w:t>
      </w:r>
      <w:r>
        <w:rPr>
          <w:rFonts w:hint="eastAsia" w:ascii="宋体" w:hAnsi="宋体" w:eastAsia="宋体" w:cs="宋体"/>
          <w:color w:val="auto"/>
          <w:sz w:val="21"/>
          <w:szCs w:val="16"/>
          <w:highlight w:val="none"/>
        </w:rPr>
        <w:t>付款方式：</w:t>
      </w:r>
      <w:r>
        <w:rPr>
          <w:rFonts w:hint="eastAsia" w:ascii="宋体" w:hAnsi="宋体" w:eastAsia="宋体" w:cs="宋体"/>
          <w:color w:val="auto"/>
          <w:sz w:val="21"/>
          <w:szCs w:val="16"/>
          <w:highlight w:val="none"/>
          <w:lang w:val="en-US" w:eastAsia="zh-CN"/>
        </w:rPr>
        <w:t>采购合同签订后，根据项目实际情况协定；</w:t>
      </w:r>
    </w:p>
    <w:p>
      <w:pPr>
        <w:keepNext/>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lang w:val="en-US" w:eastAsia="zh-CN"/>
        </w:rPr>
        <w:t>1.6</w:t>
      </w:r>
      <w:r>
        <w:rPr>
          <w:rFonts w:hint="eastAsia" w:ascii="宋体" w:hAnsi="宋体" w:eastAsia="宋体" w:cs="宋体"/>
          <w:color w:val="auto"/>
          <w:sz w:val="21"/>
          <w:szCs w:val="16"/>
          <w:highlight w:val="none"/>
          <w:lang w:eastAsia="zh-CN"/>
        </w:rPr>
        <w:t>质量要求：符合</w:t>
      </w:r>
      <w:r>
        <w:rPr>
          <w:rFonts w:hint="eastAsia" w:ascii="宋体" w:hAnsi="宋体" w:eastAsia="宋体" w:cs="宋体"/>
          <w:color w:val="auto"/>
          <w:sz w:val="21"/>
          <w:szCs w:val="16"/>
          <w:highlight w:val="none"/>
          <w:lang w:val="en-US" w:eastAsia="zh-CN"/>
        </w:rPr>
        <w:t>国家</w:t>
      </w:r>
      <w:r>
        <w:rPr>
          <w:rFonts w:hint="eastAsia" w:ascii="宋体" w:hAnsi="宋体" w:eastAsia="宋体" w:cs="宋体"/>
          <w:color w:val="auto"/>
          <w:sz w:val="21"/>
          <w:szCs w:val="16"/>
          <w:highlight w:val="none"/>
          <w:lang w:eastAsia="zh-CN"/>
        </w:rPr>
        <w:t>相关合格标准。</w:t>
      </w:r>
    </w:p>
    <w:bookmarkEnd w:id="61"/>
    <w:p>
      <w:pPr>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textAlignment w:val="auto"/>
        <w:outlineLvl w:val="9"/>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二、采购</w:t>
      </w:r>
      <w:r>
        <w:rPr>
          <w:rFonts w:hint="eastAsia" w:ascii="宋体" w:hAnsi="宋体" w:eastAsia="宋体" w:cs="宋体"/>
          <w:b/>
          <w:bCs/>
          <w:color w:val="auto"/>
          <w:sz w:val="21"/>
          <w:szCs w:val="21"/>
          <w:highlight w:val="none"/>
          <w:lang w:eastAsia="zh-CN"/>
        </w:rPr>
        <w:t>内容</w:t>
      </w:r>
    </w:p>
    <w:tbl>
      <w:tblPr>
        <w:tblStyle w:val="22"/>
        <w:tblW w:w="49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4"/>
        <w:gridCol w:w="650"/>
        <w:gridCol w:w="7562"/>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13" w:type="pct"/>
            <w:noWrap w:val="0"/>
            <w:vAlign w:val="top"/>
          </w:tcPr>
          <w:p>
            <w:pPr>
              <w:adjustRightInd w:val="0"/>
              <w:ind w:right="-120"/>
              <w:jc w:val="left"/>
              <w:rPr>
                <w:rFonts w:ascii="仿宋" w:hAnsi="仿宋" w:eastAsia="仿宋"/>
                <w:kern w:val="0"/>
                <w:sz w:val="24"/>
              </w:rPr>
            </w:pPr>
            <w:bookmarkStart w:id="62" w:name="_Toc12662"/>
            <w:r>
              <w:rPr>
                <w:rFonts w:hint="eastAsia" w:ascii="仿宋" w:hAnsi="仿宋" w:eastAsia="仿宋"/>
                <w:kern w:val="0"/>
                <w:sz w:val="24"/>
              </w:rPr>
              <w:t>序号</w:t>
            </w:r>
          </w:p>
        </w:tc>
        <w:tc>
          <w:tcPr>
            <w:tcW w:w="352" w:type="pct"/>
            <w:noWrap w:val="0"/>
            <w:vAlign w:val="top"/>
          </w:tcPr>
          <w:p>
            <w:pPr>
              <w:adjustRightInd w:val="0"/>
              <w:ind w:right="-120"/>
              <w:jc w:val="left"/>
              <w:rPr>
                <w:rFonts w:ascii="仿宋" w:hAnsi="仿宋" w:eastAsia="仿宋"/>
                <w:kern w:val="0"/>
                <w:sz w:val="24"/>
              </w:rPr>
            </w:pPr>
            <w:r>
              <w:rPr>
                <w:rFonts w:hint="eastAsia" w:ascii="仿宋" w:hAnsi="仿宋" w:eastAsia="仿宋"/>
                <w:kern w:val="0"/>
                <w:sz w:val="24"/>
              </w:rPr>
              <w:t>产品名称</w:t>
            </w:r>
          </w:p>
        </w:tc>
        <w:tc>
          <w:tcPr>
            <w:tcW w:w="4092" w:type="pct"/>
            <w:noWrap w:val="0"/>
            <w:vAlign w:val="top"/>
          </w:tcPr>
          <w:p>
            <w:pPr>
              <w:adjustRightInd w:val="0"/>
              <w:ind w:right="-120"/>
              <w:jc w:val="left"/>
              <w:rPr>
                <w:rFonts w:ascii="仿宋" w:hAnsi="仿宋" w:eastAsia="仿宋"/>
                <w:kern w:val="0"/>
                <w:sz w:val="24"/>
              </w:rPr>
            </w:pPr>
            <w:r>
              <w:rPr>
                <w:rFonts w:hint="eastAsia" w:ascii="仿宋" w:hAnsi="仿宋" w:eastAsia="仿宋"/>
                <w:kern w:val="0"/>
                <w:sz w:val="24"/>
              </w:rPr>
              <w:t>技术规格型号</w:t>
            </w:r>
          </w:p>
        </w:tc>
        <w:tc>
          <w:tcPr>
            <w:tcW w:w="342" w:type="pct"/>
            <w:noWrap w:val="0"/>
            <w:vAlign w:val="top"/>
          </w:tcPr>
          <w:p>
            <w:pPr>
              <w:adjustRightInd w:val="0"/>
              <w:ind w:right="-120"/>
              <w:jc w:val="left"/>
              <w:rPr>
                <w:rFonts w:ascii="仿宋" w:hAnsi="仿宋" w:eastAsia="仿宋"/>
                <w:kern w:val="0"/>
                <w:sz w:val="24"/>
              </w:rPr>
            </w:pPr>
            <w:r>
              <w:rPr>
                <w:rFonts w:hint="eastAsia" w:ascii="仿宋" w:hAnsi="仿宋" w:eastAsia="仿宋"/>
                <w:kern w:val="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4" w:hRule="atLeast"/>
        </w:trPr>
        <w:tc>
          <w:tcPr>
            <w:tcW w:w="213" w:type="pct"/>
            <w:noWrap w:val="0"/>
            <w:vAlign w:val="top"/>
          </w:tcPr>
          <w:p>
            <w:pPr>
              <w:adjustRightInd w:val="0"/>
              <w:ind w:right="-120"/>
              <w:jc w:val="left"/>
              <w:rPr>
                <w:rFonts w:ascii="仿宋" w:hAnsi="仿宋" w:eastAsia="仿宋"/>
                <w:kern w:val="0"/>
                <w:sz w:val="24"/>
              </w:rPr>
            </w:pPr>
            <w:r>
              <w:rPr>
                <w:rFonts w:hint="eastAsia" w:ascii="仿宋" w:hAnsi="仿宋" w:eastAsia="仿宋"/>
                <w:b/>
                <w:bCs/>
                <w:kern w:val="0"/>
                <w:sz w:val="24"/>
              </w:rPr>
              <w:t>1</w:t>
            </w:r>
          </w:p>
        </w:tc>
        <w:tc>
          <w:tcPr>
            <w:tcW w:w="352" w:type="pct"/>
            <w:noWrap w:val="0"/>
            <w:vAlign w:val="top"/>
          </w:tcPr>
          <w:p>
            <w:pPr>
              <w:adjustRightInd w:val="0"/>
              <w:ind w:right="-120"/>
              <w:jc w:val="left"/>
              <w:rPr>
                <w:rFonts w:ascii="仿宋" w:hAnsi="仿宋" w:eastAsia="仿宋"/>
                <w:kern w:val="0"/>
                <w:sz w:val="24"/>
              </w:rPr>
            </w:pPr>
            <w:r>
              <w:rPr>
                <w:rFonts w:hint="eastAsia" w:ascii="仿宋" w:hAnsi="仿宋" w:eastAsia="仿宋"/>
                <w:kern w:val="0"/>
                <w:sz w:val="24"/>
              </w:rPr>
              <w:t>机器人系统集成应用技术平台</w:t>
            </w:r>
          </w:p>
        </w:tc>
        <w:tc>
          <w:tcPr>
            <w:tcW w:w="4092" w:type="pct"/>
            <w:noWrap w:val="0"/>
            <w:vAlign w:val="top"/>
          </w:tcPr>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6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noWrap w:val="0"/>
                  <w:vAlign w:val="top"/>
                </w:tcPr>
                <w:p>
                  <w:pPr>
                    <w:adjustRightInd w:val="0"/>
                    <w:jc w:val="left"/>
                    <w:rPr>
                      <w:rFonts w:ascii="仿宋" w:hAnsi="仿宋" w:eastAsia="仿宋"/>
                      <w:kern w:val="0"/>
                      <w:sz w:val="24"/>
                    </w:rPr>
                  </w:pPr>
                  <w:r>
                    <w:rPr>
                      <w:rFonts w:ascii="仿宋" w:hAnsi="仿宋" w:eastAsia="仿宋"/>
                      <w:kern w:val="0"/>
                      <w:sz w:val="24"/>
                    </w:rPr>
                    <w:t>组件名称</w:t>
                  </w:r>
                </w:p>
              </w:tc>
              <w:tc>
                <w:tcPr>
                  <w:tcW w:w="0" w:type="auto"/>
                  <w:noWrap w:val="0"/>
                  <w:vAlign w:val="top"/>
                </w:tcPr>
                <w:p>
                  <w:pPr>
                    <w:adjustRightInd w:val="0"/>
                    <w:jc w:val="left"/>
                    <w:rPr>
                      <w:rFonts w:ascii="仿宋" w:hAnsi="仿宋" w:eastAsia="仿宋"/>
                      <w:kern w:val="0"/>
                      <w:sz w:val="24"/>
                    </w:rPr>
                  </w:pPr>
                  <w:r>
                    <w:rPr>
                      <w:rFonts w:ascii="仿宋" w:hAnsi="仿宋" w:eastAsia="仿宋"/>
                      <w:kern w:val="0"/>
                      <w:sz w:val="24"/>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0" w:hRule="atLeast"/>
              </w:trPr>
              <w:tc>
                <w:tcPr>
                  <w:tcW w:w="0" w:type="auto"/>
                  <w:vMerge w:val="restart"/>
                  <w:noWrap w:val="0"/>
                  <w:vAlign w:val="top"/>
                </w:tcPr>
                <w:p>
                  <w:pPr>
                    <w:adjustRightInd w:val="0"/>
                    <w:jc w:val="left"/>
                    <w:rPr>
                      <w:rFonts w:ascii="仿宋" w:hAnsi="仿宋" w:eastAsia="仿宋"/>
                      <w:kern w:val="0"/>
                      <w:sz w:val="24"/>
                    </w:rPr>
                  </w:pPr>
                  <w:r>
                    <w:rPr>
                      <w:rFonts w:hint="eastAsia" w:ascii="仿宋" w:hAnsi="仿宋" w:eastAsia="仿宋"/>
                      <w:kern w:val="0"/>
                      <w:sz w:val="24"/>
                    </w:rPr>
                    <w:t>执行单元</w:t>
                  </w: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工业机器人×</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六自由度串联关节桌面型工业机器人；</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工作范围≥</w:t>
                  </w:r>
                  <w:r>
                    <w:rPr>
                      <w:rFonts w:ascii="仿宋" w:hAnsi="仿宋" w:eastAsia="仿宋"/>
                      <w:kern w:val="0"/>
                      <w:sz w:val="24"/>
                    </w:rPr>
                    <w:t>580mm；</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有效荷重≥</w:t>
                  </w:r>
                  <w:r>
                    <w:rPr>
                      <w:rFonts w:ascii="仿宋" w:hAnsi="仿宋" w:eastAsia="仿宋"/>
                      <w:kern w:val="0"/>
                      <w:sz w:val="24"/>
                    </w:rPr>
                    <w:t>3kg，手臂荷重</w:t>
                  </w:r>
                  <w:r>
                    <w:rPr>
                      <w:rFonts w:hint="eastAsia" w:ascii="仿宋" w:hAnsi="仿宋" w:eastAsia="仿宋"/>
                      <w:kern w:val="0"/>
                      <w:sz w:val="24"/>
                    </w:rPr>
                    <w:t>≥</w:t>
                  </w:r>
                  <w:r>
                    <w:rPr>
                      <w:rFonts w:ascii="仿宋" w:hAnsi="仿宋" w:eastAsia="仿宋"/>
                      <w:kern w:val="0"/>
                      <w:sz w:val="24"/>
                    </w:rPr>
                    <w:t>0.3kg；</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手腕设有</w:t>
                  </w:r>
                  <w:r>
                    <w:rPr>
                      <w:rFonts w:ascii="仿宋" w:hAnsi="仿宋" w:eastAsia="仿宋"/>
                      <w:kern w:val="0"/>
                      <w:sz w:val="24"/>
                    </w:rPr>
                    <w:t>10路集成信号源，4路集成气源；</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重复定位精度≤</w:t>
                  </w:r>
                  <w:r>
                    <w:rPr>
                      <w:rFonts w:ascii="仿宋" w:hAnsi="仿宋" w:eastAsia="仿宋"/>
                      <w:kern w:val="0"/>
                      <w:sz w:val="24"/>
                    </w:rPr>
                    <w:t>0.01mm；</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防护等级≥</w:t>
                  </w:r>
                  <w:r>
                    <w:rPr>
                      <w:rFonts w:ascii="仿宋" w:hAnsi="仿宋" w:eastAsia="仿宋"/>
                      <w:kern w:val="0"/>
                      <w:sz w:val="24"/>
                    </w:rPr>
                    <w:t>IP30</w:t>
                  </w:r>
                  <w:r>
                    <w:rPr>
                      <w:rFonts w:hint="eastAsia" w:ascii="仿宋" w:hAnsi="仿宋" w:eastAsia="仿宋"/>
                      <w:kern w:val="0"/>
                      <w:sz w:val="24"/>
                    </w:rPr>
                    <w:t>；</w:t>
                  </w:r>
                </w:p>
                <w:p>
                  <w:pPr>
                    <w:adjustRightInd w:val="0"/>
                    <w:jc w:val="left"/>
                    <w:rPr>
                      <w:rFonts w:ascii="仿宋" w:hAnsi="仿宋" w:eastAsia="仿宋"/>
                      <w:kern w:val="0"/>
                      <w:sz w:val="24"/>
                    </w:rPr>
                  </w:pPr>
                  <w:r>
                    <w:rPr>
                      <w:rFonts w:ascii="仿宋" w:hAnsi="仿宋" w:eastAsia="仿宋"/>
                      <w:kern w:val="0"/>
                      <w:sz w:val="24"/>
                    </w:rPr>
                    <w:t>7)</w:t>
                  </w:r>
                  <w:r>
                    <w:rPr>
                      <w:rFonts w:ascii="仿宋" w:hAnsi="仿宋" w:eastAsia="仿宋"/>
                      <w:kern w:val="0"/>
                      <w:sz w:val="24"/>
                    </w:rPr>
                    <w:tab/>
                  </w:r>
                  <w:r>
                    <w:rPr>
                      <w:rFonts w:hint="eastAsia" w:ascii="仿宋" w:hAnsi="仿宋" w:eastAsia="仿宋"/>
                      <w:kern w:val="0"/>
                      <w:sz w:val="24"/>
                    </w:rPr>
                    <w:t>轴</w:t>
                  </w:r>
                  <w:r>
                    <w:rPr>
                      <w:rFonts w:ascii="仿宋" w:hAnsi="仿宋" w:eastAsia="仿宋"/>
                      <w:kern w:val="0"/>
                      <w:sz w:val="24"/>
                    </w:rPr>
                    <w:t>1旋转，工作范围+165</w:t>
                  </w:r>
                  <w:r>
                    <w:rPr>
                      <w:rFonts w:hint="eastAsia" w:ascii="仿宋" w:hAnsi="仿宋" w:eastAsia="仿宋"/>
                      <w:kern w:val="0"/>
                      <w:sz w:val="24"/>
                    </w:rPr>
                    <w:t>°</w:t>
                  </w:r>
                  <w:r>
                    <w:rPr>
                      <w:rFonts w:ascii="仿宋" w:hAnsi="仿宋" w:eastAsia="仿宋"/>
                      <w:kern w:val="0"/>
                      <w:sz w:val="24"/>
                    </w:rPr>
                    <w:t>~-165</w:t>
                  </w:r>
                  <w:r>
                    <w:rPr>
                      <w:rFonts w:hint="eastAsia" w:ascii="仿宋" w:hAnsi="仿宋" w:eastAsia="仿宋"/>
                      <w:kern w:val="0"/>
                      <w:sz w:val="24"/>
                    </w:rPr>
                    <w:t>°，最大速度</w:t>
                  </w:r>
                  <w:r>
                    <w:rPr>
                      <w:rFonts w:ascii="仿宋" w:hAnsi="仿宋" w:eastAsia="仿宋"/>
                      <w:kern w:val="0"/>
                      <w:sz w:val="24"/>
                    </w:rPr>
                    <w:t>250°/s；</w:t>
                  </w:r>
                </w:p>
                <w:p>
                  <w:pPr>
                    <w:adjustRightInd w:val="0"/>
                    <w:jc w:val="left"/>
                    <w:rPr>
                      <w:rFonts w:ascii="仿宋" w:hAnsi="仿宋" w:eastAsia="仿宋"/>
                      <w:kern w:val="0"/>
                      <w:sz w:val="24"/>
                    </w:rPr>
                  </w:pPr>
                  <w:r>
                    <w:rPr>
                      <w:rFonts w:ascii="仿宋" w:hAnsi="仿宋" w:eastAsia="仿宋"/>
                      <w:kern w:val="0"/>
                      <w:sz w:val="24"/>
                    </w:rPr>
                    <w:t>8)</w:t>
                  </w:r>
                  <w:r>
                    <w:rPr>
                      <w:rFonts w:ascii="仿宋" w:hAnsi="仿宋" w:eastAsia="仿宋"/>
                      <w:kern w:val="0"/>
                      <w:sz w:val="24"/>
                    </w:rPr>
                    <w:tab/>
                  </w:r>
                  <w:r>
                    <w:rPr>
                      <w:rFonts w:hint="eastAsia" w:ascii="仿宋" w:hAnsi="仿宋" w:eastAsia="仿宋"/>
                      <w:kern w:val="0"/>
                      <w:sz w:val="24"/>
                    </w:rPr>
                    <w:t>轴</w:t>
                  </w:r>
                  <w:r>
                    <w:rPr>
                      <w:rFonts w:ascii="仿宋" w:hAnsi="仿宋" w:eastAsia="仿宋"/>
                      <w:kern w:val="0"/>
                      <w:sz w:val="24"/>
                    </w:rPr>
                    <w:t>2手臂，工作范围+110</w:t>
                  </w:r>
                  <w:r>
                    <w:rPr>
                      <w:rFonts w:hint="eastAsia" w:ascii="仿宋" w:hAnsi="仿宋" w:eastAsia="仿宋"/>
                      <w:kern w:val="0"/>
                      <w:sz w:val="24"/>
                    </w:rPr>
                    <w:t>°</w:t>
                  </w:r>
                  <w:r>
                    <w:rPr>
                      <w:rFonts w:ascii="仿宋" w:hAnsi="仿宋" w:eastAsia="仿宋"/>
                      <w:kern w:val="0"/>
                      <w:sz w:val="24"/>
                    </w:rPr>
                    <w:t>~-110</w:t>
                  </w:r>
                  <w:r>
                    <w:rPr>
                      <w:rFonts w:hint="eastAsia" w:ascii="仿宋" w:hAnsi="仿宋" w:eastAsia="仿宋"/>
                      <w:kern w:val="0"/>
                      <w:sz w:val="24"/>
                    </w:rPr>
                    <w:t>°，最大速度</w:t>
                  </w:r>
                  <w:r>
                    <w:rPr>
                      <w:rFonts w:ascii="仿宋" w:hAnsi="仿宋" w:eastAsia="仿宋"/>
                      <w:kern w:val="0"/>
                      <w:sz w:val="24"/>
                    </w:rPr>
                    <w:t>250°/s；</w:t>
                  </w:r>
                </w:p>
                <w:p>
                  <w:pPr>
                    <w:adjustRightInd w:val="0"/>
                    <w:jc w:val="left"/>
                    <w:rPr>
                      <w:rFonts w:ascii="仿宋" w:hAnsi="仿宋" w:eastAsia="仿宋"/>
                      <w:kern w:val="0"/>
                      <w:sz w:val="24"/>
                    </w:rPr>
                  </w:pPr>
                  <w:r>
                    <w:rPr>
                      <w:rFonts w:ascii="仿宋" w:hAnsi="仿宋" w:eastAsia="仿宋"/>
                      <w:kern w:val="0"/>
                      <w:sz w:val="24"/>
                    </w:rPr>
                    <w:t>9)</w:t>
                  </w:r>
                  <w:r>
                    <w:rPr>
                      <w:rFonts w:ascii="仿宋" w:hAnsi="仿宋" w:eastAsia="仿宋"/>
                      <w:kern w:val="0"/>
                      <w:sz w:val="24"/>
                    </w:rPr>
                    <w:tab/>
                  </w:r>
                  <w:r>
                    <w:rPr>
                      <w:rFonts w:hint="eastAsia" w:ascii="仿宋" w:hAnsi="仿宋" w:eastAsia="仿宋"/>
                      <w:kern w:val="0"/>
                      <w:sz w:val="24"/>
                    </w:rPr>
                    <w:t>轴</w:t>
                  </w:r>
                  <w:r>
                    <w:rPr>
                      <w:rFonts w:ascii="仿宋" w:hAnsi="仿宋" w:eastAsia="仿宋"/>
                      <w:kern w:val="0"/>
                      <w:sz w:val="24"/>
                    </w:rPr>
                    <w:t>3手臂，工作范围+70</w:t>
                  </w:r>
                  <w:r>
                    <w:rPr>
                      <w:rFonts w:hint="eastAsia" w:ascii="仿宋" w:hAnsi="仿宋" w:eastAsia="仿宋"/>
                      <w:kern w:val="0"/>
                      <w:sz w:val="24"/>
                    </w:rPr>
                    <w:t>°</w:t>
                  </w:r>
                  <w:r>
                    <w:rPr>
                      <w:rFonts w:ascii="仿宋" w:hAnsi="仿宋" w:eastAsia="仿宋"/>
                      <w:kern w:val="0"/>
                      <w:sz w:val="24"/>
                    </w:rPr>
                    <w:t>~-90</w:t>
                  </w:r>
                  <w:r>
                    <w:rPr>
                      <w:rFonts w:hint="eastAsia" w:ascii="仿宋" w:hAnsi="仿宋" w:eastAsia="仿宋"/>
                      <w:kern w:val="0"/>
                      <w:sz w:val="24"/>
                    </w:rPr>
                    <w:t>°，最大速度</w:t>
                  </w:r>
                  <w:r>
                    <w:rPr>
                      <w:rFonts w:ascii="仿宋" w:hAnsi="仿宋" w:eastAsia="仿宋"/>
                      <w:kern w:val="0"/>
                      <w:sz w:val="24"/>
                    </w:rPr>
                    <w:t>250°/s；</w:t>
                  </w:r>
                </w:p>
                <w:p>
                  <w:pPr>
                    <w:adjustRightInd w:val="0"/>
                    <w:jc w:val="left"/>
                    <w:rPr>
                      <w:rFonts w:ascii="仿宋" w:hAnsi="仿宋" w:eastAsia="仿宋"/>
                      <w:kern w:val="0"/>
                      <w:sz w:val="24"/>
                    </w:rPr>
                  </w:pPr>
                  <w:r>
                    <w:rPr>
                      <w:rFonts w:ascii="仿宋" w:hAnsi="仿宋" w:eastAsia="仿宋"/>
                      <w:kern w:val="0"/>
                      <w:sz w:val="24"/>
                    </w:rPr>
                    <w:t>10)</w:t>
                  </w:r>
                  <w:r>
                    <w:rPr>
                      <w:rFonts w:ascii="仿宋" w:hAnsi="仿宋" w:eastAsia="仿宋"/>
                      <w:kern w:val="0"/>
                      <w:sz w:val="24"/>
                    </w:rPr>
                    <w:tab/>
                  </w:r>
                  <w:r>
                    <w:rPr>
                      <w:rFonts w:hint="eastAsia" w:ascii="仿宋" w:hAnsi="仿宋" w:eastAsia="仿宋"/>
                      <w:kern w:val="0"/>
                      <w:sz w:val="24"/>
                    </w:rPr>
                    <w:t>轴</w:t>
                  </w:r>
                  <w:r>
                    <w:rPr>
                      <w:rFonts w:ascii="仿宋" w:hAnsi="仿宋" w:eastAsia="仿宋"/>
                      <w:kern w:val="0"/>
                      <w:sz w:val="24"/>
                    </w:rPr>
                    <w:t>4手腕，工作范围+160</w:t>
                  </w:r>
                  <w:r>
                    <w:rPr>
                      <w:rFonts w:hint="eastAsia" w:ascii="仿宋" w:hAnsi="仿宋" w:eastAsia="仿宋"/>
                      <w:kern w:val="0"/>
                      <w:sz w:val="24"/>
                    </w:rPr>
                    <w:t>°</w:t>
                  </w:r>
                  <w:r>
                    <w:rPr>
                      <w:rFonts w:ascii="仿宋" w:hAnsi="仿宋" w:eastAsia="仿宋"/>
                      <w:kern w:val="0"/>
                      <w:sz w:val="24"/>
                    </w:rPr>
                    <w:t>~-160</w:t>
                  </w:r>
                  <w:r>
                    <w:rPr>
                      <w:rFonts w:hint="eastAsia" w:ascii="仿宋" w:hAnsi="仿宋" w:eastAsia="仿宋"/>
                      <w:kern w:val="0"/>
                      <w:sz w:val="24"/>
                    </w:rPr>
                    <w:t>°，最大速度</w:t>
                  </w:r>
                  <w:r>
                    <w:rPr>
                      <w:rFonts w:ascii="仿宋" w:hAnsi="仿宋" w:eastAsia="仿宋"/>
                      <w:kern w:val="0"/>
                      <w:sz w:val="24"/>
                    </w:rPr>
                    <w:t>320°/s；</w:t>
                  </w:r>
                </w:p>
                <w:p>
                  <w:pPr>
                    <w:adjustRightInd w:val="0"/>
                    <w:jc w:val="left"/>
                    <w:rPr>
                      <w:rFonts w:ascii="仿宋" w:hAnsi="仿宋" w:eastAsia="仿宋"/>
                      <w:kern w:val="0"/>
                      <w:sz w:val="24"/>
                    </w:rPr>
                  </w:pPr>
                  <w:r>
                    <w:rPr>
                      <w:rFonts w:ascii="仿宋" w:hAnsi="仿宋" w:eastAsia="仿宋"/>
                      <w:kern w:val="0"/>
                      <w:sz w:val="24"/>
                    </w:rPr>
                    <w:t>11)</w:t>
                  </w:r>
                  <w:r>
                    <w:rPr>
                      <w:rFonts w:ascii="仿宋" w:hAnsi="仿宋" w:eastAsia="仿宋"/>
                      <w:kern w:val="0"/>
                      <w:sz w:val="24"/>
                    </w:rPr>
                    <w:tab/>
                  </w:r>
                  <w:r>
                    <w:rPr>
                      <w:rFonts w:hint="eastAsia" w:ascii="仿宋" w:hAnsi="仿宋" w:eastAsia="仿宋"/>
                      <w:kern w:val="0"/>
                      <w:sz w:val="24"/>
                    </w:rPr>
                    <w:t>轴</w:t>
                  </w:r>
                  <w:r>
                    <w:rPr>
                      <w:rFonts w:ascii="仿宋" w:hAnsi="仿宋" w:eastAsia="仿宋"/>
                      <w:kern w:val="0"/>
                      <w:sz w:val="24"/>
                    </w:rPr>
                    <w:t>5弯曲，工作范围+120</w:t>
                  </w:r>
                  <w:r>
                    <w:rPr>
                      <w:rFonts w:hint="eastAsia" w:ascii="仿宋" w:hAnsi="仿宋" w:eastAsia="仿宋"/>
                      <w:kern w:val="0"/>
                      <w:sz w:val="24"/>
                    </w:rPr>
                    <w:t>°</w:t>
                  </w:r>
                  <w:r>
                    <w:rPr>
                      <w:rFonts w:ascii="仿宋" w:hAnsi="仿宋" w:eastAsia="仿宋"/>
                      <w:kern w:val="0"/>
                      <w:sz w:val="24"/>
                    </w:rPr>
                    <w:t>~-120</w:t>
                  </w:r>
                  <w:r>
                    <w:rPr>
                      <w:rFonts w:hint="eastAsia" w:ascii="仿宋" w:hAnsi="仿宋" w:eastAsia="仿宋"/>
                      <w:kern w:val="0"/>
                      <w:sz w:val="24"/>
                    </w:rPr>
                    <w:t>°，最大速度</w:t>
                  </w:r>
                  <w:r>
                    <w:rPr>
                      <w:rFonts w:ascii="仿宋" w:hAnsi="仿宋" w:eastAsia="仿宋"/>
                      <w:kern w:val="0"/>
                      <w:sz w:val="24"/>
                    </w:rPr>
                    <w:t>320°/s；</w:t>
                  </w:r>
                </w:p>
                <w:p>
                  <w:pPr>
                    <w:adjustRightInd w:val="0"/>
                    <w:jc w:val="left"/>
                    <w:rPr>
                      <w:rFonts w:ascii="仿宋" w:hAnsi="仿宋" w:eastAsia="仿宋"/>
                      <w:kern w:val="0"/>
                      <w:sz w:val="24"/>
                    </w:rPr>
                  </w:pPr>
                  <w:r>
                    <w:rPr>
                      <w:rFonts w:ascii="仿宋" w:hAnsi="仿宋" w:eastAsia="仿宋"/>
                      <w:kern w:val="0"/>
                      <w:sz w:val="24"/>
                    </w:rPr>
                    <w:t>12)</w:t>
                  </w:r>
                  <w:r>
                    <w:rPr>
                      <w:rFonts w:ascii="仿宋" w:hAnsi="仿宋" w:eastAsia="仿宋"/>
                      <w:kern w:val="0"/>
                      <w:sz w:val="24"/>
                    </w:rPr>
                    <w:tab/>
                  </w:r>
                  <w:r>
                    <w:rPr>
                      <w:rFonts w:hint="eastAsia" w:ascii="仿宋" w:hAnsi="仿宋" w:eastAsia="仿宋"/>
                      <w:kern w:val="0"/>
                      <w:sz w:val="24"/>
                    </w:rPr>
                    <w:t>轴</w:t>
                  </w:r>
                  <w:r>
                    <w:rPr>
                      <w:rFonts w:ascii="仿宋" w:hAnsi="仿宋" w:eastAsia="仿宋"/>
                      <w:kern w:val="0"/>
                      <w:sz w:val="24"/>
                    </w:rPr>
                    <w:t>6翻转，工作范围+400</w:t>
                  </w:r>
                  <w:r>
                    <w:rPr>
                      <w:rFonts w:hint="eastAsia" w:ascii="仿宋" w:hAnsi="仿宋" w:eastAsia="仿宋"/>
                      <w:kern w:val="0"/>
                      <w:sz w:val="24"/>
                    </w:rPr>
                    <w:t>°</w:t>
                  </w:r>
                  <w:r>
                    <w:rPr>
                      <w:rFonts w:ascii="仿宋" w:hAnsi="仿宋" w:eastAsia="仿宋"/>
                      <w:kern w:val="0"/>
                      <w:sz w:val="24"/>
                    </w:rPr>
                    <w:t>~-400</w:t>
                  </w:r>
                  <w:r>
                    <w:rPr>
                      <w:rFonts w:hint="eastAsia" w:ascii="仿宋" w:hAnsi="仿宋" w:eastAsia="仿宋"/>
                      <w:kern w:val="0"/>
                      <w:sz w:val="24"/>
                    </w:rPr>
                    <w:t>°，最大速度</w:t>
                  </w:r>
                  <w:r>
                    <w:rPr>
                      <w:rFonts w:ascii="仿宋" w:hAnsi="仿宋" w:eastAsia="仿宋"/>
                      <w:kern w:val="0"/>
                      <w:sz w:val="24"/>
                    </w:rPr>
                    <w:t>420°/s；</w:t>
                  </w:r>
                </w:p>
                <w:p>
                  <w:pPr>
                    <w:adjustRightInd w:val="0"/>
                    <w:jc w:val="left"/>
                    <w:rPr>
                      <w:rFonts w:ascii="仿宋" w:hAnsi="仿宋" w:eastAsia="仿宋"/>
                      <w:kern w:val="0"/>
                      <w:sz w:val="24"/>
                    </w:rPr>
                  </w:pPr>
                  <w:r>
                    <w:rPr>
                      <w:rFonts w:ascii="仿宋" w:hAnsi="仿宋" w:eastAsia="仿宋"/>
                      <w:kern w:val="0"/>
                      <w:sz w:val="24"/>
                    </w:rPr>
                    <w:t>13)</w:t>
                  </w:r>
                  <w:r>
                    <w:rPr>
                      <w:rFonts w:ascii="仿宋" w:hAnsi="仿宋" w:eastAsia="仿宋"/>
                      <w:kern w:val="0"/>
                      <w:sz w:val="24"/>
                    </w:rPr>
                    <w:tab/>
                  </w:r>
                  <w:r>
                    <w:rPr>
                      <w:rFonts w:ascii="仿宋" w:hAnsi="仿宋" w:eastAsia="仿宋"/>
                      <w:kern w:val="0"/>
                      <w:sz w:val="24"/>
                    </w:rPr>
                    <w:t>1kg拾料节拍，25×300×25mm区域</w:t>
                  </w:r>
                  <w:r>
                    <w:rPr>
                      <w:rFonts w:hint="eastAsia" w:ascii="仿宋" w:hAnsi="仿宋" w:eastAsia="仿宋"/>
                      <w:kern w:val="0"/>
                      <w:sz w:val="24"/>
                    </w:rPr>
                    <w:t>≤</w:t>
                  </w:r>
                  <w:r>
                    <w:rPr>
                      <w:rFonts w:ascii="仿宋" w:hAnsi="仿宋" w:eastAsia="仿宋"/>
                      <w:kern w:val="0"/>
                      <w:sz w:val="24"/>
                    </w:rPr>
                    <w:t>0.58s，TCP最大速度6.2m/s，TCP最大加速度28m/s，加速时间0~1m/s为0.07s；</w:t>
                  </w:r>
                </w:p>
                <w:p>
                  <w:pPr>
                    <w:adjustRightInd w:val="0"/>
                    <w:jc w:val="left"/>
                    <w:rPr>
                      <w:rFonts w:ascii="仿宋" w:hAnsi="仿宋" w:eastAsia="仿宋"/>
                      <w:kern w:val="0"/>
                      <w:sz w:val="24"/>
                    </w:rPr>
                  </w:pPr>
                  <w:r>
                    <w:rPr>
                      <w:rFonts w:ascii="仿宋" w:hAnsi="仿宋" w:eastAsia="仿宋"/>
                      <w:kern w:val="0"/>
                      <w:sz w:val="24"/>
                    </w:rPr>
                    <w:t>14)</w:t>
                  </w:r>
                  <w:r>
                    <w:rPr>
                      <w:rFonts w:ascii="仿宋" w:hAnsi="仿宋" w:eastAsia="仿宋"/>
                      <w:kern w:val="0"/>
                      <w:sz w:val="24"/>
                    </w:rPr>
                    <w:tab/>
                  </w:r>
                  <w:r>
                    <w:rPr>
                      <w:rFonts w:hint="eastAsia" w:ascii="仿宋" w:hAnsi="仿宋" w:eastAsia="仿宋"/>
                      <w:kern w:val="0"/>
                      <w:sz w:val="24"/>
                    </w:rPr>
                    <w:t>电源电压为</w:t>
                  </w:r>
                  <w:r>
                    <w:rPr>
                      <w:rFonts w:ascii="仿宋" w:hAnsi="仿宋" w:eastAsia="仿宋"/>
                      <w:kern w:val="0"/>
                      <w:sz w:val="24"/>
                    </w:rPr>
                    <w:t>200~600V，50/60Hz，功耗</w:t>
                  </w:r>
                  <w:r>
                    <w:rPr>
                      <w:rFonts w:hint="eastAsia" w:ascii="仿宋" w:hAnsi="仿宋" w:eastAsia="仿宋"/>
                      <w:kern w:val="0"/>
                      <w:sz w:val="24"/>
                    </w:rPr>
                    <w:t>≤</w:t>
                  </w:r>
                  <w:r>
                    <w:rPr>
                      <w:rFonts w:ascii="仿宋" w:hAnsi="仿宋" w:eastAsia="仿宋"/>
                      <w:kern w:val="0"/>
                      <w:sz w:val="24"/>
                    </w:rPr>
                    <w:t>0.25kW；</w:t>
                  </w:r>
                </w:p>
                <w:p>
                  <w:pPr>
                    <w:adjustRightInd w:val="0"/>
                    <w:jc w:val="left"/>
                    <w:rPr>
                      <w:rFonts w:ascii="仿宋" w:hAnsi="仿宋" w:eastAsia="仿宋"/>
                      <w:kern w:val="0"/>
                      <w:sz w:val="24"/>
                    </w:rPr>
                  </w:pPr>
                  <w:r>
                    <w:rPr>
                      <w:rFonts w:ascii="仿宋" w:hAnsi="仿宋" w:eastAsia="仿宋"/>
                      <w:kern w:val="0"/>
                      <w:sz w:val="24"/>
                    </w:rPr>
                    <w:t>15)</w:t>
                  </w:r>
                  <w:r>
                    <w:rPr>
                      <w:rFonts w:ascii="仿宋" w:hAnsi="仿宋" w:eastAsia="仿宋"/>
                      <w:kern w:val="0"/>
                      <w:sz w:val="24"/>
                    </w:rPr>
                    <w:tab/>
                  </w:r>
                  <w:r>
                    <w:rPr>
                      <w:rFonts w:hint="eastAsia" w:ascii="仿宋" w:hAnsi="仿宋" w:eastAsia="仿宋"/>
                      <w:kern w:val="0"/>
                      <w:sz w:val="24"/>
                    </w:rPr>
                    <w:t>本体重量≥</w:t>
                  </w:r>
                  <w:r>
                    <w:rPr>
                      <w:rFonts w:ascii="仿宋" w:hAnsi="仿宋" w:eastAsia="仿宋"/>
                      <w:kern w:val="0"/>
                      <w:sz w:val="24"/>
                    </w:rPr>
                    <w:t>25kg；</w:t>
                  </w:r>
                </w:p>
                <w:p>
                  <w:pPr>
                    <w:adjustRightInd w:val="0"/>
                    <w:jc w:val="left"/>
                    <w:rPr>
                      <w:rFonts w:ascii="仿宋" w:hAnsi="仿宋" w:eastAsia="仿宋"/>
                      <w:kern w:val="0"/>
                      <w:sz w:val="24"/>
                    </w:rPr>
                  </w:pPr>
                  <w:r>
                    <w:rPr>
                      <w:rFonts w:ascii="仿宋" w:hAnsi="仿宋" w:eastAsia="仿宋"/>
                      <w:kern w:val="0"/>
                      <w:sz w:val="24"/>
                    </w:rPr>
                    <w:t>16)</w:t>
                  </w:r>
                  <w:r>
                    <w:rPr>
                      <w:rFonts w:ascii="仿宋" w:hAnsi="仿宋" w:eastAsia="仿宋"/>
                      <w:kern w:val="0"/>
                      <w:sz w:val="24"/>
                    </w:rPr>
                    <w:tab/>
                  </w:r>
                  <w:r>
                    <w:rPr>
                      <w:rFonts w:hint="eastAsia" w:ascii="仿宋" w:hAnsi="仿宋" w:eastAsia="仿宋"/>
                      <w:kern w:val="0"/>
                      <w:sz w:val="24"/>
                    </w:rPr>
                    <w:t>在工作台台面上布置有手动</w:t>
                  </w:r>
                  <w:r>
                    <w:rPr>
                      <w:rFonts w:ascii="仿宋" w:hAnsi="仿宋" w:eastAsia="仿宋"/>
                      <w:kern w:val="0"/>
                      <w:sz w:val="24"/>
                    </w:rPr>
                    <w:t>/自动模式切换旋钮、电机开启按钮及示教器接线接口，方便接线。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6"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工业机器人扩展</w:t>
                  </w:r>
                  <w:r>
                    <w:rPr>
                      <w:rFonts w:ascii="仿宋" w:hAnsi="仿宋" w:eastAsia="仿宋"/>
                      <w:kern w:val="0"/>
                      <w:sz w:val="24"/>
                    </w:rPr>
                    <w:t>IO模块×1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支持</w:t>
                  </w:r>
                  <w:r>
                    <w:rPr>
                      <w:rFonts w:ascii="仿宋" w:hAnsi="仿宋" w:eastAsia="仿宋"/>
                      <w:kern w:val="0"/>
                      <w:sz w:val="24"/>
                    </w:rPr>
                    <w:t>DeviceNet总线通讯；</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支持适配</w:t>
                  </w:r>
                  <w:r>
                    <w:rPr>
                      <w:rFonts w:ascii="仿宋" w:hAnsi="仿宋" w:eastAsia="仿宋"/>
                      <w:kern w:val="0"/>
                      <w:sz w:val="24"/>
                    </w:rPr>
                    <w:t>IO模块数量最多32个；</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传输距离最大</w:t>
                  </w:r>
                  <w:r>
                    <w:rPr>
                      <w:rFonts w:ascii="仿宋" w:hAnsi="仿宋" w:eastAsia="仿宋"/>
                      <w:kern w:val="0"/>
                      <w:sz w:val="24"/>
                    </w:rPr>
                    <w:t>5000米，总线速率最大500kbps；</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附带数字量输入模块</w:t>
                  </w:r>
                  <w:r>
                    <w:rPr>
                      <w:rFonts w:ascii="仿宋" w:hAnsi="仿宋" w:eastAsia="仿宋"/>
                      <w:kern w:val="0"/>
                      <w:sz w:val="24"/>
                    </w:rPr>
                    <w:t>2个，单模块8通道，输入信号类型PNP，输入电流典型值3mA，隔离耐压500V，隔离方式光耦隔离；</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附带数字量输出模块</w:t>
                  </w:r>
                  <w:r>
                    <w:rPr>
                      <w:rFonts w:ascii="仿宋" w:hAnsi="仿宋" w:eastAsia="仿宋"/>
                      <w:kern w:val="0"/>
                      <w:sz w:val="24"/>
                    </w:rPr>
                    <w:t>4</w:t>
                  </w:r>
                  <w:r>
                    <w:rPr>
                      <w:rFonts w:hint="eastAsia" w:ascii="仿宋" w:hAnsi="仿宋" w:eastAsia="仿宋"/>
                      <w:kern w:val="0"/>
                      <w:sz w:val="24"/>
                    </w:rPr>
                    <w:t>个，单模块</w:t>
                  </w:r>
                  <w:r>
                    <w:rPr>
                      <w:rFonts w:ascii="仿宋" w:hAnsi="仿宋" w:eastAsia="仿宋"/>
                      <w:kern w:val="0"/>
                      <w:sz w:val="24"/>
                    </w:rPr>
                    <w:t>8通道，输出信号类型源型，驱动能力500mA/</w:t>
                  </w:r>
                  <w:r>
                    <w:rPr>
                      <w:rFonts w:hint="eastAsia" w:ascii="仿宋" w:hAnsi="仿宋" w:eastAsia="仿宋"/>
                      <w:kern w:val="0"/>
                      <w:sz w:val="24"/>
                    </w:rPr>
                    <w:t>通道，隔离耐压</w:t>
                  </w:r>
                  <w:r>
                    <w:rPr>
                      <w:rFonts w:ascii="仿宋" w:hAnsi="仿宋" w:eastAsia="仿宋"/>
                      <w:kern w:val="0"/>
                      <w:sz w:val="24"/>
                    </w:rPr>
                    <w:t>500V，隔离方式光耦隔离；</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附带模拟量输出模块</w:t>
                  </w:r>
                  <w:r>
                    <w:rPr>
                      <w:rFonts w:ascii="仿宋" w:hAnsi="仿宋" w:eastAsia="仿宋"/>
                      <w:kern w:val="0"/>
                      <w:sz w:val="24"/>
                    </w:rPr>
                    <w:t>1个，单模块4通道，输出电压0V~10V，负载能力&gt;5kΩ，负载类型为阻性负载、容性负载，分辨率12位；</w:t>
                  </w:r>
                </w:p>
                <w:p>
                  <w:pPr>
                    <w:adjustRightInd w:val="0"/>
                    <w:jc w:val="left"/>
                    <w:rPr>
                      <w:rFonts w:ascii="仿宋" w:hAnsi="仿宋" w:eastAsia="仿宋"/>
                      <w:kern w:val="0"/>
                      <w:sz w:val="24"/>
                    </w:rPr>
                  </w:pPr>
                  <w:r>
                    <w:rPr>
                      <w:rFonts w:ascii="仿宋" w:hAnsi="仿宋" w:eastAsia="仿宋"/>
                      <w:kern w:val="0"/>
                      <w:sz w:val="24"/>
                    </w:rPr>
                    <w:t>7)</w:t>
                  </w:r>
                  <w:r>
                    <w:rPr>
                      <w:rFonts w:ascii="仿宋" w:hAnsi="仿宋" w:eastAsia="仿宋"/>
                      <w:kern w:val="0"/>
                      <w:sz w:val="24"/>
                    </w:rPr>
                    <w:tab/>
                  </w:r>
                  <w:r>
                    <w:rPr>
                      <w:rFonts w:hint="eastAsia" w:ascii="仿宋" w:hAnsi="仿宋" w:eastAsia="仿宋"/>
                      <w:kern w:val="0"/>
                      <w:sz w:val="24"/>
                    </w:rPr>
                    <w:t>在工作台台面上布置有远程</w:t>
                  </w:r>
                  <w:r>
                    <w:rPr>
                      <w:rFonts w:ascii="仿宋" w:hAnsi="仿宋" w:eastAsia="仿宋"/>
                      <w:kern w:val="0"/>
                      <w:sz w:val="24"/>
                    </w:rPr>
                    <w:t>IO适配器的网络通信接口，方便接线。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工具快换模块法兰端×</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针对多关节机器人设计，使气管、信号确认线一次性自动装卸；</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超硬铝材质，安装位置为机器手侧；</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自重≤</w:t>
                  </w:r>
                  <w:r>
                    <w:rPr>
                      <w:rFonts w:ascii="仿宋" w:hAnsi="仿宋" w:eastAsia="仿宋"/>
                      <w:kern w:val="0"/>
                      <w:sz w:val="24"/>
                    </w:rPr>
                    <w:t>125g，可搬重量</w:t>
                  </w:r>
                  <w:r>
                    <w:rPr>
                      <w:rFonts w:hint="eastAsia" w:ascii="仿宋" w:hAnsi="仿宋" w:eastAsia="仿宋"/>
                      <w:kern w:val="0"/>
                      <w:sz w:val="24"/>
                    </w:rPr>
                    <w:t>≥</w:t>
                  </w:r>
                  <w:r>
                    <w:rPr>
                      <w:rFonts w:ascii="仿宋" w:hAnsi="仿宋" w:eastAsia="仿宋"/>
                      <w:kern w:val="0"/>
                      <w:sz w:val="24"/>
                    </w:rPr>
                    <w:t>3kg；</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锁紧力≤</w:t>
                  </w:r>
                  <w:r>
                    <w:rPr>
                      <w:rFonts w:ascii="仿宋" w:hAnsi="仿宋" w:eastAsia="仿宋"/>
                      <w:kern w:val="0"/>
                      <w:sz w:val="24"/>
                    </w:rPr>
                    <w:t>123N，张开力</w:t>
                  </w:r>
                  <w:r>
                    <w:rPr>
                      <w:rFonts w:hint="eastAsia" w:ascii="仿宋" w:hAnsi="仿宋" w:eastAsia="仿宋"/>
                      <w:kern w:val="0"/>
                      <w:sz w:val="24"/>
                    </w:rPr>
                    <w:t>≤</w:t>
                  </w:r>
                  <w:r>
                    <w:rPr>
                      <w:rFonts w:ascii="仿宋" w:hAnsi="仿宋" w:eastAsia="仿宋"/>
                      <w:kern w:val="0"/>
                      <w:sz w:val="24"/>
                    </w:rPr>
                    <w:t>63N；</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支持</w:t>
                  </w:r>
                  <w:r>
                    <w:rPr>
                      <w:rFonts w:ascii="仿宋" w:hAnsi="仿宋" w:eastAsia="仿宋"/>
                      <w:kern w:val="0"/>
                      <w:sz w:val="24"/>
                    </w:rPr>
                    <w:t>9路电信号（2A，DC 24V）、6路气路连接。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8"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平移滑台×</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有效工作行程≥</w:t>
                  </w:r>
                  <w:r>
                    <w:rPr>
                      <w:rFonts w:ascii="仿宋" w:hAnsi="仿宋" w:eastAsia="仿宋"/>
                      <w:kern w:val="0"/>
                      <w:sz w:val="24"/>
                    </w:rPr>
                    <w:t>700mm，有效负载重量</w:t>
                  </w:r>
                  <w:r>
                    <w:rPr>
                      <w:rFonts w:hint="eastAsia" w:ascii="仿宋" w:hAnsi="仿宋" w:eastAsia="仿宋"/>
                      <w:kern w:val="0"/>
                      <w:sz w:val="24"/>
                    </w:rPr>
                    <w:t>≥</w:t>
                  </w:r>
                  <w:r>
                    <w:rPr>
                      <w:rFonts w:ascii="仿宋" w:hAnsi="仿宋" w:eastAsia="仿宋"/>
                      <w:kern w:val="0"/>
                      <w:sz w:val="24"/>
                    </w:rPr>
                    <w:t>50kg，额定运行速度</w:t>
                  </w:r>
                  <w:r>
                    <w:rPr>
                      <w:rFonts w:hint="eastAsia" w:ascii="仿宋" w:hAnsi="仿宋" w:eastAsia="仿宋"/>
                      <w:kern w:val="0"/>
                      <w:sz w:val="24"/>
                    </w:rPr>
                    <w:t>≥</w:t>
                  </w:r>
                  <w:r>
                    <w:rPr>
                      <w:rFonts w:ascii="仿宋" w:hAnsi="仿宋" w:eastAsia="仿宋"/>
                      <w:kern w:val="0"/>
                      <w:sz w:val="24"/>
                    </w:rPr>
                    <w:t>15mm/s；</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驱动方式为伺服电机经减速机减速后，通过同步带带动滚珠丝杠实现旋转运动变换到直线运动，由滚珠导轨导向滑动；</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伺服电机额定输出≥</w:t>
                  </w:r>
                  <w:r>
                    <w:rPr>
                      <w:rFonts w:ascii="仿宋" w:hAnsi="仿宋" w:eastAsia="仿宋"/>
                      <w:kern w:val="0"/>
                      <w:sz w:val="24"/>
                    </w:rPr>
                    <w:t>400W，额定转矩</w:t>
                  </w:r>
                  <w:r>
                    <w:rPr>
                      <w:rFonts w:hint="eastAsia" w:ascii="仿宋" w:hAnsi="仿宋" w:eastAsia="仿宋"/>
                      <w:kern w:val="0"/>
                      <w:sz w:val="24"/>
                    </w:rPr>
                    <w:t>≤</w:t>
                  </w:r>
                  <w:r>
                    <w:rPr>
                      <w:rFonts w:ascii="仿宋" w:hAnsi="仿宋" w:eastAsia="仿宋"/>
                      <w:kern w:val="0"/>
                      <w:sz w:val="24"/>
                    </w:rPr>
                    <w:t>1.3Nm，额定转速</w:t>
                  </w:r>
                  <w:r>
                    <w:rPr>
                      <w:rFonts w:hint="eastAsia" w:ascii="仿宋" w:hAnsi="仿宋" w:eastAsia="仿宋"/>
                      <w:kern w:val="0"/>
                      <w:sz w:val="24"/>
                    </w:rPr>
                    <w:t>≤</w:t>
                  </w:r>
                  <w:r>
                    <w:rPr>
                      <w:rFonts w:ascii="仿宋" w:hAnsi="仿宋" w:eastAsia="仿宋"/>
                      <w:kern w:val="0"/>
                      <w:sz w:val="24"/>
                    </w:rPr>
                    <w:t>3000r/min，增量式17bit编码器，配套同品牌伺服放大器，输出额定电压三相AC170V/</w:t>
                  </w:r>
                  <w:r>
                    <w:rPr>
                      <w:rFonts w:hint="eastAsia" w:ascii="仿宋" w:hAnsi="仿宋" w:eastAsia="仿宋"/>
                      <w:kern w:val="0"/>
                      <w:sz w:val="24"/>
                    </w:rPr>
                    <w:t>额定电流</w:t>
                  </w:r>
                  <w:r>
                    <w:rPr>
                      <w:rFonts w:ascii="仿宋" w:hAnsi="仿宋" w:eastAsia="仿宋"/>
                      <w:kern w:val="0"/>
                      <w:sz w:val="24"/>
                    </w:rPr>
                    <w:t>2.8A，电源输入电压三相或单相AC200V~240V/</w:t>
                  </w:r>
                  <w:r>
                    <w:rPr>
                      <w:rFonts w:hint="eastAsia" w:ascii="仿宋" w:hAnsi="仿宋" w:eastAsia="仿宋"/>
                      <w:kern w:val="0"/>
                      <w:sz w:val="24"/>
                    </w:rPr>
                    <w:t>额定电流</w:t>
                  </w:r>
                  <w:r>
                    <w:rPr>
                      <w:rFonts w:ascii="仿宋" w:hAnsi="仿宋" w:eastAsia="仿宋"/>
                      <w:kern w:val="0"/>
                      <w:sz w:val="24"/>
                    </w:rPr>
                    <w:t>2.6A，控制方式为正弦波PWM控制/电流控制方式，配套精密减速机，减速比1:3；</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滚珠丝杠直径≥</w:t>
                  </w:r>
                  <w:r>
                    <w:rPr>
                      <w:rFonts w:ascii="仿宋" w:hAnsi="仿宋" w:eastAsia="仿宋"/>
                      <w:kern w:val="0"/>
                      <w:sz w:val="24"/>
                    </w:rPr>
                    <w:t>25mm，导程5mm，全长</w:t>
                  </w:r>
                  <w:r>
                    <w:rPr>
                      <w:rFonts w:hint="eastAsia" w:ascii="仿宋" w:hAnsi="仿宋" w:eastAsia="仿宋"/>
                      <w:kern w:val="0"/>
                      <w:sz w:val="24"/>
                    </w:rPr>
                    <w:t>≤</w:t>
                  </w:r>
                  <w:r>
                    <w:rPr>
                      <w:rFonts w:ascii="仿宋" w:hAnsi="仿宋" w:eastAsia="仿宋"/>
                      <w:kern w:val="0"/>
                      <w:sz w:val="24"/>
                    </w:rPr>
                    <w:t>990mm，配套自润滑螺母；</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滚珠导轨共</w:t>
                  </w:r>
                  <w:r>
                    <w:rPr>
                      <w:rFonts w:ascii="仿宋" w:hAnsi="仿宋" w:eastAsia="仿宋"/>
                      <w:kern w:val="0"/>
                      <w:sz w:val="24"/>
                    </w:rPr>
                    <w:t>2个，宽度</w:t>
                  </w:r>
                  <w:r>
                    <w:rPr>
                      <w:rFonts w:hint="eastAsia" w:ascii="仿宋" w:hAnsi="仿宋" w:eastAsia="仿宋"/>
                      <w:kern w:val="0"/>
                      <w:sz w:val="24"/>
                    </w:rPr>
                    <w:t>≤</w:t>
                  </w:r>
                  <w:r>
                    <w:rPr>
                      <w:rFonts w:ascii="仿宋" w:hAnsi="仿宋" w:eastAsia="仿宋"/>
                      <w:kern w:val="0"/>
                      <w:sz w:val="24"/>
                    </w:rPr>
                    <w:t>20mm，全长</w:t>
                  </w:r>
                  <w:r>
                    <w:rPr>
                      <w:rFonts w:hint="eastAsia" w:ascii="仿宋" w:hAnsi="仿宋" w:eastAsia="仿宋"/>
                      <w:kern w:val="0"/>
                      <w:sz w:val="24"/>
                    </w:rPr>
                    <w:t>≤</w:t>
                  </w:r>
                  <w:r>
                    <w:rPr>
                      <w:rFonts w:ascii="仿宋" w:hAnsi="仿宋" w:eastAsia="仿宋"/>
                      <w:kern w:val="0"/>
                      <w:sz w:val="24"/>
                    </w:rPr>
                    <w:t>1240mm，每个导轨配套2个滑块；</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直线导轨安装有防护罩，保护导轨和丝杠等零件，确保运行安全，配有拖链系统方便工业机器人线缆及其他连接线布线，外侧安装有长度标尺，可指示滑台当前位置。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ascii="仿宋" w:hAnsi="仿宋" w:eastAsia="仿宋"/>
                      <w:kern w:val="0"/>
                      <w:sz w:val="24"/>
                    </w:rPr>
                    <w:t>PLC控制器×1</w:t>
                  </w:r>
                  <w:r>
                    <w:rPr>
                      <w:rFonts w:hint="eastAsia" w:ascii="仿宋" w:hAnsi="仿宋" w:eastAsia="仿宋"/>
                      <w:kern w:val="0"/>
                      <w:sz w:val="24"/>
                    </w:rPr>
                    <w:t>：</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工作存储器≥</w:t>
                  </w:r>
                  <w:r>
                    <w:rPr>
                      <w:rFonts w:ascii="仿宋" w:hAnsi="仿宋" w:eastAsia="仿宋"/>
                      <w:kern w:val="0"/>
                      <w:sz w:val="24"/>
                    </w:rPr>
                    <w:t>75KB，装载存储器</w:t>
                  </w:r>
                  <w:r>
                    <w:rPr>
                      <w:rFonts w:hint="eastAsia" w:ascii="仿宋" w:hAnsi="仿宋" w:eastAsia="仿宋"/>
                      <w:kern w:val="0"/>
                      <w:sz w:val="24"/>
                    </w:rPr>
                    <w:t>≥</w:t>
                  </w:r>
                  <w:r>
                    <w:rPr>
                      <w:rFonts w:ascii="仿宋" w:hAnsi="仿宋" w:eastAsia="仿宋"/>
                      <w:kern w:val="0"/>
                      <w:sz w:val="24"/>
                    </w:rPr>
                    <w:t>2MB，保持性存储器</w:t>
                  </w:r>
                  <w:r>
                    <w:rPr>
                      <w:rFonts w:hint="eastAsia" w:ascii="仿宋" w:hAnsi="仿宋" w:eastAsia="仿宋"/>
                      <w:kern w:val="0"/>
                      <w:sz w:val="24"/>
                    </w:rPr>
                    <w:t>≥</w:t>
                  </w:r>
                  <w:r>
                    <w:rPr>
                      <w:rFonts w:ascii="仿宋" w:hAnsi="仿宋" w:eastAsia="仿宋"/>
                      <w:kern w:val="0"/>
                      <w:sz w:val="24"/>
                    </w:rPr>
                    <w:t>10KB；</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本体集成</w:t>
                  </w:r>
                  <w:r>
                    <w:rPr>
                      <w:rFonts w:ascii="仿宋" w:hAnsi="仿宋" w:eastAsia="仿宋"/>
                      <w:kern w:val="0"/>
                      <w:sz w:val="24"/>
                    </w:rPr>
                    <w:t>I/O，数字量8点输入/6点输出，模拟量2路输入；</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过程映像大小为</w:t>
                  </w:r>
                  <w:r>
                    <w:rPr>
                      <w:rFonts w:ascii="仿宋" w:hAnsi="仿宋" w:eastAsia="仿宋"/>
                      <w:kern w:val="0"/>
                      <w:sz w:val="24"/>
                    </w:rPr>
                    <w:t>1024字节输入（I）和1024字节输出（Q）；</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位存储器为</w:t>
                  </w:r>
                  <w:r>
                    <w:rPr>
                      <w:rFonts w:ascii="仿宋" w:hAnsi="仿宋" w:eastAsia="仿宋"/>
                      <w:kern w:val="0"/>
                      <w:sz w:val="24"/>
                    </w:rPr>
                    <w:t>4096字节（M）；</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具备</w:t>
                  </w:r>
                  <w:r>
                    <w:rPr>
                      <w:rFonts w:ascii="仿宋" w:hAnsi="仿宋" w:eastAsia="仿宋"/>
                      <w:kern w:val="0"/>
                      <w:sz w:val="24"/>
                    </w:rPr>
                    <w:t>1个以太网通信端口，支持PROFINET通信；</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实数数学运算执行速度</w:t>
                  </w:r>
                  <w:r>
                    <w:rPr>
                      <w:rFonts w:ascii="仿宋" w:hAnsi="仿宋" w:eastAsia="仿宋"/>
                      <w:kern w:val="0"/>
                      <w:sz w:val="24"/>
                    </w:rPr>
                    <w:t>2.3μs/</w:t>
                  </w:r>
                  <w:r>
                    <w:rPr>
                      <w:rFonts w:hint="eastAsia" w:ascii="仿宋" w:hAnsi="仿宋" w:eastAsia="仿宋"/>
                      <w:kern w:val="0"/>
                      <w:sz w:val="24"/>
                    </w:rPr>
                    <w:t>指令，布尔运算执行速度</w:t>
                  </w:r>
                  <w:r>
                    <w:rPr>
                      <w:rFonts w:ascii="仿宋" w:hAnsi="仿宋" w:eastAsia="仿宋"/>
                      <w:kern w:val="0"/>
                      <w:sz w:val="24"/>
                    </w:rPr>
                    <w:t>0.08μs/</w:t>
                  </w:r>
                  <w:r>
                    <w:rPr>
                      <w:rFonts w:hint="eastAsia" w:ascii="仿宋" w:hAnsi="仿宋" w:eastAsia="仿宋"/>
                      <w:kern w:val="0"/>
                      <w:sz w:val="24"/>
                    </w:rPr>
                    <w:t>指令；</w:t>
                  </w:r>
                </w:p>
                <w:p>
                  <w:pPr>
                    <w:adjustRightInd w:val="0"/>
                    <w:jc w:val="left"/>
                    <w:rPr>
                      <w:rFonts w:ascii="仿宋" w:hAnsi="仿宋" w:eastAsia="仿宋"/>
                      <w:kern w:val="0"/>
                      <w:sz w:val="24"/>
                    </w:rPr>
                  </w:pPr>
                  <w:r>
                    <w:rPr>
                      <w:rFonts w:ascii="仿宋" w:hAnsi="仿宋" w:eastAsia="仿宋"/>
                      <w:kern w:val="0"/>
                      <w:sz w:val="24"/>
                    </w:rPr>
                    <w:t>7)</w:t>
                  </w:r>
                  <w:r>
                    <w:rPr>
                      <w:rFonts w:ascii="仿宋" w:hAnsi="仿宋" w:eastAsia="仿宋"/>
                      <w:kern w:val="0"/>
                      <w:sz w:val="24"/>
                    </w:rPr>
                    <w:tab/>
                  </w:r>
                  <w:r>
                    <w:rPr>
                      <w:rFonts w:ascii="仿宋" w:hAnsi="仿宋" w:eastAsia="仿宋"/>
                      <w:kern w:val="0"/>
                      <w:sz w:val="24"/>
                    </w:rPr>
                    <w:t>扩展IO模块，</w:t>
                  </w:r>
                  <w:r>
                    <w:rPr>
                      <w:rFonts w:hint="eastAsia" w:ascii="仿宋" w:hAnsi="仿宋" w:eastAsia="仿宋"/>
                      <w:kern w:val="0"/>
                      <w:sz w:val="24"/>
                    </w:rPr>
                    <w:t>数字量输入模块</w:t>
                  </w:r>
                  <w:r>
                    <w:rPr>
                      <w:rFonts w:ascii="仿宋" w:hAnsi="仿宋" w:eastAsia="仿宋"/>
                      <w:kern w:val="0"/>
                      <w:sz w:val="24"/>
                    </w:rPr>
                    <w:t>1个，输入点数16位，类型为源型/漏型，额定电压24V DC（4mA）；</w:t>
                  </w:r>
                </w:p>
                <w:p>
                  <w:pPr>
                    <w:adjustRightInd w:val="0"/>
                    <w:jc w:val="left"/>
                    <w:rPr>
                      <w:rFonts w:ascii="仿宋" w:hAnsi="仿宋" w:eastAsia="仿宋"/>
                      <w:kern w:val="0"/>
                      <w:sz w:val="24"/>
                    </w:rPr>
                  </w:pPr>
                  <w:r>
                    <w:rPr>
                      <w:rFonts w:ascii="仿宋" w:hAnsi="仿宋" w:eastAsia="仿宋"/>
                      <w:kern w:val="0"/>
                      <w:sz w:val="24"/>
                    </w:rPr>
                    <w:t>8)</w:t>
                  </w:r>
                  <w:r>
                    <w:rPr>
                      <w:rFonts w:ascii="仿宋" w:hAnsi="仿宋" w:eastAsia="仿宋"/>
                      <w:kern w:val="0"/>
                      <w:sz w:val="24"/>
                    </w:rPr>
                    <w:tab/>
                  </w:r>
                  <w:r>
                    <w:rPr>
                      <w:rFonts w:hint="eastAsia" w:ascii="仿宋" w:hAnsi="仿宋" w:eastAsia="仿宋"/>
                      <w:kern w:val="0"/>
                      <w:sz w:val="24"/>
                    </w:rPr>
                    <w:t>在工作台台面上布置有</w:t>
                  </w:r>
                  <w:r>
                    <w:rPr>
                      <w:rFonts w:ascii="仿宋" w:hAnsi="仿宋" w:eastAsia="仿宋"/>
                      <w:kern w:val="0"/>
                      <w:sz w:val="24"/>
                    </w:rPr>
                    <w:t>PLC的网络通信接口，方便接线。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3"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远程</w:t>
                  </w:r>
                  <w:r>
                    <w:rPr>
                      <w:rFonts w:ascii="仿宋" w:hAnsi="仿宋" w:eastAsia="仿宋"/>
                      <w:kern w:val="0"/>
                      <w:sz w:val="24"/>
                    </w:rPr>
                    <w:t>IO模块×1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支持</w:t>
                  </w:r>
                  <w:r>
                    <w:rPr>
                      <w:rFonts w:ascii="仿宋" w:hAnsi="仿宋" w:eastAsia="仿宋"/>
                      <w:kern w:val="0"/>
                      <w:sz w:val="24"/>
                    </w:rPr>
                    <w:t>ProfiNet总线通讯；</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支持适配</w:t>
                  </w:r>
                  <w:r>
                    <w:rPr>
                      <w:rFonts w:ascii="仿宋" w:hAnsi="仿宋" w:eastAsia="仿宋"/>
                      <w:kern w:val="0"/>
                      <w:sz w:val="24"/>
                    </w:rPr>
                    <w:t>IO模块数量最多32个；</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传输距离最大</w:t>
                  </w:r>
                  <w:r>
                    <w:rPr>
                      <w:rFonts w:ascii="仿宋" w:hAnsi="仿宋" w:eastAsia="仿宋"/>
                      <w:kern w:val="0"/>
                      <w:sz w:val="24"/>
                    </w:rPr>
                    <w:t>100米（站站距离），总线速率最大100Mbps；</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附带数字量输入模块</w:t>
                  </w:r>
                  <w:r>
                    <w:rPr>
                      <w:rFonts w:ascii="仿宋" w:hAnsi="仿宋" w:eastAsia="仿宋"/>
                      <w:kern w:val="0"/>
                      <w:sz w:val="24"/>
                    </w:rPr>
                    <w:t>4</w:t>
                  </w:r>
                  <w:r>
                    <w:rPr>
                      <w:rFonts w:hint="eastAsia" w:ascii="仿宋" w:hAnsi="仿宋" w:eastAsia="仿宋"/>
                      <w:kern w:val="0"/>
                      <w:sz w:val="24"/>
                    </w:rPr>
                    <w:t>个，单模块</w:t>
                  </w:r>
                  <w:r>
                    <w:rPr>
                      <w:rFonts w:ascii="仿宋" w:hAnsi="仿宋" w:eastAsia="仿宋"/>
                      <w:kern w:val="0"/>
                      <w:sz w:val="24"/>
                    </w:rPr>
                    <w:t>8通道，输入信号类型PNP，输入电流典型值3mA，隔离耐压500V，隔离方式光耦隔离；</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附带数字量输出模块</w:t>
                  </w:r>
                  <w:r>
                    <w:rPr>
                      <w:rFonts w:ascii="仿宋" w:hAnsi="仿宋" w:eastAsia="仿宋"/>
                      <w:kern w:val="0"/>
                      <w:sz w:val="24"/>
                    </w:rPr>
                    <w:t>2个，单模块8通道，输出信号类型源型，驱动能力500mA/</w:t>
                  </w:r>
                  <w:r>
                    <w:rPr>
                      <w:rFonts w:hint="eastAsia" w:ascii="仿宋" w:hAnsi="仿宋" w:eastAsia="仿宋"/>
                      <w:kern w:val="0"/>
                      <w:sz w:val="24"/>
                    </w:rPr>
                    <w:t>通道，隔离耐压</w:t>
                  </w:r>
                  <w:r>
                    <w:rPr>
                      <w:rFonts w:ascii="仿宋" w:hAnsi="仿宋" w:eastAsia="仿宋"/>
                      <w:kern w:val="0"/>
                      <w:sz w:val="24"/>
                    </w:rPr>
                    <w:t>500V，隔离方式光耦隔离；</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附带模拟量输入模块</w:t>
                  </w:r>
                  <w:r>
                    <w:rPr>
                      <w:rFonts w:ascii="仿宋" w:hAnsi="仿宋" w:eastAsia="仿宋"/>
                      <w:kern w:val="0"/>
                      <w:sz w:val="24"/>
                    </w:rPr>
                    <w:t>1个，单模块4通道，输入电压0V~10V，输入滤波可配置（1ms~10ms），输入阻抗&gt;500kΩ，分辨率12位；</w:t>
                  </w:r>
                </w:p>
                <w:p>
                  <w:pPr>
                    <w:adjustRightInd w:val="0"/>
                    <w:jc w:val="left"/>
                    <w:rPr>
                      <w:rFonts w:ascii="仿宋" w:hAnsi="仿宋" w:eastAsia="仿宋"/>
                      <w:kern w:val="0"/>
                      <w:sz w:val="24"/>
                    </w:rPr>
                  </w:pPr>
                  <w:r>
                    <w:rPr>
                      <w:rFonts w:ascii="仿宋" w:hAnsi="仿宋" w:eastAsia="仿宋"/>
                      <w:kern w:val="0"/>
                      <w:sz w:val="24"/>
                    </w:rPr>
                    <w:t>7)</w:t>
                  </w:r>
                  <w:r>
                    <w:rPr>
                      <w:rFonts w:ascii="仿宋" w:hAnsi="仿宋" w:eastAsia="仿宋"/>
                      <w:kern w:val="0"/>
                      <w:sz w:val="24"/>
                    </w:rPr>
                    <w:tab/>
                  </w:r>
                  <w:r>
                    <w:rPr>
                      <w:rFonts w:hint="eastAsia" w:ascii="仿宋" w:hAnsi="仿宋" w:eastAsia="仿宋"/>
                      <w:kern w:val="0"/>
                      <w:sz w:val="24"/>
                    </w:rPr>
                    <w:t>在工作台台面上布置有远程</w:t>
                  </w:r>
                  <w:r>
                    <w:rPr>
                      <w:rFonts w:ascii="仿宋" w:hAnsi="仿宋" w:eastAsia="仿宋"/>
                      <w:kern w:val="0"/>
                      <w:sz w:val="24"/>
                    </w:rPr>
                    <w:t>IO适配器的网络通信接口，方便接线。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工作台×</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铝合金型材结构，工作台式设计，台面可安装功能模块，底部柜体内可安装电气设备；</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台面长≥</w:t>
                  </w:r>
                  <w:r>
                    <w:rPr>
                      <w:rFonts w:ascii="仿宋" w:hAnsi="仿宋" w:eastAsia="仿宋"/>
                      <w:kern w:val="0"/>
                      <w:sz w:val="24"/>
                    </w:rPr>
                    <w:t>1360mm，宽</w:t>
                  </w:r>
                  <w:r>
                    <w:rPr>
                      <w:rFonts w:hint="eastAsia" w:ascii="仿宋" w:hAnsi="仿宋" w:eastAsia="仿宋"/>
                      <w:kern w:val="0"/>
                      <w:sz w:val="24"/>
                    </w:rPr>
                    <w:t>≥</w:t>
                  </w:r>
                  <w:r>
                    <w:rPr>
                      <w:rFonts w:ascii="仿宋" w:hAnsi="仿宋" w:eastAsia="仿宋"/>
                      <w:kern w:val="0"/>
                      <w:sz w:val="24"/>
                    </w:rPr>
                    <w:t>680mm，厚</w:t>
                  </w:r>
                  <w:r>
                    <w:rPr>
                      <w:rFonts w:hint="eastAsia" w:ascii="仿宋" w:hAnsi="仿宋" w:eastAsia="仿宋"/>
                      <w:kern w:val="0"/>
                      <w:sz w:val="24"/>
                    </w:rPr>
                    <w:t>≥</w:t>
                  </w:r>
                  <w:r>
                    <w:rPr>
                      <w:rFonts w:ascii="仿宋" w:hAnsi="仿宋" w:eastAsia="仿宋"/>
                      <w:kern w:val="0"/>
                      <w:sz w:val="24"/>
                    </w:rPr>
                    <w:t>20mm；</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底部柜体长≥</w:t>
                  </w:r>
                  <w:r>
                    <w:rPr>
                      <w:rFonts w:ascii="仿宋" w:hAnsi="仿宋" w:eastAsia="仿宋"/>
                      <w:kern w:val="0"/>
                      <w:sz w:val="24"/>
                    </w:rPr>
                    <w:t>1280mm，宽</w:t>
                  </w:r>
                  <w:r>
                    <w:rPr>
                      <w:rFonts w:hint="eastAsia" w:ascii="仿宋" w:hAnsi="仿宋" w:eastAsia="仿宋"/>
                      <w:kern w:val="0"/>
                      <w:sz w:val="24"/>
                    </w:rPr>
                    <w:t>≥</w:t>
                  </w:r>
                  <w:r>
                    <w:rPr>
                      <w:rFonts w:ascii="仿宋" w:hAnsi="仿宋" w:eastAsia="仿宋"/>
                      <w:kern w:val="0"/>
                      <w:sz w:val="24"/>
                    </w:rPr>
                    <w:t>600mm，高</w:t>
                  </w:r>
                  <w:r>
                    <w:rPr>
                      <w:rFonts w:hint="eastAsia" w:ascii="仿宋" w:hAnsi="仿宋" w:eastAsia="仿宋"/>
                      <w:kern w:val="0"/>
                      <w:sz w:val="24"/>
                    </w:rPr>
                    <w:t>≥</w:t>
                  </w:r>
                  <w:r>
                    <w:rPr>
                      <w:rFonts w:ascii="仿宋" w:hAnsi="仿宋" w:eastAsia="仿宋"/>
                      <w:kern w:val="0"/>
                      <w:sz w:val="24"/>
                    </w:rPr>
                    <w:t>700mm；</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底部柜体四角安装有脚轮，轮片直径≥</w:t>
                  </w:r>
                  <w:r>
                    <w:rPr>
                      <w:rFonts w:ascii="仿宋" w:hAnsi="仿宋" w:eastAsia="仿宋"/>
                      <w:kern w:val="0"/>
                      <w:sz w:val="24"/>
                    </w:rPr>
                    <w:t>50mm，轮片宽度</w:t>
                  </w:r>
                  <w:r>
                    <w:rPr>
                      <w:rFonts w:hint="eastAsia" w:ascii="仿宋" w:hAnsi="仿宋" w:eastAsia="仿宋"/>
                      <w:kern w:val="0"/>
                      <w:sz w:val="24"/>
                    </w:rPr>
                    <w:t>≥</w:t>
                  </w:r>
                  <w:r>
                    <w:rPr>
                      <w:rFonts w:ascii="仿宋" w:hAnsi="仿宋" w:eastAsia="仿宋"/>
                      <w:kern w:val="0"/>
                      <w:sz w:val="24"/>
                    </w:rPr>
                    <w:t>25mm，可调高度</w:t>
                  </w:r>
                  <w:r>
                    <w:rPr>
                      <w:rFonts w:hint="eastAsia" w:ascii="仿宋" w:hAnsi="仿宋" w:eastAsia="仿宋"/>
                      <w:kern w:val="0"/>
                      <w:sz w:val="24"/>
                    </w:rPr>
                    <w:t>≥</w:t>
                  </w:r>
                  <w:r>
                    <w:rPr>
                      <w:rFonts w:ascii="仿宋" w:hAnsi="仿宋" w:eastAsia="仿宋"/>
                      <w:kern w:val="0"/>
                      <w:sz w:val="24"/>
                    </w:rPr>
                    <w:t>10mm；</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工作台面合理布置有线槽，方便控制信号线和气路布线，且电、气分开；</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底部柜体上端和下端四周安装有线槽，可方便电源线、气管和通信线布线；</w:t>
                  </w:r>
                </w:p>
                <w:p>
                  <w:pPr>
                    <w:adjustRightInd w:val="0"/>
                    <w:jc w:val="left"/>
                    <w:rPr>
                      <w:rFonts w:ascii="仿宋" w:hAnsi="仿宋" w:eastAsia="仿宋"/>
                      <w:kern w:val="0"/>
                      <w:sz w:val="24"/>
                    </w:rPr>
                  </w:pPr>
                  <w:r>
                    <w:rPr>
                      <w:rFonts w:ascii="仿宋" w:hAnsi="仿宋" w:eastAsia="仿宋"/>
                      <w:kern w:val="0"/>
                      <w:sz w:val="24"/>
                    </w:rPr>
                    <w:t>7)</w:t>
                  </w:r>
                  <w:r>
                    <w:rPr>
                      <w:rFonts w:ascii="仿宋" w:hAnsi="仿宋" w:eastAsia="仿宋"/>
                      <w:kern w:val="0"/>
                      <w:sz w:val="24"/>
                    </w:rPr>
                    <w:tab/>
                  </w:r>
                  <w:r>
                    <w:rPr>
                      <w:rFonts w:hint="eastAsia" w:ascii="仿宋" w:hAnsi="仿宋" w:eastAsia="仿宋"/>
                      <w:kern w:val="0"/>
                      <w:sz w:val="24"/>
                    </w:rPr>
                    <w:t>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0" w:type="auto"/>
                  <w:vMerge w:val="restart"/>
                  <w:noWrap w:val="0"/>
                  <w:vAlign w:val="top"/>
                </w:tcPr>
                <w:p>
                  <w:pPr>
                    <w:adjustRightInd w:val="0"/>
                    <w:jc w:val="left"/>
                    <w:rPr>
                      <w:rFonts w:ascii="仿宋" w:hAnsi="仿宋" w:eastAsia="仿宋"/>
                      <w:kern w:val="0"/>
                      <w:sz w:val="24"/>
                    </w:rPr>
                  </w:pPr>
                  <w:r>
                    <w:rPr>
                      <w:rFonts w:hint="eastAsia" w:ascii="仿宋" w:hAnsi="仿宋" w:eastAsia="仿宋"/>
                      <w:kern w:val="0"/>
                      <w:sz w:val="24"/>
                    </w:rPr>
                    <w:t>工具单元</w:t>
                  </w: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轮辐夹爪×</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三指夹爪，气动驱动，自动定心，可针对零件轮辐位置稳定夹持；</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配有工具快换模块工具端，与工具快换法兰端配套，自重≤</w:t>
                  </w:r>
                  <w:r>
                    <w:rPr>
                      <w:rFonts w:ascii="仿宋" w:hAnsi="仿宋" w:eastAsia="仿宋"/>
                      <w:kern w:val="0"/>
                      <w:sz w:val="24"/>
                    </w:rPr>
                    <w:t>45g，安装后厚度</w:t>
                  </w:r>
                  <w:r>
                    <w:rPr>
                      <w:rFonts w:hint="eastAsia" w:ascii="仿宋" w:hAnsi="仿宋" w:eastAsia="仿宋"/>
                      <w:kern w:val="0"/>
                      <w:sz w:val="24"/>
                    </w:rPr>
                    <w:t>≤</w:t>
                  </w:r>
                  <w:r>
                    <w:rPr>
                      <w:rFonts w:ascii="仿宋" w:hAnsi="仿宋" w:eastAsia="仿宋"/>
                      <w:kern w:val="0"/>
                      <w:sz w:val="24"/>
                    </w:rPr>
                    <w:t>38mm。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轮毂夹爪×</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三指夹爪，气动驱动，自动定心，可针对零件轮毂位置稳定夹持；</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配有工具快换模块工具端，与工具快换法兰端配套，自重≤</w:t>
                  </w:r>
                  <w:r>
                    <w:rPr>
                      <w:rFonts w:ascii="仿宋" w:hAnsi="仿宋" w:eastAsia="仿宋"/>
                      <w:kern w:val="0"/>
                      <w:sz w:val="24"/>
                    </w:rPr>
                    <w:t>45g，安装后厚度</w:t>
                  </w:r>
                  <w:r>
                    <w:rPr>
                      <w:rFonts w:hint="eastAsia" w:ascii="仿宋" w:hAnsi="仿宋" w:eastAsia="仿宋"/>
                      <w:kern w:val="0"/>
                      <w:sz w:val="24"/>
                    </w:rPr>
                    <w:t>≤</w:t>
                  </w:r>
                  <w:r>
                    <w:rPr>
                      <w:rFonts w:ascii="仿宋" w:hAnsi="仿宋" w:eastAsia="仿宋"/>
                      <w:kern w:val="0"/>
                      <w:sz w:val="24"/>
                    </w:rPr>
                    <w:t>38mm。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轮辋内圈夹爪×</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三指夹爪，气动驱动，自动定心，可针对零件轮辋内圈位置稳定夹持；</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配有工具快换模块工具端，与工具快换法兰端配套，自重≤</w:t>
                  </w:r>
                  <w:r>
                    <w:rPr>
                      <w:rFonts w:ascii="仿宋" w:hAnsi="仿宋" w:eastAsia="仿宋"/>
                      <w:kern w:val="0"/>
                      <w:sz w:val="24"/>
                    </w:rPr>
                    <w:t>45g，安装后厚度</w:t>
                  </w:r>
                  <w:r>
                    <w:rPr>
                      <w:rFonts w:hint="eastAsia" w:ascii="仿宋" w:hAnsi="仿宋" w:eastAsia="仿宋"/>
                      <w:kern w:val="0"/>
                      <w:sz w:val="24"/>
                    </w:rPr>
                    <w:t>≤</w:t>
                  </w:r>
                  <w:r>
                    <w:rPr>
                      <w:rFonts w:ascii="仿宋" w:hAnsi="仿宋" w:eastAsia="仿宋"/>
                      <w:kern w:val="0"/>
                      <w:sz w:val="24"/>
                    </w:rPr>
                    <w:t>38mm。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snapToGrid w:val="0"/>
                    <w:rPr>
                      <w:rFonts w:ascii="仿宋" w:hAnsi="仿宋" w:eastAsia="仿宋"/>
                      <w:kern w:val="0"/>
                      <w:sz w:val="24"/>
                    </w:rPr>
                  </w:pPr>
                  <w:r>
                    <w:rPr>
                      <w:rFonts w:hint="eastAsia" w:ascii="仿宋" w:hAnsi="仿宋" w:eastAsia="仿宋"/>
                      <w:kern w:val="0"/>
                      <w:sz w:val="24"/>
                    </w:rPr>
                    <w:t>吸盘工具×</w:t>
                  </w:r>
                  <w:r>
                    <w:rPr>
                      <w:rFonts w:ascii="仿宋" w:hAnsi="仿宋" w:eastAsia="仿宋"/>
                      <w:kern w:val="0"/>
                      <w:sz w:val="24"/>
                    </w:rPr>
                    <w:t>1</w:t>
                  </w:r>
                </w:p>
                <w:p>
                  <w:pPr>
                    <w:adjustRightInd w:val="0"/>
                    <w:snapToGrid w:val="0"/>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吸盘直径φ</w:t>
                  </w:r>
                  <w:r>
                    <w:rPr>
                      <w:rFonts w:ascii="仿宋" w:hAnsi="仿宋" w:eastAsia="仿宋"/>
                      <w:kern w:val="0"/>
                      <w:sz w:val="24"/>
                    </w:rPr>
                    <w:t>25mm，可针对车标稳定拾取；</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配有工具快换模块工具端，与工具快换法兰端配套。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吸盘夹爪×</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五位吸盘工具，可对零件轮辐的正面、反面表面稳定拾取；</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配有工具快换模块工具端，与工具快换法兰端配套，自重≤</w:t>
                  </w:r>
                  <w:r>
                    <w:rPr>
                      <w:rFonts w:ascii="仿宋" w:hAnsi="仿宋" w:eastAsia="仿宋"/>
                      <w:kern w:val="0"/>
                      <w:sz w:val="24"/>
                    </w:rPr>
                    <w:t>45g，安装后厚度38mm。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端面打磨工具×</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电动打磨工具，配有端面打磨头，可对零件表面进行打磨加工；</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配有工具快换模块工具端，与工具快换法兰端配套，自重≤</w:t>
                  </w:r>
                  <w:r>
                    <w:rPr>
                      <w:rFonts w:ascii="仿宋" w:hAnsi="仿宋" w:eastAsia="仿宋"/>
                      <w:kern w:val="0"/>
                      <w:sz w:val="24"/>
                    </w:rPr>
                    <w:t>45g，安装后厚度38mm。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侧面打磨工具×</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电动打磨工具，配有侧面打磨头，可对零件表面进行打磨加工；</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配有工具快换模块工具端，与工具快换法兰端配套，自重≤</w:t>
                  </w:r>
                  <w:r>
                    <w:rPr>
                      <w:rFonts w:ascii="仿宋" w:hAnsi="仿宋" w:eastAsia="仿宋"/>
                      <w:kern w:val="0"/>
                      <w:sz w:val="24"/>
                    </w:rPr>
                    <w:t>45g，安装后厚度38mm。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工具支架×</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铝合金结构，可稳定支撑并定位所有工具；</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提供</w:t>
                  </w:r>
                  <w:r>
                    <w:rPr>
                      <w:rFonts w:ascii="仿宋" w:hAnsi="仿宋" w:eastAsia="仿宋"/>
                      <w:kern w:val="0"/>
                      <w:sz w:val="24"/>
                    </w:rPr>
                    <w:t>7个工具摆放位置，位置标号清晰标示；</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所有工具的定位方式相同，可互换位置，不影响正常使用。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示教器支架×</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与工业机器人示教器配套，可稳定安放，不易滑落；</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配套线缆悬挂支架，方便线缆收放。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工作台×</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铝合金型材结构，工作台式设计，台面可安装功能模块，底部柜体内可安装电气设备；</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台面长≥</w:t>
                  </w:r>
                  <w:r>
                    <w:rPr>
                      <w:rFonts w:ascii="仿宋" w:hAnsi="仿宋" w:eastAsia="仿宋"/>
                      <w:kern w:val="0"/>
                      <w:sz w:val="24"/>
                    </w:rPr>
                    <w:t>680mm，宽</w:t>
                  </w:r>
                  <w:r>
                    <w:rPr>
                      <w:rFonts w:hint="eastAsia" w:ascii="仿宋" w:hAnsi="仿宋" w:eastAsia="仿宋"/>
                      <w:kern w:val="0"/>
                      <w:sz w:val="24"/>
                    </w:rPr>
                    <w:t>≥</w:t>
                  </w:r>
                  <w:r>
                    <w:rPr>
                      <w:rFonts w:ascii="仿宋" w:hAnsi="仿宋" w:eastAsia="仿宋"/>
                      <w:kern w:val="0"/>
                      <w:sz w:val="24"/>
                    </w:rPr>
                    <w:t>680mm，厚</w:t>
                  </w:r>
                  <w:r>
                    <w:rPr>
                      <w:rFonts w:hint="eastAsia" w:ascii="仿宋" w:hAnsi="仿宋" w:eastAsia="仿宋"/>
                      <w:kern w:val="0"/>
                      <w:sz w:val="24"/>
                    </w:rPr>
                    <w:t>≥</w:t>
                  </w:r>
                  <w:r>
                    <w:rPr>
                      <w:rFonts w:ascii="仿宋" w:hAnsi="仿宋" w:eastAsia="仿宋"/>
                      <w:kern w:val="0"/>
                      <w:sz w:val="24"/>
                    </w:rPr>
                    <w:t>20mm；</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底部柜体长≥</w:t>
                  </w:r>
                  <w:r>
                    <w:rPr>
                      <w:rFonts w:ascii="仿宋" w:hAnsi="仿宋" w:eastAsia="仿宋"/>
                      <w:kern w:val="0"/>
                      <w:sz w:val="24"/>
                    </w:rPr>
                    <w:t>600mm，宽</w:t>
                  </w:r>
                  <w:r>
                    <w:rPr>
                      <w:rFonts w:hint="eastAsia" w:ascii="仿宋" w:hAnsi="仿宋" w:eastAsia="仿宋"/>
                      <w:kern w:val="0"/>
                      <w:sz w:val="24"/>
                    </w:rPr>
                    <w:t>≥</w:t>
                  </w:r>
                  <w:r>
                    <w:rPr>
                      <w:rFonts w:ascii="仿宋" w:hAnsi="仿宋" w:eastAsia="仿宋"/>
                      <w:kern w:val="0"/>
                      <w:sz w:val="24"/>
                    </w:rPr>
                    <w:t>600mm，高</w:t>
                  </w:r>
                  <w:r>
                    <w:rPr>
                      <w:rFonts w:hint="eastAsia" w:ascii="仿宋" w:hAnsi="仿宋" w:eastAsia="仿宋"/>
                      <w:kern w:val="0"/>
                      <w:sz w:val="24"/>
                    </w:rPr>
                    <w:t>≥</w:t>
                  </w:r>
                  <w:r>
                    <w:rPr>
                      <w:rFonts w:ascii="仿宋" w:hAnsi="仿宋" w:eastAsia="仿宋"/>
                      <w:kern w:val="0"/>
                      <w:sz w:val="24"/>
                    </w:rPr>
                    <w:t>700mm；</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底部柜体四角安装有脚轮，轮片直径≥</w:t>
                  </w:r>
                  <w:r>
                    <w:rPr>
                      <w:rFonts w:ascii="仿宋" w:hAnsi="仿宋" w:eastAsia="仿宋"/>
                      <w:kern w:val="0"/>
                      <w:sz w:val="24"/>
                    </w:rPr>
                    <w:t>50mm，轮片宽度</w:t>
                  </w:r>
                  <w:r>
                    <w:rPr>
                      <w:rFonts w:hint="eastAsia" w:ascii="仿宋" w:hAnsi="仿宋" w:eastAsia="仿宋"/>
                      <w:kern w:val="0"/>
                      <w:sz w:val="24"/>
                    </w:rPr>
                    <w:t>≥</w:t>
                  </w:r>
                  <w:r>
                    <w:rPr>
                      <w:rFonts w:ascii="仿宋" w:hAnsi="仿宋" w:eastAsia="仿宋"/>
                      <w:kern w:val="0"/>
                      <w:sz w:val="24"/>
                    </w:rPr>
                    <w:t>25mm，可调高度</w:t>
                  </w:r>
                  <w:r>
                    <w:rPr>
                      <w:rFonts w:hint="eastAsia" w:ascii="仿宋" w:hAnsi="仿宋" w:eastAsia="仿宋"/>
                      <w:kern w:val="0"/>
                      <w:sz w:val="24"/>
                    </w:rPr>
                    <w:t>≥</w:t>
                  </w:r>
                  <w:r>
                    <w:rPr>
                      <w:rFonts w:ascii="仿宋" w:hAnsi="仿宋" w:eastAsia="仿宋"/>
                      <w:kern w:val="0"/>
                      <w:sz w:val="24"/>
                    </w:rPr>
                    <w:t>10mm；</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工作台面合理布置有线槽，方便控制信号线和气路布线，且电、气分开；</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底部柜体上端和下端四周安装有线槽，可方便电源线、气管和通信线布线；</w:t>
                  </w:r>
                </w:p>
                <w:p>
                  <w:pPr>
                    <w:adjustRightInd w:val="0"/>
                    <w:jc w:val="left"/>
                    <w:rPr>
                      <w:rFonts w:ascii="仿宋" w:hAnsi="仿宋" w:eastAsia="仿宋"/>
                      <w:kern w:val="0"/>
                      <w:sz w:val="24"/>
                    </w:rPr>
                  </w:pPr>
                  <w:r>
                    <w:rPr>
                      <w:rFonts w:ascii="仿宋" w:hAnsi="仿宋" w:eastAsia="仿宋"/>
                      <w:kern w:val="0"/>
                      <w:sz w:val="24"/>
                    </w:rPr>
                    <w:t>7)</w:t>
                  </w:r>
                  <w:r>
                    <w:rPr>
                      <w:rFonts w:ascii="仿宋" w:hAnsi="仿宋" w:eastAsia="仿宋"/>
                      <w:kern w:val="0"/>
                      <w:sz w:val="24"/>
                    </w:rPr>
                    <w:tab/>
                  </w:r>
                  <w:r>
                    <w:rPr>
                      <w:rFonts w:hint="eastAsia" w:ascii="仿宋" w:hAnsi="仿宋" w:eastAsia="仿宋"/>
                      <w:kern w:val="0"/>
                      <w:sz w:val="24"/>
                    </w:rPr>
                    <w:t>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trPr>
              <w:tc>
                <w:tcPr>
                  <w:tcW w:w="0" w:type="auto"/>
                  <w:vMerge w:val="restart"/>
                  <w:noWrap w:val="0"/>
                  <w:vAlign w:val="top"/>
                </w:tcPr>
                <w:p>
                  <w:pPr>
                    <w:adjustRightInd w:val="0"/>
                    <w:jc w:val="left"/>
                    <w:rPr>
                      <w:rFonts w:ascii="仿宋" w:hAnsi="仿宋" w:eastAsia="仿宋"/>
                      <w:kern w:val="0"/>
                      <w:sz w:val="24"/>
                    </w:rPr>
                  </w:pPr>
                  <w:r>
                    <w:rPr>
                      <w:rFonts w:hint="eastAsia" w:ascii="仿宋" w:hAnsi="仿宋" w:eastAsia="仿宋"/>
                      <w:kern w:val="0"/>
                      <w:sz w:val="24"/>
                    </w:rPr>
                    <w:t>仓储单元</w:t>
                  </w: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立体仓库×</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双层共</w:t>
                  </w:r>
                  <w:r>
                    <w:rPr>
                      <w:rFonts w:ascii="仿宋" w:hAnsi="仿宋" w:eastAsia="仿宋"/>
                      <w:kern w:val="0"/>
                      <w:sz w:val="24"/>
                    </w:rPr>
                    <w:t>6仓位，采用铝型材作为结构支撑；</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每个仓位可存储</w:t>
                  </w:r>
                  <w:r>
                    <w:rPr>
                      <w:rFonts w:ascii="仿宋" w:hAnsi="仿宋" w:eastAsia="仿宋"/>
                      <w:kern w:val="0"/>
                      <w:sz w:val="24"/>
                    </w:rPr>
                    <w:t>1个轮毂零件；</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仓位托盘可由气动推杆驱动推出缩回；</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仓位托盘底部设置有传感器可检测当前仓位是否存有零件；</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每个仓位具有红绿指示灯表明当前仓位仓储状态，并有明确标识仓位编号。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7"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远程</w:t>
                  </w:r>
                  <w:r>
                    <w:rPr>
                      <w:rFonts w:ascii="仿宋" w:hAnsi="仿宋" w:eastAsia="仿宋"/>
                      <w:kern w:val="0"/>
                      <w:sz w:val="24"/>
                    </w:rPr>
                    <w:t>IO模块×1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支持</w:t>
                  </w:r>
                  <w:r>
                    <w:rPr>
                      <w:rFonts w:ascii="仿宋" w:hAnsi="仿宋" w:eastAsia="仿宋"/>
                      <w:kern w:val="0"/>
                      <w:sz w:val="24"/>
                    </w:rPr>
                    <w:t>ProfiNet总线通讯；</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支持适配</w:t>
                  </w:r>
                  <w:r>
                    <w:rPr>
                      <w:rFonts w:ascii="仿宋" w:hAnsi="仿宋" w:eastAsia="仿宋"/>
                      <w:kern w:val="0"/>
                      <w:sz w:val="24"/>
                    </w:rPr>
                    <w:t>IO模块数量最多32个；</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传输距离最大</w:t>
                  </w:r>
                  <w:r>
                    <w:rPr>
                      <w:rFonts w:ascii="仿宋" w:hAnsi="仿宋" w:eastAsia="仿宋"/>
                      <w:kern w:val="0"/>
                      <w:sz w:val="24"/>
                    </w:rPr>
                    <w:t>100米（站站距离），总线速率最大100Mbps；</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附带数字量输入模块</w:t>
                  </w:r>
                  <w:r>
                    <w:rPr>
                      <w:rFonts w:ascii="仿宋" w:hAnsi="仿宋" w:eastAsia="仿宋"/>
                      <w:kern w:val="0"/>
                      <w:sz w:val="24"/>
                    </w:rPr>
                    <w:t>2</w:t>
                  </w:r>
                  <w:r>
                    <w:rPr>
                      <w:rFonts w:hint="eastAsia" w:ascii="仿宋" w:hAnsi="仿宋" w:eastAsia="仿宋"/>
                      <w:kern w:val="0"/>
                      <w:sz w:val="24"/>
                    </w:rPr>
                    <w:t>个，单模块</w:t>
                  </w:r>
                  <w:r>
                    <w:rPr>
                      <w:rFonts w:ascii="仿宋" w:hAnsi="仿宋" w:eastAsia="仿宋"/>
                      <w:kern w:val="0"/>
                      <w:sz w:val="24"/>
                    </w:rPr>
                    <w:t>8通道，输入信号类型PNP，输入电流典型值3mA，隔离耐压500V，隔离方式光耦隔离；</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附带数字量输出模块</w:t>
                  </w:r>
                  <w:r>
                    <w:rPr>
                      <w:rFonts w:ascii="仿宋" w:hAnsi="仿宋" w:eastAsia="仿宋"/>
                      <w:kern w:val="0"/>
                      <w:sz w:val="24"/>
                    </w:rPr>
                    <w:t>3</w:t>
                  </w:r>
                  <w:r>
                    <w:rPr>
                      <w:rFonts w:hint="eastAsia" w:ascii="仿宋" w:hAnsi="仿宋" w:eastAsia="仿宋"/>
                      <w:kern w:val="0"/>
                      <w:sz w:val="24"/>
                    </w:rPr>
                    <w:t>个，单模块</w:t>
                  </w:r>
                  <w:r>
                    <w:rPr>
                      <w:rFonts w:ascii="仿宋" w:hAnsi="仿宋" w:eastAsia="仿宋"/>
                      <w:kern w:val="0"/>
                      <w:sz w:val="24"/>
                    </w:rPr>
                    <w:t>8通道，输出信号类型源型，驱动能力500mA/</w:t>
                  </w:r>
                  <w:r>
                    <w:rPr>
                      <w:rFonts w:hint="eastAsia" w:ascii="仿宋" w:hAnsi="仿宋" w:eastAsia="仿宋"/>
                      <w:kern w:val="0"/>
                      <w:sz w:val="24"/>
                    </w:rPr>
                    <w:t>通道，隔离耐压</w:t>
                  </w:r>
                  <w:r>
                    <w:rPr>
                      <w:rFonts w:ascii="仿宋" w:hAnsi="仿宋" w:eastAsia="仿宋"/>
                      <w:kern w:val="0"/>
                      <w:sz w:val="24"/>
                    </w:rPr>
                    <w:t>500V，隔离方式光耦隔离；</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在工作台台面上布置有远程</w:t>
                  </w:r>
                  <w:r>
                    <w:rPr>
                      <w:rFonts w:ascii="仿宋" w:hAnsi="仿宋" w:eastAsia="仿宋"/>
                      <w:kern w:val="0"/>
                      <w:sz w:val="24"/>
                    </w:rPr>
                    <w:t>IO适配器的网络通信接口，方便接线。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轮毂零件×</w:t>
                  </w:r>
                  <w:r>
                    <w:rPr>
                      <w:rFonts w:ascii="仿宋" w:hAnsi="仿宋" w:eastAsia="仿宋"/>
                      <w:kern w:val="0"/>
                      <w:sz w:val="24"/>
                    </w:rPr>
                    <w:t>6</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铝合金材质，五幅轮毂缩比零件；</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轮辋直径≥</w:t>
                  </w:r>
                  <w:r>
                    <w:rPr>
                      <w:rFonts w:ascii="仿宋" w:hAnsi="仿宋" w:eastAsia="仿宋"/>
                      <w:kern w:val="0"/>
                      <w:sz w:val="24"/>
                    </w:rPr>
                    <w:t>102mm，最大外圈直径</w:t>
                  </w:r>
                  <w:r>
                    <w:rPr>
                      <w:rFonts w:hint="eastAsia" w:ascii="仿宋" w:hAnsi="仿宋" w:eastAsia="仿宋"/>
                      <w:kern w:val="0"/>
                      <w:sz w:val="24"/>
                    </w:rPr>
                    <w:t>≥</w:t>
                  </w:r>
                  <w:r>
                    <w:rPr>
                      <w:rFonts w:ascii="仿宋" w:hAnsi="仿宋" w:eastAsia="仿宋"/>
                      <w:kern w:val="0"/>
                      <w:sz w:val="24"/>
                    </w:rPr>
                    <w:t>114mm，轮辋内圈直径</w:t>
                  </w:r>
                  <w:r>
                    <w:rPr>
                      <w:rFonts w:hint="eastAsia" w:ascii="仿宋" w:hAnsi="仿宋" w:eastAsia="仿宋"/>
                      <w:kern w:val="0"/>
                      <w:sz w:val="24"/>
                    </w:rPr>
                    <w:t>≥</w:t>
                  </w:r>
                  <w:r>
                    <w:rPr>
                      <w:rFonts w:ascii="仿宋" w:hAnsi="仿宋" w:eastAsia="仿宋"/>
                      <w:kern w:val="0"/>
                      <w:sz w:val="24"/>
                    </w:rPr>
                    <w:t>88mm，轮毂直径</w:t>
                  </w:r>
                  <w:r>
                    <w:rPr>
                      <w:rFonts w:hint="eastAsia" w:ascii="仿宋" w:hAnsi="仿宋" w:eastAsia="仿宋"/>
                      <w:kern w:val="0"/>
                      <w:sz w:val="24"/>
                    </w:rPr>
                    <w:t>≥</w:t>
                  </w:r>
                  <w:r>
                    <w:rPr>
                      <w:rFonts w:ascii="仿宋" w:hAnsi="仿宋" w:eastAsia="仿宋"/>
                      <w:kern w:val="0"/>
                      <w:sz w:val="24"/>
                    </w:rPr>
                    <w:t>28mm，整体厚度</w:t>
                  </w:r>
                  <w:r>
                    <w:rPr>
                      <w:rFonts w:hint="eastAsia" w:ascii="仿宋" w:hAnsi="仿宋" w:eastAsia="仿宋"/>
                      <w:kern w:val="0"/>
                      <w:sz w:val="24"/>
                    </w:rPr>
                    <w:t>≥</w:t>
                  </w:r>
                  <w:r>
                    <w:rPr>
                      <w:rFonts w:ascii="仿宋" w:hAnsi="仿宋" w:eastAsia="仿宋"/>
                      <w:kern w:val="0"/>
                      <w:sz w:val="24"/>
                    </w:rPr>
                    <w:t>45mm，轮辐厚度</w:t>
                  </w:r>
                  <w:r>
                    <w:rPr>
                      <w:rFonts w:hint="eastAsia" w:ascii="仿宋" w:hAnsi="仿宋" w:eastAsia="仿宋"/>
                      <w:kern w:val="0"/>
                      <w:sz w:val="24"/>
                    </w:rPr>
                    <w:t>≥</w:t>
                  </w:r>
                  <w:r>
                    <w:rPr>
                      <w:rFonts w:ascii="仿宋" w:hAnsi="仿宋" w:eastAsia="仿宋"/>
                      <w:kern w:val="0"/>
                      <w:sz w:val="24"/>
                    </w:rPr>
                    <w:t>16mm；</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正面设计有可更换的数控加工耗材安装板，直径≥</w:t>
                  </w:r>
                  <w:r>
                    <w:rPr>
                      <w:rFonts w:ascii="仿宋" w:hAnsi="仿宋" w:eastAsia="仿宋"/>
                      <w:kern w:val="0"/>
                      <w:sz w:val="24"/>
                    </w:rPr>
                    <w:t>37mm，厚度</w:t>
                  </w:r>
                  <w:r>
                    <w:rPr>
                      <w:rFonts w:hint="eastAsia" w:ascii="仿宋" w:hAnsi="仿宋" w:eastAsia="仿宋"/>
                      <w:kern w:val="0"/>
                      <w:sz w:val="24"/>
                    </w:rPr>
                    <w:t>≥</w:t>
                  </w:r>
                  <w:r>
                    <w:rPr>
                      <w:rFonts w:ascii="仿宋" w:hAnsi="仿宋" w:eastAsia="仿宋"/>
                      <w:kern w:val="0"/>
                      <w:sz w:val="24"/>
                    </w:rPr>
                    <w:t>8mm，塑料材质；</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零件正面、反面均设计有定位槽、视觉检测区域、打磨加工区域和二维码标签位置。</w:t>
                  </w:r>
                </w:p>
                <w:p>
                  <w:pPr>
                    <w:adjustRightInd w:val="0"/>
                    <w:jc w:val="left"/>
                    <w:rPr>
                      <w:rFonts w:ascii="仿宋" w:hAnsi="仿宋" w:eastAsia="仿宋"/>
                      <w:kern w:val="0"/>
                      <w:sz w:val="24"/>
                    </w:rPr>
                  </w:pPr>
                  <w:r>
                    <w:rPr>
                      <w:rFonts w:ascii="仿宋" w:hAnsi="仿宋" w:eastAsia="仿宋"/>
                      <w:kern w:val="0"/>
                      <w:sz w:val="24"/>
                    </w:rPr>
                    <w:t>5）轮毂正反两面均安装RFID芯片。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8"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工作台×</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铝合金型材结构，工作台式设计，台面可安装功能模块，底部柜体内可安装电气设备；</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台面长≥</w:t>
                  </w:r>
                  <w:r>
                    <w:rPr>
                      <w:rFonts w:ascii="仿宋" w:hAnsi="仿宋" w:eastAsia="仿宋"/>
                      <w:kern w:val="0"/>
                      <w:sz w:val="24"/>
                    </w:rPr>
                    <w:t>680mm，宽</w:t>
                  </w:r>
                  <w:r>
                    <w:rPr>
                      <w:rFonts w:hint="eastAsia" w:ascii="仿宋" w:hAnsi="仿宋" w:eastAsia="仿宋"/>
                      <w:kern w:val="0"/>
                      <w:sz w:val="24"/>
                    </w:rPr>
                    <w:t>≥</w:t>
                  </w:r>
                  <w:r>
                    <w:rPr>
                      <w:rFonts w:ascii="仿宋" w:hAnsi="仿宋" w:eastAsia="仿宋"/>
                      <w:kern w:val="0"/>
                      <w:sz w:val="24"/>
                    </w:rPr>
                    <w:t>680mm，厚</w:t>
                  </w:r>
                  <w:r>
                    <w:rPr>
                      <w:rFonts w:hint="eastAsia" w:ascii="仿宋" w:hAnsi="仿宋" w:eastAsia="仿宋"/>
                      <w:kern w:val="0"/>
                      <w:sz w:val="24"/>
                    </w:rPr>
                    <w:t>≥</w:t>
                  </w:r>
                  <w:r>
                    <w:rPr>
                      <w:rFonts w:ascii="仿宋" w:hAnsi="仿宋" w:eastAsia="仿宋"/>
                      <w:kern w:val="0"/>
                      <w:sz w:val="24"/>
                    </w:rPr>
                    <w:t>20mm；</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底部柜体长</w:t>
                  </w:r>
                  <w:r>
                    <w:rPr>
                      <w:rFonts w:ascii="仿宋" w:hAnsi="仿宋" w:eastAsia="仿宋"/>
                      <w:kern w:val="0"/>
                      <w:sz w:val="24"/>
                    </w:rPr>
                    <w:t>600mm，宽600mm，高700mm；</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底部柜体四角安装有脚轮，轮片直径≥</w:t>
                  </w:r>
                  <w:r>
                    <w:rPr>
                      <w:rFonts w:ascii="仿宋" w:hAnsi="仿宋" w:eastAsia="仿宋"/>
                      <w:kern w:val="0"/>
                      <w:sz w:val="24"/>
                    </w:rPr>
                    <w:t>50mm，轮片宽度</w:t>
                  </w:r>
                  <w:r>
                    <w:rPr>
                      <w:rFonts w:hint="eastAsia" w:ascii="仿宋" w:hAnsi="仿宋" w:eastAsia="仿宋"/>
                      <w:kern w:val="0"/>
                      <w:sz w:val="24"/>
                    </w:rPr>
                    <w:t>≥</w:t>
                  </w:r>
                  <w:r>
                    <w:rPr>
                      <w:rFonts w:ascii="仿宋" w:hAnsi="仿宋" w:eastAsia="仿宋"/>
                      <w:kern w:val="0"/>
                      <w:sz w:val="24"/>
                    </w:rPr>
                    <w:t>25mm，可调高度</w:t>
                  </w:r>
                  <w:r>
                    <w:rPr>
                      <w:rFonts w:hint="eastAsia" w:ascii="仿宋" w:hAnsi="仿宋" w:eastAsia="仿宋"/>
                      <w:kern w:val="0"/>
                      <w:sz w:val="24"/>
                    </w:rPr>
                    <w:t>≥</w:t>
                  </w:r>
                  <w:r>
                    <w:rPr>
                      <w:rFonts w:ascii="仿宋" w:hAnsi="仿宋" w:eastAsia="仿宋"/>
                      <w:kern w:val="0"/>
                      <w:sz w:val="24"/>
                    </w:rPr>
                    <w:t>10mm；</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工作台面合理布置有线槽，方便控制信号线和气路布线，且电、气分开；</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底部柜体上端和下端四周安装有线槽，可方便电源线、气管和通信线布线；</w:t>
                  </w:r>
                </w:p>
                <w:p>
                  <w:pPr>
                    <w:adjustRightInd w:val="0"/>
                    <w:jc w:val="left"/>
                    <w:rPr>
                      <w:rFonts w:ascii="仿宋" w:hAnsi="仿宋" w:eastAsia="仿宋"/>
                      <w:kern w:val="0"/>
                      <w:sz w:val="24"/>
                    </w:rPr>
                  </w:pPr>
                  <w:r>
                    <w:rPr>
                      <w:rFonts w:ascii="仿宋" w:hAnsi="仿宋" w:eastAsia="仿宋"/>
                      <w:kern w:val="0"/>
                      <w:sz w:val="24"/>
                    </w:rPr>
                    <w:t>7)</w:t>
                  </w:r>
                  <w:r>
                    <w:rPr>
                      <w:rFonts w:ascii="仿宋" w:hAnsi="仿宋" w:eastAsia="仿宋"/>
                      <w:kern w:val="0"/>
                      <w:sz w:val="24"/>
                    </w:rPr>
                    <w:tab/>
                  </w:r>
                  <w:r>
                    <w:rPr>
                      <w:rFonts w:hint="eastAsia" w:ascii="仿宋" w:hAnsi="仿宋" w:eastAsia="仿宋"/>
                      <w:kern w:val="0"/>
                      <w:sz w:val="24"/>
                    </w:rPr>
                    <w:t>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1" w:hRule="atLeast"/>
              </w:trPr>
              <w:tc>
                <w:tcPr>
                  <w:tcW w:w="0" w:type="auto"/>
                  <w:vMerge w:val="restart"/>
                  <w:noWrap w:val="0"/>
                  <w:vAlign w:val="top"/>
                </w:tcPr>
                <w:p>
                  <w:pPr>
                    <w:adjustRightInd w:val="0"/>
                    <w:jc w:val="left"/>
                    <w:rPr>
                      <w:rFonts w:ascii="仿宋" w:hAnsi="仿宋" w:eastAsia="仿宋"/>
                      <w:kern w:val="0"/>
                      <w:sz w:val="24"/>
                    </w:rPr>
                  </w:pPr>
                  <w:r>
                    <w:rPr>
                      <w:rFonts w:hint="eastAsia" w:ascii="仿宋" w:hAnsi="仿宋" w:eastAsia="仿宋"/>
                      <w:kern w:val="0"/>
                      <w:sz w:val="24"/>
                    </w:rPr>
                    <w:t>加工单元</w:t>
                  </w: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数控机床×</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典型三轴立式铣床结构，加工台面不动，主轴可实现</w:t>
                  </w:r>
                  <w:r>
                    <w:rPr>
                      <w:rFonts w:ascii="仿宋" w:hAnsi="仿宋" w:eastAsia="仿宋"/>
                      <w:kern w:val="0"/>
                      <w:sz w:val="24"/>
                    </w:rPr>
                    <w:t>X\Y\Z三轴加工运动；</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主轴为风冷电主轴，转速≥</w:t>
                  </w:r>
                  <w:r>
                    <w:rPr>
                      <w:rFonts w:ascii="仿宋" w:hAnsi="仿宋" w:eastAsia="仿宋"/>
                      <w:kern w:val="0"/>
                      <w:sz w:val="24"/>
                    </w:rPr>
                    <w:t>24000r/min，额定功率</w:t>
                  </w:r>
                  <w:r>
                    <w:rPr>
                      <w:rFonts w:hint="eastAsia" w:ascii="仿宋" w:hAnsi="仿宋" w:eastAsia="仿宋"/>
                      <w:kern w:val="0"/>
                      <w:sz w:val="24"/>
                    </w:rPr>
                    <w:t>≥</w:t>
                  </w:r>
                  <w:r>
                    <w:rPr>
                      <w:rFonts w:ascii="仿宋" w:hAnsi="仿宋" w:eastAsia="仿宋"/>
                      <w:kern w:val="0"/>
                      <w:sz w:val="24"/>
                    </w:rPr>
                    <w:t>0.8kW，轴端连接为ER11</w:t>
                  </w:r>
                  <w:r>
                    <w:rPr>
                      <w:rFonts w:hint="eastAsia" w:ascii="仿宋" w:hAnsi="仿宋" w:eastAsia="仿宋"/>
                      <w:kern w:val="0"/>
                      <w:sz w:val="24"/>
                    </w:rPr>
                    <w:t>，可夹持</w:t>
                  </w:r>
                  <w:r>
                    <w:rPr>
                      <w:rFonts w:ascii="仿宋" w:hAnsi="仿宋" w:eastAsia="仿宋"/>
                      <w:kern w:val="0"/>
                      <w:sz w:val="24"/>
                    </w:rPr>
                    <w:t>3mm直径刀柄的刀具；</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ascii="仿宋" w:hAnsi="仿宋" w:eastAsia="仿宋"/>
                      <w:kern w:val="0"/>
                      <w:sz w:val="24"/>
                    </w:rPr>
                    <w:t>X轴有效行程</w:t>
                  </w:r>
                  <w:r>
                    <w:rPr>
                      <w:rFonts w:hint="eastAsia" w:ascii="仿宋" w:hAnsi="仿宋" w:eastAsia="仿宋"/>
                      <w:kern w:val="0"/>
                      <w:sz w:val="24"/>
                    </w:rPr>
                    <w:t>≥</w:t>
                  </w:r>
                  <w:r>
                    <w:rPr>
                      <w:rFonts w:ascii="仿宋" w:hAnsi="仿宋" w:eastAsia="仿宋"/>
                      <w:kern w:val="0"/>
                      <w:sz w:val="24"/>
                    </w:rPr>
                    <w:t>240mm，最大运行速度</w:t>
                  </w:r>
                  <w:r>
                    <w:rPr>
                      <w:rFonts w:hint="eastAsia" w:ascii="仿宋" w:hAnsi="仿宋" w:eastAsia="仿宋"/>
                      <w:kern w:val="0"/>
                      <w:sz w:val="24"/>
                    </w:rPr>
                    <w:t>≥</w:t>
                  </w:r>
                  <w:r>
                    <w:rPr>
                      <w:rFonts w:ascii="仿宋" w:hAnsi="仿宋" w:eastAsia="仿宋"/>
                      <w:kern w:val="0"/>
                      <w:sz w:val="24"/>
                    </w:rPr>
                    <w:t>30mm/s，3Nm高性能伺服电机驱动，通过同步带带动滚珠丝杠实现旋转运动变换到直线运动，由滚珠导轨导向滑动；</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ascii="仿宋" w:hAnsi="仿宋" w:eastAsia="仿宋"/>
                      <w:kern w:val="0"/>
                      <w:sz w:val="24"/>
                    </w:rPr>
                    <w:t>Y轴有效行程</w:t>
                  </w:r>
                  <w:r>
                    <w:rPr>
                      <w:rFonts w:hint="eastAsia" w:ascii="仿宋" w:hAnsi="仿宋" w:eastAsia="仿宋"/>
                      <w:kern w:val="0"/>
                      <w:sz w:val="24"/>
                    </w:rPr>
                    <w:t>≥</w:t>
                  </w:r>
                  <w:r>
                    <w:rPr>
                      <w:rFonts w:ascii="仿宋" w:hAnsi="仿宋" w:eastAsia="仿宋"/>
                      <w:kern w:val="0"/>
                      <w:sz w:val="24"/>
                    </w:rPr>
                    <w:t>250mm，最大运行速度</w:t>
                  </w:r>
                  <w:r>
                    <w:rPr>
                      <w:rFonts w:hint="eastAsia" w:ascii="仿宋" w:hAnsi="仿宋" w:eastAsia="仿宋"/>
                      <w:kern w:val="0"/>
                      <w:sz w:val="24"/>
                    </w:rPr>
                    <w:t>≥</w:t>
                  </w:r>
                  <w:r>
                    <w:rPr>
                      <w:rFonts w:ascii="仿宋" w:hAnsi="仿宋" w:eastAsia="仿宋"/>
                      <w:kern w:val="0"/>
                      <w:sz w:val="24"/>
                    </w:rPr>
                    <w:t>30mm/s，3Nm高性能伺服电机驱动，通过同步带带动滚珠丝杠实现旋转运动变换到直线运动，由滚珠导轨导向滑动；</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ascii="仿宋" w:hAnsi="仿宋" w:eastAsia="仿宋"/>
                      <w:kern w:val="0"/>
                      <w:sz w:val="24"/>
                    </w:rPr>
                    <w:t>Z轴有效行程</w:t>
                  </w:r>
                  <w:r>
                    <w:rPr>
                      <w:rFonts w:hint="eastAsia" w:ascii="仿宋" w:hAnsi="仿宋" w:eastAsia="仿宋"/>
                      <w:kern w:val="0"/>
                      <w:sz w:val="24"/>
                    </w:rPr>
                    <w:t>≥</w:t>
                  </w:r>
                  <w:r>
                    <w:rPr>
                      <w:rFonts w:ascii="仿宋" w:hAnsi="仿宋" w:eastAsia="仿宋"/>
                      <w:kern w:val="0"/>
                      <w:sz w:val="24"/>
                    </w:rPr>
                    <w:t>180mm，最大运行速度</w:t>
                  </w:r>
                  <w:r>
                    <w:rPr>
                      <w:rFonts w:hint="eastAsia" w:ascii="仿宋" w:hAnsi="仿宋" w:eastAsia="仿宋"/>
                      <w:kern w:val="0"/>
                      <w:sz w:val="24"/>
                    </w:rPr>
                    <w:t>≥</w:t>
                  </w:r>
                  <w:r>
                    <w:rPr>
                      <w:rFonts w:ascii="仿宋" w:hAnsi="仿宋" w:eastAsia="仿宋"/>
                      <w:kern w:val="0"/>
                      <w:sz w:val="24"/>
                    </w:rPr>
                    <w:t>30mm/s，3Nm高性能伺服电机驱动，带抱闸，通过同步带带动滚珠丝杠实现旋转运动变换到直线运动，由滚珠导轨导向滑动；</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夹具采用气动驱动夹紧，缸径≥</w:t>
                  </w:r>
                  <w:r>
                    <w:rPr>
                      <w:rFonts w:ascii="仿宋" w:hAnsi="仿宋" w:eastAsia="仿宋"/>
                      <w:kern w:val="0"/>
                      <w:sz w:val="24"/>
                    </w:rPr>
                    <w:t>32mm，夹具可有气动驱动前后两端定位，方便上下料；</w:t>
                  </w:r>
                </w:p>
                <w:p>
                  <w:pPr>
                    <w:adjustRightInd w:val="0"/>
                    <w:jc w:val="left"/>
                    <w:rPr>
                      <w:rFonts w:ascii="仿宋" w:hAnsi="仿宋" w:eastAsia="仿宋"/>
                      <w:kern w:val="0"/>
                      <w:sz w:val="24"/>
                    </w:rPr>
                  </w:pPr>
                  <w:r>
                    <w:rPr>
                      <w:rFonts w:ascii="仿宋" w:hAnsi="仿宋" w:eastAsia="仿宋"/>
                      <w:kern w:val="0"/>
                      <w:sz w:val="24"/>
                    </w:rPr>
                    <w:t>7)</w:t>
                  </w:r>
                  <w:r>
                    <w:rPr>
                      <w:rFonts w:ascii="仿宋" w:hAnsi="仿宋" w:eastAsia="仿宋"/>
                      <w:kern w:val="0"/>
                      <w:sz w:val="24"/>
                    </w:rPr>
                    <w:tab/>
                  </w:r>
                  <w:r>
                    <w:rPr>
                      <w:rFonts w:hint="eastAsia" w:ascii="仿宋" w:hAnsi="仿宋" w:eastAsia="仿宋"/>
                      <w:kern w:val="0"/>
                      <w:sz w:val="24"/>
                    </w:rPr>
                    <w:t>数控机床配有安全护栏，铝合金框架透明隔断，正面、背面均配有安全门，由气动驱动实现开启关闭。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模拟刀库×</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模拟刀库采用虚拟化设计，由显示屏显示当前使用刀具信息和刀库工作状态；</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显示屏尺寸</w:t>
                  </w:r>
                  <w:r>
                    <w:rPr>
                      <w:rFonts w:ascii="仿宋" w:hAnsi="仿宋" w:eastAsia="仿宋"/>
                      <w:kern w:val="0"/>
                      <w:sz w:val="24"/>
                    </w:rPr>
                    <w:t>9英寸，TFT真彩液晶屏，64K色，分辨率</w:t>
                  </w:r>
                  <w:r>
                    <w:rPr>
                      <w:rFonts w:hint="eastAsia" w:ascii="仿宋" w:hAnsi="仿宋" w:eastAsia="仿宋"/>
                      <w:kern w:val="0"/>
                      <w:sz w:val="24"/>
                    </w:rPr>
                    <w:t>≥</w:t>
                  </w:r>
                  <w:r>
                    <w:rPr>
                      <w:rFonts w:ascii="仿宋" w:hAnsi="仿宋" w:eastAsia="仿宋"/>
                      <w:kern w:val="0"/>
                      <w:sz w:val="24"/>
                    </w:rPr>
                    <w:t>800×480，背光平均无故障时间20000小时，可用内存</w:t>
                  </w:r>
                  <w:r>
                    <w:rPr>
                      <w:rFonts w:hint="eastAsia" w:ascii="仿宋" w:hAnsi="仿宋" w:eastAsia="仿宋"/>
                      <w:kern w:val="0"/>
                      <w:sz w:val="24"/>
                    </w:rPr>
                    <w:t>≥</w:t>
                  </w:r>
                  <w:r>
                    <w:rPr>
                      <w:rFonts w:ascii="仿宋" w:hAnsi="仿宋" w:eastAsia="仿宋"/>
                      <w:kern w:val="0"/>
                      <w:sz w:val="24"/>
                    </w:rPr>
                    <w:t>10MB，支持ProfiNet通讯；</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侧面配装有数控机床工作指示灯，可指示当前工作状态。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9"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snapToGrid w:val="0"/>
                    <w:rPr>
                      <w:rFonts w:ascii="仿宋" w:hAnsi="仿宋" w:eastAsia="仿宋"/>
                      <w:kern w:val="0"/>
                      <w:sz w:val="24"/>
                    </w:rPr>
                  </w:pPr>
                  <w:r>
                    <w:rPr>
                      <w:rFonts w:hint="eastAsia" w:ascii="仿宋" w:hAnsi="仿宋" w:eastAsia="仿宋"/>
                      <w:kern w:val="0"/>
                      <w:sz w:val="24"/>
                    </w:rPr>
                    <w:t>数控系统×</w:t>
                  </w:r>
                  <w:r>
                    <w:rPr>
                      <w:rFonts w:ascii="仿宋" w:hAnsi="仿宋" w:eastAsia="仿宋"/>
                      <w:kern w:val="0"/>
                      <w:sz w:val="24"/>
                    </w:rPr>
                    <w:t>1</w:t>
                  </w:r>
                </w:p>
                <w:p>
                  <w:pPr>
                    <w:adjustRightInd w:val="0"/>
                    <w:snapToGrid w:val="0"/>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数控系统性能稳定；</w:t>
                  </w:r>
                </w:p>
                <w:p>
                  <w:pPr>
                    <w:adjustRightInd w:val="0"/>
                    <w:snapToGrid w:val="0"/>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w:t>
                  </w:r>
                  <w:r>
                    <w:rPr>
                      <w:rFonts w:ascii="仿宋" w:hAnsi="仿宋" w:eastAsia="仿宋"/>
                      <w:kern w:val="0"/>
                      <w:sz w:val="24"/>
                    </w:rPr>
                    <w:t>10.4</w:t>
                  </w:r>
                  <w:r>
                    <w:rPr>
                      <w:rFonts w:hint="eastAsia" w:ascii="仿宋" w:hAnsi="仿宋" w:eastAsia="仿宋"/>
                      <w:kern w:val="0"/>
                      <w:sz w:val="24"/>
                    </w:rPr>
                    <w:t>英寸</w:t>
                  </w:r>
                  <w:r>
                    <w:rPr>
                      <w:rFonts w:ascii="仿宋" w:hAnsi="仿宋" w:eastAsia="仿宋"/>
                      <w:kern w:val="0"/>
                      <w:sz w:val="24"/>
                    </w:rPr>
                    <w:t>TFT</w:t>
                  </w:r>
                  <w:r>
                    <w:rPr>
                      <w:rFonts w:hint="eastAsia" w:ascii="仿宋" w:hAnsi="仿宋" w:eastAsia="仿宋"/>
                      <w:kern w:val="0"/>
                      <w:sz w:val="24"/>
                    </w:rPr>
                    <w:t>彩色显示屏；</w:t>
                  </w:r>
                </w:p>
                <w:p>
                  <w:pPr>
                    <w:adjustRightInd w:val="0"/>
                    <w:snapToGrid w:val="0"/>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ascii="仿宋" w:hAnsi="仿宋" w:eastAsia="仿宋"/>
                      <w:kern w:val="0"/>
                      <w:sz w:val="24"/>
                    </w:rPr>
                    <w:t>PLC</w:t>
                  </w:r>
                  <w:r>
                    <w:rPr>
                      <w:rFonts w:hint="eastAsia" w:ascii="仿宋" w:hAnsi="仿宋" w:eastAsia="仿宋"/>
                      <w:kern w:val="0"/>
                      <w:sz w:val="24"/>
                    </w:rPr>
                    <w:t>控制基于</w:t>
                  </w:r>
                  <w:r>
                    <w:rPr>
                      <w:rFonts w:ascii="仿宋" w:hAnsi="仿宋" w:eastAsia="仿宋"/>
                      <w:kern w:val="0"/>
                      <w:sz w:val="24"/>
                    </w:rPr>
                    <w:t>SIMATIC S7-200</w:t>
                  </w:r>
                  <w:r>
                    <w:rPr>
                      <w:rFonts w:hint="eastAsia" w:ascii="仿宋" w:hAnsi="仿宋" w:eastAsia="仿宋"/>
                      <w:kern w:val="0"/>
                      <w:sz w:val="24"/>
                    </w:rPr>
                    <w:t>；</w:t>
                  </w:r>
                </w:p>
                <w:p>
                  <w:pPr>
                    <w:adjustRightInd w:val="0"/>
                    <w:snapToGrid w:val="0"/>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最大加工通道</w:t>
                  </w:r>
                  <w:r>
                    <w:rPr>
                      <w:rFonts w:ascii="仿宋" w:hAnsi="仿宋" w:eastAsia="仿宋"/>
                      <w:kern w:val="0"/>
                      <w:sz w:val="24"/>
                    </w:rPr>
                    <w:t>/</w:t>
                  </w:r>
                  <w:r>
                    <w:rPr>
                      <w:rFonts w:hint="eastAsia" w:ascii="仿宋" w:hAnsi="仿宋" w:eastAsia="仿宋"/>
                      <w:kern w:val="0"/>
                      <w:sz w:val="24"/>
                    </w:rPr>
                    <w:t>方式组数为</w:t>
                  </w:r>
                  <w:r>
                    <w:rPr>
                      <w:rFonts w:ascii="仿宋" w:hAnsi="仿宋" w:eastAsia="仿宋"/>
                      <w:kern w:val="0"/>
                      <w:sz w:val="24"/>
                    </w:rPr>
                    <w:t>1</w:t>
                  </w:r>
                  <w:r>
                    <w:rPr>
                      <w:rFonts w:hint="eastAsia" w:ascii="仿宋" w:hAnsi="仿宋" w:eastAsia="仿宋"/>
                      <w:kern w:val="0"/>
                      <w:sz w:val="24"/>
                    </w:rPr>
                    <w:t>，</w:t>
                  </w:r>
                  <w:r>
                    <w:rPr>
                      <w:rFonts w:ascii="仿宋" w:hAnsi="仿宋" w:eastAsia="仿宋"/>
                      <w:kern w:val="0"/>
                      <w:sz w:val="24"/>
                    </w:rPr>
                    <w:t>CNC</w:t>
                  </w:r>
                  <w:r>
                    <w:rPr>
                      <w:rFonts w:hint="eastAsia" w:ascii="仿宋" w:hAnsi="仿宋" w:eastAsia="仿宋"/>
                      <w:kern w:val="0"/>
                      <w:sz w:val="24"/>
                    </w:rPr>
                    <w:t>用户内存</w:t>
                  </w:r>
                  <w:r>
                    <w:rPr>
                      <w:rFonts w:ascii="仿宋" w:hAnsi="仿宋" w:eastAsia="仿宋"/>
                      <w:kern w:val="0"/>
                      <w:sz w:val="24"/>
                    </w:rPr>
                    <w:t>3MB</w:t>
                  </w:r>
                  <w:r>
                    <w:rPr>
                      <w:rFonts w:hint="eastAsia" w:ascii="仿宋" w:hAnsi="仿宋" w:eastAsia="仿宋"/>
                      <w:kern w:val="0"/>
                      <w:sz w:val="24"/>
                    </w:rPr>
                    <w:t>；</w:t>
                  </w:r>
                </w:p>
                <w:p>
                  <w:pPr>
                    <w:adjustRightInd w:val="0"/>
                    <w:snapToGrid w:val="0"/>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具备铣削工艺；</w:t>
                  </w:r>
                </w:p>
                <w:p>
                  <w:pPr>
                    <w:adjustRightInd w:val="0"/>
                    <w:snapToGrid w:val="0"/>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进给轴具备进给平滑控制、力矩前馈控制功能；支持各轴自动优化和轨迹插补功能；</w:t>
                  </w:r>
                </w:p>
                <w:p>
                  <w:pPr>
                    <w:adjustRightInd w:val="0"/>
                    <w:snapToGrid w:val="0"/>
                    <w:rPr>
                      <w:rFonts w:ascii="仿宋" w:hAnsi="仿宋" w:eastAsia="仿宋"/>
                      <w:kern w:val="0"/>
                      <w:sz w:val="24"/>
                    </w:rPr>
                  </w:pPr>
                  <w:r>
                    <w:rPr>
                      <w:rFonts w:ascii="仿宋" w:hAnsi="仿宋" w:eastAsia="仿宋"/>
                      <w:kern w:val="0"/>
                      <w:sz w:val="24"/>
                    </w:rPr>
                    <w:t>7)</w:t>
                  </w:r>
                  <w:r>
                    <w:rPr>
                      <w:rFonts w:ascii="仿宋" w:hAnsi="仿宋" w:eastAsia="仿宋"/>
                      <w:kern w:val="0"/>
                      <w:sz w:val="24"/>
                    </w:rPr>
                    <w:tab/>
                  </w:r>
                  <w:r>
                    <w:rPr>
                      <w:rFonts w:hint="eastAsia" w:ascii="仿宋" w:hAnsi="仿宋" w:eastAsia="仿宋"/>
                      <w:kern w:val="0"/>
                      <w:sz w:val="24"/>
                    </w:rPr>
                    <w:t>插补轴数最大</w:t>
                  </w:r>
                  <w:r>
                    <w:rPr>
                      <w:rFonts w:ascii="仿宋" w:hAnsi="仿宋" w:eastAsia="仿宋"/>
                      <w:kern w:val="0"/>
                      <w:sz w:val="24"/>
                    </w:rPr>
                    <w:t>4轴，支持直线插补、圆弧插补、螺旋线插补、精优曲面功能、高速高精设定、程序段预读功能、压缩器功能；</w:t>
                  </w:r>
                </w:p>
                <w:p>
                  <w:pPr>
                    <w:adjustRightInd w:val="0"/>
                    <w:snapToGrid w:val="0"/>
                    <w:rPr>
                      <w:rFonts w:ascii="仿宋" w:hAnsi="仿宋" w:eastAsia="仿宋"/>
                      <w:kern w:val="0"/>
                      <w:sz w:val="24"/>
                    </w:rPr>
                  </w:pPr>
                  <w:r>
                    <w:rPr>
                      <w:rFonts w:ascii="仿宋" w:hAnsi="仿宋" w:eastAsia="仿宋"/>
                      <w:kern w:val="0"/>
                      <w:sz w:val="24"/>
                    </w:rPr>
                    <w:t>8)</w:t>
                  </w:r>
                  <w:r>
                    <w:rPr>
                      <w:rFonts w:ascii="仿宋" w:hAnsi="仿宋" w:eastAsia="仿宋"/>
                      <w:kern w:val="0"/>
                      <w:sz w:val="24"/>
                    </w:rPr>
                    <w:tab/>
                  </w:r>
                  <w:r>
                    <w:rPr>
                      <w:rFonts w:hint="eastAsia" w:ascii="仿宋" w:hAnsi="仿宋" w:eastAsia="仿宋"/>
                      <w:kern w:val="0"/>
                      <w:sz w:val="24"/>
                    </w:rPr>
                    <w:t>具备刀具管理功能，刀具数最大</w:t>
                  </w:r>
                  <w:r>
                    <w:rPr>
                      <w:rFonts w:ascii="仿宋" w:hAnsi="仿宋" w:eastAsia="仿宋"/>
                      <w:kern w:val="0"/>
                      <w:sz w:val="24"/>
                    </w:rPr>
                    <w:t>256</w:t>
                  </w:r>
                  <w:r>
                    <w:rPr>
                      <w:rFonts w:hint="eastAsia" w:ascii="仿宋" w:hAnsi="仿宋" w:eastAsia="仿宋"/>
                      <w:kern w:val="0"/>
                      <w:sz w:val="24"/>
                    </w:rPr>
                    <w:t>，刀刃数最大</w:t>
                  </w:r>
                  <w:r>
                    <w:rPr>
                      <w:rFonts w:ascii="仿宋" w:hAnsi="仿宋" w:eastAsia="仿宋"/>
                      <w:kern w:val="0"/>
                      <w:sz w:val="24"/>
                    </w:rPr>
                    <w:t>256，支持刀具质量、刀具寿命检测功能，带替换刀具管理功能；</w:t>
                  </w:r>
                </w:p>
                <w:p>
                  <w:pPr>
                    <w:adjustRightInd w:val="0"/>
                    <w:snapToGrid w:val="0"/>
                    <w:rPr>
                      <w:rFonts w:ascii="仿宋" w:hAnsi="仿宋" w:eastAsia="仿宋"/>
                      <w:kern w:val="0"/>
                      <w:sz w:val="24"/>
                    </w:rPr>
                  </w:pPr>
                  <w:r>
                    <w:rPr>
                      <w:rFonts w:ascii="仿宋" w:hAnsi="仿宋" w:eastAsia="仿宋"/>
                      <w:kern w:val="0"/>
                      <w:sz w:val="24"/>
                    </w:rPr>
                    <w:t>9)</w:t>
                  </w:r>
                  <w:r>
                    <w:rPr>
                      <w:rFonts w:ascii="仿宋" w:hAnsi="仿宋" w:eastAsia="仿宋"/>
                      <w:kern w:val="0"/>
                      <w:sz w:val="24"/>
                    </w:rPr>
                    <w:tab/>
                  </w:r>
                  <w:r>
                    <w:rPr>
                      <w:rFonts w:hint="eastAsia" w:ascii="仿宋" w:hAnsi="仿宋" w:eastAsia="仿宋"/>
                      <w:kern w:val="0"/>
                      <w:sz w:val="24"/>
                    </w:rPr>
                    <w:t>具备</w:t>
                  </w:r>
                  <w:r>
                    <w:rPr>
                      <w:rFonts w:ascii="仿宋" w:hAnsi="仿宋" w:eastAsia="仿宋"/>
                      <w:kern w:val="0"/>
                      <w:sz w:val="24"/>
                    </w:rPr>
                    <w:t>OPC UA</w:t>
                  </w:r>
                  <w:r>
                    <w:rPr>
                      <w:rFonts w:hint="eastAsia" w:ascii="仿宋" w:hAnsi="仿宋" w:eastAsia="仿宋"/>
                      <w:kern w:val="0"/>
                      <w:sz w:val="24"/>
                    </w:rPr>
                    <w:t>通讯接口，可将数控系统中的运行数据传输到</w:t>
                  </w:r>
                  <w:r>
                    <w:rPr>
                      <w:rFonts w:ascii="仿宋" w:hAnsi="仿宋" w:eastAsia="仿宋"/>
                      <w:kern w:val="0"/>
                      <w:sz w:val="24"/>
                    </w:rPr>
                    <w:t>MES</w:t>
                  </w:r>
                  <w:r>
                    <w:rPr>
                      <w:rFonts w:hint="eastAsia" w:ascii="仿宋" w:hAnsi="仿宋" w:eastAsia="仿宋"/>
                      <w:kern w:val="0"/>
                      <w:sz w:val="24"/>
                    </w:rPr>
                    <w:t>软件中；</w:t>
                  </w:r>
                </w:p>
                <w:p>
                  <w:pPr>
                    <w:adjustRightInd w:val="0"/>
                    <w:jc w:val="left"/>
                    <w:rPr>
                      <w:rFonts w:ascii="仿宋" w:hAnsi="仿宋" w:eastAsia="仿宋"/>
                      <w:kern w:val="0"/>
                      <w:sz w:val="24"/>
                    </w:rPr>
                  </w:pPr>
                  <w:r>
                    <w:rPr>
                      <w:rFonts w:ascii="仿宋" w:hAnsi="仿宋" w:eastAsia="仿宋"/>
                      <w:kern w:val="0"/>
                      <w:sz w:val="24"/>
                    </w:rPr>
                    <w:t>10)</w:t>
                  </w:r>
                  <w:r>
                    <w:rPr>
                      <w:rFonts w:ascii="仿宋" w:hAnsi="仿宋" w:eastAsia="仿宋"/>
                      <w:kern w:val="0"/>
                      <w:sz w:val="24"/>
                    </w:rPr>
                    <w:tab/>
                  </w:r>
                  <w:r>
                    <w:rPr>
                      <w:rFonts w:hint="eastAsia" w:ascii="仿宋" w:hAnsi="仿宋" w:eastAsia="仿宋"/>
                      <w:kern w:val="0"/>
                      <w:sz w:val="24"/>
                    </w:rPr>
                    <w:t>提供手轮对各轴手动操作。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4"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远程</w:t>
                  </w:r>
                  <w:r>
                    <w:rPr>
                      <w:rFonts w:ascii="仿宋" w:hAnsi="仿宋" w:eastAsia="仿宋"/>
                      <w:kern w:val="0"/>
                      <w:sz w:val="24"/>
                    </w:rPr>
                    <w:t>IO模块×1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支持</w:t>
                  </w:r>
                  <w:r>
                    <w:rPr>
                      <w:rFonts w:ascii="仿宋" w:hAnsi="仿宋" w:eastAsia="仿宋"/>
                      <w:kern w:val="0"/>
                      <w:sz w:val="24"/>
                    </w:rPr>
                    <w:t>ProfiNet总线通讯；</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支持适配</w:t>
                  </w:r>
                  <w:r>
                    <w:rPr>
                      <w:rFonts w:ascii="仿宋" w:hAnsi="仿宋" w:eastAsia="仿宋"/>
                      <w:kern w:val="0"/>
                      <w:sz w:val="24"/>
                    </w:rPr>
                    <w:t>IO模块数量最多32个；</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传输距离最大</w:t>
                  </w:r>
                  <w:r>
                    <w:rPr>
                      <w:rFonts w:ascii="仿宋" w:hAnsi="仿宋" w:eastAsia="仿宋"/>
                      <w:kern w:val="0"/>
                      <w:sz w:val="24"/>
                    </w:rPr>
                    <w:t>100米（站站距离），总线速率最大100Mbps；</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附带数字量输入模块</w:t>
                  </w:r>
                  <w:r>
                    <w:rPr>
                      <w:rFonts w:ascii="仿宋" w:hAnsi="仿宋" w:eastAsia="仿宋"/>
                      <w:kern w:val="0"/>
                      <w:sz w:val="24"/>
                    </w:rPr>
                    <w:t>1个，单模块8通道，输入信号类型PNP，输入电流典型值3mA，隔离耐压500V，隔离方式光耦隔离；</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附带数字量输出模块</w:t>
                  </w:r>
                  <w:r>
                    <w:rPr>
                      <w:rFonts w:ascii="仿宋" w:hAnsi="仿宋" w:eastAsia="仿宋"/>
                      <w:kern w:val="0"/>
                      <w:sz w:val="24"/>
                    </w:rPr>
                    <w:t>1个，单模块8通道，输出信号类型源型，驱动能力500mA/</w:t>
                  </w:r>
                  <w:r>
                    <w:rPr>
                      <w:rFonts w:hint="eastAsia" w:ascii="仿宋" w:hAnsi="仿宋" w:eastAsia="仿宋"/>
                      <w:kern w:val="0"/>
                      <w:sz w:val="24"/>
                    </w:rPr>
                    <w:t>通道，隔离耐压</w:t>
                  </w:r>
                  <w:r>
                    <w:rPr>
                      <w:rFonts w:ascii="仿宋" w:hAnsi="仿宋" w:eastAsia="仿宋"/>
                      <w:kern w:val="0"/>
                      <w:sz w:val="24"/>
                    </w:rPr>
                    <w:t>500V，隔离方式光耦隔离；</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在工作台台面上布置有远程</w:t>
                  </w:r>
                  <w:r>
                    <w:rPr>
                      <w:rFonts w:ascii="仿宋" w:hAnsi="仿宋" w:eastAsia="仿宋"/>
                      <w:kern w:val="0"/>
                      <w:sz w:val="24"/>
                    </w:rPr>
                    <w:t>IO适配器的网络通信接口，方便接线。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工作台×</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铝合金型材结构，工作台式设计，台面可安装功能模块，底部柜体内可安装电气设备；</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台面长≥</w:t>
                  </w:r>
                  <w:r>
                    <w:rPr>
                      <w:rFonts w:ascii="仿宋" w:hAnsi="仿宋" w:eastAsia="仿宋"/>
                      <w:kern w:val="0"/>
                      <w:sz w:val="24"/>
                    </w:rPr>
                    <w:t>1360mm，宽</w:t>
                  </w:r>
                  <w:r>
                    <w:rPr>
                      <w:rFonts w:hint="eastAsia" w:ascii="仿宋" w:hAnsi="仿宋" w:eastAsia="仿宋"/>
                      <w:kern w:val="0"/>
                      <w:sz w:val="24"/>
                    </w:rPr>
                    <w:t>≥</w:t>
                  </w:r>
                  <w:r>
                    <w:rPr>
                      <w:rFonts w:ascii="仿宋" w:hAnsi="仿宋" w:eastAsia="仿宋"/>
                      <w:kern w:val="0"/>
                      <w:sz w:val="24"/>
                    </w:rPr>
                    <w:t>680mm，厚</w:t>
                  </w:r>
                  <w:r>
                    <w:rPr>
                      <w:rFonts w:hint="eastAsia" w:ascii="仿宋" w:hAnsi="仿宋" w:eastAsia="仿宋"/>
                      <w:kern w:val="0"/>
                      <w:sz w:val="24"/>
                    </w:rPr>
                    <w:t>≥</w:t>
                  </w:r>
                  <w:r>
                    <w:rPr>
                      <w:rFonts w:ascii="仿宋" w:hAnsi="仿宋" w:eastAsia="仿宋"/>
                      <w:kern w:val="0"/>
                      <w:sz w:val="24"/>
                    </w:rPr>
                    <w:t>20mm；</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底部柜体长≥</w:t>
                  </w:r>
                  <w:r>
                    <w:rPr>
                      <w:rFonts w:ascii="仿宋" w:hAnsi="仿宋" w:eastAsia="仿宋"/>
                      <w:kern w:val="0"/>
                      <w:sz w:val="24"/>
                    </w:rPr>
                    <w:t>1280mm，宽</w:t>
                  </w:r>
                  <w:r>
                    <w:rPr>
                      <w:rFonts w:hint="eastAsia" w:ascii="仿宋" w:hAnsi="仿宋" w:eastAsia="仿宋"/>
                      <w:kern w:val="0"/>
                      <w:sz w:val="24"/>
                    </w:rPr>
                    <w:t>≥</w:t>
                  </w:r>
                  <w:r>
                    <w:rPr>
                      <w:rFonts w:ascii="仿宋" w:hAnsi="仿宋" w:eastAsia="仿宋"/>
                      <w:kern w:val="0"/>
                      <w:sz w:val="24"/>
                    </w:rPr>
                    <w:t>600mm，高</w:t>
                  </w:r>
                  <w:r>
                    <w:rPr>
                      <w:rFonts w:hint="eastAsia" w:ascii="仿宋" w:hAnsi="仿宋" w:eastAsia="仿宋"/>
                      <w:kern w:val="0"/>
                      <w:sz w:val="24"/>
                    </w:rPr>
                    <w:t>≥</w:t>
                  </w:r>
                  <w:r>
                    <w:rPr>
                      <w:rFonts w:ascii="仿宋" w:hAnsi="仿宋" w:eastAsia="仿宋"/>
                      <w:kern w:val="0"/>
                      <w:sz w:val="24"/>
                    </w:rPr>
                    <w:t>700mm；</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底部柜体四角安装有脚轮，轮片直径≥</w:t>
                  </w:r>
                  <w:r>
                    <w:rPr>
                      <w:rFonts w:ascii="仿宋" w:hAnsi="仿宋" w:eastAsia="仿宋"/>
                      <w:kern w:val="0"/>
                      <w:sz w:val="24"/>
                    </w:rPr>
                    <w:t>50mm，轮片宽度</w:t>
                  </w:r>
                  <w:r>
                    <w:rPr>
                      <w:rFonts w:hint="eastAsia" w:ascii="仿宋" w:hAnsi="仿宋" w:eastAsia="仿宋"/>
                      <w:kern w:val="0"/>
                      <w:sz w:val="24"/>
                    </w:rPr>
                    <w:t>≥</w:t>
                  </w:r>
                  <w:r>
                    <w:rPr>
                      <w:rFonts w:ascii="仿宋" w:hAnsi="仿宋" w:eastAsia="仿宋"/>
                      <w:kern w:val="0"/>
                      <w:sz w:val="24"/>
                    </w:rPr>
                    <w:t>25mm，可调高度</w:t>
                  </w:r>
                  <w:r>
                    <w:rPr>
                      <w:rFonts w:hint="eastAsia" w:ascii="仿宋" w:hAnsi="仿宋" w:eastAsia="仿宋"/>
                      <w:kern w:val="0"/>
                      <w:sz w:val="24"/>
                    </w:rPr>
                    <w:t>≥</w:t>
                  </w:r>
                  <w:r>
                    <w:rPr>
                      <w:rFonts w:ascii="仿宋" w:hAnsi="仿宋" w:eastAsia="仿宋"/>
                      <w:kern w:val="0"/>
                      <w:sz w:val="24"/>
                    </w:rPr>
                    <w:t>10mm；</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工作台面合理布置有线槽，方便控制信号线和气路布线，且电、气分开；</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底部柜体上端和下端四周安装有线槽，可方便电源线、气管和通信线布线；</w:t>
                  </w:r>
                </w:p>
                <w:p>
                  <w:pPr>
                    <w:adjustRightInd w:val="0"/>
                    <w:jc w:val="left"/>
                    <w:rPr>
                      <w:rFonts w:ascii="仿宋" w:hAnsi="仿宋" w:eastAsia="仿宋"/>
                      <w:kern w:val="0"/>
                      <w:sz w:val="24"/>
                    </w:rPr>
                  </w:pPr>
                  <w:r>
                    <w:rPr>
                      <w:rFonts w:ascii="仿宋" w:hAnsi="仿宋" w:eastAsia="仿宋"/>
                      <w:kern w:val="0"/>
                      <w:sz w:val="24"/>
                    </w:rPr>
                    <w:t>7)</w:t>
                  </w:r>
                  <w:r>
                    <w:rPr>
                      <w:rFonts w:ascii="仿宋" w:hAnsi="仿宋" w:eastAsia="仿宋"/>
                      <w:kern w:val="0"/>
                      <w:sz w:val="24"/>
                    </w:rPr>
                    <w:tab/>
                  </w:r>
                  <w:r>
                    <w:rPr>
                      <w:rFonts w:hint="eastAsia" w:ascii="仿宋" w:hAnsi="仿宋" w:eastAsia="仿宋"/>
                      <w:kern w:val="0"/>
                      <w:sz w:val="24"/>
                    </w:rPr>
                    <w:t>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0" w:type="auto"/>
                  <w:vMerge w:val="restart"/>
                  <w:noWrap w:val="0"/>
                  <w:vAlign w:val="top"/>
                </w:tcPr>
                <w:p>
                  <w:pPr>
                    <w:adjustRightInd w:val="0"/>
                    <w:jc w:val="left"/>
                    <w:rPr>
                      <w:rFonts w:ascii="仿宋" w:hAnsi="仿宋" w:eastAsia="仿宋"/>
                      <w:kern w:val="0"/>
                      <w:sz w:val="24"/>
                    </w:rPr>
                  </w:pPr>
                  <w:r>
                    <w:rPr>
                      <w:rFonts w:hint="eastAsia" w:ascii="仿宋" w:hAnsi="仿宋" w:eastAsia="仿宋"/>
                      <w:kern w:val="0"/>
                      <w:sz w:val="24"/>
                    </w:rPr>
                    <w:t>打磨单元</w:t>
                  </w: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打磨工位×</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铝合金框架结构，可稳定支撑零件加工；</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四爪夹具由气动驱动，可对零件轮毂位置进行稳定夹持，自动对心定位；</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底部配有传感器可检测当前工位是否存有零件。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旋转工位×</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铝合金框架结构，可稳定支撑零件加工；</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四爪夹具由气动驱动，可对零件轮辋内圈进行稳定夹持，自动对心定位；</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底部配有传感器可检测当前工位是否存有零件；</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旋转气缸可带动旋转工位整体</w:t>
                  </w:r>
                  <w:r>
                    <w:rPr>
                      <w:rFonts w:ascii="仿宋" w:hAnsi="仿宋" w:eastAsia="仿宋"/>
                      <w:kern w:val="0"/>
                      <w:sz w:val="24"/>
                    </w:rPr>
                    <w:t>180°旋转，实现零件沿轴线旋转。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6"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翻转工装×</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双指夹具对零件轮辋外圈稳定夹持，自动对心定位，翻转过程无位移；</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旋转气缸可驱动双指夹具实现所夹持的零件在打磨工位和旋转工位间翻转；</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升降气缸可实现翻转后的零件在小距离内垂直放入取出工位，确保定位准确。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吹屑工位×</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不锈钢材质，外形尺寸约</w:t>
                  </w:r>
                  <w:r>
                    <w:rPr>
                      <w:rFonts w:ascii="仿宋" w:hAnsi="仿宋" w:eastAsia="仿宋"/>
                      <w:kern w:val="0"/>
                      <w:sz w:val="24"/>
                    </w:rPr>
                    <w:t>150mm×150mm×100mm；</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顶部开口直径≥</w:t>
                  </w:r>
                  <w:r>
                    <w:rPr>
                      <w:rFonts w:ascii="仿宋" w:hAnsi="仿宋" w:eastAsia="仿宋"/>
                      <w:kern w:val="0"/>
                      <w:sz w:val="24"/>
                    </w:rPr>
                    <w:t>130mm；</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两侧布置了吹气口，可将打磨后粘附在零件表面上的碎屑清除。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4"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远程</w:t>
                  </w:r>
                  <w:r>
                    <w:rPr>
                      <w:rFonts w:ascii="仿宋" w:hAnsi="仿宋" w:eastAsia="仿宋"/>
                      <w:kern w:val="0"/>
                      <w:sz w:val="24"/>
                    </w:rPr>
                    <w:t>IO模块×1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支持</w:t>
                  </w:r>
                  <w:r>
                    <w:rPr>
                      <w:rFonts w:ascii="仿宋" w:hAnsi="仿宋" w:eastAsia="仿宋"/>
                      <w:kern w:val="0"/>
                      <w:sz w:val="24"/>
                    </w:rPr>
                    <w:t>ProfiNet总线通讯；</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支持适配</w:t>
                  </w:r>
                  <w:r>
                    <w:rPr>
                      <w:rFonts w:ascii="仿宋" w:hAnsi="仿宋" w:eastAsia="仿宋"/>
                      <w:kern w:val="0"/>
                      <w:sz w:val="24"/>
                    </w:rPr>
                    <w:t>IO模块数量最多32个；</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传输距离最大</w:t>
                  </w:r>
                  <w:r>
                    <w:rPr>
                      <w:rFonts w:ascii="仿宋" w:hAnsi="仿宋" w:eastAsia="仿宋"/>
                      <w:kern w:val="0"/>
                      <w:sz w:val="24"/>
                    </w:rPr>
                    <w:t>100米（站站距离），总线速率最大100Mbps；</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附带数字量输入模块</w:t>
                  </w:r>
                  <w:r>
                    <w:rPr>
                      <w:rFonts w:ascii="仿宋" w:hAnsi="仿宋" w:eastAsia="仿宋"/>
                      <w:kern w:val="0"/>
                      <w:sz w:val="24"/>
                    </w:rPr>
                    <w:t>2个，单模块8通道，输入信号类型PNP，输入电流典型值3mA，隔离耐压500V，隔离方式光耦隔离；</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附带数字量输出模块</w:t>
                  </w:r>
                  <w:r>
                    <w:rPr>
                      <w:rFonts w:ascii="仿宋" w:hAnsi="仿宋" w:eastAsia="仿宋"/>
                      <w:kern w:val="0"/>
                      <w:sz w:val="24"/>
                    </w:rPr>
                    <w:t>2个，单模块8通道，输出信号类型源型，驱动能力500mA/</w:t>
                  </w:r>
                  <w:r>
                    <w:rPr>
                      <w:rFonts w:hint="eastAsia" w:ascii="仿宋" w:hAnsi="仿宋" w:eastAsia="仿宋"/>
                      <w:kern w:val="0"/>
                      <w:sz w:val="24"/>
                    </w:rPr>
                    <w:t>通道，隔离耐压</w:t>
                  </w:r>
                  <w:r>
                    <w:rPr>
                      <w:rFonts w:ascii="仿宋" w:hAnsi="仿宋" w:eastAsia="仿宋"/>
                      <w:kern w:val="0"/>
                      <w:sz w:val="24"/>
                    </w:rPr>
                    <w:t>500V，隔离方式光耦隔离；</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在工作台台面上布置有远程</w:t>
                  </w:r>
                  <w:r>
                    <w:rPr>
                      <w:rFonts w:ascii="仿宋" w:hAnsi="仿宋" w:eastAsia="仿宋"/>
                      <w:kern w:val="0"/>
                      <w:sz w:val="24"/>
                    </w:rPr>
                    <w:t>IO适配器的网络通信接口，方便接线。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2"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工作台×</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铝合金型材结构，工作台式设计，台面可安装功能模块，底部柜体内可安装电气设备；</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台面长≥</w:t>
                  </w:r>
                  <w:r>
                    <w:rPr>
                      <w:rFonts w:ascii="仿宋" w:hAnsi="仿宋" w:eastAsia="仿宋"/>
                      <w:kern w:val="0"/>
                      <w:sz w:val="24"/>
                    </w:rPr>
                    <w:t>680mm，宽</w:t>
                  </w:r>
                  <w:r>
                    <w:rPr>
                      <w:rFonts w:hint="eastAsia" w:ascii="仿宋" w:hAnsi="仿宋" w:eastAsia="仿宋"/>
                      <w:kern w:val="0"/>
                      <w:sz w:val="24"/>
                    </w:rPr>
                    <w:t>≥</w:t>
                  </w:r>
                  <w:r>
                    <w:rPr>
                      <w:rFonts w:ascii="仿宋" w:hAnsi="仿宋" w:eastAsia="仿宋"/>
                      <w:kern w:val="0"/>
                      <w:sz w:val="24"/>
                    </w:rPr>
                    <w:t>680mm，厚</w:t>
                  </w:r>
                  <w:r>
                    <w:rPr>
                      <w:rFonts w:hint="eastAsia" w:ascii="仿宋" w:hAnsi="仿宋" w:eastAsia="仿宋"/>
                      <w:kern w:val="0"/>
                      <w:sz w:val="24"/>
                    </w:rPr>
                    <w:t>≥</w:t>
                  </w:r>
                  <w:r>
                    <w:rPr>
                      <w:rFonts w:ascii="仿宋" w:hAnsi="仿宋" w:eastAsia="仿宋"/>
                      <w:kern w:val="0"/>
                      <w:sz w:val="24"/>
                    </w:rPr>
                    <w:t>20mm；</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底部柜体长≥</w:t>
                  </w:r>
                  <w:r>
                    <w:rPr>
                      <w:rFonts w:ascii="仿宋" w:hAnsi="仿宋" w:eastAsia="仿宋"/>
                      <w:kern w:val="0"/>
                      <w:sz w:val="24"/>
                    </w:rPr>
                    <w:t>600mm，宽</w:t>
                  </w:r>
                  <w:r>
                    <w:rPr>
                      <w:rFonts w:hint="eastAsia" w:ascii="仿宋" w:hAnsi="仿宋" w:eastAsia="仿宋"/>
                      <w:kern w:val="0"/>
                      <w:sz w:val="24"/>
                    </w:rPr>
                    <w:t>≥</w:t>
                  </w:r>
                  <w:r>
                    <w:rPr>
                      <w:rFonts w:ascii="仿宋" w:hAnsi="仿宋" w:eastAsia="仿宋"/>
                      <w:kern w:val="0"/>
                      <w:sz w:val="24"/>
                    </w:rPr>
                    <w:t>600mm，高</w:t>
                  </w:r>
                  <w:r>
                    <w:rPr>
                      <w:rFonts w:hint="eastAsia" w:ascii="仿宋" w:hAnsi="仿宋" w:eastAsia="仿宋"/>
                      <w:kern w:val="0"/>
                      <w:sz w:val="24"/>
                    </w:rPr>
                    <w:t>≥</w:t>
                  </w:r>
                  <w:r>
                    <w:rPr>
                      <w:rFonts w:ascii="仿宋" w:hAnsi="仿宋" w:eastAsia="仿宋"/>
                      <w:kern w:val="0"/>
                      <w:sz w:val="24"/>
                    </w:rPr>
                    <w:t>700mm；</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底部柜体四角安装有脚轮，轮片直径≥</w:t>
                  </w:r>
                  <w:r>
                    <w:rPr>
                      <w:rFonts w:ascii="仿宋" w:hAnsi="仿宋" w:eastAsia="仿宋"/>
                      <w:kern w:val="0"/>
                      <w:sz w:val="24"/>
                    </w:rPr>
                    <w:t>50mm，轮片宽度</w:t>
                  </w:r>
                  <w:r>
                    <w:rPr>
                      <w:rFonts w:hint="eastAsia" w:ascii="仿宋" w:hAnsi="仿宋" w:eastAsia="仿宋"/>
                      <w:kern w:val="0"/>
                      <w:sz w:val="24"/>
                    </w:rPr>
                    <w:t>≥</w:t>
                  </w:r>
                  <w:r>
                    <w:rPr>
                      <w:rFonts w:ascii="仿宋" w:hAnsi="仿宋" w:eastAsia="仿宋"/>
                      <w:kern w:val="0"/>
                      <w:sz w:val="24"/>
                    </w:rPr>
                    <w:t>25mm，可调高度</w:t>
                  </w:r>
                  <w:r>
                    <w:rPr>
                      <w:rFonts w:hint="eastAsia" w:ascii="仿宋" w:hAnsi="仿宋" w:eastAsia="仿宋"/>
                      <w:kern w:val="0"/>
                      <w:sz w:val="24"/>
                    </w:rPr>
                    <w:t>≥</w:t>
                  </w:r>
                  <w:r>
                    <w:rPr>
                      <w:rFonts w:ascii="仿宋" w:hAnsi="仿宋" w:eastAsia="仿宋"/>
                      <w:kern w:val="0"/>
                      <w:sz w:val="24"/>
                    </w:rPr>
                    <w:t>10mm；</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工作台面合理布置有线槽，方便控制信号线和气路布线，且电、气分开；</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底部柜体上端和下端四周安装有线槽，可方便电源线、气管和通信线布线；</w:t>
                  </w:r>
                </w:p>
                <w:p>
                  <w:pPr>
                    <w:adjustRightInd w:val="0"/>
                    <w:jc w:val="left"/>
                    <w:rPr>
                      <w:rFonts w:ascii="仿宋" w:hAnsi="仿宋" w:eastAsia="仿宋"/>
                      <w:kern w:val="0"/>
                      <w:sz w:val="24"/>
                    </w:rPr>
                  </w:pPr>
                  <w:r>
                    <w:rPr>
                      <w:rFonts w:ascii="仿宋" w:hAnsi="仿宋" w:eastAsia="仿宋"/>
                      <w:kern w:val="0"/>
                      <w:sz w:val="24"/>
                    </w:rPr>
                    <w:t>7)</w:t>
                  </w:r>
                  <w:r>
                    <w:rPr>
                      <w:rFonts w:ascii="仿宋" w:hAnsi="仿宋" w:eastAsia="仿宋"/>
                      <w:kern w:val="0"/>
                      <w:sz w:val="24"/>
                    </w:rPr>
                    <w:tab/>
                  </w:r>
                  <w:r>
                    <w:rPr>
                      <w:rFonts w:hint="eastAsia" w:ascii="仿宋" w:hAnsi="仿宋" w:eastAsia="仿宋"/>
                      <w:kern w:val="0"/>
                      <w:sz w:val="24"/>
                    </w:rPr>
                    <w:t>底部柜体门板为快捷可拆卸设计，每个门板完全相同可互换安装。</w:t>
                  </w:r>
                </w:p>
                <w:p>
                  <w:pPr>
                    <w:adjustRightInd w:val="0"/>
                    <w:jc w:val="left"/>
                    <w:rPr>
                      <w:rFonts w:ascii="仿宋" w:hAnsi="仿宋" w:eastAsia="仿宋"/>
                      <w:kern w:val="0"/>
                      <w:sz w:val="24"/>
                    </w:rPr>
                  </w:pPr>
                  <w:r>
                    <w:rPr>
                      <w:rFonts w:hint="eastAsia" w:ascii="仿宋" w:hAnsi="仿宋" w:eastAsia="仿宋"/>
                      <w:kern w:val="0"/>
                      <w:sz w:val="24"/>
                    </w:rPr>
                    <w:t>8)</w:t>
                  </w:r>
                  <w:r>
                    <w:rPr>
                      <w:rFonts w:hint="eastAsia" w:ascii="仿宋" w:hAnsi="仿宋" w:eastAsia="仿宋"/>
                      <w:kern w:val="0"/>
                      <w:sz w:val="24"/>
                    </w:rPr>
                    <w:tab/>
                  </w:r>
                  <w:r>
                    <w:rPr>
                      <w:rFonts w:hint="eastAsia" w:ascii="仿宋" w:hAnsi="仿宋" w:eastAsia="仿宋"/>
                      <w:kern w:val="0"/>
                      <w:sz w:val="24"/>
                    </w:rPr>
                    <w:t>工作台安装有防护罩。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0" w:type="auto"/>
                  <w:vMerge w:val="restart"/>
                  <w:noWrap w:val="0"/>
                  <w:vAlign w:val="top"/>
                </w:tcPr>
                <w:p>
                  <w:pPr>
                    <w:adjustRightInd w:val="0"/>
                    <w:jc w:val="left"/>
                    <w:rPr>
                      <w:rFonts w:ascii="仿宋" w:hAnsi="仿宋" w:eastAsia="仿宋"/>
                      <w:kern w:val="0"/>
                      <w:sz w:val="24"/>
                    </w:rPr>
                  </w:pPr>
                  <w:r>
                    <w:rPr>
                      <w:rFonts w:hint="eastAsia" w:ascii="仿宋" w:hAnsi="仿宋" w:eastAsia="仿宋"/>
                      <w:kern w:val="0"/>
                      <w:sz w:val="24"/>
                    </w:rPr>
                    <w:t>检测单元</w:t>
                  </w: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视觉系统×</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采用≥</w:t>
                  </w:r>
                  <w:r>
                    <w:rPr>
                      <w:rFonts w:ascii="仿宋" w:hAnsi="仿宋" w:eastAsia="仿宋"/>
                      <w:kern w:val="0"/>
                      <w:sz w:val="24"/>
                    </w:rPr>
                    <w:t>30W像素CCD相机，彩色，有效像素</w:t>
                  </w:r>
                  <w:r>
                    <w:rPr>
                      <w:rFonts w:hint="eastAsia" w:ascii="仿宋" w:hAnsi="仿宋" w:eastAsia="仿宋"/>
                      <w:kern w:val="0"/>
                      <w:sz w:val="24"/>
                    </w:rPr>
                    <w:t>≥</w:t>
                  </w:r>
                  <w:r>
                    <w:rPr>
                      <w:rFonts w:ascii="仿宋" w:hAnsi="仿宋" w:eastAsia="仿宋"/>
                      <w:kern w:val="0"/>
                      <w:sz w:val="24"/>
                    </w:rPr>
                    <w:t>640×480，像素尺寸</w:t>
                  </w:r>
                  <w:r>
                    <w:rPr>
                      <w:rFonts w:hint="eastAsia" w:ascii="仿宋" w:hAnsi="仿宋" w:eastAsia="仿宋"/>
                      <w:kern w:val="0"/>
                      <w:sz w:val="24"/>
                    </w:rPr>
                    <w:t>≥</w:t>
                  </w:r>
                  <w:r>
                    <w:rPr>
                      <w:rFonts w:ascii="仿宋" w:hAnsi="仿宋" w:eastAsia="仿宋"/>
                      <w:kern w:val="0"/>
                      <w:sz w:val="24"/>
                    </w:rPr>
                    <w:t>7.4μm×7.4μm，电子快门；</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控制器为箱型；</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动作模式包括标准模式、倍速多通道输入、不间断调整；</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支持</w:t>
                  </w:r>
                  <w:r>
                    <w:rPr>
                      <w:rFonts w:ascii="仿宋" w:hAnsi="仿宋" w:eastAsia="仿宋"/>
                      <w:kern w:val="0"/>
                      <w:sz w:val="24"/>
                    </w:rPr>
                    <w:t>128场景数；</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利用流程编辑功能制作处理流程；</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支持</w:t>
                  </w:r>
                  <w:r>
                    <w:rPr>
                      <w:rFonts w:ascii="仿宋" w:hAnsi="仿宋" w:eastAsia="仿宋"/>
                      <w:kern w:val="0"/>
                      <w:sz w:val="24"/>
                    </w:rPr>
                    <w:t>Ethernet通信，采用无协议（TCP/UDP）；</w:t>
                  </w:r>
                </w:p>
                <w:p>
                  <w:pPr>
                    <w:adjustRightInd w:val="0"/>
                    <w:jc w:val="left"/>
                    <w:rPr>
                      <w:rFonts w:ascii="仿宋" w:hAnsi="仿宋" w:eastAsia="仿宋"/>
                      <w:kern w:val="0"/>
                      <w:sz w:val="24"/>
                    </w:rPr>
                  </w:pPr>
                  <w:r>
                    <w:rPr>
                      <w:rFonts w:ascii="仿宋" w:hAnsi="仿宋" w:eastAsia="仿宋"/>
                      <w:kern w:val="0"/>
                      <w:sz w:val="24"/>
                    </w:rPr>
                    <w:t>7)</w:t>
                  </w:r>
                  <w:r>
                    <w:rPr>
                      <w:rFonts w:ascii="仿宋" w:hAnsi="仿宋" w:eastAsia="仿宋"/>
                      <w:kern w:val="0"/>
                      <w:sz w:val="24"/>
                    </w:rPr>
                    <w:tab/>
                  </w:r>
                  <w:r>
                    <w:rPr>
                      <w:rFonts w:hint="eastAsia" w:ascii="仿宋" w:hAnsi="仿宋" w:eastAsia="仿宋"/>
                      <w:kern w:val="0"/>
                      <w:sz w:val="24"/>
                    </w:rPr>
                    <w:t>在工作台台面上布置有网络通信接口，方便接线。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配套光源及显示器×</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配套漫反射环形光源，白色，明亮度可调节；</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光源配有保护支架，可有效防止零件掉落损坏光源；</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配套视觉系统显示器和操作用鼠标。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9"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snapToGrid w:val="0"/>
                    <w:rPr>
                      <w:rFonts w:ascii="仿宋" w:hAnsi="仿宋" w:eastAsia="仿宋"/>
                      <w:kern w:val="0"/>
                      <w:sz w:val="24"/>
                    </w:rPr>
                  </w:pPr>
                  <w:r>
                    <w:rPr>
                      <w:rFonts w:ascii="仿宋" w:hAnsi="仿宋" w:eastAsia="仿宋"/>
                      <w:kern w:val="0"/>
                      <w:sz w:val="24"/>
                    </w:rPr>
                    <w:t>RFID</w:t>
                  </w:r>
                  <w:r>
                    <w:rPr>
                      <w:rFonts w:hint="eastAsia" w:ascii="仿宋" w:hAnsi="仿宋" w:eastAsia="仿宋"/>
                      <w:kern w:val="0"/>
                      <w:sz w:val="24"/>
                    </w:rPr>
                    <w:t>检测模块×</w:t>
                  </w:r>
                  <w:r>
                    <w:rPr>
                      <w:rFonts w:ascii="仿宋" w:hAnsi="仿宋" w:eastAsia="仿宋"/>
                      <w:kern w:val="0"/>
                      <w:sz w:val="24"/>
                    </w:rPr>
                    <w:t>1</w:t>
                  </w:r>
                </w:p>
                <w:p>
                  <w:pPr>
                    <w:adjustRightInd w:val="0"/>
                    <w:snapToGrid w:val="0"/>
                    <w:rPr>
                      <w:rFonts w:ascii="仿宋" w:hAnsi="仿宋" w:eastAsia="仿宋"/>
                      <w:kern w:val="0"/>
                      <w:sz w:val="24"/>
                    </w:rPr>
                  </w:pPr>
                  <w:r>
                    <w:rPr>
                      <w:rFonts w:ascii="仿宋" w:hAnsi="仿宋" w:eastAsia="仿宋"/>
                      <w:kern w:val="0"/>
                      <w:sz w:val="24"/>
                    </w:rPr>
                    <w:t xml:space="preserve">1) </w:t>
                  </w:r>
                  <w:r>
                    <w:rPr>
                      <w:rFonts w:hint="eastAsia" w:ascii="仿宋" w:hAnsi="仿宋" w:eastAsia="仿宋"/>
                      <w:kern w:val="0"/>
                      <w:sz w:val="24"/>
                    </w:rPr>
                    <w:t>感应头通过无线电讯号</w:t>
                  </w:r>
                  <w:r>
                    <w:rPr>
                      <w:rFonts w:ascii="仿宋" w:hAnsi="仿宋" w:eastAsia="仿宋"/>
                      <w:kern w:val="0"/>
                      <w:sz w:val="24"/>
                    </w:rPr>
                    <w:t>与标签之间进行非接触式的数据通信</w:t>
                  </w:r>
                  <w:r>
                    <w:rPr>
                      <w:rFonts w:hint="eastAsia" w:ascii="仿宋" w:hAnsi="仿宋" w:eastAsia="仿宋"/>
                      <w:kern w:val="0"/>
                      <w:sz w:val="24"/>
                    </w:rPr>
                    <w:t>，读取或写入标签数据；</w:t>
                  </w:r>
                </w:p>
                <w:p>
                  <w:pPr>
                    <w:adjustRightInd w:val="0"/>
                    <w:snapToGrid w:val="0"/>
                    <w:rPr>
                      <w:rFonts w:ascii="仿宋" w:hAnsi="仿宋" w:eastAsia="仿宋"/>
                      <w:kern w:val="0"/>
                      <w:sz w:val="24"/>
                    </w:rPr>
                  </w:pPr>
                  <w:r>
                    <w:rPr>
                      <w:rFonts w:ascii="仿宋" w:hAnsi="仿宋" w:eastAsia="仿宋"/>
                      <w:kern w:val="0"/>
                      <w:sz w:val="24"/>
                    </w:rPr>
                    <w:t>2)</w:t>
                  </w:r>
                  <w:r>
                    <w:rPr>
                      <w:rFonts w:hint="eastAsia" w:ascii="仿宋" w:hAnsi="仿宋" w:eastAsia="仿宋"/>
                      <w:kern w:val="0"/>
                      <w:sz w:val="24"/>
                    </w:rPr>
                    <w:t>读写头与上位机采用</w:t>
                  </w:r>
                  <w:r>
                    <w:rPr>
                      <w:rFonts w:ascii="仿宋" w:hAnsi="仿宋" w:eastAsia="仿宋"/>
                      <w:kern w:val="0"/>
                      <w:sz w:val="24"/>
                    </w:rPr>
                    <w:t>Modbus-TCP</w:t>
                  </w:r>
                  <w:r>
                    <w:rPr>
                      <w:rFonts w:hint="eastAsia" w:ascii="仿宋" w:hAnsi="仿宋" w:eastAsia="仿宋"/>
                      <w:kern w:val="0"/>
                      <w:sz w:val="24"/>
                    </w:rPr>
                    <w:t>通讯；</w:t>
                  </w:r>
                </w:p>
                <w:p>
                  <w:pPr>
                    <w:adjustRightInd w:val="0"/>
                    <w:snapToGrid w:val="0"/>
                    <w:rPr>
                      <w:rFonts w:ascii="仿宋" w:hAnsi="仿宋" w:eastAsia="仿宋"/>
                      <w:kern w:val="0"/>
                      <w:sz w:val="24"/>
                    </w:rPr>
                  </w:pPr>
                  <w:r>
                    <w:rPr>
                      <w:rFonts w:ascii="仿宋" w:hAnsi="仿宋" w:eastAsia="仿宋"/>
                      <w:kern w:val="0"/>
                      <w:sz w:val="24"/>
                    </w:rPr>
                    <w:t>3)</w:t>
                  </w:r>
                  <w:r>
                    <w:rPr>
                      <w:rFonts w:hint="eastAsia" w:ascii="仿宋" w:hAnsi="仿宋" w:eastAsia="仿宋"/>
                      <w:kern w:val="0"/>
                      <w:sz w:val="24"/>
                    </w:rPr>
                    <w:t>标签最多可存储</w:t>
                  </w:r>
                  <w:r>
                    <w:rPr>
                      <w:rFonts w:ascii="仿宋" w:hAnsi="仿宋" w:eastAsia="仿宋"/>
                      <w:kern w:val="0"/>
                      <w:sz w:val="24"/>
                    </w:rPr>
                    <w:t>112</w:t>
                  </w:r>
                  <w:r>
                    <w:rPr>
                      <w:rFonts w:hint="eastAsia" w:ascii="仿宋" w:hAnsi="仿宋" w:eastAsia="仿宋"/>
                      <w:kern w:val="0"/>
                      <w:sz w:val="24"/>
                    </w:rPr>
                    <w:t>字节数据；</w:t>
                  </w:r>
                </w:p>
                <w:p>
                  <w:pPr>
                    <w:adjustRightInd w:val="0"/>
                    <w:jc w:val="left"/>
                    <w:rPr>
                      <w:rFonts w:ascii="仿宋" w:hAnsi="仿宋" w:eastAsia="仿宋"/>
                      <w:kern w:val="0"/>
                      <w:sz w:val="24"/>
                    </w:rPr>
                  </w:pPr>
                  <w:r>
                    <w:rPr>
                      <w:rFonts w:ascii="仿宋" w:hAnsi="仿宋" w:eastAsia="仿宋"/>
                      <w:kern w:val="0"/>
                      <w:sz w:val="24"/>
                    </w:rPr>
                    <w:t>4)</w:t>
                  </w:r>
                  <w:r>
                    <w:rPr>
                      <w:rFonts w:hint="eastAsia" w:ascii="仿宋" w:hAnsi="仿宋" w:eastAsia="仿宋"/>
                      <w:kern w:val="0"/>
                      <w:sz w:val="24"/>
                    </w:rPr>
                    <w:t>感应头固定在可以调节位置的支架上。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snapToGrid w:val="0"/>
                    <w:rPr>
                      <w:rFonts w:ascii="仿宋" w:hAnsi="仿宋" w:eastAsia="仿宋"/>
                      <w:kern w:val="0"/>
                      <w:sz w:val="24"/>
                    </w:rPr>
                  </w:pPr>
                  <w:r>
                    <w:rPr>
                      <w:rFonts w:hint="eastAsia" w:ascii="仿宋" w:hAnsi="仿宋" w:eastAsia="仿宋"/>
                      <w:kern w:val="0"/>
                      <w:sz w:val="24"/>
                    </w:rPr>
                    <w:t>车标库×</w:t>
                  </w:r>
                  <w:r>
                    <w:rPr>
                      <w:rFonts w:ascii="仿宋" w:hAnsi="仿宋" w:eastAsia="仿宋"/>
                      <w:kern w:val="0"/>
                      <w:sz w:val="24"/>
                    </w:rPr>
                    <w:t>1</w:t>
                  </w:r>
                </w:p>
                <w:p>
                  <w:pPr>
                    <w:widowControl/>
                    <w:numPr>
                      <w:ilvl w:val="0"/>
                      <w:numId w:val="2"/>
                    </w:numPr>
                    <w:adjustRightInd w:val="0"/>
                    <w:snapToGrid w:val="0"/>
                    <w:rPr>
                      <w:rFonts w:ascii="仿宋" w:hAnsi="仿宋" w:eastAsia="仿宋"/>
                      <w:kern w:val="0"/>
                      <w:sz w:val="24"/>
                    </w:rPr>
                  </w:pPr>
                  <w:r>
                    <w:rPr>
                      <w:rFonts w:hint="eastAsia" w:ascii="仿宋" w:hAnsi="仿宋" w:eastAsia="仿宋"/>
                      <w:kern w:val="0"/>
                      <w:sz w:val="24"/>
                    </w:rPr>
                    <w:t>车标库支架材料为铝合金，具有</w:t>
                  </w:r>
                  <w:r>
                    <w:rPr>
                      <w:rFonts w:ascii="仿宋" w:hAnsi="仿宋" w:eastAsia="仿宋"/>
                      <w:kern w:val="0"/>
                      <w:sz w:val="24"/>
                    </w:rPr>
                    <w:t>6</w:t>
                  </w:r>
                  <w:r>
                    <w:rPr>
                      <w:rFonts w:hint="eastAsia" w:ascii="仿宋" w:hAnsi="仿宋" w:eastAsia="仿宋"/>
                      <w:kern w:val="0"/>
                      <w:sz w:val="24"/>
                    </w:rPr>
                    <w:t>个车标位置；</w:t>
                  </w:r>
                </w:p>
                <w:p>
                  <w:pPr>
                    <w:adjustRightInd w:val="0"/>
                    <w:jc w:val="left"/>
                    <w:rPr>
                      <w:rFonts w:ascii="仿宋" w:hAnsi="仿宋" w:eastAsia="仿宋"/>
                      <w:kern w:val="0"/>
                      <w:sz w:val="24"/>
                    </w:rPr>
                  </w:pPr>
                  <w:r>
                    <w:rPr>
                      <w:rFonts w:ascii="仿宋" w:hAnsi="仿宋" w:eastAsia="仿宋"/>
                      <w:kern w:val="0"/>
                      <w:sz w:val="24"/>
                    </w:rPr>
                    <w:t>2）配置12个车标。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工作台×</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铝合金型材结构，工作台式设计，台面可安装功能模块，底部柜体内可安装电气设备；</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台面长≥</w:t>
                  </w:r>
                  <w:r>
                    <w:rPr>
                      <w:rFonts w:ascii="仿宋" w:hAnsi="仿宋" w:eastAsia="仿宋"/>
                      <w:kern w:val="0"/>
                      <w:sz w:val="24"/>
                    </w:rPr>
                    <w:t>680mm，宽</w:t>
                  </w:r>
                  <w:r>
                    <w:rPr>
                      <w:rFonts w:hint="eastAsia" w:ascii="仿宋" w:hAnsi="仿宋" w:eastAsia="仿宋"/>
                      <w:kern w:val="0"/>
                      <w:sz w:val="24"/>
                    </w:rPr>
                    <w:t>≥</w:t>
                  </w:r>
                  <w:r>
                    <w:rPr>
                      <w:rFonts w:ascii="仿宋" w:hAnsi="仿宋" w:eastAsia="仿宋"/>
                      <w:kern w:val="0"/>
                      <w:sz w:val="24"/>
                    </w:rPr>
                    <w:t>680mm，厚</w:t>
                  </w:r>
                  <w:r>
                    <w:rPr>
                      <w:rFonts w:hint="eastAsia" w:ascii="仿宋" w:hAnsi="仿宋" w:eastAsia="仿宋"/>
                      <w:kern w:val="0"/>
                      <w:sz w:val="24"/>
                    </w:rPr>
                    <w:t>≥</w:t>
                  </w:r>
                  <w:r>
                    <w:rPr>
                      <w:rFonts w:ascii="仿宋" w:hAnsi="仿宋" w:eastAsia="仿宋"/>
                      <w:kern w:val="0"/>
                      <w:sz w:val="24"/>
                    </w:rPr>
                    <w:t>20mm；</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底部柜体长≥</w:t>
                  </w:r>
                  <w:r>
                    <w:rPr>
                      <w:rFonts w:ascii="仿宋" w:hAnsi="仿宋" w:eastAsia="仿宋"/>
                      <w:kern w:val="0"/>
                      <w:sz w:val="24"/>
                    </w:rPr>
                    <w:t>600mm，宽</w:t>
                  </w:r>
                  <w:r>
                    <w:rPr>
                      <w:rFonts w:hint="eastAsia" w:ascii="仿宋" w:hAnsi="仿宋" w:eastAsia="仿宋"/>
                      <w:kern w:val="0"/>
                      <w:sz w:val="24"/>
                    </w:rPr>
                    <w:t>≥</w:t>
                  </w:r>
                  <w:r>
                    <w:rPr>
                      <w:rFonts w:ascii="仿宋" w:hAnsi="仿宋" w:eastAsia="仿宋"/>
                      <w:kern w:val="0"/>
                      <w:sz w:val="24"/>
                    </w:rPr>
                    <w:t>600mm，高</w:t>
                  </w:r>
                  <w:r>
                    <w:rPr>
                      <w:rFonts w:hint="eastAsia" w:ascii="仿宋" w:hAnsi="仿宋" w:eastAsia="仿宋"/>
                      <w:kern w:val="0"/>
                      <w:sz w:val="24"/>
                    </w:rPr>
                    <w:t>≥</w:t>
                  </w:r>
                  <w:r>
                    <w:rPr>
                      <w:rFonts w:ascii="仿宋" w:hAnsi="仿宋" w:eastAsia="仿宋"/>
                      <w:kern w:val="0"/>
                      <w:sz w:val="24"/>
                    </w:rPr>
                    <w:t>700mm；</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底部柜体四角安装有脚轮，轮片直径≥</w:t>
                  </w:r>
                  <w:r>
                    <w:rPr>
                      <w:rFonts w:ascii="仿宋" w:hAnsi="仿宋" w:eastAsia="仿宋"/>
                      <w:kern w:val="0"/>
                      <w:sz w:val="24"/>
                    </w:rPr>
                    <w:t>50mm，轮片宽度</w:t>
                  </w:r>
                  <w:r>
                    <w:rPr>
                      <w:rFonts w:hint="eastAsia" w:ascii="仿宋" w:hAnsi="仿宋" w:eastAsia="仿宋"/>
                      <w:kern w:val="0"/>
                      <w:sz w:val="24"/>
                    </w:rPr>
                    <w:t>≥</w:t>
                  </w:r>
                  <w:r>
                    <w:rPr>
                      <w:rFonts w:ascii="仿宋" w:hAnsi="仿宋" w:eastAsia="仿宋"/>
                      <w:kern w:val="0"/>
                      <w:sz w:val="24"/>
                    </w:rPr>
                    <w:t>25mm，可调高度</w:t>
                  </w:r>
                  <w:r>
                    <w:rPr>
                      <w:rFonts w:hint="eastAsia" w:ascii="仿宋" w:hAnsi="仿宋" w:eastAsia="仿宋"/>
                      <w:kern w:val="0"/>
                      <w:sz w:val="24"/>
                    </w:rPr>
                    <w:t>≥</w:t>
                  </w:r>
                  <w:r>
                    <w:rPr>
                      <w:rFonts w:ascii="仿宋" w:hAnsi="仿宋" w:eastAsia="仿宋"/>
                      <w:kern w:val="0"/>
                      <w:sz w:val="24"/>
                    </w:rPr>
                    <w:t>10mm；</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工作台面合理布置有线槽，方便控制信号线和气路布线，且电、气分开；</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底部柜体上端和下端四周安装有线槽，可方便电源线、气管和通信线布线；</w:t>
                  </w:r>
                </w:p>
                <w:p>
                  <w:pPr>
                    <w:adjustRightInd w:val="0"/>
                    <w:jc w:val="left"/>
                    <w:rPr>
                      <w:rFonts w:ascii="仿宋" w:hAnsi="仿宋" w:eastAsia="仿宋"/>
                      <w:kern w:val="0"/>
                      <w:sz w:val="24"/>
                    </w:rPr>
                  </w:pPr>
                  <w:r>
                    <w:rPr>
                      <w:rFonts w:ascii="仿宋" w:hAnsi="仿宋" w:eastAsia="仿宋"/>
                      <w:kern w:val="0"/>
                      <w:sz w:val="24"/>
                    </w:rPr>
                    <w:t>7)</w:t>
                  </w:r>
                  <w:r>
                    <w:rPr>
                      <w:rFonts w:ascii="仿宋" w:hAnsi="仿宋" w:eastAsia="仿宋"/>
                      <w:kern w:val="0"/>
                      <w:sz w:val="24"/>
                    </w:rPr>
                    <w:tab/>
                  </w:r>
                  <w:r>
                    <w:rPr>
                      <w:rFonts w:hint="eastAsia" w:ascii="仿宋" w:hAnsi="仿宋" w:eastAsia="仿宋"/>
                      <w:kern w:val="0"/>
                      <w:sz w:val="24"/>
                    </w:rPr>
                    <w:t>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0" w:type="auto"/>
                  <w:vMerge w:val="restart"/>
                  <w:noWrap w:val="0"/>
                  <w:vAlign w:val="top"/>
                </w:tcPr>
                <w:p>
                  <w:pPr>
                    <w:adjustRightInd w:val="0"/>
                    <w:jc w:val="left"/>
                    <w:rPr>
                      <w:rFonts w:ascii="仿宋" w:hAnsi="仿宋" w:eastAsia="仿宋"/>
                      <w:kern w:val="0"/>
                      <w:sz w:val="24"/>
                    </w:rPr>
                  </w:pPr>
                  <w:r>
                    <w:rPr>
                      <w:rFonts w:hint="eastAsia" w:ascii="仿宋" w:hAnsi="仿宋" w:eastAsia="仿宋"/>
                      <w:kern w:val="0"/>
                      <w:sz w:val="24"/>
                    </w:rPr>
                    <w:t>分拣单元</w:t>
                  </w: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传送带×</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宽度≥</w:t>
                  </w:r>
                  <w:r>
                    <w:rPr>
                      <w:rFonts w:ascii="仿宋" w:hAnsi="仿宋" w:eastAsia="仿宋"/>
                      <w:kern w:val="0"/>
                      <w:sz w:val="24"/>
                    </w:rPr>
                    <w:t>125mm，有效长度</w:t>
                  </w:r>
                  <w:r>
                    <w:rPr>
                      <w:rFonts w:hint="eastAsia" w:ascii="仿宋" w:hAnsi="仿宋" w:eastAsia="仿宋"/>
                      <w:kern w:val="0"/>
                      <w:sz w:val="24"/>
                    </w:rPr>
                    <w:t>≥</w:t>
                  </w:r>
                  <w:r>
                    <w:rPr>
                      <w:rFonts w:ascii="仿宋" w:hAnsi="仿宋" w:eastAsia="仿宋"/>
                      <w:kern w:val="0"/>
                      <w:sz w:val="24"/>
                    </w:rPr>
                    <w:t>1250mm；</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调速电机驱动，功率≥</w:t>
                  </w:r>
                  <w:r>
                    <w:rPr>
                      <w:rFonts w:ascii="仿宋" w:hAnsi="仿宋" w:eastAsia="仿宋"/>
                      <w:kern w:val="0"/>
                      <w:sz w:val="24"/>
                    </w:rPr>
                    <w:t>120W，单相220V供电，配套1:18减速比减速器，采用变频器驱动，适用电机容量0.4kW，输出额定容量1.0kVA/额定电流2.5A，电源额定输入电压单相200V~240V/</w:t>
                  </w:r>
                  <w:r>
                    <w:rPr>
                      <w:rFonts w:hint="eastAsia" w:ascii="仿宋" w:hAnsi="仿宋" w:eastAsia="仿宋"/>
                      <w:kern w:val="0"/>
                      <w:sz w:val="24"/>
                    </w:rPr>
                    <w:t>额定容量</w:t>
                  </w:r>
                  <w:r>
                    <w:rPr>
                      <w:rFonts w:ascii="仿宋" w:hAnsi="仿宋" w:eastAsia="仿宋"/>
                      <w:kern w:val="0"/>
                      <w:sz w:val="24"/>
                    </w:rPr>
                    <w:t>1.5kVA；</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传送带起始端配有传感器，可检测当前位置是否有零件。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分拣机构×</w:t>
                  </w:r>
                  <w:r>
                    <w:rPr>
                      <w:rFonts w:ascii="仿宋" w:hAnsi="仿宋" w:eastAsia="仿宋"/>
                      <w:kern w:val="0"/>
                      <w:sz w:val="24"/>
                    </w:rPr>
                    <w:t>3</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分拣机构配有传感器，可检测当前分拣机构前是否有零件；</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利用垂直气缸可实现阻挡片升降，将零件拦截在指定分拣机构前；</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利用推动气缸可实现将零件推入指定分拣工位。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分拣工位×</w:t>
                  </w:r>
                  <w:r>
                    <w:rPr>
                      <w:rFonts w:ascii="仿宋" w:hAnsi="仿宋" w:eastAsia="仿宋"/>
                      <w:kern w:val="0"/>
                      <w:sz w:val="24"/>
                    </w:rPr>
                    <w:t>3</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分拣工位末端配有传感器，可检测当前分拣工位是否存有零件；</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分拣工位末端为</w:t>
                  </w:r>
                  <w:r>
                    <w:rPr>
                      <w:rFonts w:ascii="仿宋" w:hAnsi="仿宋" w:eastAsia="仿宋"/>
                      <w:kern w:val="0"/>
                      <w:sz w:val="24"/>
                    </w:rPr>
                    <w:t>V型顶块，可配合顶紧气缸对零件精确定位；</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每个分拣工位均有明确标号。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8"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远程</w:t>
                  </w:r>
                  <w:r>
                    <w:rPr>
                      <w:rFonts w:ascii="仿宋" w:hAnsi="仿宋" w:eastAsia="仿宋"/>
                      <w:kern w:val="0"/>
                      <w:sz w:val="24"/>
                    </w:rPr>
                    <w:t>IO模块×1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支持</w:t>
                  </w:r>
                  <w:r>
                    <w:rPr>
                      <w:rFonts w:ascii="仿宋" w:hAnsi="仿宋" w:eastAsia="仿宋"/>
                      <w:kern w:val="0"/>
                      <w:sz w:val="24"/>
                    </w:rPr>
                    <w:t>ProfiNet总线通讯；</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支持适配</w:t>
                  </w:r>
                  <w:r>
                    <w:rPr>
                      <w:rFonts w:ascii="仿宋" w:hAnsi="仿宋" w:eastAsia="仿宋"/>
                      <w:kern w:val="0"/>
                      <w:sz w:val="24"/>
                    </w:rPr>
                    <w:t>IO模块数量最多32个；</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传输距离最大</w:t>
                  </w:r>
                  <w:r>
                    <w:rPr>
                      <w:rFonts w:ascii="仿宋" w:hAnsi="仿宋" w:eastAsia="仿宋"/>
                      <w:kern w:val="0"/>
                      <w:sz w:val="24"/>
                    </w:rPr>
                    <w:t>100米（站站距离），总线速率最大100Mbps；</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附带数字量输入模块</w:t>
                  </w:r>
                  <w:r>
                    <w:rPr>
                      <w:rFonts w:ascii="仿宋" w:hAnsi="仿宋" w:eastAsia="仿宋"/>
                      <w:kern w:val="0"/>
                      <w:sz w:val="24"/>
                    </w:rPr>
                    <w:t>3个，单模块8通道，输入信号类型PNP，输入电流典型值3mA，隔离耐压500V，隔离方式光耦隔离；</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附带数字量输出模块</w:t>
                  </w:r>
                  <w:r>
                    <w:rPr>
                      <w:rFonts w:ascii="仿宋" w:hAnsi="仿宋" w:eastAsia="仿宋"/>
                      <w:kern w:val="0"/>
                      <w:sz w:val="24"/>
                    </w:rPr>
                    <w:t>2个，单模块8通道，输出信号类型源型，驱动能力500mA/</w:t>
                  </w:r>
                  <w:r>
                    <w:rPr>
                      <w:rFonts w:hint="eastAsia" w:ascii="仿宋" w:hAnsi="仿宋" w:eastAsia="仿宋"/>
                      <w:kern w:val="0"/>
                      <w:sz w:val="24"/>
                    </w:rPr>
                    <w:t>通道，隔离耐压</w:t>
                  </w:r>
                  <w:r>
                    <w:rPr>
                      <w:rFonts w:ascii="仿宋" w:hAnsi="仿宋" w:eastAsia="仿宋"/>
                      <w:kern w:val="0"/>
                      <w:sz w:val="24"/>
                    </w:rPr>
                    <w:t>500V，隔离方式光耦隔离；</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在工作台台面上布置有远程</w:t>
                  </w:r>
                  <w:r>
                    <w:rPr>
                      <w:rFonts w:ascii="仿宋" w:hAnsi="仿宋" w:eastAsia="仿宋"/>
                      <w:kern w:val="0"/>
                      <w:sz w:val="24"/>
                    </w:rPr>
                    <w:t>IO适配器的网络通信接口，方便接线。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9"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工作台×</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铝合金型材结构，工作台式设计，台面可安装功能模块，底部柜体内可安装电气设备；</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台面长≥</w:t>
                  </w:r>
                  <w:r>
                    <w:rPr>
                      <w:rFonts w:ascii="仿宋" w:hAnsi="仿宋" w:eastAsia="仿宋"/>
                      <w:kern w:val="0"/>
                      <w:sz w:val="24"/>
                    </w:rPr>
                    <w:t>1360mm，宽</w:t>
                  </w:r>
                  <w:r>
                    <w:rPr>
                      <w:rFonts w:hint="eastAsia" w:ascii="仿宋" w:hAnsi="仿宋" w:eastAsia="仿宋"/>
                      <w:kern w:val="0"/>
                      <w:sz w:val="24"/>
                    </w:rPr>
                    <w:t>≥</w:t>
                  </w:r>
                  <w:r>
                    <w:rPr>
                      <w:rFonts w:ascii="仿宋" w:hAnsi="仿宋" w:eastAsia="仿宋"/>
                      <w:kern w:val="0"/>
                      <w:sz w:val="24"/>
                    </w:rPr>
                    <w:t>680mm，厚</w:t>
                  </w:r>
                  <w:r>
                    <w:rPr>
                      <w:rFonts w:hint="eastAsia" w:ascii="仿宋" w:hAnsi="仿宋" w:eastAsia="仿宋"/>
                      <w:kern w:val="0"/>
                      <w:sz w:val="24"/>
                    </w:rPr>
                    <w:t>≥</w:t>
                  </w:r>
                  <w:r>
                    <w:rPr>
                      <w:rFonts w:ascii="仿宋" w:hAnsi="仿宋" w:eastAsia="仿宋"/>
                      <w:kern w:val="0"/>
                      <w:sz w:val="24"/>
                    </w:rPr>
                    <w:t>20mm；</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底部柜体长≥</w:t>
                  </w:r>
                  <w:r>
                    <w:rPr>
                      <w:rFonts w:ascii="仿宋" w:hAnsi="仿宋" w:eastAsia="仿宋"/>
                      <w:kern w:val="0"/>
                      <w:sz w:val="24"/>
                    </w:rPr>
                    <w:t>1280mm，宽</w:t>
                  </w:r>
                  <w:r>
                    <w:rPr>
                      <w:rFonts w:hint="eastAsia" w:ascii="仿宋" w:hAnsi="仿宋" w:eastAsia="仿宋"/>
                      <w:kern w:val="0"/>
                      <w:sz w:val="24"/>
                    </w:rPr>
                    <w:t>≥</w:t>
                  </w:r>
                  <w:r>
                    <w:rPr>
                      <w:rFonts w:ascii="仿宋" w:hAnsi="仿宋" w:eastAsia="仿宋"/>
                      <w:kern w:val="0"/>
                      <w:sz w:val="24"/>
                    </w:rPr>
                    <w:t>600mm，高</w:t>
                  </w:r>
                  <w:r>
                    <w:rPr>
                      <w:rFonts w:hint="eastAsia" w:ascii="仿宋" w:hAnsi="仿宋" w:eastAsia="仿宋"/>
                      <w:kern w:val="0"/>
                      <w:sz w:val="24"/>
                    </w:rPr>
                    <w:t>≥</w:t>
                  </w:r>
                  <w:r>
                    <w:rPr>
                      <w:rFonts w:ascii="仿宋" w:hAnsi="仿宋" w:eastAsia="仿宋"/>
                      <w:kern w:val="0"/>
                      <w:sz w:val="24"/>
                    </w:rPr>
                    <w:t>700mm；</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底部柜体四角安装有脚轮，轮片直径≥</w:t>
                  </w:r>
                  <w:r>
                    <w:rPr>
                      <w:rFonts w:ascii="仿宋" w:hAnsi="仿宋" w:eastAsia="仿宋"/>
                      <w:kern w:val="0"/>
                      <w:sz w:val="24"/>
                    </w:rPr>
                    <w:t>50mm，轮片宽度</w:t>
                  </w:r>
                  <w:r>
                    <w:rPr>
                      <w:rFonts w:hint="eastAsia" w:ascii="仿宋" w:hAnsi="仿宋" w:eastAsia="仿宋"/>
                      <w:kern w:val="0"/>
                      <w:sz w:val="24"/>
                    </w:rPr>
                    <w:t>≥</w:t>
                  </w:r>
                  <w:r>
                    <w:rPr>
                      <w:rFonts w:ascii="仿宋" w:hAnsi="仿宋" w:eastAsia="仿宋"/>
                      <w:kern w:val="0"/>
                      <w:sz w:val="24"/>
                    </w:rPr>
                    <w:t>25mm，可调高度</w:t>
                  </w:r>
                  <w:r>
                    <w:rPr>
                      <w:rFonts w:hint="eastAsia" w:ascii="仿宋" w:hAnsi="仿宋" w:eastAsia="仿宋"/>
                      <w:kern w:val="0"/>
                      <w:sz w:val="24"/>
                    </w:rPr>
                    <w:t>≥</w:t>
                  </w:r>
                  <w:r>
                    <w:rPr>
                      <w:rFonts w:ascii="仿宋" w:hAnsi="仿宋" w:eastAsia="仿宋"/>
                      <w:kern w:val="0"/>
                      <w:sz w:val="24"/>
                    </w:rPr>
                    <w:t>10mm；</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工作台面合理布置有线槽，方便控制信号线和气路布线，且电、气分开；</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底部柜体上端和下端四周安装有线槽，可方便电源线、气管和通信线布线；</w:t>
                  </w:r>
                </w:p>
                <w:p>
                  <w:pPr>
                    <w:adjustRightInd w:val="0"/>
                    <w:jc w:val="left"/>
                    <w:rPr>
                      <w:rFonts w:ascii="仿宋" w:hAnsi="仿宋" w:eastAsia="仿宋"/>
                      <w:kern w:val="0"/>
                      <w:sz w:val="24"/>
                    </w:rPr>
                  </w:pPr>
                  <w:r>
                    <w:rPr>
                      <w:rFonts w:ascii="仿宋" w:hAnsi="仿宋" w:eastAsia="仿宋"/>
                      <w:kern w:val="0"/>
                      <w:sz w:val="24"/>
                    </w:rPr>
                    <w:t>7)</w:t>
                  </w:r>
                  <w:r>
                    <w:rPr>
                      <w:rFonts w:ascii="仿宋" w:hAnsi="仿宋" w:eastAsia="仿宋"/>
                      <w:kern w:val="0"/>
                      <w:sz w:val="24"/>
                    </w:rPr>
                    <w:tab/>
                  </w:r>
                  <w:r>
                    <w:rPr>
                      <w:rFonts w:hint="eastAsia" w:ascii="仿宋" w:hAnsi="仿宋" w:eastAsia="仿宋"/>
                      <w:kern w:val="0"/>
                      <w:sz w:val="24"/>
                    </w:rPr>
                    <w:t>底部柜体门板为快捷可拆卸设计，每个门板完全相同可互换安装。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0" w:type="auto"/>
                  <w:vMerge w:val="restart"/>
                  <w:noWrap w:val="0"/>
                  <w:vAlign w:val="top"/>
                </w:tcPr>
                <w:p>
                  <w:pPr>
                    <w:adjustRightInd w:val="0"/>
                    <w:jc w:val="left"/>
                    <w:rPr>
                      <w:rFonts w:ascii="仿宋" w:hAnsi="仿宋" w:eastAsia="仿宋"/>
                      <w:kern w:val="0"/>
                      <w:sz w:val="24"/>
                    </w:rPr>
                  </w:pPr>
                  <w:r>
                    <w:rPr>
                      <w:rFonts w:hint="eastAsia" w:ascii="仿宋" w:hAnsi="仿宋" w:eastAsia="仿宋"/>
                      <w:kern w:val="0"/>
                      <w:sz w:val="24"/>
                    </w:rPr>
                    <w:t>总控单元</w:t>
                  </w:r>
                </w:p>
              </w:tc>
              <w:tc>
                <w:tcPr>
                  <w:tcW w:w="0" w:type="auto"/>
                  <w:noWrap w:val="0"/>
                  <w:vAlign w:val="top"/>
                </w:tcPr>
                <w:p>
                  <w:pPr>
                    <w:adjustRightInd w:val="0"/>
                    <w:jc w:val="left"/>
                    <w:rPr>
                      <w:rFonts w:ascii="仿宋" w:hAnsi="仿宋" w:eastAsia="仿宋"/>
                      <w:kern w:val="0"/>
                      <w:sz w:val="24"/>
                    </w:rPr>
                  </w:pPr>
                  <w:r>
                    <w:rPr>
                      <w:rFonts w:ascii="仿宋" w:hAnsi="仿宋" w:eastAsia="仿宋"/>
                      <w:kern w:val="0"/>
                      <w:sz w:val="24"/>
                    </w:rPr>
                    <w:t>PLC控制器×2</w:t>
                  </w:r>
                  <w:r>
                    <w:rPr>
                      <w:rFonts w:hint="eastAsia" w:ascii="仿宋" w:hAnsi="仿宋" w:eastAsia="仿宋"/>
                      <w:kern w:val="0"/>
                      <w:sz w:val="24"/>
                    </w:rPr>
                    <w:t>：</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工作存储器≥</w:t>
                  </w:r>
                  <w:r>
                    <w:rPr>
                      <w:rFonts w:ascii="仿宋" w:hAnsi="仿宋" w:eastAsia="仿宋"/>
                      <w:kern w:val="0"/>
                      <w:sz w:val="24"/>
                    </w:rPr>
                    <w:t>75KB，装载存储器</w:t>
                  </w:r>
                  <w:r>
                    <w:rPr>
                      <w:rFonts w:hint="eastAsia" w:ascii="仿宋" w:hAnsi="仿宋" w:eastAsia="仿宋"/>
                      <w:kern w:val="0"/>
                      <w:sz w:val="24"/>
                    </w:rPr>
                    <w:t>≥</w:t>
                  </w:r>
                  <w:r>
                    <w:rPr>
                      <w:rFonts w:ascii="仿宋" w:hAnsi="仿宋" w:eastAsia="仿宋"/>
                      <w:kern w:val="0"/>
                      <w:sz w:val="24"/>
                    </w:rPr>
                    <w:t>2MB，保持性存储器</w:t>
                  </w:r>
                  <w:r>
                    <w:rPr>
                      <w:rFonts w:hint="eastAsia" w:ascii="仿宋" w:hAnsi="仿宋" w:eastAsia="仿宋"/>
                      <w:kern w:val="0"/>
                      <w:sz w:val="24"/>
                    </w:rPr>
                    <w:t>≥</w:t>
                  </w:r>
                  <w:r>
                    <w:rPr>
                      <w:rFonts w:ascii="仿宋" w:hAnsi="仿宋" w:eastAsia="仿宋"/>
                      <w:kern w:val="0"/>
                      <w:sz w:val="24"/>
                    </w:rPr>
                    <w:t>10KB；</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本体集成</w:t>
                  </w:r>
                  <w:r>
                    <w:rPr>
                      <w:rFonts w:ascii="仿宋" w:hAnsi="仿宋" w:eastAsia="仿宋"/>
                      <w:kern w:val="0"/>
                      <w:sz w:val="24"/>
                    </w:rPr>
                    <w:t>I/O，数字量8点输入/6点输出，模拟量2路输入；</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过程映像大小为</w:t>
                  </w:r>
                  <w:r>
                    <w:rPr>
                      <w:rFonts w:ascii="仿宋" w:hAnsi="仿宋" w:eastAsia="仿宋"/>
                      <w:kern w:val="0"/>
                      <w:sz w:val="24"/>
                    </w:rPr>
                    <w:t>1024字节输入（I）和1024字节输出（Q）；</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位存储器为</w:t>
                  </w:r>
                  <w:r>
                    <w:rPr>
                      <w:rFonts w:ascii="仿宋" w:hAnsi="仿宋" w:eastAsia="仿宋"/>
                      <w:kern w:val="0"/>
                      <w:sz w:val="24"/>
                    </w:rPr>
                    <w:t>4096字节（M）；</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具备</w:t>
                  </w:r>
                  <w:r>
                    <w:rPr>
                      <w:rFonts w:ascii="仿宋" w:hAnsi="仿宋" w:eastAsia="仿宋"/>
                      <w:kern w:val="0"/>
                      <w:sz w:val="24"/>
                    </w:rPr>
                    <w:t>1个以太网通信端口，支持PROFINET通信；</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实数数学运算执行速度≥</w:t>
                  </w:r>
                  <w:r>
                    <w:rPr>
                      <w:rFonts w:ascii="仿宋" w:hAnsi="仿宋" w:eastAsia="仿宋"/>
                      <w:kern w:val="0"/>
                      <w:sz w:val="24"/>
                    </w:rPr>
                    <w:t>2.3μs/</w:t>
                  </w:r>
                  <w:r>
                    <w:rPr>
                      <w:rFonts w:hint="eastAsia" w:ascii="仿宋" w:hAnsi="仿宋" w:eastAsia="仿宋"/>
                      <w:kern w:val="0"/>
                      <w:sz w:val="24"/>
                    </w:rPr>
                    <w:t>指令，布尔运算执行速度</w:t>
                  </w:r>
                  <w:r>
                    <w:rPr>
                      <w:rFonts w:ascii="仿宋" w:hAnsi="仿宋" w:eastAsia="仿宋"/>
                      <w:kern w:val="0"/>
                      <w:sz w:val="24"/>
                    </w:rPr>
                    <w:t>0.08μs/</w:t>
                  </w:r>
                  <w:r>
                    <w:rPr>
                      <w:rFonts w:hint="eastAsia" w:ascii="仿宋" w:hAnsi="仿宋" w:eastAsia="仿宋"/>
                      <w:kern w:val="0"/>
                      <w:sz w:val="24"/>
                    </w:rPr>
                    <w:t>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交换机×</w:t>
                  </w:r>
                  <w:r>
                    <w:rPr>
                      <w:rFonts w:ascii="仿宋" w:hAnsi="仿宋" w:eastAsia="仿宋"/>
                      <w:kern w:val="0"/>
                      <w:sz w:val="24"/>
                    </w:rPr>
                    <w:t>1</w:t>
                  </w:r>
                  <w:r>
                    <w:rPr>
                      <w:rFonts w:hint="eastAsia" w:ascii="仿宋" w:hAnsi="仿宋" w:eastAsia="仿宋"/>
                      <w:kern w:val="0"/>
                      <w:sz w:val="24"/>
                    </w:rPr>
                    <w:t>：</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ascii="仿宋" w:hAnsi="仿宋" w:eastAsia="仿宋"/>
                      <w:kern w:val="0"/>
                      <w:sz w:val="24"/>
                    </w:rPr>
                    <w:t>IEC/NE 61000-4工业级保护；</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ascii="仿宋" w:hAnsi="仿宋" w:eastAsia="仿宋"/>
                      <w:kern w:val="0"/>
                      <w:sz w:val="24"/>
                    </w:rPr>
                    <w:t>5</w:t>
                  </w:r>
                  <w:r>
                    <w:rPr>
                      <w:rFonts w:hint="eastAsia" w:ascii="仿宋" w:hAnsi="仿宋" w:eastAsia="仿宋"/>
                      <w:kern w:val="0"/>
                      <w:sz w:val="24"/>
                    </w:rPr>
                    <w:t>个百兆</w:t>
                  </w:r>
                  <w:r>
                    <w:rPr>
                      <w:rFonts w:ascii="仿宋" w:hAnsi="仿宋" w:eastAsia="仿宋"/>
                      <w:kern w:val="0"/>
                      <w:sz w:val="24"/>
                    </w:rPr>
                    <w:t>RJ45</w:t>
                  </w:r>
                  <w:r>
                    <w:rPr>
                      <w:rFonts w:hint="eastAsia" w:ascii="仿宋" w:hAnsi="仿宋" w:eastAsia="仿宋"/>
                      <w:kern w:val="0"/>
                      <w:sz w:val="24"/>
                    </w:rPr>
                    <w:t>端口；</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铝金属外壳，坚固耐用；</w:t>
                  </w:r>
                </w:p>
                <w:p>
                  <w:pPr>
                    <w:adjustRightInd w:val="0"/>
                    <w:jc w:val="left"/>
                    <w:rPr>
                      <w:rFonts w:ascii="仿宋" w:hAnsi="仿宋" w:eastAsia="仿宋"/>
                      <w:kern w:val="0"/>
                      <w:sz w:val="24"/>
                    </w:rPr>
                  </w:pPr>
                  <w:r>
                    <w:rPr>
                      <w:rFonts w:ascii="仿宋" w:hAnsi="仿宋" w:eastAsia="仿宋"/>
                      <w:kern w:val="0"/>
                      <w:sz w:val="24"/>
                    </w:rPr>
                    <w:t>4）</w:t>
                  </w:r>
                  <w:r>
                    <w:rPr>
                      <w:rFonts w:hint="eastAsia" w:ascii="仿宋" w:hAnsi="仿宋" w:eastAsia="仿宋"/>
                      <w:kern w:val="0"/>
                      <w:sz w:val="24"/>
                    </w:rPr>
                    <w:t xml:space="preserve"> </w:t>
                  </w:r>
                  <w:r>
                    <w:rPr>
                      <w:rFonts w:ascii="仿宋" w:hAnsi="仿宋" w:eastAsia="仿宋"/>
                      <w:kern w:val="0"/>
                      <w:sz w:val="24"/>
                    </w:rPr>
                    <w:t>标准DIN导轨安装。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3"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cs="Arial"/>
                      <w:b/>
                      <w:bCs/>
                      <w:kern w:val="0"/>
                      <w:sz w:val="24"/>
                      <w:shd w:val="clear" w:color="auto" w:fill="FFFFFF"/>
                    </w:rPr>
                    <w:t>无线路由器</w:t>
                  </w:r>
                  <w:r>
                    <w:rPr>
                      <w:rFonts w:hint="eastAsia" w:ascii="仿宋" w:hAnsi="仿宋" w:eastAsia="仿宋"/>
                      <w:kern w:val="0"/>
                      <w:sz w:val="24"/>
                    </w:rPr>
                    <w:t>×</w:t>
                  </w:r>
                  <w:r>
                    <w:rPr>
                      <w:rFonts w:ascii="仿宋" w:hAnsi="仿宋" w:eastAsia="仿宋"/>
                      <w:kern w:val="0"/>
                      <w:sz w:val="24"/>
                    </w:rPr>
                    <w:t>1</w:t>
                  </w:r>
                  <w:r>
                    <w:rPr>
                      <w:rFonts w:hint="eastAsia" w:ascii="仿宋" w:hAnsi="仿宋" w:eastAsia="仿宋"/>
                      <w:kern w:val="0"/>
                      <w:sz w:val="24"/>
                    </w:rPr>
                    <w:t>：</w:t>
                  </w:r>
                </w:p>
                <w:p>
                  <w:pPr>
                    <w:numPr>
                      <w:ilvl w:val="0"/>
                      <w:numId w:val="3"/>
                    </w:numPr>
                    <w:adjustRightInd w:val="0"/>
                    <w:jc w:val="left"/>
                    <w:rPr>
                      <w:rFonts w:ascii="仿宋" w:hAnsi="仿宋" w:eastAsia="仿宋"/>
                      <w:kern w:val="0"/>
                      <w:sz w:val="24"/>
                    </w:rPr>
                  </w:pPr>
                  <w:r>
                    <w:rPr>
                      <w:rFonts w:ascii="仿宋" w:hAnsi="仿宋" w:eastAsia="仿宋"/>
                      <w:kern w:val="0"/>
                      <w:sz w:val="24"/>
                    </w:rPr>
                    <w:t>300Mbps 11NS无线，信号强；</w:t>
                  </w:r>
                </w:p>
                <w:p>
                  <w:pPr>
                    <w:numPr>
                      <w:ilvl w:val="0"/>
                      <w:numId w:val="3"/>
                    </w:numPr>
                    <w:adjustRightInd w:val="0"/>
                    <w:jc w:val="left"/>
                    <w:rPr>
                      <w:rFonts w:ascii="仿宋" w:hAnsi="仿宋" w:eastAsia="仿宋"/>
                      <w:kern w:val="0"/>
                      <w:sz w:val="24"/>
                    </w:rPr>
                  </w:pPr>
                  <w:r>
                    <w:rPr>
                      <w:rFonts w:hint="eastAsia" w:ascii="仿宋" w:hAnsi="仿宋" w:eastAsia="仿宋"/>
                      <w:kern w:val="0"/>
                      <w:sz w:val="24"/>
                    </w:rPr>
                    <w:t>支持多个</w:t>
                  </w:r>
                  <w:r>
                    <w:rPr>
                      <w:rFonts w:ascii="仿宋" w:hAnsi="仿宋" w:eastAsia="仿宋"/>
                      <w:kern w:val="0"/>
                      <w:sz w:val="24"/>
                    </w:rPr>
                    <w:t>SSID；</w:t>
                  </w:r>
                </w:p>
                <w:p>
                  <w:pPr>
                    <w:numPr>
                      <w:ilvl w:val="0"/>
                      <w:numId w:val="3"/>
                    </w:numPr>
                    <w:adjustRightInd w:val="0"/>
                    <w:jc w:val="left"/>
                    <w:rPr>
                      <w:rFonts w:ascii="仿宋" w:hAnsi="仿宋" w:eastAsia="仿宋"/>
                      <w:kern w:val="0"/>
                      <w:sz w:val="24"/>
                    </w:rPr>
                  </w:pPr>
                  <w:r>
                    <w:rPr>
                      <w:rFonts w:hint="eastAsia" w:ascii="仿宋" w:hAnsi="仿宋" w:eastAsia="仿宋"/>
                      <w:kern w:val="0"/>
                      <w:sz w:val="24"/>
                    </w:rPr>
                    <w:t>配置一个固定</w:t>
                  </w:r>
                  <w:r>
                    <w:rPr>
                      <w:rFonts w:ascii="仿宋" w:hAnsi="仿宋" w:eastAsia="仿宋"/>
                      <w:kern w:val="0"/>
                      <w:sz w:val="24"/>
                    </w:rPr>
                    <w:t>WAN口，7个固定LAN口和1个WAN/LAN可变口；</w:t>
                  </w:r>
                </w:p>
                <w:p>
                  <w:pPr>
                    <w:numPr>
                      <w:ilvl w:val="0"/>
                      <w:numId w:val="3"/>
                    </w:numPr>
                    <w:adjustRightInd w:val="0"/>
                    <w:jc w:val="left"/>
                    <w:rPr>
                      <w:rFonts w:ascii="仿宋" w:hAnsi="仿宋" w:eastAsia="仿宋"/>
                      <w:kern w:val="0"/>
                      <w:sz w:val="24"/>
                    </w:rPr>
                  </w:pPr>
                  <w:r>
                    <w:rPr>
                      <w:rFonts w:hint="eastAsia" w:ascii="仿宋" w:hAnsi="仿宋" w:eastAsia="仿宋"/>
                      <w:kern w:val="0"/>
                      <w:sz w:val="24"/>
                    </w:rPr>
                    <w:t>支持防火墙。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监控×</w:t>
                  </w:r>
                  <w:r>
                    <w:rPr>
                      <w:rFonts w:ascii="仿宋" w:hAnsi="仿宋" w:eastAsia="仿宋"/>
                      <w:kern w:val="0"/>
                      <w:sz w:val="24"/>
                    </w:rPr>
                    <w:t>1</w:t>
                  </w:r>
                </w:p>
                <w:p>
                  <w:pPr>
                    <w:numPr>
                      <w:ilvl w:val="0"/>
                      <w:numId w:val="4"/>
                    </w:numPr>
                    <w:adjustRightInd w:val="0"/>
                    <w:jc w:val="left"/>
                    <w:rPr>
                      <w:rFonts w:ascii="仿宋" w:hAnsi="仿宋" w:eastAsia="仿宋"/>
                      <w:kern w:val="0"/>
                      <w:sz w:val="24"/>
                    </w:rPr>
                  </w:pPr>
                  <w:r>
                    <w:rPr>
                      <w:rFonts w:hint="eastAsia" w:ascii="仿宋" w:hAnsi="仿宋" w:eastAsia="仿宋"/>
                      <w:kern w:val="0"/>
                      <w:sz w:val="24"/>
                    </w:rPr>
                    <w:t>摄像头像素：不低于</w:t>
                  </w:r>
                  <w:r>
                    <w:rPr>
                      <w:rFonts w:ascii="仿宋" w:hAnsi="仿宋" w:eastAsia="仿宋"/>
                      <w:kern w:val="0"/>
                      <w:sz w:val="24"/>
                    </w:rPr>
                    <w:t>200万。</w:t>
                  </w:r>
                </w:p>
                <w:p>
                  <w:pPr>
                    <w:numPr>
                      <w:ilvl w:val="0"/>
                      <w:numId w:val="4"/>
                    </w:numPr>
                    <w:adjustRightInd w:val="0"/>
                    <w:jc w:val="left"/>
                    <w:rPr>
                      <w:rFonts w:ascii="仿宋" w:hAnsi="仿宋" w:eastAsia="仿宋"/>
                      <w:kern w:val="0"/>
                      <w:sz w:val="24"/>
                    </w:rPr>
                  </w:pPr>
                  <w:r>
                    <w:rPr>
                      <w:rFonts w:hint="eastAsia" w:ascii="仿宋" w:hAnsi="仿宋" w:eastAsia="仿宋"/>
                      <w:kern w:val="0"/>
                      <w:sz w:val="24"/>
                    </w:rPr>
                    <w:t>监控支架可伸缩。</w:t>
                  </w:r>
                </w:p>
                <w:p>
                  <w:pPr>
                    <w:numPr>
                      <w:ilvl w:val="0"/>
                      <w:numId w:val="4"/>
                    </w:numPr>
                    <w:adjustRightInd w:val="0"/>
                    <w:jc w:val="left"/>
                    <w:rPr>
                      <w:rFonts w:ascii="仿宋" w:hAnsi="仿宋" w:eastAsia="仿宋"/>
                      <w:kern w:val="0"/>
                      <w:sz w:val="24"/>
                    </w:rPr>
                  </w:pPr>
                  <w:r>
                    <w:rPr>
                      <w:rFonts w:ascii="仿宋" w:hAnsi="仿宋" w:eastAsia="仿宋"/>
                      <w:kern w:val="0"/>
                      <w:sz w:val="24"/>
                    </w:rPr>
                    <w:t>360度全景。</w:t>
                  </w:r>
                </w:p>
                <w:p>
                  <w:pPr>
                    <w:numPr>
                      <w:ilvl w:val="0"/>
                      <w:numId w:val="4"/>
                    </w:numPr>
                    <w:adjustRightInd w:val="0"/>
                    <w:jc w:val="left"/>
                    <w:rPr>
                      <w:rFonts w:ascii="仿宋" w:hAnsi="仿宋" w:eastAsia="仿宋"/>
                      <w:kern w:val="0"/>
                      <w:sz w:val="24"/>
                    </w:rPr>
                  </w:pPr>
                  <w:r>
                    <w:rPr>
                      <w:rFonts w:hint="eastAsia" w:ascii="仿宋" w:hAnsi="仿宋" w:eastAsia="仿宋"/>
                      <w:kern w:val="0"/>
                      <w:sz w:val="24"/>
                    </w:rPr>
                    <w:t>焦距</w:t>
                  </w:r>
                  <w:r>
                    <w:rPr>
                      <w:rFonts w:ascii="仿宋" w:hAnsi="仿宋" w:eastAsia="仿宋"/>
                      <w:kern w:val="0"/>
                      <w:sz w:val="24"/>
                    </w:rPr>
                    <w:t>4mm。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操作面板×</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提供</w:t>
                  </w:r>
                  <w:r>
                    <w:rPr>
                      <w:rFonts w:ascii="仿宋" w:hAnsi="仿宋" w:eastAsia="仿宋"/>
                      <w:kern w:val="0"/>
                      <w:sz w:val="24"/>
                    </w:rPr>
                    <w:t>1个总电源输入开关，可控制输入电源的开启关闭；</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提供</w:t>
                  </w:r>
                  <w:r>
                    <w:rPr>
                      <w:rFonts w:ascii="仿宋" w:hAnsi="仿宋" w:eastAsia="仿宋"/>
                      <w:kern w:val="0"/>
                      <w:sz w:val="24"/>
                    </w:rPr>
                    <w:t>1个电源模块急停按钮，可切断总控单元电源模块向其他单元模块的供电；</w:t>
                  </w:r>
                </w:p>
                <w:p>
                  <w:pPr>
                    <w:adjustRightInd w:val="0"/>
                    <w:jc w:val="left"/>
                    <w:rPr>
                      <w:rFonts w:hint="eastAsia"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提供</w:t>
                  </w:r>
                  <w:r>
                    <w:rPr>
                      <w:rFonts w:ascii="仿宋" w:hAnsi="仿宋" w:eastAsia="仿宋"/>
                      <w:kern w:val="0"/>
                      <w:sz w:val="24"/>
                    </w:rPr>
                    <w:t>4个自定义功能按钮，1个自复位绿色灯按钮，1个自复位红色灯按钮，1个自保持绿色灯按钮，1个自保持红色灯按钮</w:t>
                  </w:r>
                  <w:r>
                    <w:rPr>
                      <w:rFonts w:hint="eastAsia" w:ascii="仿宋" w:hAnsi="仿宋" w:eastAsia="仿宋"/>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4"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电源模块×</w:t>
                  </w:r>
                  <w:r>
                    <w:rPr>
                      <w:rFonts w:ascii="仿宋" w:hAnsi="仿宋" w:eastAsia="仿宋"/>
                      <w:kern w:val="0"/>
                      <w:sz w:val="24"/>
                    </w:rPr>
                    <w:t>1</w:t>
                  </w:r>
                  <w:r>
                    <w:rPr>
                      <w:rFonts w:hint="eastAsia" w:ascii="仿宋" w:hAnsi="仿宋" w:eastAsia="仿宋"/>
                      <w:kern w:val="0"/>
                      <w:sz w:val="24"/>
                    </w:rPr>
                    <w:t>：</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输入电源为三相五线制，</w:t>
                  </w:r>
                  <w:r>
                    <w:rPr>
                      <w:rFonts w:ascii="仿宋" w:hAnsi="仿宋" w:eastAsia="仿宋"/>
                      <w:kern w:val="0"/>
                      <w:sz w:val="24"/>
                    </w:rPr>
                    <w:t>AC 380V，50Hz，15kW，重载连接器插头，接线安全防触电；</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执行单元输出电源为单相三线制，</w:t>
                  </w:r>
                  <w:r>
                    <w:rPr>
                      <w:rFonts w:ascii="仿宋" w:hAnsi="仿宋" w:eastAsia="仿宋"/>
                      <w:kern w:val="0"/>
                      <w:sz w:val="24"/>
                    </w:rPr>
                    <w:t>AC 220V，50Hz，7kW，重载连接器插头，接线安全防触电，配空气开关和指示灯；</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仓储单元输出电源为单相三线制，</w:t>
                  </w:r>
                  <w:r>
                    <w:rPr>
                      <w:rFonts w:ascii="仿宋" w:hAnsi="仿宋" w:eastAsia="仿宋"/>
                      <w:kern w:val="0"/>
                      <w:sz w:val="24"/>
                    </w:rPr>
                    <w:t>AC 220V，50Hz，2kW，重载连接器插头，接线安全防触电，配空气开关和指示灯；</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加工单元输出电源为三相五线制，</w:t>
                  </w:r>
                  <w:r>
                    <w:rPr>
                      <w:rFonts w:ascii="仿宋" w:hAnsi="仿宋" w:eastAsia="仿宋"/>
                      <w:kern w:val="0"/>
                      <w:sz w:val="24"/>
                    </w:rPr>
                    <w:t>AC 380V，50Hz，12kW，重载连接器插头，接线安全防触电，配空气开关和指示灯；</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打磨单元输出电源为单相三线制，</w:t>
                  </w:r>
                  <w:r>
                    <w:rPr>
                      <w:rFonts w:ascii="仿宋" w:hAnsi="仿宋" w:eastAsia="仿宋"/>
                      <w:kern w:val="0"/>
                      <w:sz w:val="24"/>
                    </w:rPr>
                    <w:t>AC 220V，50Hz，2kW，重载连接器插头，接线安全防触电，配空气开关和指示灯；</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检测单元输出电源为单相三线制，</w:t>
                  </w:r>
                  <w:r>
                    <w:rPr>
                      <w:rFonts w:ascii="仿宋" w:hAnsi="仿宋" w:eastAsia="仿宋"/>
                      <w:kern w:val="0"/>
                      <w:sz w:val="24"/>
                    </w:rPr>
                    <w:t>AC 220V，50Hz，2kW，重载连接器插头，接线安全防触电，配空气开关和指示灯；</w:t>
                  </w:r>
                </w:p>
                <w:p>
                  <w:pPr>
                    <w:adjustRightInd w:val="0"/>
                    <w:jc w:val="left"/>
                    <w:rPr>
                      <w:rFonts w:ascii="仿宋" w:hAnsi="仿宋" w:eastAsia="仿宋"/>
                      <w:kern w:val="0"/>
                      <w:sz w:val="24"/>
                    </w:rPr>
                  </w:pPr>
                  <w:r>
                    <w:rPr>
                      <w:rFonts w:ascii="仿宋" w:hAnsi="仿宋" w:eastAsia="仿宋"/>
                      <w:kern w:val="0"/>
                      <w:sz w:val="24"/>
                    </w:rPr>
                    <w:t>7)</w:t>
                  </w:r>
                  <w:r>
                    <w:rPr>
                      <w:rFonts w:ascii="仿宋" w:hAnsi="仿宋" w:eastAsia="仿宋"/>
                      <w:kern w:val="0"/>
                      <w:sz w:val="24"/>
                    </w:rPr>
                    <w:tab/>
                  </w:r>
                  <w:r>
                    <w:rPr>
                      <w:rFonts w:hint="eastAsia" w:ascii="仿宋" w:hAnsi="仿宋" w:eastAsia="仿宋"/>
                      <w:kern w:val="0"/>
                      <w:sz w:val="24"/>
                    </w:rPr>
                    <w:t>分拣单元输出电源为单相三线制，</w:t>
                  </w:r>
                  <w:r>
                    <w:rPr>
                      <w:rFonts w:ascii="仿宋" w:hAnsi="仿宋" w:eastAsia="仿宋"/>
                      <w:kern w:val="0"/>
                      <w:sz w:val="24"/>
                    </w:rPr>
                    <w:t>AC 220V，50Hz，2kW，重载连接器插头，接线安全防触电，配空气开关和指示灯。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气源模块×</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气泵功率≥</w:t>
                  </w:r>
                  <w:r>
                    <w:rPr>
                      <w:rFonts w:ascii="仿宋" w:hAnsi="仿宋" w:eastAsia="仿宋"/>
                      <w:kern w:val="0"/>
                      <w:sz w:val="24"/>
                    </w:rPr>
                    <w:t>600W，排气量</w:t>
                  </w:r>
                  <w:r>
                    <w:rPr>
                      <w:rFonts w:hint="eastAsia" w:ascii="仿宋" w:hAnsi="仿宋" w:eastAsia="仿宋"/>
                      <w:kern w:val="0"/>
                      <w:sz w:val="24"/>
                    </w:rPr>
                    <w:t>≥</w:t>
                  </w:r>
                  <w:r>
                    <w:rPr>
                      <w:rFonts w:ascii="仿宋" w:hAnsi="仿宋" w:eastAsia="仿宋"/>
                      <w:kern w:val="0"/>
                      <w:sz w:val="24"/>
                    </w:rPr>
                    <w:t>118L/min，最大压力8bar，储气罐</w:t>
                  </w:r>
                  <w:r>
                    <w:rPr>
                      <w:rFonts w:hint="eastAsia" w:ascii="仿宋" w:hAnsi="仿宋" w:eastAsia="仿宋"/>
                      <w:kern w:val="0"/>
                      <w:sz w:val="24"/>
                    </w:rPr>
                    <w:t>≥</w:t>
                  </w:r>
                  <w:r>
                    <w:rPr>
                      <w:rFonts w:ascii="仿宋" w:hAnsi="仿宋" w:eastAsia="仿宋"/>
                      <w:kern w:val="0"/>
                      <w:sz w:val="24"/>
                    </w:rPr>
                    <w:t>24L；</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提供</w:t>
                  </w:r>
                  <w:r>
                    <w:rPr>
                      <w:rFonts w:ascii="仿宋" w:hAnsi="仿宋" w:eastAsia="仿宋"/>
                      <w:kern w:val="0"/>
                      <w:sz w:val="24"/>
                    </w:rPr>
                    <w:t>8路气路供气接口，可用于其他单元独立提供压缩空气，每路空气接口可单独开启关闭。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1"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工业网关×</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hint="eastAsia" w:ascii="仿宋" w:hAnsi="仿宋" w:eastAsia="仿宋"/>
                      <w:kern w:val="0"/>
                      <w:sz w:val="24"/>
                    </w:rPr>
                    <w:t>）系统应支持设备驱动安装，能快速新建设备、支持设备的导入和导出，支持设备的分组管理功能。</w:t>
                  </w:r>
                </w:p>
                <w:p>
                  <w:pPr>
                    <w:adjustRightInd w:val="0"/>
                    <w:jc w:val="left"/>
                    <w:rPr>
                      <w:rFonts w:ascii="仿宋" w:hAnsi="仿宋" w:eastAsia="仿宋"/>
                      <w:kern w:val="0"/>
                      <w:sz w:val="24"/>
                    </w:rPr>
                  </w:pPr>
                  <w:r>
                    <w:rPr>
                      <w:rFonts w:ascii="仿宋" w:hAnsi="仿宋" w:eastAsia="仿宋"/>
                      <w:kern w:val="0"/>
                      <w:sz w:val="24"/>
                    </w:rPr>
                    <w:t>2</w:t>
                  </w:r>
                  <w:r>
                    <w:rPr>
                      <w:rFonts w:hint="eastAsia" w:ascii="仿宋" w:hAnsi="仿宋" w:eastAsia="仿宋"/>
                      <w:kern w:val="0"/>
                      <w:sz w:val="24"/>
                    </w:rPr>
                    <w:t>）系统应支持对PLC、DCS、智能模块、智能仪表等设备的数据采集，支持COM、TCP等多种链路，支持多路并发采集及转发，支持OPC、Modbus等标准协议。</w:t>
                  </w:r>
                </w:p>
                <w:p>
                  <w:pPr>
                    <w:adjustRightInd w:val="0"/>
                    <w:jc w:val="left"/>
                    <w:rPr>
                      <w:rFonts w:ascii="仿宋" w:hAnsi="仿宋" w:eastAsia="仿宋"/>
                      <w:kern w:val="0"/>
                      <w:sz w:val="24"/>
                    </w:rPr>
                  </w:pPr>
                  <w:r>
                    <w:rPr>
                      <w:rFonts w:ascii="仿宋" w:hAnsi="仿宋" w:eastAsia="仿宋"/>
                      <w:kern w:val="0"/>
                      <w:sz w:val="24"/>
                    </w:rPr>
                    <w:t>3</w:t>
                  </w:r>
                  <w:r>
                    <w:rPr>
                      <w:rFonts w:hint="eastAsia" w:ascii="仿宋" w:hAnsi="仿宋" w:eastAsia="仿宋"/>
                      <w:kern w:val="0"/>
                      <w:sz w:val="24"/>
                    </w:rPr>
                    <w:t>）系统应支持与主流数据库数据存储功能，支持断线缓存和续传能力，确保数据完整。设备须内置表贴的断缓专用电子盘，容量不小于4GB,可以扩展到8</w:t>
                  </w:r>
                  <w:r>
                    <w:rPr>
                      <w:rFonts w:ascii="仿宋" w:hAnsi="仿宋" w:eastAsia="仿宋"/>
                      <w:kern w:val="0"/>
                      <w:sz w:val="24"/>
                    </w:rPr>
                    <w:t>G</w:t>
                  </w:r>
                  <w:r>
                    <w:rPr>
                      <w:rFonts w:hint="eastAsia" w:ascii="仿宋" w:hAnsi="仿宋" w:eastAsia="仿宋"/>
                      <w:kern w:val="0"/>
                      <w:sz w:val="24"/>
                    </w:rPr>
                    <w:t>，支持当地数据存储一年。当设备与平台的网络连接断开时，将采集到的数据缓存在电子盘，网络连接恢复后，将断线期间的数据补录到平台数据库。</w:t>
                  </w:r>
                </w:p>
                <w:p>
                  <w:pPr>
                    <w:adjustRightInd w:val="0"/>
                    <w:jc w:val="left"/>
                    <w:rPr>
                      <w:rFonts w:ascii="仿宋" w:hAnsi="仿宋" w:eastAsia="仿宋"/>
                      <w:kern w:val="0"/>
                      <w:sz w:val="24"/>
                    </w:rPr>
                  </w:pPr>
                  <w:r>
                    <w:rPr>
                      <w:rFonts w:ascii="仿宋" w:hAnsi="仿宋" w:eastAsia="仿宋"/>
                      <w:kern w:val="0"/>
                      <w:sz w:val="24"/>
                    </w:rPr>
                    <w:t xml:space="preserve">4) </w:t>
                  </w:r>
                  <w:r>
                    <w:rPr>
                      <w:rFonts w:hint="eastAsia" w:ascii="仿宋" w:hAnsi="仿宋" w:eastAsia="仿宋"/>
                      <w:kern w:val="0"/>
                      <w:sz w:val="24"/>
                    </w:rPr>
                    <w:t>支持IEC60870、IEC61850、DNP3、BACnet、Modbus、SNMP、CDT、DLT645、CJ-T188、OPC、M</w:t>
                  </w:r>
                  <w:r>
                    <w:rPr>
                      <w:rFonts w:ascii="仿宋" w:hAnsi="仿宋" w:eastAsia="仿宋"/>
                      <w:kern w:val="0"/>
                      <w:sz w:val="24"/>
                    </w:rPr>
                    <w:t>QTT</w:t>
                  </w:r>
                  <w:r>
                    <w:rPr>
                      <w:rFonts w:hint="eastAsia" w:ascii="仿宋" w:hAnsi="仿宋" w:eastAsia="仿宋"/>
                      <w:kern w:val="0"/>
                      <w:sz w:val="24"/>
                    </w:rPr>
                    <w:t>主流关系数据库等标准接口协议或规范，以及市场上主流的PLC、电力综保的数据采集，并支持多协议、多通道并发工作。</w:t>
                  </w:r>
                </w:p>
                <w:p>
                  <w:pPr>
                    <w:adjustRightInd w:val="0"/>
                    <w:jc w:val="left"/>
                    <w:rPr>
                      <w:rFonts w:ascii="仿宋" w:hAnsi="仿宋" w:eastAsia="仿宋"/>
                      <w:kern w:val="0"/>
                      <w:sz w:val="24"/>
                    </w:rPr>
                  </w:pPr>
                  <w:r>
                    <w:rPr>
                      <w:rFonts w:ascii="仿宋" w:hAnsi="仿宋" w:eastAsia="仿宋"/>
                      <w:kern w:val="0"/>
                      <w:sz w:val="24"/>
                    </w:rPr>
                    <w:t xml:space="preserve">5) </w:t>
                  </w:r>
                  <w:r>
                    <w:rPr>
                      <w:rFonts w:hint="eastAsia" w:ascii="仿宋" w:hAnsi="仿宋" w:eastAsia="仿宋"/>
                      <w:kern w:val="0"/>
                      <w:sz w:val="24"/>
                    </w:rPr>
                    <w:t>支持数据采集通道的端口冗余功能，在端口故障时可自动切换。</w:t>
                  </w:r>
                </w:p>
                <w:p>
                  <w:pPr>
                    <w:adjustRightInd w:val="0"/>
                    <w:jc w:val="left"/>
                    <w:rPr>
                      <w:rFonts w:ascii="仿宋" w:hAnsi="仿宋" w:eastAsia="仿宋"/>
                      <w:kern w:val="0"/>
                      <w:sz w:val="24"/>
                    </w:rPr>
                  </w:pPr>
                  <w:r>
                    <w:rPr>
                      <w:rFonts w:ascii="仿宋" w:hAnsi="仿宋" w:eastAsia="仿宋"/>
                      <w:kern w:val="0"/>
                      <w:sz w:val="24"/>
                    </w:rPr>
                    <w:t xml:space="preserve">6) </w:t>
                  </w:r>
                  <w:r>
                    <w:rPr>
                      <w:rFonts w:hint="eastAsia" w:ascii="仿宋" w:hAnsi="仿宋" w:eastAsia="仿宋"/>
                      <w:kern w:val="0"/>
                      <w:sz w:val="24"/>
                    </w:rPr>
                    <w:t>支持边缘智能计算功能，配置软件提供逻辑报警、触发器的二次开发配置，支持内置C语法的脚本系统，可让编制脚本对数据进行二次计算。</w:t>
                  </w:r>
                </w:p>
                <w:p>
                  <w:pPr>
                    <w:adjustRightInd w:val="0"/>
                    <w:jc w:val="left"/>
                    <w:rPr>
                      <w:rFonts w:ascii="仿宋" w:hAnsi="仿宋" w:eastAsia="仿宋"/>
                      <w:kern w:val="0"/>
                      <w:sz w:val="24"/>
                    </w:rPr>
                  </w:pPr>
                  <w:r>
                    <w:rPr>
                      <w:rFonts w:ascii="仿宋" w:hAnsi="仿宋" w:eastAsia="仿宋"/>
                      <w:kern w:val="0"/>
                      <w:sz w:val="24"/>
                    </w:rPr>
                    <w:t xml:space="preserve">7) </w:t>
                  </w:r>
                  <w:r>
                    <w:rPr>
                      <w:rFonts w:hint="eastAsia" w:ascii="仿宋" w:hAnsi="仿宋" w:eastAsia="仿宋"/>
                      <w:kern w:val="0"/>
                      <w:sz w:val="24"/>
                    </w:rPr>
                    <w:t>支</w:t>
                  </w:r>
                  <w:r>
                    <w:rPr>
                      <w:rFonts w:ascii="仿宋" w:hAnsi="仿宋" w:eastAsia="仿宋"/>
                      <w:kern w:val="0"/>
                      <w:sz w:val="24"/>
                    </w:rPr>
                    <w:t xml:space="preserve"> </w:t>
                  </w:r>
                  <w:r>
                    <w:rPr>
                      <w:rFonts w:hint="eastAsia" w:ascii="仿宋" w:hAnsi="仿宋" w:eastAsia="仿宋"/>
                      <w:kern w:val="0"/>
                      <w:sz w:val="24"/>
                    </w:rPr>
                    <w:t>持L</w:t>
                  </w:r>
                  <w:r>
                    <w:rPr>
                      <w:rFonts w:ascii="仿宋" w:hAnsi="仿宋" w:eastAsia="仿宋"/>
                      <w:kern w:val="0"/>
                      <w:sz w:val="24"/>
                    </w:rPr>
                    <w:t>UA</w:t>
                  </w:r>
                  <w:r>
                    <w:rPr>
                      <w:rFonts w:hint="eastAsia" w:ascii="仿宋" w:hAnsi="仿宋" w:eastAsia="仿宋"/>
                      <w:kern w:val="0"/>
                      <w:sz w:val="24"/>
                    </w:rPr>
                    <w:t>语言开发。</w:t>
                  </w:r>
                </w:p>
                <w:p>
                  <w:pPr>
                    <w:adjustRightInd w:val="0"/>
                    <w:jc w:val="left"/>
                    <w:rPr>
                      <w:rFonts w:ascii="仿宋" w:hAnsi="仿宋" w:eastAsia="仿宋"/>
                      <w:kern w:val="0"/>
                      <w:sz w:val="24"/>
                    </w:rPr>
                  </w:pPr>
                  <w:r>
                    <w:rPr>
                      <w:rFonts w:ascii="仿宋" w:hAnsi="仿宋" w:eastAsia="仿宋"/>
                      <w:kern w:val="0"/>
                      <w:sz w:val="24"/>
                    </w:rPr>
                    <w:t xml:space="preserve">8) </w:t>
                  </w:r>
                  <w:r>
                    <w:rPr>
                      <w:rFonts w:hint="eastAsia" w:ascii="仿宋" w:hAnsi="仿宋" w:eastAsia="仿宋"/>
                      <w:kern w:val="0"/>
                      <w:sz w:val="24"/>
                    </w:rPr>
                    <w:t>支持数据传输的加密和压缩功能。</w:t>
                  </w:r>
                </w:p>
                <w:p>
                  <w:pPr>
                    <w:adjustRightInd w:val="0"/>
                    <w:jc w:val="left"/>
                    <w:rPr>
                      <w:rFonts w:ascii="仿宋" w:hAnsi="仿宋" w:eastAsia="仿宋"/>
                      <w:kern w:val="0"/>
                      <w:sz w:val="24"/>
                    </w:rPr>
                  </w:pPr>
                  <w:r>
                    <w:rPr>
                      <w:rFonts w:ascii="仿宋" w:hAnsi="仿宋" w:eastAsia="仿宋"/>
                      <w:kern w:val="0"/>
                      <w:sz w:val="24"/>
                    </w:rPr>
                    <w:t xml:space="preserve">9) </w:t>
                  </w:r>
                  <w:r>
                    <w:rPr>
                      <w:rFonts w:hint="eastAsia" w:ascii="仿宋" w:hAnsi="仿宋" w:eastAsia="仿宋"/>
                      <w:kern w:val="0"/>
                      <w:sz w:val="24"/>
                    </w:rPr>
                    <w:t>设备具备采集数据的实时二次计算功能，用户可自行配置系数、量程转换、取反等功能。</w:t>
                  </w:r>
                </w:p>
                <w:p>
                  <w:pPr>
                    <w:adjustRightInd w:val="0"/>
                    <w:jc w:val="left"/>
                    <w:rPr>
                      <w:rFonts w:ascii="仿宋" w:hAnsi="仿宋" w:eastAsia="仿宋"/>
                      <w:kern w:val="0"/>
                      <w:sz w:val="24"/>
                    </w:rPr>
                  </w:pPr>
                  <w:r>
                    <w:rPr>
                      <w:rFonts w:ascii="仿宋" w:hAnsi="仿宋" w:eastAsia="仿宋"/>
                      <w:kern w:val="0"/>
                      <w:sz w:val="24"/>
                    </w:rPr>
                    <w:t xml:space="preserve">10) </w:t>
                  </w:r>
                  <w:r>
                    <w:rPr>
                      <w:rFonts w:hint="eastAsia" w:ascii="仿宋" w:hAnsi="仿宋" w:eastAsia="仿宋"/>
                      <w:kern w:val="0"/>
                      <w:sz w:val="24"/>
                    </w:rPr>
                    <w:t>支持电能量等累计量的实时用量计算功能，用户可自行设定计算周期，将采集到的读表数据转换为周期用量数据。</w:t>
                  </w:r>
                </w:p>
                <w:p>
                  <w:pPr>
                    <w:adjustRightInd w:val="0"/>
                    <w:jc w:val="left"/>
                    <w:rPr>
                      <w:rFonts w:ascii="仿宋" w:hAnsi="仿宋" w:eastAsia="仿宋"/>
                      <w:kern w:val="0"/>
                      <w:sz w:val="24"/>
                    </w:rPr>
                  </w:pPr>
                  <w:r>
                    <w:rPr>
                      <w:rFonts w:ascii="仿宋" w:hAnsi="仿宋" w:eastAsia="仿宋"/>
                      <w:kern w:val="0"/>
                      <w:sz w:val="24"/>
                    </w:rPr>
                    <w:t xml:space="preserve">11) </w:t>
                  </w:r>
                  <w:r>
                    <w:rPr>
                      <w:rFonts w:hint="eastAsia" w:ascii="仿宋" w:hAnsi="仿宋" w:eastAsia="仿宋"/>
                      <w:kern w:val="0"/>
                      <w:sz w:val="24"/>
                    </w:rPr>
                    <w:t>支持远程调试诊断功能，在工程师不到现场的条件下，维护工程师可远程配置、调试、维护P</w:t>
                  </w:r>
                  <w:r>
                    <w:rPr>
                      <w:rFonts w:ascii="仿宋" w:hAnsi="仿宋" w:eastAsia="仿宋"/>
                      <w:kern w:val="0"/>
                      <w:sz w:val="24"/>
                    </w:rPr>
                    <w:t>LC</w:t>
                  </w:r>
                  <w:r>
                    <w:rPr>
                      <w:rFonts w:hint="eastAsia" w:ascii="仿宋" w:hAnsi="仿宋" w:eastAsia="仿宋"/>
                      <w:kern w:val="0"/>
                      <w:sz w:val="24"/>
                    </w:rPr>
                    <w:t>。</w:t>
                  </w:r>
                </w:p>
                <w:p>
                  <w:pPr>
                    <w:adjustRightInd w:val="0"/>
                    <w:jc w:val="left"/>
                    <w:rPr>
                      <w:rFonts w:ascii="仿宋" w:hAnsi="仿宋" w:eastAsia="仿宋"/>
                      <w:kern w:val="0"/>
                      <w:sz w:val="24"/>
                    </w:rPr>
                  </w:pPr>
                  <w:r>
                    <w:rPr>
                      <w:rFonts w:ascii="仿宋" w:hAnsi="仿宋" w:eastAsia="仿宋"/>
                      <w:kern w:val="0"/>
                      <w:sz w:val="24"/>
                    </w:rPr>
                    <w:t xml:space="preserve">12) </w:t>
                  </w:r>
                  <w:r>
                    <w:rPr>
                      <w:rFonts w:hint="eastAsia" w:ascii="仿宋" w:hAnsi="仿宋" w:eastAsia="仿宋"/>
                      <w:kern w:val="0"/>
                      <w:sz w:val="24"/>
                    </w:rPr>
                    <w:t>提供统一监视维护的“网络管理软件”，可以使用该软件统一监视各设备的运行状态，查看设备日志、实时数据、端口报文、异常捕捉等。</w:t>
                  </w:r>
                </w:p>
                <w:p>
                  <w:pPr>
                    <w:widowControl/>
                    <w:adjustRightInd w:val="0"/>
                    <w:jc w:val="left"/>
                    <w:rPr>
                      <w:rFonts w:ascii="仿宋" w:hAnsi="仿宋" w:eastAsia="仿宋"/>
                      <w:kern w:val="0"/>
                      <w:sz w:val="24"/>
                    </w:rPr>
                  </w:pPr>
                  <w:r>
                    <w:rPr>
                      <w:rFonts w:ascii="仿宋" w:hAnsi="仿宋" w:eastAsia="仿宋"/>
                      <w:kern w:val="0"/>
                      <w:sz w:val="24"/>
                    </w:rPr>
                    <w:t xml:space="preserve">13) </w:t>
                  </w:r>
                  <w:r>
                    <w:rPr>
                      <w:rFonts w:hint="eastAsia" w:ascii="仿宋" w:hAnsi="仿宋" w:eastAsia="仿宋"/>
                      <w:kern w:val="0"/>
                      <w:sz w:val="24"/>
                    </w:rPr>
                    <w:t>提供统一开发配置的“开发配置软件”，用户可不依赖厂家自行完成现场设备的接入配置及调试工作。</w:t>
                  </w:r>
                </w:p>
                <w:p>
                  <w:pPr>
                    <w:adjustRightInd w:val="0"/>
                    <w:jc w:val="left"/>
                    <w:rPr>
                      <w:rFonts w:ascii="仿宋" w:hAnsi="仿宋" w:eastAsia="仿宋"/>
                      <w:kern w:val="0"/>
                      <w:sz w:val="24"/>
                    </w:rPr>
                  </w:pPr>
                  <w:r>
                    <w:rPr>
                      <w:rFonts w:ascii="仿宋" w:hAnsi="仿宋" w:eastAsia="仿宋"/>
                      <w:kern w:val="0"/>
                      <w:sz w:val="24"/>
                    </w:rPr>
                    <w:t xml:space="preserve">14) </w:t>
                  </w:r>
                  <w:r>
                    <w:rPr>
                      <w:rFonts w:hint="eastAsia" w:ascii="仿宋" w:hAnsi="仿宋" w:eastAsia="仿宋"/>
                      <w:kern w:val="0"/>
                      <w:sz w:val="24"/>
                    </w:rPr>
                    <w:t>设备整机功耗小于</w:t>
                  </w:r>
                  <w:r>
                    <w:rPr>
                      <w:rFonts w:ascii="仿宋" w:hAnsi="仿宋" w:eastAsia="仿宋"/>
                      <w:kern w:val="0"/>
                      <w:sz w:val="24"/>
                    </w:rPr>
                    <w:t>10W的无风扇防尘设计，具备CE\FCC等认证资质。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1"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工作台×</w:t>
                  </w:r>
                  <w:r>
                    <w:rPr>
                      <w:rFonts w:ascii="仿宋" w:hAnsi="仿宋" w:eastAsia="仿宋"/>
                      <w:kern w:val="0"/>
                      <w:sz w:val="24"/>
                    </w:rPr>
                    <w:t>1：</w:t>
                  </w:r>
                </w:p>
                <w:p>
                  <w:pPr>
                    <w:adjustRightInd w:val="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铝合金型材结构，工作台式设计，台面可安装功能模块，底部柜体内可安装电气设备；</w:t>
                  </w:r>
                </w:p>
                <w:p>
                  <w:pPr>
                    <w:adjustRightInd w:val="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台面长≥</w:t>
                  </w:r>
                  <w:r>
                    <w:rPr>
                      <w:rFonts w:ascii="仿宋" w:hAnsi="仿宋" w:eastAsia="仿宋"/>
                      <w:kern w:val="0"/>
                      <w:sz w:val="24"/>
                    </w:rPr>
                    <w:t>1360mm，宽</w:t>
                  </w:r>
                  <w:r>
                    <w:rPr>
                      <w:rFonts w:hint="eastAsia" w:ascii="仿宋" w:hAnsi="仿宋" w:eastAsia="仿宋"/>
                      <w:kern w:val="0"/>
                      <w:sz w:val="24"/>
                    </w:rPr>
                    <w:t>≥</w:t>
                  </w:r>
                  <w:r>
                    <w:rPr>
                      <w:rFonts w:ascii="仿宋" w:hAnsi="仿宋" w:eastAsia="仿宋"/>
                      <w:kern w:val="0"/>
                      <w:sz w:val="24"/>
                    </w:rPr>
                    <w:t>680mm，厚</w:t>
                  </w:r>
                  <w:r>
                    <w:rPr>
                      <w:rFonts w:hint="eastAsia" w:ascii="仿宋" w:hAnsi="仿宋" w:eastAsia="仿宋"/>
                      <w:kern w:val="0"/>
                      <w:sz w:val="24"/>
                    </w:rPr>
                    <w:t>≥</w:t>
                  </w:r>
                  <w:r>
                    <w:rPr>
                      <w:rFonts w:ascii="仿宋" w:hAnsi="仿宋" w:eastAsia="仿宋"/>
                      <w:kern w:val="0"/>
                      <w:sz w:val="24"/>
                    </w:rPr>
                    <w:t>20mm；</w:t>
                  </w:r>
                </w:p>
                <w:p>
                  <w:pPr>
                    <w:adjustRightInd w:val="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底部柜体长≥</w:t>
                  </w:r>
                  <w:r>
                    <w:rPr>
                      <w:rFonts w:ascii="仿宋" w:hAnsi="仿宋" w:eastAsia="仿宋"/>
                      <w:kern w:val="0"/>
                      <w:sz w:val="24"/>
                    </w:rPr>
                    <w:t>1280mm，宽</w:t>
                  </w:r>
                  <w:r>
                    <w:rPr>
                      <w:rFonts w:hint="eastAsia" w:ascii="仿宋" w:hAnsi="仿宋" w:eastAsia="仿宋"/>
                      <w:kern w:val="0"/>
                      <w:sz w:val="24"/>
                    </w:rPr>
                    <w:t>≥</w:t>
                  </w:r>
                  <w:r>
                    <w:rPr>
                      <w:rFonts w:ascii="仿宋" w:hAnsi="仿宋" w:eastAsia="仿宋"/>
                      <w:kern w:val="0"/>
                      <w:sz w:val="24"/>
                    </w:rPr>
                    <w:t>600mm，高</w:t>
                  </w:r>
                  <w:r>
                    <w:rPr>
                      <w:rFonts w:hint="eastAsia" w:ascii="仿宋" w:hAnsi="仿宋" w:eastAsia="仿宋"/>
                      <w:kern w:val="0"/>
                      <w:sz w:val="24"/>
                    </w:rPr>
                    <w:t>≥</w:t>
                  </w:r>
                  <w:r>
                    <w:rPr>
                      <w:rFonts w:ascii="仿宋" w:hAnsi="仿宋" w:eastAsia="仿宋"/>
                      <w:kern w:val="0"/>
                      <w:sz w:val="24"/>
                    </w:rPr>
                    <w:t>700mm；</w:t>
                  </w:r>
                </w:p>
                <w:p>
                  <w:pPr>
                    <w:adjustRightInd w:val="0"/>
                    <w:jc w:val="left"/>
                    <w:rPr>
                      <w:rFonts w:ascii="仿宋" w:hAnsi="仿宋" w:eastAsia="仿宋"/>
                      <w:kern w:val="0"/>
                      <w:sz w:val="24"/>
                    </w:rPr>
                  </w:pPr>
                  <w:r>
                    <w:rPr>
                      <w:rFonts w:ascii="仿宋" w:hAnsi="仿宋" w:eastAsia="仿宋"/>
                      <w:kern w:val="0"/>
                      <w:sz w:val="24"/>
                    </w:rPr>
                    <w:t>4)</w:t>
                  </w:r>
                  <w:r>
                    <w:rPr>
                      <w:rFonts w:ascii="仿宋" w:hAnsi="仿宋" w:eastAsia="仿宋"/>
                      <w:kern w:val="0"/>
                      <w:sz w:val="24"/>
                    </w:rPr>
                    <w:tab/>
                  </w:r>
                  <w:r>
                    <w:rPr>
                      <w:rFonts w:hint="eastAsia" w:ascii="仿宋" w:hAnsi="仿宋" w:eastAsia="仿宋"/>
                      <w:kern w:val="0"/>
                      <w:sz w:val="24"/>
                    </w:rPr>
                    <w:t>底部柜体四角安装有脚轮，轮片直径≥</w:t>
                  </w:r>
                  <w:r>
                    <w:rPr>
                      <w:rFonts w:ascii="仿宋" w:hAnsi="仿宋" w:eastAsia="仿宋"/>
                      <w:kern w:val="0"/>
                      <w:sz w:val="24"/>
                    </w:rPr>
                    <w:t>50mm，轮片宽度</w:t>
                  </w:r>
                  <w:r>
                    <w:rPr>
                      <w:rFonts w:hint="eastAsia" w:ascii="仿宋" w:hAnsi="仿宋" w:eastAsia="仿宋"/>
                      <w:kern w:val="0"/>
                      <w:sz w:val="24"/>
                    </w:rPr>
                    <w:t>≥</w:t>
                  </w:r>
                  <w:r>
                    <w:rPr>
                      <w:rFonts w:ascii="仿宋" w:hAnsi="仿宋" w:eastAsia="仿宋"/>
                      <w:kern w:val="0"/>
                      <w:sz w:val="24"/>
                    </w:rPr>
                    <w:t>25mm，可调高度</w:t>
                  </w:r>
                  <w:r>
                    <w:rPr>
                      <w:rFonts w:hint="eastAsia" w:ascii="仿宋" w:hAnsi="仿宋" w:eastAsia="仿宋"/>
                      <w:kern w:val="0"/>
                      <w:sz w:val="24"/>
                    </w:rPr>
                    <w:t>≥</w:t>
                  </w:r>
                  <w:r>
                    <w:rPr>
                      <w:rFonts w:ascii="仿宋" w:hAnsi="仿宋" w:eastAsia="仿宋"/>
                      <w:kern w:val="0"/>
                      <w:sz w:val="24"/>
                    </w:rPr>
                    <w:t>10mm；</w:t>
                  </w:r>
                </w:p>
                <w:p>
                  <w:pPr>
                    <w:adjustRightInd w:val="0"/>
                    <w:jc w:val="left"/>
                    <w:rPr>
                      <w:rFonts w:ascii="仿宋" w:hAnsi="仿宋" w:eastAsia="仿宋"/>
                      <w:kern w:val="0"/>
                      <w:sz w:val="24"/>
                    </w:rPr>
                  </w:pPr>
                  <w:r>
                    <w:rPr>
                      <w:rFonts w:ascii="仿宋" w:hAnsi="仿宋" w:eastAsia="仿宋"/>
                      <w:kern w:val="0"/>
                      <w:sz w:val="24"/>
                    </w:rPr>
                    <w:t>5)</w:t>
                  </w:r>
                  <w:r>
                    <w:rPr>
                      <w:rFonts w:ascii="仿宋" w:hAnsi="仿宋" w:eastAsia="仿宋"/>
                      <w:kern w:val="0"/>
                      <w:sz w:val="24"/>
                    </w:rPr>
                    <w:tab/>
                  </w:r>
                  <w:r>
                    <w:rPr>
                      <w:rFonts w:hint="eastAsia" w:ascii="仿宋" w:hAnsi="仿宋" w:eastAsia="仿宋"/>
                      <w:kern w:val="0"/>
                      <w:sz w:val="24"/>
                    </w:rPr>
                    <w:t>工作台面合理布置有线槽，方便控制信号线和气路布线，且电、气分开；</w:t>
                  </w:r>
                </w:p>
                <w:p>
                  <w:pPr>
                    <w:adjustRightInd w:val="0"/>
                    <w:jc w:val="left"/>
                    <w:rPr>
                      <w:rFonts w:ascii="仿宋" w:hAnsi="仿宋" w:eastAsia="仿宋"/>
                      <w:kern w:val="0"/>
                      <w:sz w:val="24"/>
                    </w:rPr>
                  </w:pPr>
                  <w:r>
                    <w:rPr>
                      <w:rFonts w:ascii="仿宋" w:hAnsi="仿宋" w:eastAsia="仿宋"/>
                      <w:kern w:val="0"/>
                      <w:sz w:val="24"/>
                    </w:rPr>
                    <w:t>6)</w:t>
                  </w:r>
                  <w:r>
                    <w:rPr>
                      <w:rFonts w:ascii="仿宋" w:hAnsi="仿宋" w:eastAsia="仿宋"/>
                      <w:kern w:val="0"/>
                      <w:sz w:val="24"/>
                    </w:rPr>
                    <w:tab/>
                  </w:r>
                  <w:r>
                    <w:rPr>
                      <w:rFonts w:hint="eastAsia" w:ascii="仿宋" w:hAnsi="仿宋" w:eastAsia="仿宋"/>
                      <w:kern w:val="0"/>
                      <w:sz w:val="24"/>
                    </w:rPr>
                    <w:t>底部柜体上端和下端四周安装有线槽，可方便电源线、气管和通信线布线；</w:t>
                  </w:r>
                </w:p>
                <w:p>
                  <w:pPr>
                    <w:adjustRightInd w:val="0"/>
                    <w:jc w:val="left"/>
                    <w:rPr>
                      <w:rFonts w:ascii="仿宋" w:hAnsi="仿宋" w:eastAsia="仿宋"/>
                      <w:kern w:val="0"/>
                      <w:sz w:val="24"/>
                    </w:rPr>
                  </w:pPr>
                  <w:r>
                    <w:rPr>
                      <w:rFonts w:ascii="仿宋" w:hAnsi="仿宋" w:eastAsia="仿宋"/>
                      <w:kern w:val="0"/>
                      <w:sz w:val="24"/>
                    </w:rPr>
                    <w:t>7)</w:t>
                  </w:r>
                  <w:r>
                    <w:rPr>
                      <w:rFonts w:ascii="仿宋" w:hAnsi="仿宋" w:eastAsia="仿宋"/>
                      <w:kern w:val="0"/>
                      <w:sz w:val="24"/>
                    </w:rPr>
                    <w:tab/>
                  </w:r>
                  <w:r>
                    <w:rPr>
                      <w:rFonts w:hint="eastAsia" w:ascii="仿宋" w:hAnsi="仿宋" w:eastAsia="仿宋"/>
                      <w:kern w:val="0"/>
                      <w:sz w:val="24"/>
                    </w:rPr>
                    <w:t>底部柜体门板为快捷可拆卸设计，每个门板完全相同可互换安装；</w:t>
                  </w:r>
                </w:p>
                <w:p>
                  <w:pPr>
                    <w:adjustRightInd w:val="0"/>
                    <w:jc w:val="left"/>
                    <w:rPr>
                      <w:rFonts w:ascii="仿宋" w:hAnsi="仿宋" w:eastAsia="仿宋"/>
                      <w:kern w:val="0"/>
                      <w:sz w:val="24"/>
                    </w:rPr>
                  </w:pPr>
                  <w:r>
                    <w:rPr>
                      <w:rFonts w:ascii="仿宋" w:hAnsi="仿宋" w:eastAsia="仿宋"/>
                      <w:kern w:val="0"/>
                      <w:sz w:val="24"/>
                    </w:rPr>
                    <w:t>8)</w:t>
                  </w:r>
                  <w:r>
                    <w:rPr>
                      <w:rFonts w:ascii="仿宋" w:hAnsi="仿宋" w:eastAsia="仿宋"/>
                      <w:kern w:val="0"/>
                      <w:sz w:val="24"/>
                    </w:rPr>
                    <w:tab/>
                  </w:r>
                  <w:r>
                    <w:rPr>
                      <w:rFonts w:hint="eastAsia" w:ascii="仿宋" w:hAnsi="仿宋" w:eastAsia="仿宋"/>
                      <w:kern w:val="0"/>
                      <w:sz w:val="24"/>
                    </w:rPr>
                    <w:t>工作台包含显示终端和移动终端。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0" w:type="auto"/>
                  <w:noWrap w:val="0"/>
                  <w:vAlign w:val="top"/>
                </w:tcPr>
                <w:p>
                  <w:pPr>
                    <w:adjustRightInd w:val="0"/>
                    <w:jc w:val="left"/>
                    <w:rPr>
                      <w:rFonts w:ascii="仿宋" w:hAnsi="仿宋" w:eastAsia="仿宋"/>
                      <w:kern w:val="0"/>
                      <w:sz w:val="24"/>
                    </w:rPr>
                  </w:pPr>
                  <w:r>
                    <w:rPr>
                      <w:rFonts w:ascii="仿宋" w:hAnsi="仿宋" w:eastAsia="仿宋"/>
                      <w:kern w:val="0"/>
                      <w:sz w:val="24"/>
                    </w:rPr>
                    <w:t>配套工具</w:t>
                  </w: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工具盒1个，内六角扳手1套，螺丝刀1把，斜口钳1把，气管剪1个，万用表1个，刀具2把，端面打磨头20个，侧面打磨头5个，单元间固定连接板15个，单元间供电连接线五线制2根，单元间供电连接线三线制5根，单元间通信连接线5m长6根，单元间通信连接线1m长3根，视觉标定板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0" w:type="auto"/>
                  <w:vMerge w:val="restart"/>
                  <w:noWrap w:val="0"/>
                  <w:vAlign w:val="top"/>
                </w:tcPr>
                <w:p>
                  <w:pPr>
                    <w:adjustRightInd w:val="0"/>
                    <w:jc w:val="left"/>
                    <w:rPr>
                      <w:rFonts w:ascii="仿宋" w:hAnsi="仿宋" w:eastAsia="仿宋"/>
                      <w:kern w:val="0"/>
                      <w:sz w:val="24"/>
                    </w:rPr>
                  </w:pPr>
                  <w:r>
                    <w:rPr>
                      <w:rFonts w:hint="eastAsia" w:ascii="仿宋" w:hAnsi="仿宋" w:eastAsia="仿宋"/>
                      <w:kern w:val="0"/>
                      <w:sz w:val="24"/>
                    </w:rPr>
                    <w:t>配套软件</w:t>
                  </w: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自动化编程软件×1</w:t>
                  </w:r>
                  <w:r>
                    <w:rPr>
                      <w:rFonts w:ascii="仿宋" w:hAnsi="仿宋" w:eastAsia="仿宋"/>
                      <w:kern w:val="0"/>
                      <w:sz w:val="24"/>
                    </w:rPr>
                    <w:t>：</w:t>
                  </w:r>
                </w:p>
                <w:p>
                  <w:pPr>
                    <w:adjustRightInd w:val="0"/>
                    <w:jc w:val="left"/>
                    <w:rPr>
                      <w:rFonts w:ascii="仿宋" w:hAnsi="仿宋" w:eastAsia="仿宋"/>
                      <w:kern w:val="0"/>
                      <w:sz w:val="24"/>
                    </w:rPr>
                  </w:pPr>
                  <w:r>
                    <w:rPr>
                      <w:rFonts w:ascii="仿宋" w:hAnsi="仿宋" w:eastAsia="仿宋"/>
                      <w:kern w:val="0"/>
                      <w:sz w:val="24"/>
                    </w:rPr>
                    <w:t>1）正版软件，中文界面，可提供持续的中文技术支持服务，软件可使用所有功能模块，授权无时间限制；</w:t>
                  </w:r>
                </w:p>
                <w:p>
                  <w:pPr>
                    <w:adjustRightInd w:val="0"/>
                    <w:jc w:val="left"/>
                    <w:rPr>
                      <w:rFonts w:ascii="仿宋" w:hAnsi="仿宋" w:eastAsia="仿宋"/>
                      <w:kern w:val="0"/>
                      <w:sz w:val="24"/>
                    </w:rPr>
                  </w:pPr>
                  <w:r>
                    <w:rPr>
                      <w:rFonts w:ascii="仿宋" w:hAnsi="仿宋" w:eastAsia="仿宋"/>
                      <w:kern w:val="0"/>
                      <w:sz w:val="24"/>
                    </w:rPr>
                    <w:t>2）与总控单元的PLC控制器同品牌，用于对PLC及其IO模块进行组态配置和编程编译；</w:t>
                  </w:r>
                </w:p>
                <w:p>
                  <w:pPr>
                    <w:adjustRightInd w:val="0"/>
                    <w:jc w:val="left"/>
                    <w:rPr>
                      <w:rFonts w:ascii="仿宋" w:hAnsi="仿宋" w:eastAsia="仿宋"/>
                      <w:kern w:val="0"/>
                      <w:sz w:val="24"/>
                    </w:rPr>
                  </w:pPr>
                  <w:r>
                    <w:rPr>
                      <w:rFonts w:ascii="仿宋" w:hAnsi="仿宋" w:eastAsia="仿宋"/>
                      <w:kern w:val="0"/>
                      <w:sz w:val="24"/>
                    </w:rPr>
                    <w:t>3</w:t>
                  </w:r>
                  <w:r>
                    <w:rPr>
                      <w:rFonts w:hint="eastAsia" w:ascii="仿宋" w:hAnsi="仿宋" w:eastAsia="仿宋"/>
                      <w:kern w:val="0"/>
                      <w:sz w:val="24"/>
                    </w:rPr>
                    <w:t>）面向任务和用户的系统；</w:t>
                  </w:r>
                </w:p>
                <w:p>
                  <w:pPr>
                    <w:adjustRightInd w:val="0"/>
                    <w:jc w:val="left"/>
                    <w:rPr>
                      <w:rFonts w:ascii="仿宋" w:hAnsi="仿宋" w:eastAsia="仿宋"/>
                      <w:kern w:val="0"/>
                      <w:sz w:val="24"/>
                    </w:rPr>
                  </w:pPr>
                  <w:r>
                    <w:rPr>
                      <w:rFonts w:ascii="仿宋" w:hAnsi="仿宋" w:eastAsia="仿宋"/>
                      <w:kern w:val="0"/>
                      <w:sz w:val="24"/>
                    </w:rPr>
                    <w:t>4</w:t>
                  </w:r>
                  <w:r>
                    <w:rPr>
                      <w:rFonts w:hint="eastAsia" w:ascii="仿宋" w:hAnsi="仿宋" w:eastAsia="仿宋"/>
                      <w:kern w:val="0"/>
                      <w:sz w:val="24"/>
                    </w:rPr>
                    <w:t>）所有的程序编辑器都具有统一的外观，优化后的工作区域画面布局工位灵活便捷；</w:t>
                  </w:r>
                </w:p>
                <w:p>
                  <w:pPr>
                    <w:adjustRightInd w:val="0"/>
                    <w:jc w:val="left"/>
                    <w:rPr>
                      <w:rFonts w:ascii="仿宋" w:hAnsi="仿宋" w:eastAsia="仿宋"/>
                      <w:kern w:val="0"/>
                      <w:sz w:val="24"/>
                    </w:rPr>
                  </w:pPr>
                  <w:r>
                    <w:rPr>
                      <w:rFonts w:ascii="仿宋" w:hAnsi="仿宋" w:eastAsia="仿宋"/>
                      <w:kern w:val="0"/>
                      <w:sz w:val="24"/>
                    </w:rPr>
                    <w:t>5</w:t>
                  </w:r>
                  <w:r>
                    <w:rPr>
                      <w:rFonts w:hint="eastAsia" w:ascii="仿宋" w:hAnsi="仿宋" w:eastAsia="仿宋"/>
                      <w:kern w:val="0"/>
                      <w:sz w:val="24"/>
                    </w:rPr>
                    <w:t>）网络与设备图形化的组合方式。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7"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ascii="仿宋" w:hAnsi="仿宋" w:eastAsia="仿宋"/>
                      <w:kern w:val="0"/>
                      <w:sz w:val="24"/>
                    </w:rPr>
                    <w:t>HMI组态平台×</w:t>
                  </w:r>
                  <w:r>
                    <w:rPr>
                      <w:rFonts w:hint="eastAsia" w:ascii="仿宋" w:hAnsi="仿宋" w:eastAsia="仿宋"/>
                      <w:kern w:val="0"/>
                      <w:sz w:val="24"/>
                    </w:rPr>
                    <w:t>1</w:t>
                  </w:r>
                  <w:r>
                    <w:rPr>
                      <w:rFonts w:ascii="仿宋" w:hAnsi="仿宋" w:eastAsia="仿宋"/>
                      <w:kern w:val="0"/>
                      <w:sz w:val="24"/>
                    </w:rPr>
                    <w:t>：</w:t>
                  </w:r>
                </w:p>
                <w:p>
                  <w:pPr>
                    <w:adjustRightInd w:val="0"/>
                    <w:jc w:val="left"/>
                    <w:rPr>
                      <w:rFonts w:ascii="仿宋" w:hAnsi="仿宋" w:eastAsia="仿宋"/>
                      <w:kern w:val="0"/>
                      <w:sz w:val="24"/>
                    </w:rPr>
                  </w:pPr>
                  <w:r>
                    <w:rPr>
                      <w:rFonts w:ascii="仿宋" w:hAnsi="仿宋" w:eastAsia="仿宋"/>
                      <w:kern w:val="0"/>
                      <w:sz w:val="24"/>
                    </w:rPr>
                    <w:t>1）正版软件，中文界面，可提供持续的中文技术支持服务，软件可使用所有功能模块，授权无时间限制；</w:t>
                  </w:r>
                </w:p>
                <w:p>
                  <w:pPr>
                    <w:adjustRightInd w:val="0"/>
                    <w:jc w:val="left"/>
                    <w:rPr>
                      <w:rFonts w:ascii="仿宋" w:hAnsi="仿宋" w:eastAsia="仿宋"/>
                      <w:kern w:val="0"/>
                      <w:sz w:val="24"/>
                    </w:rPr>
                  </w:pPr>
                  <w:r>
                    <w:rPr>
                      <w:rFonts w:ascii="仿宋" w:hAnsi="仿宋" w:eastAsia="仿宋"/>
                      <w:kern w:val="0"/>
                      <w:sz w:val="24"/>
                    </w:rPr>
                    <w:t>2）与总控单元的PLC控制器同品牌，用于对HMI人机界面进行组态配置和编程编译；</w:t>
                  </w:r>
                </w:p>
                <w:p>
                  <w:pPr>
                    <w:adjustRightInd w:val="0"/>
                    <w:jc w:val="left"/>
                    <w:rPr>
                      <w:rFonts w:ascii="仿宋" w:hAnsi="仿宋" w:eastAsia="仿宋"/>
                      <w:kern w:val="0"/>
                      <w:sz w:val="24"/>
                    </w:rPr>
                  </w:pPr>
                  <w:r>
                    <w:rPr>
                      <w:rFonts w:ascii="仿宋" w:hAnsi="仿宋" w:eastAsia="仿宋"/>
                      <w:kern w:val="0"/>
                      <w:sz w:val="24"/>
                    </w:rPr>
                    <w:t>3）通用的应用程序，适合所有工业领域的解决方案；</w:t>
                  </w:r>
                </w:p>
                <w:p>
                  <w:pPr>
                    <w:adjustRightInd w:val="0"/>
                    <w:jc w:val="left"/>
                    <w:rPr>
                      <w:rFonts w:ascii="仿宋" w:hAnsi="仿宋" w:eastAsia="仿宋"/>
                      <w:kern w:val="0"/>
                      <w:sz w:val="24"/>
                    </w:rPr>
                  </w:pPr>
                  <w:r>
                    <w:rPr>
                      <w:rFonts w:ascii="仿宋" w:hAnsi="仿宋" w:eastAsia="仿宋"/>
                      <w:kern w:val="0"/>
                      <w:sz w:val="24"/>
                    </w:rPr>
                    <w:t>4</w:t>
                  </w:r>
                  <w:r>
                    <w:rPr>
                      <w:rFonts w:hint="eastAsia" w:ascii="仿宋" w:hAnsi="仿宋" w:eastAsia="仿宋"/>
                      <w:kern w:val="0"/>
                      <w:sz w:val="24"/>
                    </w:rPr>
                    <w:t>）内置所有操作和管理功能，可简单、有效地进行组态；</w:t>
                  </w:r>
                </w:p>
                <w:p>
                  <w:pPr>
                    <w:adjustRightInd w:val="0"/>
                    <w:jc w:val="left"/>
                    <w:rPr>
                      <w:rFonts w:ascii="仿宋" w:hAnsi="仿宋" w:eastAsia="仿宋"/>
                      <w:kern w:val="0"/>
                      <w:sz w:val="24"/>
                    </w:rPr>
                  </w:pPr>
                  <w:r>
                    <w:rPr>
                      <w:rFonts w:ascii="仿宋" w:hAnsi="仿宋" w:eastAsia="仿宋"/>
                      <w:kern w:val="0"/>
                      <w:sz w:val="24"/>
                    </w:rPr>
                    <w:t>5</w:t>
                  </w:r>
                  <w:r>
                    <w:rPr>
                      <w:rFonts w:hint="eastAsia" w:ascii="仿宋" w:hAnsi="仿宋" w:eastAsia="仿宋"/>
                      <w:kern w:val="0"/>
                      <w:sz w:val="24"/>
                    </w:rPr>
                    <w:t>）可基于</w:t>
                  </w:r>
                  <w:r>
                    <w:rPr>
                      <w:rFonts w:ascii="仿宋" w:hAnsi="仿宋" w:eastAsia="仿宋"/>
                      <w:kern w:val="0"/>
                      <w:sz w:val="24"/>
                    </w:rPr>
                    <w:t>Web持续延展，采用开放性标准，集成简便；</w:t>
                  </w:r>
                </w:p>
                <w:p>
                  <w:pPr>
                    <w:adjustRightInd w:val="0"/>
                    <w:jc w:val="left"/>
                    <w:rPr>
                      <w:rFonts w:ascii="仿宋" w:hAnsi="仿宋" w:eastAsia="仿宋"/>
                      <w:kern w:val="0"/>
                      <w:sz w:val="24"/>
                    </w:rPr>
                  </w:pPr>
                  <w:r>
                    <w:rPr>
                      <w:rFonts w:ascii="仿宋" w:hAnsi="仿宋" w:eastAsia="仿宋"/>
                      <w:kern w:val="0"/>
                      <w:sz w:val="24"/>
                    </w:rPr>
                    <w:t>6</w:t>
                  </w:r>
                  <w:r>
                    <w:rPr>
                      <w:rFonts w:hint="eastAsia" w:ascii="仿宋" w:hAnsi="仿宋" w:eastAsia="仿宋"/>
                      <w:kern w:val="0"/>
                      <w:sz w:val="24"/>
                    </w:rPr>
                    <w:t>）支持工业以太网通讯，方便大数据实时传输；</w:t>
                  </w:r>
                </w:p>
                <w:p>
                  <w:pPr>
                    <w:adjustRightInd w:val="0"/>
                    <w:jc w:val="left"/>
                    <w:rPr>
                      <w:rFonts w:ascii="仿宋" w:hAnsi="仿宋" w:eastAsia="仿宋"/>
                      <w:kern w:val="0"/>
                      <w:sz w:val="24"/>
                    </w:rPr>
                  </w:pPr>
                  <w:r>
                    <w:rPr>
                      <w:rFonts w:ascii="仿宋" w:hAnsi="仿宋" w:eastAsia="仿宋"/>
                      <w:kern w:val="0"/>
                      <w:sz w:val="24"/>
                    </w:rPr>
                    <w:t>7</w:t>
                  </w:r>
                  <w:r>
                    <w:rPr>
                      <w:rFonts w:hint="eastAsia" w:ascii="仿宋" w:hAnsi="仿宋" w:eastAsia="仿宋"/>
                      <w:kern w:val="0"/>
                      <w:sz w:val="24"/>
                    </w:rPr>
                    <w:t>）基于最新软件技术的创新组态界面、适用于用户定义对象和面板的全面库设计，实现图形化组态和批量数据处理的智能工具。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7"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工业物联网平台×1</w:t>
                  </w:r>
                  <w:r>
                    <w:rPr>
                      <w:rFonts w:ascii="仿宋" w:hAnsi="仿宋" w:eastAsia="仿宋"/>
                      <w:kern w:val="0"/>
                      <w:sz w:val="24"/>
                    </w:rPr>
                    <w:t>：</w:t>
                  </w:r>
                </w:p>
                <w:p>
                  <w:pPr>
                    <w:adjustRightInd w:val="0"/>
                    <w:jc w:val="left"/>
                    <w:rPr>
                      <w:rFonts w:ascii="仿宋" w:hAnsi="仿宋" w:eastAsia="仿宋"/>
                      <w:kern w:val="0"/>
                      <w:sz w:val="24"/>
                    </w:rPr>
                  </w:pPr>
                  <w:r>
                    <w:rPr>
                      <w:rFonts w:hint="eastAsia" w:ascii="仿宋" w:hAnsi="仿宋" w:eastAsia="仿宋"/>
                      <w:kern w:val="0"/>
                      <w:sz w:val="24"/>
                    </w:rPr>
                    <w:t>1、系统需具备自主知识产权，正版软件，全中文操作界面，可提供持续的中文技术支持服务。</w:t>
                  </w:r>
                </w:p>
                <w:p>
                  <w:pPr>
                    <w:adjustRightInd w:val="0"/>
                    <w:jc w:val="left"/>
                    <w:rPr>
                      <w:rFonts w:ascii="仿宋" w:hAnsi="仿宋" w:eastAsia="仿宋"/>
                      <w:kern w:val="0"/>
                      <w:sz w:val="24"/>
                    </w:rPr>
                  </w:pPr>
                  <w:r>
                    <w:rPr>
                      <w:rFonts w:hint="eastAsia" w:ascii="仿宋" w:hAnsi="仿宋" w:eastAsia="仿宋"/>
                      <w:kern w:val="0"/>
                      <w:sz w:val="24"/>
                    </w:rPr>
                    <w:t>2、系统应为</w:t>
                  </w:r>
                  <w:r>
                    <w:rPr>
                      <w:rFonts w:ascii="仿宋" w:hAnsi="仿宋" w:eastAsia="仿宋"/>
                      <w:kern w:val="0"/>
                      <w:sz w:val="24"/>
                    </w:rPr>
                    <w:t>B/S架构，支持大规模并发用户在线使用，同时提供快速、优化的查询处理算法，保证系统的及时响应。</w:t>
                  </w:r>
                </w:p>
                <w:p>
                  <w:pPr>
                    <w:adjustRightInd w:val="0"/>
                    <w:jc w:val="left"/>
                    <w:rPr>
                      <w:rFonts w:ascii="仿宋" w:hAnsi="仿宋" w:eastAsia="仿宋"/>
                      <w:kern w:val="0"/>
                      <w:sz w:val="24"/>
                    </w:rPr>
                  </w:pPr>
                  <w:r>
                    <w:rPr>
                      <w:rFonts w:hint="eastAsia" w:ascii="仿宋" w:hAnsi="仿宋" w:eastAsia="仿宋"/>
                      <w:kern w:val="0"/>
                      <w:sz w:val="24"/>
                    </w:rPr>
                    <w:t>3、系统应提供完整的软件安装手册、系统操作手册，提供全面的用户指导与培训。</w:t>
                  </w:r>
                </w:p>
                <w:p>
                  <w:pPr>
                    <w:adjustRightInd w:val="0"/>
                    <w:jc w:val="left"/>
                    <w:rPr>
                      <w:rFonts w:ascii="仿宋" w:hAnsi="仿宋" w:eastAsia="仿宋"/>
                      <w:kern w:val="0"/>
                      <w:sz w:val="24"/>
                    </w:rPr>
                  </w:pPr>
                  <w:r>
                    <w:rPr>
                      <w:rFonts w:hint="eastAsia" w:ascii="仿宋" w:hAnsi="仿宋" w:eastAsia="仿宋"/>
                      <w:kern w:val="0"/>
                      <w:sz w:val="24"/>
                    </w:rPr>
                    <w:t>4、系统功能应包括但不限于以下功能模块：</w:t>
                  </w:r>
                </w:p>
                <w:p>
                  <w:pPr>
                    <w:numPr>
                      <w:ilvl w:val="0"/>
                      <w:numId w:val="5"/>
                    </w:numPr>
                    <w:adjustRightInd w:val="0"/>
                    <w:jc w:val="left"/>
                    <w:rPr>
                      <w:rFonts w:ascii="仿宋" w:hAnsi="仿宋" w:eastAsia="仿宋"/>
                      <w:kern w:val="0"/>
                      <w:sz w:val="24"/>
                    </w:rPr>
                  </w:pPr>
                  <w:r>
                    <w:rPr>
                      <w:rFonts w:hint="eastAsia" w:ascii="仿宋" w:hAnsi="仿宋" w:eastAsia="仿宋"/>
                      <w:kern w:val="0"/>
                      <w:sz w:val="24"/>
                    </w:rPr>
                    <w:t>多租户：系统支持多学校、多班级、多小组独立实训，做到租户间数据隔离，学生端独立运行数据互不干扰，实现实训独立性和考核公平性。</w:t>
                  </w:r>
                </w:p>
                <w:p>
                  <w:pPr>
                    <w:numPr>
                      <w:ilvl w:val="0"/>
                      <w:numId w:val="5"/>
                    </w:numPr>
                    <w:adjustRightInd w:val="0"/>
                    <w:jc w:val="left"/>
                    <w:rPr>
                      <w:rFonts w:ascii="仿宋" w:hAnsi="仿宋" w:eastAsia="仿宋"/>
                      <w:kern w:val="0"/>
                      <w:sz w:val="24"/>
                    </w:rPr>
                  </w:pPr>
                  <w:r>
                    <w:rPr>
                      <w:rFonts w:hint="eastAsia" w:ascii="仿宋" w:hAnsi="仿宋" w:eastAsia="仿宋"/>
                      <w:kern w:val="0"/>
                      <w:sz w:val="24"/>
                    </w:rPr>
                    <w:t>用户管理：系统支持按租户（小组）独立管理用户，分配用户所属角色、管理用户数据权限、配置用户密码等功能。</w:t>
                  </w:r>
                </w:p>
                <w:p>
                  <w:pPr>
                    <w:numPr>
                      <w:ilvl w:val="0"/>
                      <w:numId w:val="5"/>
                    </w:numPr>
                    <w:adjustRightInd w:val="0"/>
                    <w:jc w:val="left"/>
                    <w:rPr>
                      <w:rFonts w:ascii="仿宋" w:hAnsi="仿宋" w:eastAsia="仿宋"/>
                      <w:kern w:val="0"/>
                      <w:sz w:val="24"/>
                    </w:rPr>
                  </w:pPr>
                  <w:r>
                    <w:rPr>
                      <w:rFonts w:ascii="仿宋" w:hAnsi="仿宋" w:eastAsia="仿宋"/>
                      <w:kern w:val="0"/>
                      <w:sz w:val="24"/>
                    </w:rPr>
                    <w:t xml:space="preserve"> </w:t>
                  </w:r>
                  <w:r>
                    <w:rPr>
                      <w:rFonts w:hint="eastAsia" w:ascii="仿宋" w:hAnsi="仿宋" w:eastAsia="仿宋"/>
                      <w:kern w:val="0"/>
                      <w:sz w:val="24"/>
                    </w:rPr>
                    <w:t>网关注册管理：系统后台支持管理网关，包括品牌、型号的管理，管理员可将网关在系统内进行注册并分配使用权限给指定租户。</w:t>
                  </w:r>
                </w:p>
                <w:p>
                  <w:pPr>
                    <w:numPr>
                      <w:ilvl w:val="0"/>
                      <w:numId w:val="5"/>
                    </w:numPr>
                    <w:adjustRightInd w:val="0"/>
                    <w:jc w:val="left"/>
                    <w:rPr>
                      <w:rFonts w:ascii="仿宋" w:hAnsi="仿宋" w:eastAsia="仿宋"/>
                      <w:kern w:val="0"/>
                      <w:sz w:val="24"/>
                    </w:rPr>
                  </w:pPr>
                  <w:r>
                    <w:rPr>
                      <w:rFonts w:ascii="仿宋" w:hAnsi="仿宋" w:eastAsia="仿宋"/>
                      <w:kern w:val="0"/>
                      <w:sz w:val="24"/>
                    </w:rPr>
                    <w:t xml:space="preserve"> </w:t>
                  </w:r>
                  <w:r>
                    <w:rPr>
                      <w:rFonts w:hint="eastAsia" w:ascii="仿宋" w:hAnsi="仿宋" w:eastAsia="仿宋"/>
                      <w:kern w:val="0"/>
                      <w:sz w:val="24"/>
                    </w:rPr>
                    <w:t>系统首页：系统支持在首页预览系统内网关、点位、产品、设备等数字资产，网关在地图中做分布标记，支持展示网关实时在线率及近期系统接入数据量走势。</w:t>
                  </w:r>
                </w:p>
                <w:p>
                  <w:pPr>
                    <w:numPr>
                      <w:ilvl w:val="0"/>
                      <w:numId w:val="5"/>
                    </w:numPr>
                    <w:adjustRightInd w:val="0"/>
                    <w:jc w:val="left"/>
                    <w:rPr>
                      <w:rFonts w:ascii="仿宋" w:hAnsi="仿宋" w:eastAsia="仿宋"/>
                      <w:kern w:val="0"/>
                      <w:sz w:val="24"/>
                    </w:rPr>
                  </w:pPr>
                  <w:r>
                    <w:rPr>
                      <w:rFonts w:hint="eastAsia" w:ascii="仿宋" w:hAnsi="仿宋" w:eastAsia="仿宋"/>
                      <w:kern w:val="0"/>
                      <w:sz w:val="24"/>
                    </w:rPr>
                    <w:t>项目管理：系统支持按项目管理接入设备，项目支持不同的行业类型</w:t>
                  </w:r>
                  <w:r>
                    <w:rPr>
                      <w:rFonts w:ascii="仿宋" w:hAnsi="仿宋" w:eastAsia="仿宋"/>
                      <w:kern w:val="0"/>
                      <w:sz w:val="24"/>
                    </w:rPr>
                    <w:t>,项目下包含设备数量直观体现到项目数据卡。</w:t>
                  </w:r>
                </w:p>
                <w:p>
                  <w:pPr>
                    <w:numPr>
                      <w:ilvl w:val="0"/>
                      <w:numId w:val="5"/>
                    </w:numPr>
                    <w:adjustRightInd w:val="0"/>
                    <w:jc w:val="left"/>
                    <w:rPr>
                      <w:rFonts w:ascii="仿宋" w:hAnsi="仿宋" w:eastAsia="仿宋"/>
                      <w:kern w:val="0"/>
                      <w:sz w:val="24"/>
                    </w:rPr>
                  </w:pPr>
                  <w:r>
                    <w:rPr>
                      <w:rFonts w:ascii="仿宋" w:hAnsi="仿宋" w:eastAsia="仿宋"/>
                      <w:kern w:val="0"/>
                      <w:sz w:val="24"/>
                    </w:rPr>
                    <w:t>网关管理：系统支持用户按后台预先分配关系进行网关激活接入，网关下可创建多个虚拟设备及不同类型数据点位，支持管理数据点位的读写权限，支持查看网关实时通讯报文，支持预览点位实时数据，支持对可写类型的点位进行数据下发操作。</w:t>
                  </w:r>
                </w:p>
                <w:p>
                  <w:pPr>
                    <w:numPr>
                      <w:ilvl w:val="0"/>
                      <w:numId w:val="5"/>
                    </w:numPr>
                    <w:adjustRightInd w:val="0"/>
                    <w:jc w:val="left"/>
                    <w:rPr>
                      <w:rFonts w:ascii="仿宋" w:hAnsi="仿宋" w:eastAsia="仿宋"/>
                      <w:kern w:val="0"/>
                      <w:sz w:val="24"/>
                    </w:rPr>
                  </w:pPr>
                  <w:r>
                    <w:rPr>
                      <w:rFonts w:hint="eastAsia" w:ascii="仿宋" w:hAnsi="仿宋" w:eastAsia="仿宋"/>
                      <w:kern w:val="0"/>
                      <w:sz w:val="24"/>
                    </w:rPr>
                    <w:t>产品管理：系统支持按产品管理接入的设备，对于同一款产品，只需要在系统中维护一次即可按产品批量进行设备的创建和管理。</w:t>
                  </w:r>
                </w:p>
                <w:p>
                  <w:pPr>
                    <w:numPr>
                      <w:ilvl w:val="0"/>
                      <w:numId w:val="5"/>
                    </w:numPr>
                    <w:adjustRightInd w:val="0"/>
                    <w:jc w:val="left"/>
                    <w:rPr>
                      <w:rFonts w:ascii="仿宋" w:hAnsi="仿宋" w:eastAsia="仿宋"/>
                      <w:kern w:val="0"/>
                      <w:sz w:val="24"/>
                    </w:rPr>
                  </w:pPr>
                  <w:r>
                    <w:rPr>
                      <w:rFonts w:hint="eastAsia" w:ascii="仿宋" w:hAnsi="仿宋" w:eastAsia="仿宋"/>
                      <w:kern w:val="0"/>
                      <w:sz w:val="24"/>
                    </w:rPr>
                    <w:t>设备管理：系统支持按产品实例化设备，且设备动态继承产品全部属性，设备属性支持自定义关联到网关的数据点位，支持实时查看设备数字画像。</w:t>
                  </w:r>
                </w:p>
                <w:p>
                  <w:pPr>
                    <w:numPr>
                      <w:ilvl w:val="0"/>
                      <w:numId w:val="5"/>
                    </w:numPr>
                    <w:adjustRightInd w:val="0"/>
                    <w:jc w:val="left"/>
                    <w:rPr>
                      <w:rFonts w:ascii="仿宋" w:hAnsi="仿宋" w:eastAsia="仿宋"/>
                      <w:kern w:val="0"/>
                      <w:sz w:val="24"/>
                    </w:rPr>
                  </w:pPr>
                  <w:r>
                    <w:rPr>
                      <w:rFonts w:ascii="仿宋" w:hAnsi="仿宋" w:eastAsia="仿宋"/>
                      <w:kern w:val="0"/>
                      <w:sz w:val="24"/>
                    </w:rPr>
                    <w:t>数据备份：系统支持按租户进行系统配置数据存档备份管理和按备份进行配置数据一键恢复，以支持阶段性的教学实训。</w:t>
                  </w:r>
                </w:p>
                <w:p>
                  <w:pPr>
                    <w:numPr>
                      <w:ilvl w:val="0"/>
                      <w:numId w:val="5"/>
                    </w:numPr>
                    <w:adjustRightInd w:val="0"/>
                    <w:jc w:val="left"/>
                    <w:rPr>
                      <w:rFonts w:ascii="仿宋" w:hAnsi="仿宋" w:eastAsia="仿宋"/>
                      <w:kern w:val="0"/>
                      <w:sz w:val="24"/>
                    </w:rPr>
                  </w:pPr>
                  <w:r>
                    <w:rPr>
                      <w:rFonts w:ascii="仿宋" w:hAnsi="仿宋" w:eastAsia="仿宋"/>
                      <w:kern w:val="0"/>
                      <w:sz w:val="24"/>
                    </w:rPr>
                    <w:t>可视化数据大屏：系统提供可视化大屏配置工具，内置柱状图、折线图、饼图、散点图等统计图表组件，支持文本类、图片类、视频类、表格类等多种数据组件，内置丰富的组件案例，支持静态数据、API接口数据、SQL数据、实时数据等多种数据源可配置，支持用户组态化配置可视化数据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0"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工业机器人离线编程软件×2：</w:t>
                  </w:r>
                </w:p>
                <w:p>
                  <w:pPr>
                    <w:rPr>
                      <w:rFonts w:ascii="仿宋" w:hAnsi="仿宋" w:eastAsia="仿宋"/>
                      <w:kern w:val="0"/>
                      <w:sz w:val="24"/>
                    </w:rPr>
                  </w:pPr>
                  <w:r>
                    <w:rPr>
                      <w:rFonts w:hint="eastAsia" w:ascii="仿宋" w:hAnsi="仿宋" w:eastAsia="仿宋"/>
                      <w:kern w:val="0"/>
                      <w:sz w:val="24"/>
                    </w:rPr>
                    <w:t>1）正版软件，中文界面，可提供持续的中文技术支持服务，软件可使用所有功能模块，界面无“试用版”字样；</w:t>
                  </w:r>
                </w:p>
                <w:p>
                  <w:pPr>
                    <w:rPr>
                      <w:rFonts w:ascii="仿宋" w:hAnsi="仿宋" w:eastAsia="仿宋"/>
                      <w:kern w:val="0"/>
                      <w:sz w:val="24"/>
                    </w:rPr>
                  </w:pPr>
                  <w:r>
                    <w:rPr>
                      <w:rFonts w:hint="eastAsia" w:ascii="仿宋" w:hAnsi="仿宋" w:eastAsia="仿宋"/>
                      <w:kern w:val="0"/>
                      <w:sz w:val="24"/>
                    </w:rPr>
                    <w:t>2）软件提供了100个以上品牌、多种不同型号的工业机器人进行场景搭建、轨迹规划、运动仿真和程序代码生成等操作（参考品牌ABB、KUKA、Staubli、珞石、遨博等）；</w:t>
                  </w:r>
                </w:p>
                <w:p>
                  <w:pPr>
                    <w:rPr>
                      <w:rFonts w:ascii="仿宋" w:hAnsi="仿宋" w:eastAsia="仿宋"/>
                      <w:kern w:val="0"/>
                      <w:sz w:val="24"/>
                    </w:rPr>
                  </w:pPr>
                  <w:r>
                    <w:rPr>
                      <w:rFonts w:hint="eastAsia" w:ascii="仿宋" w:hAnsi="仿宋" w:eastAsia="仿宋"/>
                      <w:kern w:val="0"/>
                      <w:sz w:val="24"/>
                    </w:rPr>
                    <w:t>3）轨迹生成基于CAD数据、可通过拾取实体模型、曲面或曲线等模型特征快速生成设备运动轨迹，简化了轨迹生成过程，大大提高轨迹生成精度和效率；</w:t>
                  </w:r>
                </w:p>
                <w:p>
                  <w:pPr>
                    <w:rPr>
                      <w:rFonts w:ascii="仿宋" w:hAnsi="仿宋" w:eastAsia="仿宋"/>
                      <w:kern w:val="0"/>
                      <w:sz w:val="24"/>
                    </w:rPr>
                  </w:pPr>
                  <w:r>
                    <w:rPr>
                      <w:rFonts w:hint="eastAsia" w:ascii="仿宋" w:hAnsi="仿宋" w:eastAsia="仿宋"/>
                      <w:kern w:val="0"/>
                      <w:sz w:val="24"/>
                    </w:rPr>
                    <w:t>4）软件可实现对工业机器人本体、导轨及变位机设备的自定义，同时支持多轴机器人的定义、轨迹生成及仿真，如4轴、8轴、10轴等；</w:t>
                  </w:r>
                </w:p>
                <w:p>
                  <w:pPr>
                    <w:rPr>
                      <w:rFonts w:ascii="仿宋" w:hAnsi="仿宋" w:eastAsia="仿宋"/>
                      <w:kern w:val="0"/>
                      <w:sz w:val="24"/>
                    </w:rPr>
                  </w:pPr>
                  <w:r>
                    <w:rPr>
                      <w:rFonts w:hint="eastAsia" w:ascii="仿宋" w:hAnsi="仿宋" w:eastAsia="仿宋"/>
                      <w:kern w:val="0"/>
                      <w:sz w:val="24"/>
                    </w:rPr>
                    <w:t>5）软件支持对工业机器人法兰工具、快换机构、外部工具的自定义，并且支持变位夹具设定多种姿态，如可以将一个变位夹具定义成直、弯两种状态。</w:t>
                  </w:r>
                </w:p>
                <w:p>
                  <w:pPr>
                    <w:rPr>
                      <w:rFonts w:ascii="仿宋" w:hAnsi="仿宋" w:eastAsia="仿宋"/>
                      <w:kern w:val="0"/>
                      <w:sz w:val="24"/>
                    </w:rPr>
                  </w:pPr>
                  <w:r>
                    <w:rPr>
                      <w:rFonts w:hint="eastAsia" w:ascii="仿宋" w:hAnsi="仿宋" w:eastAsia="仿宋"/>
                      <w:kern w:val="0"/>
                      <w:sz w:val="24"/>
                    </w:rPr>
                    <w:t>6）对生成的轨迹可进行分组管理，对不同轨迹组可以实现注释、删除等操作,实现对相似轨迹的统一管理；</w:t>
                  </w:r>
                </w:p>
                <w:p>
                  <w:pPr>
                    <w:rPr>
                      <w:rFonts w:ascii="仿宋" w:hAnsi="仿宋" w:eastAsia="仿宋"/>
                      <w:kern w:val="0"/>
                      <w:sz w:val="24"/>
                    </w:rPr>
                  </w:pPr>
                  <w:r>
                    <w:rPr>
                      <w:rFonts w:hint="eastAsia" w:ascii="仿宋" w:hAnsi="仿宋" w:eastAsia="仿宋"/>
                      <w:kern w:val="0"/>
                      <w:sz w:val="24"/>
                    </w:rPr>
                    <w:t xml:space="preserve">7）支持将仿真结果输出为3D仿真动画并上传云端自动生成二维码和链接，手机扫描二维码可缩放、平移仿真界面查看仿真流程，浏览器打开链接可以直接播放仿真流程，并可自由缩放和切换观看视角；  </w:t>
                  </w:r>
                </w:p>
                <w:p>
                  <w:pPr>
                    <w:rPr>
                      <w:rFonts w:ascii="仿宋" w:hAnsi="仿宋" w:eastAsia="仿宋"/>
                      <w:kern w:val="0"/>
                      <w:sz w:val="24"/>
                    </w:rPr>
                  </w:pPr>
                  <w:r>
                    <w:rPr>
                      <w:rFonts w:hint="eastAsia" w:ascii="仿宋" w:hAnsi="仿宋" w:eastAsia="仿宋"/>
                      <w:kern w:val="0"/>
                      <w:sz w:val="24"/>
                    </w:rPr>
                    <w:t>8）支持机器人后置模板自定义，在定义后置时可通过拖拽的方式定义模板格式，并实现程序代码的实时预显；支持根据机器品牌选择相应的后置模板，如ABB、KUKA、Staubli、珞石、遨博等；</w:t>
                  </w:r>
                </w:p>
                <w:p>
                  <w:pPr>
                    <w:rPr>
                      <w:rFonts w:ascii="仿宋" w:hAnsi="仿宋" w:eastAsia="仿宋"/>
                      <w:kern w:val="0"/>
                      <w:sz w:val="24"/>
                    </w:rPr>
                  </w:pPr>
                  <w:r>
                    <w:rPr>
                      <w:rFonts w:hint="eastAsia" w:ascii="仿宋" w:hAnsi="仿宋" w:eastAsia="仿宋"/>
                      <w:kern w:val="0"/>
                      <w:sz w:val="24"/>
                    </w:rPr>
                    <w:t>9）提供机器人运动节拍分析功能，可在性能分析界面查看机器人平均速度、总距离、总轨迹点数、总时间、节拍以及单条轨迹的长度、时间、平均速度、轨迹点数等信息，方便用户查看机器人工作效率；</w:t>
                  </w:r>
                </w:p>
                <w:p>
                  <w:pPr>
                    <w:rPr>
                      <w:rFonts w:ascii="仿宋" w:hAnsi="仿宋" w:eastAsia="仿宋"/>
                      <w:kern w:val="0"/>
                      <w:sz w:val="24"/>
                    </w:rPr>
                  </w:pPr>
                  <w:r>
                    <w:rPr>
                      <w:rFonts w:hint="eastAsia" w:ascii="仿宋" w:hAnsi="仿宋" w:eastAsia="仿宋"/>
                      <w:kern w:val="0"/>
                      <w:sz w:val="24"/>
                    </w:rPr>
                    <w:t>10）可实现机器人运行仿真和程序代码分屏同步调试运行，显示程序代码的行号、数字、注释、指令等信息，程序指针可实现实时查看机器人运行点位；</w:t>
                  </w:r>
                </w:p>
                <w:p>
                  <w:pPr>
                    <w:rPr>
                      <w:rFonts w:ascii="仿宋" w:hAnsi="仿宋" w:eastAsia="仿宋"/>
                      <w:kern w:val="0"/>
                      <w:sz w:val="24"/>
                    </w:rPr>
                  </w:pPr>
                  <w:r>
                    <w:rPr>
                      <w:rFonts w:hint="eastAsia" w:ascii="仿宋" w:hAnsi="仿宋" w:eastAsia="仿宋"/>
                      <w:kern w:val="0"/>
                      <w:sz w:val="24"/>
                    </w:rPr>
                    <w:t>11）具备轨迹优化功能，通过图形化方式展示机器人工作的最优区域，并通过调整曲线让机器人处于工作最优区内，解决不可达、轴超限和奇异点的问题；</w:t>
                  </w:r>
                </w:p>
                <w:p>
                  <w:pPr>
                    <w:rPr>
                      <w:rFonts w:ascii="仿宋" w:hAnsi="仿宋" w:eastAsia="仿宋"/>
                      <w:kern w:val="0"/>
                      <w:sz w:val="24"/>
                    </w:rPr>
                  </w:pPr>
                  <w:r>
                    <w:rPr>
                      <w:rFonts w:hint="eastAsia" w:ascii="仿宋" w:hAnsi="仿宋" w:eastAsia="仿宋"/>
                      <w:kern w:val="0"/>
                      <w:sz w:val="24"/>
                    </w:rPr>
                    <w:t>12）支持轨迹编辑功能，以图形化方式通过拖动参数曲线，来编辑一条轨迹中指定个数的点，达到让整条轨迹光滑过渡的效果；</w:t>
                  </w:r>
                </w:p>
                <w:p>
                  <w:pPr>
                    <w:rPr>
                      <w:rFonts w:ascii="仿宋" w:hAnsi="仿宋" w:eastAsia="仿宋"/>
                      <w:kern w:val="0"/>
                      <w:sz w:val="24"/>
                    </w:rPr>
                  </w:pPr>
                  <w:r>
                    <w:rPr>
                      <w:rFonts w:hint="eastAsia" w:ascii="仿宋" w:hAnsi="仿宋" w:eastAsia="仿宋"/>
                      <w:kern w:val="0"/>
                      <w:sz w:val="24"/>
                    </w:rPr>
                    <w:t>13）仿真面板支持以时间轴的方式呈现，拖动时间轴可以控制仿真进度，通过时间轴的方式同时展示多个机器人和运动机构的运动时序，并体现相互等待关系和轨迹起始时间、运行进度等；</w:t>
                  </w:r>
                </w:p>
                <w:p>
                  <w:pPr>
                    <w:rPr>
                      <w:rFonts w:ascii="仿宋" w:hAnsi="仿宋" w:eastAsia="仿宋"/>
                      <w:kern w:val="0"/>
                      <w:sz w:val="24"/>
                    </w:rPr>
                  </w:pPr>
                  <w:r>
                    <w:rPr>
                      <w:rFonts w:hint="eastAsia" w:ascii="仿宋" w:hAnsi="仿宋" w:eastAsia="仿宋"/>
                      <w:kern w:val="0"/>
                      <w:sz w:val="24"/>
                    </w:rPr>
                    <w:t>14）具备全屏显示功能并支持屏幕选择，在程序编辑和仿真调试模块中，可通过F11键将绘图区的仿真过程全屏突出显示；</w:t>
                  </w:r>
                </w:p>
                <w:p>
                  <w:pPr>
                    <w:rPr>
                      <w:rFonts w:ascii="仿宋" w:hAnsi="仿宋" w:eastAsia="仿宋"/>
                      <w:kern w:val="0"/>
                      <w:sz w:val="24"/>
                    </w:rPr>
                  </w:pPr>
                  <w:r>
                    <w:rPr>
                      <w:rFonts w:hint="eastAsia" w:ascii="仿宋" w:hAnsi="仿宋" w:eastAsia="仿宋"/>
                      <w:kern w:val="0"/>
                      <w:sz w:val="24"/>
                    </w:rPr>
                    <w:t>15）支持机器人在线查找。可以直接从云端机器人库中选择机器人进行离线编程，选择过程中支持搜索、筛选和排序，并推荐相似参数的机器人供用户选择；</w:t>
                  </w:r>
                </w:p>
                <w:p>
                  <w:pPr>
                    <w:rPr>
                      <w:rFonts w:ascii="仿宋" w:hAnsi="仿宋" w:eastAsia="仿宋"/>
                      <w:kern w:val="0"/>
                      <w:sz w:val="24"/>
                    </w:rPr>
                  </w:pPr>
                  <w:r>
                    <w:rPr>
                      <w:rFonts w:hint="eastAsia" w:ascii="仿宋" w:hAnsi="仿宋" w:eastAsia="仿宋"/>
                      <w:kern w:val="0"/>
                      <w:sz w:val="24"/>
                    </w:rPr>
                    <w:t>16）具备专业的后置代码编辑器。后置代码编辑器可以显示代码的行号，数字、注释和指令等关键字以不同颜色显示；函数在编辑过程中有参数提示；函数和注释可折叠隐藏。</w:t>
                  </w:r>
                </w:p>
                <w:p>
                  <w:pPr>
                    <w:rPr>
                      <w:rFonts w:ascii="仿宋" w:hAnsi="仿宋" w:eastAsia="仿宋"/>
                      <w:kern w:val="0"/>
                      <w:sz w:val="24"/>
                    </w:rPr>
                  </w:pPr>
                  <w:r>
                    <w:rPr>
                      <w:rFonts w:hint="eastAsia" w:ascii="仿宋" w:hAnsi="仿宋" w:eastAsia="仿宋"/>
                      <w:kern w:val="0"/>
                      <w:sz w:val="24"/>
                    </w:rPr>
                    <w:t>17）具有贴图功能，可通过贴图代替或简化离线编程软件虚拟场景中复杂的模型搭建，最大限度减小模型的大小；可极大加快绘图区的刷新帧速率，使绘图区操作响应更加灵敏。</w:t>
                  </w:r>
                </w:p>
                <w:p>
                  <w:pPr>
                    <w:rPr>
                      <w:rFonts w:ascii="仿宋" w:hAnsi="仿宋" w:eastAsia="仿宋"/>
                      <w:kern w:val="0"/>
                      <w:sz w:val="24"/>
                    </w:rPr>
                  </w:pPr>
                  <w:r>
                    <w:rPr>
                      <w:rFonts w:hint="eastAsia" w:ascii="仿宋" w:hAnsi="仿宋" w:eastAsia="仿宋"/>
                      <w:kern w:val="0"/>
                      <w:sz w:val="24"/>
                    </w:rPr>
                    <w:t>18）软件集成多类型、多行业在线工作站；集成部分全国职业院校技能大赛的工作站，方便在线模拟训练；</w:t>
                  </w:r>
                </w:p>
                <w:p>
                  <w:pPr>
                    <w:rPr>
                      <w:rFonts w:ascii="仿宋" w:hAnsi="仿宋" w:eastAsia="仿宋"/>
                      <w:kern w:val="0"/>
                      <w:sz w:val="24"/>
                    </w:rPr>
                  </w:pPr>
                  <w:r>
                    <w:rPr>
                      <w:rFonts w:hint="eastAsia" w:ascii="仿宋" w:hAnsi="仿宋" w:eastAsia="仿宋"/>
                      <w:kern w:val="0"/>
                      <w:sz w:val="24"/>
                    </w:rPr>
                    <w:t>19）可实现软件问题交流在线化；作品分享展示在线化；软件在线资源更新实时化</w:t>
                  </w:r>
                </w:p>
                <w:p>
                  <w:pPr>
                    <w:rPr>
                      <w:rFonts w:ascii="仿宋" w:hAnsi="仿宋" w:eastAsia="仿宋"/>
                      <w:kern w:val="0"/>
                      <w:sz w:val="24"/>
                    </w:rPr>
                  </w:pPr>
                  <w:r>
                    <w:rPr>
                      <w:rFonts w:hint="eastAsia" w:ascii="仿宋" w:hAnsi="仿宋" w:eastAsia="仿宋"/>
                      <w:kern w:val="0"/>
                      <w:sz w:val="24"/>
                    </w:rPr>
                    <w:t>20）可利用3D点云数据，使设计环境和真机环境内机器人、工具、被加工零部件之间的空间位置关系保持一致，实现高精度校准。</w:t>
                  </w:r>
                </w:p>
                <w:p>
                  <w:pPr>
                    <w:rPr>
                      <w:rFonts w:ascii="仿宋" w:hAnsi="仿宋" w:eastAsia="仿宋"/>
                      <w:kern w:val="0"/>
                      <w:sz w:val="24"/>
                    </w:rPr>
                  </w:pPr>
                  <w:r>
                    <w:rPr>
                      <w:rFonts w:hint="eastAsia" w:ascii="仿宋" w:hAnsi="仿宋" w:eastAsia="仿宋"/>
                      <w:kern w:val="0"/>
                      <w:sz w:val="24"/>
                    </w:rPr>
                    <w:t>21）利用云服务平台，实时把控前端软件考试活动进度；考试结果通过云端智能算法自动进行打分评判；考试全程远程、自动化运行；</w:t>
                  </w:r>
                </w:p>
                <w:p>
                  <w:pPr>
                    <w:rPr>
                      <w:rFonts w:ascii="仿宋" w:hAnsi="仿宋" w:eastAsia="仿宋"/>
                      <w:kern w:val="0"/>
                      <w:sz w:val="24"/>
                    </w:rPr>
                  </w:pPr>
                  <w:r>
                    <w:rPr>
                      <w:rFonts w:hint="eastAsia" w:ascii="仿宋" w:hAnsi="仿宋" w:eastAsia="仿宋"/>
                      <w:kern w:val="0"/>
                      <w:sz w:val="24"/>
                    </w:rPr>
                    <w:t>22）支持开放的拓展指令功能，用户可根据机器人指令自行配置工艺参数模板，再通过给轨迹点添加相关的参数内容即可实现工艺指令参数化控制；</w:t>
                  </w:r>
                </w:p>
                <w:p>
                  <w:pPr>
                    <w:rPr>
                      <w:rFonts w:ascii="仿宋" w:hAnsi="仿宋" w:eastAsia="仿宋"/>
                      <w:kern w:val="0"/>
                      <w:sz w:val="24"/>
                    </w:rPr>
                  </w:pPr>
                  <w:r>
                    <w:rPr>
                      <w:rFonts w:hint="eastAsia" w:ascii="仿宋" w:hAnsi="仿宋" w:eastAsia="仿宋"/>
                      <w:kern w:val="0"/>
                      <w:sz w:val="24"/>
                    </w:rPr>
                    <w:t>23）支持对三维模型中的曲面网格部分进行裁剪，可通过设置的裁剪范围，对区域内或外的部分进行裁剪；</w:t>
                  </w:r>
                </w:p>
                <w:p>
                  <w:pPr>
                    <w:rPr>
                      <w:rFonts w:ascii="仿宋" w:hAnsi="仿宋" w:eastAsia="仿宋"/>
                      <w:kern w:val="0"/>
                      <w:sz w:val="24"/>
                    </w:rPr>
                  </w:pPr>
                  <w:r>
                    <w:rPr>
                      <w:rFonts w:hint="eastAsia" w:ascii="仿宋" w:hAnsi="仿宋" w:eastAsia="仿宋"/>
                      <w:kern w:val="0"/>
                      <w:sz w:val="24"/>
                    </w:rPr>
                    <w:t>24）支持三维模型中的曲面网格部分进行平滑处理，对网格出现棱形的交接处进行平滑过渡；</w:t>
                  </w:r>
                </w:p>
                <w:p>
                  <w:pPr>
                    <w:rPr>
                      <w:rFonts w:ascii="仿宋" w:hAnsi="仿宋" w:eastAsia="仿宋"/>
                      <w:kern w:val="0"/>
                      <w:sz w:val="24"/>
                    </w:rPr>
                  </w:pPr>
                  <w:r>
                    <w:rPr>
                      <w:rFonts w:hint="eastAsia" w:ascii="仿宋" w:hAnsi="仿宋" w:eastAsia="仿宋"/>
                      <w:kern w:val="0"/>
                      <w:sz w:val="24"/>
                    </w:rPr>
                    <w:t>25）软件具备输出视频功能，可将绘图区的仿真效果通过参数控制，输出为MP4、avi、mkv等格式的视频文件并保存在本地磁盘；</w:t>
                  </w:r>
                </w:p>
                <w:p>
                  <w:pPr>
                    <w:rPr>
                      <w:rFonts w:ascii="仿宋" w:hAnsi="仿宋" w:eastAsia="仿宋"/>
                      <w:kern w:val="0"/>
                      <w:sz w:val="24"/>
                    </w:rPr>
                  </w:pPr>
                  <w:r>
                    <w:rPr>
                      <w:rFonts w:hint="eastAsia" w:ascii="仿宋" w:hAnsi="仿宋" w:eastAsia="仿宋"/>
                      <w:kern w:val="0"/>
                      <w:sz w:val="24"/>
                    </w:rPr>
                    <w:t>26）支持视向动画，通过对仿真流程不同时间节点添加视图，可实现在仿真过程中自定切换设置的不同视角查看仿真流程；</w:t>
                  </w:r>
                </w:p>
                <w:p>
                  <w:pPr>
                    <w:rPr>
                      <w:rFonts w:ascii="仿宋" w:hAnsi="仿宋" w:eastAsia="仿宋"/>
                      <w:kern w:val="0"/>
                      <w:sz w:val="24"/>
                    </w:rPr>
                  </w:pPr>
                  <w:r>
                    <w:rPr>
                      <w:rFonts w:hint="eastAsia" w:ascii="仿宋" w:hAnsi="仿宋" w:eastAsia="仿宋"/>
                      <w:kern w:val="0"/>
                      <w:sz w:val="24"/>
                    </w:rPr>
                    <w:t>27）支持C/C++、Python等语言开发，软件可实现通过调用编写的Python脚本导入零件模型，生成机器人轨迹；</w:t>
                  </w:r>
                </w:p>
                <w:p>
                  <w:pPr>
                    <w:rPr>
                      <w:rFonts w:ascii="仿宋" w:hAnsi="仿宋" w:eastAsia="仿宋"/>
                      <w:kern w:val="0"/>
                      <w:sz w:val="24"/>
                    </w:rPr>
                  </w:pPr>
                  <w:r>
                    <w:rPr>
                      <w:rFonts w:hint="eastAsia" w:ascii="仿宋" w:hAnsi="仿宋" w:eastAsia="仿宋"/>
                      <w:kern w:val="0"/>
                      <w:sz w:val="24"/>
                    </w:rPr>
                    <w:t>38）支持自定义UI界面；</w:t>
                  </w:r>
                </w:p>
                <w:p>
                  <w:pPr>
                    <w:rPr>
                      <w:rFonts w:ascii="仿宋" w:hAnsi="仿宋" w:eastAsia="仿宋"/>
                      <w:kern w:val="0"/>
                      <w:sz w:val="24"/>
                    </w:rPr>
                  </w:pPr>
                  <w:r>
                    <w:rPr>
                      <w:rFonts w:hint="eastAsia" w:ascii="仿宋" w:hAnsi="仿宋" w:eastAsia="仿宋"/>
                      <w:kern w:val="0"/>
                      <w:sz w:val="24"/>
                    </w:rPr>
                    <w:t>29）支持与软件内场景元素进行数据交互，获取场景元素信息，如名称、位姿、关节角等数据；</w:t>
                  </w:r>
                </w:p>
                <w:p>
                  <w:pPr>
                    <w:rPr>
                      <w:rFonts w:ascii="仿宋" w:hAnsi="仿宋" w:eastAsia="仿宋"/>
                      <w:kern w:val="0"/>
                      <w:sz w:val="24"/>
                    </w:rPr>
                  </w:pPr>
                  <w:r>
                    <w:rPr>
                      <w:rFonts w:hint="eastAsia" w:ascii="仿宋" w:hAnsi="仿宋" w:eastAsia="仿宋"/>
                      <w:kern w:val="0"/>
                      <w:sz w:val="24"/>
                    </w:rPr>
                    <w:t>30）支持更新软件内场景元素数据，如名称、位姿、关节角等数据；</w:t>
                  </w:r>
                </w:p>
                <w:p>
                  <w:pPr>
                    <w:rPr>
                      <w:rFonts w:ascii="仿宋" w:hAnsi="仿宋" w:eastAsia="仿宋"/>
                      <w:kern w:val="0"/>
                      <w:sz w:val="24"/>
                    </w:rPr>
                  </w:pPr>
                  <w:r>
                    <w:rPr>
                      <w:rFonts w:hint="eastAsia" w:ascii="仿宋" w:hAnsi="仿宋" w:eastAsia="仿宋"/>
                      <w:kern w:val="0"/>
                      <w:sz w:val="24"/>
                    </w:rPr>
                    <w:t>31）支持导入轨迹点信息生成软件内轨迹元素；</w:t>
                  </w:r>
                </w:p>
                <w:p>
                  <w:pPr>
                    <w:rPr>
                      <w:rFonts w:ascii="仿宋" w:hAnsi="仿宋" w:eastAsia="仿宋"/>
                      <w:kern w:val="0"/>
                      <w:sz w:val="24"/>
                    </w:rPr>
                  </w:pPr>
                  <w:r>
                    <w:rPr>
                      <w:rFonts w:hint="eastAsia" w:ascii="仿宋" w:hAnsi="仿宋" w:eastAsia="仿宋"/>
                      <w:kern w:val="0"/>
                      <w:sz w:val="24"/>
                    </w:rPr>
                    <w:t>32）支持在软件中创建零件；</w:t>
                  </w:r>
                </w:p>
                <w:p>
                  <w:pPr>
                    <w:rPr>
                      <w:rFonts w:ascii="仿宋" w:hAnsi="仿宋" w:eastAsia="仿宋"/>
                      <w:kern w:val="0"/>
                      <w:sz w:val="24"/>
                    </w:rPr>
                  </w:pPr>
                  <w:r>
                    <w:rPr>
                      <w:rFonts w:hint="eastAsia" w:ascii="仿宋" w:hAnsi="仿宋" w:eastAsia="仿宋"/>
                      <w:kern w:val="0"/>
                      <w:sz w:val="24"/>
                    </w:rPr>
                    <w:t>33）支持触发软件中的仿真模块，包含整体场景仿真、轨迹组仿真、单轨迹仿真等；</w:t>
                  </w:r>
                </w:p>
                <w:p>
                  <w:pPr>
                    <w:adjustRightInd w:val="0"/>
                    <w:rPr>
                      <w:rFonts w:ascii="仿宋" w:hAnsi="仿宋" w:eastAsia="仿宋"/>
                      <w:kern w:val="0"/>
                      <w:sz w:val="24"/>
                    </w:rPr>
                  </w:pPr>
                  <w:r>
                    <w:rPr>
                      <w:rFonts w:hint="eastAsia" w:ascii="仿宋" w:hAnsi="仿宋" w:eastAsia="仿宋"/>
                      <w:kern w:val="0"/>
                      <w:sz w:val="24"/>
                    </w:rPr>
                    <w:t>34）支持与软件进行命令交互，触发软件轨迹生成、编译、后置等命令操作；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6" w:hRule="atLeast"/>
              </w:trPr>
              <w:tc>
                <w:tcPr>
                  <w:tcW w:w="0" w:type="auto"/>
                  <w:vMerge w:val="continue"/>
                  <w:noWrap w:val="0"/>
                  <w:vAlign w:val="top"/>
                </w:tcPr>
                <w:p>
                  <w:pPr>
                    <w:adjustRightInd w:val="0"/>
                    <w:jc w:val="left"/>
                    <w:rPr>
                      <w:rFonts w:ascii="仿宋" w:hAnsi="仿宋" w:eastAsia="仿宋"/>
                      <w:kern w:val="0"/>
                      <w:sz w:val="24"/>
                    </w:rPr>
                  </w:pPr>
                </w:p>
              </w:tc>
              <w:tc>
                <w:tcPr>
                  <w:tcW w:w="0" w:type="auto"/>
                  <w:noWrap w:val="0"/>
                  <w:vAlign w:val="top"/>
                </w:tcPr>
                <w:p>
                  <w:pPr>
                    <w:adjustRightInd w:val="0"/>
                    <w:jc w:val="left"/>
                    <w:rPr>
                      <w:rFonts w:ascii="仿宋" w:hAnsi="仿宋" w:eastAsia="仿宋"/>
                      <w:kern w:val="0"/>
                      <w:sz w:val="24"/>
                    </w:rPr>
                  </w:pPr>
                  <w:r>
                    <w:rPr>
                      <w:rFonts w:hint="eastAsia" w:ascii="仿宋" w:hAnsi="仿宋" w:eastAsia="仿宋"/>
                      <w:kern w:val="0"/>
                      <w:sz w:val="24"/>
                    </w:rPr>
                    <w:t>工厂虚拟调试仿真软件×2：</w:t>
                  </w:r>
                </w:p>
                <w:p>
                  <w:pPr>
                    <w:jc w:val="left"/>
                    <w:rPr>
                      <w:rFonts w:ascii="仿宋" w:hAnsi="仿宋" w:eastAsia="仿宋"/>
                      <w:kern w:val="0"/>
                      <w:sz w:val="24"/>
                    </w:rPr>
                  </w:pPr>
                  <w:r>
                    <w:rPr>
                      <w:rFonts w:hint="eastAsia" w:ascii="仿宋" w:hAnsi="仿宋" w:eastAsia="仿宋"/>
                      <w:kern w:val="0"/>
                      <w:sz w:val="24"/>
                    </w:rPr>
                    <w:t>1）正版软件，可提供持续的中文技术支持服务，软件可使用所有功能模块，界面没有试用版字样；</w:t>
                  </w:r>
                </w:p>
                <w:p>
                  <w:pPr>
                    <w:jc w:val="left"/>
                    <w:rPr>
                      <w:rFonts w:ascii="仿宋" w:hAnsi="仿宋" w:eastAsia="仿宋"/>
                      <w:kern w:val="0"/>
                      <w:sz w:val="24"/>
                    </w:rPr>
                  </w:pPr>
                  <w:r>
                    <w:rPr>
                      <w:rFonts w:hint="eastAsia" w:ascii="仿宋" w:hAnsi="仿宋" w:eastAsia="仿宋"/>
                      <w:kern w:val="0"/>
                      <w:sz w:val="24"/>
                    </w:rPr>
                    <w:t>2）具备快速搭建智能制造产线、智能装配产线以及物流产线的仿真模拟，进行工艺规划与工厂规划，逻辑与程序验证，实现生产流程高效、可靠。</w:t>
                  </w:r>
                </w:p>
                <w:p>
                  <w:pPr>
                    <w:jc w:val="left"/>
                    <w:rPr>
                      <w:rFonts w:ascii="仿宋" w:hAnsi="仿宋" w:eastAsia="仿宋"/>
                      <w:kern w:val="0"/>
                      <w:sz w:val="24"/>
                    </w:rPr>
                  </w:pPr>
                  <w:r>
                    <w:rPr>
                      <w:rFonts w:hint="eastAsia" w:ascii="仿宋" w:hAnsi="仿宋" w:eastAsia="仿宋"/>
                      <w:kern w:val="0"/>
                      <w:sz w:val="24"/>
                    </w:rPr>
                    <w:t>3）支持根据生产工艺要求，结合零件点线面特征进行工作路径自动规划，并与其他自动化设备进行仿真验证，自动生成机器人程序，支持ABB、KUKA、Fanuc等90个以上品牌机器人。</w:t>
                  </w:r>
                </w:p>
                <w:p>
                  <w:pPr>
                    <w:jc w:val="left"/>
                    <w:rPr>
                      <w:rFonts w:ascii="仿宋" w:hAnsi="仿宋" w:eastAsia="仿宋"/>
                      <w:kern w:val="0"/>
                      <w:sz w:val="24"/>
                    </w:rPr>
                  </w:pPr>
                  <w:r>
                    <w:rPr>
                      <w:rFonts w:hint="eastAsia" w:ascii="仿宋" w:hAnsi="仿宋" w:eastAsia="仿宋"/>
                      <w:kern w:val="0"/>
                      <w:sz w:val="24"/>
                    </w:rPr>
                    <w:t>4）可基于CAD数据生成机器人加工轨迹，简化轨迹生成过程，提高精度，可利用实体模型、曲面或曲线直接生成机器人加工轨迹；</w:t>
                  </w:r>
                </w:p>
                <w:p>
                  <w:pPr>
                    <w:jc w:val="left"/>
                    <w:rPr>
                      <w:rFonts w:ascii="仿宋" w:hAnsi="仿宋" w:eastAsia="仿宋"/>
                      <w:kern w:val="0"/>
                      <w:sz w:val="24"/>
                    </w:rPr>
                  </w:pPr>
                  <w:r>
                    <w:rPr>
                      <w:rFonts w:hint="eastAsia" w:ascii="仿宋" w:hAnsi="仿宋" w:eastAsia="仿宋"/>
                      <w:kern w:val="0"/>
                      <w:sz w:val="24"/>
                    </w:rPr>
                    <w:t>5）可为人和AGV小车，生成导航路径；</w:t>
                  </w:r>
                </w:p>
                <w:p>
                  <w:pPr>
                    <w:jc w:val="left"/>
                    <w:rPr>
                      <w:rFonts w:ascii="仿宋" w:hAnsi="仿宋" w:eastAsia="仿宋"/>
                      <w:kern w:val="0"/>
                      <w:sz w:val="24"/>
                    </w:rPr>
                  </w:pPr>
                  <w:r>
                    <w:rPr>
                      <w:rFonts w:hint="eastAsia" w:ascii="仿宋" w:hAnsi="仿宋" w:eastAsia="仿宋"/>
                      <w:kern w:val="0"/>
                      <w:sz w:val="24"/>
                    </w:rPr>
                    <w:t>6）仿真与调试支持VR沉浸式体验。在VR环境中进行漫游，还可查看整条产线的仿真流程；</w:t>
                  </w:r>
                </w:p>
                <w:p>
                  <w:pPr>
                    <w:jc w:val="left"/>
                    <w:rPr>
                      <w:rFonts w:ascii="仿宋" w:hAnsi="仿宋" w:eastAsia="仿宋"/>
                      <w:kern w:val="0"/>
                      <w:sz w:val="24"/>
                    </w:rPr>
                  </w:pPr>
                  <w:r>
                    <w:rPr>
                      <w:rFonts w:hint="eastAsia" w:ascii="仿宋" w:hAnsi="仿宋" w:eastAsia="仿宋"/>
                      <w:kern w:val="0"/>
                      <w:sz w:val="24"/>
                    </w:rPr>
                    <w:t>7）提供≥200种的智能制造工作单元和设备资源，支持智能产线中各种主流设备的仿真与虚拟调试，包括PLC、机器人、传感器、变位机、导轨等，可实现规划与设计车间布局，自由调整。</w:t>
                  </w:r>
                </w:p>
                <w:p>
                  <w:pPr>
                    <w:jc w:val="left"/>
                    <w:rPr>
                      <w:rFonts w:ascii="仿宋" w:hAnsi="仿宋" w:eastAsia="仿宋"/>
                      <w:kern w:val="0"/>
                      <w:sz w:val="24"/>
                    </w:rPr>
                  </w:pPr>
                  <w:r>
                    <w:rPr>
                      <w:rFonts w:hint="eastAsia" w:ascii="仿宋" w:hAnsi="仿宋" w:eastAsia="仿宋"/>
                      <w:kern w:val="0"/>
                      <w:sz w:val="24"/>
                    </w:rPr>
                    <w:t>8）可以直接从云端设备库中选择机器人、物流等设备模块进行仿真调试，选择过程中支持搜索、筛选和排序，并推荐相似参数的模块设备，组成与实际设备一致的3D数字模型，自定义模块属性，生成与实际设备一致的业务路径；</w:t>
                  </w:r>
                </w:p>
                <w:p>
                  <w:pPr>
                    <w:jc w:val="left"/>
                    <w:rPr>
                      <w:rFonts w:ascii="仿宋" w:hAnsi="仿宋" w:eastAsia="仿宋"/>
                      <w:kern w:val="0"/>
                      <w:sz w:val="24"/>
                    </w:rPr>
                  </w:pPr>
                  <w:r>
                    <w:rPr>
                      <w:rFonts w:hint="eastAsia" w:ascii="仿宋" w:hAnsi="仿宋" w:eastAsia="仿宋"/>
                      <w:kern w:val="0"/>
                      <w:sz w:val="24"/>
                    </w:rPr>
                    <w:t>9）支持智能制造数字孪生功能，利用基于事件且由信号驱动的仿真技术实现了生产系统的虚拟调试，虚拟调试可用在完全虚拟环节中进行，也可是实物控制设备和虚拟工作设备互联实现半实物调试。</w:t>
                  </w:r>
                </w:p>
                <w:p>
                  <w:pPr>
                    <w:jc w:val="left"/>
                    <w:rPr>
                      <w:rFonts w:ascii="仿宋" w:hAnsi="仿宋" w:eastAsia="仿宋"/>
                      <w:kern w:val="0"/>
                      <w:sz w:val="24"/>
                    </w:rPr>
                  </w:pPr>
                  <w:r>
                    <w:rPr>
                      <w:rFonts w:hint="eastAsia" w:ascii="仿宋" w:hAnsi="仿宋" w:eastAsia="仿宋"/>
                      <w:kern w:val="0"/>
                      <w:sz w:val="24"/>
                    </w:rPr>
                    <w:t>10）支持多种三维格式模型的自由导入，软件可通过导入不同格式的三维模型进行自动化系统或制造车间的规划、仿真。</w:t>
                  </w:r>
                </w:p>
                <w:p>
                  <w:pPr>
                    <w:jc w:val="left"/>
                    <w:rPr>
                      <w:rFonts w:ascii="仿宋" w:hAnsi="仿宋" w:eastAsia="仿宋"/>
                      <w:kern w:val="0"/>
                      <w:sz w:val="24"/>
                    </w:rPr>
                  </w:pPr>
                  <w:r>
                    <w:rPr>
                      <w:rFonts w:hint="eastAsia" w:ascii="仿宋" w:hAnsi="仿宋" w:eastAsia="仿宋"/>
                      <w:kern w:val="0"/>
                      <w:sz w:val="24"/>
                    </w:rPr>
                    <w:t>11）通过仿真机器人可执行代码，模拟机器人在软件环境中的运动状态，并支持循环指令（如For）控制机机器人重复运动；</w:t>
                  </w:r>
                </w:p>
                <w:p>
                  <w:pPr>
                    <w:jc w:val="left"/>
                    <w:rPr>
                      <w:rFonts w:ascii="仿宋" w:hAnsi="仿宋" w:eastAsia="仿宋"/>
                      <w:kern w:val="0"/>
                      <w:sz w:val="24"/>
                    </w:rPr>
                  </w:pPr>
                  <w:r>
                    <w:rPr>
                      <w:rFonts w:hint="eastAsia" w:ascii="仿宋" w:hAnsi="仿宋" w:eastAsia="仿宋"/>
                      <w:kern w:val="0"/>
                      <w:sz w:val="24"/>
                    </w:rPr>
                    <w:t>12）具备专业的后置代码编辑器。后置代码编辑器可以显示代码的行号，数字、注释和指令等关键字以不同颜色显示；函数在编辑过程中有参数提示；函数和注释可折叠隐藏；</w:t>
                  </w:r>
                </w:p>
                <w:p>
                  <w:pPr>
                    <w:jc w:val="left"/>
                    <w:rPr>
                      <w:rFonts w:ascii="仿宋" w:hAnsi="仿宋" w:eastAsia="仿宋"/>
                      <w:kern w:val="0"/>
                      <w:sz w:val="24"/>
                    </w:rPr>
                  </w:pPr>
                  <w:r>
                    <w:rPr>
                      <w:rFonts w:hint="eastAsia" w:ascii="仿宋" w:hAnsi="仿宋" w:eastAsia="仿宋"/>
                      <w:kern w:val="0"/>
                      <w:sz w:val="24"/>
                    </w:rPr>
                    <w:t>13）支持场景设备的自由定义，用户可通过设计的三维模型以及技术参数自由定义机器人、工具、零件、传感器等设备。</w:t>
                  </w:r>
                </w:p>
                <w:p>
                  <w:pPr>
                    <w:jc w:val="left"/>
                    <w:rPr>
                      <w:rFonts w:ascii="仿宋" w:hAnsi="仿宋" w:eastAsia="仿宋"/>
                      <w:kern w:val="0"/>
                      <w:sz w:val="24"/>
                    </w:rPr>
                  </w:pPr>
                  <w:r>
                    <w:rPr>
                      <w:rFonts w:hint="eastAsia" w:ascii="仿宋" w:hAnsi="仿宋" w:eastAsia="仿宋"/>
                      <w:kern w:val="0"/>
                      <w:sz w:val="24"/>
                    </w:rPr>
                    <w:t>14）支持定义零件生成器，通过时间和信号的控制方式模拟物料重复生成和消失的过程；</w:t>
                  </w:r>
                </w:p>
                <w:p>
                  <w:pPr>
                    <w:jc w:val="left"/>
                    <w:rPr>
                      <w:rFonts w:ascii="仿宋" w:hAnsi="仿宋" w:eastAsia="仿宋"/>
                      <w:kern w:val="0"/>
                      <w:sz w:val="24"/>
                    </w:rPr>
                  </w:pPr>
                  <w:r>
                    <w:rPr>
                      <w:rFonts w:hint="eastAsia" w:ascii="仿宋" w:hAnsi="仿宋" w:eastAsia="仿宋"/>
                      <w:kern w:val="0"/>
                      <w:sz w:val="24"/>
                    </w:rPr>
                    <w:t>15）支持贴图功能，可通过贴图代替或简化离线编程软件虚拟场景中复杂的模型搭建，最大限度减小模型的大小；可极大加快绘图区的刷新帧速率，使绘图区操作响应更加灵敏。</w:t>
                  </w:r>
                </w:p>
                <w:p>
                  <w:pPr>
                    <w:jc w:val="left"/>
                    <w:rPr>
                      <w:rFonts w:ascii="仿宋" w:hAnsi="仿宋" w:eastAsia="仿宋"/>
                      <w:kern w:val="0"/>
                      <w:sz w:val="24"/>
                    </w:rPr>
                  </w:pPr>
                  <w:r>
                    <w:rPr>
                      <w:rFonts w:hint="eastAsia" w:ascii="仿宋" w:hAnsi="仿宋" w:eastAsia="仿宋"/>
                      <w:kern w:val="0"/>
                      <w:sz w:val="24"/>
                    </w:rPr>
                    <w:t>16）软件支持绘图区的全屏显示，在程序设计或仿真过程中，可通过按F11快捷键突出显示设计环境的绘图区内的模型；</w:t>
                  </w:r>
                </w:p>
                <w:p>
                  <w:pPr>
                    <w:jc w:val="left"/>
                    <w:rPr>
                      <w:rFonts w:ascii="仿宋" w:hAnsi="仿宋" w:eastAsia="仿宋"/>
                      <w:kern w:val="0"/>
                      <w:sz w:val="24"/>
                    </w:rPr>
                  </w:pPr>
                  <w:r>
                    <w:rPr>
                      <w:rFonts w:hint="eastAsia" w:ascii="仿宋" w:hAnsi="仿宋" w:eastAsia="仿宋"/>
                      <w:kern w:val="0"/>
                      <w:sz w:val="24"/>
                    </w:rPr>
                    <w:t>17）支持和多种品牌的PLC设备进行信号的联调，包括西门子、三菱、欧姆龙等；</w:t>
                  </w:r>
                </w:p>
                <w:p>
                  <w:pPr>
                    <w:jc w:val="left"/>
                    <w:rPr>
                      <w:rFonts w:ascii="仿宋" w:hAnsi="仿宋" w:eastAsia="仿宋"/>
                      <w:kern w:val="0"/>
                      <w:sz w:val="24"/>
                    </w:rPr>
                  </w:pPr>
                  <w:r>
                    <w:rPr>
                      <w:rFonts w:hint="eastAsia" w:ascii="仿宋" w:hAnsi="仿宋" w:eastAsia="仿宋"/>
                      <w:kern w:val="0"/>
                      <w:sz w:val="24"/>
                    </w:rPr>
                    <w:t>18）支持信号调试面板的显示，软件在虚拟仿真过程中，可通过信号调试面板实时观测相关信号的状态；</w:t>
                  </w:r>
                </w:p>
                <w:p>
                  <w:pPr>
                    <w:jc w:val="left"/>
                    <w:rPr>
                      <w:rFonts w:ascii="仿宋" w:hAnsi="仿宋" w:eastAsia="仿宋"/>
                      <w:kern w:val="0"/>
                      <w:sz w:val="24"/>
                    </w:rPr>
                  </w:pPr>
                  <w:r>
                    <w:rPr>
                      <w:rFonts w:hint="eastAsia" w:ascii="仿宋" w:hAnsi="仿宋" w:eastAsia="仿宋"/>
                      <w:kern w:val="0"/>
                      <w:sz w:val="24"/>
                    </w:rPr>
                    <w:t>19）支持虚拟PLC的调试，用户可通过自行编写Python和SCL虚拟PLC程序，实现软件中的设备和虚拟PLC之间的信号调试；</w:t>
                  </w:r>
                </w:p>
                <w:p>
                  <w:pPr>
                    <w:jc w:val="left"/>
                    <w:rPr>
                      <w:rFonts w:ascii="仿宋" w:hAnsi="仿宋" w:eastAsia="仿宋"/>
                      <w:kern w:val="0"/>
                      <w:sz w:val="24"/>
                    </w:rPr>
                  </w:pPr>
                  <w:r>
                    <w:rPr>
                      <w:rFonts w:hint="eastAsia" w:ascii="仿宋" w:hAnsi="仿宋" w:eastAsia="仿宋"/>
                      <w:kern w:val="0"/>
                      <w:sz w:val="24"/>
                    </w:rPr>
                    <w:t>20）利用云服务平台，实时把控前端软件考试活动进度；考试结果通过云端智能算法自动进行打分评判；考试全程远程、自动化运行；</w:t>
                  </w:r>
                </w:p>
                <w:p>
                  <w:pPr>
                    <w:jc w:val="left"/>
                    <w:rPr>
                      <w:rFonts w:ascii="仿宋" w:hAnsi="仿宋" w:eastAsia="仿宋"/>
                      <w:kern w:val="0"/>
                      <w:sz w:val="24"/>
                    </w:rPr>
                  </w:pPr>
                  <w:r>
                    <w:rPr>
                      <w:rFonts w:hint="eastAsia" w:ascii="仿宋" w:hAnsi="仿宋" w:eastAsia="仿宋"/>
                      <w:kern w:val="0"/>
                      <w:sz w:val="24"/>
                    </w:rPr>
                    <w:t>21）实现了软件技术手册、问题交流的在线化，相关在线资源的实时化更新；</w:t>
                  </w:r>
                </w:p>
                <w:p>
                  <w:pPr>
                    <w:jc w:val="left"/>
                    <w:rPr>
                      <w:rFonts w:ascii="仿宋" w:hAnsi="仿宋" w:eastAsia="仿宋"/>
                      <w:kern w:val="0"/>
                      <w:sz w:val="24"/>
                    </w:rPr>
                  </w:pPr>
                  <w:r>
                    <w:rPr>
                      <w:rFonts w:hint="eastAsia" w:ascii="仿宋" w:hAnsi="仿宋" w:eastAsia="仿宋"/>
                      <w:kern w:val="0"/>
                      <w:sz w:val="24"/>
                    </w:rPr>
                    <w:t>22）提供多种智能制造和智能装配产线的时序仿真、虚拟调试的学习案例，帮助用户快速掌握软件功能的使用；</w:t>
                  </w:r>
                </w:p>
                <w:p>
                  <w:pPr>
                    <w:jc w:val="left"/>
                    <w:rPr>
                      <w:rFonts w:ascii="仿宋" w:hAnsi="仿宋" w:eastAsia="仿宋"/>
                      <w:kern w:val="0"/>
                      <w:sz w:val="24"/>
                    </w:rPr>
                  </w:pPr>
                  <w:r>
                    <w:rPr>
                      <w:rFonts w:hint="eastAsia" w:ascii="仿宋" w:hAnsi="仿宋" w:eastAsia="仿宋"/>
                      <w:kern w:val="0"/>
                      <w:sz w:val="24"/>
                    </w:rPr>
                    <w:t>23）连接真实PLC设备，支持多种品牌网关的连接，包含组态王、炫思及MQTT网关；</w:t>
                  </w:r>
                </w:p>
                <w:p>
                  <w:pPr>
                    <w:adjustRightInd w:val="0"/>
                    <w:jc w:val="left"/>
                    <w:rPr>
                      <w:rFonts w:ascii="仿宋" w:hAnsi="仿宋" w:eastAsia="仿宋"/>
                      <w:kern w:val="0"/>
                      <w:sz w:val="24"/>
                    </w:rPr>
                  </w:pPr>
                  <w:r>
                    <w:rPr>
                      <w:rFonts w:hint="eastAsia" w:ascii="仿宋" w:hAnsi="仿宋" w:eastAsia="仿宋"/>
                      <w:kern w:val="0"/>
                      <w:sz w:val="24"/>
                    </w:rPr>
                    <w:t>24）支持PLC编程软件中变量表的导入，包含robport、csv以及xlsx等格式；</w:t>
                  </w:r>
                </w:p>
              </w:tc>
            </w:tr>
          </w:tbl>
          <w:p>
            <w:pPr>
              <w:adjustRightInd w:val="0"/>
              <w:ind w:right="-120"/>
              <w:jc w:val="left"/>
              <w:rPr>
                <w:rFonts w:ascii="仿宋" w:hAnsi="仿宋" w:eastAsia="仿宋"/>
                <w:kern w:val="0"/>
                <w:sz w:val="24"/>
              </w:rPr>
            </w:pPr>
          </w:p>
        </w:tc>
        <w:tc>
          <w:tcPr>
            <w:tcW w:w="342" w:type="pct"/>
            <w:noWrap w:val="0"/>
            <w:vAlign w:val="top"/>
          </w:tcPr>
          <w:p>
            <w:pPr>
              <w:adjustRightInd w:val="0"/>
              <w:ind w:right="-120"/>
              <w:jc w:val="left"/>
              <w:rPr>
                <w:rFonts w:ascii="仿宋" w:hAnsi="仿宋" w:eastAsia="仿宋"/>
                <w:kern w:val="0"/>
                <w:sz w:val="24"/>
              </w:rPr>
            </w:pPr>
            <w:r>
              <w:rPr>
                <w:rFonts w:hint="eastAsia" w:ascii="仿宋" w:hAnsi="仿宋" w:eastAsia="仿宋"/>
                <w:kern w:val="0"/>
                <w:sz w:val="24"/>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9" w:hRule="atLeast"/>
        </w:trPr>
        <w:tc>
          <w:tcPr>
            <w:tcW w:w="213" w:type="pct"/>
            <w:noWrap w:val="0"/>
            <w:vAlign w:val="top"/>
          </w:tcPr>
          <w:p>
            <w:pPr>
              <w:adjustRightInd w:val="0"/>
              <w:ind w:right="-120"/>
              <w:jc w:val="left"/>
              <w:rPr>
                <w:rFonts w:ascii="仿宋" w:hAnsi="仿宋" w:eastAsia="仿宋"/>
                <w:kern w:val="0"/>
                <w:sz w:val="24"/>
              </w:rPr>
            </w:pPr>
            <w:r>
              <w:rPr>
                <w:rFonts w:hint="eastAsia" w:ascii="仿宋" w:hAnsi="仿宋" w:eastAsia="仿宋"/>
                <w:b/>
                <w:bCs/>
                <w:kern w:val="0"/>
                <w:sz w:val="24"/>
              </w:rPr>
              <w:t>2</w:t>
            </w:r>
          </w:p>
        </w:tc>
        <w:tc>
          <w:tcPr>
            <w:tcW w:w="352" w:type="pct"/>
            <w:noWrap w:val="0"/>
            <w:vAlign w:val="top"/>
          </w:tcPr>
          <w:p>
            <w:pPr>
              <w:adjustRightInd w:val="0"/>
              <w:ind w:right="-120"/>
              <w:jc w:val="left"/>
              <w:rPr>
                <w:rFonts w:ascii="仿宋" w:hAnsi="仿宋" w:eastAsia="仿宋"/>
                <w:kern w:val="0"/>
                <w:sz w:val="24"/>
              </w:rPr>
            </w:pPr>
            <w:r>
              <w:rPr>
                <w:rFonts w:hint="eastAsia" w:ascii="仿宋" w:hAnsi="仿宋" w:eastAsia="仿宋"/>
                <w:kern w:val="0"/>
                <w:sz w:val="24"/>
              </w:rPr>
              <w:t>管控一体化</w:t>
            </w:r>
            <w:r>
              <w:rPr>
                <w:rFonts w:ascii="仿宋" w:hAnsi="仿宋" w:eastAsia="仿宋"/>
                <w:kern w:val="0"/>
                <w:sz w:val="24"/>
              </w:rPr>
              <w:t>MES系统</w:t>
            </w:r>
          </w:p>
        </w:tc>
        <w:tc>
          <w:tcPr>
            <w:tcW w:w="4092" w:type="pct"/>
            <w:noWrap w:val="0"/>
            <w:vAlign w:val="top"/>
          </w:tcPr>
          <w:p>
            <w:pPr>
              <w:adjustRightInd w:val="0"/>
              <w:ind w:right="-120"/>
              <w:jc w:val="left"/>
              <w:rPr>
                <w:rFonts w:ascii="仿宋" w:hAnsi="仿宋" w:eastAsia="仿宋"/>
                <w:kern w:val="0"/>
                <w:sz w:val="24"/>
              </w:rPr>
            </w:pPr>
            <w:r>
              <w:rPr>
                <w:rFonts w:hint="eastAsia" w:ascii="仿宋" w:hAnsi="仿宋" w:eastAsia="仿宋"/>
                <w:kern w:val="0"/>
                <w:sz w:val="24"/>
              </w:rPr>
              <w:t>管控一体化</w:t>
            </w:r>
            <w:r>
              <w:rPr>
                <w:rFonts w:ascii="仿宋" w:hAnsi="仿宋" w:eastAsia="仿宋"/>
                <w:kern w:val="0"/>
                <w:sz w:val="24"/>
              </w:rPr>
              <w:t>MES系统：</w:t>
            </w:r>
          </w:p>
          <w:p>
            <w:pPr>
              <w:adjustRightInd w:val="0"/>
              <w:ind w:right="-120"/>
              <w:jc w:val="left"/>
              <w:rPr>
                <w:rFonts w:ascii="仿宋" w:hAnsi="仿宋" w:eastAsia="仿宋"/>
                <w:kern w:val="0"/>
                <w:sz w:val="24"/>
              </w:rPr>
            </w:pPr>
            <w:r>
              <w:rPr>
                <w:rFonts w:hint="eastAsia" w:ascii="仿宋" w:hAnsi="仿宋" w:eastAsia="仿宋"/>
                <w:kern w:val="0"/>
                <w:sz w:val="24"/>
              </w:rPr>
              <w:t>（</w:t>
            </w:r>
            <w:r>
              <w:rPr>
                <w:rFonts w:ascii="仿宋" w:hAnsi="仿宋" w:eastAsia="仿宋"/>
                <w:kern w:val="0"/>
                <w:sz w:val="24"/>
              </w:rPr>
              <w:t>1）系统需具备自主知识产权，正版软件，全中文操作界面，可提供持续的中文技术支持服务。</w:t>
            </w:r>
          </w:p>
          <w:p>
            <w:pPr>
              <w:adjustRightInd w:val="0"/>
              <w:ind w:right="-120"/>
              <w:jc w:val="left"/>
              <w:rPr>
                <w:rFonts w:ascii="仿宋" w:hAnsi="仿宋" w:eastAsia="仿宋"/>
                <w:kern w:val="0"/>
                <w:sz w:val="24"/>
              </w:rPr>
            </w:pPr>
            <w:r>
              <w:rPr>
                <w:rFonts w:hint="eastAsia" w:ascii="仿宋" w:hAnsi="仿宋" w:eastAsia="仿宋"/>
                <w:kern w:val="0"/>
                <w:sz w:val="24"/>
              </w:rPr>
              <w:t>（</w:t>
            </w:r>
            <w:r>
              <w:rPr>
                <w:rFonts w:ascii="仿宋" w:hAnsi="仿宋" w:eastAsia="仿宋"/>
                <w:kern w:val="0"/>
                <w:sz w:val="24"/>
              </w:rPr>
              <w:t>2）系统应为B/S架构，支持大规模并发用户在线使用，同时提供快速、优化的查询处理算法，保证系统的及时响应。</w:t>
            </w:r>
          </w:p>
          <w:p>
            <w:pPr>
              <w:adjustRightInd w:val="0"/>
              <w:ind w:right="-120"/>
              <w:jc w:val="left"/>
              <w:rPr>
                <w:rFonts w:ascii="仿宋" w:hAnsi="仿宋" w:eastAsia="仿宋"/>
                <w:kern w:val="0"/>
                <w:sz w:val="24"/>
              </w:rPr>
            </w:pPr>
            <w:r>
              <w:rPr>
                <w:rFonts w:hint="eastAsia" w:ascii="仿宋" w:hAnsi="仿宋" w:eastAsia="仿宋"/>
                <w:kern w:val="0"/>
                <w:sz w:val="24"/>
              </w:rPr>
              <w:t>（</w:t>
            </w:r>
            <w:r>
              <w:rPr>
                <w:rFonts w:ascii="仿宋" w:hAnsi="仿宋" w:eastAsia="仿宋"/>
                <w:kern w:val="0"/>
                <w:sz w:val="24"/>
              </w:rPr>
              <w:t>3）系统应提供完整的软件安装手册、系统操作手册，提供全面的用户指导与培训。</w:t>
            </w:r>
          </w:p>
          <w:p>
            <w:pPr>
              <w:adjustRightInd w:val="0"/>
              <w:ind w:right="-120"/>
              <w:jc w:val="left"/>
              <w:rPr>
                <w:rFonts w:ascii="仿宋" w:hAnsi="仿宋" w:eastAsia="仿宋"/>
                <w:kern w:val="0"/>
                <w:sz w:val="24"/>
              </w:rPr>
            </w:pPr>
            <w:r>
              <w:rPr>
                <w:rFonts w:hint="eastAsia" w:ascii="仿宋" w:hAnsi="仿宋" w:eastAsia="仿宋"/>
                <w:kern w:val="0"/>
                <w:sz w:val="24"/>
              </w:rPr>
              <w:t>（</w:t>
            </w:r>
            <w:r>
              <w:rPr>
                <w:rFonts w:ascii="仿宋" w:hAnsi="仿宋" w:eastAsia="仿宋"/>
                <w:kern w:val="0"/>
                <w:sz w:val="24"/>
              </w:rPr>
              <w:t>4）系统功能应包括但不限于以下功能模块：</w:t>
            </w:r>
          </w:p>
          <w:p>
            <w:pPr>
              <w:adjustRightInd w:val="0"/>
              <w:ind w:right="-120"/>
              <w:jc w:val="left"/>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ab/>
            </w:r>
            <w:r>
              <w:rPr>
                <w:rFonts w:hint="eastAsia" w:ascii="仿宋" w:hAnsi="仿宋" w:eastAsia="仿宋"/>
                <w:kern w:val="0"/>
                <w:sz w:val="24"/>
              </w:rPr>
              <w:t>系统管理中心</w:t>
            </w:r>
          </w:p>
          <w:p>
            <w:pPr>
              <w:adjustRightInd w:val="0"/>
              <w:ind w:right="-12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系统支持多学校、多班级、多小组独立实训，做到租户间数据隔离，学生端独立运行数据互不干扰，实现实训独立性和考核公平性。</w:t>
            </w:r>
          </w:p>
          <w:p>
            <w:pPr>
              <w:adjustRightInd w:val="0"/>
              <w:ind w:right="-12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系统支持按租户独立管理用户，分配用户所属角色，模拟企业生产实际角色分配，不同角色间业务功能独立，支持用户多角色分配。系统自动记录用户登录和使用日志信息。</w:t>
            </w:r>
          </w:p>
          <w:p>
            <w:pPr>
              <w:adjustRightInd w:val="0"/>
              <w:ind w:right="-12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系统支持按租户进行系统业务数据存档备份管理和恢复数据备份，以支持阶段性教学实训。系统预置不少于</w:t>
            </w:r>
            <w:r>
              <w:rPr>
                <w:rFonts w:ascii="仿宋" w:hAnsi="仿宋" w:eastAsia="仿宋"/>
                <w:kern w:val="0"/>
                <w:sz w:val="24"/>
              </w:rPr>
              <w:t>2套</w:t>
            </w:r>
            <w:r>
              <w:rPr>
                <w:rFonts w:hint="eastAsia" w:ascii="仿宋" w:hAnsi="仿宋" w:eastAsia="仿宋"/>
                <w:kern w:val="0"/>
                <w:sz w:val="24"/>
              </w:rPr>
              <w:t>行业案例数据用于系统认知和教学实训开展。</w:t>
            </w:r>
          </w:p>
          <w:p>
            <w:pPr>
              <w:adjustRightInd w:val="0"/>
              <w:ind w:right="-120"/>
              <w:jc w:val="left"/>
              <w:rPr>
                <w:rFonts w:ascii="仿宋" w:hAnsi="仿宋" w:eastAsia="仿宋"/>
                <w:kern w:val="0"/>
                <w:sz w:val="24"/>
              </w:rPr>
            </w:pPr>
            <w:r>
              <w:rPr>
                <w:rFonts w:hint="eastAsia" w:ascii="仿宋" w:hAnsi="仿宋" w:eastAsia="仿宋"/>
                <w:kern w:val="0"/>
                <w:sz w:val="24"/>
              </w:rPr>
              <w:t>2、</w:t>
            </w:r>
            <w:r>
              <w:rPr>
                <w:rFonts w:ascii="仿宋" w:hAnsi="仿宋" w:eastAsia="仿宋"/>
                <w:kern w:val="0"/>
                <w:sz w:val="24"/>
              </w:rPr>
              <w:tab/>
            </w:r>
            <w:r>
              <w:rPr>
                <w:rFonts w:hint="eastAsia" w:ascii="仿宋" w:hAnsi="仿宋" w:eastAsia="仿宋"/>
                <w:kern w:val="0"/>
                <w:sz w:val="24"/>
              </w:rPr>
              <w:t>生产数据中心</w:t>
            </w:r>
          </w:p>
          <w:p>
            <w:pPr>
              <w:adjustRightInd w:val="0"/>
              <w:ind w:right="-120"/>
              <w:jc w:val="left"/>
              <w:rPr>
                <w:rFonts w:ascii="仿宋" w:hAnsi="仿宋" w:eastAsia="仿宋"/>
                <w:kern w:val="0"/>
                <w:sz w:val="24"/>
              </w:rPr>
            </w:pPr>
            <w:r>
              <w:rPr>
                <w:rFonts w:hint="eastAsia" w:ascii="仿宋" w:hAnsi="仿宋" w:eastAsia="仿宋"/>
                <w:kern w:val="0"/>
                <w:sz w:val="24"/>
                <w:lang w:val="zh-CN"/>
              </w:rPr>
              <w:t>系统支持将设计数据进行</w:t>
            </w:r>
            <w:r>
              <w:rPr>
                <w:rFonts w:hint="eastAsia" w:ascii="仿宋" w:hAnsi="仿宋" w:eastAsia="仿宋"/>
                <w:kern w:val="0"/>
                <w:sz w:val="24"/>
              </w:rPr>
              <w:t>初始化到系统中进行管理，包含物料数据、库房库位、生产设备、人员班组、设备编组、加工单元等。物料数据支持导入功能。</w:t>
            </w:r>
          </w:p>
          <w:p>
            <w:pPr>
              <w:adjustRightInd w:val="0"/>
              <w:ind w:right="-120"/>
              <w:jc w:val="left"/>
              <w:rPr>
                <w:rFonts w:ascii="仿宋" w:hAnsi="仿宋" w:eastAsia="仿宋"/>
                <w:kern w:val="0"/>
                <w:sz w:val="24"/>
              </w:rPr>
            </w:pPr>
            <w:r>
              <w:rPr>
                <w:rFonts w:hint="eastAsia" w:ascii="仿宋" w:hAnsi="仿宋" w:eastAsia="仿宋"/>
                <w:kern w:val="0"/>
                <w:sz w:val="24"/>
              </w:rPr>
              <w:t>3、</w:t>
            </w:r>
            <w:r>
              <w:rPr>
                <w:rFonts w:ascii="仿宋" w:hAnsi="仿宋" w:eastAsia="仿宋"/>
                <w:kern w:val="0"/>
                <w:sz w:val="24"/>
              </w:rPr>
              <w:tab/>
            </w:r>
            <w:r>
              <w:rPr>
                <w:rFonts w:hint="eastAsia" w:ascii="仿宋" w:hAnsi="仿宋" w:eastAsia="仿宋"/>
                <w:kern w:val="0"/>
                <w:sz w:val="24"/>
              </w:rPr>
              <w:t>产品数据中心</w:t>
            </w:r>
          </w:p>
          <w:p>
            <w:pPr>
              <w:adjustRightInd w:val="0"/>
              <w:ind w:right="-120"/>
              <w:jc w:val="left"/>
              <w:rPr>
                <w:rFonts w:ascii="仿宋" w:hAnsi="仿宋" w:eastAsia="仿宋"/>
                <w:kern w:val="0"/>
                <w:sz w:val="24"/>
              </w:rPr>
            </w:pPr>
            <w:r>
              <w:rPr>
                <w:rFonts w:hint="eastAsia" w:ascii="仿宋" w:hAnsi="仿宋" w:eastAsia="仿宋"/>
                <w:kern w:val="0"/>
                <w:sz w:val="24"/>
                <w:lang w:val="zh-CN"/>
              </w:rPr>
              <w:t>系统支持</w:t>
            </w:r>
            <w:r>
              <w:rPr>
                <w:rFonts w:hint="eastAsia" w:ascii="仿宋" w:hAnsi="仿宋" w:eastAsia="仿宋"/>
                <w:kern w:val="0"/>
                <w:sz w:val="24"/>
              </w:rPr>
              <w:t>管理</w:t>
            </w:r>
            <w:r>
              <w:rPr>
                <w:rFonts w:hint="eastAsia" w:ascii="仿宋" w:hAnsi="仿宋" w:eastAsia="仿宋"/>
                <w:kern w:val="0"/>
                <w:sz w:val="24"/>
                <w:lang w:val="zh-CN"/>
              </w:rPr>
              <w:t>产品</w:t>
            </w:r>
            <w:r>
              <w:rPr>
                <w:rFonts w:ascii="仿宋" w:hAnsi="仿宋" w:eastAsia="仿宋"/>
                <w:kern w:val="0"/>
                <w:sz w:val="24"/>
                <w:lang w:val="zh-CN"/>
              </w:rPr>
              <w:t>BOM、</w:t>
            </w:r>
            <w:r>
              <w:rPr>
                <w:rFonts w:hint="eastAsia" w:ascii="仿宋" w:hAnsi="仿宋" w:eastAsia="仿宋"/>
                <w:kern w:val="0"/>
                <w:sz w:val="24"/>
              </w:rPr>
              <w:t>产品工艺、作业工序等产品数据，支持自定义编制产品</w:t>
            </w:r>
            <w:r>
              <w:rPr>
                <w:rFonts w:ascii="仿宋" w:hAnsi="仿宋" w:eastAsia="仿宋"/>
                <w:kern w:val="0"/>
                <w:sz w:val="24"/>
              </w:rPr>
              <w:t>BOM树和产品工艺树结构数据，支持按版本和有效性管理产品数据</w:t>
            </w:r>
            <w:r>
              <w:rPr>
                <w:rFonts w:hint="eastAsia" w:ascii="仿宋" w:hAnsi="仿宋" w:eastAsia="仿宋"/>
                <w:kern w:val="0"/>
                <w:sz w:val="24"/>
              </w:rPr>
              <w:t>。</w:t>
            </w:r>
          </w:p>
          <w:p>
            <w:pPr>
              <w:adjustRightInd w:val="0"/>
              <w:ind w:right="-120"/>
              <w:jc w:val="left"/>
              <w:rPr>
                <w:rFonts w:ascii="仿宋" w:hAnsi="仿宋" w:eastAsia="仿宋"/>
                <w:kern w:val="0"/>
                <w:sz w:val="24"/>
              </w:rPr>
            </w:pPr>
            <w:r>
              <w:rPr>
                <w:rFonts w:hint="eastAsia" w:ascii="仿宋" w:hAnsi="仿宋" w:eastAsia="仿宋"/>
                <w:kern w:val="0"/>
                <w:sz w:val="24"/>
              </w:rPr>
              <w:t>4、工艺派工中心</w:t>
            </w:r>
          </w:p>
          <w:p>
            <w:pPr>
              <w:adjustRightInd w:val="0"/>
              <w:ind w:right="-120"/>
              <w:jc w:val="left"/>
              <w:rPr>
                <w:rFonts w:ascii="仿宋" w:hAnsi="仿宋" w:eastAsia="仿宋"/>
                <w:kern w:val="0"/>
                <w:sz w:val="24"/>
              </w:rPr>
            </w:pPr>
            <w:r>
              <w:rPr>
                <w:rFonts w:hint="eastAsia" w:ascii="仿宋" w:hAnsi="仿宋" w:eastAsia="仿宋"/>
                <w:kern w:val="0"/>
                <w:sz w:val="24"/>
                <w:lang w:val="zh-CN"/>
              </w:rPr>
              <w:t>系统支持手工编制生产订单，</w:t>
            </w:r>
            <w:r>
              <w:rPr>
                <w:rFonts w:hint="eastAsia" w:ascii="仿宋" w:hAnsi="仿宋" w:eastAsia="仿宋"/>
                <w:kern w:val="0"/>
                <w:sz w:val="24"/>
              </w:rPr>
              <w:t>支持</w:t>
            </w:r>
            <w:r>
              <w:rPr>
                <w:rFonts w:hint="eastAsia" w:ascii="仿宋" w:hAnsi="仿宋" w:eastAsia="仿宋"/>
                <w:kern w:val="0"/>
                <w:sz w:val="24"/>
                <w:lang w:val="zh-CN"/>
              </w:rPr>
              <w:t>订单审批工作流，</w:t>
            </w:r>
            <w:r>
              <w:rPr>
                <w:rFonts w:hint="eastAsia" w:ascii="仿宋" w:hAnsi="仿宋" w:eastAsia="仿宋"/>
                <w:kern w:val="0"/>
                <w:sz w:val="24"/>
              </w:rPr>
              <w:t>订单运算产生生产计划和物料需求计划，分别用于指导生产和物料备料。</w:t>
            </w:r>
          </w:p>
          <w:p>
            <w:pPr>
              <w:adjustRightInd w:val="0"/>
              <w:ind w:right="-120"/>
              <w:jc w:val="left"/>
              <w:rPr>
                <w:rFonts w:ascii="仿宋" w:hAnsi="仿宋" w:eastAsia="仿宋"/>
                <w:kern w:val="0"/>
                <w:sz w:val="24"/>
              </w:rPr>
            </w:pPr>
            <w:r>
              <w:rPr>
                <w:rFonts w:hint="eastAsia" w:ascii="仿宋" w:hAnsi="仿宋" w:eastAsia="仿宋"/>
                <w:kern w:val="0"/>
                <w:sz w:val="24"/>
              </w:rPr>
              <w:t>5、</w:t>
            </w:r>
            <w:r>
              <w:rPr>
                <w:rFonts w:ascii="仿宋" w:hAnsi="仿宋" w:eastAsia="仿宋"/>
                <w:kern w:val="0"/>
                <w:sz w:val="24"/>
              </w:rPr>
              <w:tab/>
            </w:r>
            <w:r>
              <w:rPr>
                <w:rFonts w:hint="eastAsia" w:ascii="仿宋" w:hAnsi="仿宋" w:eastAsia="仿宋"/>
                <w:kern w:val="0"/>
                <w:sz w:val="24"/>
              </w:rPr>
              <w:t>生产执行中心</w:t>
            </w:r>
          </w:p>
          <w:p>
            <w:pPr>
              <w:adjustRightInd w:val="0"/>
              <w:ind w:right="-120"/>
              <w:jc w:val="left"/>
              <w:rPr>
                <w:rFonts w:ascii="仿宋" w:hAnsi="仿宋" w:eastAsia="仿宋"/>
                <w:kern w:val="0"/>
                <w:sz w:val="24"/>
              </w:rPr>
            </w:pPr>
            <w:r>
              <w:rPr>
                <w:rFonts w:hint="eastAsia" w:ascii="仿宋" w:hAnsi="仿宋" w:eastAsia="仿宋"/>
                <w:kern w:val="0"/>
                <w:sz w:val="24"/>
              </w:rPr>
              <w:t>系统支持将已派工的任务进行手动开完工操作执行。支持按设备查询生产任务执行情况，可详细跟踪监控任务执行进度。</w:t>
            </w:r>
          </w:p>
          <w:p>
            <w:pPr>
              <w:adjustRightInd w:val="0"/>
              <w:ind w:right="-120"/>
              <w:jc w:val="left"/>
              <w:rPr>
                <w:rFonts w:ascii="仿宋" w:hAnsi="仿宋" w:eastAsia="仿宋"/>
                <w:kern w:val="0"/>
                <w:sz w:val="24"/>
              </w:rPr>
            </w:pPr>
            <w:r>
              <w:rPr>
                <w:rFonts w:hint="eastAsia" w:ascii="仿宋" w:hAnsi="仿宋" w:eastAsia="仿宋"/>
                <w:kern w:val="0"/>
                <w:sz w:val="24"/>
              </w:rPr>
              <w:t>6、质量管理中心</w:t>
            </w:r>
          </w:p>
          <w:p>
            <w:pPr>
              <w:adjustRightInd w:val="0"/>
              <w:ind w:right="-120"/>
              <w:jc w:val="left"/>
              <w:rPr>
                <w:rFonts w:ascii="仿宋" w:hAnsi="仿宋" w:eastAsia="仿宋"/>
                <w:kern w:val="0"/>
                <w:sz w:val="24"/>
              </w:rPr>
            </w:pPr>
            <w:r>
              <w:rPr>
                <w:rFonts w:hint="eastAsia" w:ascii="仿宋" w:hAnsi="仿宋" w:eastAsia="仿宋"/>
                <w:kern w:val="0"/>
                <w:sz w:val="24"/>
              </w:rPr>
              <w:t>系统支持按照工艺设定，在工人现场作业任务完工后自动生成检验作业任务，对于检验不合格的情况，系统支持返修废补业务闭环处理；支持正向查询单件产品单条作业工序的装机物料清单和出库物料明细，支持按物料信息反向查询该批次物料所有装机记录。</w:t>
            </w:r>
          </w:p>
          <w:p>
            <w:pPr>
              <w:adjustRightInd w:val="0"/>
              <w:ind w:right="-120"/>
              <w:jc w:val="left"/>
              <w:rPr>
                <w:rFonts w:ascii="仿宋" w:hAnsi="仿宋" w:eastAsia="仿宋"/>
                <w:kern w:val="0"/>
                <w:sz w:val="24"/>
              </w:rPr>
            </w:pPr>
            <w:r>
              <w:rPr>
                <w:rFonts w:hint="eastAsia" w:ascii="仿宋" w:hAnsi="仿宋" w:eastAsia="仿宋"/>
                <w:kern w:val="0"/>
                <w:sz w:val="24"/>
              </w:rPr>
              <w:t>7、</w:t>
            </w:r>
            <w:r>
              <w:rPr>
                <w:rFonts w:ascii="仿宋" w:hAnsi="仿宋" w:eastAsia="仿宋"/>
                <w:kern w:val="0"/>
                <w:sz w:val="24"/>
              </w:rPr>
              <w:tab/>
            </w:r>
            <w:r>
              <w:rPr>
                <w:rFonts w:hint="eastAsia" w:ascii="仿宋" w:hAnsi="仿宋" w:eastAsia="仿宋"/>
                <w:kern w:val="0"/>
                <w:sz w:val="24"/>
              </w:rPr>
              <w:t>库房管理中心</w:t>
            </w:r>
          </w:p>
          <w:p>
            <w:pPr>
              <w:adjustRightInd w:val="0"/>
              <w:ind w:right="-120"/>
              <w:jc w:val="left"/>
              <w:rPr>
                <w:rFonts w:ascii="仿宋" w:hAnsi="仿宋" w:eastAsia="仿宋"/>
                <w:kern w:val="0"/>
                <w:sz w:val="24"/>
              </w:rPr>
            </w:pPr>
            <w:r>
              <w:rPr>
                <w:rFonts w:hint="eastAsia" w:ascii="仿宋" w:hAnsi="仿宋" w:eastAsia="仿宋"/>
                <w:kern w:val="0"/>
                <w:sz w:val="24"/>
              </w:rPr>
              <w:t>系统支持库房出入库业务管理，支持手工出入库、计划入库、配套出库、生产入库等功能，支持查询库存台账和出入库详细流水记录。</w:t>
            </w:r>
          </w:p>
          <w:p>
            <w:pPr>
              <w:adjustRightInd w:val="0"/>
              <w:ind w:right="-120"/>
              <w:jc w:val="left"/>
              <w:rPr>
                <w:rFonts w:ascii="仿宋" w:hAnsi="仿宋" w:eastAsia="仿宋"/>
                <w:kern w:val="0"/>
                <w:sz w:val="24"/>
              </w:rPr>
            </w:pPr>
            <w:r>
              <w:rPr>
                <w:rFonts w:hint="eastAsia" w:ascii="仿宋" w:hAnsi="仿宋" w:eastAsia="仿宋"/>
                <w:kern w:val="0"/>
                <w:sz w:val="24"/>
              </w:rPr>
              <w:t>8、</w:t>
            </w:r>
            <w:r>
              <w:rPr>
                <w:rFonts w:ascii="仿宋" w:hAnsi="仿宋" w:eastAsia="仿宋"/>
                <w:kern w:val="0"/>
                <w:sz w:val="24"/>
              </w:rPr>
              <w:tab/>
            </w:r>
            <w:r>
              <w:rPr>
                <w:rFonts w:hint="eastAsia" w:ascii="仿宋" w:hAnsi="仿宋" w:eastAsia="仿宋"/>
                <w:kern w:val="0"/>
                <w:sz w:val="24"/>
              </w:rPr>
              <w:t>设备管理中心</w:t>
            </w:r>
          </w:p>
          <w:p>
            <w:pPr>
              <w:adjustRightInd w:val="0"/>
              <w:ind w:right="-120"/>
              <w:jc w:val="left"/>
              <w:rPr>
                <w:rFonts w:ascii="仿宋" w:hAnsi="仿宋" w:eastAsia="仿宋"/>
                <w:kern w:val="0"/>
                <w:sz w:val="24"/>
              </w:rPr>
            </w:pPr>
            <w:r>
              <w:rPr>
                <w:rFonts w:hint="eastAsia" w:ascii="仿宋" w:hAnsi="仿宋" w:eastAsia="仿宋"/>
                <w:kern w:val="0"/>
                <w:sz w:val="24"/>
              </w:rPr>
              <w:t>系统支持管理生产现场各类设备相关信息，支持上传设备图片和设备维护保养手册文档；支持管理设备故障记录，支持管理设备保养记录。</w:t>
            </w:r>
          </w:p>
          <w:p>
            <w:pPr>
              <w:adjustRightInd w:val="0"/>
              <w:ind w:right="-120"/>
              <w:jc w:val="left"/>
              <w:rPr>
                <w:rFonts w:ascii="仿宋" w:hAnsi="仿宋" w:eastAsia="仿宋"/>
                <w:kern w:val="0"/>
                <w:sz w:val="24"/>
              </w:rPr>
            </w:pPr>
            <w:r>
              <w:rPr>
                <w:rFonts w:hint="eastAsia" w:ascii="仿宋" w:hAnsi="仿宋" w:eastAsia="仿宋"/>
                <w:kern w:val="0"/>
                <w:sz w:val="24"/>
              </w:rPr>
              <w:t>9、</w:t>
            </w:r>
            <w:r>
              <w:rPr>
                <w:rFonts w:ascii="仿宋" w:hAnsi="仿宋" w:eastAsia="仿宋"/>
                <w:kern w:val="0"/>
                <w:sz w:val="24"/>
              </w:rPr>
              <w:tab/>
            </w:r>
            <w:r>
              <w:rPr>
                <w:rFonts w:hint="eastAsia" w:ascii="仿宋" w:hAnsi="仿宋" w:eastAsia="仿宋"/>
                <w:kern w:val="0"/>
                <w:sz w:val="24"/>
              </w:rPr>
              <w:t>信息监控中心</w:t>
            </w:r>
          </w:p>
          <w:p>
            <w:pPr>
              <w:adjustRightInd w:val="0"/>
              <w:ind w:right="-12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系统支持按人员、按产品、按作业任务、按时间范围等不同维度进行人员作业工时的查询统计功能。</w:t>
            </w:r>
          </w:p>
          <w:p>
            <w:pPr>
              <w:adjustRightInd w:val="0"/>
              <w:ind w:right="-120"/>
              <w:jc w:val="left"/>
              <w:rPr>
                <w:rFonts w:ascii="仿宋" w:hAnsi="仿宋" w:eastAsia="仿宋"/>
                <w:kern w:val="0"/>
                <w:sz w:val="24"/>
              </w:rPr>
            </w:pPr>
            <w:r>
              <w:rPr>
                <w:rFonts w:ascii="仿宋" w:hAnsi="仿宋" w:eastAsia="仿宋"/>
                <w:kern w:val="0"/>
                <w:sz w:val="24"/>
              </w:rPr>
              <w:t xml:space="preserve">2） </w:t>
            </w:r>
            <w:r>
              <w:rPr>
                <w:rFonts w:hint="eastAsia" w:ascii="仿宋" w:hAnsi="仿宋" w:eastAsia="仿宋"/>
                <w:kern w:val="0"/>
                <w:sz w:val="24"/>
              </w:rPr>
              <w:t>系统支持数据大屏统计展示系统中业务数据，包括但不限于生产订单数据、订单产品数据、生产计划数据、人员作业任务数据、设备作业任务数据、库存台账数据等。</w:t>
            </w:r>
          </w:p>
          <w:p>
            <w:pPr>
              <w:adjustRightInd w:val="0"/>
              <w:ind w:right="-120"/>
              <w:jc w:val="left"/>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0</w:t>
            </w:r>
            <w:r>
              <w:rPr>
                <w:rFonts w:hint="eastAsia" w:ascii="仿宋" w:hAnsi="仿宋" w:eastAsia="仿宋"/>
                <w:kern w:val="0"/>
                <w:sz w:val="24"/>
              </w:rPr>
              <w:t>、开发运维工具</w:t>
            </w:r>
          </w:p>
          <w:p>
            <w:pPr>
              <w:adjustRightInd w:val="0"/>
              <w:ind w:right="-120"/>
              <w:jc w:val="left"/>
              <w:rPr>
                <w:rFonts w:ascii="仿宋" w:hAnsi="仿宋" w:eastAsia="仿宋"/>
                <w:kern w:val="0"/>
                <w:sz w:val="24"/>
              </w:rPr>
            </w:pPr>
            <w:r>
              <w:rPr>
                <w:rFonts w:ascii="仿宋" w:hAnsi="仿宋" w:eastAsia="仿宋"/>
                <w:kern w:val="0"/>
                <w:sz w:val="24"/>
              </w:rPr>
              <w:t>1)</w:t>
            </w:r>
            <w:r>
              <w:rPr>
                <w:rFonts w:ascii="仿宋" w:hAnsi="仿宋" w:eastAsia="仿宋"/>
                <w:kern w:val="0"/>
                <w:sz w:val="24"/>
              </w:rPr>
              <w:tab/>
            </w:r>
            <w:r>
              <w:rPr>
                <w:rFonts w:hint="eastAsia" w:ascii="仿宋" w:hAnsi="仿宋" w:eastAsia="仿宋"/>
                <w:kern w:val="0"/>
                <w:sz w:val="24"/>
              </w:rPr>
              <w:t>文件管理工具：支持文件上传、下载、在线预览、文件移动、</w:t>
            </w:r>
            <w:r>
              <w:rPr>
                <w:rFonts w:ascii="仿宋" w:hAnsi="仿宋" w:eastAsia="仿宋"/>
                <w:kern w:val="0"/>
                <w:sz w:val="24"/>
              </w:rPr>
              <w:t xml:space="preserve"> </w:t>
            </w:r>
            <w:r>
              <w:rPr>
                <w:rFonts w:hint="eastAsia" w:ascii="仿宋" w:hAnsi="仿宋" w:eastAsia="仿宋"/>
                <w:kern w:val="0"/>
                <w:sz w:val="24"/>
              </w:rPr>
              <w:t>分享等功能，文件格式不限于图片、</w:t>
            </w:r>
            <w:r>
              <w:rPr>
                <w:rFonts w:ascii="仿宋" w:hAnsi="仿宋" w:eastAsia="仿宋"/>
                <w:kern w:val="0"/>
                <w:sz w:val="24"/>
              </w:rPr>
              <w:t>office</w:t>
            </w:r>
            <w:r>
              <w:rPr>
                <w:rFonts w:hint="eastAsia" w:ascii="仿宋" w:hAnsi="仿宋" w:eastAsia="仿宋"/>
                <w:kern w:val="0"/>
                <w:sz w:val="24"/>
              </w:rPr>
              <w:t>文档、</w:t>
            </w:r>
            <w:r>
              <w:rPr>
                <w:rFonts w:ascii="仿宋" w:hAnsi="仿宋" w:eastAsia="仿宋"/>
                <w:kern w:val="0"/>
                <w:sz w:val="24"/>
              </w:rPr>
              <w:t>PDF、音频、视频等内容，</w:t>
            </w:r>
            <w:r>
              <w:rPr>
                <w:rFonts w:hint="eastAsia" w:ascii="仿宋" w:hAnsi="仿宋" w:eastAsia="仿宋"/>
                <w:kern w:val="0"/>
                <w:sz w:val="24"/>
              </w:rPr>
              <w:t>支持按分类管理上传文件资源。</w:t>
            </w:r>
          </w:p>
          <w:p>
            <w:pPr>
              <w:adjustRightInd w:val="0"/>
              <w:ind w:right="-120"/>
              <w:jc w:val="left"/>
              <w:rPr>
                <w:rFonts w:ascii="仿宋" w:hAnsi="仿宋" w:eastAsia="仿宋"/>
                <w:kern w:val="0"/>
                <w:sz w:val="24"/>
              </w:rPr>
            </w:pPr>
            <w:r>
              <w:rPr>
                <w:rFonts w:ascii="仿宋" w:hAnsi="仿宋" w:eastAsia="仿宋"/>
                <w:kern w:val="0"/>
                <w:sz w:val="24"/>
              </w:rPr>
              <w:t>2)</w:t>
            </w:r>
            <w:r>
              <w:rPr>
                <w:rFonts w:ascii="仿宋" w:hAnsi="仿宋" w:eastAsia="仿宋"/>
                <w:kern w:val="0"/>
                <w:sz w:val="24"/>
              </w:rPr>
              <w:tab/>
            </w:r>
            <w:r>
              <w:rPr>
                <w:rFonts w:hint="eastAsia" w:ascii="仿宋" w:hAnsi="仿宋" w:eastAsia="仿宋"/>
                <w:kern w:val="0"/>
                <w:sz w:val="24"/>
              </w:rPr>
              <w:t>报表配置工具：支持用户自定义配置数据报表，通过报表设计器设置报表界面，绑定数据源、预览输出报表，并提供生产计划报表统计案例，报表查询统计数据结果支持导出功能。</w:t>
            </w:r>
          </w:p>
          <w:p>
            <w:pPr>
              <w:adjustRightInd w:val="0"/>
              <w:ind w:right="-120"/>
              <w:jc w:val="left"/>
              <w:rPr>
                <w:rFonts w:ascii="仿宋" w:hAnsi="仿宋" w:eastAsia="仿宋"/>
                <w:kern w:val="0"/>
                <w:sz w:val="24"/>
              </w:rPr>
            </w:pPr>
            <w:r>
              <w:rPr>
                <w:rFonts w:ascii="仿宋" w:hAnsi="仿宋" w:eastAsia="仿宋"/>
                <w:kern w:val="0"/>
                <w:sz w:val="24"/>
              </w:rPr>
              <w:t>3)</w:t>
            </w:r>
            <w:r>
              <w:rPr>
                <w:rFonts w:ascii="仿宋" w:hAnsi="仿宋" w:eastAsia="仿宋"/>
                <w:kern w:val="0"/>
                <w:sz w:val="24"/>
              </w:rPr>
              <w:tab/>
            </w:r>
            <w:r>
              <w:rPr>
                <w:rFonts w:hint="eastAsia" w:ascii="仿宋" w:hAnsi="仿宋" w:eastAsia="仿宋"/>
                <w:kern w:val="0"/>
                <w:sz w:val="24"/>
              </w:rPr>
              <w:t>流程配置工具：支持用户自定义配置工作流程模型，配置流程节点，支持流程模型导入、导出，流程模型关联业务表单、流程调试、流程部署等功能，提供生产订单审批流程完整案例。</w:t>
            </w:r>
          </w:p>
        </w:tc>
        <w:tc>
          <w:tcPr>
            <w:tcW w:w="342" w:type="pct"/>
            <w:noWrap w:val="0"/>
            <w:vAlign w:val="top"/>
          </w:tcPr>
          <w:p>
            <w:pPr>
              <w:adjustRightInd w:val="0"/>
              <w:ind w:right="-120"/>
              <w:jc w:val="left"/>
              <w:rPr>
                <w:rFonts w:ascii="仿宋" w:hAnsi="仿宋" w:eastAsia="仿宋"/>
                <w:kern w:val="0"/>
                <w:sz w:val="24"/>
              </w:rPr>
            </w:pPr>
            <w:r>
              <w:rPr>
                <w:rFonts w:ascii="仿宋" w:hAnsi="仿宋" w:eastAsia="仿宋"/>
                <w:kern w:val="0"/>
                <w:sz w:val="24"/>
              </w:rPr>
              <w:t>1租户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213" w:type="pct"/>
            <w:noWrap w:val="0"/>
            <w:vAlign w:val="top"/>
          </w:tcPr>
          <w:p>
            <w:pPr>
              <w:adjustRightInd w:val="0"/>
              <w:ind w:right="-120"/>
              <w:jc w:val="left"/>
              <w:rPr>
                <w:rFonts w:ascii="仿宋" w:hAnsi="仿宋" w:eastAsia="仿宋"/>
                <w:kern w:val="0"/>
                <w:sz w:val="24"/>
              </w:rPr>
            </w:pPr>
            <w:r>
              <w:rPr>
                <w:rFonts w:hint="eastAsia" w:ascii="仿宋" w:hAnsi="仿宋" w:eastAsia="仿宋"/>
                <w:b/>
                <w:bCs/>
                <w:kern w:val="0"/>
                <w:sz w:val="24"/>
              </w:rPr>
              <w:t>3</w:t>
            </w:r>
          </w:p>
        </w:tc>
        <w:tc>
          <w:tcPr>
            <w:tcW w:w="352" w:type="pct"/>
            <w:noWrap w:val="0"/>
            <w:vAlign w:val="top"/>
          </w:tcPr>
          <w:p>
            <w:pPr>
              <w:adjustRightInd w:val="0"/>
              <w:ind w:right="-120"/>
              <w:jc w:val="left"/>
              <w:rPr>
                <w:rFonts w:ascii="仿宋" w:hAnsi="仿宋" w:eastAsia="仿宋"/>
                <w:kern w:val="0"/>
                <w:sz w:val="24"/>
              </w:rPr>
            </w:pPr>
            <w:r>
              <w:rPr>
                <w:rFonts w:hint="eastAsia" w:ascii="仿宋" w:hAnsi="仿宋" w:eastAsia="仿宋"/>
                <w:kern w:val="0"/>
                <w:sz w:val="24"/>
              </w:rPr>
              <w:t>工作站虚拟调试教学案例资源包</w:t>
            </w:r>
          </w:p>
        </w:tc>
        <w:tc>
          <w:tcPr>
            <w:tcW w:w="4092" w:type="pct"/>
            <w:noWrap w:val="0"/>
            <w:vAlign w:val="top"/>
          </w:tcPr>
          <w:p>
            <w:pPr>
              <w:jc w:val="left"/>
              <w:rPr>
                <w:rFonts w:ascii="仿宋" w:hAnsi="仿宋" w:eastAsia="仿宋"/>
                <w:kern w:val="0"/>
                <w:sz w:val="24"/>
              </w:rPr>
            </w:pPr>
            <w:r>
              <w:rPr>
                <w:rFonts w:hint="eastAsia" w:ascii="仿宋" w:hAnsi="仿宋" w:eastAsia="仿宋"/>
                <w:kern w:val="0"/>
                <w:sz w:val="24"/>
              </w:rPr>
              <w:t>包含教学所需的活页式《工作站虚拟调试教学案例实训手册》10本；（需开标现场提供1本手册样本）</w:t>
            </w:r>
          </w:p>
          <w:p>
            <w:pPr>
              <w:jc w:val="left"/>
              <w:rPr>
                <w:rFonts w:ascii="仿宋" w:hAnsi="仿宋" w:eastAsia="仿宋"/>
                <w:kern w:val="0"/>
                <w:sz w:val="24"/>
              </w:rPr>
            </w:pPr>
            <w:r>
              <w:rPr>
                <w:rFonts w:hint="eastAsia" w:ascii="仿宋" w:hAnsi="仿宋" w:eastAsia="仿宋"/>
                <w:kern w:val="0"/>
                <w:sz w:val="24"/>
              </w:rPr>
              <w:t>1)</w:t>
            </w:r>
            <w:r>
              <w:rPr>
                <w:rFonts w:hint="eastAsia" w:ascii="仿宋" w:hAnsi="仿宋" w:eastAsia="仿宋"/>
                <w:kern w:val="0"/>
                <w:sz w:val="24"/>
              </w:rPr>
              <w:tab/>
            </w:r>
            <w:r>
              <w:rPr>
                <w:rFonts w:hint="eastAsia" w:ascii="仿宋" w:hAnsi="仿宋" w:eastAsia="仿宋"/>
                <w:kern w:val="0"/>
                <w:sz w:val="24"/>
              </w:rPr>
              <w:t>实训手册由智能制造领域相关院校及行业专家共同编制审核，排版合理，采用活页式印刷，方便使用；</w:t>
            </w:r>
          </w:p>
          <w:p>
            <w:pPr>
              <w:jc w:val="left"/>
              <w:rPr>
                <w:rFonts w:ascii="仿宋" w:hAnsi="仿宋" w:eastAsia="仿宋"/>
                <w:kern w:val="0"/>
                <w:sz w:val="24"/>
              </w:rPr>
            </w:pPr>
            <w:r>
              <w:rPr>
                <w:rFonts w:hint="eastAsia" w:ascii="仿宋" w:hAnsi="仿宋" w:eastAsia="仿宋"/>
                <w:kern w:val="0"/>
                <w:sz w:val="24"/>
              </w:rPr>
              <w:t>2)</w:t>
            </w:r>
            <w:r>
              <w:rPr>
                <w:rFonts w:hint="eastAsia" w:ascii="仿宋" w:hAnsi="仿宋" w:eastAsia="仿宋"/>
                <w:kern w:val="0"/>
                <w:sz w:val="24"/>
              </w:rPr>
              <w:tab/>
            </w:r>
            <w:r>
              <w:rPr>
                <w:rFonts w:hint="eastAsia" w:ascii="仿宋" w:hAnsi="仿宋" w:eastAsia="仿宋"/>
                <w:kern w:val="0"/>
                <w:sz w:val="24"/>
              </w:rPr>
              <w:t>手册编排结构以满足实训教学组织出发，以典型工作站虚拟调试作为项目背景，单个任务至少包括【任务描述】【任务目标】【任务准备】【核心能力】【任务实施】【任务评价】等必要内容，任务实施需考虑信息收集与计划、任务执行等必要实训流程，方便实训教学组织。；</w:t>
            </w:r>
          </w:p>
          <w:p>
            <w:pPr>
              <w:jc w:val="left"/>
              <w:rPr>
                <w:rFonts w:ascii="仿宋" w:hAnsi="仿宋" w:eastAsia="仿宋"/>
                <w:kern w:val="0"/>
                <w:sz w:val="24"/>
              </w:rPr>
            </w:pPr>
            <w:r>
              <w:rPr>
                <w:rFonts w:hint="eastAsia" w:ascii="仿宋" w:hAnsi="仿宋" w:eastAsia="仿宋"/>
                <w:kern w:val="0"/>
                <w:sz w:val="24"/>
              </w:rPr>
              <w:t>3)</w:t>
            </w:r>
            <w:r>
              <w:rPr>
                <w:rFonts w:hint="eastAsia" w:ascii="仿宋" w:hAnsi="仿宋" w:eastAsia="仿宋"/>
                <w:kern w:val="0"/>
                <w:sz w:val="24"/>
              </w:rPr>
              <w:tab/>
            </w:r>
            <w:r>
              <w:rPr>
                <w:rFonts w:hint="eastAsia" w:ascii="仿宋" w:hAnsi="仿宋" w:eastAsia="仿宋"/>
                <w:kern w:val="0"/>
                <w:sz w:val="24"/>
              </w:rPr>
              <w:t>内容主体结构至少包括：工业机器人PC B异形插件工作站数字孪生应用、工业机器人操作与运维工作站数字孪生应用、智能制造单元系统集成应用平台数字孪生应用、智能控制传感驱动教学工作站数字孪生应用、智能控制数字孪生应用平台应用、AS/RS立体仓货到人拣选BTB实训平台数字孪生应用等内容。</w:t>
            </w:r>
          </w:p>
          <w:p>
            <w:pPr>
              <w:adjustRightInd w:val="0"/>
              <w:ind w:right="-120"/>
              <w:jc w:val="left"/>
              <w:rPr>
                <w:rFonts w:ascii="仿宋" w:hAnsi="仿宋" w:eastAsia="仿宋"/>
                <w:kern w:val="0"/>
                <w:sz w:val="24"/>
              </w:rPr>
            </w:pPr>
            <w:r>
              <w:rPr>
                <w:rFonts w:hint="eastAsia" w:ascii="仿宋" w:hAnsi="仿宋" w:eastAsia="仿宋"/>
                <w:kern w:val="0"/>
                <w:sz w:val="24"/>
              </w:rPr>
              <w:t>2 包含不少于8套的对应虚拟调试教学所需的案例资源包，如虚拟调试软件工程文件包、PLC程序文件包、数据采集工程文件、IO信号表及对应的仿真运行视频等；</w:t>
            </w:r>
          </w:p>
        </w:tc>
        <w:tc>
          <w:tcPr>
            <w:tcW w:w="342" w:type="pct"/>
            <w:noWrap w:val="0"/>
            <w:vAlign w:val="top"/>
          </w:tcPr>
          <w:p>
            <w:pPr>
              <w:adjustRightInd w:val="0"/>
              <w:ind w:right="-120"/>
              <w:jc w:val="left"/>
              <w:rPr>
                <w:rFonts w:ascii="仿宋" w:hAnsi="仿宋" w:eastAsia="仿宋"/>
                <w:kern w:val="0"/>
                <w:sz w:val="24"/>
              </w:rPr>
            </w:pPr>
            <w:r>
              <w:rPr>
                <w:rFonts w:hint="eastAsia" w:ascii="仿宋" w:hAnsi="仿宋" w:eastAsia="仿宋"/>
                <w:kern w:val="0"/>
                <w:sz w:val="24"/>
              </w:rPr>
              <w:t>1</w:t>
            </w:r>
            <w:r>
              <w:rPr>
                <w:rFonts w:ascii="仿宋" w:hAnsi="仿宋" w:eastAsia="仿宋"/>
                <w:kern w:val="0"/>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2" w:hRule="atLeast"/>
        </w:trPr>
        <w:tc>
          <w:tcPr>
            <w:tcW w:w="213" w:type="pct"/>
            <w:noWrap w:val="0"/>
            <w:vAlign w:val="top"/>
          </w:tcPr>
          <w:p>
            <w:pPr>
              <w:adjustRightInd w:val="0"/>
              <w:ind w:right="-120"/>
              <w:jc w:val="left"/>
              <w:rPr>
                <w:rFonts w:ascii="仿宋" w:hAnsi="仿宋" w:eastAsia="仿宋"/>
                <w:b/>
                <w:bCs/>
                <w:kern w:val="0"/>
                <w:sz w:val="24"/>
              </w:rPr>
            </w:pPr>
            <w:r>
              <w:rPr>
                <w:rFonts w:hint="eastAsia" w:ascii="仿宋" w:hAnsi="仿宋" w:eastAsia="仿宋"/>
                <w:b/>
                <w:bCs/>
                <w:kern w:val="0"/>
                <w:sz w:val="24"/>
              </w:rPr>
              <w:t>4</w:t>
            </w:r>
          </w:p>
        </w:tc>
        <w:tc>
          <w:tcPr>
            <w:tcW w:w="352" w:type="pct"/>
            <w:noWrap w:val="0"/>
            <w:vAlign w:val="top"/>
          </w:tcPr>
          <w:p>
            <w:pPr>
              <w:adjustRightInd w:val="0"/>
              <w:ind w:right="-120"/>
              <w:jc w:val="left"/>
              <w:rPr>
                <w:rFonts w:ascii="仿宋" w:hAnsi="仿宋" w:eastAsia="仿宋"/>
                <w:kern w:val="0"/>
                <w:sz w:val="24"/>
              </w:rPr>
            </w:pPr>
            <w:r>
              <w:rPr>
                <w:rFonts w:hint="eastAsia" w:ascii="仿宋" w:hAnsi="仿宋" w:eastAsia="仿宋"/>
                <w:kern w:val="0"/>
                <w:sz w:val="24"/>
              </w:rPr>
              <w:t>管控一体化MES系统应用资源包</w:t>
            </w:r>
          </w:p>
        </w:tc>
        <w:tc>
          <w:tcPr>
            <w:tcW w:w="4092" w:type="pct"/>
            <w:noWrap w:val="0"/>
            <w:vAlign w:val="top"/>
          </w:tcPr>
          <w:p>
            <w:pPr>
              <w:adjustRightInd w:val="0"/>
              <w:ind w:right="-120"/>
              <w:jc w:val="left"/>
              <w:rPr>
                <w:rFonts w:ascii="仿宋" w:hAnsi="仿宋" w:eastAsia="仿宋"/>
                <w:kern w:val="0"/>
                <w:sz w:val="24"/>
              </w:rPr>
            </w:pPr>
            <w:r>
              <w:rPr>
                <w:rFonts w:hint="eastAsia" w:ascii="仿宋" w:hAnsi="仿宋" w:eastAsia="仿宋"/>
                <w:kern w:val="0"/>
                <w:sz w:val="24"/>
              </w:rPr>
              <w:t>1.包含教学所需的指导教材《制造执行系统操作与应用》10本；（需开标现场提供1本教材样本）</w:t>
            </w:r>
          </w:p>
          <w:p>
            <w:pPr>
              <w:adjustRightInd w:val="0"/>
              <w:ind w:right="-120"/>
              <w:jc w:val="left"/>
              <w:rPr>
                <w:rFonts w:ascii="仿宋" w:hAnsi="仿宋" w:eastAsia="仿宋"/>
                <w:kern w:val="0"/>
                <w:sz w:val="24"/>
              </w:rPr>
            </w:pPr>
            <w:r>
              <w:rPr>
                <w:rFonts w:hint="eastAsia" w:ascii="仿宋" w:hAnsi="仿宋" w:eastAsia="仿宋"/>
                <w:kern w:val="0"/>
                <w:sz w:val="24"/>
              </w:rPr>
              <w:t>1)</w:t>
            </w:r>
            <w:r>
              <w:rPr>
                <w:rFonts w:hint="eastAsia" w:ascii="仿宋" w:hAnsi="仿宋" w:eastAsia="仿宋"/>
                <w:kern w:val="0"/>
                <w:sz w:val="24"/>
              </w:rPr>
              <w:tab/>
            </w:r>
            <w:r>
              <w:rPr>
                <w:rFonts w:hint="eastAsia" w:ascii="仿宋" w:hAnsi="仿宋" w:eastAsia="仿宋"/>
                <w:kern w:val="0"/>
                <w:sz w:val="24"/>
              </w:rPr>
              <w:t>教材由国家级知名出版社出版发行，印刷精美，排版合理，方便使用；</w:t>
            </w:r>
          </w:p>
          <w:p>
            <w:pPr>
              <w:adjustRightInd w:val="0"/>
              <w:ind w:right="-120"/>
              <w:jc w:val="left"/>
              <w:rPr>
                <w:rFonts w:ascii="仿宋" w:hAnsi="仿宋" w:eastAsia="仿宋"/>
                <w:kern w:val="0"/>
                <w:sz w:val="24"/>
              </w:rPr>
            </w:pPr>
            <w:r>
              <w:rPr>
                <w:rFonts w:hint="eastAsia" w:ascii="仿宋" w:hAnsi="仿宋" w:eastAsia="仿宋"/>
                <w:kern w:val="0"/>
                <w:sz w:val="24"/>
              </w:rPr>
              <w:t>2)</w:t>
            </w:r>
            <w:r>
              <w:rPr>
                <w:rFonts w:hint="eastAsia" w:ascii="仿宋" w:hAnsi="仿宋" w:eastAsia="仿宋"/>
                <w:kern w:val="0"/>
                <w:sz w:val="24"/>
              </w:rPr>
              <w:tab/>
            </w:r>
            <w:r>
              <w:rPr>
                <w:rFonts w:hint="eastAsia" w:ascii="仿宋" w:hAnsi="仿宋" w:eastAsia="仿宋"/>
                <w:kern w:val="0"/>
                <w:sz w:val="24"/>
              </w:rPr>
              <w:t>本书的内容主要围绕制造执行系统在生产企业中的实际应用场景展开，根据相关领域工作岗位所要求的职业能力进行教学案例设计。本</w:t>
            </w:r>
            <w:r>
              <w:rPr>
                <w:rFonts w:hint="eastAsia" w:ascii="仿宋" w:hAnsi="仿宋" w:eastAsia="仿宋"/>
                <w:kern w:val="0"/>
                <w:sz w:val="24"/>
                <w:lang w:eastAsia="zh-Hans"/>
              </w:rPr>
              <w:t>教材</w:t>
            </w:r>
            <w:r>
              <w:rPr>
                <w:rFonts w:hint="eastAsia" w:ascii="仿宋" w:hAnsi="仿宋" w:eastAsia="仿宋"/>
                <w:kern w:val="0"/>
                <w:sz w:val="24"/>
              </w:rPr>
              <w:t>采用“项目任务式”设计</w:t>
            </w:r>
            <w:r>
              <w:rPr>
                <w:rFonts w:hint="eastAsia" w:ascii="仿宋" w:hAnsi="仿宋" w:eastAsia="仿宋"/>
                <w:kern w:val="0"/>
                <w:sz w:val="24"/>
                <w:lang w:eastAsia="zh-Hans"/>
              </w:rPr>
              <w:t>，</w:t>
            </w:r>
            <w:r>
              <w:rPr>
                <w:rFonts w:hint="eastAsia" w:ascii="仿宋" w:hAnsi="仿宋" w:eastAsia="仿宋"/>
                <w:kern w:val="0"/>
                <w:sz w:val="24"/>
              </w:rPr>
              <w:t>突出理实一体化的职业教育教学特点，</w:t>
            </w:r>
            <w:r>
              <w:rPr>
                <w:rFonts w:hint="eastAsia" w:ascii="仿宋" w:hAnsi="仿宋" w:eastAsia="仿宋"/>
                <w:kern w:val="0"/>
                <w:sz w:val="24"/>
                <w:lang w:eastAsia="zh-Hans"/>
              </w:rPr>
              <w:t>每个任务都配套有</w:t>
            </w:r>
            <w:r>
              <w:rPr>
                <w:rFonts w:hint="eastAsia" w:ascii="仿宋" w:hAnsi="仿宋" w:eastAsia="仿宋"/>
                <w:kern w:val="0"/>
                <w:sz w:val="24"/>
              </w:rPr>
              <w:t>【任务描述】、</w:t>
            </w:r>
            <w:r>
              <w:rPr>
                <w:rFonts w:hint="eastAsia" w:ascii="仿宋" w:hAnsi="仿宋" w:eastAsia="仿宋"/>
                <w:kern w:val="0"/>
                <w:sz w:val="24"/>
                <w:lang w:eastAsia="zh-Hans"/>
              </w:rPr>
              <w:t>【</w:t>
            </w:r>
            <w:r>
              <w:rPr>
                <w:rFonts w:hint="eastAsia" w:ascii="仿宋" w:hAnsi="仿宋" w:eastAsia="仿宋"/>
                <w:kern w:val="0"/>
                <w:sz w:val="24"/>
              </w:rPr>
              <w:t>知识储备</w:t>
            </w:r>
            <w:r>
              <w:rPr>
                <w:rFonts w:hint="eastAsia" w:ascii="仿宋" w:hAnsi="仿宋" w:eastAsia="仿宋"/>
                <w:kern w:val="0"/>
                <w:sz w:val="24"/>
                <w:lang w:eastAsia="zh-Hans"/>
              </w:rPr>
              <w:t>】</w:t>
            </w:r>
            <w:r>
              <w:rPr>
                <w:rFonts w:hint="eastAsia" w:ascii="仿宋" w:hAnsi="仿宋" w:eastAsia="仿宋"/>
                <w:kern w:val="0"/>
                <w:sz w:val="24"/>
              </w:rPr>
              <w:t>、</w:t>
            </w:r>
            <w:r>
              <w:rPr>
                <w:rFonts w:hint="eastAsia" w:ascii="仿宋" w:hAnsi="仿宋" w:eastAsia="仿宋"/>
                <w:kern w:val="0"/>
                <w:sz w:val="24"/>
                <w:lang w:eastAsia="zh-Hans"/>
              </w:rPr>
              <w:t>【</w:t>
            </w:r>
            <w:r>
              <w:rPr>
                <w:rFonts w:hint="eastAsia" w:ascii="仿宋" w:hAnsi="仿宋" w:eastAsia="仿宋"/>
                <w:kern w:val="0"/>
                <w:sz w:val="24"/>
              </w:rPr>
              <w:t>任务实施</w:t>
            </w:r>
            <w:r>
              <w:rPr>
                <w:rFonts w:hint="eastAsia" w:ascii="仿宋" w:hAnsi="仿宋" w:eastAsia="仿宋"/>
                <w:kern w:val="0"/>
                <w:sz w:val="24"/>
                <w:lang w:eastAsia="zh-Hans"/>
              </w:rPr>
              <w:t>】</w:t>
            </w:r>
            <w:r>
              <w:rPr>
                <w:rFonts w:hint="eastAsia" w:ascii="仿宋" w:hAnsi="仿宋" w:eastAsia="仿宋"/>
                <w:kern w:val="0"/>
                <w:sz w:val="24"/>
              </w:rPr>
              <w:t>及【任务评价】</w:t>
            </w:r>
            <w:r>
              <w:rPr>
                <w:rFonts w:hint="eastAsia" w:ascii="仿宋" w:hAnsi="仿宋" w:eastAsia="仿宋"/>
                <w:kern w:val="0"/>
                <w:sz w:val="24"/>
                <w:lang w:eastAsia="zh-Hans"/>
              </w:rPr>
              <w:t>，</w:t>
            </w:r>
            <w:r>
              <w:rPr>
                <w:rFonts w:hint="eastAsia" w:ascii="仿宋" w:hAnsi="仿宋" w:eastAsia="仿宋"/>
                <w:kern w:val="0"/>
                <w:sz w:val="24"/>
              </w:rPr>
              <w:t>强调知识</w:t>
            </w:r>
            <w:r>
              <w:rPr>
                <w:rFonts w:hint="eastAsia" w:ascii="仿宋" w:hAnsi="仿宋" w:eastAsia="仿宋"/>
                <w:kern w:val="0"/>
                <w:sz w:val="24"/>
                <w:lang w:eastAsia="zh-Hans"/>
              </w:rPr>
              <w:t>技能</w:t>
            </w:r>
            <w:r>
              <w:rPr>
                <w:rFonts w:hint="eastAsia" w:ascii="仿宋" w:hAnsi="仿宋" w:eastAsia="仿宋"/>
                <w:kern w:val="0"/>
                <w:sz w:val="24"/>
              </w:rPr>
              <w:t>和任务操作之间的匹配性。通过资源标签或者二维码链接形式，提供了</w:t>
            </w:r>
            <w:r>
              <w:rPr>
                <w:rFonts w:hint="eastAsia" w:ascii="仿宋" w:hAnsi="仿宋" w:eastAsia="仿宋"/>
                <w:kern w:val="0"/>
                <w:sz w:val="24"/>
                <w:lang w:eastAsia="zh-Hans"/>
              </w:rPr>
              <w:t>丰富</w:t>
            </w:r>
            <w:r>
              <w:rPr>
                <w:rFonts w:hint="eastAsia" w:ascii="仿宋" w:hAnsi="仿宋" w:eastAsia="仿宋"/>
                <w:kern w:val="0"/>
                <w:sz w:val="24"/>
              </w:rPr>
              <w:t>的</w:t>
            </w:r>
            <w:r>
              <w:rPr>
                <w:rFonts w:hint="eastAsia" w:ascii="仿宋" w:hAnsi="仿宋" w:eastAsia="仿宋"/>
                <w:kern w:val="0"/>
                <w:sz w:val="24"/>
                <w:lang w:eastAsia="zh-Hans"/>
              </w:rPr>
              <w:t>配套</w:t>
            </w:r>
            <w:r>
              <w:rPr>
                <w:rFonts w:hint="eastAsia" w:ascii="仿宋" w:hAnsi="仿宋" w:eastAsia="仿宋"/>
                <w:kern w:val="0"/>
                <w:sz w:val="24"/>
              </w:rPr>
              <w:t>学习资源，利用</w:t>
            </w:r>
            <w:r>
              <w:rPr>
                <w:rFonts w:hint="eastAsia" w:ascii="仿宋" w:hAnsi="仿宋" w:eastAsia="仿宋"/>
                <w:kern w:val="0"/>
                <w:sz w:val="24"/>
                <w:lang w:eastAsia="zh-Hans"/>
              </w:rPr>
              <w:t>PPT</w:t>
            </w:r>
            <w:r>
              <w:rPr>
                <w:rFonts w:hint="eastAsia" w:ascii="仿宋" w:hAnsi="仿宋" w:eastAsia="仿宋"/>
                <w:kern w:val="0"/>
                <w:sz w:val="24"/>
              </w:rPr>
              <w:t>、视频、动画等融媒体数字资源，对书中的核心知识点和技能点进行深度剖析和详细讲解，降低了读者的学习难度，有效提高学习兴趣和学习效率。</w:t>
            </w:r>
          </w:p>
          <w:p>
            <w:pPr>
              <w:adjustRightInd w:val="0"/>
              <w:ind w:right="-120"/>
              <w:jc w:val="left"/>
              <w:rPr>
                <w:rFonts w:ascii="仿宋" w:hAnsi="仿宋" w:eastAsia="仿宋"/>
                <w:kern w:val="0"/>
                <w:sz w:val="24"/>
              </w:rPr>
            </w:pPr>
            <w:r>
              <w:rPr>
                <w:rFonts w:ascii="仿宋" w:hAnsi="仿宋" w:eastAsia="仿宋"/>
                <w:kern w:val="0"/>
                <w:sz w:val="24"/>
              </w:rPr>
              <w:t>3</w:t>
            </w:r>
            <w:r>
              <w:rPr>
                <w:rFonts w:hint="eastAsia" w:ascii="仿宋" w:hAnsi="仿宋" w:eastAsia="仿宋"/>
                <w:kern w:val="0"/>
                <w:sz w:val="24"/>
              </w:rPr>
              <w:t>)</w:t>
            </w:r>
            <w:r>
              <w:rPr>
                <w:rFonts w:hint="eastAsia" w:ascii="仿宋" w:hAnsi="仿宋" w:eastAsia="仿宋"/>
                <w:kern w:val="0"/>
                <w:sz w:val="24"/>
              </w:rPr>
              <w:tab/>
            </w:r>
            <w:r>
              <w:rPr>
                <w:rFonts w:hint="eastAsia" w:ascii="仿宋" w:hAnsi="仿宋" w:eastAsia="仿宋"/>
                <w:kern w:val="0"/>
                <w:sz w:val="24"/>
              </w:rPr>
              <w:t>内容主体结构至少包括：走进MES系统；MES系统用户操作与配置；MES系统的生产管理；生产数据监控与管理等内容。</w:t>
            </w:r>
          </w:p>
          <w:p>
            <w:pPr>
              <w:adjustRightInd w:val="0"/>
              <w:ind w:right="-120"/>
              <w:jc w:val="left"/>
              <w:rPr>
                <w:rFonts w:ascii="仿宋" w:hAnsi="仿宋" w:eastAsia="仿宋"/>
                <w:kern w:val="0"/>
                <w:sz w:val="24"/>
              </w:rPr>
            </w:pPr>
            <w:r>
              <w:rPr>
                <w:rFonts w:hint="eastAsia" w:ascii="仿宋" w:hAnsi="仿宋" w:eastAsia="仿宋"/>
                <w:kern w:val="0"/>
                <w:sz w:val="24"/>
              </w:rPr>
              <w:t>2 包含教学所需课程资源1套，如课件、视频等；</w:t>
            </w:r>
          </w:p>
          <w:p>
            <w:pPr>
              <w:adjustRightInd w:val="0"/>
              <w:ind w:right="-120"/>
              <w:jc w:val="left"/>
              <w:rPr>
                <w:rFonts w:ascii="仿宋" w:hAnsi="仿宋" w:eastAsia="仿宋"/>
                <w:kern w:val="0"/>
                <w:sz w:val="24"/>
              </w:rPr>
            </w:pPr>
            <w:r>
              <w:rPr>
                <w:rFonts w:hint="eastAsia" w:ascii="仿宋" w:hAnsi="仿宋" w:eastAsia="仿宋"/>
                <w:kern w:val="0"/>
                <w:sz w:val="24"/>
              </w:rPr>
              <w:t>1)</w:t>
            </w:r>
            <w:r>
              <w:rPr>
                <w:rFonts w:hint="eastAsia" w:ascii="仿宋" w:hAnsi="仿宋" w:eastAsia="仿宋"/>
                <w:kern w:val="0"/>
                <w:sz w:val="24"/>
              </w:rPr>
              <w:tab/>
            </w:r>
            <w:r>
              <w:rPr>
                <w:rFonts w:hint="eastAsia" w:ascii="仿宋" w:hAnsi="仿宋" w:eastAsia="仿宋"/>
                <w:kern w:val="0"/>
                <w:sz w:val="24"/>
              </w:rPr>
              <w:t>课程资源以知识点和技能点为依据进行打散重构，可以根据实际使用需求进行重构组织，方便使用。</w:t>
            </w:r>
          </w:p>
          <w:p>
            <w:pPr>
              <w:adjustRightInd w:val="0"/>
              <w:ind w:right="-120"/>
              <w:jc w:val="left"/>
              <w:rPr>
                <w:rFonts w:ascii="仿宋" w:hAnsi="仿宋" w:eastAsia="仿宋"/>
                <w:kern w:val="0"/>
                <w:sz w:val="24"/>
              </w:rPr>
            </w:pPr>
            <w:r>
              <w:rPr>
                <w:rFonts w:hint="eastAsia" w:ascii="仿宋" w:hAnsi="仿宋" w:eastAsia="仿宋"/>
                <w:kern w:val="0"/>
                <w:sz w:val="24"/>
              </w:rPr>
              <w:t>2)</w:t>
            </w:r>
            <w:r>
              <w:rPr>
                <w:rFonts w:hint="eastAsia" w:ascii="仿宋" w:hAnsi="仿宋" w:eastAsia="仿宋"/>
                <w:kern w:val="0"/>
                <w:sz w:val="24"/>
              </w:rPr>
              <w:tab/>
            </w:r>
            <w:r>
              <w:rPr>
                <w:rFonts w:hint="eastAsia" w:ascii="仿宋" w:hAnsi="仿宋" w:eastAsia="仿宋"/>
                <w:kern w:val="0"/>
                <w:sz w:val="24"/>
              </w:rPr>
              <w:t>课程资源包含多种形式，至少包括PPT、录屏操作视频。</w:t>
            </w:r>
          </w:p>
          <w:p>
            <w:pPr>
              <w:adjustRightInd w:val="0"/>
              <w:ind w:right="-120"/>
              <w:jc w:val="left"/>
              <w:rPr>
                <w:rFonts w:ascii="仿宋" w:hAnsi="仿宋" w:eastAsia="仿宋"/>
                <w:kern w:val="0"/>
                <w:sz w:val="24"/>
              </w:rPr>
            </w:pPr>
            <w:r>
              <w:rPr>
                <w:rFonts w:hint="eastAsia" w:ascii="仿宋" w:hAnsi="仿宋" w:eastAsia="仿宋"/>
                <w:kern w:val="0"/>
                <w:sz w:val="24"/>
              </w:rPr>
              <w:t>3)</w:t>
            </w:r>
            <w:r>
              <w:rPr>
                <w:rFonts w:hint="eastAsia" w:ascii="仿宋" w:hAnsi="仿宋" w:eastAsia="仿宋"/>
                <w:kern w:val="0"/>
                <w:sz w:val="24"/>
              </w:rPr>
              <w:tab/>
            </w:r>
            <w:r>
              <w:rPr>
                <w:rFonts w:hint="eastAsia" w:ascii="仿宋" w:hAnsi="仿宋" w:eastAsia="仿宋"/>
                <w:kern w:val="0"/>
                <w:sz w:val="24"/>
              </w:rPr>
              <w:t>PPT提供源文件，可编辑，采用最新版本软件制作，设计风格统一，内容充实，可作为素材库满足教学课程使用，数量不少于20个。</w:t>
            </w:r>
          </w:p>
          <w:p>
            <w:pPr>
              <w:adjustRightInd w:val="0"/>
              <w:ind w:right="-120"/>
              <w:jc w:val="left"/>
              <w:rPr>
                <w:rFonts w:ascii="仿宋" w:hAnsi="仿宋" w:eastAsia="仿宋"/>
                <w:kern w:val="0"/>
                <w:sz w:val="24"/>
              </w:rPr>
            </w:pPr>
            <w:r>
              <w:rPr>
                <w:rFonts w:ascii="仿宋" w:hAnsi="仿宋" w:eastAsia="仿宋"/>
                <w:kern w:val="0"/>
                <w:sz w:val="24"/>
              </w:rPr>
              <w:t>4</w:t>
            </w:r>
            <w:r>
              <w:rPr>
                <w:rFonts w:hint="eastAsia" w:ascii="仿宋" w:hAnsi="仿宋" w:eastAsia="仿宋"/>
                <w:kern w:val="0"/>
                <w:sz w:val="24"/>
              </w:rPr>
              <w:t>)</w:t>
            </w:r>
            <w:r>
              <w:rPr>
                <w:rFonts w:hint="eastAsia" w:ascii="仿宋" w:hAnsi="仿宋" w:eastAsia="仿宋"/>
                <w:kern w:val="0"/>
                <w:sz w:val="24"/>
              </w:rPr>
              <w:tab/>
            </w:r>
            <w:r>
              <w:rPr>
                <w:rFonts w:hint="eastAsia" w:ascii="仿宋" w:hAnsi="仿宋" w:eastAsia="仿宋"/>
                <w:kern w:val="0"/>
                <w:sz w:val="24"/>
              </w:rPr>
              <w:t>视频可通过统一资源平台软件进行播放，画面稳定清晰，关键信息配有字幕和解说，为展示核心实训流程通过对软件或管理平台中的操作过程进行同步录屏标注，数量不少于15个。</w:t>
            </w:r>
          </w:p>
        </w:tc>
        <w:tc>
          <w:tcPr>
            <w:tcW w:w="342" w:type="pct"/>
            <w:noWrap w:val="0"/>
            <w:vAlign w:val="top"/>
          </w:tcPr>
          <w:p>
            <w:pPr>
              <w:adjustRightInd w:val="0"/>
              <w:ind w:right="-120"/>
              <w:jc w:val="left"/>
              <w:rPr>
                <w:rFonts w:ascii="仿宋" w:hAnsi="仿宋" w:eastAsia="仿宋"/>
                <w:kern w:val="0"/>
                <w:sz w:val="24"/>
              </w:rPr>
            </w:pPr>
            <w:r>
              <w:rPr>
                <w:rFonts w:hint="eastAsia" w:ascii="仿宋" w:hAnsi="仿宋" w:eastAsia="仿宋"/>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6" w:hRule="atLeast"/>
        </w:trPr>
        <w:tc>
          <w:tcPr>
            <w:tcW w:w="213" w:type="pct"/>
            <w:noWrap w:val="0"/>
            <w:vAlign w:val="top"/>
          </w:tcPr>
          <w:p>
            <w:pPr>
              <w:adjustRightInd w:val="0"/>
              <w:ind w:right="-120"/>
              <w:jc w:val="left"/>
              <w:rPr>
                <w:rFonts w:ascii="仿宋" w:hAnsi="仿宋" w:eastAsia="仿宋"/>
                <w:b/>
                <w:bCs/>
                <w:kern w:val="0"/>
                <w:sz w:val="24"/>
              </w:rPr>
            </w:pPr>
            <w:r>
              <w:rPr>
                <w:rFonts w:hint="eastAsia" w:ascii="仿宋" w:hAnsi="仿宋" w:eastAsia="仿宋"/>
                <w:b/>
                <w:bCs/>
                <w:kern w:val="0"/>
                <w:sz w:val="24"/>
              </w:rPr>
              <w:t>5</w:t>
            </w:r>
          </w:p>
        </w:tc>
        <w:tc>
          <w:tcPr>
            <w:tcW w:w="352" w:type="pct"/>
            <w:noWrap w:val="0"/>
            <w:vAlign w:val="top"/>
          </w:tcPr>
          <w:p>
            <w:pPr>
              <w:adjustRightInd w:val="0"/>
              <w:ind w:right="-120"/>
              <w:jc w:val="left"/>
              <w:rPr>
                <w:rFonts w:ascii="仿宋" w:hAnsi="仿宋" w:eastAsia="仿宋"/>
                <w:kern w:val="0"/>
                <w:sz w:val="24"/>
              </w:rPr>
            </w:pPr>
            <w:r>
              <w:rPr>
                <w:rFonts w:hint="eastAsia" w:ascii="仿宋" w:hAnsi="仿宋" w:eastAsia="仿宋"/>
                <w:kern w:val="0"/>
                <w:sz w:val="24"/>
              </w:rPr>
              <w:t>工厂虚拟调试仿真软件应用资源包</w:t>
            </w:r>
          </w:p>
        </w:tc>
        <w:tc>
          <w:tcPr>
            <w:tcW w:w="4092" w:type="pct"/>
            <w:noWrap w:val="0"/>
            <w:vAlign w:val="top"/>
          </w:tcPr>
          <w:p>
            <w:pPr>
              <w:adjustRightInd w:val="0"/>
              <w:ind w:right="-120"/>
              <w:jc w:val="left"/>
              <w:rPr>
                <w:rFonts w:ascii="仿宋" w:hAnsi="仿宋" w:eastAsia="仿宋"/>
                <w:kern w:val="0"/>
                <w:sz w:val="24"/>
              </w:rPr>
            </w:pPr>
            <w:r>
              <w:rPr>
                <w:rFonts w:hint="eastAsia" w:ascii="仿宋" w:hAnsi="仿宋" w:eastAsia="仿宋"/>
                <w:kern w:val="0"/>
                <w:sz w:val="24"/>
              </w:rPr>
              <w:t>1.包含教学所需的实训指导手册10本；（需开标现场提供1本手册样本）</w:t>
            </w:r>
          </w:p>
          <w:p>
            <w:pPr>
              <w:adjustRightInd w:val="0"/>
              <w:ind w:right="-120"/>
              <w:jc w:val="left"/>
              <w:rPr>
                <w:rFonts w:ascii="仿宋" w:hAnsi="仿宋" w:eastAsia="仿宋"/>
                <w:kern w:val="0"/>
                <w:sz w:val="24"/>
              </w:rPr>
            </w:pPr>
            <w:r>
              <w:rPr>
                <w:rFonts w:hint="eastAsia" w:ascii="仿宋" w:hAnsi="仿宋" w:eastAsia="仿宋"/>
                <w:kern w:val="0"/>
                <w:sz w:val="24"/>
              </w:rPr>
              <w:t>1)</w:t>
            </w:r>
            <w:r>
              <w:rPr>
                <w:rFonts w:hint="eastAsia" w:ascii="仿宋" w:hAnsi="仿宋" w:eastAsia="仿宋"/>
                <w:kern w:val="0"/>
                <w:sz w:val="24"/>
              </w:rPr>
              <w:tab/>
            </w:r>
            <w:r>
              <w:rPr>
                <w:rFonts w:hint="eastAsia" w:ascii="仿宋" w:hAnsi="仿宋" w:eastAsia="仿宋"/>
                <w:kern w:val="0"/>
                <w:sz w:val="24"/>
              </w:rPr>
              <w:t>实训手册由智能制造领域相关院校及行业专家共同编制审核，印刷精美，排版合理，方便使用；</w:t>
            </w:r>
          </w:p>
          <w:p>
            <w:pPr>
              <w:adjustRightInd w:val="0"/>
              <w:ind w:right="-120"/>
              <w:jc w:val="left"/>
              <w:rPr>
                <w:rFonts w:ascii="仿宋" w:hAnsi="仿宋" w:eastAsia="仿宋"/>
                <w:kern w:val="0"/>
                <w:sz w:val="24"/>
              </w:rPr>
            </w:pPr>
            <w:r>
              <w:rPr>
                <w:rFonts w:hint="eastAsia" w:ascii="仿宋" w:hAnsi="仿宋" w:eastAsia="仿宋"/>
                <w:kern w:val="0"/>
                <w:sz w:val="24"/>
              </w:rPr>
              <w:t>2)</w:t>
            </w:r>
            <w:r>
              <w:rPr>
                <w:rFonts w:hint="eastAsia" w:ascii="仿宋" w:hAnsi="仿宋" w:eastAsia="仿宋"/>
                <w:kern w:val="0"/>
                <w:sz w:val="24"/>
              </w:rPr>
              <w:tab/>
            </w:r>
            <w:r>
              <w:rPr>
                <w:rFonts w:hint="eastAsia" w:ascii="仿宋" w:hAnsi="仿宋" w:eastAsia="仿宋"/>
                <w:kern w:val="0"/>
                <w:sz w:val="24"/>
              </w:rPr>
              <w:t>手册编排结构为核心知识点配合实训案例形式，满足新形态一体化实训手册编写要求，知识点丰富，技能点均配有扩展资源接口，可方便直接观看学习；</w:t>
            </w:r>
          </w:p>
          <w:p>
            <w:pPr>
              <w:adjustRightInd w:val="0"/>
              <w:ind w:right="-120"/>
              <w:jc w:val="left"/>
              <w:rPr>
                <w:rFonts w:ascii="仿宋" w:hAnsi="仿宋" w:eastAsia="仿宋"/>
                <w:kern w:val="0"/>
                <w:sz w:val="24"/>
              </w:rPr>
            </w:pPr>
            <w:r>
              <w:rPr>
                <w:rFonts w:hint="eastAsia" w:ascii="仿宋" w:hAnsi="仿宋" w:eastAsia="仿宋"/>
                <w:kern w:val="0"/>
                <w:sz w:val="24"/>
              </w:rPr>
              <w:t>3)</w:t>
            </w:r>
            <w:r>
              <w:rPr>
                <w:rFonts w:hint="eastAsia" w:ascii="仿宋" w:hAnsi="仿宋" w:eastAsia="仿宋"/>
                <w:kern w:val="0"/>
                <w:sz w:val="24"/>
              </w:rPr>
              <w:tab/>
            </w:r>
            <w:r>
              <w:rPr>
                <w:rFonts w:hint="eastAsia" w:ascii="仿宋" w:hAnsi="仿宋" w:eastAsia="仿宋"/>
                <w:kern w:val="0"/>
                <w:sz w:val="24"/>
              </w:rPr>
              <w:t>内容主体结构至少包括：虚拟实训平台的认知；数字设备的定义及搭建；PLC编程实训；虚拟调试；真机验证等内容。</w:t>
            </w:r>
          </w:p>
          <w:p>
            <w:pPr>
              <w:adjustRightInd w:val="0"/>
              <w:ind w:right="-120"/>
              <w:jc w:val="left"/>
              <w:rPr>
                <w:rFonts w:ascii="仿宋" w:hAnsi="仿宋" w:eastAsia="仿宋"/>
                <w:kern w:val="0"/>
                <w:sz w:val="24"/>
              </w:rPr>
            </w:pPr>
            <w:r>
              <w:rPr>
                <w:rFonts w:hint="eastAsia" w:ascii="仿宋" w:hAnsi="仿宋" w:eastAsia="仿宋"/>
                <w:kern w:val="0"/>
                <w:sz w:val="24"/>
              </w:rPr>
              <w:t>2 包含教学所需课程资源1套，如课件、视频等；</w:t>
            </w:r>
          </w:p>
          <w:p>
            <w:pPr>
              <w:adjustRightInd w:val="0"/>
              <w:ind w:right="-120"/>
              <w:jc w:val="left"/>
              <w:rPr>
                <w:rFonts w:ascii="仿宋" w:hAnsi="仿宋" w:eastAsia="仿宋"/>
                <w:kern w:val="0"/>
                <w:sz w:val="24"/>
              </w:rPr>
            </w:pPr>
            <w:r>
              <w:rPr>
                <w:rFonts w:hint="eastAsia" w:ascii="仿宋" w:hAnsi="仿宋" w:eastAsia="仿宋"/>
                <w:kern w:val="0"/>
                <w:sz w:val="24"/>
              </w:rPr>
              <w:t>1)</w:t>
            </w:r>
            <w:r>
              <w:rPr>
                <w:rFonts w:hint="eastAsia" w:ascii="仿宋" w:hAnsi="仿宋" w:eastAsia="仿宋"/>
                <w:kern w:val="0"/>
                <w:sz w:val="24"/>
              </w:rPr>
              <w:tab/>
            </w:r>
            <w:r>
              <w:rPr>
                <w:rFonts w:hint="eastAsia" w:ascii="仿宋" w:hAnsi="仿宋" w:eastAsia="仿宋"/>
                <w:kern w:val="0"/>
                <w:sz w:val="24"/>
              </w:rPr>
              <w:t>课程资源以知识点和技能点为依据进行打散重构，可以根据实际使用需求进行重构组织，方便使用。</w:t>
            </w:r>
          </w:p>
          <w:p>
            <w:pPr>
              <w:adjustRightInd w:val="0"/>
              <w:ind w:right="-120"/>
              <w:jc w:val="left"/>
              <w:rPr>
                <w:rFonts w:ascii="仿宋" w:hAnsi="仿宋" w:eastAsia="仿宋"/>
                <w:kern w:val="0"/>
                <w:sz w:val="24"/>
              </w:rPr>
            </w:pPr>
            <w:r>
              <w:rPr>
                <w:rFonts w:hint="eastAsia" w:ascii="仿宋" w:hAnsi="仿宋" w:eastAsia="仿宋"/>
                <w:kern w:val="0"/>
                <w:sz w:val="24"/>
              </w:rPr>
              <w:t>2)</w:t>
            </w:r>
            <w:r>
              <w:rPr>
                <w:rFonts w:hint="eastAsia" w:ascii="仿宋" w:hAnsi="仿宋" w:eastAsia="仿宋"/>
                <w:kern w:val="0"/>
                <w:sz w:val="24"/>
              </w:rPr>
              <w:tab/>
            </w:r>
            <w:r>
              <w:rPr>
                <w:rFonts w:hint="eastAsia" w:ascii="仿宋" w:hAnsi="仿宋" w:eastAsia="仿宋"/>
                <w:kern w:val="0"/>
                <w:sz w:val="24"/>
              </w:rPr>
              <w:t>课程资源包含多种形式，至少包括PPT、录屏操作视频。</w:t>
            </w:r>
          </w:p>
          <w:p>
            <w:pPr>
              <w:adjustRightInd w:val="0"/>
              <w:ind w:right="-120"/>
              <w:jc w:val="left"/>
              <w:rPr>
                <w:rFonts w:ascii="仿宋" w:hAnsi="仿宋" w:eastAsia="仿宋"/>
                <w:kern w:val="0"/>
                <w:sz w:val="24"/>
              </w:rPr>
            </w:pPr>
            <w:r>
              <w:rPr>
                <w:rFonts w:hint="eastAsia" w:ascii="仿宋" w:hAnsi="仿宋" w:eastAsia="仿宋"/>
                <w:kern w:val="0"/>
                <w:sz w:val="24"/>
              </w:rPr>
              <w:t>3)</w:t>
            </w:r>
            <w:r>
              <w:rPr>
                <w:rFonts w:hint="eastAsia" w:ascii="仿宋" w:hAnsi="仿宋" w:eastAsia="仿宋"/>
                <w:kern w:val="0"/>
                <w:sz w:val="24"/>
              </w:rPr>
              <w:tab/>
            </w:r>
            <w:r>
              <w:rPr>
                <w:rFonts w:hint="eastAsia" w:ascii="仿宋" w:hAnsi="仿宋" w:eastAsia="仿宋"/>
                <w:kern w:val="0"/>
                <w:sz w:val="24"/>
              </w:rPr>
              <w:t>PPT提供源文件，可编辑，采用最新版本软件制作，设计风格统一，内容充实，可作为素材库满足教学课程使用，数量不少于20个。</w:t>
            </w:r>
          </w:p>
          <w:p>
            <w:pPr>
              <w:adjustRightInd w:val="0"/>
              <w:ind w:right="-120"/>
              <w:jc w:val="left"/>
              <w:rPr>
                <w:rFonts w:ascii="仿宋" w:hAnsi="仿宋" w:eastAsia="仿宋"/>
                <w:kern w:val="0"/>
                <w:sz w:val="24"/>
              </w:rPr>
            </w:pPr>
            <w:r>
              <w:rPr>
                <w:rFonts w:hint="eastAsia" w:ascii="仿宋" w:hAnsi="仿宋" w:eastAsia="仿宋"/>
                <w:kern w:val="0"/>
                <w:sz w:val="24"/>
              </w:rPr>
              <w:t>4)</w:t>
            </w:r>
            <w:r>
              <w:rPr>
                <w:rFonts w:hint="eastAsia" w:ascii="仿宋" w:hAnsi="仿宋" w:eastAsia="仿宋"/>
                <w:kern w:val="0"/>
                <w:sz w:val="24"/>
              </w:rPr>
              <w:tab/>
            </w:r>
            <w:r>
              <w:rPr>
                <w:rFonts w:hint="eastAsia" w:ascii="仿宋" w:hAnsi="仿宋" w:eastAsia="仿宋"/>
                <w:kern w:val="0"/>
                <w:sz w:val="24"/>
              </w:rPr>
              <w:t>视频可通过统一资源平台软件进行播放，画面稳定清晰，关键信息配有字幕和解说，为展示核心实训流程通过对软件或管理平台中的操作过程进行同步录屏标注，数量不少于15个。</w:t>
            </w:r>
          </w:p>
        </w:tc>
        <w:tc>
          <w:tcPr>
            <w:tcW w:w="342" w:type="pct"/>
            <w:noWrap w:val="0"/>
            <w:vAlign w:val="top"/>
          </w:tcPr>
          <w:p>
            <w:pPr>
              <w:adjustRightInd w:val="0"/>
              <w:ind w:right="-120"/>
              <w:jc w:val="left"/>
              <w:rPr>
                <w:rFonts w:ascii="仿宋" w:hAnsi="仿宋" w:eastAsia="仿宋"/>
                <w:kern w:val="0"/>
                <w:sz w:val="24"/>
              </w:rPr>
            </w:pPr>
            <w:r>
              <w:rPr>
                <w:rFonts w:hint="eastAsia" w:ascii="仿宋" w:hAnsi="仿宋" w:eastAsia="仿宋"/>
                <w:kern w:val="0"/>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6" w:hRule="atLeast"/>
        </w:trPr>
        <w:tc>
          <w:tcPr>
            <w:tcW w:w="213" w:type="pct"/>
            <w:noWrap w:val="0"/>
            <w:vAlign w:val="top"/>
          </w:tcPr>
          <w:p>
            <w:pPr>
              <w:adjustRightInd w:val="0"/>
              <w:ind w:right="-120"/>
              <w:jc w:val="left"/>
              <w:rPr>
                <w:rFonts w:ascii="仿宋" w:hAnsi="仿宋" w:eastAsia="仿宋"/>
                <w:b/>
                <w:bCs/>
                <w:kern w:val="0"/>
                <w:sz w:val="24"/>
              </w:rPr>
            </w:pPr>
            <w:r>
              <w:rPr>
                <w:rFonts w:hint="eastAsia" w:ascii="仿宋" w:hAnsi="仿宋" w:eastAsia="仿宋"/>
                <w:b/>
                <w:bCs/>
                <w:kern w:val="0"/>
                <w:sz w:val="24"/>
              </w:rPr>
              <w:t>6</w:t>
            </w:r>
          </w:p>
        </w:tc>
        <w:tc>
          <w:tcPr>
            <w:tcW w:w="352" w:type="pct"/>
            <w:noWrap w:val="0"/>
            <w:vAlign w:val="top"/>
          </w:tcPr>
          <w:p>
            <w:pPr>
              <w:adjustRightInd w:val="0"/>
              <w:ind w:right="-120"/>
              <w:jc w:val="left"/>
              <w:rPr>
                <w:rFonts w:ascii="仿宋" w:hAnsi="仿宋" w:eastAsia="仿宋"/>
                <w:kern w:val="0"/>
                <w:sz w:val="24"/>
              </w:rPr>
            </w:pPr>
            <w:r>
              <w:rPr>
                <w:rFonts w:hint="eastAsia" w:ascii="仿宋" w:hAnsi="仿宋" w:eastAsia="仿宋"/>
                <w:kern w:val="0"/>
                <w:sz w:val="24"/>
              </w:rPr>
              <w:t>工控机及配套桌凳</w:t>
            </w:r>
          </w:p>
        </w:tc>
        <w:tc>
          <w:tcPr>
            <w:tcW w:w="4092" w:type="pct"/>
            <w:noWrap w:val="0"/>
            <w:vAlign w:val="top"/>
          </w:tcPr>
          <w:p>
            <w:pPr>
              <w:adjustRightInd w:val="0"/>
              <w:ind w:right="-120"/>
              <w:jc w:val="left"/>
              <w:rPr>
                <w:rFonts w:ascii="仿宋" w:hAnsi="仿宋" w:eastAsia="仿宋"/>
                <w:kern w:val="0"/>
                <w:sz w:val="24"/>
              </w:rPr>
            </w:pPr>
            <w:r>
              <w:rPr>
                <w:rFonts w:ascii="仿宋" w:hAnsi="仿宋" w:eastAsia="仿宋"/>
                <w:kern w:val="0"/>
                <w:sz w:val="24"/>
              </w:rPr>
              <w:t>1</w:t>
            </w:r>
            <w:r>
              <w:rPr>
                <w:rFonts w:hint="eastAsia" w:ascii="仿宋" w:hAnsi="仿宋" w:eastAsia="仿宋"/>
                <w:kern w:val="0"/>
                <w:sz w:val="24"/>
              </w:rPr>
              <w:t>、工控机参数：</w:t>
            </w:r>
            <w:r>
              <w:rPr>
                <w:rFonts w:ascii="仿宋" w:hAnsi="仿宋" w:eastAsia="仿宋"/>
                <w:kern w:val="0"/>
                <w:sz w:val="24"/>
              </w:rPr>
              <w:t>I7-1270</w:t>
            </w:r>
            <w:r>
              <w:rPr>
                <w:rFonts w:hint="eastAsia" w:ascii="仿宋" w:hAnsi="仿宋" w:eastAsia="仿宋"/>
                <w:kern w:val="0"/>
                <w:sz w:val="24"/>
              </w:rPr>
              <w:t>0及以上处理器、</w:t>
            </w:r>
            <w:r>
              <w:rPr>
                <w:rFonts w:ascii="仿宋" w:hAnsi="仿宋" w:eastAsia="仿宋"/>
                <w:kern w:val="0"/>
                <w:sz w:val="24"/>
              </w:rPr>
              <w:t>16GB</w:t>
            </w:r>
            <w:r>
              <w:rPr>
                <w:rFonts w:hint="eastAsia" w:ascii="仿宋" w:hAnsi="仿宋" w:eastAsia="仿宋"/>
                <w:kern w:val="0"/>
                <w:sz w:val="24"/>
              </w:rPr>
              <w:t>及以上内存、</w:t>
            </w:r>
            <w:r>
              <w:rPr>
                <w:rFonts w:ascii="仿宋" w:hAnsi="仿宋" w:eastAsia="仿宋"/>
                <w:kern w:val="0"/>
                <w:sz w:val="24"/>
              </w:rPr>
              <w:t>256GB</w:t>
            </w:r>
            <w:r>
              <w:rPr>
                <w:rFonts w:hint="eastAsia" w:ascii="仿宋" w:hAnsi="仿宋" w:eastAsia="仿宋"/>
                <w:kern w:val="0"/>
                <w:sz w:val="24"/>
              </w:rPr>
              <w:t>固态+</w:t>
            </w:r>
            <w:r>
              <w:rPr>
                <w:rFonts w:ascii="仿宋" w:hAnsi="仿宋" w:eastAsia="仿宋"/>
                <w:kern w:val="0"/>
                <w:sz w:val="24"/>
              </w:rPr>
              <w:t>1TB</w:t>
            </w:r>
            <w:r>
              <w:rPr>
                <w:rFonts w:hint="eastAsia" w:ascii="仿宋" w:hAnsi="仿宋" w:eastAsia="仿宋"/>
                <w:kern w:val="0"/>
                <w:sz w:val="24"/>
              </w:rPr>
              <w:t>机械硬盘、23英寸显示器、RTX3060及以上独显、Windows10系统64位版本</w:t>
            </w:r>
          </w:p>
          <w:p>
            <w:pPr>
              <w:adjustRightInd w:val="0"/>
              <w:ind w:right="-120"/>
              <w:jc w:val="left"/>
              <w:rPr>
                <w:rFonts w:ascii="仿宋" w:hAnsi="仿宋" w:eastAsia="仿宋"/>
                <w:kern w:val="0"/>
                <w:sz w:val="24"/>
              </w:rPr>
            </w:pPr>
            <w:r>
              <w:rPr>
                <w:rFonts w:hint="eastAsia" w:ascii="仿宋" w:hAnsi="仿宋" w:eastAsia="仿宋"/>
                <w:kern w:val="0"/>
                <w:sz w:val="24"/>
              </w:rPr>
              <w:t>2、配套桌凳使用材料环保，结构设计合理，简单大方。电脑桌和主机托板配有滚轮，便于移动。电脑桌尺寸（长×宽×高）：</w:t>
            </w:r>
            <w:r>
              <w:rPr>
                <w:rFonts w:ascii="仿宋" w:hAnsi="仿宋" w:eastAsia="仿宋"/>
                <w:kern w:val="0"/>
                <w:sz w:val="24"/>
              </w:rPr>
              <w:t>1000×700×750mm</w:t>
            </w:r>
            <w:r>
              <w:rPr>
                <w:rFonts w:hint="eastAsia" w:ascii="仿宋" w:hAnsi="仿宋" w:eastAsia="仿宋"/>
                <w:kern w:val="0"/>
                <w:sz w:val="24"/>
              </w:rPr>
              <w:t>，方凳尺寸（长×宽×高）：</w:t>
            </w:r>
            <w:r>
              <w:rPr>
                <w:rFonts w:ascii="仿宋" w:hAnsi="仿宋" w:eastAsia="仿宋"/>
                <w:kern w:val="0"/>
                <w:sz w:val="24"/>
              </w:rPr>
              <w:t>340×240×420mm</w:t>
            </w:r>
            <w:r>
              <w:rPr>
                <w:rFonts w:hint="eastAsia" w:ascii="仿宋" w:hAnsi="仿宋" w:eastAsia="仿宋"/>
                <w:kern w:val="0"/>
                <w:sz w:val="24"/>
              </w:rPr>
              <w:t>。</w:t>
            </w:r>
          </w:p>
        </w:tc>
        <w:tc>
          <w:tcPr>
            <w:tcW w:w="342" w:type="pct"/>
            <w:noWrap w:val="0"/>
            <w:vAlign w:val="top"/>
          </w:tcPr>
          <w:p>
            <w:pPr>
              <w:adjustRightInd w:val="0"/>
              <w:ind w:right="-120"/>
              <w:jc w:val="left"/>
              <w:rPr>
                <w:rFonts w:ascii="仿宋" w:hAnsi="仿宋" w:eastAsia="仿宋"/>
                <w:kern w:val="0"/>
                <w:sz w:val="24"/>
              </w:rPr>
            </w:pPr>
            <w:r>
              <w:rPr>
                <w:rFonts w:hint="eastAsia" w:ascii="仿宋" w:hAnsi="仿宋" w:eastAsia="仿宋"/>
                <w:kern w:val="0"/>
                <w:sz w:val="24"/>
              </w:rPr>
              <w:t>2套</w:t>
            </w:r>
          </w:p>
        </w:tc>
      </w:tr>
    </w:tbl>
    <w:p>
      <w:pPr>
        <w:spacing w:line="520" w:lineRule="exact"/>
        <w:ind w:firstLine="422" w:firstLineChars="200"/>
        <w:outlineLvl w:val="0"/>
        <w:rPr>
          <w:rFonts w:hint="eastAsia" w:ascii="宋体" w:hAnsi="宋体" w:eastAsia="宋体" w:cs="宋体"/>
          <w:b/>
          <w:color w:val="000000"/>
          <w:sz w:val="21"/>
          <w:szCs w:val="21"/>
        </w:rPr>
      </w:pPr>
      <w:r>
        <w:rPr>
          <w:rFonts w:hint="eastAsia" w:ascii="宋体" w:hAnsi="宋体" w:eastAsia="宋体" w:cs="宋体"/>
          <w:b/>
          <w:color w:val="000000"/>
          <w:sz w:val="21"/>
          <w:szCs w:val="21"/>
          <w:lang w:eastAsia="zh-CN"/>
        </w:rPr>
        <w:t>三</w:t>
      </w:r>
      <w:r>
        <w:rPr>
          <w:rFonts w:hint="eastAsia" w:ascii="宋体" w:hAnsi="宋体" w:eastAsia="宋体" w:cs="宋体"/>
          <w:b/>
          <w:color w:val="000000"/>
          <w:sz w:val="21"/>
          <w:szCs w:val="21"/>
        </w:rPr>
        <w:t>、商务要求</w:t>
      </w:r>
    </w:p>
    <w:p>
      <w:pPr>
        <w:pStyle w:val="3"/>
        <w:numPr>
          <w:ilvl w:val="1"/>
          <w:numId w:val="6"/>
        </w:numPr>
        <w:spacing w:before="0" w:after="0" w:line="520" w:lineRule="exact"/>
        <w:ind w:firstLine="640"/>
        <w:rPr>
          <w:rFonts w:hint="eastAsia" w:ascii="宋体" w:hAnsi="宋体" w:eastAsia="宋体" w:cs="宋体"/>
          <w:b w:val="0"/>
          <w:bCs/>
          <w:sz w:val="21"/>
          <w:szCs w:val="21"/>
        </w:rPr>
      </w:pPr>
      <w:r>
        <w:rPr>
          <w:rFonts w:hint="eastAsia" w:ascii="宋体" w:hAnsi="宋体" w:eastAsia="宋体" w:cs="宋体"/>
          <w:b w:val="0"/>
          <w:bCs/>
          <w:sz w:val="21"/>
          <w:szCs w:val="21"/>
        </w:rPr>
        <w:t>交付</w:t>
      </w:r>
    </w:p>
    <w:p>
      <w:pPr>
        <w:pStyle w:val="34"/>
        <w:numPr>
          <w:ilvl w:val="0"/>
          <w:numId w:val="7"/>
        </w:numPr>
        <w:spacing w:line="520" w:lineRule="exact"/>
        <w:ind w:left="0" w:firstLine="420" w:firstLineChars="200"/>
        <w:jc w:val="both"/>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交货期：自签订合同后30个日历天内，且完成安装、调试等相关工作，交付采购人验收合格。</w:t>
      </w:r>
    </w:p>
    <w:p>
      <w:pPr>
        <w:pStyle w:val="34"/>
        <w:numPr>
          <w:ilvl w:val="0"/>
          <w:numId w:val="7"/>
        </w:numPr>
        <w:spacing w:line="520" w:lineRule="exact"/>
        <w:ind w:left="0" w:firstLine="420" w:firstLineChars="200"/>
        <w:jc w:val="both"/>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交货地点：采购人指定地点。</w:t>
      </w:r>
    </w:p>
    <w:p>
      <w:pPr>
        <w:pStyle w:val="3"/>
        <w:numPr>
          <w:ilvl w:val="1"/>
          <w:numId w:val="6"/>
        </w:numPr>
        <w:spacing w:before="0" w:after="0" w:line="520" w:lineRule="exact"/>
        <w:ind w:firstLine="640"/>
        <w:rPr>
          <w:rFonts w:hint="eastAsia" w:ascii="宋体" w:hAnsi="宋体" w:eastAsia="宋体" w:cs="宋体"/>
          <w:b w:val="0"/>
          <w:bCs/>
          <w:sz w:val="21"/>
          <w:szCs w:val="21"/>
        </w:rPr>
      </w:pPr>
      <w:r>
        <w:rPr>
          <w:rFonts w:hint="eastAsia" w:ascii="宋体" w:hAnsi="宋体" w:eastAsia="宋体" w:cs="宋体"/>
          <w:b w:val="0"/>
          <w:bCs/>
          <w:sz w:val="21"/>
          <w:szCs w:val="21"/>
        </w:rPr>
        <w:t>质保期</w:t>
      </w:r>
    </w:p>
    <w:p>
      <w:pPr>
        <w:spacing w:line="520" w:lineRule="exact"/>
        <w:ind w:firstLine="420" w:firstLineChars="200"/>
        <w:rPr>
          <w:rFonts w:hint="eastAsia" w:ascii="宋体" w:hAnsi="宋体" w:eastAsia="宋体" w:cs="宋体"/>
          <w:sz w:val="21"/>
          <w:szCs w:val="21"/>
          <w:lang w:eastAsia="zh-Hans"/>
        </w:rPr>
      </w:pPr>
      <w:r>
        <w:rPr>
          <w:rFonts w:hint="eastAsia" w:ascii="宋体" w:hAnsi="宋体" w:eastAsia="宋体" w:cs="宋体"/>
          <w:sz w:val="21"/>
          <w:szCs w:val="21"/>
        </w:rPr>
        <w:t>1）</w:t>
      </w:r>
      <w:r>
        <w:rPr>
          <w:rFonts w:hint="eastAsia" w:ascii="宋体" w:hAnsi="宋体" w:eastAsia="宋体" w:cs="宋体"/>
          <w:sz w:val="21"/>
          <w:szCs w:val="21"/>
          <w:lang w:eastAsia="zh-Hans"/>
        </w:rPr>
        <w:t>产品售出后，非人为造成的损坏，产品提供</w:t>
      </w:r>
      <w:r>
        <w:rPr>
          <w:rFonts w:hint="eastAsia" w:ascii="宋体" w:hAnsi="宋体" w:eastAsia="宋体" w:cs="宋体"/>
          <w:sz w:val="21"/>
          <w:szCs w:val="21"/>
        </w:rPr>
        <w:t>1</w:t>
      </w:r>
      <w:r>
        <w:rPr>
          <w:rFonts w:hint="eastAsia" w:ascii="宋体" w:hAnsi="宋体" w:eastAsia="宋体" w:cs="宋体"/>
          <w:sz w:val="21"/>
          <w:szCs w:val="21"/>
          <w:lang w:eastAsia="zh-Hans"/>
        </w:rPr>
        <w:t>年质保，7*24小时保修服务，终身维护服务；</w:t>
      </w:r>
    </w:p>
    <w:p>
      <w:pPr>
        <w:spacing w:line="520" w:lineRule="exact"/>
        <w:ind w:firstLine="420" w:firstLineChars="200"/>
        <w:rPr>
          <w:rFonts w:hint="eastAsia" w:ascii="宋体" w:hAnsi="宋体" w:eastAsia="宋体" w:cs="宋体"/>
          <w:sz w:val="21"/>
          <w:szCs w:val="21"/>
        </w:rPr>
      </w:pPr>
      <w:r>
        <w:rPr>
          <w:rFonts w:hint="eastAsia" w:ascii="宋体" w:hAnsi="宋体" w:eastAsia="宋体" w:cs="宋体"/>
          <w:sz w:val="21"/>
          <w:szCs w:val="21"/>
          <w:lang w:eastAsia="zh-Hans"/>
        </w:rPr>
        <w:t>2</w:t>
      </w:r>
      <w:r>
        <w:rPr>
          <w:rFonts w:hint="eastAsia" w:ascii="宋体" w:hAnsi="宋体" w:eastAsia="宋体" w:cs="宋体"/>
          <w:sz w:val="21"/>
          <w:szCs w:val="21"/>
        </w:rPr>
        <w:t>）</w:t>
      </w:r>
      <w:r>
        <w:rPr>
          <w:rFonts w:hint="eastAsia" w:ascii="宋体" w:hAnsi="宋体" w:eastAsia="宋体" w:cs="宋体"/>
          <w:sz w:val="21"/>
          <w:szCs w:val="21"/>
          <w:lang w:eastAsia="zh-Hans"/>
        </w:rPr>
        <w:t>质保期外，产品维护只收取成本费用。</w:t>
      </w:r>
    </w:p>
    <w:p>
      <w:pPr>
        <w:pStyle w:val="3"/>
        <w:numPr>
          <w:ilvl w:val="1"/>
          <w:numId w:val="6"/>
        </w:numPr>
        <w:spacing w:before="0" w:after="0" w:line="520" w:lineRule="exact"/>
        <w:ind w:firstLine="640"/>
        <w:rPr>
          <w:rFonts w:hint="eastAsia" w:ascii="宋体" w:hAnsi="宋体" w:eastAsia="宋体" w:cs="宋体"/>
          <w:b w:val="0"/>
          <w:bCs/>
          <w:sz w:val="21"/>
          <w:szCs w:val="21"/>
        </w:rPr>
      </w:pPr>
      <w:r>
        <w:rPr>
          <w:rFonts w:hint="eastAsia" w:ascii="宋体" w:hAnsi="宋体" w:eastAsia="宋体" w:cs="宋体"/>
          <w:b w:val="0"/>
          <w:bCs/>
          <w:sz w:val="21"/>
          <w:szCs w:val="21"/>
        </w:rPr>
        <w:t>培训服务</w:t>
      </w:r>
    </w:p>
    <w:p>
      <w:pPr>
        <w:pStyle w:val="17"/>
        <w:spacing w:line="520" w:lineRule="exact"/>
        <w:ind w:firstLine="420" w:firstLineChars="200"/>
        <w:rPr>
          <w:rFonts w:hint="eastAsia" w:ascii="宋体" w:hAnsi="宋体" w:eastAsia="宋体" w:cs="宋体"/>
          <w:sz w:val="21"/>
          <w:szCs w:val="21"/>
          <w:u w:val="none"/>
        </w:rPr>
      </w:pPr>
      <w:r>
        <w:rPr>
          <w:rFonts w:hint="eastAsia" w:ascii="宋体" w:hAnsi="宋体" w:eastAsia="宋体" w:cs="宋体"/>
          <w:sz w:val="21"/>
          <w:szCs w:val="21"/>
          <w:u w:val="none"/>
          <w:lang w:eastAsia="zh-Hans"/>
        </w:rPr>
        <w:t>在项目首次建设完成后，承建方为学校相关专业教师提供仪器实训教学软件系统的技术培训。</w:t>
      </w:r>
    </w:p>
    <w:p>
      <w:pPr>
        <w:spacing w:line="520" w:lineRule="exact"/>
        <w:ind w:firstLine="422" w:firstLineChars="200"/>
        <w:outlineLvl w:val="0"/>
        <w:rPr>
          <w:rFonts w:hint="eastAsia" w:ascii="宋体" w:hAnsi="宋体" w:eastAsia="宋体" w:cs="宋体"/>
          <w:b/>
          <w:color w:val="000000"/>
          <w:sz w:val="21"/>
          <w:szCs w:val="21"/>
        </w:rPr>
      </w:pPr>
      <w:r>
        <w:rPr>
          <w:rFonts w:hint="eastAsia" w:ascii="宋体" w:hAnsi="宋体" w:eastAsia="宋体" w:cs="宋体"/>
          <w:b/>
          <w:color w:val="000000"/>
          <w:sz w:val="21"/>
          <w:szCs w:val="21"/>
          <w:lang w:eastAsia="zh-CN"/>
        </w:rPr>
        <w:t>四</w:t>
      </w:r>
      <w:r>
        <w:rPr>
          <w:rFonts w:hint="eastAsia" w:ascii="宋体" w:hAnsi="宋体" w:eastAsia="宋体" w:cs="宋体"/>
          <w:b/>
          <w:color w:val="000000"/>
          <w:sz w:val="21"/>
          <w:szCs w:val="21"/>
        </w:rPr>
        <w:t>、合同主要条款</w:t>
      </w:r>
    </w:p>
    <w:p>
      <w:pPr>
        <w:spacing w:line="520" w:lineRule="exact"/>
        <w:ind w:firstLine="422" w:firstLineChars="200"/>
        <w:rPr>
          <w:rFonts w:hint="eastAsia" w:ascii="宋体" w:hAnsi="宋体" w:eastAsia="宋体" w:cs="宋体"/>
          <w:sz w:val="21"/>
          <w:szCs w:val="21"/>
        </w:rPr>
      </w:pPr>
      <w:r>
        <w:rPr>
          <w:rFonts w:hint="eastAsia" w:ascii="宋体" w:hAnsi="宋体" w:eastAsia="宋体" w:cs="宋体"/>
          <w:b/>
          <w:bCs/>
          <w:sz w:val="21"/>
          <w:szCs w:val="21"/>
        </w:rPr>
        <w:t>1.合同内容及金额</w:t>
      </w:r>
      <w:r>
        <w:rPr>
          <w:rFonts w:hint="eastAsia" w:ascii="宋体" w:hAnsi="宋体" w:eastAsia="宋体" w:cs="宋体"/>
          <w:sz w:val="21"/>
          <w:szCs w:val="21"/>
        </w:rPr>
        <w:t>：即中标人的投标内容及其中标总金额；其金额不受市场和工作量变化的影响。</w:t>
      </w:r>
    </w:p>
    <w:p>
      <w:pPr>
        <w:spacing w:line="520" w:lineRule="exact"/>
        <w:ind w:firstLine="422" w:firstLineChars="200"/>
        <w:rPr>
          <w:rFonts w:hint="eastAsia" w:ascii="宋体" w:hAnsi="宋体" w:eastAsia="宋体" w:cs="宋体"/>
          <w:sz w:val="21"/>
          <w:szCs w:val="21"/>
        </w:rPr>
      </w:pPr>
      <w:r>
        <w:rPr>
          <w:rFonts w:hint="eastAsia" w:ascii="宋体" w:hAnsi="宋体" w:eastAsia="宋体" w:cs="宋体"/>
          <w:b/>
          <w:bCs/>
          <w:sz w:val="21"/>
          <w:szCs w:val="21"/>
        </w:rPr>
        <w:t>2.设备技术规格、数量</w:t>
      </w:r>
      <w:r>
        <w:rPr>
          <w:rFonts w:hint="eastAsia" w:ascii="宋体" w:hAnsi="宋体" w:eastAsia="宋体" w:cs="宋体"/>
          <w:sz w:val="21"/>
          <w:szCs w:val="21"/>
        </w:rPr>
        <w:t>：即交付的设备技术规格、型号、数量与投标文件所指明的，或者与本合同所指明的设备技术规格及型号相一致。</w:t>
      </w:r>
    </w:p>
    <w:p>
      <w:pPr>
        <w:spacing w:line="520" w:lineRule="exact"/>
        <w:ind w:firstLine="422" w:firstLineChars="200"/>
        <w:rPr>
          <w:rFonts w:hint="eastAsia" w:ascii="宋体" w:hAnsi="宋体" w:eastAsia="宋体" w:cs="宋体"/>
          <w:sz w:val="21"/>
          <w:szCs w:val="21"/>
        </w:rPr>
      </w:pPr>
      <w:r>
        <w:rPr>
          <w:rFonts w:hint="eastAsia" w:ascii="宋体" w:hAnsi="宋体" w:eastAsia="宋体" w:cs="宋体"/>
          <w:b/>
          <w:bCs/>
          <w:sz w:val="21"/>
          <w:szCs w:val="21"/>
        </w:rPr>
        <w:t>3.知识产权</w:t>
      </w:r>
      <w:r>
        <w:rPr>
          <w:rFonts w:hint="eastAsia" w:ascii="宋体" w:hAnsi="宋体" w:eastAsia="宋体" w:cs="宋体"/>
          <w:sz w:val="21"/>
          <w:szCs w:val="21"/>
        </w:rPr>
        <w:t>：即中标人应保证采购人在使用本次成交货物时，不承担任何涉及知识产权法律诉讼的责任。</w:t>
      </w:r>
    </w:p>
    <w:p>
      <w:pPr>
        <w:spacing w:line="520" w:lineRule="exact"/>
        <w:ind w:firstLine="422" w:firstLineChars="200"/>
        <w:rPr>
          <w:rFonts w:hint="eastAsia" w:ascii="宋体" w:hAnsi="宋体" w:eastAsia="宋体" w:cs="宋体"/>
          <w:sz w:val="21"/>
          <w:szCs w:val="21"/>
        </w:rPr>
      </w:pPr>
      <w:r>
        <w:rPr>
          <w:rFonts w:hint="eastAsia" w:ascii="宋体" w:hAnsi="宋体" w:eastAsia="宋体" w:cs="宋体"/>
          <w:b/>
          <w:bCs/>
          <w:sz w:val="21"/>
          <w:szCs w:val="21"/>
        </w:rPr>
        <w:t>4.供货地点</w:t>
      </w:r>
      <w:r>
        <w:rPr>
          <w:rFonts w:hint="eastAsia" w:ascii="宋体" w:hAnsi="宋体" w:eastAsia="宋体" w:cs="宋体"/>
          <w:sz w:val="21"/>
          <w:szCs w:val="21"/>
        </w:rPr>
        <w:t>：采购人指定地点。</w:t>
      </w:r>
    </w:p>
    <w:p>
      <w:pPr>
        <w:spacing w:line="520" w:lineRule="exact"/>
        <w:ind w:firstLine="422" w:firstLineChars="200"/>
        <w:rPr>
          <w:rFonts w:hint="eastAsia" w:ascii="宋体" w:hAnsi="宋体" w:eastAsia="宋体" w:cs="宋体"/>
          <w:kern w:val="0"/>
          <w:sz w:val="21"/>
          <w:szCs w:val="21"/>
        </w:rPr>
      </w:pPr>
      <w:r>
        <w:rPr>
          <w:rFonts w:hint="eastAsia" w:ascii="宋体" w:hAnsi="宋体" w:eastAsia="宋体" w:cs="宋体"/>
          <w:b/>
          <w:bCs/>
          <w:sz w:val="21"/>
          <w:szCs w:val="21"/>
        </w:rPr>
        <w:t>5.供货期限</w:t>
      </w:r>
      <w:r>
        <w:rPr>
          <w:rFonts w:hint="eastAsia" w:ascii="宋体" w:hAnsi="宋体" w:eastAsia="宋体" w:cs="宋体"/>
          <w:sz w:val="21"/>
          <w:szCs w:val="21"/>
        </w:rPr>
        <w:t>：</w:t>
      </w:r>
      <w:r>
        <w:rPr>
          <w:rFonts w:hint="eastAsia" w:ascii="宋体" w:hAnsi="宋体" w:eastAsia="宋体" w:cs="宋体"/>
          <w:kern w:val="0"/>
          <w:sz w:val="21"/>
          <w:szCs w:val="21"/>
        </w:rPr>
        <w:t>合同签订之日起30</w:t>
      </w:r>
      <w:r>
        <w:rPr>
          <w:rFonts w:hint="eastAsia" w:ascii="宋体" w:hAnsi="宋体" w:eastAsia="宋体" w:cs="宋体"/>
          <w:sz w:val="21"/>
          <w:szCs w:val="21"/>
        </w:rPr>
        <w:t>个日历天内</w:t>
      </w:r>
      <w:r>
        <w:rPr>
          <w:rFonts w:hint="eastAsia" w:ascii="宋体" w:hAnsi="宋体" w:eastAsia="宋体" w:cs="宋体"/>
          <w:kern w:val="0"/>
          <w:sz w:val="21"/>
          <w:szCs w:val="21"/>
        </w:rPr>
        <w:t>。</w:t>
      </w:r>
    </w:p>
    <w:p>
      <w:pPr>
        <w:spacing w:line="520" w:lineRule="exact"/>
        <w:ind w:firstLine="422" w:firstLineChars="200"/>
        <w:rPr>
          <w:rFonts w:hint="eastAsia" w:ascii="宋体" w:hAnsi="宋体" w:eastAsia="宋体" w:cs="宋体"/>
          <w:sz w:val="21"/>
          <w:szCs w:val="21"/>
        </w:rPr>
      </w:pPr>
      <w:r>
        <w:rPr>
          <w:rFonts w:hint="eastAsia" w:ascii="宋体" w:hAnsi="宋体" w:eastAsia="宋体" w:cs="宋体"/>
          <w:b/>
          <w:bCs/>
          <w:kern w:val="0"/>
          <w:sz w:val="21"/>
          <w:szCs w:val="21"/>
        </w:rPr>
        <w:t>6.款项结算</w:t>
      </w:r>
    </w:p>
    <w:p>
      <w:pPr>
        <w:pStyle w:val="34"/>
        <w:spacing w:line="520" w:lineRule="exact"/>
        <w:ind w:left="0" w:firstLine="420" w:firstLineChars="200"/>
        <w:jc w:val="both"/>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（1）在合同签订后，按照合同内容及金额，所有货物到达甲方指定地点安装、调试完毕并验收合格后，一个月内支付合同总价款100%。</w:t>
      </w:r>
    </w:p>
    <w:p>
      <w:pPr>
        <w:pStyle w:val="34"/>
        <w:spacing w:line="520" w:lineRule="exact"/>
        <w:ind w:left="0" w:firstLine="420" w:firstLineChars="200"/>
        <w:jc w:val="both"/>
        <w:outlineLvl w:val="9"/>
        <w:rPr>
          <w:rFonts w:hint="eastAsia" w:ascii="宋体" w:hAnsi="宋体" w:eastAsia="宋体" w:cs="宋体"/>
          <w:sz w:val="21"/>
          <w:szCs w:val="21"/>
          <w:lang w:eastAsia="zh-CN"/>
        </w:rPr>
      </w:pPr>
      <w:r>
        <w:rPr>
          <w:rFonts w:hint="eastAsia" w:ascii="宋体" w:hAnsi="宋体" w:eastAsia="宋体" w:cs="宋体"/>
          <w:sz w:val="21"/>
          <w:szCs w:val="21"/>
          <w:lang w:eastAsia="zh-CN"/>
        </w:rPr>
        <w:t>（2）支付方式：银行转账。</w:t>
      </w:r>
    </w:p>
    <w:p>
      <w:pPr>
        <w:pStyle w:val="6"/>
        <w:spacing w:line="520" w:lineRule="exact"/>
        <w:ind w:firstLine="640"/>
        <w:rPr>
          <w:rFonts w:hint="eastAsia" w:ascii="宋体" w:hAnsi="宋体" w:eastAsia="宋体" w:cs="宋体"/>
          <w:sz w:val="21"/>
          <w:szCs w:val="21"/>
        </w:rPr>
      </w:pPr>
      <w:r>
        <w:rPr>
          <w:rFonts w:hint="eastAsia" w:ascii="宋体" w:hAnsi="宋体" w:eastAsia="宋体" w:cs="宋体"/>
          <w:sz w:val="21"/>
          <w:szCs w:val="21"/>
        </w:rPr>
        <w:t>（3）结算方式：由乙方与采购人结算，供应商持发票、中标通知书、供货合同到采购单位办理付款手续。</w:t>
      </w:r>
    </w:p>
    <w:p>
      <w:pPr>
        <w:spacing w:line="520" w:lineRule="exact"/>
        <w:ind w:firstLine="422" w:firstLineChars="200"/>
        <w:outlineLvl w:val="0"/>
        <w:rPr>
          <w:rFonts w:hint="eastAsia" w:ascii="宋体" w:hAnsi="宋体" w:eastAsia="宋体" w:cs="宋体"/>
          <w:b/>
          <w:color w:val="000000"/>
          <w:sz w:val="21"/>
          <w:szCs w:val="21"/>
        </w:rPr>
      </w:pPr>
      <w:r>
        <w:rPr>
          <w:rFonts w:hint="eastAsia" w:ascii="宋体" w:hAnsi="宋体" w:eastAsia="宋体" w:cs="宋体"/>
          <w:b/>
          <w:color w:val="000000"/>
          <w:sz w:val="21"/>
          <w:szCs w:val="21"/>
          <w:lang w:eastAsia="zh-CN"/>
        </w:rPr>
        <w:t>五</w:t>
      </w:r>
      <w:r>
        <w:rPr>
          <w:rFonts w:hint="eastAsia" w:ascii="宋体" w:hAnsi="宋体" w:eastAsia="宋体" w:cs="宋体"/>
          <w:b/>
          <w:color w:val="000000"/>
          <w:sz w:val="21"/>
          <w:szCs w:val="21"/>
        </w:rPr>
        <w:t>、双方的权利和义务</w:t>
      </w:r>
    </w:p>
    <w:p>
      <w:pPr>
        <w:shd w:val="clear" w:color="000000" w:fill="auto"/>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（一）甲方的权利和义务</w:t>
      </w:r>
    </w:p>
    <w:p>
      <w:pPr>
        <w:shd w:val="clear" w:color="000000" w:fill="auto"/>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1.提供设备安装调试的工作环境(包括水、电、场地等)。</w:t>
      </w:r>
    </w:p>
    <w:p>
      <w:pPr>
        <w:shd w:val="clear" w:color="000000" w:fill="auto"/>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2.按合同约定的方式验收乙方交付的设备,提供设备存放场地,并乙方负责保管。</w:t>
      </w:r>
    </w:p>
    <w:p>
      <w:pPr>
        <w:shd w:val="clear" w:color="000000" w:fill="auto"/>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3.配合和协助乙方的工作,为乙方安装调试提供便利条件,使乙方在施工过程及安装调试过程中不受外来因素的阻挠和影响。</w:t>
      </w:r>
    </w:p>
    <w:p>
      <w:pPr>
        <w:shd w:val="clear" w:color="000000" w:fill="auto"/>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（二）乙方的权利和义务</w:t>
      </w:r>
    </w:p>
    <w:p>
      <w:pPr>
        <w:shd w:val="clear" w:color="000000" w:fill="auto"/>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1.按合同约定的设备数量、质量及实施时间完成设备的送达、系统安装及调试,全面负责工程施工期间的安全责任。</w:t>
      </w:r>
    </w:p>
    <w:p>
      <w:pPr>
        <w:shd w:val="clear" w:color="000000" w:fill="auto"/>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2.按本合同约定向甲方提供技术支持。</w:t>
      </w:r>
    </w:p>
    <w:p>
      <w:pPr>
        <w:shd w:val="clear" w:color="000000" w:fill="auto"/>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3.对于甲方今后在该项目上的硬件升级和日常维护,按优惠条件提供服务。</w:t>
      </w:r>
    </w:p>
    <w:p>
      <w:pPr>
        <w:spacing w:line="520" w:lineRule="exact"/>
        <w:ind w:firstLine="422" w:firstLineChars="200"/>
        <w:outlineLvl w:val="0"/>
        <w:rPr>
          <w:rFonts w:hint="eastAsia" w:ascii="宋体" w:hAnsi="宋体" w:eastAsia="宋体" w:cs="宋体"/>
          <w:b/>
          <w:color w:val="000000"/>
          <w:sz w:val="21"/>
          <w:szCs w:val="21"/>
        </w:rPr>
      </w:pPr>
      <w:r>
        <w:rPr>
          <w:rFonts w:hint="eastAsia" w:ascii="宋体" w:hAnsi="宋体" w:eastAsia="宋体" w:cs="宋体"/>
          <w:b/>
          <w:color w:val="000000"/>
          <w:sz w:val="21"/>
          <w:szCs w:val="21"/>
          <w:lang w:eastAsia="zh-CN"/>
        </w:rPr>
        <w:t>六</w:t>
      </w:r>
      <w:r>
        <w:rPr>
          <w:rFonts w:hint="eastAsia" w:ascii="宋体" w:hAnsi="宋体" w:eastAsia="宋体" w:cs="宋体"/>
          <w:b/>
          <w:color w:val="000000"/>
          <w:sz w:val="21"/>
          <w:szCs w:val="21"/>
        </w:rPr>
        <w:t>、运输</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（一）运输由乙方负责，运杂费已包含在合同总价内，包括从货物供应地点所含的运输费、装卸费、仓储费、保险费等。</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（二）运输方式由乙方自行选择，但必须保证按期交货。</w:t>
      </w:r>
    </w:p>
    <w:p>
      <w:pPr>
        <w:spacing w:line="520" w:lineRule="exact"/>
        <w:ind w:firstLine="422" w:firstLineChars="200"/>
        <w:outlineLvl w:val="0"/>
        <w:rPr>
          <w:rFonts w:hint="eastAsia" w:ascii="宋体" w:hAnsi="宋体" w:eastAsia="宋体" w:cs="宋体"/>
          <w:b/>
          <w:color w:val="000000"/>
          <w:sz w:val="21"/>
          <w:szCs w:val="21"/>
        </w:rPr>
      </w:pPr>
      <w:r>
        <w:rPr>
          <w:rFonts w:hint="eastAsia" w:ascii="宋体" w:hAnsi="宋体" w:eastAsia="宋体" w:cs="宋体"/>
          <w:b/>
          <w:color w:val="000000"/>
          <w:sz w:val="21"/>
          <w:szCs w:val="21"/>
          <w:lang w:eastAsia="zh-CN"/>
        </w:rPr>
        <w:t>七</w:t>
      </w:r>
      <w:r>
        <w:rPr>
          <w:rFonts w:hint="eastAsia" w:ascii="宋体" w:hAnsi="宋体" w:eastAsia="宋体" w:cs="宋体"/>
          <w:b/>
          <w:color w:val="000000"/>
          <w:sz w:val="21"/>
          <w:szCs w:val="21"/>
        </w:rPr>
        <w:t>、质量保证</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乙方所供货物必须执行下列条款：</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（一）保证技术指标先进、质量性能可靠、进货渠道正常，配置合理，全面满足谈判要求。</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（二）符合国家有关规范要求，确保达到最佳运行状态。</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（三）具有良好的外观，适合安装场所的使用。</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（四）自安装、调试正常运行并验收合格之日起：</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1.免费保修1年，终身维护，免费保修期内，同一主要部件出现质量问题经过两次维修后仍无法正常使用，可以更换同型号、同规格的产品，服务响应时间不超过2小时（工作日），解决问题不超过24小时（工作日），对问题较大短期内暂不能解决的，为不影响甲方正常工作，乙方在2日内免费提供替代产品，确保正常运行；</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2.180天内，如出现质量问题，可以选择换货或退货。</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3.乙方不履行上述更换或维修义务的，向甲方承担合同标的额的5%的违约金。</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4.合同签订后，</w:t>
      </w:r>
      <w:r>
        <w:rPr>
          <w:rFonts w:hint="eastAsia" w:ascii="宋体" w:hAnsi="宋体" w:eastAsia="宋体" w:cs="宋体"/>
          <w:kern w:val="0"/>
          <w:sz w:val="21"/>
          <w:szCs w:val="21"/>
        </w:rPr>
        <w:t>中标供货商须向采购人缴纳合同总价５％的履约保证金（账号：6100 1683 8110 5250 3314，开户行：建行延安东关支行），待质保期满后，由中标供货商申请，采购人审核合格后予以退还。</w:t>
      </w:r>
      <w:r>
        <w:rPr>
          <w:rFonts w:hint="eastAsia" w:ascii="宋体" w:hAnsi="宋体" w:eastAsia="宋体" w:cs="宋体"/>
          <w:sz w:val="21"/>
          <w:szCs w:val="21"/>
          <w:shd w:val="clear" w:color="auto" w:fill="FFFFFF"/>
        </w:rPr>
        <w:t>。</w:t>
      </w:r>
    </w:p>
    <w:p>
      <w:pPr>
        <w:spacing w:line="520" w:lineRule="exact"/>
        <w:ind w:firstLine="422" w:firstLineChars="200"/>
        <w:outlineLvl w:val="0"/>
        <w:rPr>
          <w:rFonts w:hint="eastAsia" w:ascii="宋体" w:hAnsi="宋体" w:eastAsia="宋体" w:cs="宋体"/>
          <w:b/>
          <w:color w:val="000000"/>
          <w:sz w:val="21"/>
          <w:szCs w:val="21"/>
        </w:rPr>
      </w:pPr>
      <w:r>
        <w:rPr>
          <w:rFonts w:hint="eastAsia" w:ascii="宋体" w:hAnsi="宋体" w:eastAsia="宋体" w:cs="宋体"/>
          <w:b/>
          <w:color w:val="000000"/>
          <w:sz w:val="21"/>
          <w:szCs w:val="21"/>
          <w:lang w:eastAsia="zh-CN"/>
        </w:rPr>
        <w:t>八</w:t>
      </w:r>
      <w:r>
        <w:rPr>
          <w:rFonts w:hint="eastAsia" w:ascii="宋体" w:hAnsi="宋体" w:eastAsia="宋体" w:cs="宋体"/>
          <w:b/>
          <w:color w:val="000000"/>
          <w:sz w:val="21"/>
          <w:szCs w:val="21"/>
        </w:rPr>
        <w:t>、售后服务</w:t>
      </w:r>
    </w:p>
    <w:p>
      <w:pPr>
        <w:shd w:val="clear" w:color="000000" w:fill="auto"/>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乙方所供货物提供以下售后服务：</w:t>
      </w:r>
    </w:p>
    <w:p>
      <w:pPr>
        <w:shd w:val="clear" w:color="000000" w:fill="auto"/>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（一）质保期内：</w:t>
      </w:r>
    </w:p>
    <w:p>
      <w:pPr>
        <w:shd w:val="clear" w:color="000000" w:fill="auto"/>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1、发生质量问题，接到甲方通知后，应于当日派出专业的维修人员到现场进行检测维修，发生的全部费用由乙方承担，若需送回生产厂，乙方承担往返费用；</w:t>
      </w:r>
    </w:p>
    <w:p>
      <w:pPr>
        <w:shd w:val="clear" w:color="000000" w:fill="auto"/>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2、定期派技术人员到现场走访，给予检查维护；</w:t>
      </w:r>
    </w:p>
    <w:p>
      <w:pPr>
        <w:shd w:val="clear" w:color="000000" w:fill="auto"/>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3、排除故障的期限不得超过24小时（1工作日）。否则甲方有权指定第三方维修，维修费用由乙方承担。</w:t>
      </w:r>
    </w:p>
    <w:p>
      <w:pPr>
        <w:shd w:val="clear" w:color="000000" w:fill="auto"/>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（二）质保期结束前，进行系统测试，全面保养维护，确保正常运行。</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(三）乙方不履行上述售后服务义务的，向甲方承担合同标的额的5%的违约金。</w:t>
      </w:r>
    </w:p>
    <w:p>
      <w:pPr>
        <w:spacing w:line="520" w:lineRule="exact"/>
        <w:ind w:firstLine="422" w:firstLineChars="200"/>
        <w:outlineLvl w:val="0"/>
        <w:rPr>
          <w:rFonts w:hint="eastAsia" w:ascii="宋体" w:hAnsi="宋体" w:eastAsia="宋体" w:cs="宋体"/>
          <w:b/>
          <w:color w:val="000000"/>
          <w:sz w:val="21"/>
          <w:szCs w:val="21"/>
        </w:rPr>
      </w:pPr>
      <w:r>
        <w:rPr>
          <w:rFonts w:hint="eastAsia" w:ascii="宋体" w:hAnsi="宋体" w:eastAsia="宋体" w:cs="宋体"/>
          <w:b/>
          <w:color w:val="000000"/>
          <w:sz w:val="21"/>
          <w:szCs w:val="21"/>
          <w:lang w:eastAsia="zh-CN"/>
        </w:rPr>
        <w:t>九</w:t>
      </w:r>
      <w:r>
        <w:rPr>
          <w:rFonts w:hint="eastAsia" w:ascii="宋体" w:hAnsi="宋体" w:eastAsia="宋体" w:cs="宋体"/>
          <w:b/>
          <w:color w:val="000000"/>
          <w:sz w:val="21"/>
          <w:szCs w:val="21"/>
        </w:rPr>
        <w:t>、技术与服务</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（一）技术资料：</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1.货物合格证；</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2.货物使用说明书（中文）；</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3.其它资料。</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（二）服务承诺：以投标文件、澄清表（函）、合同和随货物的相关文件为准。</w:t>
      </w:r>
    </w:p>
    <w:p>
      <w:pPr>
        <w:spacing w:line="520" w:lineRule="exact"/>
        <w:ind w:firstLine="422" w:firstLineChars="200"/>
        <w:outlineLvl w:val="0"/>
        <w:rPr>
          <w:rFonts w:hint="eastAsia" w:ascii="宋体" w:hAnsi="宋体" w:eastAsia="宋体" w:cs="宋体"/>
          <w:b/>
          <w:color w:val="000000"/>
          <w:sz w:val="21"/>
          <w:szCs w:val="21"/>
        </w:rPr>
      </w:pPr>
      <w:r>
        <w:rPr>
          <w:rFonts w:hint="eastAsia" w:ascii="宋体" w:hAnsi="宋体" w:eastAsia="宋体" w:cs="宋体"/>
          <w:b/>
          <w:color w:val="000000"/>
          <w:sz w:val="21"/>
          <w:szCs w:val="21"/>
          <w:lang w:eastAsia="zh-CN"/>
        </w:rPr>
        <w:t>十</w:t>
      </w:r>
      <w:r>
        <w:rPr>
          <w:rFonts w:hint="eastAsia" w:ascii="宋体" w:hAnsi="宋体" w:eastAsia="宋体" w:cs="宋体"/>
          <w:b/>
          <w:color w:val="000000"/>
          <w:sz w:val="21"/>
          <w:szCs w:val="21"/>
        </w:rPr>
        <w:t>、验收</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（一）货物到达甲方指定地点后，甲方根据合同要求，进行外观验收，确认产地、规格、型号和数量。</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（二）货物安装、调试并正常运行后，由乙方进行自检，合格后，准备验收文件，并书面通知甲方。</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（三）甲方确认乙方的自检内容后，组织乙方、确认方（必要时请有关专家）进行系统验收，验收合格后，填写政府采购项目验收单（一式柒份）作为对货物的最终认可。</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（四）乙方向甲方提交货物实施过程中的所有资料。以便甲方日后管理和维护。</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（五）验收依据：</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1.招标文件、投标文件、澄清表（函）；</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2.本合同及附件文本；</w:t>
      </w:r>
    </w:p>
    <w:p>
      <w:pPr>
        <w:shd w:val="clear" w:color="000000" w:fill="auto"/>
        <w:tabs>
          <w:tab w:val="left" w:pos="480"/>
        </w:tabs>
        <w:autoSpaceDN w:val="0"/>
        <w:spacing w:line="520" w:lineRule="exact"/>
        <w:ind w:firstLine="420" w:firstLineChars="200"/>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3.国家相应的标准、规范。</w:t>
      </w: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0"/>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lang w:val="en-US" w:eastAsia="zh-CN"/>
        </w:rPr>
        <w:t>第五部分 拟签订合同文本</w:t>
      </w:r>
      <w:bookmarkEnd w:id="62"/>
    </w:p>
    <w:p>
      <w:pPr>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16"/>
          <w:highlight w:val="none"/>
          <w:lang w:val="zh-CN" w:eastAsia="zh-CN"/>
        </w:rPr>
      </w:pPr>
      <w:r>
        <w:rPr>
          <w:rFonts w:hint="eastAsia" w:ascii="宋体" w:hAnsi="宋体" w:eastAsia="宋体" w:cs="宋体"/>
          <w:color w:val="auto"/>
          <w:sz w:val="21"/>
          <w:szCs w:val="16"/>
          <w:highlight w:val="none"/>
          <w:lang w:eastAsia="zh-CN"/>
        </w:rPr>
        <w:t>甲方：延安职业技术学院</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lang w:eastAsia="zh-CN"/>
        </w:rPr>
        <w:t xml:space="preserve">乙方：                        </w:t>
      </w:r>
    </w:p>
    <w:p>
      <w:pPr>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lang w:val="en-US" w:eastAsia="zh-CN"/>
        </w:rPr>
        <w:t>采购代理机构</w:t>
      </w:r>
      <w:r>
        <w:rPr>
          <w:rFonts w:hint="eastAsia" w:ascii="宋体" w:hAnsi="宋体" w:eastAsia="宋体" w:cs="宋体"/>
          <w:color w:val="auto"/>
          <w:sz w:val="21"/>
          <w:szCs w:val="16"/>
          <w:highlight w:val="none"/>
          <w:lang w:eastAsia="zh-CN"/>
        </w:rPr>
        <w:t>：</w:t>
      </w:r>
      <w:r>
        <w:rPr>
          <w:rFonts w:hint="eastAsia" w:ascii="宋体" w:hAnsi="宋体" w:eastAsia="宋体" w:cs="宋体"/>
          <w:color w:val="auto"/>
          <w:sz w:val="21"/>
          <w:szCs w:val="16"/>
          <w:highlight w:val="none"/>
          <w:lang w:val="zh-CN" w:eastAsia="zh-CN"/>
        </w:rPr>
        <w:t>陕西楚元项目管理有限公司</w:t>
      </w:r>
    </w:p>
    <w:p>
      <w:pPr>
        <w:keepNext w:val="0"/>
        <w:keepLines w:val="0"/>
        <w:pageBreakBefore w:val="0"/>
        <w:widowControl w:val="0"/>
        <w:kinsoku/>
        <w:wordWrap w:val="0"/>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宋体" w:hAnsi="宋体" w:eastAsia="宋体" w:cs="宋体"/>
          <w:color w:val="auto"/>
          <w:sz w:val="21"/>
          <w:szCs w:val="16"/>
          <w:highlight w:val="none"/>
          <w:lang w:eastAsia="zh-CN"/>
        </w:rPr>
      </w:pPr>
      <w:r>
        <w:rPr>
          <w:rFonts w:hint="eastAsia" w:ascii="宋体" w:hAnsi="宋体" w:eastAsia="宋体" w:cs="宋体"/>
          <w:color w:val="auto"/>
          <w:sz w:val="21"/>
          <w:szCs w:val="16"/>
          <w:highlight w:val="none"/>
          <w:lang w:val="zh-CN" w:eastAsia="zh-CN"/>
        </w:rPr>
        <w:t>延安职业技术学院</w:t>
      </w:r>
      <w:r>
        <w:rPr>
          <w:rFonts w:hint="eastAsia" w:ascii="宋体" w:hAnsi="宋体" w:eastAsia="宋体" w:cs="宋体"/>
          <w:color w:val="auto"/>
          <w:sz w:val="21"/>
          <w:szCs w:val="16"/>
          <w:highlight w:val="none"/>
          <w:lang w:eastAsia="zh-CN"/>
        </w:rPr>
        <w:t>(</w:t>
      </w:r>
      <w:r>
        <w:rPr>
          <w:rFonts w:hint="eastAsia" w:ascii="宋体" w:hAnsi="宋体" w:eastAsia="宋体" w:cs="宋体"/>
          <w:color w:val="auto"/>
          <w:sz w:val="21"/>
          <w:szCs w:val="16"/>
          <w:highlight w:val="none"/>
          <w:lang w:val="zh-CN" w:eastAsia="zh-CN"/>
        </w:rPr>
        <w:t>以下简称甲方）就</w:t>
      </w:r>
      <w:r>
        <w:rPr>
          <w:rFonts w:hint="eastAsia" w:ascii="宋体" w:hAnsi="宋体" w:eastAsia="宋体" w:cs="宋体"/>
          <w:i w:val="0"/>
          <w:iCs w:val="0"/>
          <w:caps w:val="0"/>
          <w:color w:val="000000" w:themeColor="text1"/>
          <w:spacing w:val="0"/>
          <w:sz w:val="21"/>
          <w:szCs w:val="21"/>
          <w:shd w:val="clear" w:fill="FFFFFF"/>
          <w:lang w:eastAsia="zh-CN"/>
          <w14:textFill>
            <w14:solidFill>
              <w14:schemeClr w14:val="tx1"/>
            </w14:solidFill>
          </w14:textFill>
        </w:rPr>
        <w:t>延安职业技术学院智能制造系统集成应用技术实训平台采购项目</w:t>
      </w:r>
      <w:r>
        <w:rPr>
          <w:rFonts w:hint="eastAsia" w:ascii="宋体" w:hAnsi="宋体" w:eastAsia="宋体" w:cs="宋体"/>
          <w:color w:val="auto"/>
          <w:sz w:val="21"/>
          <w:szCs w:val="16"/>
          <w:highlight w:val="none"/>
          <w:lang w:val="zh-CN" w:eastAsia="zh-CN"/>
        </w:rPr>
        <w:t>按照政府采购程序，采用竞争性谈判的方式，选定</w:t>
      </w:r>
      <w:r>
        <w:rPr>
          <w:rFonts w:hint="eastAsia" w:ascii="宋体" w:hAnsi="宋体" w:eastAsia="宋体" w:cs="宋体"/>
          <w:color w:val="auto"/>
          <w:sz w:val="21"/>
          <w:szCs w:val="16"/>
          <w:highlight w:val="none"/>
          <w:u w:val="single"/>
          <w:lang w:val="en-US" w:eastAsia="zh-CN"/>
        </w:rPr>
        <w:t xml:space="preserve">              </w:t>
      </w:r>
      <w:r>
        <w:rPr>
          <w:rFonts w:hint="eastAsia" w:ascii="宋体" w:hAnsi="宋体" w:eastAsia="宋体" w:cs="宋体"/>
          <w:color w:val="auto"/>
          <w:sz w:val="21"/>
          <w:szCs w:val="16"/>
          <w:highlight w:val="none"/>
          <w:lang w:val="zh-CN" w:eastAsia="zh-CN"/>
        </w:rPr>
        <w:t>公司（以下简称乙方）为成交供应商。依据</w:t>
      </w:r>
      <w:r>
        <w:rPr>
          <w:rFonts w:hint="eastAsia" w:ascii="宋体" w:hAnsi="宋体" w:eastAsia="宋体" w:cs="宋体"/>
          <w:color w:val="auto"/>
          <w:sz w:val="21"/>
          <w:szCs w:val="16"/>
          <w:highlight w:val="none"/>
          <w:lang w:eastAsia="zh-CN"/>
        </w:rPr>
        <w:t>《中华人民共和国政府采购法》、《中华人民共和国民法典》等法律法规，甲、乙双方在平等基础上协商一致，达成如下合同条款：</w:t>
      </w:r>
    </w:p>
    <w:p>
      <w:pPr>
        <w:pStyle w:val="33"/>
        <w:spacing w:before="120" w:beforeLines="50" w:line="360" w:lineRule="auto"/>
        <w:ind w:firstLine="316" w:firstLineChars="150"/>
        <w:rPr>
          <w:rFonts w:hint="eastAsia" w:ascii="宋体" w:hAnsi="宋体" w:eastAsia="宋体" w:cs="宋体"/>
          <w:b/>
          <w:color w:val="000000"/>
          <w:sz w:val="21"/>
          <w:szCs w:val="21"/>
        </w:rPr>
      </w:pPr>
      <w:r>
        <w:rPr>
          <w:rFonts w:hint="eastAsia" w:ascii="宋体" w:hAnsi="宋体" w:eastAsia="宋体" w:cs="宋体"/>
          <w:b/>
          <w:color w:val="000000"/>
          <w:sz w:val="21"/>
          <w:szCs w:val="21"/>
        </w:rPr>
        <w:t>第一条 合同标的及数量</w:t>
      </w:r>
    </w:p>
    <w:p>
      <w:pPr>
        <w:pStyle w:val="33"/>
        <w:spacing w:before="120" w:beforeLines="50" w:line="360" w:lineRule="auto"/>
        <w:ind w:firstLine="525" w:firstLineChars="250"/>
        <w:rPr>
          <w:rFonts w:hint="eastAsia" w:ascii="宋体" w:hAnsi="宋体" w:eastAsia="宋体" w:cs="宋体"/>
          <w:b/>
          <w:color w:val="000000"/>
          <w:sz w:val="21"/>
          <w:szCs w:val="21"/>
        </w:rPr>
      </w:pPr>
      <w:r>
        <w:rPr>
          <w:rFonts w:hint="eastAsia" w:ascii="宋体" w:hAnsi="宋体" w:eastAsia="宋体" w:cs="宋体"/>
          <w:color w:val="000000"/>
          <w:sz w:val="21"/>
          <w:szCs w:val="21"/>
        </w:rPr>
        <w:t>乙方向甲方提供下列货物（产品）：</w:t>
      </w:r>
    </w:p>
    <w:p>
      <w:pPr>
        <w:pStyle w:val="6"/>
        <w:spacing w:before="120" w:beforeLines="50" w:after="120" w:afterLines="50"/>
        <w:ind w:firstLine="0"/>
        <w:jc w:val="center"/>
        <w:rPr>
          <w:rFonts w:hint="eastAsia" w:ascii="宋体" w:hAnsi="宋体" w:eastAsia="宋体" w:cs="宋体"/>
          <w:b/>
          <w:color w:val="000000"/>
          <w:sz w:val="21"/>
          <w:szCs w:val="21"/>
        </w:rPr>
      </w:pPr>
      <w:r>
        <w:rPr>
          <w:rFonts w:hint="eastAsia" w:ascii="宋体" w:hAnsi="宋体" w:eastAsia="宋体" w:cs="宋体"/>
          <w:b/>
          <w:color w:val="000000"/>
          <w:sz w:val="21"/>
          <w:szCs w:val="21"/>
        </w:rPr>
        <w:t>供货一览表</w:t>
      </w:r>
    </w:p>
    <w:tbl>
      <w:tblPr>
        <w:tblStyle w:val="23"/>
        <w:tblW w:w="9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407"/>
        <w:gridCol w:w="722"/>
        <w:gridCol w:w="857"/>
        <w:gridCol w:w="892"/>
        <w:gridCol w:w="1473"/>
        <w:gridCol w:w="1091"/>
        <w:gridCol w:w="925"/>
        <w:gridCol w:w="828"/>
        <w:gridCol w:w="817"/>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72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序号</w:t>
            </w:r>
          </w:p>
        </w:tc>
        <w:tc>
          <w:tcPr>
            <w:tcW w:w="1129"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项目</w:t>
            </w:r>
          </w:p>
        </w:tc>
        <w:tc>
          <w:tcPr>
            <w:tcW w:w="8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名称</w:t>
            </w:r>
          </w:p>
        </w:tc>
        <w:tc>
          <w:tcPr>
            <w:tcW w:w="89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厂家品牌</w:t>
            </w:r>
          </w:p>
        </w:tc>
        <w:tc>
          <w:tcPr>
            <w:tcW w:w="147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规格型号</w:t>
            </w:r>
          </w:p>
        </w:tc>
        <w:tc>
          <w:tcPr>
            <w:tcW w:w="109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单位</w:t>
            </w:r>
          </w:p>
        </w:tc>
        <w:tc>
          <w:tcPr>
            <w:tcW w:w="92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数量</w:t>
            </w:r>
          </w:p>
        </w:tc>
        <w:tc>
          <w:tcPr>
            <w:tcW w:w="82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单价</w:t>
            </w:r>
          </w:p>
        </w:tc>
        <w:tc>
          <w:tcPr>
            <w:tcW w:w="81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总价</w:t>
            </w:r>
          </w:p>
        </w:tc>
        <w:tc>
          <w:tcPr>
            <w:tcW w:w="86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22"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12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5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92"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73"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09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92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28"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1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6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22"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112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5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92"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73"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09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92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28"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1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6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22"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112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5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92"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73"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09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92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28"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1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6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22"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112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5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92"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73"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09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92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28"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1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6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22"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112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5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92"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73"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09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92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28"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1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6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22"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p>
        </w:tc>
        <w:tc>
          <w:tcPr>
            <w:tcW w:w="112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5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92"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73"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09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92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28"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17"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61"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129"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val="en-US" w:eastAsia="zh-CN"/>
              </w:rPr>
            </w:pPr>
          </w:p>
        </w:tc>
        <w:tc>
          <w:tcPr>
            <w:tcW w:w="5035" w:type="dxa"/>
            <w:gridSpan w:val="5"/>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合计</w:t>
            </w:r>
          </w:p>
        </w:tc>
        <w:tc>
          <w:tcPr>
            <w:tcW w:w="3431" w:type="dxa"/>
            <w:gridSpan w:val="4"/>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r>
    </w:tbl>
    <w:p>
      <w:pPr>
        <w:pStyle w:val="33"/>
        <w:spacing w:before="120" w:beforeLines="50" w:line="360" w:lineRule="auto"/>
        <w:ind w:left="0" w:leftChars="0" w:firstLine="211" w:firstLineChars="100"/>
        <w:jc w:val="left"/>
        <w:rPr>
          <w:rFonts w:hint="eastAsia" w:ascii="宋体" w:hAnsi="宋体" w:eastAsia="宋体" w:cs="宋体"/>
          <w:b/>
          <w:color w:val="000000"/>
          <w:sz w:val="21"/>
          <w:szCs w:val="21"/>
        </w:rPr>
      </w:pPr>
      <w:r>
        <w:rPr>
          <w:rFonts w:hint="eastAsia" w:ascii="宋体" w:hAnsi="宋体" w:eastAsia="宋体" w:cs="宋体"/>
          <w:b/>
          <w:color w:val="000000"/>
          <w:sz w:val="21"/>
          <w:szCs w:val="21"/>
        </w:rPr>
        <w:t>第二条 合同价款</w:t>
      </w:r>
    </w:p>
    <w:p>
      <w:pPr>
        <w:pStyle w:val="33"/>
        <w:spacing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1.合同总价：人民币（大写）</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元，（￥</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
    <w:p>
      <w:pPr>
        <w:pStyle w:val="33"/>
        <w:spacing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2.本合同总价是货物（产品）设计</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编辑</w:t>
      </w: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印刷</w:t>
      </w:r>
      <w:r>
        <w:rPr>
          <w:rFonts w:hint="eastAsia" w:ascii="宋体" w:hAnsi="宋体" w:eastAsia="宋体" w:cs="宋体"/>
          <w:color w:val="000000"/>
          <w:sz w:val="21"/>
          <w:szCs w:val="21"/>
        </w:rPr>
        <w:t>、包装、运输、验收合格交付使用之前等其他有关各项的含税费用。</w:t>
      </w:r>
    </w:p>
    <w:p>
      <w:pPr>
        <w:pStyle w:val="33"/>
        <w:spacing w:line="360" w:lineRule="auto"/>
        <w:ind w:firstLine="420"/>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.本合同执行期间合同总价不变，甲方无须另向乙方支付本合同规定之外的其他任何费用。</w:t>
      </w:r>
    </w:p>
    <w:p>
      <w:pPr>
        <w:pStyle w:val="33"/>
        <w:spacing w:before="120" w:beforeLines="50" w:line="360" w:lineRule="auto"/>
        <w:ind w:firstLine="316" w:firstLineChars="150"/>
        <w:rPr>
          <w:rFonts w:hint="eastAsia" w:ascii="宋体" w:hAnsi="宋体" w:eastAsia="宋体" w:cs="宋体"/>
          <w:b/>
          <w:color w:val="000000"/>
          <w:sz w:val="21"/>
          <w:szCs w:val="21"/>
        </w:rPr>
      </w:pPr>
      <w:r>
        <w:rPr>
          <w:rFonts w:hint="eastAsia" w:ascii="宋体" w:hAnsi="宋体" w:eastAsia="宋体" w:cs="宋体"/>
          <w:b/>
          <w:color w:val="000000"/>
          <w:sz w:val="21"/>
          <w:szCs w:val="21"/>
        </w:rPr>
        <w:t>第三条 货款支付</w:t>
      </w:r>
    </w:p>
    <w:p>
      <w:pPr>
        <w:pStyle w:val="33"/>
        <w:spacing w:line="360" w:lineRule="auto"/>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1.货物（产品）按下列比例支付价款：</w:t>
      </w:r>
    </w:p>
    <w:p>
      <w:pPr>
        <w:pStyle w:val="33"/>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val="en-US" w:eastAsia="zh-CN"/>
        </w:rPr>
        <w:t>1.</w:t>
      </w:r>
      <w:r>
        <w:rPr>
          <w:rFonts w:hint="eastAsia" w:ascii="宋体" w:hAnsi="宋体" w:eastAsia="宋体" w:cs="宋体"/>
          <w:color w:val="000000"/>
          <w:sz w:val="21"/>
          <w:szCs w:val="21"/>
          <w:lang w:eastAsia="zh-CN"/>
        </w:rPr>
        <w:t>在合同签订后，按照合同内容及金额，所有货物到达甲方指定地点安装、调试完毕并验收合格后，一个月内支付合同总价款100%。</w:t>
      </w:r>
    </w:p>
    <w:p>
      <w:pPr>
        <w:pStyle w:val="33"/>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2. 结算单位：由甲方负责结算，乙方开具合同总价的全额合法有效的完税发票交于甲方</w:t>
      </w:r>
      <w:r>
        <w:rPr>
          <w:rFonts w:hint="eastAsia" w:ascii="宋体" w:hAnsi="宋体" w:eastAsia="宋体" w:cs="宋体"/>
          <w:color w:val="000000"/>
          <w:sz w:val="21"/>
          <w:szCs w:val="21"/>
          <w:lang w:eastAsia="zh-CN"/>
        </w:rPr>
        <w:t>吧，并</w:t>
      </w:r>
      <w:r>
        <w:rPr>
          <w:rFonts w:hint="eastAsia" w:ascii="宋体" w:hAnsi="宋体" w:eastAsia="宋体" w:cs="宋体"/>
          <w:color w:val="000000"/>
          <w:sz w:val="21"/>
          <w:szCs w:val="21"/>
        </w:rPr>
        <w:t>持发票、中标通知书、供货合同到采购单位办理付款手续。</w:t>
      </w:r>
    </w:p>
    <w:p>
      <w:pPr>
        <w:pStyle w:val="33"/>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3. 结算方式：</w:t>
      </w:r>
      <w:r>
        <w:rPr>
          <w:rFonts w:hint="eastAsia" w:ascii="宋体" w:hAnsi="宋体" w:eastAsia="宋体" w:cs="宋体"/>
          <w:color w:val="000000"/>
          <w:sz w:val="21"/>
          <w:szCs w:val="21"/>
          <w:lang w:eastAsia="zh-CN"/>
        </w:rPr>
        <w:t>银行账户</w:t>
      </w:r>
      <w:r>
        <w:rPr>
          <w:rFonts w:hint="eastAsia" w:ascii="宋体" w:hAnsi="宋体" w:eastAsia="宋体" w:cs="宋体"/>
          <w:color w:val="000000"/>
          <w:sz w:val="21"/>
          <w:szCs w:val="21"/>
        </w:rPr>
        <w:t>转账。</w:t>
      </w:r>
    </w:p>
    <w:p>
      <w:pPr>
        <w:pStyle w:val="33"/>
        <w:keepNext w:val="0"/>
        <w:keepLines w:val="0"/>
        <w:pageBreakBefore w:val="0"/>
        <w:kinsoku/>
        <w:wordWrap/>
        <w:overflowPunct/>
        <w:topLinePunct w:val="0"/>
        <w:autoSpaceDE/>
        <w:autoSpaceDN/>
        <w:bidi w:val="0"/>
        <w:adjustRightInd/>
        <w:spacing w:before="120" w:beforeLines="50" w:after="120" w:afterLines="50" w:line="450" w:lineRule="exact"/>
        <w:ind w:firstLine="350" w:firstLineChars="166"/>
        <w:rPr>
          <w:rFonts w:hint="eastAsia" w:ascii="宋体" w:hAnsi="宋体" w:eastAsia="宋体" w:cs="宋体"/>
          <w:b/>
          <w:color w:val="000000"/>
          <w:sz w:val="21"/>
          <w:szCs w:val="21"/>
        </w:rPr>
      </w:pPr>
      <w:r>
        <w:rPr>
          <w:rFonts w:hint="eastAsia" w:ascii="宋体" w:hAnsi="宋体" w:eastAsia="宋体" w:cs="宋体"/>
          <w:b/>
          <w:color w:val="000000"/>
          <w:sz w:val="21"/>
          <w:szCs w:val="21"/>
        </w:rPr>
        <w:t>第四条 交货时间与地点</w:t>
      </w:r>
    </w:p>
    <w:p>
      <w:pPr>
        <w:pStyle w:val="33"/>
        <w:keepNext w:val="0"/>
        <w:keepLines w:val="0"/>
        <w:pageBreakBefore w:val="0"/>
        <w:kinsoku/>
        <w:wordWrap/>
        <w:overflowPunct/>
        <w:topLinePunct w:val="0"/>
        <w:autoSpaceDE/>
        <w:autoSpaceDN/>
        <w:bidi w:val="0"/>
        <w:adjustRightInd/>
        <w:spacing w:line="450" w:lineRule="exact"/>
        <w:ind w:firstLine="561"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乙方在合同签订生效之日起，按甲方指定时间、地点交货</w:t>
      </w:r>
    </w:p>
    <w:p>
      <w:pPr>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1.交货时间（期限）：</w:t>
      </w:r>
      <w:r>
        <w:rPr>
          <w:rFonts w:hint="eastAsia" w:ascii="宋体" w:hAnsi="宋体" w:eastAsia="宋体" w:cs="宋体"/>
          <w:color w:val="000000"/>
          <w:sz w:val="21"/>
          <w:szCs w:val="21"/>
          <w:lang w:eastAsia="zh-CN"/>
        </w:rPr>
        <w:t>供货期</w:t>
      </w:r>
      <w:r>
        <w:rPr>
          <w:rFonts w:hint="eastAsia" w:ascii="宋体" w:hAnsi="宋体" w:eastAsia="宋体" w:cs="宋体"/>
          <w:color w:val="000000"/>
          <w:sz w:val="21"/>
          <w:szCs w:val="21"/>
          <w:u w:val="single"/>
          <w:lang w:eastAsia="zh-CN"/>
        </w:rPr>
        <w:t>合同签订之日起30个日历天内</w:t>
      </w:r>
      <w:r>
        <w:rPr>
          <w:rFonts w:hint="eastAsia" w:ascii="宋体" w:hAnsi="宋体" w:eastAsia="宋体" w:cs="宋体"/>
          <w:color w:val="000000"/>
          <w:sz w:val="21"/>
          <w:szCs w:val="21"/>
          <w:lang w:val="zh-CN"/>
        </w:rPr>
        <w:t>完成供货、验收</w:t>
      </w:r>
      <w:r>
        <w:rPr>
          <w:rFonts w:hint="eastAsia" w:ascii="宋体" w:hAnsi="宋体" w:eastAsia="宋体" w:cs="宋体"/>
          <w:color w:val="000000"/>
          <w:sz w:val="21"/>
          <w:szCs w:val="21"/>
        </w:rPr>
        <w:t>。</w:t>
      </w:r>
    </w:p>
    <w:p>
      <w:pPr>
        <w:pStyle w:val="33"/>
        <w:keepNext w:val="0"/>
        <w:keepLines w:val="0"/>
        <w:pageBreakBefore w:val="0"/>
        <w:kinsoku/>
        <w:wordWrap/>
        <w:overflowPunct/>
        <w:topLinePunct w:val="0"/>
        <w:autoSpaceDE/>
        <w:autoSpaceDN/>
        <w:bidi w:val="0"/>
        <w:adjustRightInd/>
        <w:spacing w:line="450" w:lineRule="exact"/>
        <w:ind w:firstLine="561" w:firstLineChars="0"/>
        <w:rPr>
          <w:rFonts w:hint="eastAsia" w:ascii="宋体" w:hAnsi="宋体" w:eastAsia="宋体" w:cs="宋体"/>
          <w:color w:val="000000"/>
          <w:sz w:val="21"/>
          <w:szCs w:val="21"/>
        </w:rPr>
      </w:pPr>
      <w:r>
        <w:rPr>
          <w:rFonts w:hint="eastAsia" w:ascii="宋体" w:hAnsi="宋体" w:eastAsia="宋体" w:cs="宋体"/>
          <w:color w:val="000000"/>
          <w:sz w:val="21"/>
          <w:szCs w:val="21"/>
        </w:rPr>
        <w:t>2.交货地点：甲方指定地点</w:t>
      </w:r>
    </w:p>
    <w:p>
      <w:pPr>
        <w:pStyle w:val="33"/>
        <w:keepNext w:val="0"/>
        <w:keepLines w:val="0"/>
        <w:pageBreakBefore w:val="0"/>
        <w:kinsoku/>
        <w:wordWrap/>
        <w:overflowPunct/>
        <w:topLinePunct w:val="0"/>
        <w:autoSpaceDE/>
        <w:autoSpaceDN/>
        <w:bidi w:val="0"/>
        <w:adjustRightInd/>
        <w:spacing w:before="120" w:beforeLines="50" w:after="120" w:afterLines="50" w:line="450" w:lineRule="exact"/>
        <w:ind w:firstLine="350" w:firstLineChars="166"/>
        <w:rPr>
          <w:rFonts w:hint="eastAsia" w:ascii="宋体" w:hAnsi="宋体" w:eastAsia="宋体" w:cs="宋体"/>
          <w:b/>
          <w:color w:val="000000"/>
          <w:sz w:val="21"/>
          <w:szCs w:val="21"/>
        </w:rPr>
      </w:pPr>
      <w:r>
        <w:rPr>
          <w:rFonts w:hint="eastAsia" w:ascii="宋体" w:hAnsi="宋体" w:eastAsia="宋体" w:cs="宋体"/>
          <w:b/>
          <w:color w:val="000000"/>
          <w:sz w:val="21"/>
          <w:szCs w:val="21"/>
        </w:rPr>
        <w:t>第五条 质量保证</w:t>
      </w:r>
    </w:p>
    <w:p>
      <w:pPr>
        <w:pStyle w:val="33"/>
        <w:keepNext w:val="0"/>
        <w:keepLines w:val="0"/>
        <w:pageBreakBefore w:val="0"/>
        <w:kinsoku/>
        <w:wordWrap/>
        <w:overflowPunct/>
        <w:topLinePunct w:val="0"/>
        <w:autoSpaceDE/>
        <w:autoSpaceDN/>
        <w:bidi w:val="0"/>
        <w:adjustRightInd/>
        <w:spacing w:line="450" w:lineRule="exact"/>
        <w:rPr>
          <w:rFonts w:hint="eastAsia" w:ascii="宋体" w:hAnsi="宋体" w:eastAsia="宋体" w:cs="宋体"/>
          <w:color w:val="000000"/>
          <w:sz w:val="21"/>
          <w:szCs w:val="21"/>
        </w:rPr>
      </w:pPr>
      <w:r>
        <w:rPr>
          <w:rFonts w:hint="eastAsia" w:ascii="宋体" w:hAnsi="宋体" w:eastAsia="宋体" w:cs="宋体"/>
          <w:color w:val="000000"/>
          <w:sz w:val="21"/>
          <w:szCs w:val="21"/>
        </w:rPr>
        <w:t>5.1质保期</w:t>
      </w:r>
      <w:r>
        <w:rPr>
          <w:rFonts w:hint="eastAsia" w:ascii="宋体" w:hAnsi="宋体" w:eastAsia="宋体" w:cs="宋体"/>
          <w:color w:val="000000"/>
          <w:sz w:val="21"/>
          <w:szCs w:val="21"/>
          <w:u w:val="single"/>
          <w:lang w:val="en-US" w:eastAsia="zh-CN"/>
        </w:rPr>
        <w:t xml:space="preserve"> 1 </w:t>
      </w:r>
      <w:r>
        <w:rPr>
          <w:rFonts w:hint="eastAsia" w:ascii="宋体" w:hAnsi="宋体" w:eastAsia="宋体" w:cs="宋体"/>
          <w:color w:val="000000"/>
          <w:sz w:val="21"/>
          <w:szCs w:val="21"/>
          <w:u w:val="none"/>
          <w:lang w:val="en-US" w:eastAsia="zh-CN"/>
        </w:rPr>
        <w:t>年</w:t>
      </w:r>
      <w:r>
        <w:rPr>
          <w:rFonts w:hint="eastAsia" w:ascii="宋体" w:hAnsi="宋体" w:eastAsia="宋体" w:cs="宋体"/>
          <w:color w:val="000000"/>
          <w:sz w:val="21"/>
          <w:szCs w:val="21"/>
        </w:rPr>
        <w:t>，同时不得低于该产品的市场主流质保期，成交供应商承诺超过</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文件要求的，按其承诺期质保。质保期起始时间为终验合格之日。</w:t>
      </w:r>
    </w:p>
    <w:p>
      <w:pPr>
        <w:pStyle w:val="33"/>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rPr>
      </w:pPr>
      <w:bookmarkStart w:id="63" w:name="_Toc167715250"/>
      <w:bookmarkStart w:id="64" w:name="_Toc167714053"/>
      <w:bookmarkStart w:id="65" w:name="_Toc167712855"/>
      <w:r>
        <w:rPr>
          <w:rFonts w:hint="eastAsia" w:ascii="宋体" w:hAnsi="宋体" w:eastAsia="宋体" w:cs="宋体"/>
          <w:color w:val="000000"/>
          <w:sz w:val="21"/>
          <w:szCs w:val="21"/>
        </w:rPr>
        <w:t>5.2供应商应承诺在质量保证期内免费提供相关服务；</w:t>
      </w:r>
    </w:p>
    <w:p>
      <w:pPr>
        <w:pStyle w:val="33"/>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5.3质保期后如需</w:t>
      </w:r>
      <w:r>
        <w:rPr>
          <w:rFonts w:hint="eastAsia" w:ascii="宋体" w:hAnsi="宋体" w:eastAsia="宋体" w:cs="宋体"/>
          <w:color w:val="000000"/>
          <w:sz w:val="21"/>
          <w:szCs w:val="21"/>
          <w:lang w:eastAsia="zh-CN"/>
        </w:rPr>
        <w:t>编制印制</w:t>
      </w:r>
      <w:r>
        <w:rPr>
          <w:rFonts w:hint="eastAsia" w:ascii="宋体" w:hAnsi="宋体" w:eastAsia="宋体" w:cs="宋体"/>
          <w:color w:val="000000"/>
          <w:sz w:val="21"/>
          <w:szCs w:val="21"/>
        </w:rPr>
        <w:t>，成交供应商应以优惠价提供。</w:t>
      </w:r>
    </w:p>
    <w:bookmarkEnd w:id="63"/>
    <w:bookmarkEnd w:id="64"/>
    <w:bookmarkEnd w:id="65"/>
    <w:p>
      <w:pPr>
        <w:pStyle w:val="33"/>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5.4所有货物（产品）必须是未使用过的，质量优良、渠道正当，配置合理。</w:t>
      </w:r>
    </w:p>
    <w:p>
      <w:pPr>
        <w:pStyle w:val="33"/>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5.5采购人对成交供应商提出质量服务要求</w:t>
      </w:r>
      <w:r>
        <w:rPr>
          <w:rFonts w:hint="eastAsia" w:ascii="宋体" w:hAnsi="宋体" w:eastAsia="宋体" w:cs="宋体"/>
          <w:color w:val="000000"/>
          <w:sz w:val="21"/>
          <w:szCs w:val="21"/>
          <w:lang w:eastAsia="zh-CN"/>
        </w:rPr>
        <w:t>的</w:t>
      </w:r>
      <w:r>
        <w:rPr>
          <w:rFonts w:hint="eastAsia" w:ascii="宋体" w:hAnsi="宋体" w:eastAsia="宋体" w:cs="宋体"/>
          <w:color w:val="000000"/>
          <w:sz w:val="21"/>
          <w:szCs w:val="21"/>
        </w:rPr>
        <w:t>，所有涉及货物（产品）制造商的有关事项均由成交供应商负责。</w:t>
      </w:r>
    </w:p>
    <w:p>
      <w:pPr>
        <w:pStyle w:val="33"/>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.乙方须提供全新的、未使用过的合格正品货物，完全符合合同规定的质量、规格和性能的要求。</w:t>
      </w:r>
    </w:p>
    <w:p>
      <w:pPr>
        <w:pStyle w:val="33"/>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.乙方提供的节能和环保产品必须是列入节能、环保标志产品品目清单中的产品。</w:t>
      </w:r>
    </w:p>
    <w:p>
      <w:pPr>
        <w:pStyle w:val="33"/>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质量标准按照最新颁布的国家标准、行业标准或制造商企业标准确定，上述标准不一致的，以严格标准为准。</w:t>
      </w:r>
    </w:p>
    <w:p>
      <w:pPr>
        <w:pStyle w:val="33"/>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5.</w:t>
      </w:r>
      <w:r>
        <w:rPr>
          <w:rFonts w:hint="eastAsia" w:ascii="宋体" w:hAnsi="宋体" w:eastAsia="宋体" w:cs="宋体"/>
          <w:color w:val="000000"/>
          <w:sz w:val="21"/>
          <w:szCs w:val="21"/>
          <w:lang w:val="en-US" w:eastAsia="zh-CN"/>
        </w:rPr>
        <w:t>9</w:t>
      </w:r>
      <w:r>
        <w:rPr>
          <w:rFonts w:hint="eastAsia" w:ascii="宋体" w:hAnsi="宋体" w:eastAsia="宋体" w:cs="宋体"/>
          <w:color w:val="000000"/>
          <w:sz w:val="21"/>
          <w:szCs w:val="21"/>
        </w:rPr>
        <w:t>货物（产品）制造质量出现问题，乙方应负责</w:t>
      </w:r>
      <w:r>
        <w:rPr>
          <w:rFonts w:hint="eastAsia" w:ascii="宋体" w:hAnsi="宋体" w:eastAsia="宋体" w:cs="宋体"/>
          <w:color w:val="000000"/>
          <w:sz w:val="21"/>
          <w:szCs w:val="21"/>
          <w:lang w:eastAsia="zh-CN"/>
        </w:rPr>
        <w:t>随时编制印制</w:t>
      </w:r>
      <w:r>
        <w:rPr>
          <w:rFonts w:hint="eastAsia" w:ascii="宋体" w:hAnsi="宋体" w:eastAsia="宋体" w:cs="宋体"/>
          <w:color w:val="000000"/>
          <w:sz w:val="21"/>
          <w:szCs w:val="21"/>
        </w:rPr>
        <w:t>，费用由乙方负担，甲方有权到乙方生产场地检查货物质量和生产进度。</w:t>
      </w:r>
    </w:p>
    <w:p>
      <w:pPr>
        <w:pStyle w:val="33"/>
        <w:keepNext w:val="0"/>
        <w:keepLines w:val="0"/>
        <w:pageBreakBefore w:val="0"/>
        <w:kinsoku/>
        <w:wordWrap/>
        <w:overflowPunct/>
        <w:topLinePunct w:val="0"/>
        <w:autoSpaceDE/>
        <w:autoSpaceDN/>
        <w:bidi w:val="0"/>
        <w:adjustRightInd/>
        <w:spacing w:before="120" w:beforeLines="50" w:after="120" w:afterLines="50" w:line="450" w:lineRule="exact"/>
        <w:ind w:firstLine="562"/>
        <w:rPr>
          <w:rFonts w:hint="eastAsia" w:ascii="宋体" w:hAnsi="宋体" w:eastAsia="宋体" w:cs="宋体"/>
          <w:b/>
          <w:color w:val="000000"/>
          <w:sz w:val="21"/>
          <w:szCs w:val="21"/>
        </w:rPr>
      </w:pPr>
      <w:r>
        <w:rPr>
          <w:rFonts w:hint="eastAsia" w:ascii="宋体" w:hAnsi="宋体" w:eastAsia="宋体" w:cs="宋体"/>
          <w:b/>
          <w:color w:val="000000"/>
          <w:sz w:val="21"/>
          <w:szCs w:val="21"/>
        </w:rPr>
        <w:t>第六条 权利保证</w:t>
      </w:r>
    </w:p>
    <w:p>
      <w:pPr>
        <w:pStyle w:val="33"/>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1.乙方保证对其出售的货物享有合法的权利。</w:t>
      </w:r>
    </w:p>
    <w:p>
      <w:pPr>
        <w:pStyle w:val="33"/>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2.乙方保证对其出售的货物上不存在任何未曾向甲方透露的担保物权，如抵押权、质押权、留置权。</w:t>
      </w:r>
    </w:p>
    <w:p>
      <w:pPr>
        <w:pStyle w:val="33"/>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3.乙方保证对其出售的货物或其任何一部分没有侵犯第双方的专利权、版权、商标权或其他权利。</w:t>
      </w:r>
    </w:p>
    <w:p>
      <w:pPr>
        <w:pStyle w:val="33"/>
        <w:keepNext w:val="0"/>
        <w:keepLines w:val="0"/>
        <w:pageBreakBefore w:val="0"/>
        <w:kinsoku/>
        <w:wordWrap/>
        <w:overflowPunct/>
        <w:topLinePunct w:val="0"/>
        <w:autoSpaceDE/>
        <w:autoSpaceDN/>
        <w:bidi w:val="0"/>
        <w:adjustRightInd/>
        <w:spacing w:line="450" w:lineRule="exact"/>
        <w:ind w:left="141" w:leftChars="67" w:firstLine="420"/>
        <w:rPr>
          <w:rFonts w:hint="eastAsia" w:ascii="宋体" w:hAnsi="宋体" w:eastAsia="宋体" w:cs="宋体"/>
          <w:b/>
          <w:color w:val="000000"/>
          <w:sz w:val="21"/>
          <w:szCs w:val="21"/>
        </w:rPr>
      </w:pPr>
      <w:r>
        <w:rPr>
          <w:rFonts w:hint="eastAsia" w:ascii="宋体" w:hAnsi="宋体" w:eastAsia="宋体" w:cs="宋体"/>
          <w:color w:val="000000"/>
          <w:sz w:val="21"/>
          <w:szCs w:val="21"/>
        </w:rPr>
        <w:t>4.如甲方在使用该货物构成上述侵权的，则由乙方承担全部责任。</w:t>
      </w:r>
    </w:p>
    <w:p>
      <w:pPr>
        <w:pStyle w:val="33"/>
        <w:keepNext w:val="0"/>
        <w:keepLines w:val="0"/>
        <w:pageBreakBefore w:val="0"/>
        <w:kinsoku/>
        <w:wordWrap/>
        <w:overflowPunct/>
        <w:topLinePunct w:val="0"/>
        <w:autoSpaceDE/>
        <w:autoSpaceDN/>
        <w:bidi w:val="0"/>
        <w:adjustRightInd/>
        <w:spacing w:before="120" w:beforeLines="50" w:after="120" w:afterLines="50" w:line="450" w:lineRule="exact"/>
        <w:ind w:firstLine="350" w:firstLineChars="166"/>
        <w:rPr>
          <w:rFonts w:hint="eastAsia" w:ascii="宋体" w:hAnsi="宋体" w:eastAsia="宋体" w:cs="宋体"/>
          <w:color w:val="000000"/>
          <w:sz w:val="21"/>
          <w:szCs w:val="21"/>
        </w:rPr>
      </w:pPr>
      <w:r>
        <w:rPr>
          <w:rFonts w:hint="eastAsia" w:ascii="宋体" w:hAnsi="宋体" w:eastAsia="宋体" w:cs="宋体"/>
          <w:b/>
          <w:color w:val="000000"/>
          <w:sz w:val="21"/>
          <w:szCs w:val="21"/>
        </w:rPr>
        <w:t xml:space="preserve">第七条 包装要求与运输方式  </w:t>
      </w:r>
      <w:r>
        <w:rPr>
          <w:rFonts w:hint="eastAsia" w:ascii="宋体" w:hAnsi="宋体" w:eastAsia="宋体" w:cs="宋体"/>
          <w:color w:val="000000"/>
          <w:sz w:val="21"/>
          <w:szCs w:val="21"/>
        </w:rPr>
        <w:t xml:space="preserve"> </w:t>
      </w:r>
    </w:p>
    <w:p>
      <w:pPr>
        <w:pStyle w:val="33"/>
        <w:keepNext w:val="0"/>
        <w:keepLines w:val="0"/>
        <w:pageBreakBefore w:val="0"/>
        <w:kinsoku/>
        <w:wordWrap/>
        <w:overflowPunct/>
        <w:topLinePunct w:val="0"/>
        <w:autoSpaceDE/>
        <w:autoSpaceDN/>
        <w:bidi w:val="0"/>
        <w:adjustRightInd/>
        <w:spacing w:line="450" w:lineRule="exact"/>
        <w:ind w:left="141" w:leftChars="67"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1.除合同另有规定外，乙方提供的全部货物均应按标准保护措施进行包装，该包装应适应于远距离运输、防潮、防震、防锈和防野蛮装卸，以确保货物安全运抵指定地点。</w:t>
      </w:r>
    </w:p>
    <w:p>
      <w:pPr>
        <w:pStyle w:val="33"/>
        <w:keepNext w:val="0"/>
        <w:keepLines w:val="0"/>
        <w:pageBreakBefore w:val="0"/>
        <w:kinsoku/>
        <w:wordWrap/>
        <w:overflowPunct/>
        <w:topLinePunct w:val="0"/>
        <w:autoSpaceDE/>
        <w:autoSpaceDN/>
        <w:bidi w:val="0"/>
        <w:adjustRightInd/>
        <w:spacing w:line="450" w:lineRule="exact"/>
        <w:ind w:left="141" w:leftChars="67"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2.每一包装单元应附详细的装箱单和质量合格证。</w:t>
      </w:r>
    </w:p>
    <w:p>
      <w:pPr>
        <w:pStyle w:val="33"/>
        <w:keepNext w:val="0"/>
        <w:keepLines w:val="0"/>
        <w:pageBreakBefore w:val="0"/>
        <w:kinsoku/>
        <w:wordWrap/>
        <w:overflowPunct/>
        <w:topLinePunct w:val="0"/>
        <w:autoSpaceDE/>
        <w:autoSpaceDN/>
        <w:bidi w:val="0"/>
        <w:adjustRightInd/>
        <w:spacing w:line="450" w:lineRule="exact"/>
        <w:ind w:left="141" w:leftChars="67"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3.货物（产品）运输方式：</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
    <w:p>
      <w:pPr>
        <w:pStyle w:val="33"/>
        <w:keepNext w:val="0"/>
        <w:keepLines w:val="0"/>
        <w:pageBreakBefore w:val="0"/>
        <w:kinsoku/>
        <w:wordWrap/>
        <w:overflowPunct/>
        <w:topLinePunct w:val="0"/>
        <w:autoSpaceDE/>
        <w:autoSpaceDN/>
        <w:bidi w:val="0"/>
        <w:adjustRightInd/>
        <w:spacing w:line="450" w:lineRule="exact"/>
        <w:ind w:left="141" w:leftChars="67"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4.乙方负责货物（产品）运输，货物运输的合理损耗及计算方法</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
    <w:p>
      <w:pPr>
        <w:pStyle w:val="33"/>
        <w:keepNext w:val="0"/>
        <w:keepLines w:val="0"/>
        <w:pageBreakBefore w:val="0"/>
        <w:kinsoku/>
        <w:wordWrap/>
        <w:overflowPunct/>
        <w:topLinePunct w:val="0"/>
        <w:autoSpaceDE/>
        <w:autoSpaceDN/>
        <w:bidi w:val="0"/>
        <w:adjustRightInd/>
        <w:spacing w:before="120" w:beforeLines="50" w:after="120" w:afterLines="50" w:line="450" w:lineRule="exact"/>
        <w:ind w:firstLine="245" w:firstLineChars="116"/>
        <w:rPr>
          <w:rFonts w:hint="eastAsia" w:ascii="宋体" w:hAnsi="宋体" w:eastAsia="宋体" w:cs="宋体"/>
          <w:color w:val="000000"/>
          <w:sz w:val="21"/>
          <w:szCs w:val="21"/>
        </w:rPr>
      </w:pPr>
      <w:r>
        <w:rPr>
          <w:rFonts w:hint="eastAsia" w:ascii="宋体" w:hAnsi="宋体" w:eastAsia="宋体" w:cs="宋体"/>
          <w:b/>
          <w:color w:val="000000"/>
          <w:sz w:val="21"/>
          <w:szCs w:val="21"/>
        </w:rPr>
        <w:t>第八条 货物验收</w:t>
      </w:r>
    </w:p>
    <w:p>
      <w:pPr>
        <w:pStyle w:val="33"/>
        <w:keepNext w:val="0"/>
        <w:keepLines w:val="0"/>
        <w:pageBreakBefore w:val="0"/>
        <w:kinsoku/>
        <w:wordWrap/>
        <w:overflowPunct/>
        <w:topLinePunct w:val="0"/>
        <w:autoSpaceDE/>
        <w:autoSpaceDN/>
        <w:bidi w:val="0"/>
        <w:adjustRightInd/>
        <w:spacing w:line="450" w:lineRule="exact"/>
        <w:ind w:left="141" w:leftChars="67"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1.货物验收由甲方组织，乙方配合，并按下列程序进行：</w:t>
      </w:r>
    </w:p>
    <w:p>
      <w:pPr>
        <w:pStyle w:val="33"/>
        <w:keepNext w:val="0"/>
        <w:keepLines w:val="0"/>
        <w:pageBreakBefore w:val="0"/>
        <w:kinsoku/>
        <w:wordWrap/>
        <w:overflowPunct/>
        <w:topLinePunct w:val="0"/>
        <w:autoSpaceDE/>
        <w:autoSpaceDN/>
        <w:bidi w:val="0"/>
        <w:adjustRightInd/>
        <w:spacing w:line="45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（1）交货验收时，乙方须提供</w:t>
      </w:r>
      <w:r>
        <w:rPr>
          <w:rFonts w:hint="eastAsia" w:ascii="宋体" w:hAnsi="宋体" w:eastAsia="宋体" w:cs="宋体"/>
          <w:color w:val="000000"/>
          <w:sz w:val="21"/>
          <w:szCs w:val="21"/>
          <w:lang w:eastAsia="zh-CN"/>
        </w:rPr>
        <w:t>货物</w:t>
      </w:r>
      <w:r>
        <w:rPr>
          <w:rFonts w:hint="eastAsia" w:ascii="宋体" w:hAnsi="宋体" w:eastAsia="宋体" w:cs="宋体"/>
          <w:color w:val="000000"/>
          <w:sz w:val="21"/>
          <w:szCs w:val="21"/>
        </w:rPr>
        <w:t>清单</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装箱单</w:t>
      </w:r>
      <w:r>
        <w:rPr>
          <w:rFonts w:hint="eastAsia" w:ascii="宋体" w:hAnsi="宋体" w:eastAsia="宋体" w:cs="宋体"/>
          <w:color w:val="000000"/>
          <w:sz w:val="21"/>
          <w:szCs w:val="21"/>
          <w:lang w:eastAsia="zh-CN"/>
        </w:rPr>
        <w:t>及其他相关</w:t>
      </w:r>
      <w:r>
        <w:rPr>
          <w:rFonts w:hint="eastAsia" w:ascii="宋体" w:hAnsi="宋体" w:eastAsia="宋体" w:cs="宋体"/>
          <w:color w:val="000000"/>
          <w:sz w:val="21"/>
          <w:szCs w:val="21"/>
        </w:rPr>
        <w:t>等资料交付给甲方；</w:t>
      </w:r>
    </w:p>
    <w:p>
      <w:pPr>
        <w:pStyle w:val="33"/>
        <w:keepNext w:val="0"/>
        <w:keepLines w:val="0"/>
        <w:pageBreakBefore w:val="0"/>
        <w:kinsoku/>
        <w:wordWrap/>
        <w:overflowPunct/>
        <w:topLinePunct w:val="0"/>
        <w:autoSpaceDE/>
        <w:autoSpaceDN/>
        <w:bidi w:val="0"/>
        <w:adjustRightInd/>
        <w:spacing w:line="450" w:lineRule="exact"/>
        <w:ind w:firstLine="359" w:firstLineChars="171"/>
        <w:rPr>
          <w:rFonts w:hint="eastAsia" w:ascii="宋体" w:hAnsi="宋体" w:eastAsia="宋体" w:cs="宋体"/>
          <w:color w:val="000000"/>
          <w:sz w:val="21"/>
          <w:szCs w:val="21"/>
        </w:rPr>
      </w:pPr>
      <w:r>
        <w:rPr>
          <w:rFonts w:hint="eastAsia" w:ascii="宋体" w:hAnsi="宋体" w:eastAsia="宋体" w:cs="宋体"/>
          <w:color w:val="000000"/>
          <w:sz w:val="21"/>
          <w:szCs w:val="21"/>
        </w:rPr>
        <w:t>（2）到货验收 ：货物到达后，按合同第一条款的货物清单和装箱单经行逐一核对，同时检查货物外观，是否有划痕或破损的，并做好相应记录；</w:t>
      </w:r>
    </w:p>
    <w:p>
      <w:pPr>
        <w:pStyle w:val="33"/>
        <w:keepNext w:val="0"/>
        <w:keepLines w:val="0"/>
        <w:pageBreakBefore w:val="0"/>
        <w:kinsoku/>
        <w:wordWrap/>
        <w:overflowPunct/>
        <w:topLinePunct w:val="0"/>
        <w:autoSpaceDE/>
        <w:autoSpaceDN/>
        <w:bidi w:val="0"/>
        <w:adjustRightInd/>
        <w:spacing w:line="450" w:lineRule="exact"/>
        <w:ind w:left="141" w:leftChars="67"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（3）货物初验：乙方应在货物到货之日起，</w:t>
      </w:r>
      <w:r>
        <w:rPr>
          <w:rFonts w:hint="eastAsia" w:ascii="宋体" w:hAnsi="宋体" w:eastAsia="宋体" w:cs="宋体"/>
          <w:color w:val="000000"/>
          <w:sz w:val="21"/>
          <w:szCs w:val="21"/>
          <w:lang w:val="en-US" w:eastAsia="zh-CN"/>
        </w:rPr>
        <w:t>5日内</w:t>
      </w:r>
      <w:r>
        <w:rPr>
          <w:rFonts w:hint="eastAsia" w:ascii="宋体" w:hAnsi="宋体" w:eastAsia="宋体" w:cs="宋体"/>
          <w:color w:val="000000"/>
          <w:sz w:val="21"/>
          <w:szCs w:val="21"/>
        </w:rPr>
        <w:t>完成初步验收；初步验收合格后，</w:t>
      </w:r>
      <w:r>
        <w:rPr>
          <w:rFonts w:hint="eastAsia" w:ascii="宋体" w:hAnsi="宋体" w:eastAsia="宋体" w:cs="宋体"/>
          <w:color w:val="000000"/>
          <w:sz w:val="21"/>
          <w:szCs w:val="21"/>
          <w:lang w:eastAsia="zh-CN"/>
        </w:rPr>
        <w:t>再送至甲方</w:t>
      </w:r>
      <w:r>
        <w:rPr>
          <w:rFonts w:hint="eastAsia" w:ascii="宋体" w:hAnsi="宋体" w:eastAsia="宋体" w:cs="宋体"/>
          <w:color w:val="000000"/>
          <w:sz w:val="21"/>
          <w:szCs w:val="21"/>
        </w:rPr>
        <w:t>；期间发生重大质量问题，</w:t>
      </w:r>
      <w:r>
        <w:rPr>
          <w:rFonts w:hint="eastAsia" w:ascii="宋体" w:hAnsi="宋体" w:eastAsia="宋体" w:cs="宋体"/>
          <w:color w:val="000000"/>
          <w:sz w:val="21"/>
          <w:szCs w:val="21"/>
          <w:lang w:eastAsia="zh-CN"/>
        </w:rPr>
        <w:t>由乙方负责</w:t>
      </w:r>
      <w:r>
        <w:rPr>
          <w:rFonts w:hint="eastAsia" w:ascii="宋体" w:hAnsi="宋体" w:eastAsia="宋体" w:cs="宋体"/>
          <w:color w:val="000000"/>
          <w:sz w:val="21"/>
          <w:szCs w:val="21"/>
        </w:rPr>
        <w:t>；</w:t>
      </w:r>
    </w:p>
    <w:p>
      <w:pPr>
        <w:pStyle w:val="33"/>
        <w:keepNext w:val="0"/>
        <w:keepLines w:val="0"/>
        <w:pageBreakBefore w:val="0"/>
        <w:kinsoku/>
        <w:wordWrap/>
        <w:overflowPunct/>
        <w:topLinePunct w:val="0"/>
        <w:autoSpaceDE/>
        <w:autoSpaceDN/>
        <w:bidi w:val="0"/>
        <w:adjustRightInd/>
        <w:spacing w:line="450" w:lineRule="exact"/>
        <w:ind w:left="141" w:leftChars="67"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eastAsia="zh-CN"/>
        </w:rPr>
        <w:t>货物</w:t>
      </w:r>
      <w:r>
        <w:rPr>
          <w:rFonts w:hint="eastAsia" w:ascii="宋体" w:hAnsi="宋体" w:eastAsia="宋体" w:cs="宋体"/>
          <w:color w:val="000000"/>
          <w:sz w:val="21"/>
          <w:szCs w:val="21"/>
        </w:rPr>
        <w:t>到达甲方指定地点后，组织现场验货。所</w:t>
      </w:r>
      <w:r>
        <w:rPr>
          <w:rFonts w:hint="eastAsia" w:ascii="宋体" w:hAnsi="宋体" w:eastAsia="宋体" w:cs="宋体"/>
          <w:color w:val="000000"/>
          <w:sz w:val="21"/>
          <w:szCs w:val="21"/>
          <w:lang w:eastAsia="zh-CN"/>
        </w:rPr>
        <w:t>编制数量</w:t>
      </w:r>
      <w:r>
        <w:rPr>
          <w:rFonts w:hint="eastAsia" w:ascii="宋体" w:hAnsi="宋体" w:eastAsia="宋体" w:cs="宋体"/>
          <w:color w:val="000000"/>
          <w:sz w:val="21"/>
          <w:szCs w:val="21"/>
        </w:rPr>
        <w:t>和</w:t>
      </w:r>
      <w:r>
        <w:rPr>
          <w:rFonts w:hint="eastAsia" w:ascii="宋体" w:hAnsi="宋体" w:eastAsia="宋体" w:cs="宋体"/>
          <w:color w:val="000000"/>
          <w:sz w:val="21"/>
          <w:szCs w:val="21"/>
          <w:lang w:eastAsia="zh-CN"/>
        </w:rPr>
        <w:t>采购</w:t>
      </w:r>
      <w:r>
        <w:rPr>
          <w:rFonts w:hint="eastAsia" w:ascii="宋体" w:hAnsi="宋体" w:eastAsia="宋体" w:cs="宋体"/>
          <w:color w:val="000000"/>
          <w:sz w:val="21"/>
          <w:szCs w:val="21"/>
        </w:rPr>
        <w:t>数量必须与合同一致，甲方和乙方共同签署到货</w:t>
      </w:r>
      <w:r>
        <w:rPr>
          <w:rFonts w:hint="eastAsia" w:ascii="宋体" w:hAnsi="宋体" w:eastAsia="宋体" w:cs="宋体"/>
          <w:color w:val="000000"/>
          <w:sz w:val="21"/>
          <w:szCs w:val="21"/>
          <w:lang w:eastAsia="zh-CN"/>
        </w:rPr>
        <w:t>接收</w:t>
      </w:r>
      <w:r>
        <w:rPr>
          <w:rFonts w:hint="eastAsia" w:ascii="宋体" w:hAnsi="宋体" w:eastAsia="宋体" w:cs="宋体"/>
          <w:color w:val="000000"/>
          <w:sz w:val="21"/>
          <w:szCs w:val="21"/>
        </w:rPr>
        <w:t>单。</w:t>
      </w:r>
    </w:p>
    <w:p>
      <w:pPr>
        <w:pStyle w:val="33"/>
        <w:keepNext w:val="0"/>
        <w:keepLines w:val="0"/>
        <w:pageBreakBefore w:val="0"/>
        <w:kinsoku/>
        <w:wordWrap/>
        <w:overflowPunct/>
        <w:topLinePunct w:val="0"/>
        <w:autoSpaceDE/>
        <w:autoSpaceDN/>
        <w:bidi w:val="0"/>
        <w:adjustRightInd/>
        <w:spacing w:line="450" w:lineRule="exact"/>
        <w:ind w:left="141" w:leftChars="67"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（5）乙方保证合同所有</w:t>
      </w:r>
      <w:r>
        <w:rPr>
          <w:rFonts w:hint="eastAsia" w:ascii="宋体" w:hAnsi="宋体" w:eastAsia="宋体" w:cs="宋体"/>
          <w:color w:val="000000"/>
          <w:sz w:val="21"/>
          <w:szCs w:val="21"/>
          <w:lang w:eastAsia="zh-CN"/>
        </w:rPr>
        <w:t>货物</w:t>
      </w:r>
      <w:r>
        <w:rPr>
          <w:rFonts w:hint="eastAsia" w:ascii="宋体" w:hAnsi="宋体" w:eastAsia="宋体" w:cs="宋体"/>
          <w:color w:val="000000"/>
          <w:sz w:val="21"/>
          <w:szCs w:val="21"/>
        </w:rPr>
        <w:t>是全新的，其规格参数及配件不低于（符合）级</w:t>
      </w:r>
    </w:p>
    <w:p>
      <w:pPr>
        <w:pStyle w:val="33"/>
        <w:keepNext w:val="0"/>
        <w:keepLines w:val="0"/>
        <w:pageBreakBefore w:val="0"/>
        <w:kinsoku/>
        <w:wordWrap/>
        <w:overflowPunct/>
        <w:topLinePunct w:val="0"/>
        <w:autoSpaceDE/>
        <w:autoSpaceDN/>
        <w:bidi w:val="0"/>
        <w:adjustRightInd/>
        <w:spacing w:line="450" w:lineRule="exact"/>
        <w:ind w:left="141" w:leftChars="67" w:firstLine="315" w:firstLineChars="150"/>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）货物终验：</w:t>
      </w:r>
      <w:r>
        <w:rPr>
          <w:rFonts w:hint="eastAsia" w:ascii="宋体" w:hAnsi="宋体" w:eastAsia="宋体" w:cs="宋体"/>
          <w:color w:val="000000"/>
          <w:sz w:val="21"/>
          <w:szCs w:val="21"/>
          <w:lang w:eastAsia="zh-CN"/>
        </w:rPr>
        <w:t>质保</w:t>
      </w:r>
      <w:r>
        <w:rPr>
          <w:rFonts w:hint="eastAsia" w:ascii="宋体" w:hAnsi="宋体" w:eastAsia="宋体" w:cs="宋体"/>
          <w:color w:val="000000"/>
          <w:sz w:val="21"/>
          <w:szCs w:val="21"/>
        </w:rPr>
        <w:t>期结束后</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日内完成最终验收；</w:t>
      </w:r>
    </w:p>
    <w:p>
      <w:pPr>
        <w:pStyle w:val="33"/>
        <w:keepNext w:val="0"/>
        <w:keepLines w:val="0"/>
        <w:pageBreakBefore w:val="0"/>
        <w:kinsoku/>
        <w:wordWrap/>
        <w:overflowPunct/>
        <w:topLinePunct w:val="0"/>
        <w:autoSpaceDE/>
        <w:autoSpaceDN/>
        <w:bidi w:val="0"/>
        <w:adjustRightInd/>
        <w:spacing w:line="45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（9）质量验收合格，双方签署质量验收报告。</w:t>
      </w:r>
    </w:p>
    <w:p>
      <w:pPr>
        <w:pStyle w:val="33"/>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2.货物验收依据：</w:t>
      </w:r>
    </w:p>
    <w:p>
      <w:pPr>
        <w:pStyle w:val="6"/>
        <w:keepNext w:val="0"/>
        <w:keepLines w:val="0"/>
        <w:pageBreakBefore w:val="0"/>
        <w:kinsoku/>
        <w:wordWrap/>
        <w:overflowPunct/>
        <w:topLinePunct w:val="0"/>
        <w:autoSpaceDE/>
        <w:autoSpaceDN/>
        <w:bidi w:val="0"/>
        <w:adjustRightInd/>
        <w:spacing w:line="450" w:lineRule="exact"/>
        <w:ind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文件；</w:t>
      </w:r>
    </w:p>
    <w:p>
      <w:pPr>
        <w:pStyle w:val="6"/>
        <w:keepNext w:val="0"/>
        <w:keepLines w:val="0"/>
        <w:pageBreakBefore w:val="0"/>
        <w:kinsoku/>
        <w:wordWrap/>
        <w:overflowPunct/>
        <w:topLinePunct w:val="0"/>
        <w:autoSpaceDE/>
        <w:autoSpaceDN/>
        <w:bidi w:val="0"/>
        <w:adjustRightInd/>
        <w:spacing w:line="450" w:lineRule="exact"/>
        <w:ind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（2）响应文件；</w:t>
      </w:r>
    </w:p>
    <w:p>
      <w:pPr>
        <w:pStyle w:val="6"/>
        <w:keepNext w:val="0"/>
        <w:keepLines w:val="0"/>
        <w:pageBreakBefore w:val="0"/>
        <w:kinsoku/>
        <w:wordWrap/>
        <w:overflowPunct/>
        <w:topLinePunct w:val="0"/>
        <w:autoSpaceDE/>
        <w:autoSpaceDN/>
        <w:bidi w:val="0"/>
        <w:adjustRightInd/>
        <w:spacing w:line="450" w:lineRule="exact"/>
        <w:ind w:firstLineChars="200"/>
        <w:rPr>
          <w:rFonts w:hint="eastAsia" w:ascii="宋体" w:hAnsi="宋体" w:eastAsia="宋体" w:cs="宋体"/>
          <w:color w:val="000000"/>
          <w:sz w:val="21"/>
          <w:szCs w:val="21"/>
        </w:rPr>
      </w:pPr>
      <w:r>
        <w:rPr>
          <w:rFonts w:hint="eastAsia" w:ascii="宋体" w:hAnsi="宋体" w:eastAsia="宋体" w:cs="宋体"/>
          <w:color w:val="000000"/>
          <w:sz w:val="21"/>
          <w:szCs w:val="21"/>
        </w:rPr>
        <w:t>（3）采购合同及补充协议；</w:t>
      </w:r>
    </w:p>
    <w:p>
      <w:pPr>
        <w:pStyle w:val="33"/>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3.货物验收时发现问题的处理办法：</w:t>
      </w:r>
    </w:p>
    <w:p>
      <w:pPr>
        <w:pStyle w:val="33"/>
        <w:keepNext w:val="0"/>
        <w:keepLines w:val="0"/>
        <w:pageBreakBefore w:val="0"/>
        <w:kinsoku/>
        <w:wordWrap/>
        <w:overflowPunct/>
        <w:topLinePunct w:val="0"/>
        <w:autoSpaceDE/>
        <w:autoSpaceDN/>
        <w:bidi w:val="0"/>
        <w:adjustRightInd/>
        <w:spacing w:line="45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（1）乙方提供不符合</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文件和本合同规定的货物（产品），甲方有权拒绝接受；</w:t>
      </w:r>
    </w:p>
    <w:p>
      <w:pPr>
        <w:pStyle w:val="33"/>
        <w:keepNext w:val="0"/>
        <w:keepLines w:val="0"/>
        <w:pageBreakBefore w:val="0"/>
        <w:kinsoku/>
        <w:wordWrap/>
        <w:overflowPunct/>
        <w:topLinePunct w:val="0"/>
        <w:autoSpaceDE/>
        <w:autoSpaceDN/>
        <w:bidi w:val="0"/>
        <w:adjustRightInd/>
        <w:spacing w:line="45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（2）如发现所交付的货物有</w:t>
      </w:r>
      <w:r>
        <w:rPr>
          <w:rFonts w:hint="eastAsia" w:ascii="宋体" w:hAnsi="宋体" w:eastAsia="宋体" w:cs="宋体"/>
          <w:color w:val="000000"/>
          <w:sz w:val="21"/>
          <w:szCs w:val="21"/>
          <w:lang w:eastAsia="zh-CN"/>
        </w:rPr>
        <w:t>缺失</w:t>
      </w:r>
      <w:r>
        <w:rPr>
          <w:rFonts w:hint="eastAsia" w:ascii="宋体" w:hAnsi="宋体" w:eastAsia="宋体" w:cs="宋体"/>
          <w:color w:val="000000"/>
          <w:sz w:val="21"/>
          <w:szCs w:val="21"/>
        </w:rPr>
        <w:t>、次品、损坏或其它不符合标准及本合同规定之情形者，甲方有权要求更换货物（产品），同时做出详尽的现场记录，或由甲乙双方签署备忘录，此现场记录或备忘录可用作补充、缺失和更换损坏</w:t>
      </w:r>
      <w:r>
        <w:rPr>
          <w:rFonts w:hint="eastAsia" w:ascii="宋体" w:hAnsi="宋体" w:eastAsia="宋体" w:cs="宋体"/>
          <w:color w:val="000000"/>
          <w:sz w:val="21"/>
          <w:szCs w:val="21"/>
          <w:lang w:eastAsia="zh-CN"/>
        </w:rPr>
        <w:t>的货物</w:t>
      </w:r>
      <w:r>
        <w:rPr>
          <w:rFonts w:hint="eastAsia" w:ascii="宋体" w:hAnsi="宋体" w:eastAsia="宋体" w:cs="宋体"/>
          <w:color w:val="000000"/>
          <w:sz w:val="21"/>
          <w:szCs w:val="21"/>
        </w:rPr>
        <w:t>或更换整个货物（产品）有效证据，由此产生的时间延误与有关费用由乙方承担，验收期限相应顺延；</w:t>
      </w:r>
    </w:p>
    <w:p>
      <w:pPr>
        <w:pStyle w:val="33"/>
        <w:keepNext w:val="0"/>
        <w:keepLines w:val="0"/>
        <w:pageBreakBefore w:val="0"/>
        <w:kinsoku/>
        <w:wordWrap/>
        <w:overflowPunct/>
        <w:topLinePunct w:val="0"/>
        <w:autoSpaceDE/>
        <w:autoSpaceDN/>
        <w:bidi w:val="0"/>
        <w:adjustRightInd/>
        <w:spacing w:line="45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（3）如货物经乙方</w:t>
      </w:r>
      <w:r>
        <w:rPr>
          <w:rFonts w:hint="eastAsia" w:ascii="宋体" w:hAnsi="宋体" w:eastAsia="宋体" w:cs="宋体"/>
          <w:color w:val="000000"/>
          <w:sz w:val="21"/>
          <w:szCs w:val="21"/>
          <w:u w:val="single"/>
        </w:rPr>
        <w:t xml:space="preserve">  2  </w:t>
      </w:r>
      <w:r>
        <w:rPr>
          <w:rFonts w:hint="eastAsia" w:ascii="宋体" w:hAnsi="宋体" w:eastAsia="宋体" w:cs="宋体"/>
          <w:color w:val="000000"/>
          <w:sz w:val="21"/>
          <w:szCs w:val="21"/>
        </w:rPr>
        <w:t>次</w:t>
      </w:r>
      <w:r>
        <w:rPr>
          <w:rFonts w:hint="eastAsia" w:ascii="宋体" w:hAnsi="宋体" w:eastAsia="宋体" w:cs="宋体"/>
          <w:color w:val="000000"/>
          <w:sz w:val="21"/>
          <w:szCs w:val="21"/>
          <w:lang w:eastAsia="zh-CN"/>
        </w:rPr>
        <w:t>提供</w:t>
      </w:r>
      <w:r>
        <w:rPr>
          <w:rFonts w:hint="eastAsia" w:ascii="宋体" w:hAnsi="宋体" w:eastAsia="宋体" w:cs="宋体"/>
          <w:color w:val="000000"/>
          <w:sz w:val="21"/>
          <w:szCs w:val="21"/>
        </w:rPr>
        <w:t>仍不能达到合同约定的质量标准，甲方有权退货，并视作乙方不能交付货物而须支付违约赔偿金给甲方，甲方还可依法追究乙方的违约责任； </w:t>
      </w:r>
    </w:p>
    <w:p>
      <w:pPr>
        <w:pStyle w:val="33"/>
        <w:keepNext w:val="0"/>
        <w:keepLines w:val="0"/>
        <w:pageBreakBefore w:val="0"/>
        <w:kinsoku/>
        <w:wordWrap/>
        <w:overflowPunct/>
        <w:topLinePunct w:val="0"/>
        <w:autoSpaceDE/>
        <w:autoSpaceDN/>
        <w:bidi w:val="0"/>
        <w:adjustRightInd/>
        <w:spacing w:line="45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）乙方不能完整交付货物及本条第一款规定的单证和工具的，必须负责补齐，否则视为未按合同约定交货；</w:t>
      </w:r>
    </w:p>
    <w:p>
      <w:pPr>
        <w:pStyle w:val="33"/>
        <w:keepNext w:val="0"/>
        <w:keepLines w:val="0"/>
        <w:pageBreakBefore w:val="0"/>
        <w:kinsoku/>
        <w:wordWrap/>
        <w:overflowPunct/>
        <w:topLinePunct w:val="0"/>
        <w:autoSpaceDE/>
        <w:autoSpaceDN/>
        <w:bidi w:val="0"/>
        <w:adjustRightInd/>
        <w:spacing w:line="45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）超出合理磅差的处理方法：</w:t>
      </w:r>
      <w:r>
        <w:rPr>
          <w:rFonts w:hint="eastAsia" w:ascii="宋体" w:hAnsi="宋体" w:eastAsia="宋体" w:cs="宋体"/>
          <w:color w:val="000000"/>
          <w:sz w:val="21"/>
          <w:szCs w:val="21"/>
          <w:u w:val="single"/>
        </w:rPr>
        <w:t xml:space="preserve">  照实际差额双倍补齐  </w:t>
      </w:r>
      <w:r>
        <w:rPr>
          <w:rFonts w:hint="eastAsia" w:ascii="宋体" w:hAnsi="宋体" w:eastAsia="宋体" w:cs="宋体"/>
          <w:color w:val="000000"/>
          <w:sz w:val="21"/>
          <w:szCs w:val="21"/>
        </w:rPr>
        <w:t>。</w:t>
      </w:r>
    </w:p>
    <w:p>
      <w:pPr>
        <w:pStyle w:val="33"/>
        <w:keepNext w:val="0"/>
        <w:keepLines w:val="0"/>
        <w:pageBreakBefore w:val="0"/>
        <w:kinsoku/>
        <w:wordWrap/>
        <w:overflowPunct/>
        <w:topLinePunct w:val="0"/>
        <w:autoSpaceDE/>
        <w:autoSpaceDN/>
        <w:bidi w:val="0"/>
        <w:adjustRightInd/>
        <w:spacing w:before="120" w:beforeLines="50" w:after="120" w:afterLines="50" w:line="450" w:lineRule="exact"/>
        <w:ind w:firstLine="350" w:firstLineChars="166"/>
        <w:rPr>
          <w:rFonts w:hint="eastAsia" w:ascii="宋体" w:hAnsi="宋体" w:eastAsia="宋体" w:cs="宋体"/>
          <w:b/>
          <w:color w:val="000000"/>
          <w:sz w:val="21"/>
          <w:szCs w:val="21"/>
        </w:rPr>
      </w:pPr>
      <w:r>
        <w:rPr>
          <w:rFonts w:hint="eastAsia" w:ascii="宋体" w:hAnsi="宋体" w:eastAsia="宋体" w:cs="宋体"/>
          <w:b/>
          <w:color w:val="000000"/>
          <w:sz w:val="21"/>
          <w:szCs w:val="21"/>
        </w:rPr>
        <w:t>第九条 售后服务</w:t>
      </w:r>
    </w:p>
    <w:p>
      <w:pPr>
        <w:pStyle w:val="33"/>
        <w:keepNext w:val="0"/>
        <w:keepLines w:val="0"/>
        <w:pageBreakBefore w:val="0"/>
        <w:kinsoku/>
        <w:wordWrap/>
        <w:overflowPunct/>
        <w:topLinePunct w:val="0"/>
        <w:autoSpaceDE/>
        <w:autoSpaceDN/>
        <w:bidi w:val="0"/>
        <w:adjustRightInd/>
        <w:spacing w:line="450" w:lineRule="exact"/>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乙方应按照国家有关法律法规和“三包”规定以及</w:t>
      </w:r>
      <w:r>
        <w:rPr>
          <w:rFonts w:hint="eastAsia" w:ascii="宋体" w:hAnsi="宋体" w:eastAsia="宋体" w:cs="宋体"/>
          <w:color w:val="000000"/>
          <w:kern w:val="0"/>
          <w:sz w:val="21"/>
          <w:szCs w:val="21"/>
          <w:lang w:eastAsia="zh-CN"/>
        </w:rPr>
        <w:t>谈判</w:t>
      </w:r>
      <w:r>
        <w:rPr>
          <w:rFonts w:hint="eastAsia" w:ascii="宋体" w:hAnsi="宋体" w:eastAsia="宋体" w:cs="宋体"/>
          <w:color w:val="000000"/>
          <w:kern w:val="0"/>
          <w:sz w:val="21"/>
          <w:szCs w:val="21"/>
        </w:rPr>
        <w:t>文件要求和响应文件的“服务承诺”提供服务。</w:t>
      </w:r>
    </w:p>
    <w:p>
      <w:pPr>
        <w:pStyle w:val="33"/>
        <w:keepNext w:val="0"/>
        <w:keepLines w:val="0"/>
        <w:pageBreakBefore w:val="0"/>
        <w:kinsoku/>
        <w:wordWrap/>
        <w:overflowPunct/>
        <w:topLinePunct w:val="0"/>
        <w:autoSpaceDE/>
        <w:autoSpaceDN/>
        <w:bidi w:val="0"/>
        <w:adjustRightInd/>
        <w:spacing w:before="120" w:beforeLines="50" w:after="120" w:afterLines="50" w:line="450" w:lineRule="exact"/>
        <w:ind w:firstLine="350" w:firstLineChars="166"/>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 xml:space="preserve">第十条 </w:t>
      </w:r>
      <w:r>
        <w:rPr>
          <w:rFonts w:hint="eastAsia" w:ascii="宋体" w:hAnsi="宋体" w:eastAsia="宋体" w:cs="宋体"/>
          <w:b/>
          <w:color w:val="000000"/>
          <w:sz w:val="21"/>
          <w:szCs w:val="21"/>
        </w:rPr>
        <w:t>履约保证金</w:t>
      </w:r>
    </w:p>
    <w:p>
      <w:pPr>
        <w:keepNext w:val="0"/>
        <w:keepLines w:val="0"/>
        <w:pageBreakBefore w:val="0"/>
        <w:widowControl/>
        <w:kinsoku/>
        <w:wordWrap/>
        <w:overflowPunct/>
        <w:topLinePunct w:val="0"/>
        <w:autoSpaceDE/>
        <w:autoSpaceDN/>
        <w:bidi w:val="0"/>
        <w:adjustRightInd/>
        <w:spacing w:line="450" w:lineRule="exact"/>
        <w:ind w:firstLine="525" w:firstLineChars="25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1</w:t>
      </w: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eastAsia="zh-CN"/>
        </w:rPr>
        <w:t>本项目无</w:t>
      </w:r>
      <w:r>
        <w:rPr>
          <w:rFonts w:hint="eastAsia" w:ascii="宋体" w:hAnsi="宋体" w:eastAsia="宋体" w:cs="宋体"/>
          <w:color w:val="000000"/>
          <w:kern w:val="0"/>
          <w:sz w:val="21"/>
          <w:szCs w:val="21"/>
        </w:rPr>
        <w:t>履约保证金的。</w:t>
      </w:r>
    </w:p>
    <w:p>
      <w:pPr>
        <w:pStyle w:val="33"/>
        <w:keepNext w:val="0"/>
        <w:keepLines w:val="0"/>
        <w:pageBreakBefore w:val="0"/>
        <w:kinsoku/>
        <w:wordWrap/>
        <w:overflowPunct/>
        <w:topLinePunct w:val="0"/>
        <w:autoSpaceDE/>
        <w:autoSpaceDN/>
        <w:bidi w:val="0"/>
        <w:adjustRightInd/>
        <w:spacing w:before="120" w:beforeLines="50" w:after="120" w:afterLines="50" w:line="450" w:lineRule="exact"/>
        <w:ind w:firstLine="350" w:firstLineChars="166"/>
        <w:rPr>
          <w:rFonts w:hint="eastAsia" w:ascii="宋体" w:hAnsi="宋体" w:eastAsia="宋体" w:cs="宋体"/>
          <w:color w:val="000000"/>
          <w:sz w:val="21"/>
          <w:szCs w:val="21"/>
        </w:rPr>
      </w:pPr>
      <w:r>
        <w:rPr>
          <w:rFonts w:hint="eastAsia" w:ascii="宋体" w:hAnsi="宋体" w:eastAsia="宋体" w:cs="宋体"/>
          <w:b/>
          <w:color w:val="000000"/>
          <w:sz w:val="21"/>
          <w:szCs w:val="21"/>
        </w:rPr>
        <w:t>第十一条 违约责任</w:t>
      </w:r>
    </w:p>
    <w:p>
      <w:pPr>
        <w:pStyle w:val="33"/>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1.甲方违约责任</w:t>
      </w:r>
    </w:p>
    <w:p>
      <w:pPr>
        <w:pStyle w:val="33"/>
        <w:keepNext w:val="0"/>
        <w:keepLines w:val="0"/>
        <w:pageBreakBefore w:val="0"/>
        <w:kinsoku/>
        <w:wordWrap/>
        <w:overflowPunct/>
        <w:topLinePunct w:val="0"/>
        <w:autoSpaceDE/>
        <w:autoSpaceDN/>
        <w:bidi w:val="0"/>
        <w:adjustRightInd/>
        <w:spacing w:line="450" w:lineRule="exact"/>
        <w:ind w:firstLine="359" w:firstLineChars="171"/>
        <w:rPr>
          <w:rFonts w:hint="eastAsia" w:ascii="宋体" w:hAnsi="宋体" w:eastAsia="宋体" w:cs="宋体"/>
          <w:color w:val="000000"/>
          <w:sz w:val="21"/>
          <w:szCs w:val="21"/>
        </w:rPr>
      </w:pPr>
      <w:r>
        <w:rPr>
          <w:rFonts w:hint="eastAsia" w:ascii="宋体" w:hAnsi="宋体" w:eastAsia="宋体" w:cs="宋体"/>
          <w:color w:val="000000"/>
          <w:sz w:val="21"/>
          <w:szCs w:val="21"/>
        </w:rPr>
        <w:t>（1）甲方无正当理由拒收货物的，甲方应偿付合同总价</w:t>
      </w:r>
      <w:r>
        <w:rPr>
          <w:rFonts w:hint="eastAsia" w:ascii="宋体" w:hAnsi="宋体" w:eastAsia="宋体" w:cs="宋体"/>
          <w:color w:val="000000"/>
          <w:sz w:val="21"/>
          <w:szCs w:val="21"/>
          <w:u w:val="single"/>
          <w:lang w:val="en-US" w:eastAsia="zh-CN"/>
        </w:rPr>
        <w:t>5</w:t>
      </w:r>
      <w:r>
        <w:rPr>
          <w:rFonts w:hint="eastAsia" w:ascii="宋体" w:hAnsi="宋体" w:eastAsia="宋体" w:cs="宋体"/>
          <w:color w:val="000000"/>
          <w:sz w:val="21"/>
          <w:szCs w:val="21"/>
        </w:rPr>
        <w:t xml:space="preserve"> %的违约金；</w:t>
      </w:r>
    </w:p>
    <w:p>
      <w:pPr>
        <w:pStyle w:val="33"/>
        <w:keepNext w:val="0"/>
        <w:keepLines w:val="0"/>
        <w:pageBreakBefore w:val="0"/>
        <w:kinsoku/>
        <w:wordWrap/>
        <w:overflowPunct/>
        <w:topLinePunct w:val="0"/>
        <w:autoSpaceDE/>
        <w:autoSpaceDN/>
        <w:bidi w:val="0"/>
        <w:adjustRightInd/>
        <w:spacing w:line="450" w:lineRule="exact"/>
        <w:ind w:firstLine="359" w:firstLineChars="171"/>
        <w:rPr>
          <w:rFonts w:hint="eastAsia" w:ascii="宋体" w:hAnsi="宋体" w:eastAsia="宋体" w:cs="宋体"/>
          <w:color w:val="000000"/>
          <w:sz w:val="21"/>
          <w:szCs w:val="21"/>
        </w:rPr>
      </w:pPr>
      <w:r>
        <w:rPr>
          <w:rFonts w:hint="eastAsia" w:ascii="宋体" w:hAnsi="宋体" w:eastAsia="宋体" w:cs="宋体"/>
          <w:color w:val="000000"/>
          <w:sz w:val="21"/>
          <w:szCs w:val="21"/>
        </w:rPr>
        <w:t>（2）甲方逾期支付货款的，除应及时付足货款外，应向乙方每天支付欠款总额</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5</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 xml:space="preserve"> </w:t>
      </w:r>
      <w:r>
        <w:rPr>
          <w:rFonts w:hint="eastAsia" w:ascii="宋体" w:hAnsi="宋体" w:eastAsia="宋体" w:cs="宋体"/>
          <w:color w:val="000000"/>
          <w:sz w:val="21"/>
          <w:szCs w:val="21"/>
          <w:lang w:val="en-US" w:eastAsia="zh-CN"/>
        </w:rPr>
        <w:t>%</w:t>
      </w:r>
      <w:r>
        <w:rPr>
          <w:rFonts w:hint="eastAsia" w:ascii="宋体" w:hAnsi="宋体" w:eastAsia="宋体" w:cs="宋体"/>
          <w:color w:val="000000"/>
          <w:sz w:val="21"/>
          <w:szCs w:val="21"/>
        </w:rPr>
        <w:t>的滞纳金；但累计滞纳金总额不超过欠款总额的</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u w:val="single"/>
          <w:lang w:val="en-US" w:eastAsia="zh-CN"/>
        </w:rPr>
        <w:t>5</w:t>
      </w:r>
      <w:r>
        <w:rPr>
          <w:rFonts w:hint="eastAsia" w:ascii="宋体" w:hAnsi="宋体" w:eastAsia="宋体" w:cs="宋体"/>
          <w:color w:val="000000"/>
          <w:sz w:val="21"/>
          <w:szCs w:val="21"/>
          <w:u w:val="single"/>
        </w:rPr>
        <w:t xml:space="preserve"> </w:t>
      </w:r>
      <w:r>
        <w:rPr>
          <w:rFonts w:hint="eastAsia" w:ascii="宋体" w:hAnsi="宋体" w:eastAsia="宋体" w:cs="宋体"/>
          <w:color w:val="000000"/>
          <w:sz w:val="21"/>
          <w:szCs w:val="21"/>
        </w:rPr>
        <w:t>%。</w:t>
      </w:r>
    </w:p>
    <w:p>
      <w:pPr>
        <w:pStyle w:val="33"/>
        <w:keepNext w:val="0"/>
        <w:keepLines w:val="0"/>
        <w:pageBreakBefore w:val="0"/>
        <w:kinsoku/>
        <w:wordWrap/>
        <w:overflowPunct/>
        <w:topLinePunct w:val="0"/>
        <w:autoSpaceDE/>
        <w:autoSpaceDN/>
        <w:bidi w:val="0"/>
        <w:adjustRightInd/>
        <w:spacing w:line="450" w:lineRule="exact"/>
        <w:ind w:firstLine="525" w:firstLineChars="250"/>
        <w:rPr>
          <w:rFonts w:hint="eastAsia" w:ascii="宋体" w:hAnsi="宋体" w:eastAsia="宋体" w:cs="宋体"/>
          <w:color w:val="000000"/>
          <w:sz w:val="21"/>
          <w:szCs w:val="21"/>
        </w:rPr>
      </w:pPr>
      <w:r>
        <w:rPr>
          <w:rFonts w:hint="eastAsia" w:ascii="宋体" w:hAnsi="宋体" w:eastAsia="宋体" w:cs="宋体"/>
          <w:color w:val="000000"/>
          <w:sz w:val="21"/>
          <w:szCs w:val="21"/>
        </w:rPr>
        <w:t>2.乙方违约责任</w:t>
      </w:r>
    </w:p>
    <w:p>
      <w:pPr>
        <w:keepNext w:val="0"/>
        <w:keepLines w:val="0"/>
        <w:pageBreakBefore w:val="0"/>
        <w:widowControl/>
        <w:kinsoku/>
        <w:wordWrap/>
        <w:overflowPunct/>
        <w:topLinePunct w:val="0"/>
        <w:autoSpaceDE/>
        <w:autoSpaceDN/>
        <w:bidi w:val="0"/>
        <w:adjustRightInd/>
        <w:spacing w:line="450" w:lineRule="exact"/>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（1）如乙方不能</w:t>
      </w:r>
      <w:r>
        <w:rPr>
          <w:rFonts w:hint="eastAsia" w:ascii="宋体" w:hAnsi="宋体" w:eastAsia="宋体" w:cs="宋体"/>
          <w:color w:val="000000"/>
          <w:kern w:val="0"/>
          <w:sz w:val="21"/>
          <w:szCs w:val="21"/>
          <w:lang w:eastAsia="zh-CN"/>
        </w:rPr>
        <w:t>按时</w:t>
      </w:r>
      <w:r>
        <w:rPr>
          <w:rFonts w:hint="eastAsia" w:ascii="宋体" w:hAnsi="宋体" w:eastAsia="宋体" w:cs="宋体"/>
          <w:color w:val="000000"/>
          <w:kern w:val="0"/>
          <w:sz w:val="21"/>
          <w:szCs w:val="21"/>
        </w:rPr>
        <w:t>交付货物，乙方应向甲方支付合同总价</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u w:val="single"/>
          <w:lang w:val="en-US" w:eastAsia="zh-CN"/>
        </w:rPr>
        <w:t>5</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％的违约金；</w:t>
      </w:r>
    </w:p>
    <w:p>
      <w:pPr>
        <w:keepNext w:val="0"/>
        <w:keepLines w:val="0"/>
        <w:pageBreakBefore w:val="0"/>
        <w:widowControl/>
        <w:kinsoku/>
        <w:wordWrap/>
        <w:overflowPunct/>
        <w:topLinePunct w:val="0"/>
        <w:autoSpaceDE/>
        <w:autoSpaceDN/>
        <w:bidi w:val="0"/>
        <w:adjustRightInd/>
        <w:spacing w:line="450" w:lineRule="exact"/>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（2）乙方逾期交付货物的，每逾期1天，乙方向甲方偿付逾期交货部分货款总额的</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u w:val="single"/>
          <w:lang w:val="en-US" w:eastAsia="zh-CN"/>
        </w:rPr>
        <w:t>1</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u w:val="single"/>
          <w:lang w:val="en-US" w:eastAsia="zh-CN"/>
        </w:rPr>
        <w:t>%</w:t>
      </w:r>
      <w:r>
        <w:rPr>
          <w:rFonts w:hint="eastAsia" w:ascii="宋体" w:hAnsi="宋体" w:eastAsia="宋体" w:cs="宋体"/>
          <w:color w:val="000000"/>
          <w:kern w:val="0"/>
          <w:sz w:val="21"/>
          <w:szCs w:val="21"/>
        </w:rPr>
        <w:t>的滞纳金。如乙方逾期交货达</w:t>
      </w:r>
      <w:r>
        <w:rPr>
          <w:rFonts w:hint="eastAsia" w:ascii="宋体" w:hAnsi="宋体" w:eastAsia="宋体" w:cs="宋体"/>
          <w:color w:val="000000"/>
          <w:kern w:val="0"/>
          <w:sz w:val="21"/>
          <w:szCs w:val="21"/>
          <w:u w:val="single"/>
          <w:lang w:val="en-US" w:eastAsia="zh-CN"/>
        </w:rPr>
        <w:t>15</w:t>
      </w:r>
      <w:r>
        <w:rPr>
          <w:rFonts w:hint="eastAsia" w:ascii="宋体" w:hAnsi="宋体" w:eastAsia="宋体" w:cs="宋体"/>
          <w:color w:val="000000"/>
          <w:kern w:val="0"/>
          <w:sz w:val="21"/>
          <w:szCs w:val="21"/>
        </w:rPr>
        <w:t>天，甲方有权解除合同，解除合同的通知自到达乙方时生效；</w:t>
      </w:r>
    </w:p>
    <w:p>
      <w:pPr>
        <w:pStyle w:val="33"/>
        <w:keepNext w:val="0"/>
        <w:keepLines w:val="0"/>
        <w:pageBreakBefore w:val="0"/>
        <w:kinsoku/>
        <w:wordWrap/>
        <w:overflowPunct/>
        <w:topLinePunct w:val="0"/>
        <w:autoSpaceDE/>
        <w:autoSpaceDN/>
        <w:bidi w:val="0"/>
        <w:adjustRightInd/>
        <w:spacing w:line="450" w:lineRule="exact"/>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（3）乙方所交付的货物</w:t>
      </w:r>
      <w:r>
        <w:rPr>
          <w:rFonts w:hint="eastAsia" w:ascii="宋体" w:hAnsi="宋体" w:eastAsia="宋体" w:cs="宋体"/>
          <w:color w:val="000000"/>
          <w:kern w:val="0"/>
          <w:sz w:val="21"/>
          <w:szCs w:val="21"/>
          <w:lang w:eastAsia="zh-CN"/>
        </w:rPr>
        <w:t>名称、</w:t>
      </w:r>
      <w:r>
        <w:rPr>
          <w:rFonts w:hint="eastAsia" w:ascii="宋体" w:hAnsi="宋体" w:eastAsia="宋体" w:cs="宋体"/>
          <w:color w:val="000000"/>
          <w:kern w:val="0"/>
          <w:sz w:val="21"/>
          <w:szCs w:val="21"/>
        </w:rPr>
        <w:t>规格不符合合同规定的，甲方有权拒收。</w:t>
      </w:r>
    </w:p>
    <w:p>
      <w:pPr>
        <w:pStyle w:val="33"/>
        <w:keepNext w:val="0"/>
        <w:keepLines w:val="0"/>
        <w:pageBreakBefore w:val="0"/>
        <w:kinsoku/>
        <w:wordWrap/>
        <w:overflowPunct/>
        <w:topLinePunct w:val="0"/>
        <w:autoSpaceDE/>
        <w:autoSpaceDN/>
        <w:bidi w:val="0"/>
        <w:adjustRightInd/>
        <w:spacing w:line="450" w:lineRule="exact"/>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）乙方未按本合同的规定和“服务承诺”提供伴随服务/售后服务的，应按合同总价款的</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u w:val="single"/>
          <w:lang w:val="en-US" w:eastAsia="zh-CN"/>
        </w:rPr>
        <w:t>5</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%向甲方承担违约责任；</w:t>
      </w:r>
    </w:p>
    <w:p>
      <w:pPr>
        <w:pStyle w:val="33"/>
        <w:keepNext w:val="0"/>
        <w:keepLines w:val="0"/>
        <w:pageBreakBefore w:val="0"/>
        <w:kinsoku/>
        <w:wordWrap/>
        <w:overflowPunct/>
        <w:topLinePunct w:val="0"/>
        <w:autoSpaceDE/>
        <w:autoSpaceDN/>
        <w:bidi w:val="0"/>
        <w:adjustRightInd/>
        <w:spacing w:line="450" w:lineRule="exact"/>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w:t>
      </w:r>
      <w:r>
        <w:rPr>
          <w:rFonts w:hint="eastAsia" w:ascii="宋体" w:hAnsi="宋体" w:eastAsia="宋体" w:cs="宋体"/>
          <w:color w:val="000000"/>
          <w:kern w:val="0"/>
          <w:sz w:val="21"/>
          <w:szCs w:val="21"/>
          <w:lang w:val="en-US" w:eastAsia="zh-CN"/>
        </w:rPr>
        <w:t>5</w:t>
      </w:r>
      <w:r>
        <w:rPr>
          <w:rFonts w:hint="eastAsia" w:ascii="宋体" w:hAnsi="宋体" w:eastAsia="宋体" w:cs="宋体"/>
          <w:color w:val="000000"/>
          <w:kern w:val="0"/>
          <w:sz w:val="21"/>
          <w:szCs w:val="21"/>
        </w:rPr>
        <w:t>）乙方在承担上述1-</w:t>
      </w:r>
      <w:r>
        <w:rPr>
          <w:rFonts w:hint="eastAsia" w:ascii="宋体" w:hAnsi="宋体" w:eastAsia="宋体" w:cs="宋体"/>
          <w:color w:val="000000"/>
          <w:kern w:val="0"/>
          <w:sz w:val="21"/>
          <w:szCs w:val="21"/>
          <w:lang w:val="en-US" w:eastAsia="zh-CN"/>
        </w:rPr>
        <w:t>4</w:t>
      </w:r>
      <w:r>
        <w:rPr>
          <w:rFonts w:hint="eastAsia" w:ascii="宋体" w:hAnsi="宋体" w:eastAsia="宋体" w:cs="宋体"/>
          <w:color w:val="000000"/>
          <w:kern w:val="0"/>
          <w:sz w:val="21"/>
          <w:szCs w:val="21"/>
        </w:rPr>
        <w:t>款一项或多项违约责任后，仍应继续履行合同规定的义务（甲方解除合同的除外）。甲方未能及时追究乙方的任何一项违约责任并不表明甲方放弃追究乙方该项或其他违约责任；</w:t>
      </w:r>
    </w:p>
    <w:p>
      <w:pPr>
        <w:pStyle w:val="33"/>
        <w:keepNext w:val="0"/>
        <w:keepLines w:val="0"/>
        <w:pageBreakBefore w:val="0"/>
        <w:kinsoku/>
        <w:wordWrap/>
        <w:overflowPunct/>
        <w:topLinePunct w:val="0"/>
        <w:autoSpaceDE/>
        <w:autoSpaceDN/>
        <w:bidi w:val="0"/>
        <w:adjustRightInd/>
        <w:spacing w:line="45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）乙方偿付的违约金不足以弥补甲方损失的，还应按甲方损失尚未弥补的部分，支付赔偿金给甲方。</w:t>
      </w:r>
    </w:p>
    <w:p>
      <w:pPr>
        <w:keepNext w:val="0"/>
        <w:keepLines w:val="0"/>
        <w:pageBreakBefore w:val="0"/>
        <w:widowControl/>
        <w:kinsoku/>
        <w:wordWrap/>
        <w:overflowPunct/>
        <w:topLinePunct w:val="0"/>
        <w:autoSpaceDE/>
        <w:autoSpaceDN/>
        <w:bidi w:val="0"/>
        <w:adjustRightInd/>
        <w:spacing w:before="120" w:beforeLines="50" w:after="120" w:afterLines="50" w:line="450" w:lineRule="exact"/>
        <w:ind w:firstLine="316" w:firstLineChars="150"/>
        <w:jc w:val="left"/>
        <w:rPr>
          <w:rFonts w:hint="eastAsia" w:ascii="宋体" w:hAnsi="宋体" w:eastAsia="宋体" w:cs="宋体"/>
          <w:color w:val="000000"/>
          <w:kern w:val="0"/>
          <w:sz w:val="21"/>
          <w:szCs w:val="21"/>
        </w:rPr>
      </w:pPr>
      <w:r>
        <w:rPr>
          <w:rFonts w:hint="eastAsia" w:ascii="宋体" w:hAnsi="宋体" w:eastAsia="宋体" w:cs="宋体"/>
          <w:b/>
          <w:color w:val="000000"/>
          <w:sz w:val="21"/>
          <w:szCs w:val="21"/>
        </w:rPr>
        <w:t xml:space="preserve">第十二条 </w:t>
      </w:r>
      <w:r>
        <w:rPr>
          <w:rFonts w:hint="eastAsia" w:ascii="宋体" w:hAnsi="宋体" w:eastAsia="宋体" w:cs="宋体"/>
          <w:b/>
          <w:color w:val="000000"/>
          <w:kern w:val="0"/>
          <w:sz w:val="21"/>
          <w:szCs w:val="21"/>
        </w:rPr>
        <w:t>合同的变更和终止</w:t>
      </w:r>
    </w:p>
    <w:p>
      <w:pPr>
        <w:keepNext w:val="0"/>
        <w:keepLines w:val="0"/>
        <w:pageBreakBefore w:val="0"/>
        <w:widowControl/>
        <w:kinsoku/>
        <w:wordWrap/>
        <w:overflowPunct/>
        <w:topLinePunct w:val="0"/>
        <w:autoSpaceDE/>
        <w:autoSpaceDN/>
        <w:bidi w:val="0"/>
        <w:adjustRightInd/>
        <w:spacing w:line="450" w:lineRule="exact"/>
        <w:ind w:firstLine="420" w:firstLineChars="200"/>
        <w:jc w:val="left"/>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除《中华人民共和国政府采购法》第49条、第50条第二款规定的情形外，本合同一经签订，甲乙双方不得擅自变更、中止或终止合同。</w:t>
      </w:r>
    </w:p>
    <w:p>
      <w:pPr>
        <w:keepNext w:val="0"/>
        <w:keepLines w:val="0"/>
        <w:pageBreakBefore w:val="0"/>
        <w:widowControl/>
        <w:kinsoku/>
        <w:wordWrap/>
        <w:overflowPunct/>
        <w:topLinePunct w:val="0"/>
        <w:autoSpaceDE/>
        <w:autoSpaceDN/>
        <w:bidi w:val="0"/>
        <w:adjustRightInd/>
        <w:spacing w:before="120" w:beforeLines="50" w:after="120" w:afterLines="50" w:line="450" w:lineRule="exact"/>
        <w:ind w:firstLine="316" w:firstLineChars="150"/>
        <w:jc w:val="left"/>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第十三条 争议的解决</w:t>
      </w:r>
    </w:p>
    <w:p>
      <w:pPr>
        <w:pStyle w:val="33"/>
        <w:keepNext w:val="0"/>
        <w:keepLines w:val="0"/>
        <w:pageBreakBefore w:val="0"/>
        <w:kinsoku/>
        <w:wordWrap/>
        <w:overflowPunct/>
        <w:topLinePunct w:val="0"/>
        <w:autoSpaceDE/>
        <w:autoSpaceDN/>
        <w:bidi w:val="0"/>
        <w:adjustRightInd/>
        <w:spacing w:line="450" w:lineRule="exact"/>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1.因货物的质量问题发生争议，由质量技术监督部门或其指定的质量鉴定机构进行质量鉴定。货物符合标准的，鉴定费由甲方承担；货物不符合质量标准的，鉴定费由乙方承担。</w:t>
      </w:r>
    </w:p>
    <w:p>
      <w:pPr>
        <w:pStyle w:val="33"/>
        <w:keepNext w:val="0"/>
        <w:keepLines w:val="0"/>
        <w:pageBreakBefore w:val="0"/>
        <w:kinsoku/>
        <w:wordWrap/>
        <w:overflowPunct/>
        <w:topLinePunct w:val="0"/>
        <w:autoSpaceDE/>
        <w:autoSpaceDN/>
        <w:bidi w:val="0"/>
        <w:adjustRightInd/>
        <w:spacing w:line="450" w:lineRule="exact"/>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2.因履行本合同引起的或与本合同有关的争议，甲、乙双方应首先通过友好协商解决，如果协商不成，则采取以下第</w:t>
      </w:r>
      <w:r>
        <w:rPr>
          <w:rFonts w:hint="eastAsia" w:ascii="宋体" w:hAnsi="宋体" w:eastAsia="宋体" w:cs="宋体"/>
          <w:color w:val="000000"/>
          <w:kern w:val="0"/>
          <w:sz w:val="21"/>
          <w:szCs w:val="21"/>
          <w:u w:val="single"/>
          <w:lang w:val="en-US" w:eastAsia="zh-CN"/>
        </w:rPr>
        <w:t xml:space="preserve"> 1 </w:t>
      </w:r>
      <w:r>
        <w:rPr>
          <w:rFonts w:hint="eastAsia" w:ascii="宋体" w:hAnsi="宋体" w:eastAsia="宋体" w:cs="宋体"/>
          <w:color w:val="000000"/>
          <w:kern w:val="0"/>
          <w:sz w:val="21"/>
          <w:szCs w:val="21"/>
        </w:rPr>
        <w:t>种方式解决争议：</w:t>
      </w:r>
    </w:p>
    <w:p>
      <w:pPr>
        <w:pStyle w:val="33"/>
        <w:keepNext w:val="0"/>
        <w:keepLines w:val="0"/>
        <w:pageBreakBefore w:val="0"/>
        <w:kinsoku/>
        <w:wordWrap/>
        <w:overflowPunct/>
        <w:topLinePunct w:val="0"/>
        <w:autoSpaceDE/>
        <w:autoSpaceDN/>
        <w:bidi w:val="0"/>
        <w:adjustRightInd/>
        <w:spacing w:line="450" w:lineRule="exact"/>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（1）向甲方所在地有管辖权的人民法院提起诉讼；</w:t>
      </w:r>
    </w:p>
    <w:p>
      <w:pPr>
        <w:pStyle w:val="33"/>
        <w:keepNext w:val="0"/>
        <w:keepLines w:val="0"/>
        <w:pageBreakBefore w:val="0"/>
        <w:kinsoku/>
        <w:wordWrap/>
        <w:overflowPunct/>
        <w:topLinePunct w:val="0"/>
        <w:autoSpaceDE/>
        <w:autoSpaceDN/>
        <w:bidi w:val="0"/>
        <w:adjustRightInd/>
        <w:spacing w:line="450" w:lineRule="exact"/>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（2）向____________仲裁委员会按其仲裁规则申请仲裁。</w:t>
      </w:r>
    </w:p>
    <w:p>
      <w:pPr>
        <w:pStyle w:val="33"/>
        <w:keepNext w:val="0"/>
        <w:keepLines w:val="0"/>
        <w:pageBreakBefore w:val="0"/>
        <w:kinsoku/>
        <w:wordWrap/>
        <w:overflowPunct/>
        <w:topLinePunct w:val="0"/>
        <w:autoSpaceDE/>
        <w:autoSpaceDN/>
        <w:bidi w:val="0"/>
        <w:adjustRightInd/>
        <w:spacing w:line="450" w:lineRule="exact"/>
        <w:ind w:firstLine="42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3.在仲裁期间，本合同应继续履行。</w:t>
      </w:r>
    </w:p>
    <w:p>
      <w:pPr>
        <w:keepNext w:val="0"/>
        <w:keepLines w:val="0"/>
        <w:pageBreakBefore w:val="0"/>
        <w:kinsoku/>
        <w:wordWrap/>
        <w:overflowPunct/>
        <w:topLinePunct w:val="0"/>
        <w:autoSpaceDE/>
        <w:autoSpaceDN/>
        <w:bidi w:val="0"/>
        <w:adjustRightInd/>
        <w:snapToGrid w:val="0"/>
        <w:spacing w:before="120" w:beforeLines="50" w:after="120" w:afterLines="50" w:line="450" w:lineRule="exact"/>
        <w:ind w:firstLine="422" w:firstLineChars="200"/>
        <w:textAlignment w:val="baseline"/>
        <w:rPr>
          <w:rFonts w:hint="eastAsia" w:ascii="宋体" w:hAnsi="宋体" w:eastAsia="宋体" w:cs="宋体"/>
          <w:b/>
          <w:color w:val="000000"/>
          <w:sz w:val="21"/>
          <w:szCs w:val="21"/>
        </w:rPr>
      </w:pPr>
      <w:r>
        <w:rPr>
          <w:rFonts w:hint="eastAsia" w:ascii="宋体" w:hAnsi="宋体" w:eastAsia="宋体" w:cs="宋体"/>
          <w:b/>
          <w:color w:val="000000"/>
          <w:sz w:val="21"/>
          <w:szCs w:val="21"/>
        </w:rPr>
        <w:t>第十四条</w:t>
      </w:r>
      <w:r>
        <w:rPr>
          <w:rFonts w:hint="eastAsia" w:ascii="宋体" w:hAnsi="宋体" w:eastAsia="宋体" w:cs="宋体"/>
          <w:color w:val="000000"/>
          <w:sz w:val="21"/>
          <w:szCs w:val="21"/>
        </w:rPr>
        <w:t xml:space="preserve"> </w:t>
      </w:r>
      <w:r>
        <w:rPr>
          <w:rFonts w:hint="eastAsia" w:ascii="宋体" w:hAnsi="宋体" w:eastAsia="宋体" w:cs="宋体"/>
          <w:b/>
          <w:color w:val="000000"/>
          <w:sz w:val="21"/>
          <w:szCs w:val="21"/>
        </w:rPr>
        <w:t>合同文件</w:t>
      </w:r>
    </w:p>
    <w:p>
      <w:pPr>
        <w:keepNext w:val="0"/>
        <w:keepLines w:val="0"/>
        <w:pageBreakBefore w:val="0"/>
        <w:kinsoku/>
        <w:wordWrap/>
        <w:overflowPunct/>
        <w:topLinePunct w:val="0"/>
        <w:autoSpaceDE/>
        <w:autoSpaceDN/>
        <w:bidi w:val="0"/>
        <w:adjustRightInd/>
        <w:snapToGrid w:val="0"/>
        <w:spacing w:before="120" w:beforeLines="50" w:after="120" w:afterLines="50" w:line="450" w:lineRule="exact"/>
        <w:ind w:firstLine="420" w:firstLineChars="200"/>
        <w:textAlignment w:val="baseline"/>
        <w:rPr>
          <w:rFonts w:hint="eastAsia" w:ascii="宋体" w:hAnsi="宋体" w:eastAsia="宋体" w:cs="宋体"/>
          <w:color w:val="000000"/>
          <w:sz w:val="21"/>
          <w:szCs w:val="21"/>
        </w:rPr>
      </w:pPr>
      <w:r>
        <w:rPr>
          <w:rFonts w:hint="eastAsia" w:ascii="宋体" w:hAnsi="宋体" w:eastAsia="宋体" w:cs="宋体"/>
          <w:color w:val="000000"/>
          <w:sz w:val="21"/>
          <w:szCs w:val="21"/>
        </w:rPr>
        <w:t>详细技术说明及其他有关合同项目的特定信息由合同附件予以说明，下列文件构成本合同的组成部分，应该认为是一个整体，彼此相互解释，相互补充。组成合同的多个文件的优先支配地位的次序如下：</w:t>
      </w:r>
    </w:p>
    <w:p>
      <w:pPr>
        <w:keepNext w:val="0"/>
        <w:keepLines w:val="0"/>
        <w:pageBreakBefore w:val="0"/>
        <w:kinsoku/>
        <w:wordWrap/>
        <w:overflowPunct/>
        <w:topLinePunct w:val="0"/>
        <w:autoSpaceDE/>
        <w:autoSpaceDN/>
        <w:bidi w:val="0"/>
        <w:adjustRightInd/>
        <w:snapToGrid w:val="0"/>
        <w:spacing w:line="450" w:lineRule="exact"/>
        <w:ind w:firstLine="539"/>
        <w:rPr>
          <w:rFonts w:hint="eastAsia" w:ascii="宋体" w:hAnsi="宋体" w:eastAsia="宋体" w:cs="宋体"/>
          <w:color w:val="000000"/>
          <w:sz w:val="21"/>
          <w:szCs w:val="21"/>
        </w:rPr>
      </w:pPr>
      <w:r>
        <w:rPr>
          <w:rFonts w:hint="eastAsia" w:ascii="宋体" w:hAnsi="宋体" w:eastAsia="宋体" w:cs="宋体"/>
          <w:color w:val="000000"/>
          <w:sz w:val="21"/>
          <w:szCs w:val="21"/>
        </w:rPr>
        <w:t>1.本合同书</w:t>
      </w:r>
    </w:p>
    <w:p>
      <w:pPr>
        <w:keepNext w:val="0"/>
        <w:keepLines w:val="0"/>
        <w:pageBreakBefore w:val="0"/>
        <w:kinsoku/>
        <w:wordWrap/>
        <w:overflowPunct/>
        <w:topLinePunct w:val="0"/>
        <w:autoSpaceDE/>
        <w:autoSpaceDN/>
        <w:bidi w:val="0"/>
        <w:adjustRightInd/>
        <w:snapToGrid w:val="0"/>
        <w:spacing w:line="450" w:lineRule="exact"/>
        <w:ind w:firstLine="539"/>
        <w:rPr>
          <w:rFonts w:hint="eastAsia" w:ascii="宋体" w:hAnsi="宋体" w:eastAsia="宋体" w:cs="宋体"/>
          <w:color w:val="000000"/>
          <w:sz w:val="21"/>
          <w:szCs w:val="21"/>
        </w:rPr>
      </w:pPr>
      <w:r>
        <w:rPr>
          <w:rFonts w:hint="eastAsia" w:ascii="宋体" w:hAnsi="宋体" w:eastAsia="宋体" w:cs="宋体"/>
          <w:color w:val="000000"/>
          <w:sz w:val="21"/>
          <w:szCs w:val="21"/>
        </w:rPr>
        <w:t>2.成交通知书</w:t>
      </w:r>
      <w:r>
        <w:rPr>
          <w:rFonts w:hint="eastAsia" w:ascii="宋体" w:hAnsi="宋体" w:eastAsia="宋体" w:cs="宋体"/>
          <w:color w:val="000000"/>
          <w:sz w:val="21"/>
          <w:szCs w:val="21"/>
        </w:rPr>
        <w:tab/>
      </w:r>
    </w:p>
    <w:p>
      <w:pPr>
        <w:keepNext w:val="0"/>
        <w:keepLines w:val="0"/>
        <w:pageBreakBefore w:val="0"/>
        <w:kinsoku/>
        <w:wordWrap/>
        <w:overflowPunct/>
        <w:topLinePunct w:val="0"/>
        <w:autoSpaceDE/>
        <w:autoSpaceDN/>
        <w:bidi w:val="0"/>
        <w:adjustRightInd/>
        <w:snapToGrid w:val="0"/>
        <w:spacing w:line="450" w:lineRule="exact"/>
        <w:ind w:firstLine="539"/>
        <w:rPr>
          <w:rFonts w:hint="eastAsia" w:ascii="宋体" w:hAnsi="宋体" w:eastAsia="宋体" w:cs="宋体"/>
          <w:color w:val="000000"/>
          <w:sz w:val="21"/>
          <w:szCs w:val="21"/>
        </w:rPr>
      </w:pPr>
      <w:r>
        <w:rPr>
          <w:rFonts w:hint="eastAsia" w:ascii="宋体" w:hAnsi="宋体" w:eastAsia="宋体" w:cs="宋体"/>
          <w:color w:val="000000"/>
          <w:sz w:val="21"/>
          <w:szCs w:val="21"/>
        </w:rPr>
        <w:t>3.协议</w:t>
      </w:r>
    </w:p>
    <w:p>
      <w:pPr>
        <w:keepNext w:val="0"/>
        <w:keepLines w:val="0"/>
        <w:pageBreakBefore w:val="0"/>
        <w:kinsoku/>
        <w:wordWrap/>
        <w:overflowPunct/>
        <w:topLinePunct w:val="0"/>
        <w:autoSpaceDE/>
        <w:autoSpaceDN/>
        <w:bidi w:val="0"/>
        <w:adjustRightInd/>
        <w:snapToGrid w:val="0"/>
        <w:spacing w:line="450" w:lineRule="exact"/>
        <w:ind w:firstLine="539"/>
        <w:rPr>
          <w:rFonts w:hint="eastAsia" w:ascii="宋体" w:hAnsi="宋体" w:eastAsia="宋体" w:cs="宋体"/>
          <w:color w:val="000000"/>
          <w:sz w:val="21"/>
          <w:szCs w:val="21"/>
        </w:rPr>
      </w:pPr>
      <w:r>
        <w:rPr>
          <w:rFonts w:hint="eastAsia" w:ascii="宋体" w:hAnsi="宋体" w:eastAsia="宋体" w:cs="宋体"/>
          <w:color w:val="000000"/>
          <w:sz w:val="21"/>
          <w:szCs w:val="21"/>
        </w:rPr>
        <w:t>4.</w:t>
      </w:r>
      <w:r>
        <w:rPr>
          <w:rFonts w:hint="eastAsia" w:ascii="宋体" w:hAnsi="宋体" w:eastAsia="宋体" w:cs="宋体"/>
          <w:color w:val="000000"/>
          <w:sz w:val="21"/>
          <w:szCs w:val="21"/>
          <w:lang w:eastAsia="zh-CN"/>
        </w:rPr>
        <w:t>谈判</w:t>
      </w:r>
      <w:r>
        <w:rPr>
          <w:rFonts w:hint="eastAsia" w:ascii="宋体" w:hAnsi="宋体" w:eastAsia="宋体" w:cs="宋体"/>
          <w:color w:val="000000"/>
          <w:sz w:val="21"/>
          <w:szCs w:val="21"/>
        </w:rPr>
        <w:t>文件(含澄清或者修改文件)</w:t>
      </w:r>
    </w:p>
    <w:p>
      <w:pPr>
        <w:keepNext w:val="0"/>
        <w:keepLines w:val="0"/>
        <w:pageBreakBefore w:val="0"/>
        <w:kinsoku/>
        <w:wordWrap/>
        <w:overflowPunct/>
        <w:topLinePunct w:val="0"/>
        <w:autoSpaceDE/>
        <w:autoSpaceDN/>
        <w:bidi w:val="0"/>
        <w:adjustRightInd/>
        <w:snapToGrid w:val="0"/>
        <w:spacing w:line="450" w:lineRule="exact"/>
        <w:ind w:firstLine="539"/>
        <w:rPr>
          <w:rFonts w:hint="eastAsia" w:ascii="宋体" w:hAnsi="宋体" w:eastAsia="宋体" w:cs="宋体"/>
          <w:color w:val="000000"/>
          <w:sz w:val="21"/>
          <w:szCs w:val="21"/>
        </w:rPr>
      </w:pPr>
      <w:r>
        <w:rPr>
          <w:rFonts w:hint="eastAsia" w:ascii="宋体" w:hAnsi="宋体" w:eastAsia="宋体" w:cs="宋体"/>
          <w:color w:val="000000"/>
          <w:sz w:val="21"/>
          <w:szCs w:val="21"/>
        </w:rPr>
        <w:t>5.响应文件</w:t>
      </w:r>
    </w:p>
    <w:p>
      <w:pPr>
        <w:keepNext w:val="0"/>
        <w:keepLines w:val="0"/>
        <w:pageBreakBefore w:val="0"/>
        <w:kinsoku/>
        <w:wordWrap/>
        <w:overflowPunct/>
        <w:topLinePunct w:val="0"/>
        <w:autoSpaceDE/>
        <w:autoSpaceDN/>
        <w:bidi w:val="0"/>
        <w:adjustRightInd/>
        <w:snapToGrid w:val="0"/>
        <w:spacing w:before="120" w:beforeLines="50" w:after="120" w:afterLines="50" w:line="450" w:lineRule="exact"/>
        <w:ind w:firstLine="316" w:firstLineChars="150"/>
        <w:rPr>
          <w:rFonts w:hint="eastAsia" w:ascii="宋体" w:hAnsi="宋体" w:eastAsia="宋体" w:cs="宋体"/>
          <w:b/>
          <w:color w:val="000000"/>
          <w:kern w:val="0"/>
          <w:sz w:val="21"/>
          <w:szCs w:val="21"/>
        </w:rPr>
      </w:pPr>
      <w:r>
        <w:rPr>
          <w:rFonts w:hint="eastAsia" w:ascii="宋体" w:hAnsi="宋体" w:eastAsia="宋体" w:cs="宋体"/>
          <w:b/>
          <w:color w:val="000000"/>
          <w:sz w:val="21"/>
          <w:szCs w:val="21"/>
        </w:rPr>
        <w:t xml:space="preserve">第十五条 </w:t>
      </w:r>
      <w:r>
        <w:rPr>
          <w:rFonts w:hint="eastAsia" w:ascii="宋体" w:hAnsi="宋体" w:eastAsia="宋体" w:cs="宋体"/>
          <w:b/>
          <w:color w:val="000000"/>
          <w:kern w:val="0"/>
          <w:sz w:val="21"/>
          <w:szCs w:val="21"/>
        </w:rPr>
        <w:t>合同生效及其他</w:t>
      </w:r>
    </w:p>
    <w:p>
      <w:pPr>
        <w:keepNext w:val="0"/>
        <w:keepLines w:val="0"/>
        <w:pageBreakBefore w:val="0"/>
        <w:kinsoku/>
        <w:wordWrap/>
        <w:overflowPunct/>
        <w:topLinePunct w:val="0"/>
        <w:autoSpaceDE/>
        <w:autoSpaceDN/>
        <w:bidi w:val="0"/>
        <w:adjustRightInd/>
        <w:spacing w:line="450" w:lineRule="exact"/>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rPr>
        <w:tab/>
      </w:r>
      <w:r>
        <w:rPr>
          <w:rFonts w:hint="eastAsia" w:ascii="宋体" w:hAnsi="宋体" w:eastAsia="宋体" w:cs="宋体"/>
          <w:color w:val="000000"/>
          <w:kern w:val="0"/>
          <w:sz w:val="21"/>
          <w:szCs w:val="21"/>
        </w:rPr>
        <w:t>如有未尽事宜，由双方依法订立补充合同。</w:t>
      </w:r>
    </w:p>
    <w:p>
      <w:pPr>
        <w:keepNext w:val="0"/>
        <w:keepLines w:val="0"/>
        <w:pageBreakBefore w:val="0"/>
        <w:kinsoku/>
        <w:wordWrap/>
        <w:overflowPunct/>
        <w:topLinePunct w:val="0"/>
        <w:autoSpaceDE/>
        <w:autoSpaceDN/>
        <w:bidi w:val="0"/>
        <w:adjustRightInd/>
        <w:spacing w:line="450" w:lineRule="exact"/>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r>
        <w:rPr>
          <w:rFonts w:hint="eastAsia" w:ascii="宋体" w:hAnsi="宋体" w:eastAsia="宋体" w:cs="宋体"/>
          <w:color w:val="000000"/>
          <w:kern w:val="0"/>
          <w:sz w:val="21"/>
          <w:szCs w:val="21"/>
        </w:rPr>
        <w:tab/>
      </w:r>
      <w:r>
        <w:rPr>
          <w:rFonts w:hint="eastAsia" w:ascii="宋体" w:hAnsi="宋体" w:eastAsia="宋体" w:cs="宋体"/>
          <w:color w:val="000000"/>
          <w:kern w:val="0"/>
          <w:sz w:val="21"/>
          <w:szCs w:val="21"/>
        </w:rPr>
        <w:t>合同经双方法定代表人或授权委托代理人签字并加盖单位公章后自签订之日起生效。</w:t>
      </w:r>
    </w:p>
    <w:p>
      <w:pPr>
        <w:keepNext w:val="0"/>
        <w:keepLines w:val="0"/>
        <w:pageBreakBefore w:val="0"/>
        <w:kinsoku/>
        <w:wordWrap/>
        <w:overflowPunct/>
        <w:topLinePunct w:val="0"/>
        <w:autoSpaceDE/>
        <w:autoSpaceDN/>
        <w:bidi w:val="0"/>
        <w:adjustRightInd/>
        <w:spacing w:line="450" w:lineRule="exact"/>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r>
        <w:rPr>
          <w:rFonts w:hint="eastAsia" w:ascii="宋体" w:hAnsi="宋体" w:eastAsia="宋体" w:cs="宋体"/>
          <w:color w:val="000000"/>
          <w:kern w:val="0"/>
          <w:sz w:val="21"/>
          <w:szCs w:val="21"/>
        </w:rPr>
        <w:tab/>
      </w:r>
      <w:r>
        <w:rPr>
          <w:rFonts w:hint="eastAsia" w:ascii="宋体" w:hAnsi="宋体" w:eastAsia="宋体" w:cs="宋体"/>
          <w:color w:val="000000"/>
          <w:kern w:val="0"/>
          <w:sz w:val="21"/>
          <w:szCs w:val="21"/>
        </w:rPr>
        <w:t>合同执行中涉及采购资金和采购内容修改或补充的，须经政府采购监管部门审批，并签书面补充协议报政府采购监督管理部门备案，方可作为主合同不可分割的一部分。</w:t>
      </w:r>
    </w:p>
    <w:p>
      <w:pPr>
        <w:keepNext w:val="0"/>
        <w:keepLines w:val="0"/>
        <w:pageBreakBefore w:val="0"/>
        <w:kinsoku/>
        <w:wordWrap/>
        <w:overflowPunct/>
        <w:topLinePunct w:val="0"/>
        <w:autoSpaceDE/>
        <w:autoSpaceDN/>
        <w:bidi w:val="0"/>
        <w:adjustRightInd/>
        <w:spacing w:line="450" w:lineRule="exact"/>
        <w:ind w:firstLine="420" w:firstLineChars="200"/>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r>
        <w:rPr>
          <w:rFonts w:hint="eastAsia" w:ascii="宋体" w:hAnsi="宋体" w:eastAsia="宋体" w:cs="宋体"/>
          <w:color w:val="000000"/>
          <w:kern w:val="0"/>
          <w:sz w:val="21"/>
          <w:szCs w:val="21"/>
        </w:rPr>
        <w:tab/>
      </w:r>
      <w:r>
        <w:rPr>
          <w:rFonts w:hint="eastAsia" w:ascii="宋体" w:hAnsi="宋体" w:eastAsia="宋体" w:cs="宋体"/>
          <w:color w:val="000000"/>
          <w:kern w:val="0"/>
          <w:sz w:val="21"/>
          <w:szCs w:val="21"/>
        </w:rPr>
        <w:t>本合同一式</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u w:val="single"/>
          <w:lang w:eastAsia="zh-CN"/>
        </w:rPr>
        <w:t>伍</w:t>
      </w:r>
      <w:r>
        <w:rPr>
          <w:rFonts w:hint="eastAsia" w:ascii="宋体" w:hAnsi="宋体" w:eastAsia="宋体" w:cs="宋体"/>
          <w:color w:val="000000"/>
          <w:kern w:val="0"/>
          <w:sz w:val="21"/>
          <w:szCs w:val="21"/>
          <w:u w:val="single"/>
        </w:rPr>
        <w:t xml:space="preserve"> </w:t>
      </w:r>
      <w:r>
        <w:rPr>
          <w:rFonts w:hint="eastAsia" w:ascii="宋体" w:hAnsi="宋体" w:eastAsia="宋体" w:cs="宋体"/>
          <w:color w:val="000000"/>
          <w:kern w:val="0"/>
          <w:sz w:val="21"/>
          <w:szCs w:val="21"/>
        </w:rPr>
        <w:t>份，自双方签章之日起起效。甲方</w:t>
      </w:r>
      <w:r>
        <w:rPr>
          <w:rFonts w:hint="eastAsia" w:ascii="宋体" w:hAnsi="宋体" w:eastAsia="宋体" w:cs="宋体"/>
          <w:color w:val="000000"/>
          <w:kern w:val="0"/>
          <w:sz w:val="21"/>
          <w:szCs w:val="21"/>
          <w:u w:val="single"/>
        </w:rPr>
        <w:t xml:space="preserve"> 贰 </w:t>
      </w:r>
      <w:r>
        <w:rPr>
          <w:rFonts w:hint="eastAsia" w:ascii="宋体" w:hAnsi="宋体" w:eastAsia="宋体" w:cs="宋体"/>
          <w:color w:val="000000"/>
          <w:kern w:val="0"/>
          <w:sz w:val="21"/>
          <w:szCs w:val="21"/>
        </w:rPr>
        <w:t>份，乙方</w:t>
      </w:r>
      <w:r>
        <w:rPr>
          <w:rFonts w:hint="eastAsia" w:ascii="宋体" w:hAnsi="宋体" w:eastAsia="宋体" w:cs="宋体"/>
          <w:color w:val="000000"/>
          <w:kern w:val="0"/>
          <w:sz w:val="21"/>
          <w:szCs w:val="21"/>
          <w:u w:val="single"/>
        </w:rPr>
        <w:t>贰</w:t>
      </w:r>
      <w:r>
        <w:rPr>
          <w:rFonts w:hint="eastAsia" w:ascii="宋体" w:hAnsi="宋体" w:eastAsia="宋体" w:cs="宋体"/>
          <w:color w:val="000000"/>
          <w:kern w:val="0"/>
          <w:sz w:val="21"/>
          <w:szCs w:val="21"/>
        </w:rPr>
        <w:t>份，</w:t>
      </w:r>
      <w:r>
        <w:rPr>
          <w:rFonts w:hint="eastAsia" w:ascii="宋体" w:hAnsi="宋体" w:eastAsia="宋体" w:cs="宋体"/>
          <w:color w:val="000000"/>
          <w:kern w:val="0"/>
          <w:sz w:val="21"/>
          <w:szCs w:val="21"/>
          <w:lang w:eastAsia="zh-CN"/>
        </w:rPr>
        <w:t>社会</w:t>
      </w:r>
      <w:r>
        <w:rPr>
          <w:rFonts w:hint="eastAsia" w:ascii="宋体" w:hAnsi="宋体" w:eastAsia="宋体" w:cs="宋体"/>
          <w:color w:val="000000"/>
          <w:kern w:val="0"/>
          <w:sz w:val="21"/>
          <w:szCs w:val="21"/>
        </w:rPr>
        <w:t>采购代理机构</w:t>
      </w:r>
      <w:r>
        <w:rPr>
          <w:rFonts w:hint="eastAsia" w:ascii="宋体" w:hAnsi="宋体" w:eastAsia="宋体" w:cs="宋体"/>
          <w:color w:val="000000"/>
          <w:kern w:val="0"/>
          <w:sz w:val="21"/>
          <w:szCs w:val="21"/>
          <w:u w:val="single"/>
        </w:rPr>
        <w:t xml:space="preserve">壹 </w:t>
      </w:r>
      <w:r>
        <w:rPr>
          <w:rFonts w:hint="eastAsia" w:ascii="宋体" w:hAnsi="宋体" w:eastAsia="宋体" w:cs="宋体"/>
          <w:color w:val="000000"/>
          <w:kern w:val="0"/>
          <w:sz w:val="21"/>
          <w:szCs w:val="21"/>
        </w:rPr>
        <w:t>份，具有同等法律效力。</w:t>
      </w:r>
    </w:p>
    <w:p>
      <w:pPr>
        <w:rPr>
          <w:rFonts w:hint="default"/>
          <w:color w:val="auto"/>
          <w:highlight w:val="none"/>
          <w:lang w:val="en-US" w:eastAsia="zh-CN"/>
        </w:rPr>
      </w:pPr>
      <w:r>
        <w:rPr>
          <w:rFonts w:hint="default"/>
          <w:color w:val="auto"/>
          <w:highlight w:val="none"/>
          <w:lang w:val="en-US" w:eastAsia="zh-CN"/>
        </w:rPr>
        <w:br w:type="page"/>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882"/>
        <w:gridCol w:w="3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2880"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60" w:lineRule="auto"/>
              <w:ind w:left="0" w:firstLine="0" w:firstLineChars="0"/>
              <w:jc w:val="center"/>
              <w:textAlignment w:val="auto"/>
              <w:outlineLvl w:val="9"/>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甲方</w:t>
            </w:r>
          </w:p>
        </w:tc>
        <w:tc>
          <w:tcPr>
            <w:tcW w:w="2882"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jc w:val="center"/>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乙方</w:t>
            </w:r>
          </w:p>
        </w:tc>
        <w:tc>
          <w:tcPr>
            <w:tcW w:w="307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jc w:val="center"/>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val="en-US"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1" w:hRule="atLeast"/>
          <w:jc w:val="center"/>
        </w:trPr>
        <w:tc>
          <w:tcPr>
            <w:tcW w:w="2880" w:type="dxa"/>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jc w:val="right"/>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（盖章）</w:t>
            </w:r>
          </w:p>
        </w:tc>
        <w:tc>
          <w:tcPr>
            <w:tcW w:w="2882" w:type="dxa"/>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jc w:val="right"/>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（盖章）</w:t>
            </w:r>
          </w:p>
        </w:tc>
        <w:tc>
          <w:tcPr>
            <w:tcW w:w="3077" w:type="dxa"/>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jc w:val="right"/>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jc w:val="center"/>
        </w:trPr>
        <w:tc>
          <w:tcPr>
            <w:tcW w:w="2880"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eastAsia="zh-CN"/>
              </w:rPr>
              <w:t>地址：</w:t>
            </w:r>
          </w:p>
        </w:tc>
        <w:tc>
          <w:tcPr>
            <w:tcW w:w="2882"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eastAsia="zh-CN"/>
              </w:rPr>
              <w:t>地址：</w:t>
            </w:r>
          </w:p>
        </w:tc>
        <w:tc>
          <w:tcPr>
            <w:tcW w:w="307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eastAsia="zh-CN"/>
              </w:rPr>
              <w:t>地址：</w:t>
            </w:r>
            <w:r>
              <w:rPr>
                <w:rFonts w:hint="eastAsia" w:ascii="宋体" w:hAnsi="宋体" w:eastAsia="宋体" w:cs="宋体"/>
                <w:i w:val="0"/>
                <w:iCs w:val="0"/>
                <w:caps w:val="0"/>
                <w:color w:val="000000" w:themeColor="text1"/>
                <w:spacing w:val="0"/>
                <w:sz w:val="21"/>
                <w:szCs w:val="21"/>
                <w:shd w:val="clear" w:fill="FFFFFF"/>
                <w14:textFill>
                  <w14:solidFill>
                    <w14:schemeClr w14:val="tx1"/>
                  </w14:solidFill>
                </w14:textFill>
              </w:rPr>
              <w:t>延安市新区鼎盛豪庭公寓4号楼2楼201室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2880"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eastAsia="zh-CN"/>
              </w:rPr>
              <w:t>邮政编码：</w:t>
            </w:r>
          </w:p>
        </w:tc>
        <w:tc>
          <w:tcPr>
            <w:tcW w:w="2882"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rPr>
            </w:pPr>
            <w:r>
              <w:rPr>
                <w:rFonts w:hint="eastAsia" w:ascii="宋体" w:hAnsi="宋体" w:eastAsia="宋体" w:cs="宋体"/>
                <w:color w:val="auto"/>
                <w:kern w:val="0"/>
                <w:sz w:val="21"/>
                <w:szCs w:val="21"/>
                <w:highlight w:val="none"/>
                <w:vertAlign w:val="baseline"/>
                <w:lang w:eastAsia="zh-CN"/>
              </w:rPr>
              <w:t>邮政编码：</w:t>
            </w:r>
          </w:p>
        </w:tc>
        <w:tc>
          <w:tcPr>
            <w:tcW w:w="307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rPr>
            </w:pPr>
            <w:r>
              <w:rPr>
                <w:rFonts w:hint="eastAsia" w:ascii="宋体" w:hAnsi="宋体" w:eastAsia="宋体" w:cs="宋体"/>
                <w:color w:val="auto"/>
                <w:kern w:val="0"/>
                <w:sz w:val="21"/>
                <w:szCs w:val="21"/>
                <w:highlight w:val="none"/>
                <w:vertAlign w:val="baseline"/>
                <w:lang w:eastAsia="zh-CN"/>
              </w:rPr>
              <w:t>邮政编码：</w:t>
            </w:r>
            <w:r>
              <w:rPr>
                <w:rFonts w:hint="eastAsia" w:ascii="宋体" w:hAnsi="宋体" w:eastAsia="宋体" w:cs="宋体"/>
                <w:color w:val="auto"/>
                <w:kern w:val="0"/>
                <w:sz w:val="21"/>
                <w:szCs w:val="21"/>
                <w:highlight w:val="none"/>
                <w:vertAlign w:val="baseline"/>
                <w:lang w:val="en-US" w:eastAsia="zh-CN"/>
              </w:rPr>
              <w:t>716000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2880"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账号：</w:t>
            </w:r>
          </w:p>
        </w:tc>
        <w:tc>
          <w:tcPr>
            <w:tcW w:w="2882"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val="en-US" w:eastAsia="zh-CN" w:bidi="ar-SA"/>
              </w:rPr>
            </w:pPr>
            <w:r>
              <w:rPr>
                <w:rFonts w:hint="eastAsia" w:ascii="宋体" w:hAnsi="宋体" w:eastAsia="宋体" w:cs="宋体"/>
                <w:color w:val="auto"/>
                <w:kern w:val="0"/>
                <w:sz w:val="21"/>
                <w:szCs w:val="21"/>
                <w:highlight w:val="none"/>
                <w:vertAlign w:val="baseline"/>
                <w:lang w:eastAsia="zh-CN"/>
              </w:rPr>
              <w:t>账号：</w:t>
            </w:r>
          </w:p>
        </w:tc>
        <w:tc>
          <w:tcPr>
            <w:tcW w:w="307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jc w:val="left"/>
              <w:textAlignment w:val="auto"/>
              <w:rPr>
                <w:rFonts w:hint="eastAsia" w:ascii="宋体" w:hAnsi="宋体" w:eastAsia="宋体" w:cs="宋体"/>
                <w:color w:val="auto"/>
                <w:kern w:val="0"/>
                <w:sz w:val="21"/>
                <w:szCs w:val="21"/>
                <w:highlight w:val="none"/>
                <w:vertAlign w:val="baseline"/>
                <w:lang w:val="en-US" w:eastAsia="zh-CN" w:bidi="ar-SA"/>
              </w:rPr>
            </w:pPr>
            <w:r>
              <w:rPr>
                <w:rFonts w:hint="eastAsia" w:ascii="宋体" w:hAnsi="宋体" w:eastAsia="宋体" w:cs="宋体"/>
                <w:color w:val="auto"/>
                <w:kern w:val="0"/>
                <w:sz w:val="21"/>
                <w:szCs w:val="21"/>
                <w:highlight w:val="none"/>
                <w:vertAlign w:val="baseline"/>
                <w:lang w:eastAsia="zh-CN"/>
              </w:rPr>
              <w:t>账号：</w:t>
            </w:r>
            <w:r>
              <w:rPr>
                <w:rFonts w:hint="eastAsia" w:ascii="宋体" w:hAnsi="宋体" w:eastAsia="宋体" w:cs="宋体"/>
                <w:color w:val="auto"/>
                <w:kern w:val="0"/>
                <w:sz w:val="21"/>
                <w:szCs w:val="21"/>
                <w:highlight w:val="none"/>
                <w:vertAlign w:val="baseline"/>
                <w:lang w:val="en-US" w:eastAsia="zh-CN"/>
              </w:rPr>
              <w:t>371011510000019626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jc w:val="center"/>
        </w:trPr>
        <w:tc>
          <w:tcPr>
            <w:tcW w:w="2880"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开户行：</w:t>
            </w:r>
          </w:p>
        </w:tc>
        <w:tc>
          <w:tcPr>
            <w:tcW w:w="2882"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jc w:val="both"/>
              <w:textAlignment w:val="auto"/>
              <w:rPr>
                <w:rFonts w:hint="eastAsia" w:ascii="宋体" w:hAnsi="宋体" w:eastAsia="宋体" w:cs="宋体"/>
                <w:color w:val="auto"/>
                <w:kern w:val="0"/>
                <w:sz w:val="21"/>
                <w:szCs w:val="21"/>
                <w:highlight w:val="none"/>
                <w:vertAlign w:val="baseline"/>
                <w:lang w:val="en-US" w:eastAsia="zh-CN" w:bidi="ar-SA"/>
              </w:rPr>
            </w:pPr>
            <w:r>
              <w:rPr>
                <w:rFonts w:hint="eastAsia" w:ascii="宋体" w:hAnsi="宋体" w:eastAsia="宋体" w:cs="宋体"/>
                <w:color w:val="auto"/>
                <w:kern w:val="0"/>
                <w:sz w:val="21"/>
                <w:szCs w:val="21"/>
                <w:highlight w:val="none"/>
                <w:vertAlign w:val="baseline"/>
                <w:lang w:eastAsia="zh-CN"/>
              </w:rPr>
              <w:t>开户行：</w:t>
            </w:r>
          </w:p>
        </w:tc>
        <w:tc>
          <w:tcPr>
            <w:tcW w:w="307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val="en-US" w:eastAsia="zh-CN" w:bidi="ar-SA"/>
              </w:rPr>
            </w:pPr>
            <w:r>
              <w:rPr>
                <w:rFonts w:hint="eastAsia" w:ascii="宋体" w:hAnsi="宋体" w:eastAsia="宋体" w:cs="宋体"/>
                <w:color w:val="auto"/>
                <w:kern w:val="0"/>
                <w:sz w:val="21"/>
                <w:szCs w:val="21"/>
                <w:highlight w:val="none"/>
                <w:vertAlign w:val="baseline"/>
                <w:lang w:eastAsia="zh-CN"/>
              </w:rPr>
              <w:t>开户行：</w:t>
            </w:r>
            <w:r>
              <w:rPr>
                <w:rFonts w:hint="eastAsia" w:ascii="宋体" w:hAnsi="宋体" w:eastAsia="宋体" w:cs="宋体"/>
                <w:color w:val="auto"/>
                <w:kern w:val="0"/>
                <w:sz w:val="21"/>
                <w:szCs w:val="21"/>
                <w:highlight w:val="none"/>
                <w:vertAlign w:val="baseline"/>
                <w:lang w:val="en-US" w:eastAsia="zh-CN"/>
              </w:rPr>
              <w:t>西安银行股份有限公司延安分行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2880"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户名：</w:t>
            </w:r>
          </w:p>
        </w:tc>
        <w:tc>
          <w:tcPr>
            <w:tcW w:w="2882"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jc w:val="both"/>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户名：</w:t>
            </w:r>
          </w:p>
        </w:tc>
        <w:tc>
          <w:tcPr>
            <w:tcW w:w="307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户名：陕西楚元项目管理有限公司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2880"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eastAsia="zh-CN"/>
              </w:rPr>
            </w:pPr>
            <w:r>
              <w:rPr>
                <w:rFonts w:hint="eastAsia" w:ascii="宋体" w:hAnsi="宋体" w:eastAsia="宋体" w:cs="宋体"/>
                <w:color w:val="auto"/>
                <w:kern w:val="0"/>
                <w:sz w:val="21"/>
                <w:szCs w:val="21"/>
                <w:highlight w:val="none"/>
                <w:vertAlign w:val="baseline"/>
                <w:lang w:eastAsia="zh-CN"/>
              </w:rPr>
              <w:t>全权代表：</w:t>
            </w:r>
          </w:p>
        </w:tc>
        <w:tc>
          <w:tcPr>
            <w:tcW w:w="2882"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val="en-US" w:eastAsia="zh-CN" w:bidi="ar-SA"/>
              </w:rPr>
            </w:pPr>
            <w:r>
              <w:rPr>
                <w:rFonts w:hint="eastAsia" w:ascii="宋体" w:hAnsi="宋体" w:eastAsia="宋体" w:cs="宋体"/>
                <w:color w:val="auto"/>
                <w:kern w:val="0"/>
                <w:sz w:val="21"/>
                <w:szCs w:val="21"/>
                <w:highlight w:val="none"/>
                <w:vertAlign w:val="baseline"/>
                <w:lang w:eastAsia="zh-CN"/>
              </w:rPr>
              <w:t>全权代表：</w:t>
            </w:r>
          </w:p>
        </w:tc>
        <w:tc>
          <w:tcPr>
            <w:tcW w:w="307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val="en-US" w:eastAsia="zh-CN" w:bidi="ar-SA"/>
              </w:rPr>
            </w:pPr>
            <w:r>
              <w:rPr>
                <w:rFonts w:hint="eastAsia" w:ascii="宋体" w:hAnsi="宋体" w:eastAsia="宋体" w:cs="宋体"/>
                <w:color w:val="auto"/>
                <w:kern w:val="0"/>
                <w:sz w:val="21"/>
                <w:szCs w:val="21"/>
                <w:highlight w:val="none"/>
                <w:vertAlign w:val="baseline"/>
                <w:lang w:eastAsia="zh-CN"/>
              </w:rPr>
              <w:t>全权代表：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jc w:val="center"/>
        </w:trPr>
        <w:tc>
          <w:tcPr>
            <w:tcW w:w="2880"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lang w:val="en-US" w:eastAsia="zh-CN"/>
              </w:rPr>
            </w:pPr>
            <w:r>
              <w:rPr>
                <w:rFonts w:hint="eastAsia" w:ascii="宋体" w:hAnsi="宋体" w:eastAsia="宋体" w:cs="宋体"/>
                <w:color w:val="auto"/>
                <w:kern w:val="0"/>
                <w:sz w:val="21"/>
                <w:szCs w:val="21"/>
                <w:highlight w:val="none"/>
                <w:vertAlign w:val="baseline"/>
                <w:lang w:eastAsia="zh-CN"/>
              </w:rPr>
              <w:t>日期：</w:t>
            </w:r>
            <w:r>
              <w:rPr>
                <w:rFonts w:hint="eastAsia" w:ascii="宋体" w:hAnsi="宋体" w:eastAsia="宋体" w:cs="宋体"/>
                <w:color w:val="auto"/>
                <w:kern w:val="0"/>
                <w:sz w:val="21"/>
                <w:szCs w:val="21"/>
                <w:highlight w:val="none"/>
                <w:vertAlign w:val="baseline"/>
                <w:lang w:val="en-US" w:eastAsia="zh-CN"/>
              </w:rPr>
              <w:t xml:space="preserve">   年  月  日</w:t>
            </w:r>
          </w:p>
        </w:tc>
        <w:tc>
          <w:tcPr>
            <w:tcW w:w="2882"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rPr>
            </w:pPr>
            <w:r>
              <w:rPr>
                <w:rFonts w:hint="eastAsia" w:ascii="宋体" w:hAnsi="宋体" w:eastAsia="宋体" w:cs="宋体"/>
                <w:color w:val="auto"/>
                <w:kern w:val="0"/>
                <w:sz w:val="21"/>
                <w:szCs w:val="21"/>
                <w:highlight w:val="none"/>
                <w:vertAlign w:val="baseline"/>
                <w:lang w:eastAsia="zh-CN"/>
              </w:rPr>
              <w:t>日期：</w:t>
            </w:r>
            <w:r>
              <w:rPr>
                <w:rFonts w:hint="eastAsia" w:ascii="宋体" w:hAnsi="宋体" w:eastAsia="宋体" w:cs="宋体"/>
                <w:color w:val="auto"/>
                <w:kern w:val="0"/>
                <w:sz w:val="21"/>
                <w:szCs w:val="21"/>
                <w:highlight w:val="none"/>
                <w:vertAlign w:val="baseline"/>
                <w:lang w:val="en-US" w:eastAsia="zh-CN"/>
              </w:rPr>
              <w:t xml:space="preserve">   年  月  日</w:t>
            </w:r>
          </w:p>
        </w:tc>
        <w:tc>
          <w:tcPr>
            <w:tcW w:w="3077"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520" w:lineRule="exact"/>
              <w:ind w:left="0" w:firstLine="0" w:firstLineChars="0"/>
              <w:textAlignment w:val="auto"/>
              <w:rPr>
                <w:rFonts w:hint="eastAsia" w:ascii="宋体" w:hAnsi="宋体" w:eastAsia="宋体" w:cs="宋体"/>
                <w:color w:val="auto"/>
                <w:kern w:val="0"/>
                <w:sz w:val="21"/>
                <w:szCs w:val="21"/>
                <w:highlight w:val="none"/>
                <w:vertAlign w:val="baseline"/>
              </w:rPr>
            </w:pPr>
            <w:r>
              <w:rPr>
                <w:rFonts w:hint="eastAsia" w:ascii="宋体" w:hAnsi="宋体" w:eastAsia="宋体" w:cs="宋体"/>
                <w:color w:val="auto"/>
                <w:kern w:val="0"/>
                <w:sz w:val="21"/>
                <w:szCs w:val="21"/>
                <w:highlight w:val="none"/>
                <w:vertAlign w:val="baseline"/>
                <w:lang w:eastAsia="zh-CN"/>
              </w:rPr>
              <w:t>日期：</w:t>
            </w:r>
            <w:r>
              <w:rPr>
                <w:rFonts w:hint="eastAsia" w:ascii="宋体" w:hAnsi="宋体" w:eastAsia="宋体" w:cs="宋体"/>
                <w:color w:val="auto"/>
                <w:kern w:val="0"/>
                <w:sz w:val="21"/>
                <w:szCs w:val="21"/>
                <w:highlight w:val="none"/>
                <w:vertAlign w:val="baseline"/>
                <w:lang w:val="en-US" w:eastAsia="zh-CN"/>
              </w:rPr>
              <w:t xml:space="preserve">   年  月  日</w:t>
            </w:r>
          </w:p>
        </w:tc>
      </w:tr>
    </w:tbl>
    <w:p>
      <w:pPr>
        <w:rPr>
          <w:rFonts w:hint="default"/>
          <w:color w:val="auto"/>
          <w:highlight w:val="none"/>
          <w:lang w:val="en-US" w:eastAsia="zh-CN"/>
        </w:rPr>
      </w:pPr>
      <w:r>
        <w:rPr>
          <w:rFonts w:hint="default"/>
          <w:color w:val="auto"/>
          <w:highlight w:val="none"/>
          <w:lang w:val="en-US" w:eastAsia="zh-CN"/>
        </w:rPr>
        <w:br w:type="page"/>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outlineLvl w:val="0"/>
        <w:rPr>
          <w:rFonts w:hint="eastAsia" w:ascii="宋体" w:hAnsi="宋体" w:eastAsia="宋体" w:cs="宋体"/>
          <w:b/>
          <w:bCs/>
          <w:color w:val="auto"/>
          <w:sz w:val="32"/>
          <w:szCs w:val="32"/>
          <w:highlight w:val="none"/>
          <w:lang w:val="en-US" w:eastAsia="zh-CN"/>
        </w:rPr>
      </w:pPr>
      <w:bookmarkStart w:id="66" w:name="_Toc2752"/>
      <w:r>
        <w:rPr>
          <w:rFonts w:hint="eastAsia" w:ascii="宋体" w:hAnsi="宋体" w:eastAsia="宋体" w:cs="宋体"/>
          <w:b/>
          <w:bCs/>
          <w:color w:val="auto"/>
          <w:sz w:val="32"/>
          <w:szCs w:val="32"/>
          <w:highlight w:val="none"/>
          <w:lang w:val="en-US" w:eastAsia="zh-CN"/>
        </w:rPr>
        <w:t>第六部分 响应文件格式</w:t>
      </w:r>
      <w:bookmarkEnd w:id="66"/>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编制说明：</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1、本响应文件格式，仅起到样式作用，编制响应文件前，请详细阅读</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文件。</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2、响应文件的编制应按照本格式提供的内容，做出逐一的明确答复；</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供应商认为必要，还可以做其它补充说明。</w:t>
      </w:r>
    </w:p>
    <w:p>
      <w:pPr>
        <w:spacing w:line="360" w:lineRule="auto"/>
        <w:ind w:firstLine="480" w:firstLineChars="200"/>
        <w:rPr>
          <w:rFonts w:hint="eastAsia" w:ascii="宋体" w:hAnsi="宋体" w:cs="宋体"/>
          <w:color w:val="auto"/>
          <w:sz w:val="24"/>
          <w:szCs w:val="24"/>
          <w:highlight w:val="none"/>
        </w:rPr>
      </w:pPr>
      <w:r>
        <w:rPr>
          <w:rFonts w:hint="eastAsia" w:ascii="宋体" w:hAnsi="宋体" w:cs="宋体"/>
          <w:color w:val="auto"/>
          <w:sz w:val="24"/>
          <w:szCs w:val="24"/>
          <w:highlight w:val="none"/>
        </w:rPr>
        <w:t>3、本</w:t>
      </w:r>
      <w:r>
        <w:rPr>
          <w:rFonts w:hint="eastAsia" w:ascii="宋体" w:hAnsi="宋体" w:cs="宋体"/>
          <w:color w:val="auto"/>
          <w:sz w:val="24"/>
          <w:szCs w:val="24"/>
          <w:highlight w:val="none"/>
          <w:lang w:val="en-US" w:eastAsia="zh-CN"/>
        </w:rPr>
        <w:t>响应</w:t>
      </w:r>
      <w:r>
        <w:rPr>
          <w:rFonts w:hint="eastAsia" w:ascii="宋体" w:hAnsi="宋体" w:cs="宋体"/>
          <w:color w:val="auto"/>
          <w:sz w:val="24"/>
          <w:szCs w:val="24"/>
          <w:highlight w:val="none"/>
        </w:rPr>
        <w:t>文件中相关表格如不够填写时，</w:t>
      </w:r>
      <w:r>
        <w:rPr>
          <w:rFonts w:hint="eastAsia" w:ascii="宋体" w:hAnsi="宋体" w:cs="宋体"/>
          <w:color w:val="auto"/>
          <w:sz w:val="24"/>
          <w:szCs w:val="24"/>
          <w:highlight w:val="none"/>
          <w:lang w:eastAsia="zh-CN"/>
        </w:rPr>
        <w:t>谈判</w:t>
      </w:r>
      <w:r>
        <w:rPr>
          <w:rFonts w:hint="eastAsia" w:ascii="宋体" w:hAnsi="宋体" w:cs="宋体"/>
          <w:color w:val="auto"/>
          <w:sz w:val="24"/>
          <w:szCs w:val="24"/>
          <w:highlight w:val="none"/>
        </w:rPr>
        <w:t>供应商可以自行扩展。</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4、响应文件格式中要求响应的内容应完整，不得随意删减。</w:t>
      </w:r>
    </w:p>
    <w:p>
      <w:pPr>
        <w:spacing w:line="360" w:lineRule="auto"/>
        <w:ind w:firstLine="480" w:firstLineChars="200"/>
        <w:rPr>
          <w:rFonts w:hint="eastAsia"/>
          <w:b/>
          <w:color w:val="auto"/>
          <w:sz w:val="30"/>
          <w:szCs w:val="30"/>
          <w:highlight w:val="none"/>
        </w:rPr>
      </w:pPr>
      <w:r>
        <w:rPr>
          <w:rFonts w:hint="eastAsia" w:ascii="宋体" w:hAnsi="宋体" w:cs="宋体"/>
          <w:color w:val="auto"/>
          <w:sz w:val="24"/>
          <w:szCs w:val="24"/>
          <w:highlight w:val="none"/>
        </w:rPr>
        <w:t>5、响应文件</w:t>
      </w:r>
      <w:r>
        <w:rPr>
          <w:rFonts w:hint="eastAsia" w:ascii="宋体" w:hAnsi="宋体" w:cs="宋体"/>
          <w:b/>
          <w:bCs/>
          <w:color w:val="auto"/>
          <w:sz w:val="24"/>
          <w:szCs w:val="24"/>
          <w:highlight w:val="none"/>
        </w:rPr>
        <w:t>须编写目录</w:t>
      </w:r>
      <w:r>
        <w:rPr>
          <w:rFonts w:hint="eastAsia" w:ascii="宋体" w:hAnsi="宋体" w:cs="宋体"/>
          <w:b/>
          <w:bCs/>
          <w:sz w:val="24"/>
          <w:szCs w:val="24"/>
          <w:highlight w:val="none"/>
          <w:lang w:val="en-US" w:eastAsia="zh-CN"/>
        </w:rPr>
        <w:t>及页码</w:t>
      </w:r>
      <w:r>
        <w:rPr>
          <w:rFonts w:hint="eastAsia" w:ascii="宋体" w:hAnsi="宋体" w:cs="宋体"/>
          <w:color w:val="auto"/>
          <w:sz w:val="24"/>
          <w:szCs w:val="24"/>
          <w:highlight w:val="none"/>
        </w:rPr>
        <w:t>。</w:t>
      </w:r>
    </w:p>
    <w:p>
      <w:pPr>
        <w:spacing w:line="360" w:lineRule="auto"/>
        <w:rPr>
          <w:rFonts w:hint="eastAsia" w:ascii="宋体" w:hAnsi="宋体"/>
          <w:color w:val="auto"/>
          <w:sz w:val="24"/>
          <w:szCs w:val="24"/>
          <w:highlight w:val="none"/>
        </w:rPr>
      </w:pPr>
    </w:p>
    <w:p>
      <w:pPr>
        <w:spacing w:line="360" w:lineRule="auto"/>
        <w:rPr>
          <w:rFonts w:hint="eastAsia" w:ascii="宋体" w:hAnsi="宋体"/>
          <w:color w:val="auto"/>
          <w:sz w:val="28"/>
          <w:szCs w:val="28"/>
          <w:highlight w:val="none"/>
        </w:rPr>
      </w:pPr>
      <w:r>
        <w:rPr>
          <w:rFonts w:hint="eastAsia" w:ascii="宋体" w:hAnsi="宋体"/>
          <w:color w:val="auto"/>
          <w:sz w:val="28"/>
          <w:szCs w:val="28"/>
          <w:highlight w:val="none"/>
        </w:rPr>
        <w:br w:type="page"/>
      </w:r>
    </w:p>
    <w:p>
      <w:pPr>
        <w:spacing w:line="360" w:lineRule="auto"/>
        <w:rPr>
          <w:rFonts w:hint="default" w:ascii="宋体" w:hAnsi="宋体" w:eastAsia="宋体" w:cs="宋体"/>
          <w:b/>
          <w:bCs/>
          <w:i w:val="0"/>
          <w:iCs w:val="0"/>
          <w:color w:val="auto"/>
          <w:sz w:val="56"/>
          <w:szCs w:val="96"/>
          <w:highlight w:val="none"/>
          <w:lang w:val="en-US" w:eastAsia="zh-CN"/>
        </w:rPr>
      </w:pPr>
      <w:r>
        <w:rPr>
          <w:rFonts w:hint="eastAsia" w:ascii="宋体" w:hAnsi="宋体" w:eastAsia="宋体" w:cs="宋体"/>
          <w:b/>
          <w:bCs/>
          <w:color w:val="auto"/>
          <w:sz w:val="32"/>
          <w:szCs w:val="40"/>
          <w:highlight w:val="none"/>
          <w:lang w:val="en-US" w:eastAsia="zh-CN"/>
        </w:rPr>
        <w:t>项目编号：CY2023-24                          正本/副本</w:t>
      </w:r>
    </w:p>
    <w:p>
      <w:pPr>
        <w:jc w:val="center"/>
        <w:outlineLvl w:val="9"/>
        <w:rPr>
          <w:rFonts w:hint="eastAsia" w:ascii="宋体" w:hAnsi="宋体" w:eastAsia="宋体" w:cs="宋体"/>
          <w:b/>
          <w:bCs/>
          <w:i w:val="0"/>
          <w:iCs w:val="0"/>
          <w:color w:val="auto"/>
          <w:sz w:val="72"/>
          <w:szCs w:val="144"/>
          <w:highlight w:val="none"/>
          <w:lang w:val="en-US" w:eastAsia="zh-CN"/>
        </w:rPr>
      </w:pPr>
      <w:r>
        <w:rPr>
          <w:rFonts w:hint="eastAsia" w:ascii="宋体" w:hAnsi="宋体" w:eastAsia="宋体" w:cs="宋体"/>
          <w:b/>
          <w:bCs/>
          <w:i w:val="0"/>
          <w:iCs w:val="0"/>
          <w:color w:val="auto"/>
          <w:sz w:val="72"/>
          <w:szCs w:val="144"/>
          <w:highlight w:val="none"/>
          <w:lang w:val="en-US" w:eastAsia="zh-CN"/>
        </w:rPr>
        <w:t xml:space="preserve"> </w:t>
      </w:r>
    </w:p>
    <w:p>
      <w:pPr>
        <w:pStyle w:val="26"/>
        <w:rPr>
          <w:rFonts w:hint="default"/>
          <w:lang w:val="en-US" w:eastAsia="zh-CN"/>
        </w:rPr>
      </w:pPr>
    </w:p>
    <w:p>
      <w:pPr>
        <w:jc w:val="center"/>
        <w:outlineLvl w:val="9"/>
        <w:rPr>
          <w:rFonts w:hint="eastAsia" w:ascii="宋体" w:hAnsi="宋体" w:eastAsia="宋体" w:cs="宋体"/>
          <w:b/>
          <w:bCs/>
          <w:color w:val="auto"/>
          <w:sz w:val="44"/>
          <w:szCs w:val="44"/>
          <w:highlight w:val="none"/>
          <w:lang w:val="en-US" w:eastAsia="zh-CN"/>
        </w:rPr>
      </w:pPr>
      <w:r>
        <w:rPr>
          <w:rFonts w:hint="eastAsia" w:ascii="宋体" w:hAnsi="宋体" w:eastAsia="宋体" w:cs="宋体"/>
          <w:b/>
          <w:bCs/>
          <w:color w:val="auto"/>
          <w:sz w:val="44"/>
          <w:szCs w:val="44"/>
          <w:highlight w:val="none"/>
          <w:lang w:val="en-US" w:eastAsia="zh-CN"/>
        </w:rPr>
        <w:t>延安职业技术学院智能制造系统集成</w:t>
      </w:r>
    </w:p>
    <w:p>
      <w:pPr>
        <w:jc w:val="center"/>
        <w:outlineLvl w:val="9"/>
        <w:rPr>
          <w:rFonts w:hint="eastAsia" w:ascii="宋体" w:hAnsi="宋体" w:eastAsia="宋体" w:cs="宋体"/>
          <w:b/>
          <w:bCs/>
          <w:color w:val="auto"/>
          <w:sz w:val="44"/>
          <w:szCs w:val="44"/>
          <w:highlight w:val="none"/>
          <w:lang w:val="en-US" w:eastAsia="zh-CN"/>
        </w:rPr>
      </w:pPr>
      <w:r>
        <w:rPr>
          <w:rFonts w:hint="eastAsia" w:ascii="宋体" w:hAnsi="宋体" w:eastAsia="宋体" w:cs="宋体"/>
          <w:b/>
          <w:bCs/>
          <w:color w:val="auto"/>
          <w:sz w:val="44"/>
          <w:szCs w:val="44"/>
          <w:highlight w:val="none"/>
          <w:lang w:val="en-US" w:eastAsia="zh-CN"/>
        </w:rPr>
        <w:t>应用技术实训平台采购项目</w:t>
      </w:r>
    </w:p>
    <w:p>
      <w:pPr>
        <w:jc w:val="center"/>
        <w:outlineLvl w:val="9"/>
        <w:rPr>
          <w:rFonts w:hint="eastAsia" w:ascii="宋体" w:hAnsi="宋体" w:eastAsia="宋体" w:cs="宋体"/>
          <w:b/>
          <w:bCs/>
          <w:color w:val="auto"/>
          <w:sz w:val="44"/>
          <w:szCs w:val="44"/>
          <w:highlight w:val="none"/>
          <w:lang w:val="en-US" w:eastAsia="zh-CN"/>
        </w:rPr>
      </w:pPr>
    </w:p>
    <w:p>
      <w:pPr>
        <w:spacing w:line="600" w:lineRule="auto"/>
        <w:ind w:left="0" w:leftChars="0" w:firstLine="0" w:firstLineChars="0"/>
        <w:jc w:val="center"/>
        <w:outlineLvl w:val="9"/>
        <w:rPr>
          <w:rFonts w:hint="eastAsia" w:ascii="宋体" w:hAnsi="宋体"/>
          <w:b/>
          <w:color w:val="auto"/>
          <w:sz w:val="48"/>
          <w:szCs w:val="48"/>
          <w:highlight w:val="none"/>
        </w:rPr>
      </w:pPr>
      <w:r>
        <w:rPr>
          <w:rFonts w:hint="eastAsia" w:ascii="宋体" w:hAnsi="宋体" w:eastAsia="宋体" w:cs="宋体"/>
          <w:b/>
          <w:bCs/>
          <w:color w:val="auto"/>
          <w:sz w:val="44"/>
          <w:szCs w:val="44"/>
          <w:highlight w:val="none"/>
          <w:lang w:val="en-US" w:eastAsia="zh-CN"/>
        </w:rPr>
        <w:t>竞争性谈判响应文件</w:t>
      </w:r>
    </w:p>
    <w:p>
      <w:pPr>
        <w:jc w:val="center"/>
        <w:outlineLvl w:val="9"/>
        <w:rPr>
          <w:rFonts w:hint="eastAsia" w:ascii="宋体" w:hAnsi="宋体" w:eastAsia="宋体" w:cs="宋体"/>
          <w:b/>
          <w:bCs/>
          <w:color w:val="auto"/>
          <w:sz w:val="72"/>
          <w:szCs w:val="144"/>
          <w:highlight w:val="none"/>
          <w:lang w:val="en-US" w:eastAsia="zh-CN"/>
        </w:rPr>
      </w:pPr>
    </w:p>
    <w:p>
      <w:pPr>
        <w:jc w:val="center"/>
        <w:outlineLvl w:val="9"/>
        <w:rPr>
          <w:rFonts w:hint="eastAsia" w:ascii="宋体" w:hAnsi="宋体" w:eastAsia="宋体" w:cs="宋体"/>
          <w:b/>
          <w:bCs/>
          <w:color w:val="auto"/>
          <w:sz w:val="72"/>
          <w:szCs w:val="144"/>
          <w:highlight w:val="none"/>
          <w:lang w:val="en-US" w:eastAsia="zh-CN"/>
        </w:rPr>
      </w:pPr>
    </w:p>
    <w:p>
      <w:pPr>
        <w:jc w:val="center"/>
        <w:outlineLvl w:val="9"/>
        <w:rPr>
          <w:rFonts w:hint="eastAsia" w:ascii="宋体" w:hAnsi="宋体" w:eastAsia="宋体" w:cs="宋体"/>
          <w:b/>
          <w:bCs/>
          <w:color w:val="auto"/>
          <w:sz w:val="72"/>
          <w:szCs w:val="144"/>
          <w:highlight w:val="none"/>
          <w:lang w:val="en-US" w:eastAsia="zh-CN"/>
        </w:rPr>
      </w:pPr>
    </w:p>
    <w:p>
      <w:pPr>
        <w:spacing w:line="600" w:lineRule="auto"/>
        <w:ind w:firstLine="1285" w:firstLineChars="400"/>
        <w:outlineLvl w:val="9"/>
        <w:rPr>
          <w:rFonts w:hint="eastAsia" w:ascii="宋体" w:hAnsi="宋体"/>
          <w:b/>
          <w:bCs/>
          <w:color w:val="auto"/>
          <w:sz w:val="32"/>
          <w:szCs w:val="32"/>
          <w:highlight w:val="none"/>
        </w:rPr>
      </w:pPr>
    </w:p>
    <w:p>
      <w:pPr>
        <w:spacing w:line="600" w:lineRule="auto"/>
        <w:ind w:firstLine="1285" w:firstLineChars="400"/>
        <w:outlineLvl w:val="9"/>
        <w:rPr>
          <w:rFonts w:hint="eastAsia" w:ascii="宋体" w:hAnsi="宋体"/>
          <w:b/>
          <w:bCs/>
          <w:color w:val="auto"/>
          <w:sz w:val="32"/>
          <w:szCs w:val="32"/>
          <w:highlight w:val="none"/>
        </w:rPr>
      </w:pPr>
    </w:p>
    <w:p>
      <w:pPr>
        <w:spacing w:line="600" w:lineRule="auto"/>
        <w:ind w:firstLine="1285" w:firstLineChars="400"/>
        <w:outlineLvl w:val="9"/>
        <w:rPr>
          <w:rFonts w:hint="eastAsia" w:ascii="宋体" w:hAnsi="宋体"/>
          <w:b/>
          <w:bCs/>
          <w:color w:val="auto"/>
          <w:sz w:val="32"/>
          <w:szCs w:val="32"/>
          <w:highlight w:val="none"/>
          <w:u w:val="single"/>
        </w:rPr>
      </w:pPr>
      <w:r>
        <w:rPr>
          <w:rFonts w:hint="eastAsia" w:ascii="宋体" w:hAnsi="宋体"/>
          <w:b/>
          <w:bCs/>
          <w:color w:val="auto"/>
          <w:sz w:val="32"/>
          <w:szCs w:val="32"/>
          <w:highlight w:val="none"/>
        </w:rPr>
        <w:t>供应商：</w:t>
      </w:r>
      <w:r>
        <w:rPr>
          <w:rFonts w:hint="eastAsia" w:ascii="宋体" w:hAnsi="宋体"/>
          <w:b/>
          <w:bCs/>
          <w:color w:val="auto"/>
          <w:sz w:val="32"/>
          <w:szCs w:val="32"/>
          <w:highlight w:val="none"/>
          <w:u w:val="single"/>
        </w:rPr>
        <w:t xml:space="preserve">              </w:t>
      </w:r>
      <w:r>
        <w:rPr>
          <w:rFonts w:hint="eastAsia" w:ascii="宋体" w:hAnsi="宋体"/>
          <w:b/>
          <w:bCs/>
          <w:color w:val="auto"/>
          <w:sz w:val="32"/>
          <w:szCs w:val="32"/>
          <w:highlight w:val="none"/>
          <w:u w:val="single"/>
          <w:lang w:val="en-US" w:eastAsia="zh-CN"/>
        </w:rPr>
        <w:t xml:space="preserve">   </w:t>
      </w:r>
      <w:r>
        <w:rPr>
          <w:rFonts w:hint="eastAsia" w:ascii="宋体" w:hAnsi="宋体"/>
          <w:b/>
          <w:bCs/>
          <w:color w:val="auto"/>
          <w:sz w:val="32"/>
          <w:szCs w:val="32"/>
          <w:highlight w:val="none"/>
          <w:u w:val="single"/>
        </w:rPr>
        <w:t xml:space="preserve">     </w:t>
      </w:r>
      <w:r>
        <w:rPr>
          <w:rFonts w:hint="eastAsia" w:ascii="宋体" w:hAnsi="宋体"/>
          <w:b/>
          <w:bCs/>
          <w:color w:val="auto"/>
          <w:sz w:val="32"/>
          <w:szCs w:val="32"/>
          <w:highlight w:val="none"/>
        </w:rPr>
        <w:t>（公章）</w:t>
      </w:r>
    </w:p>
    <w:p>
      <w:pPr>
        <w:spacing w:line="600" w:lineRule="auto"/>
        <w:ind w:firstLine="1285" w:firstLineChars="400"/>
        <w:outlineLvl w:val="9"/>
        <w:rPr>
          <w:rFonts w:hint="eastAsia" w:ascii="宋体" w:hAnsi="宋体"/>
          <w:b/>
          <w:bCs/>
          <w:color w:val="auto"/>
          <w:sz w:val="32"/>
          <w:szCs w:val="32"/>
          <w:highlight w:val="none"/>
        </w:rPr>
      </w:pPr>
      <w:r>
        <w:rPr>
          <w:rFonts w:hint="eastAsia" w:ascii="宋体" w:hAnsi="宋体"/>
          <w:b/>
          <w:bCs/>
          <w:color w:val="auto"/>
          <w:sz w:val="32"/>
          <w:szCs w:val="32"/>
          <w:highlight w:val="none"/>
        </w:rPr>
        <w:t>法定代表人或被授权人：</w:t>
      </w:r>
      <w:r>
        <w:rPr>
          <w:rFonts w:hint="eastAsia" w:ascii="宋体" w:hAnsi="宋体"/>
          <w:b/>
          <w:bCs/>
          <w:color w:val="auto"/>
          <w:sz w:val="32"/>
          <w:szCs w:val="32"/>
          <w:highlight w:val="none"/>
          <w:u w:val="single"/>
        </w:rPr>
        <w:t xml:space="preserve">        </w:t>
      </w:r>
      <w:r>
        <w:rPr>
          <w:rFonts w:hint="eastAsia" w:ascii="宋体" w:hAnsi="宋体"/>
          <w:b/>
          <w:bCs/>
          <w:color w:val="auto"/>
          <w:sz w:val="32"/>
          <w:szCs w:val="32"/>
          <w:highlight w:val="none"/>
        </w:rPr>
        <w:t>（签字或盖章）</w:t>
      </w:r>
    </w:p>
    <w:p>
      <w:pPr>
        <w:spacing w:line="480" w:lineRule="auto"/>
        <w:ind w:firstLine="1285" w:firstLineChars="400"/>
        <w:outlineLvl w:val="9"/>
        <w:rPr>
          <w:rFonts w:hint="eastAsia" w:ascii="宋体" w:hAnsi="宋体" w:eastAsiaTheme="minorEastAsia"/>
          <w:color w:val="auto"/>
          <w:sz w:val="32"/>
          <w:szCs w:val="32"/>
          <w:highlight w:val="none"/>
          <w:lang w:val="en-US" w:eastAsia="zh-CN"/>
        </w:rPr>
      </w:pPr>
      <w:r>
        <w:rPr>
          <w:rFonts w:hint="eastAsia" w:ascii="宋体" w:hAnsi="宋体"/>
          <w:b/>
          <w:bCs/>
          <w:color w:val="auto"/>
          <w:sz w:val="32"/>
          <w:szCs w:val="32"/>
          <w:highlight w:val="none"/>
        </w:rPr>
        <w:t>时    间：</w:t>
      </w:r>
      <w:r>
        <w:rPr>
          <w:rFonts w:hint="eastAsia" w:ascii="宋体" w:hAnsi="宋体"/>
          <w:b/>
          <w:bCs/>
          <w:color w:val="auto"/>
          <w:sz w:val="32"/>
          <w:szCs w:val="32"/>
          <w:highlight w:val="none"/>
          <w:u w:val="single"/>
        </w:rPr>
        <w:t xml:space="preserve">       </w:t>
      </w:r>
      <w:r>
        <w:rPr>
          <w:rFonts w:hint="eastAsia" w:ascii="宋体" w:hAnsi="宋体"/>
          <w:b/>
          <w:bCs/>
          <w:color w:val="auto"/>
          <w:sz w:val="32"/>
          <w:szCs w:val="32"/>
          <w:highlight w:val="none"/>
        </w:rPr>
        <w:t>年</w:t>
      </w:r>
      <w:r>
        <w:rPr>
          <w:rFonts w:hint="eastAsia" w:ascii="宋体" w:hAnsi="宋体"/>
          <w:b/>
          <w:bCs/>
          <w:color w:val="auto"/>
          <w:sz w:val="32"/>
          <w:szCs w:val="32"/>
          <w:highlight w:val="none"/>
          <w:u w:val="single"/>
        </w:rPr>
        <w:t xml:space="preserve">       </w:t>
      </w:r>
      <w:r>
        <w:rPr>
          <w:rFonts w:hint="eastAsia" w:ascii="宋体" w:hAnsi="宋体"/>
          <w:b/>
          <w:bCs/>
          <w:color w:val="auto"/>
          <w:sz w:val="32"/>
          <w:szCs w:val="32"/>
          <w:highlight w:val="none"/>
        </w:rPr>
        <w:t>月</w:t>
      </w:r>
      <w:r>
        <w:rPr>
          <w:rFonts w:hint="eastAsia" w:ascii="宋体" w:hAnsi="宋体"/>
          <w:b/>
          <w:bCs/>
          <w:color w:val="auto"/>
          <w:sz w:val="32"/>
          <w:szCs w:val="32"/>
          <w:highlight w:val="none"/>
          <w:u w:val="single"/>
        </w:rPr>
        <w:t xml:space="preserve">       </w:t>
      </w:r>
      <w:r>
        <w:rPr>
          <w:rFonts w:hint="eastAsia" w:ascii="宋体" w:hAnsi="宋体"/>
          <w:b/>
          <w:bCs/>
          <w:color w:val="auto"/>
          <w:sz w:val="32"/>
          <w:szCs w:val="32"/>
          <w:highlight w:val="none"/>
          <w:u w:val="none"/>
          <w:lang w:val="en-US" w:eastAsia="zh-CN"/>
        </w:rPr>
        <w:t>日</w:t>
      </w:r>
    </w:p>
    <w:p>
      <w:pPr>
        <w:rPr>
          <w:rFonts w:hint="eastAsia" w:ascii="宋体" w:hAnsi="宋体"/>
          <w:b/>
          <w:color w:val="auto"/>
          <w:sz w:val="32"/>
          <w:szCs w:val="28"/>
          <w:highlight w:val="none"/>
        </w:rPr>
      </w:pPr>
      <w:bookmarkStart w:id="67" w:name="_Toc75259380"/>
      <w:r>
        <w:rPr>
          <w:rFonts w:hint="eastAsia" w:ascii="宋体" w:hAnsi="宋体"/>
          <w:b/>
          <w:color w:val="auto"/>
          <w:sz w:val="32"/>
          <w:szCs w:val="28"/>
          <w:highlight w:val="none"/>
        </w:rPr>
        <w:br w:type="page"/>
      </w:r>
    </w:p>
    <w:p>
      <w:pPr>
        <w:widowControl/>
        <w:spacing w:line="480" w:lineRule="auto"/>
        <w:jc w:val="center"/>
        <w:outlineLvl w:val="9"/>
        <w:rPr>
          <w:rFonts w:ascii="宋体" w:hAnsi="宋体"/>
          <w:color w:val="auto"/>
          <w:sz w:val="32"/>
          <w:szCs w:val="32"/>
          <w:highlight w:val="none"/>
        </w:rPr>
      </w:pPr>
      <w:r>
        <w:rPr>
          <w:rFonts w:hint="eastAsia" w:ascii="宋体" w:hAnsi="宋体"/>
          <w:b/>
          <w:color w:val="auto"/>
          <w:sz w:val="32"/>
          <w:szCs w:val="28"/>
          <w:highlight w:val="none"/>
        </w:rPr>
        <w:t xml:space="preserve">目 </w:t>
      </w:r>
      <w:r>
        <w:rPr>
          <w:rFonts w:ascii="宋体" w:hAnsi="宋体"/>
          <w:b/>
          <w:color w:val="auto"/>
          <w:sz w:val="32"/>
          <w:szCs w:val="28"/>
          <w:highlight w:val="none"/>
        </w:rPr>
        <w:t xml:space="preserve"> </w:t>
      </w:r>
      <w:r>
        <w:rPr>
          <w:rFonts w:hint="eastAsia" w:ascii="宋体" w:hAnsi="宋体"/>
          <w:b/>
          <w:color w:val="auto"/>
          <w:sz w:val="32"/>
          <w:szCs w:val="28"/>
          <w:highlight w:val="none"/>
        </w:rPr>
        <w:t>录</w:t>
      </w:r>
      <w:bookmarkEnd w:id="67"/>
    </w:p>
    <w:p>
      <w:pPr>
        <w:pStyle w:val="17"/>
        <w:spacing w:line="480" w:lineRule="auto"/>
        <w:jc w:val="left"/>
        <w:outlineLvl w:val="9"/>
        <w:rPr>
          <w:color w:val="auto"/>
          <w:sz w:val="24"/>
          <w:szCs w:val="24"/>
          <w:highlight w:val="none"/>
        </w:rPr>
      </w:pPr>
      <w:r>
        <w:rPr>
          <w:rFonts w:hint="eastAsia"/>
          <w:color w:val="auto"/>
          <w:sz w:val="24"/>
          <w:szCs w:val="24"/>
          <w:highlight w:val="none"/>
        </w:rPr>
        <w:t>一、</w:t>
      </w:r>
      <w:r>
        <w:rPr>
          <w:rFonts w:hint="eastAsia"/>
          <w:color w:val="auto"/>
          <w:sz w:val="24"/>
          <w:szCs w:val="24"/>
          <w:highlight w:val="none"/>
          <w:lang w:eastAsia="zh-CN"/>
        </w:rPr>
        <w:t>谈判</w:t>
      </w:r>
      <w:r>
        <w:rPr>
          <w:rFonts w:hint="eastAsia"/>
          <w:color w:val="auto"/>
          <w:sz w:val="24"/>
          <w:szCs w:val="24"/>
          <w:highlight w:val="none"/>
          <w:lang w:val="en-US" w:eastAsia="zh-CN"/>
        </w:rPr>
        <w:t>响应</w:t>
      </w:r>
      <w:r>
        <w:rPr>
          <w:rFonts w:hint="eastAsia"/>
          <w:color w:val="auto"/>
          <w:sz w:val="24"/>
          <w:szCs w:val="24"/>
          <w:highlight w:val="none"/>
        </w:rPr>
        <w:t>函</w:t>
      </w:r>
    </w:p>
    <w:p>
      <w:pPr>
        <w:pStyle w:val="17"/>
        <w:spacing w:line="480" w:lineRule="auto"/>
        <w:jc w:val="left"/>
        <w:outlineLvl w:val="9"/>
        <w:rPr>
          <w:color w:val="auto"/>
          <w:sz w:val="24"/>
          <w:szCs w:val="24"/>
          <w:highlight w:val="none"/>
        </w:rPr>
      </w:pPr>
      <w:r>
        <w:rPr>
          <w:rFonts w:hint="eastAsia"/>
          <w:color w:val="auto"/>
          <w:sz w:val="24"/>
          <w:szCs w:val="24"/>
          <w:highlight w:val="none"/>
        </w:rPr>
        <w:t>二、</w:t>
      </w:r>
      <w:r>
        <w:rPr>
          <w:rFonts w:hint="eastAsia"/>
          <w:color w:val="auto"/>
          <w:sz w:val="24"/>
          <w:szCs w:val="24"/>
          <w:highlight w:val="none"/>
          <w:lang w:val="en-US" w:eastAsia="zh-CN"/>
        </w:rPr>
        <w:t>报价</w:t>
      </w:r>
      <w:r>
        <w:rPr>
          <w:rFonts w:hint="eastAsia"/>
          <w:color w:val="auto"/>
          <w:sz w:val="24"/>
          <w:szCs w:val="24"/>
          <w:highlight w:val="none"/>
        </w:rPr>
        <w:t>一览表</w:t>
      </w:r>
    </w:p>
    <w:p>
      <w:pPr>
        <w:pStyle w:val="17"/>
        <w:spacing w:line="480" w:lineRule="auto"/>
        <w:jc w:val="left"/>
        <w:outlineLvl w:val="9"/>
        <w:rPr>
          <w:rFonts w:hint="eastAsia"/>
          <w:color w:val="auto"/>
          <w:sz w:val="24"/>
          <w:szCs w:val="24"/>
          <w:highlight w:val="none"/>
        </w:rPr>
      </w:pPr>
      <w:r>
        <w:rPr>
          <w:rFonts w:hint="eastAsia"/>
          <w:color w:val="auto"/>
          <w:sz w:val="24"/>
          <w:szCs w:val="24"/>
          <w:highlight w:val="none"/>
        </w:rPr>
        <w:t>三、法定代表人身份证明</w:t>
      </w:r>
      <w:r>
        <w:rPr>
          <w:rFonts w:hint="eastAsia"/>
          <w:color w:val="auto"/>
          <w:sz w:val="24"/>
          <w:szCs w:val="24"/>
          <w:highlight w:val="none"/>
          <w:lang w:val="en-US" w:eastAsia="zh-CN"/>
        </w:rPr>
        <w:t>及法定代表人</w:t>
      </w:r>
      <w:r>
        <w:rPr>
          <w:rFonts w:hint="eastAsia"/>
          <w:color w:val="auto"/>
          <w:sz w:val="24"/>
          <w:szCs w:val="24"/>
          <w:highlight w:val="none"/>
        </w:rPr>
        <w:t>授权委托书</w:t>
      </w:r>
    </w:p>
    <w:p>
      <w:pPr>
        <w:pStyle w:val="17"/>
        <w:spacing w:line="480" w:lineRule="auto"/>
        <w:jc w:val="left"/>
        <w:outlineLvl w:val="9"/>
        <w:rPr>
          <w:rFonts w:hint="eastAsia"/>
          <w:color w:val="auto"/>
          <w:sz w:val="24"/>
          <w:szCs w:val="24"/>
          <w:highlight w:val="none"/>
        </w:rPr>
      </w:pPr>
      <w:r>
        <w:rPr>
          <w:rFonts w:hint="eastAsia"/>
          <w:color w:val="auto"/>
          <w:sz w:val="24"/>
          <w:szCs w:val="24"/>
          <w:highlight w:val="none"/>
        </w:rPr>
        <w:t>四、资格证明文件</w:t>
      </w:r>
    </w:p>
    <w:p>
      <w:pPr>
        <w:pStyle w:val="17"/>
        <w:spacing w:line="480" w:lineRule="auto"/>
        <w:jc w:val="left"/>
        <w:outlineLvl w:val="9"/>
        <w:rPr>
          <w:bCs/>
          <w:color w:val="auto"/>
          <w:sz w:val="24"/>
          <w:szCs w:val="24"/>
          <w:highlight w:val="none"/>
        </w:rPr>
      </w:pPr>
      <w:r>
        <w:rPr>
          <w:rFonts w:hint="eastAsia"/>
          <w:bCs/>
          <w:color w:val="auto"/>
          <w:sz w:val="24"/>
          <w:szCs w:val="24"/>
          <w:highlight w:val="none"/>
          <w:lang w:eastAsia="zh-CN"/>
        </w:rPr>
        <w:t>五</w:t>
      </w:r>
      <w:r>
        <w:rPr>
          <w:rFonts w:hint="eastAsia"/>
          <w:bCs/>
          <w:color w:val="auto"/>
          <w:sz w:val="24"/>
          <w:szCs w:val="24"/>
          <w:highlight w:val="none"/>
        </w:rPr>
        <w:t>、商务部分</w:t>
      </w:r>
    </w:p>
    <w:p>
      <w:pPr>
        <w:pStyle w:val="17"/>
        <w:spacing w:line="480" w:lineRule="auto"/>
        <w:jc w:val="left"/>
        <w:outlineLvl w:val="9"/>
        <w:rPr>
          <w:bCs/>
          <w:color w:val="auto"/>
          <w:sz w:val="24"/>
          <w:szCs w:val="24"/>
          <w:highlight w:val="none"/>
        </w:rPr>
      </w:pPr>
      <w:r>
        <w:rPr>
          <w:rFonts w:hint="eastAsia"/>
          <w:bCs/>
          <w:color w:val="auto"/>
          <w:sz w:val="24"/>
          <w:szCs w:val="24"/>
          <w:highlight w:val="none"/>
          <w:lang w:eastAsia="zh-CN"/>
        </w:rPr>
        <w:t>六</w:t>
      </w:r>
      <w:r>
        <w:rPr>
          <w:rFonts w:hint="eastAsia"/>
          <w:bCs/>
          <w:color w:val="auto"/>
          <w:sz w:val="24"/>
          <w:szCs w:val="24"/>
          <w:highlight w:val="none"/>
        </w:rPr>
        <w:t>、技术部分</w:t>
      </w:r>
    </w:p>
    <w:p>
      <w:pPr>
        <w:pStyle w:val="17"/>
        <w:spacing w:line="480" w:lineRule="auto"/>
        <w:jc w:val="left"/>
        <w:outlineLvl w:val="9"/>
        <w:rPr>
          <w:rFonts w:hint="eastAsia"/>
          <w:color w:val="auto"/>
          <w:sz w:val="24"/>
          <w:szCs w:val="24"/>
          <w:highlight w:val="none"/>
        </w:rPr>
      </w:pPr>
      <w:r>
        <w:rPr>
          <w:rFonts w:hint="eastAsia"/>
          <w:bCs/>
          <w:color w:val="auto"/>
          <w:sz w:val="24"/>
          <w:szCs w:val="24"/>
          <w:highlight w:val="none"/>
          <w:lang w:eastAsia="zh-CN"/>
        </w:rPr>
        <w:t>七</w:t>
      </w:r>
      <w:r>
        <w:rPr>
          <w:rFonts w:hint="eastAsia"/>
          <w:bCs/>
          <w:color w:val="auto"/>
          <w:sz w:val="24"/>
          <w:szCs w:val="24"/>
          <w:highlight w:val="none"/>
        </w:rPr>
        <w:t>、其他材料</w:t>
      </w:r>
    </w:p>
    <w:p>
      <w:pPr>
        <w:outlineLvl w:val="9"/>
        <w:rPr>
          <w:color w:val="auto"/>
          <w:highlight w:val="none"/>
        </w:rPr>
      </w:pPr>
    </w:p>
    <w:p>
      <w:pPr>
        <w:outlineLvl w:val="9"/>
        <w:rPr>
          <w:rFonts w:hint="eastAsia"/>
          <w:color w:val="auto"/>
          <w:highlight w:val="none"/>
        </w:rPr>
      </w:pP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b/>
          <w:color w:val="auto"/>
          <w:sz w:val="36"/>
          <w:szCs w:val="36"/>
          <w:highlight w:val="none"/>
        </w:rPr>
      </w:pPr>
      <w:r>
        <w:rPr>
          <w:b/>
          <w:color w:val="auto"/>
          <w:sz w:val="30"/>
          <w:szCs w:val="30"/>
          <w:highlight w:val="none"/>
        </w:rPr>
        <w:br w:type="page"/>
      </w:r>
      <w:bookmarkStart w:id="68" w:name="_Toc75259381"/>
      <w:r>
        <w:rPr>
          <w:rFonts w:hint="eastAsia" w:ascii="宋体" w:hAnsi="宋体"/>
          <w:b/>
          <w:color w:val="auto"/>
          <w:sz w:val="32"/>
          <w:szCs w:val="24"/>
          <w:highlight w:val="none"/>
        </w:rPr>
        <w:t>一、</w:t>
      </w:r>
      <w:r>
        <w:rPr>
          <w:rFonts w:hint="eastAsia" w:ascii="宋体" w:hAnsi="宋体"/>
          <w:b/>
          <w:color w:val="auto"/>
          <w:sz w:val="32"/>
          <w:szCs w:val="24"/>
          <w:highlight w:val="none"/>
          <w:lang w:eastAsia="zh-CN"/>
        </w:rPr>
        <w:t>谈判</w:t>
      </w:r>
      <w:r>
        <w:rPr>
          <w:rFonts w:hint="eastAsia" w:ascii="宋体" w:hAnsi="宋体"/>
          <w:b/>
          <w:color w:val="auto"/>
          <w:sz w:val="32"/>
          <w:szCs w:val="24"/>
          <w:highlight w:val="none"/>
          <w:lang w:val="en-US" w:eastAsia="zh-CN"/>
        </w:rPr>
        <w:t>响应</w:t>
      </w:r>
      <w:r>
        <w:rPr>
          <w:rFonts w:hint="eastAsia" w:ascii="宋体" w:hAnsi="宋体"/>
          <w:b/>
          <w:color w:val="auto"/>
          <w:sz w:val="32"/>
          <w:szCs w:val="24"/>
          <w:highlight w:val="none"/>
        </w:rPr>
        <w:t>函</w:t>
      </w:r>
      <w:bookmarkEnd w:id="68"/>
    </w:p>
    <w:p>
      <w:pPr>
        <w:pStyle w:val="17"/>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color w:val="auto"/>
          <w:sz w:val="24"/>
          <w:szCs w:val="24"/>
          <w:highlight w:val="none"/>
        </w:rPr>
      </w:pPr>
      <w:r>
        <w:rPr>
          <w:rFonts w:hint="eastAsia" w:eastAsia="宋体" w:cs="宋体"/>
          <w:b/>
          <w:color w:val="auto"/>
          <w:sz w:val="24"/>
          <w:szCs w:val="24"/>
          <w:highlight w:val="none"/>
          <w:lang w:val="en-US" w:eastAsia="zh-CN"/>
        </w:rPr>
        <w:t>陕西楚元项目管理有限公司</w:t>
      </w:r>
      <w:r>
        <w:rPr>
          <w:rFonts w:hint="eastAsia" w:ascii="宋体" w:hAnsi="宋体" w:eastAsia="宋体" w:cs="宋体"/>
          <w:b/>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bookmarkStart w:id="69" w:name="_Hlk74735128"/>
      <w:r>
        <w:rPr>
          <w:rFonts w:hint="eastAsia" w:ascii="宋体" w:hAnsi="宋体" w:eastAsia="宋体" w:cs="宋体"/>
          <w:color w:val="auto"/>
          <w:sz w:val="24"/>
          <w:szCs w:val="24"/>
          <w:highlight w:val="none"/>
        </w:rPr>
        <w:t>我单位收到贵公司</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u w:val="single"/>
          <w:lang w:val="en-US" w:eastAsia="zh-CN"/>
        </w:rPr>
        <w:t xml:space="preserve">项目名称：         </w:t>
      </w:r>
      <w:r>
        <w:rPr>
          <w:rFonts w:hint="eastAsia" w:ascii="宋体" w:hAnsi="宋体" w:eastAsia="宋体" w:cs="宋体"/>
          <w:color w:val="auto"/>
          <w:sz w:val="24"/>
          <w:szCs w:val="24"/>
          <w:highlight w:val="none"/>
          <w:u w:val="single"/>
          <w:lang w:eastAsia="zh-CN"/>
        </w:rPr>
        <w:t>）</w:t>
      </w:r>
      <w:r>
        <w:rPr>
          <w:rFonts w:hint="eastAsia" w:ascii="宋体" w:hAnsi="宋体" w:eastAsia="宋体" w:cs="宋体"/>
          <w:color w:val="auto"/>
          <w:sz w:val="24"/>
          <w:szCs w:val="24"/>
          <w:highlight w:val="none"/>
          <w:u w:val="single"/>
        </w:rPr>
        <w:t>（项目编号：</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文件，经详细研究，我们决定参加本次</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活动。为此，我方郑重声明以下诸点，并负法律责任。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一、愿意按照</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中的要求，提供相应的技术服务，完成合同的责任和义务。</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二、按</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的规定，我公司的第一次</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报价为：人民币（大写）：</w:t>
      </w:r>
      <w:r>
        <w:rPr>
          <w:rFonts w:hint="eastAsia" w:ascii="仿宋_GB2312" w:hAnsi="仿宋_GB2312" w:eastAsia="仿宋_GB2312" w:cs="仿宋_GB2312"/>
          <w:color w:val="auto"/>
          <w:sz w:val="32"/>
          <w:szCs w:val="32"/>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元），并对其后的</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报价负法律责任。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三、我方承诺遵守《中华人民共和国政府采购法》及其实施条例的有关规定，保证在获得成交资格后按照</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确定的事项签订政府采购合同，履行双方所签订的合同，并承担合同规定的责任和义务，保证合同签订生效后</w:t>
      </w:r>
      <w:r>
        <w:rPr>
          <w:rFonts w:hint="eastAsia" w:ascii="宋体" w:hAnsi="宋体" w:eastAsia="宋体" w:cs="宋体"/>
          <w:color w:val="auto"/>
          <w:sz w:val="24"/>
          <w:szCs w:val="24"/>
          <w:highlight w:val="none"/>
          <w:lang w:eastAsia="zh-CN"/>
        </w:rPr>
        <w:t>供货</w:t>
      </w:r>
      <w:r>
        <w:rPr>
          <w:rFonts w:hint="eastAsia" w:ascii="宋体" w:hAnsi="宋体" w:eastAsia="宋体" w:cs="宋体"/>
          <w:color w:val="auto"/>
          <w:sz w:val="24"/>
          <w:szCs w:val="24"/>
          <w:highlight w:val="none"/>
          <w:lang w:val="en-US" w:eastAsia="zh-CN"/>
        </w:rPr>
        <w:t>期</w:t>
      </w:r>
      <w:r>
        <w:rPr>
          <w:rFonts w:hint="eastAsia" w:ascii="宋体" w:hAnsi="宋体" w:eastAsia="宋体" w:cs="宋体"/>
          <w:color w:val="auto"/>
          <w:sz w:val="24"/>
          <w:szCs w:val="24"/>
          <w:highlight w:val="none"/>
        </w:rPr>
        <w:t>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四、我方提交的</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响应文件正本一份、副本</w:t>
      </w: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份、电子版一份。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五、我方已详细阅读了</w:t>
      </w:r>
      <w:r>
        <w:rPr>
          <w:rFonts w:hint="eastAsia" w:ascii="宋体" w:hAnsi="宋体" w:eastAsia="宋体" w:cs="宋体"/>
          <w:color w:val="auto"/>
          <w:sz w:val="24"/>
          <w:szCs w:val="24"/>
          <w:highlight w:val="none"/>
          <w:lang w:eastAsia="zh-CN"/>
        </w:rPr>
        <w:t>采购文件</w:t>
      </w:r>
      <w:r>
        <w:rPr>
          <w:rFonts w:hint="eastAsia" w:ascii="宋体" w:hAnsi="宋体" w:eastAsia="宋体" w:cs="宋体"/>
          <w:color w:val="auto"/>
          <w:sz w:val="24"/>
          <w:szCs w:val="24"/>
          <w:highlight w:val="none"/>
        </w:rPr>
        <w:t>，并同意和放弃对</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文件不明或误解而询问、质疑和投诉的权利。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六、</w:t>
      </w:r>
      <w:r>
        <w:rPr>
          <w:rFonts w:hint="eastAsia" w:ascii="宋体" w:hAnsi="宋体" w:eastAsia="宋体" w:cs="宋体"/>
          <w:color w:val="auto"/>
          <w:sz w:val="24"/>
          <w:szCs w:val="24"/>
          <w:highlight w:val="none"/>
          <w:lang w:val="en-US" w:eastAsia="zh-CN"/>
        </w:rPr>
        <w:t>谈判</w:t>
      </w:r>
      <w:r>
        <w:rPr>
          <w:rFonts w:hint="eastAsia" w:ascii="宋体" w:hAnsi="宋体" w:eastAsia="宋体" w:cs="宋体"/>
          <w:color w:val="auto"/>
          <w:sz w:val="24"/>
          <w:szCs w:val="24"/>
          <w:highlight w:val="none"/>
        </w:rPr>
        <w:t>后在规定的</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有效期内撤回</w:t>
      </w:r>
      <w:r>
        <w:rPr>
          <w:rFonts w:hint="eastAsia" w:ascii="宋体" w:hAnsi="宋体" w:eastAsia="宋体" w:cs="宋体"/>
          <w:color w:val="auto"/>
          <w:sz w:val="24"/>
          <w:szCs w:val="24"/>
          <w:highlight w:val="none"/>
          <w:lang w:val="en-US" w:eastAsia="zh-CN"/>
        </w:rPr>
        <w:t>响应文件</w:t>
      </w:r>
      <w:r>
        <w:rPr>
          <w:rFonts w:hint="eastAsia" w:ascii="宋体" w:hAnsi="宋体" w:eastAsia="宋体" w:cs="宋体"/>
          <w:color w:val="auto"/>
          <w:sz w:val="24"/>
          <w:szCs w:val="24"/>
          <w:highlight w:val="none"/>
        </w:rPr>
        <w:t>，我们愿接受有关处罚决定。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七、同意向贵方提供可能要求的，与本次</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有关的任何证据或资料。我们完全理解最低</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报价不作为成交的唯一条件，且尊重</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小组的评审结论和成交结果。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八、我方的</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响应文件在</w:t>
      </w:r>
      <w:r>
        <w:rPr>
          <w:rFonts w:hint="eastAsia" w:ascii="宋体" w:hAnsi="宋体" w:eastAsia="宋体" w:cs="宋体"/>
          <w:color w:val="auto"/>
          <w:sz w:val="24"/>
          <w:szCs w:val="24"/>
          <w:highlight w:val="none"/>
          <w:lang w:val="en-US" w:eastAsia="zh-CN"/>
        </w:rPr>
        <w:t>谈判开始</w:t>
      </w:r>
      <w:r>
        <w:rPr>
          <w:rFonts w:hint="eastAsia" w:ascii="宋体" w:hAnsi="宋体" w:eastAsia="宋体" w:cs="宋体"/>
          <w:color w:val="auto"/>
          <w:sz w:val="24"/>
          <w:szCs w:val="24"/>
          <w:highlight w:val="none"/>
        </w:rPr>
        <w:t>后有效期为90个日历天，若我方成交，</w:t>
      </w:r>
      <w:r>
        <w:rPr>
          <w:rFonts w:hint="eastAsia" w:ascii="宋体" w:hAnsi="宋体" w:eastAsia="宋体" w:cs="宋体"/>
          <w:color w:val="auto"/>
          <w:sz w:val="24"/>
          <w:szCs w:val="24"/>
          <w:highlight w:val="none"/>
          <w:lang w:eastAsia="zh-CN"/>
        </w:rPr>
        <w:t>谈判</w:t>
      </w:r>
      <w:r>
        <w:rPr>
          <w:rFonts w:hint="eastAsia" w:ascii="宋体" w:hAnsi="宋体" w:eastAsia="宋体" w:cs="宋体"/>
          <w:color w:val="auto"/>
          <w:sz w:val="24"/>
          <w:szCs w:val="24"/>
          <w:highlight w:val="none"/>
        </w:rPr>
        <w:t>响应文件有效期自动延长至合同执行完毕。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九、有关于本响应文件的函电，请按下列地址联系。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供应商全称：</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（公章）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法定代表人或授权代表：</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（签字或盖章）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帐    号：</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    编：</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hAnsi="宋体" w:cs="仿宋"/>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ascii="宋体" w:hAnsi="宋体" w:cs="仿宋"/>
          <w:b/>
          <w:bCs/>
          <w:color w:val="auto"/>
          <w:sz w:val="24"/>
          <w:szCs w:val="24"/>
          <w:highlight w:val="none"/>
        </w:rPr>
      </w:pPr>
      <w:r>
        <w:rPr>
          <w:rFonts w:hint="eastAsia" w:ascii="宋体" w:hAnsi="宋体" w:cs="仿宋"/>
          <w:color w:val="auto"/>
          <w:sz w:val="24"/>
          <w:szCs w:val="24"/>
          <w:highlight w:val="none"/>
        </w:rPr>
        <w:t xml:space="preserve">                                   </w:t>
      </w:r>
      <w:r>
        <w:rPr>
          <w:rFonts w:hint="eastAsia" w:ascii="宋体" w:hAnsi="宋体" w:eastAsia="宋体" w:cs="宋体"/>
          <w:color w:val="auto"/>
          <w:sz w:val="24"/>
          <w:szCs w:val="24"/>
          <w:highlight w:val="none"/>
          <w:u w:val="single"/>
        </w:rPr>
        <w:t xml:space="preserve">      </w:t>
      </w:r>
      <w:r>
        <w:rPr>
          <w:rFonts w:hint="eastAsia" w:ascii="宋体" w:hAnsi="宋体" w:cs="仿宋"/>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cs="仿宋"/>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cs="仿宋"/>
          <w:color w:val="auto"/>
          <w:sz w:val="24"/>
          <w:szCs w:val="24"/>
          <w:highlight w:val="none"/>
        </w:rPr>
        <w:t>日</w:t>
      </w:r>
    </w:p>
    <w:bookmarkEnd w:id="69"/>
    <w:p>
      <w:pPr>
        <w:widowControl/>
        <w:spacing w:line="360" w:lineRule="auto"/>
        <w:jc w:val="center"/>
        <w:outlineLvl w:val="9"/>
        <w:rPr>
          <w:rFonts w:ascii="宋体" w:hAnsi="宋体"/>
          <w:b/>
          <w:color w:val="auto"/>
          <w:sz w:val="32"/>
          <w:szCs w:val="24"/>
          <w:highlight w:val="none"/>
        </w:rPr>
      </w:pPr>
      <w:r>
        <w:rPr>
          <w:rFonts w:ascii="宋体" w:hAnsi="宋体"/>
          <w:b/>
          <w:color w:val="auto"/>
          <w:sz w:val="32"/>
          <w:szCs w:val="24"/>
          <w:highlight w:val="none"/>
        </w:rPr>
        <w:br w:type="page"/>
      </w:r>
      <w:bookmarkStart w:id="70" w:name="_Toc75259382"/>
      <w:r>
        <w:rPr>
          <w:rFonts w:hint="eastAsia" w:ascii="宋体" w:hAnsi="宋体"/>
          <w:b/>
          <w:color w:val="auto"/>
          <w:sz w:val="32"/>
          <w:szCs w:val="24"/>
          <w:highlight w:val="none"/>
        </w:rPr>
        <w:t>二、</w:t>
      </w:r>
      <w:r>
        <w:rPr>
          <w:rFonts w:hint="eastAsia" w:ascii="宋体" w:hAnsi="宋体"/>
          <w:b/>
          <w:color w:val="auto"/>
          <w:sz w:val="32"/>
          <w:szCs w:val="24"/>
          <w:highlight w:val="none"/>
          <w:lang w:val="en-US" w:eastAsia="zh-CN"/>
        </w:rPr>
        <w:t>报价</w:t>
      </w:r>
      <w:r>
        <w:rPr>
          <w:rFonts w:hint="eastAsia" w:ascii="宋体" w:hAnsi="宋体"/>
          <w:b/>
          <w:color w:val="auto"/>
          <w:sz w:val="32"/>
          <w:szCs w:val="24"/>
          <w:highlight w:val="none"/>
        </w:rPr>
        <w:t>一览表</w:t>
      </w:r>
      <w:bookmarkEnd w:id="70"/>
    </w:p>
    <w:p>
      <w:pPr>
        <w:jc w:val="center"/>
        <w:outlineLvl w:val="9"/>
        <w:rPr>
          <w:color w:val="auto"/>
          <w:highlight w:val="none"/>
        </w:rPr>
      </w:pPr>
    </w:p>
    <w:p>
      <w:pPr>
        <w:jc w:val="center"/>
        <w:outlineLvl w:val="9"/>
        <w:rPr>
          <w:rFonts w:hint="eastAsia"/>
          <w:color w:val="auto"/>
          <w:highlight w:val="none"/>
        </w:rPr>
      </w:pPr>
    </w:p>
    <w:tbl>
      <w:tblPr>
        <w:tblStyle w:val="22"/>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6"/>
        <w:gridCol w:w="5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3046" w:type="dxa"/>
            <w:noWrap w:val="0"/>
            <w:vAlign w:val="center"/>
          </w:tcPr>
          <w:p>
            <w:pPr>
              <w:jc w:val="center"/>
              <w:outlineLvl w:val="9"/>
              <w:rPr>
                <w:rFonts w:hint="eastAsia" w:ascii="Times New Roman" w:hAnsi="Times New Roman" w:cs="宋体"/>
                <w:color w:val="auto"/>
                <w:sz w:val="24"/>
                <w:szCs w:val="24"/>
                <w:highlight w:val="none"/>
              </w:rPr>
            </w:pPr>
            <w:r>
              <w:rPr>
                <w:rFonts w:hint="eastAsia" w:ascii="宋体" w:hAnsi="宋体" w:cs="宋体"/>
                <w:color w:val="auto"/>
                <w:sz w:val="24"/>
                <w:szCs w:val="24"/>
                <w:highlight w:val="none"/>
              </w:rPr>
              <w:t xml:space="preserve"> </w:t>
            </w:r>
            <w:r>
              <w:rPr>
                <w:rFonts w:hint="eastAsia" w:ascii="Times New Roman" w:hAnsi="Times New Roman" w:cs="宋体"/>
                <w:color w:val="auto"/>
                <w:sz w:val="24"/>
                <w:szCs w:val="24"/>
                <w:highlight w:val="none"/>
              </w:rPr>
              <w:t>项目名称</w:t>
            </w:r>
          </w:p>
        </w:tc>
        <w:tc>
          <w:tcPr>
            <w:tcW w:w="5433" w:type="dxa"/>
            <w:noWrap w:val="0"/>
            <w:vAlign w:val="center"/>
          </w:tcPr>
          <w:p>
            <w:pPr>
              <w:outlineLvl w:val="9"/>
              <w:rPr>
                <w:rFonts w:hint="eastAsia" w:ascii="Times New Roman" w:hAnsi="Times New Roman" w:cs="宋体" w:eastAsiaTheme="minorEastAsia"/>
                <w:color w:val="auto"/>
                <w:sz w:val="24"/>
                <w:szCs w:val="24"/>
                <w:highlight w:val="none"/>
                <w:lang w:eastAsia="zh-CN"/>
              </w:rPr>
            </w:pPr>
            <w:r>
              <w:rPr>
                <w:rFonts w:hint="eastAsia" w:ascii="Times New Roman" w:hAnsi="Times New Roman" w:cs="宋体"/>
                <w:color w:val="auto"/>
                <w:sz w:val="24"/>
                <w:szCs w:val="24"/>
                <w:highlight w:val="none"/>
                <w:lang w:eastAsia="zh-CN"/>
              </w:rPr>
              <w:t>延安职业技术学院智能制造系统集成应用技术实训平台采购项目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3046" w:type="dxa"/>
            <w:noWrap w:val="0"/>
            <w:vAlign w:val="center"/>
          </w:tcPr>
          <w:p>
            <w:pPr>
              <w:jc w:val="center"/>
              <w:outlineLvl w:val="9"/>
              <w:rPr>
                <w:rFonts w:hint="eastAsia" w:ascii="Times New Roman" w:hAnsi="Times New Roman" w:cs="宋体"/>
                <w:color w:val="auto"/>
                <w:sz w:val="24"/>
                <w:szCs w:val="24"/>
                <w:highlight w:val="none"/>
              </w:rPr>
            </w:pPr>
            <w:r>
              <w:rPr>
                <w:rFonts w:hint="eastAsia" w:ascii="Times New Roman" w:hAnsi="Times New Roman" w:cs="宋体"/>
                <w:color w:val="auto"/>
                <w:sz w:val="24"/>
                <w:szCs w:val="24"/>
                <w:highlight w:val="none"/>
              </w:rPr>
              <w:t>总报价（元）</w:t>
            </w:r>
          </w:p>
        </w:tc>
        <w:tc>
          <w:tcPr>
            <w:tcW w:w="5433" w:type="dxa"/>
            <w:noWrap w:val="0"/>
            <w:vAlign w:val="center"/>
          </w:tcPr>
          <w:p>
            <w:pPr>
              <w:spacing w:line="360" w:lineRule="auto"/>
              <w:jc w:val="left"/>
              <w:outlineLvl w:val="9"/>
              <w:rPr>
                <w:rFonts w:ascii="Times New Roman" w:hAnsi="Times New Roman"/>
                <w:color w:val="auto"/>
                <w:sz w:val="24"/>
                <w:szCs w:val="24"/>
                <w:highlight w:val="none"/>
              </w:rPr>
            </w:pPr>
            <w:r>
              <w:rPr>
                <w:rFonts w:hint="eastAsia" w:ascii="Times New Roman" w:hAnsi="Times New Roman" w:cs="宋体"/>
                <w:color w:val="auto"/>
                <w:sz w:val="24"/>
                <w:szCs w:val="24"/>
                <w:highlight w:val="none"/>
              </w:rPr>
              <w:t>大写：</w:t>
            </w:r>
          </w:p>
          <w:p>
            <w:pPr>
              <w:spacing w:line="360" w:lineRule="auto"/>
              <w:outlineLvl w:val="9"/>
              <w:rPr>
                <w:rFonts w:hint="eastAsia" w:ascii="Times New Roman" w:hAnsi="Times New Roman" w:cs="宋体"/>
                <w:color w:val="auto"/>
                <w:sz w:val="24"/>
                <w:szCs w:val="24"/>
                <w:highlight w:val="none"/>
                <w:u w:val="single"/>
              </w:rPr>
            </w:pPr>
            <w:r>
              <w:rPr>
                <w:rFonts w:hint="eastAsia" w:ascii="Times New Roman" w:hAnsi="Times New Roman" w:cs="宋体"/>
                <w:color w:val="auto"/>
                <w:sz w:val="24"/>
                <w:szCs w:val="24"/>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3046" w:type="dxa"/>
            <w:noWrap w:val="0"/>
            <w:vAlign w:val="center"/>
          </w:tcPr>
          <w:p>
            <w:pPr>
              <w:jc w:val="center"/>
              <w:outlineLvl w:val="9"/>
              <w:rPr>
                <w:rFonts w:hint="eastAsia" w:ascii="Times New Roman" w:hAnsi="Times New Roman" w:cs="宋体"/>
                <w:color w:val="auto"/>
                <w:sz w:val="24"/>
                <w:szCs w:val="24"/>
                <w:highlight w:val="none"/>
              </w:rPr>
            </w:pPr>
            <w:r>
              <w:rPr>
                <w:rFonts w:hint="eastAsia" w:ascii="Times New Roman" w:hAnsi="Times New Roman"/>
                <w:color w:val="auto"/>
                <w:sz w:val="24"/>
                <w:szCs w:val="24"/>
                <w:highlight w:val="none"/>
                <w:lang w:eastAsia="zh-CN"/>
              </w:rPr>
              <w:t>供货期</w:t>
            </w:r>
          </w:p>
        </w:tc>
        <w:tc>
          <w:tcPr>
            <w:tcW w:w="5433" w:type="dxa"/>
            <w:noWrap w:val="0"/>
            <w:vAlign w:val="center"/>
          </w:tcPr>
          <w:p>
            <w:pPr>
              <w:jc w:val="left"/>
              <w:outlineLvl w:val="9"/>
              <w:rPr>
                <w:rFonts w:hint="eastAsia" w:ascii="Times New Roman" w:hAnsi="Times New Roman"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3046" w:type="dxa"/>
            <w:noWrap w:val="0"/>
            <w:vAlign w:val="center"/>
          </w:tcPr>
          <w:p>
            <w:pPr>
              <w:jc w:val="center"/>
              <w:outlineLvl w:val="9"/>
              <w:rPr>
                <w:rFonts w:hint="eastAsia" w:ascii="Times New Roman" w:hAnsi="Times New Roman"/>
                <w:color w:val="auto"/>
                <w:sz w:val="24"/>
                <w:szCs w:val="24"/>
                <w:highlight w:val="none"/>
                <w:lang w:eastAsia="zh-CN"/>
              </w:rPr>
            </w:pPr>
            <w:r>
              <w:rPr>
                <w:rFonts w:hint="eastAsia" w:ascii="Times New Roman" w:hAnsi="Times New Roman"/>
                <w:color w:val="auto"/>
                <w:sz w:val="24"/>
                <w:szCs w:val="24"/>
                <w:highlight w:val="none"/>
                <w:lang w:eastAsia="zh-CN"/>
              </w:rPr>
              <w:t>质保期</w:t>
            </w:r>
          </w:p>
        </w:tc>
        <w:tc>
          <w:tcPr>
            <w:tcW w:w="5433" w:type="dxa"/>
            <w:noWrap w:val="0"/>
            <w:vAlign w:val="center"/>
          </w:tcPr>
          <w:p>
            <w:pPr>
              <w:jc w:val="left"/>
              <w:outlineLvl w:val="9"/>
              <w:rPr>
                <w:rFonts w:hint="eastAsia" w:ascii="Times New Roman" w:hAnsi="Times New Roman"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3046" w:type="dxa"/>
            <w:noWrap w:val="0"/>
            <w:vAlign w:val="center"/>
          </w:tcPr>
          <w:p>
            <w:pPr>
              <w:snapToGrid w:val="0"/>
              <w:jc w:val="center"/>
              <w:outlineLvl w:val="9"/>
              <w:rPr>
                <w:rFonts w:hint="eastAsia" w:ascii="Times New Roman" w:hAnsi="Times New Roman" w:cs="宋体"/>
                <w:color w:val="auto"/>
                <w:sz w:val="24"/>
                <w:szCs w:val="24"/>
                <w:highlight w:val="none"/>
              </w:rPr>
            </w:pPr>
            <w:r>
              <w:rPr>
                <w:rFonts w:hint="eastAsia" w:ascii="Times New Roman" w:hAnsi="Times New Roman"/>
                <w:color w:val="auto"/>
                <w:sz w:val="24"/>
                <w:szCs w:val="24"/>
                <w:highlight w:val="none"/>
              </w:rPr>
              <w:t>其他说明事项</w:t>
            </w:r>
          </w:p>
        </w:tc>
        <w:tc>
          <w:tcPr>
            <w:tcW w:w="5433" w:type="dxa"/>
            <w:noWrap w:val="0"/>
            <w:vAlign w:val="center"/>
          </w:tcPr>
          <w:p>
            <w:pPr>
              <w:snapToGrid w:val="0"/>
              <w:jc w:val="center"/>
              <w:outlineLvl w:val="9"/>
              <w:rPr>
                <w:rFonts w:hint="eastAsia" w:ascii="Times New Roman" w:hAnsi="Times New Roman" w:cs="宋体"/>
                <w:color w:val="auto"/>
                <w:sz w:val="24"/>
                <w:szCs w:val="24"/>
                <w:highlight w:val="none"/>
              </w:rPr>
            </w:pPr>
          </w:p>
        </w:tc>
      </w:tr>
    </w:tbl>
    <w:p>
      <w:pPr>
        <w:spacing w:line="360" w:lineRule="auto"/>
        <w:outlineLvl w:val="9"/>
        <w:rPr>
          <w:color w:val="auto"/>
          <w:highlight w:val="none"/>
        </w:rPr>
      </w:pPr>
    </w:p>
    <w:p>
      <w:pPr>
        <w:outlineLvl w:val="9"/>
        <w:rPr>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cstheme="minorEastAsia"/>
          <w:color w:val="auto"/>
          <w:sz w:val="24"/>
          <w:szCs w:val="24"/>
          <w:highlight w:val="none"/>
          <w:u w:val="single"/>
          <w:lang w:val="en-US" w:eastAsia="zh-CN"/>
        </w:rPr>
      </w:pPr>
      <w:r>
        <w:rPr>
          <w:rFonts w:hint="eastAsia" w:asciiTheme="minorEastAsia" w:hAnsiTheme="minorEastAsia" w:eastAsiaTheme="minorEastAsia" w:cstheme="minorEastAsia"/>
          <w:color w:val="auto"/>
          <w:sz w:val="24"/>
          <w:szCs w:val="24"/>
          <w:highlight w:val="none"/>
        </w:rPr>
        <w:t>法定代表人（签</w:t>
      </w:r>
      <w:r>
        <w:rPr>
          <w:rFonts w:hint="eastAsia" w:asciiTheme="minorEastAsia" w:hAnsiTheme="minorEastAsia" w:eastAsiaTheme="minorEastAsia" w:cstheme="minorEastAsia"/>
          <w:color w:val="auto"/>
          <w:sz w:val="24"/>
          <w:szCs w:val="24"/>
          <w:highlight w:val="none"/>
          <w:lang w:eastAsia="zh-CN"/>
        </w:rPr>
        <w:t>章</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default"/>
          <w:lang w:val="en-US" w:eastAsia="zh-CN"/>
        </w:rPr>
      </w:pPr>
      <w:r>
        <w:rPr>
          <w:rFonts w:hint="eastAsia" w:asciiTheme="minorEastAsia" w:hAnsiTheme="minorEastAsia" w:eastAsiaTheme="minorEastAsia" w:cstheme="minorEastAsia"/>
          <w:color w:val="auto"/>
          <w:sz w:val="24"/>
          <w:szCs w:val="24"/>
          <w:highlight w:val="none"/>
        </w:rPr>
        <w:t>授权代表（</w:t>
      </w:r>
      <w:r>
        <w:rPr>
          <w:rFonts w:hint="eastAsia" w:asciiTheme="minorEastAsia" w:hAnsiTheme="minorEastAsia" w:eastAsiaTheme="minorEastAsia" w:cstheme="minorEastAsia"/>
          <w:sz w:val="24"/>
          <w:szCs w:val="24"/>
          <w:highlight w:val="none"/>
        </w:rPr>
        <w:t>签字</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ascii="宋体" w:hAnsi="宋体"/>
          <w:b/>
          <w:color w:val="auto"/>
          <w:sz w:val="36"/>
          <w:highlight w:val="none"/>
        </w:rPr>
        <w:sectPr>
          <w:headerReference r:id="rId5" w:type="default"/>
          <w:footerReference r:id="rId6" w:type="default"/>
          <w:pgSz w:w="11906" w:h="16838"/>
          <w:pgMar w:top="1417" w:right="1417" w:bottom="1417" w:left="1417" w:header="851" w:footer="850"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Theme="minorEastAsia" w:hAnsiTheme="minorEastAsia" w:eastAsiaTheme="minorEastAsia" w:cstheme="minorEastAsia"/>
          <w:color w:val="auto"/>
          <w:sz w:val="24"/>
          <w:szCs w:val="24"/>
          <w:highlight w:val="none"/>
        </w:rPr>
        <w:t>日    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pStyle w:val="18"/>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jc w:val="center"/>
        <w:textAlignment w:val="auto"/>
        <w:outlineLvl w:val="9"/>
        <w:rPr>
          <w:rFonts w:hint="eastAsia" w:cs="宋体"/>
          <w:b/>
          <w:color w:val="auto"/>
          <w:sz w:val="32"/>
          <w:szCs w:val="32"/>
          <w:highlight w:val="none"/>
          <w:lang w:val="en-US" w:eastAsia="zh-CN"/>
        </w:rPr>
      </w:pPr>
      <w:r>
        <w:rPr>
          <w:rFonts w:hint="eastAsia" w:cs="宋体"/>
          <w:b/>
          <w:color w:val="auto"/>
          <w:sz w:val="32"/>
          <w:szCs w:val="32"/>
          <w:highlight w:val="none"/>
          <w:lang w:val="en-US" w:eastAsia="zh-CN"/>
        </w:rPr>
        <w:t>产品分项报价表</w:t>
      </w:r>
    </w:p>
    <w:p>
      <w:pPr>
        <w:pStyle w:val="19"/>
        <w:jc w:val="right"/>
        <w:rPr>
          <w:rFonts w:hint="eastAsia" w:ascii="宋体" w:hAnsi="宋体" w:eastAsia="宋体" w:cs="宋体"/>
          <w:lang w:val="en-US" w:eastAsia="zh-CN"/>
        </w:rPr>
      </w:pPr>
      <w:r>
        <w:rPr>
          <w:rFonts w:hint="eastAsia" w:ascii="宋体" w:hAnsi="宋体" w:eastAsia="宋体" w:cs="宋体"/>
          <w:b/>
          <w:bCs/>
          <w:sz w:val="32"/>
          <w:szCs w:val="32"/>
          <w:highlight w:val="none"/>
          <w:u w:val="none"/>
          <w:lang w:val="en-US" w:eastAsia="zh-CN"/>
        </w:rPr>
        <w:t>金额单位：元</w:t>
      </w:r>
    </w:p>
    <w:tbl>
      <w:tblPr>
        <w:tblStyle w:val="23"/>
        <w:tblW w:w="14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
        <w:gridCol w:w="539"/>
        <w:gridCol w:w="671"/>
        <w:gridCol w:w="773"/>
        <w:gridCol w:w="408"/>
        <w:gridCol w:w="1416"/>
        <w:gridCol w:w="1949"/>
        <w:gridCol w:w="1444"/>
        <w:gridCol w:w="1444"/>
        <w:gridCol w:w="1224"/>
        <w:gridCol w:w="874"/>
        <w:gridCol w:w="1243"/>
        <w:gridCol w:w="1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95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序号</w:t>
            </w:r>
          </w:p>
        </w:tc>
        <w:tc>
          <w:tcPr>
            <w:tcW w:w="121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产品名称</w:t>
            </w:r>
          </w:p>
        </w:tc>
        <w:tc>
          <w:tcPr>
            <w:tcW w:w="118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组件名称</w:t>
            </w:r>
          </w:p>
        </w:tc>
        <w:tc>
          <w:tcPr>
            <w:tcW w:w="141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厂家品牌</w:t>
            </w:r>
          </w:p>
        </w:tc>
        <w:tc>
          <w:tcPr>
            <w:tcW w:w="1949"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规格型号</w:t>
            </w:r>
          </w:p>
        </w:tc>
        <w:tc>
          <w:tcPr>
            <w:tcW w:w="14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lang w:eastAsia="zh-CN"/>
              </w:rPr>
              <w:t>参数</w:t>
            </w:r>
          </w:p>
        </w:tc>
        <w:tc>
          <w:tcPr>
            <w:tcW w:w="144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sz w:val="24"/>
                <w:szCs w:val="24"/>
                <w:highlight w:val="none"/>
                <w:lang w:eastAsia="zh-CN"/>
              </w:rPr>
              <w:t>单位</w:t>
            </w:r>
          </w:p>
        </w:tc>
        <w:tc>
          <w:tcPr>
            <w:tcW w:w="122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sz w:val="24"/>
                <w:szCs w:val="24"/>
                <w:highlight w:val="none"/>
                <w:lang w:eastAsia="zh-CN"/>
              </w:rPr>
              <w:t>数量</w:t>
            </w:r>
          </w:p>
        </w:tc>
        <w:tc>
          <w:tcPr>
            <w:tcW w:w="87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sz w:val="24"/>
                <w:szCs w:val="24"/>
                <w:highlight w:val="none"/>
                <w:lang w:eastAsia="zh-CN"/>
              </w:rPr>
              <w:t>单价</w:t>
            </w:r>
          </w:p>
        </w:tc>
        <w:tc>
          <w:tcPr>
            <w:tcW w:w="1243"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sz w:val="24"/>
                <w:szCs w:val="24"/>
                <w:highlight w:val="none"/>
                <w:lang w:eastAsia="zh-CN"/>
              </w:rPr>
              <w:t>总价</w:t>
            </w:r>
          </w:p>
        </w:tc>
        <w:tc>
          <w:tcPr>
            <w:tcW w:w="119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kern w:val="2"/>
                <w:sz w:val="24"/>
                <w:szCs w:val="24"/>
                <w:highlight w:val="none"/>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55"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w:t>
            </w:r>
          </w:p>
        </w:tc>
        <w:tc>
          <w:tcPr>
            <w:tcW w:w="121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181"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16"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949"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4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4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22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7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243"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19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55"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w:t>
            </w:r>
          </w:p>
        </w:tc>
        <w:tc>
          <w:tcPr>
            <w:tcW w:w="121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181"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16"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949"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4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4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22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7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243"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19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55"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p>
        </w:tc>
        <w:tc>
          <w:tcPr>
            <w:tcW w:w="121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181"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16"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949"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4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4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22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7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243"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19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55"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w:t>
            </w:r>
          </w:p>
        </w:tc>
        <w:tc>
          <w:tcPr>
            <w:tcW w:w="121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181"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16"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949"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4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4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22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7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243"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19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55"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w:t>
            </w:r>
          </w:p>
        </w:tc>
        <w:tc>
          <w:tcPr>
            <w:tcW w:w="121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181"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16"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949"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4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4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22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7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243"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19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55"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w:t>
            </w:r>
          </w:p>
        </w:tc>
        <w:tc>
          <w:tcPr>
            <w:tcW w:w="121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181"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16"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949"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4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4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22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7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243"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19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955" w:type="dxa"/>
            <w:vAlign w:val="top"/>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w:t>
            </w:r>
          </w:p>
        </w:tc>
        <w:tc>
          <w:tcPr>
            <w:tcW w:w="1210"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181"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16"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949"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4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44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22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874"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243"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c>
          <w:tcPr>
            <w:tcW w:w="1195"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49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val="en-US" w:eastAsia="zh-CN"/>
              </w:rPr>
            </w:pPr>
          </w:p>
        </w:tc>
        <w:tc>
          <w:tcPr>
            <w:tcW w:w="1444" w:type="dxa"/>
            <w:gridSpan w:val="2"/>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val="en-US" w:eastAsia="zh-CN"/>
              </w:rPr>
            </w:pPr>
          </w:p>
        </w:tc>
        <w:tc>
          <w:tcPr>
            <w:tcW w:w="6661" w:type="dxa"/>
            <w:gridSpan w:val="5"/>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合计</w:t>
            </w:r>
          </w:p>
        </w:tc>
        <w:tc>
          <w:tcPr>
            <w:tcW w:w="4536" w:type="dxa"/>
            <w:gridSpan w:val="4"/>
            <w:vAlign w:val="top"/>
          </w:tcPr>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注：</w:t>
      </w:r>
      <w:r>
        <w:rPr>
          <w:rFonts w:hint="eastAsia" w:ascii="宋体" w:hAnsi="宋体" w:eastAsia="宋体" w:cs="宋体"/>
          <w:sz w:val="24"/>
          <w:szCs w:val="24"/>
          <w:highlight w:val="none"/>
          <w:lang w:val="en-US" w:eastAsia="zh-CN"/>
        </w:rPr>
        <w:t>1、表格不够，各供应商可按此表复制。</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8880" w:firstLineChars="3700"/>
        <w:jc w:val="left"/>
        <w:textAlignment w:val="auto"/>
        <w:outlineLvl w:val="9"/>
        <w:rPr>
          <w:rFonts w:hint="default" w:ascii="宋体" w:hAnsi="宋体" w:eastAsia="宋体" w:cs="宋体"/>
          <w:sz w:val="24"/>
          <w:szCs w:val="24"/>
          <w:highlight w:val="none"/>
          <w:u w:val="single"/>
          <w:lang w:val="en-US" w:eastAsia="zh-CN"/>
        </w:rPr>
      </w:pPr>
      <w:r>
        <w:rPr>
          <w:rFonts w:hint="eastAsia" w:ascii="宋体" w:hAnsi="宋体" w:eastAsia="宋体" w:cs="宋体"/>
          <w:sz w:val="24"/>
          <w:szCs w:val="24"/>
          <w:highlight w:val="none"/>
        </w:rPr>
        <w:t>供应商（公章）</w:t>
      </w:r>
      <w:r>
        <w:rPr>
          <w:rFonts w:hint="eastAsia" w:ascii="宋体" w:hAnsi="宋体" w:eastAsia="宋体" w:cs="宋体"/>
          <w:sz w:val="24"/>
          <w:szCs w:val="24"/>
          <w:highlight w:val="none"/>
          <w:u w:val="none"/>
        </w:rPr>
        <w:t>：</w:t>
      </w:r>
      <w:r>
        <w:rPr>
          <w:rFonts w:hint="eastAsia" w:ascii="宋体" w:hAnsi="宋体" w:eastAsia="宋体" w:cs="宋体"/>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944" w:firstLineChars="3727"/>
        <w:textAlignment w:val="auto"/>
        <w:outlineLvl w:val="9"/>
        <w:rPr>
          <w:rFonts w:hint="eastAsia" w:asciiTheme="minorEastAsia" w:hAnsiTheme="minorEastAsia" w:cstheme="minorEastAsia"/>
          <w:color w:val="auto"/>
          <w:sz w:val="24"/>
          <w:szCs w:val="24"/>
          <w:highlight w:val="none"/>
          <w:u w:val="single"/>
          <w:lang w:val="en-US" w:eastAsia="zh-CN"/>
        </w:rPr>
      </w:pPr>
      <w:r>
        <w:rPr>
          <w:rFonts w:hint="eastAsia" w:asciiTheme="minorEastAsia" w:hAnsiTheme="minorEastAsia" w:eastAsiaTheme="minorEastAsia" w:cstheme="minorEastAsia"/>
          <w:color w:val="auto"/>
          <w:sz w:val="24"/>
          <w:szCs w:val="24"/>
          <w:highlight w:val="none"/>
        </w:rPr>
        <w:t>法定代表人（签</w:t>
      </w:r>
      <w:r>
        <w:rPr>
          <w:rFonts w:hint="eastAsia" w:asciiTheme="minorEastAsia" w:hAnsiTheme="minorEastAsia" w:eastAsiaTheme="minorEastAsia" w:cstheme="minorEastAsia"/>
          <w:color w:val="auto"/>
          <w:sz w:val="24"/>
          <w:szCs w:val="24"/>
          <w:highlight w:val="none"/>
          <w:lang w:eastAsia="zh-CN"/>
        </w:rPr>
        <w:t>章</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8944" w:firstLineChars="3727"/>
        <w:textAlignment w:val="auto"/>
        <w:outlineLvl w:val="9"/>
        <w:rPr>
          <w:rFonts w:hint="default"/>
          <w:lang w:val="en-US" w:eastAsia="zh-CN"/>
        </w:rPr>
      </w:pPr>
      <w:r>
        <w:rPr>
          <w:rFonts w:hint="eastAsia" w:asciiTheme="minorEastAsia" w:hAnsiTheme="minorEastAsia" w:eastAsiaTheme="minorEastAsia" w:cstheme="minorEastAsia"/>
          <w:color w:val="auto"/>
          <w:sz w:val="24"/>
          <w:szCs w:val="24"/>
          <w:highlight w:val="none"/>
        </w:rPr>
        <w:t>授权代表（</w:t>
      </w:r>
      <w:r>
        <w:rPr>
          <w:rFonts w:hint="eastAsia" w:asciiTheme="minorEastAsia" w:hAnsiTheme="minorEastAsia" w:eastAsiaTheme="minorEastAsia" w:cstheme="minorEastAsia"/>
          <w:sz w:val="24"/>
          <w:szCs w:val="24"/>
          <w:highlight w:val="none"/>
        </w:rPr>
        <w:t>签字</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p>
    <w:p>
      <w:pPr>
        <w:pStyle w:val="18"/>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240" w:lineRule="auto"/>
        <w:ind w:left="0" w:leftChars="0" w:firstLine="8820" w:firstLineChars="3675"/>
        <w:jc w:val="left"/>
        <w:textAlignment w:val="auto"/>
        <w:outlineLvl w:val="9"/>
        <w:rPr>
          <w:rFonts w:hint="default" w:ascii="宋体" w:hAnsi="宋体" w:eastAsia="宋体" w:cs="宋体"/>
          <w:szCs w:val="24"/>
          <w:highlight w:val="yellow"/>
          <w:lang w:val="en-US" w:eastAsia="zh-CN"/>
        </w:rPr>
      </w:pPr>
      <w:r>
        <w:rPr>
          <w:rFonts w:hint="eastAsia" w:ascii="宋体" w:hAnsi="宋体" w:eastAsia="宋体" w:cs="宋体"/>
          <w:sz w:val="24"/>
          <w:szCs w:val="24"/>
          <w:highlight w:val="none"/>
        </w:rPr>
        <w:t>日    期：</w:t>
      </w:r>
      <w:r>
        <w:rPr>
          <w:rFonts w:hint="eastAsia" w:ascii="宋体" w:hAnsi="宋体" w:eastAsia="宋体" w:cs="宋体"/>
          <w:sz w:val="24"/>
          <w:szCs w:val="24"/>
          <w:highlight w:val="none"/>
          <w:u w:val="single"/>
          <w:lang w:val="en-US" w:eastAsia="zh-CN"/>
        </w:rPr>
        <w:t xml:space="preserve">                               </w:t>
      </w:r>
    </w:p>
    <w:p>
      <w:pPr>
        <w:widowControl/>
        <w:spacing w:line="360" w:lineRule="auto"/>
        <w:jc w:val="both"/>
        <w:outlineLvl w:val="9"/>
        <w:rPr>
          <w:rFonts w:hint="eastAsia" w:ascii="宋体" w:hAnsi="宋体"/>
          <w:b/>
          <w:color w:val="auto"/>
          <w:sz w:val="32"/>
          <w:szCs w:val="24"/>
          <w:highlight w:val="none"/>
        </w:rPr>
        <w:sectPr>
          <w:pgSz w:w="16838" w:h="11906" w:orient="landscape"/>
          <w:pgMar w:top="1417" w:right="1417" w:bottom="1417" w:left="1417" w:header="851" w:footer="850" w:gutter="0"/>
          <w:pgBorders>
            <w:top w:val="none" w:sz="0" w:space="0"/>
            <w:left w:val="none" w:sz="0" w:space="0"/>
            <w:bottom w:val="none" w:sz="0" w:space="0"/>
            <w:right w:val="none" w:sz="0" w:space="0"/>
          </w:pgBorders>
          <w:pgNumType w:fmt="decimal"/>
          <w:cols w:space="425" w:num="1"/>
          <w:docGrid w:type="lines" w:linePitch="312" w:charSpace="0"/>
        </w:sectPr>
      </w:pPr>
      <w:bookmarkStart w:id="71" w:name="_Toc75259385"/>
    </w:p>
    <w:p>
      <w:pPr>
        <w:spacing w:line="360" w:lineRule="auto"/>
        <w:jc w:val="center"/>
        <w:outlineLvl w:val="9"/>
        <w:rPr>
          <w:rFonts w:ascii="宋体"/>
          <w:b/>
          <w:sz w:val="36"/>
          <w:highlight w:val="none"/>
        </w:rPr>
      </w:pPr>
      <w:r>
        <w:rPr>
          <w:rFonts w:hint="eastAsia" w:ascii="宋体" w:hAnsi="宋体" w:cs="宋体"/>
          <w:b/>
          <w:sz w:val="32"/>
          <w:szCs w:val="32"/>
          <w:highlight w:val="none"/>
        </w:rPr>
        <w:t>技术</w:t>
      </w:r>
      <w:r>
        <w:rPr>
          <w:rFonts w:hint="eastAsia" w:ascii="宋体" w:hAnsi="宋体" w:cs="宋体"/>
          <w:b/>
          <w:sz w:val="32"/>
          <w:szCs w:val="32"/>
          <w:highlight w:val="none"/>
          <w:lang w:val="en-US" w:eastAsia="zh-CN"/>
        </w:rPr>
        <w:t>参数</w:t>
      </w:r>
      <w:r>
        <w:rPr>
          <w:rFonts w:hint="eastAsia" w:ascii="宋体" w:hAnsi="宋体" w:cs="宋体"/>
          <w:b/>
          <w:sz w:val="32"/>
          <w:szCs w:val="32"/>
          <w:highlight w:val="none"/>
        </w:rPr>
        <w:t>偏离表</w:t>
      </w:r>
    </w:p>
    <w:p>
      <w:pPr>
        <w:spacing w:line="360" w:lineRule="auto"/>
        <w:outlineLvl w:val="9"/>
        <w:rPr>
          <w:rFonts w:hint="eastAsia" w:ascii="宋体" w:hAnsi="宋体"/>
          <w:sz w:val="24"/>
          <w:szCs w:val="32"/>
          <w:highlight w:val="none"/>
        </w:rPr>
      </w:pPr>
      <w:r>
        <w:rPr>
          <w:rFonts w:hint="eastAsia" w:ascii="宋体" w:hAnsi="宋体"/>
          <w:sz w:val="24"/>
          <w:szCs w:val="32"/>
          <w:highlight w:val="none"/>
        </w:rPr>
        <w:t>供应商名称：</w:t>
      </w:r>
    </w:p>
    <w:p>
      <w:pPr>
        <w:spacing w:line="360" w:lineRule="auto"/>
        <w:outlineLvl w:val="9"/>
        <w:rPr>
          <w:rFonts w:ascii="宋体"/>
          <w:highlight w:val="none"/>
          <w:u w:val="single"/>
        </w:rPr>
      </w:pPr>
      <w:r>
        <w:rPr>
          <w:rFonts w:hint="eastAsia" w:ascii="宋体" w:hAnsi="宋体"/>
          <w:sz w:val="24"/>
          <w:szCs w:val="32"/>
          <w:highlight w:val="none"/>
        </w:rPr>
        <w:t>项目编号：</w:t>
      </w:r>
    </w:p>
    <w:tbl>
      <w:tblPr>
        <w:tblStyle w:val="22"/>
        <w:tblW w:w="858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1717"/>
        <w:gridCol w:w="1717"/>
        <w:gridCol w:w="1717"/>
        <w:gridCol w:w="171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716" w:type="dxa"/>
            <w:tcBorders>
              <w:top w:val="double" w:color="auto" w:sz="4" w:space="0"/>
            </w:tcBorders>
            <w:vAlign w:val="center"/>
          </w:tcPr>
          <w:p>
            <w:pPr>
              <w:spacing w:line="360" w:lineRule="auto"/>
              <w:jc w:val="center"/>
              <w:outlineLvl w:val="9"/>
              <w:rPr>
                <w:rFonts w:ascii="宋体"/>
                <w:b/>
                <w:bCs/>
                <w:highlight w:val="none"/>
              </w:rPr>
            </w:pPr>
            <w:r>
              <w:rPr>
                <w:rFonts w:hint="eastAsia" w:ascii="宋体" w:hAnsi="宋体"/>
                <w:b/>
                <w:bCs/>
                <w:highlight w:val="none"/>
              </w:rPr>
              <w:t>序号</w:t>
            </w:r>
          </w:p>
        </w:tc>
        <w:tc>
          <w:tcPr>
            <w:tcW w:w="1717" w:type="dxa"/>
            <w:tcBorders>
              <w:top w:val="double" w:color="auto" w:sz="4" w:space="0"/>
            </w:tcBorders>
            <w:vAlign w:val="center"/>
          </w:tcPr>
          <w:p>
            <w:pPr>
              <w:spacing w:line="360" w:lineRule="auto"/>
              <w:jc w:val="center"/>
              <w:outlineLvl w:val="9"/>
              <w:rPr>
                <w:rFonts w:ascii="宋体"/>
                <w:b/>
                <w:bCs/>
                <w:highlight w:val="none"/>
              </w:rPr>
            </w:pPr>
            <w:r>
              <w:rPr>
                <w:rFonts w:hint="eastAsia" w:ascii="宋体" w:hAnsi="宋体"/>
                <w:b/>
                <w:bCs/>
                <w:highlight w:val="none"/>
                <w:lang w:eastAsia="zh-CN"/>
              </w:rPr>
              <w:t>谈判</w:t>
            </w:r>
            <w:r>
              <w:rPr>
                <w:rFonts w:hint="eastAsia" w:ascii="宋体" w:hAnsi="宋体"/>
                <w:b/>
                <w:bCs/>
                <w:highlight w:val="none"/>
              </w:rPr>
              <w:t>文件要求</w:t>
            </w:r>
          </w:p>
        </w:tc>
        <w:tc>
          <w:tcPr>
            <w:tcW w:w="1717" w:type="dxa"/>
            <w:tcBorders>
              <w:top w:val="double" w:color="auto" w:sz="4" w:space="0"/>
            </w:tcBorders>
            <w:vAlign w:val="center"/>
          </w:tcPr>
          <w:p>
            <w:pPr>
              <w:spacing w:line="360" w:lineRule="auto"/>
              <w:jc w:val="center"/>
              <w:outlineLvl w:val="9"/>
              <w:rPr>
                <w:rFonts w:ascii="宋体"/>
                <w:b/>
                <w:bCs/>
                <w:highlight w:val="none"/>
              </w:rPr>
            </w:pPr>
            <w:r>
              <w:rPr>
                <w:rFonts w:hint="eastAsia" w:ascii="宋体" w:hAnsi="宋体"/>
                <w:b/>
                <w:bCs/>
                <w:highlight w:val="none"/>
              </w:rPr>
              <w:t>响应情况</w:t>
            </w:r>
          </w:p>
        </w:tc>
        <w:tc>
          <w:tcPr>
            <w:tcW w:w="1717" w:type="dxa"/>
            <w:tcBorders>
              <w:top w:val="double" w:color="auto" w:sz="4" w:space="0"/>
            </w:tcBorders>
            <w:vAlign w:val="center"/>
          </w:tcPr>
          <w:p>
            <w:pPr>
              <w:spacing w:line="360" w:lineRule="auto"/>
              <w:jc w:val="center"/>
              <w:outlineLvl w:val="9"/>
              <w:rPr>
                <w:rFonts w:ascii="宋体"/>
                <w:b/>
                <w:bCs/>
                <w:highlight w:val="none"/>
              </w:rPr>
            </w:pPr>
            <w:r>
              <w:rPr>
                <w:rFonts w:hint="eastAsia" w:ascii="宋体" w:hAnsi="宋体"/>
                <w:b/>
                <w:bCs/>
                <w:highlight w:val="none"/>
              </w:rPr>
              <w:t>偏离</w:t>
            </w:r>
          </w:p>
        </w:tc>
        <w:tc>
          <w:tcPr>
            <w:tcW w:w="1717" w:type="dxa"/>
            <w:tcBorders>
              <w:top w:val="double" w:color="auto" w:sz="4" w:space="0"/>
            </w:tcBorders>
            <w:vAlign w:val="center"/>
          </w:tcPr>
          <w:p>
            <w:pPr>
              <w:spacing w:line="360" w:lineRule="auto"/>
              <w:jc w:val="center"/>
              <w:outlineLvl w:val="9"/>
              <w:rPr>
                <w:rFonts w:ascii="宋体"/>
                <w:b/>
                <w:bCs/>
                <w:highlight w:val="none"/>
              </w:rPr>
            </w:pPr>
            <w:r>
              <w:rPr>
                <w:rFonts w:hint="eastAsia" w:ascii="宋体" w:hAnsi="宋体"/>
                <w:b/>
                <w:bCs/>
                <w:highlight w:val="none"/>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16"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16"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16"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16"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16"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16"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16"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716"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c>
          <w:tcPr>
            <w:tcW w:w="1717" w:type="dxa"/>
            <w:vAlign w:val="center"/>
          </w:tcPr>
          <w:p>
            <w:pPr>
              <w:spacing w:line="360" w:lineRule="auto"/>
              <w:jc w:val="center"/>
              <w:outlineLvl w:val="9"/>
              <w:rPr>
                <w:rFonts w:ascii="宋体"/>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716" w:type="dxa"/>
            <w:tcBorders>
              <w:bottom w:val="double" w:color="auto" w:sz="4" w:space="0"/>
            </w:tcBorders>
            <w:vAlign w:val="center"/>
          </w:tcPr>
          <w:p>
            <w:pPr>
              <w:spacing w:line="360" w:lineRule="auto"/>
              <w:jc w:val="center"/>
              <w:outlineLvl w:val="9"/>
              <w:rPr>
                <w:rFonts w:ascii="宋体"/>
                <w:highlight w:val="none"/>
              </w:rPr>
            </w:pPr>
          </w:p>
        </w:tc>
        <w:tc>
          <w:tcPr>
            <w:tcW w:w="1717" w:type="dxa"/>
            <w:tcBorders>
              <w:bottom w:val="double" w:color="auto" w:sz="4" w:space="0"/>
            </w:tcBorders>
            <w:vAlign w:val="center"/>
          </w:tcPr>
          <w:p>
            <w:pPr>
              <w:spacing w:line="360" w:lineRule="auto"/>
              <w:jc w:val="center"/>
              <w:outlineLvl w:val="9"/>
              <w:rPr>
                <w:rFonts w:ascii="宋体"/>
                <w:highlight w:val="none"/>
              </w:rPr>
            </w:pPr>
          </w:p>
        </w:tc>
        <w:tc>
          <w:tcPr>
            <w:tcW w:w="1717" w:type="dxa"/>
            <w:tcBorders>
              <w:bottom w:val="double" w:color="auto" w:sz="4" w:space="0"/>
            </w:tcBorders>
            <w:vAlign w:val="center"/>
          </w:tcPr>
          <w:p>
            <w:pPr>
              <w:spacing w:line="360" w:lineRule="auto"/>
              <w:jc w:val="center"/>
              <w:outlineLvl w:val="9"/>
              <w:rPr>
                <w:rFonts w:ascii="宋体"/>
                <w:highlight w:val="none"/>
              </w:rPr>
            </w:pPr>
          </w:p>
        </w:tc>
        <w:tc>
          <w:tcPr>
            <w:tcW w:w="1717" w:type="dxa"/>
            <w:tcBorders>
              <w:bottom w:val="double" w:color="auto" w:sz="4" w:space="0"/>
            </w:tcBorders>
            <w:vAlign w:val="center"/>
          </w:tcPr>
          <w:p>
            <w:pPr>
              <w:spacing w:line="360" w:lineRule="auto"/>
              <w:jc w:val="center"/>
              <w:outlineLvl w:val="9"/>
              <w:rPr>
                <w:rFonts w:ascii="宋体"/>
                <w:highlight w:val="none"/>
              </w:rPr>
            </w:pPr>
          </w:p>
        </w:tc>
        <w:tc>
          <w:tcPr>
            <w:tcW w:w="1717" w:type="dxa"/>
            <w:tcBorders>
              <w:bottom w:val="double" w:color="auto" w:sz="4" w:space="0"/>
            </w:tcBorders>
            <w:vAlign w:val="center"/>
          </w:tcPr>
          <w:p>
            <w:pPr>
              <w:spacing w:line="360" w:lineRule="auto"/>
              <w:jc w:val="center"/>
              <w:outlineLvl w:val="9"/>
              <w:rPr>
                <w:rFonts w:ascii="宋体"/>
                <w:highlight w:val="none"/>
              </w:rPr>
            </w:pPr>
          </w:p>
        </w:tc>
      </w:tr>
    </w:tbl>
    <w:p>
      <w:pPr>
        <w:spacing w:line="360" w:lineRule="auto"/>
        <w:outlineLvl w:val="9"/>
        <w:rPr>
          <w:rFonts w:ascii="宋体" w:hAnsi="宋体" w:cs="宋体"/>
          <w:sz w:val="24"/>
          <w:highlight w:val="none"/>
        </w:rPr>
      </w:pPr>
      <w:r>
        <w:rPr>
          <w:rFonts w:hint="eastAsia" w:ascii="宋体" w:hAnsi="宋体" w:cs="宋体"/>
          <w:sz w:val="24"/>
          <w:highlight w:val="none"/>
        </w:rPr>
        <w:t xml:space="preserve">   </w:t>
      </w:r>
    </w:p>
    <w:p>
      <w:pPr>
        <w:spacing w:line="360" w:lineRule="auto"/>
        <w:outlineLvl w:val="9"/>
        <w:rPr>
          <w:rFonts w:ascii="宋体" w:hAnsi="宋体" w:cs="宋体"/>
          <w:highlight w:val="none"/>
        </w:rPr>
      </w:pPr>
      <w:r>
        <w:rPr>
          <w:rFonts w:hint="eastAsia" w:ascii="宋体" w:hAnsi="宋体" w:cs="宋体"/>
          <w:highlight w:val="none"/>
        </w:rPr>
        <w:t>注：1、表格不够用，各供应商可按此表复制；</w:t>
      </w:r>
    </w:p>
    <w:p>
      <w:pPr>
        <w:spacing w:line="360" w:lineRule="auto"/>
        <w:ind w:firstLine="420" w:firstLineChars="200"/>
        <w:outlineLvl w:val="9"/>
        <w:rPr>
          <w:rFonts w:ascii="宋体" w:hAnsi="宋体" w:cs="宋体"/>
          <w:highlight w:val="none"/>
        </w:rPr>
      </w:pPr>
      <w:r>
        <w:rPr>
          <w:rFonts w:hint="eastAsia" w:ascii="宋体" w:hAnsi="宋体" w:cs="宋体"/>
          <w:highlight w:val="none"/>
        </w:rPr>
        <w:t>2、供应商应承诺是否响应</w:t>
      </w:r>
      <w:r>
        <w:rPr>
          <w:rFonts w:hint="eastAsia" w:ascii="宋体" w:hAnsi="宋体" w:cs="宋体"/>
          <w:highlight w:val="none"/>
          <w:lang w:eastAsia="zh-CN"/>
        </w:rPr>
        <w:t>谈判</w:t>
      </w:r>
      <w:r>
        <w:rPr>
          <w:rFonts w:hint="eastAsia" w:ascii="宋体" w:hAnsi="宋体" w:cs="宋体"/>
          <w:highlight w:val="none"/>
        </w:rPr>
        <w:t>文件中规定的实质性要求和条件，在此基础上，可做出其他有利于采购人的承诺，如供应商不承诺完全响应</w:t>
      </w:r>
      <w:r>
        <w:rPr>
          <w:rFonts w:hint="eastAsia" w:ascii="宋体" w:hAnsi="宋体" w:cs="宋体"/>
          <w:highlight w:val="none"/>
          <w:lang w:eastAsia="zh-CN"/>
        </w:rPr>
        <w:t>谈判</w:t>
      </w:r>
      <w:r>
        <w:rPr>
          <w:rFonts w:hint="eastAsia" w:ascii="宋体" w:hAnsi="宋体" w:cs="宋体"/>
          <w:highlight w:val="none"/>
        </w:rPr>
        <w:t>文件中规定的实质性要求和条件，应对不响应部分的内容予以具体说明。请按项目的实际技术参数，逐条对应招标文件的“招标内容及技术要求”，认真填写本表。偏离情况填写：优于、等于</w:t>
      </w:r>
      <w:r>
        <w:rPr>
          <w:rFonts w:hint="eastAsia" w:ascii="宋体" w:hAnsi="宋体" w:cs="宋体"/>
          <w:highlight w:val="none"/>
          <w:lang w:eastAsia="zh-CN"/>
        </w:rPr>
        <w:t>，</w:t>
      </w:r>
      <w:r>
        <w:rPr>
          <w:rFonts w:hint="eastAsia" w:ascii="宋体" w:hAnsi="宋体" w:cs="宋体"/>
          <w:highlight w:val="none"/>
        </w:rPr>
        <w:t>供应商</w:t>
      </w:r>
      <w:r>
        <w:rPr>
          <w:rFonts w:hint="eastAsia" w:ascii="宋体" w:hAnsi="宋体" w:cs="宋体"/>
          <w:highlight w:val="none"/>
          <w:lang w:eastAsia="zh-CN"/>
        </w:rPr>
        <w:t>需</w:t>
      </w:r>
      <w:r>
        <w:rPr>
          <w:rFonts w:hint="eastAsia" w:ascii="宋体" w:hAnsi="宋体" w:cs="宋体"/>
          <w:highlight w:val="none"/>
        </w:rPr>
        <w:t>承诺完全响应</w:t>
      </w:r>
      <w:r>
        <w:rPr>
          <w:rFonts w:hint="eastAsia" w:ascii="宋体" w:hAnsi="宋体" w:cs="宋体"/>
          <w:highlight w:val="none"/>
          <w:lang w:eastAsia="zh-CN"/>
        </w:rPr>
        <w:t>谈判</w:t>
      </w:r>
      <w:r>
        <w:rPr>
          <w:rFonts w:hint="eastAsia" w:ascii="宋体" w:hAnsi="宋体" w:cs="宋体"/>
          <w:highlight w:val="none"/>
        </w:rPr>
        <w:t>文件中规定的要求。</w:t>
      </w:r>
    </w:p>
    <w:p>
      <w:pPr>
        <w:spacing w:line="360" w:lineRule="auto"/>
        <w:ind w:firstLine="420" w:firstLineChars="200"/>
        <w:outlineLvl w:val="9"/>
        <w:rPr>
          <w:rFonts w:hint="eastAsia" w:ascii="宋体" w:hAnsi="宋体" w:cs="宋体"/>
          <w:highlight w:val="none"/>
        </w:rPr>
      </w:pPr>
      <w:r>
        <w:rPr>
          <w:rFonts w:hint="eastAsia" w:ascii="宋体" w:hAnsi="宋体" w:cs="宋体"/>
          <w:highlight w:val="none"/>
        </w:rPr>
        <w:t>3、本表仅为参考，供应商可自拟格式，能说明问题即可。</w:t>
      </w:r>
    </w:p>
    <w:p>
      <w:pPr>
        <w:spacing w:line="360" w:lineRule="auto"/>
        <w:outlineLvl w:val="9"/>
        <w:rPr>
          <w:rFonts w:ascii="宋体"/>
          <w:highlight w:val="none"/>
        </w:rPr>
      </w:pPr>
    </w:p>
    <w:p>
      <w:pPr>
        <w:spacing w:line="360" w:lineRule="auto"/>
        <w:outlineLvl w:val="9"/>
        <w:rPr>
          <w:rFonts w:ascii="宋体"/>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sz w:val="24"/>
          <w:szCs w:val="24"/>
          <w:highlight w:val="none"/>
        </w:rPr>
      </w:pPr>
      <w:r>
        <w:rPr>
          <w:rFonts w:hint="eastAsia" w:asciiTheme="minorEastAsia" w:hAnsiTheme="minorEastAsia" w:eastAsiaTheme="minorEastAsia" w:cstheme="minorEastAsia"/>
          <w:sz w:val="24"/>
          <w:szCs w:val="24"/>
          <w:highlight w:val="none"/>
        </w:rPr>
        <w:t>供应商（公章）：</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sz w:val="24"/>
          <w:szCs w:val="24"/>
          <w:highlight w:val="none"/>
          <w:u w:val="single"/>
        </w:rPr>
      </w:pPr>
      <w:r>
        <w:rPr>
          <w:rFonts w:hint="eastAsia" w:asciiTheme="minorEastAsia" w:hAnsiTheme="minorEastAsia" w:eastAsiaTheme="minorEastAsia" w:cstheme="minorEastAsia"/>
          <w:sz w:val="24"/>
          <w:szCs w:val="24"/>
          <w:highlight w:val="none"/>
        </w:rPr>
        <w:t>法定代表人</w:t>
      </w:r>
      <w:r>
        <w:rPr>
          <w:rFonts w:hint="eastAsia" w:asciiTheme="minorEastAsia" w:hAnsiTheme="minorEastAsia" w:cstheme="minorEastAsia"/>
          <w:sz w:val="24"/>
          <w:szCs w:val="24"/>
          <w:highlight w:val="none"/>
          <w:lang w:eastAsia="zh-CN"/>
        </w:rPr>
        <w:t>或</w:t>
      </w:r>
      <w:r>
        <w:rPr>
          <w:rFonts w:hint="eastAsia" w:asciiTheme="minorEastAsia" w:hAnsiTheme="minorEastAsia" w:eastAsiaTheme="minorEastAsia" w:cstheme="minorEastAsia"/>
          <w:sz w:val="24"/>
          <w:szCs w:val="24"/>
          <w:highlight w:val="none"/>
        </w:rPr>
        <w:t>授权代表（签字</w:t>
      </w:r>
      <w:r>
        <w:rPr>
          <w:rFonts w:hint="eastAsia" w:asciiTheme="minorEastAsia" w:hAnsiTheme="minorEastAsia" w:eastAsiaTheme="minorEastAsia" w:cstheme="minorEastAsia"/>
          <w:sz w:val="24"/>
          <w:szCs w:val="24"/>
          <w:highlight w:val="none"/>
          <w:lang w:eastAsia="zh-CN"/>
        </w:rPr>
        <w:t>或盖章</w:t>
      </w:r>
      <w:r>
        <w:rPr>
          <w:rFonts w:hint="eastAsia" w:asciiTheme="minorEastAsia" w:hAnsiTheme="minorEastAsia" w:eastAsiaTheme="minorEastAsia" w:cstheme="minorEastAsia"/>
          <w:sz w:val="24"/>
          <w:szCs w:val="24"/>
          <w:highlight w:val="none"/>
        </w:rPr>
        <w:t>）：</w:t>
      </w:r>
      <w:r>
        <w:rPr>
          <w:rFonts w:hint="eastAsia" w:asciiTheme="minorEastAsia" w:hAnsiTheme="minorEastAsia" w:eastAsiaTheme="minorEastAsia" w:cstheme="minorEastAsia"/>
          <w:sz w:val="24"/>
          <w:szCs w:val="24"/>
          <w:highlight w:val="none"/>
          <w:u w:val="single"/>
        </w:rPr>
        <w:t xml:space="preserve">         </w:t>
      </w:r>
    </w:p>
    <w:p>
      <w:pPr>
        <w:pStyle w:val="19"/>
        <w:rPr>
          <w:rFonts w:hint="eastAsia"/>
        </w:rPr>
      </w:pPr>
      <w:r>
        <w:rPr>
          <w:rFonts w:hint="eastAsia" w:asciiTheme="minorEastAsia" w:hAnsiTheme="minorEastAsia" w:eastAsiaTheme="minorEastAsia" w:cstheme="minorEastAsia"/>
          <w:sz w:val="24"/>
          <w:szCs w:val="24"/>
          <w:highlight w:val="none"/>
        </w:rPr>
        <w:t>日    期：</w:t>
      </w:r>
      <w:r>
        <w:rPr>
          <w:rFonts w:hint="eastAsia" w:asciiTheme="minorEastAsia" w:hAnsiTheme="minorEastAsia" w:eastAsiaTheme="minorEastAsia" w:cstheme="minorEastAsia"/>
          <w:sz w:val="24"/>
          <w:szCs w:val="24"/>
          <w:highlight w:val="none"/>
          <w:u w:val="single"/>
        </w:rPr>
        <w:t xml:space="preserve">                          </w:t>
      </w:r>
      <w:r>
        <w:rPr>
          <w:rFonts w:hint="eastAsia" w:asciiTheme="minorEastAsia" w:hAnsiTheme="minorEastAsia" w:cstheme="minorEastAsia"/>
          <w:sz w:val="24"/>
          <w:szCs w:val="24"/>
          <w:highlight w:val="none"/>
          <w:u w:val="single"/>
          <w:lang w:val="en-US" w:eastAsia="zh-CN"/>
        </w:rPr>
        <w:t xml:space="preserve">     </w:t>
      </w:r>
      <w:r>
        <w:rPr>
          <w:rFonts w:hint="eastAsia" w:asciiTheme="minorEastAsia" w:hAnsiTheme="minorEastAsia" w:eastAsiaTheme="minorEastAsia" w:cstheme="minorEastAsia"/>
          <w:sz w:val="24"/>
          <w:szCs w:val="24"/>
          <w:highlight w:val="none"/>
          <w:u w:val="single"/>
        </w:rPr>
        <w:t xml:space="preserve">  </w:t>
      </w:r>
    </w:p>
    <w:p>
      <w:pPr>
        <w:rPr>
          <w:rFonts w:hint="eastAsia" w:ascii="宋体" w:hAnsi="宋体"/>
          <w:b/>
          <w:color w:val="auto"/>
          <w:sz w:val="32"/>
          <w:szCs w:val="24"/>
          <w:highlight w:val="none"/>
        </w:rPr>
      </w:pPr>
    </w:p>
    <w:p>
      <w:pPr>
        <w:adjustRightInd w:val="0"/>
        <w:snapToGrid w:val="0"/>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商务及合同主要条款响应说明</w:t>
      </w:r>
    </w:p>
    <w:p>
      <w:pPr>
        <w:kinsoku w:val="0"/>
        <w:spacing w:line="500" w:lineRule="exact"/>
        <w:ind w:firstLine="120" w:firstLineChars="5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lang w:val="en-US" w:eastAsia="zh-CN"/>
        </w:rPr>
        <w:t xml:space="preserve">    </w:t>
      </w:r>
    </w:p>
    <w:p>
      <w:pPr>
        <w:kinsoku w:val="0"/>
        <w:spacing w:line="500" w:lineRule="exact"/>
        <w:ind w:firstLine="120" w:firstLineChars="50"/>
        <w:rPr>
          <w:rFonts w:hint="eastAsia" w:ascii="宋体" w:hAnsi="宋体" w:eastAsia="宋体" w:cs="宋体"/>
          <w:b/>
          <w:color w:val="auto"/>
          <w:sz w:val="24"/>
          <w:highlight w:val="none"/>
        </w:rPr>
      </w:pPr>
      <w:r>
        <w:rPr>
          <w:rFonts w:hint="eastAsia" w:ascii="宋体" w:hAnsi="宋体" w:eastAsia="宋体" w:cs="宋体"/>
          <w:color w:val="auto"/>
          <w:sz w:val="24"/>
          <w:highlight w:val="none"/>
        </w:rPr>
        <w:t>项目编号：</w:t>
      </w:r>
      <w:r>
        <w:rPr>
          <w:rFonts w:hint="eastAsia" w:ascii="宋体" w:hAnsi="宋体" w:eastAsia="宋体" w:cs="宋体"/>
          <w:color w:val="auto"/>
          <w:sz w:val="32"/>
          <w:szCs w:val="32"/>
          <w:highlight w:val="none"/>
        </w:rPr>
        <w:t xml:space="preserve">                      </w:t>
      </w:r>
    </w:p>
    <w:tbl>
      <w:tblPr>
        <w:tblStyle w:val="22"/>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1"/>
        <w:gridCol w:w="3451"/>
        <w:gridCol w:w="3015"/>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firstLine="120" w:firstLineChars="50"/>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3451" w:type="dxa"/>
            <w:vAlign w:val="center"/>
          </w:tcPr>
          <w:p>
            <w:pPr>
              <w:spacing w:line="560" w:lineRule="exact"/>
              <w:ind w:right="-168" w:rightChars="-8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招标文件要求</w:t>
            </w:r>
          </w:p>
        </w:tc>
        <w:tc>
          <w:tcPr>
            <w:tcW w:w="3015" w:type="dxa"/>
            <w:vAlign w:val="center"/>
          </w:tcPr>
          <w:p>
            <w:pPr>
              <w:spacing w:line="560" w:lineRule="exact"/>
              <w:ind w:right="-168" w:rightChars="-80"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投标文件实际数据</w:t>
            </w:r>
          </w:p>
        </w:tc>
        <w:tc>
          <w:tcPr>
            <w:tcW w:w="1881" w:type="dxa"/>
            <w:vAlign w:val="center"/>
          </w:tcPr>
          <w:p>
            <w:pPr>
              <w:spacing w:line="560" w:lineRule="exact"/>
              <w:ind w:right="-168" w:rightChars="-80"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响应说明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45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015"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1881" w:type="dxa"/>
            <w:vAlign w:val="center"/>
          </w:tcPr>
          <w:p>
            <w:pPr>
              <w:spacing w:line="560" w:lineRule="exact"/>
              <w:ind w:right="-168" w:rightChars="-8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45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015"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1881" w:type="dxa"/>
            <w:vAlign w:val="center"/>
          </w:tcPr>
          <w:p>
            <w:pPr>
              <w:spacing w:line="560" w:lineRule="exact"/>
              <w:ind w:right="-168" w:rightChars="-8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45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015"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1881" w:type="dxa"/>
            <w:vAlign w:val="center"/>
          </w:tcPr>
          <w:p>
            <w:pPr>
              <w:spacing w:line="560" w:lineRule="exact"/>
              <w:ind w:right="-168" w:rightChars="-8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45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015"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1881" w:type="dxa"/>
            <w:vAlign w:val="center"/>
          </w:tcPr>
          <w:p>
            <w:pPr>
              <w:spacing w:line="560" w:lineRule="exact"/>
              <w:ind w:right="-168" w:rightChars="-8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45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015"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1881" w:type="dxa"/>
            <w:vAlign w:val="center"/>
          </w:tcPr>
          <w:p>
            <w:pPr>
              <w:spacing w:line="560" w:lineRule="exact"/>
              <w:ind w:right="-168" w:rightChars="-8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45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015"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1881" w:type="dxa"/>
            <w:vAlign w:val="center"/>
          </w:tcPr>
          <w:p>
            <w:pPr>
              <w:spacing w:line="560" w:lineRule="exact"/>
              <w:ind w:right="-168" w:rightChars="-8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45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015"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1881" w:type="dxa"/>
            <w:vAlign w:val="center"/>
          </w:tcPr>
          <w:p>
            <w:pPr>
              <w:spacing w:line="560" w:lineRule="exact"/>
              <w:ind w:right="-168" w:rightChars="-8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45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015"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1881" w:type="dxa"/>
            <w:vAlign w:val="center"/>
          </w:tcPr>
          <w:p>
            <w:pPr>
              <w:spacing w:line="560" w:lineRule="exact"/>
              <w:ind w:right="-168" w:rightChars="-8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45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015"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1881" w:type="dxa"/>
            <w:vAlign w:val="center"/>
          </w:tcPr>
          <w:p>
            <w:pPr>
              <w:spacing w:line="560" w:lineRule="exact"/>
              <w:ind w:right="-168" w:rightChars="-8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45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015"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1881" w:type="dxa"/>
            <w:vAlign w:val="center"/>
          </w:tcPr>
          <w:p>
            <w:pPr>
              <w:spacing w:line="560" w:lineRule="exact"/>
              <w:ind w:right="-168" w:rightChars="-8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45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015"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1881" w:type="dxa"/>
            <w:vAlign w:val="center"/>
          </w:tcPr>
          <w:p>
            <w:pPr>
              <w:spacing w:line="560" w:lineRule="exact"/>
              <w:ind w:right="-168" w:rightChars="-8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45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015"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1881" w:type="dxa"/>
            <w:vAlign w:val="center"/>
          </w:tcPr>
          <w:p>
            <w:pPr>
              <w:spacing w:line="560" w:lineRule="exact"/>
              <w:ind w:right="-168" w:rightChars="-8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45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015"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1881" w:type="dxa"/>
            <w:vAlign w:val="center"/>
          </w:tcPr>
          <w:p>
            <w:pPr>
              <w:spacing w:line="560" w:lineRule="exact"/>
              <w:ind w:right="-168" w:rightChars="-8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45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015"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1881" w:type="dxa"/>
            <w:vAlign w:val="center"/>
          </w:tcPr>
          <w:p>
            <w:pPr>
              <w:spacing w:line="560" w:lineRule="exact"/>
              <w:ind w:right="-168" w:rightChars="-80"/>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451"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3015" w:type="dxa"/>
            <w:vAlign w:val="center"/>
          </w:tcPr>
          <w:p>
            <w:pPr>
              <w:spacing w:line="560" w:lineRule="exact"/>
              <w:ind w:right="-168" w:rightChars="-80"/>
              <w:jc w:val="center"/>
              <w:rPr>
                <w:rFonts w:hint="eastAsia" w:ascii="宋体" w:hAnsi="宋体" w:eastAsia="宋体" w:cs="宋体"/>
                <w:color w:val="auto"/>
                <w:sz w:val="24"/>
                <w:highlight w:val="none"/>
              </w:rPr>
            </w:pPr>
          </w:p>
        </w:tc>
        <w:tc>
          <w:tcPr>
            <w:tcW w:w="1881" w:type="dxa"/>
            <w:vAlign w:val="center"/>
          </w:tcPr>
          <w:p>
            <w:pPr>
              <w:spacing w:line="560" w:lineRule="exact"/>
              <w:ind w:right="-168" w:rightChars="-80"/>
              <w:jc w:val="center"/>
              <w:rPr>
                <w:rFonts w:hint="eastAsia" w:ascii="宋体" w:hAnsi="宋体" w:eastAsia="宋体" w:cs="宋体"/>
                <w:color w:val="auto"/>
                <w:sz w:val="24"/>
                <w:highlight w:val="none"/>
              </w:rPr>
            </w:pPr>
          </w:p>
        </w:tc>
      </w:tr>
    </w:tbl>
    <w:p>
      <w:pPr>
        <w:autoSpaceDE w:val="0"/>
        <w:autoSpaceDN w:val="0"/>
        <w:adjustRightIn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说明：</w:t>
      </w:r>
    </w:p>
    <w:p>
      <w:pPr>
        <w:autoSpaceDE w:val="0"/>
        <w:autoSpaceDN w:val="0"/>
        <w:adjustRightIn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1、投标文件根据第四部分商务及合同主要条款须如实填写。</w:t>
      </w:r>
    </w:p>
    <w:p>
      <w:pPr>
        <w:autoSpaceDE w:val="0"/>
        <w:autoSpaceDN w:val="0"/>
        <w:adjustRightIn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2、响应说明填写：优于、相同。</w:t>
      </w:r>
    </w:p>
    <w:p>
      <w:pPr>
        <w:pStyle w:val="10"/>
        <w:ind w:firstLine="48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投标人（公章）：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 xml:space="preserve">      法定代表人/被授权人（</w:t>
      </w:r>
      <w:r>
        <w:rPr>
          <w:rFonts w:hint="eastAsia" w:ascii="宋体" w:hAnsi="宋体" w:eastAsia="宋体" w:cs="宋体"/>
          <w:color w:val="auto"/>
          <w:sz w:val="24"/>
          <w:highlight w:val="none"/>
        </w:rPr>
        <w:t>签字或盖章</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p>
    <w:p>
      <w:pPr>
        <w:widowControl/>
        <w:spacing w:line="360" w:lineRule="auto"/>
        <w:jc w:val="center"/>
        <w:outlineLvl w:val="9"/>
        <w:rPr>
          <w:rFonts w:hint="eastAsia" w:ascii="宋体" w:hAnsi="宋体"/>
          <w:b/>
          <w:color w:val="auto"/>
          <w:sz w:val="32"/>
          <w:szCs w:val="24"/>
          <w:highlight w:val="none"/>
        </w:rPr>
      </w:pPr>
    </w:p>
    <w:p>
      <w:pPr>
        <w:widowControl/>
        <w:spacing w:line="360" w:lineRule="auto"/>
        <w:jc w:val="center"/>
        <w:outlineLvl w:val="9"/>
        <w:rPr>
          <w:rFonts w:hint="eastAsia" w:ascii="宋体" w:hAnsi="宋体"/>
          <w:b/>
          <w:color w:val="auto"/>
          <w:sz w:val="32"/>
          <w:szCs w:val="24"/>
          <w:highlight w:val="none"/>
        </w:rPr>
      </w:pPr>
    </w:p>
    <w:p>
      <w:pPr>
        <w:widowControl/>
        <w:spacing w:line="360" w:lineRule="auto"/>
        <w:jc w:val="center"/>
        <w:outlineLvl w:val="9"/>
        <w:rPr>
          <w:rFonts w:hint="eastAsia"/>
          <w:b/>
          <w:color w:val="auto"/>
          <w:sz w:val="30"/>
          <w:szCs w:val="30"/>
          <w:highlight w:val="none"/>
        </w:rPr>
      </w:pPr>
      <w:r>
        <w:rPr>
          <w:rFonts w:hint="eastAsia" w:ascii="宋体" w:hAnsi="宋体"/>
          <w:b/>
          <w:color w:val="auto"/>
          <w:sz w:val="32"/>
          <w:szCs w:val="24"/>
          <w:highlight w:val="none"/>
        </w:rPr>
        <w:t>三、</w:t>
      </w:r>
      <w:bookmarkStart w:id="72" w:name="_Hlk63340562"/>
      <w:r>
        <w:rPr>
          <w:rFonts w:hint="eastAsia" w:ascii="宋体" w:hAnsi="宋体"/>
          <w:b/>
          <w:color w:val="auto"/>
          <w:sz w:val="32"/>
          <w:szCs w:val="24"/>
          <w:highlight w:val="none"/>
        </w:rPr>
        <w:t>法定代表人（自然人）身份证明</w:t>
      </w:r>
      <w:bookmarkEnd w:id="71"/>
    </w:p>
    <w:bookmarkEnd w:id="72"/>
    <w:p>
      <w:pPr>
        <w:autoSpaceDE w:val="0"/>
        <w:autoSpaceDN w:val="0"/>
        <w:adjustRightInd w:val="0"/>
        <w:spacing w:line="360" w:lineRule="auto"/>
        <w:jc w:val="right"/>
        <w:outlineLvl w:val="9"/>
        <w:rPr>
          <w:rFonts w:hint="eastAsia" w:ascii="宋体" w:hAnsi="宋体"/>
          <w:color w:val="auto"/>
          <w:szCs w:val="21"/>
          <w:highlight w:val="none"/>
          <w:lang w:val="zh-CN"/>
        </w:rPr>
      </w:pPr>
    </w:p>
    <w:p>
      <w:pPr>
        <w:autoSpaceDE w:val="0"/>
        <w:autoSpaceDN w:val="0"/>
        <w:adjustRightInd w:val="0"/>
        <w:spacing w:line="360" w:lineRule="auto"/>
        <w:ind w:right="105"/>
        <w:jc w:val="left"/>
        <w:outlineLvl w:val="9"/>
        <w:rPr>
          <w:rFonts w:hint="eastAsia" w:ascii="宋体" w:hAnsi="宋体"/>
          <w:color w:val="auto"/>
          <w:sz w:val="24"/>
          <w:szCs w:val="24"/>
          <w:highlight w:val="none"/>
          <w:lang w:val="zh-CN"/>
        </w:rPr>
      </w:pPr>
      <w:r>
        <w:rPr>
          <w:rFonts w:hint="eastAsia" w:ascii="宋体" w:hAnsi="宋体"/>
          <w:color w:val="auto"/>
          <w:sz w:val="24"/>
          <w:szCs w:val="24"/>
          <w:highlight w:val="none"/>
          <w:lang w:val="zh-CN"/>
        </w:rPr>
        <w:t>供应商名称：</w:t>
      </w:r>
      <w:r>
        <w:rPr>
          <w:rFonts w:hint="eastAsia" w:ascii="宋体" w:hAnsi="宋体"/>
          <w:color w:val="auto"/>
          <w:sz w:val="24"/>
          <w:szCs w:val="24"/>
          <w:highlight w:val="none"/>
          <w:u w:val="single"/>
          <w:lang w:val="zh-CN"/>
        </w:rPr>
        <w:t xml:space="preserve">                                    </w:t>
      </w:r>
    </w:p>
    <w:p>
      <w:pPr>
        <w:autoSpaceDE w:val="0"/>
        <w:autoSpaceDN w:val="0"/>
        <w:adjustRightInd w:val="0"/>
        <w:spacing w:line="360" w:lineRule="auto"/>
        <w:ind w:right="105"/>
        <w:jc w:val="left"/>
        <w:outlineLvl w:val="9"/>
        <w:rPr>
          <w:rFonts w:hint="eastAsia" w:ascii="宋体" w:hAnsi="宋体"/>
          <w:color w:val="auto"/>
          <w:sz w:val="24"/>
          <w:szCs w:val="24"/>
          <w:highlight w:val="none"/>
          <w:lang w:val="zh-CN"/>
        </w:rPr>
      </w:pPr>
      <w:r>
        <w:rPr>
          <w:rFonts w:hint="eastAsia" w:ascii="宋体" w:hAnsi="宋体"/>
          <w:color w:val="auto"/>
          <w:sz w:val="24"/>
          <w:szCs w:val="24"/>
          <w:highlight w:val="none"/>
          <w:lang w:val="zh-CN"/>
        </w:rPr>
        <w:t>姓名：</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性别：</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年龄：</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职务：</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系</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（供应商</w:t>
      </w:r>
    </w:p>
    <w:p>
      <w:pPr>
        <w:autoSpaceDE w:val="0"/>
        <w:autoSpaceDN w:val="0"/>
        <w:adjustRightInd w:val="0"/>
        <w:spacing w:line="360" w:lineRule="auto"/>
        <w:ind w:right="105"/>
        <w:jc w:val="left"/>
        <w:outlineLvl w:val="9"/>
        <w:rPr>
          <w:rFonts w:hint="eastAsia" w:ascii="宋体" w:hAnsi="宋体"/>
          <w:color w:val="auto"/>
          <w:sz w:val="24"/>
          <w:szCs w:val="24"/>
          <w:highlight w:val="none"/>
          <w:lang w:val="zh-CN"/>
        </w:rPr>
      </w:pPr>
      <w:r>
        <w:rPr>
          <w:rFonts w:hint="eastAsia" w:ascii="宋体" w:hAnsi="宋体"/>
          <w:color w:val="auto"/>
          <w:sz w:val="24"/>
          <w:szCs w:val="24"/>
          <w:highlight w:val="none"/>
          <w:lang w:val="zh-CN"/>
        </w:rPr>
        <w:t>名称）的法定代表人。</w:t>
      </w:r>
    </w:p>
    <w:p>
      <w:pPr>
        <w:autoSpaceDE w:val="0"/>
        <w:autoSpaceDN w:val="0"/>
        <w:adjustRightInd w:val="0"/>
        <w:spacing w:line="600" w:lineRule="auto"/>
        <w:ind w:right="105" w:firstLine="480" w:firstLineChars="200"/>
        <w:jc w:val="left"/>
        <w:outlineLvl w:val="9"/>
        <w:rPr>
          <w:rFonts w:hint="eastAsia" w:ascii="宋体" w:hAnsi="宋体"/>
          <w:color w:val="auto"/>
          <w:sz w:val="24"/>
          <w:szCs w:val="24"/>
          <w:highlight w:val="none"/>
          <w:lang w:val="zh-CN"/>
        </w:rPr>
      </w:pPr>
      <w:r>
        <w:rPr>
          <w:rFonts w:hint="eastAsia" w:ascii="宋体" w:hAnsi="宋体"/>
          <w:color w:val="auto"/>
          <w:sz w:val="24"/>
          <w:szCs w:val="24"/>
          <w:highlight w:val="none"/>
          <w:lang w:val="zh-CN"/>
        </w:rPr>
        <w:t>特此证明。</w:t>
      </w:r>
    </w:p>
    <w:p>
      <w:pPr>
        <w:autoSpaceDE w:val="0"/>
        <w:autoSpaceDN w:val="0"/>
        <w:adjustRightInd w:val="0"/>
        <w:spacing w:line="360" w:lineRule="auto"/>
        <w:ind w:right="105"/>
        <w:jc w:val="left"/>
        <w:outlineLvl w:val="9"/>
        <w:rPr>
          <w:rFonts w:hint="eastAsia" w:ascii="宋体" w:hAnsi="宋体"/>
          <w:color w:val="auto"/>
          <w:sz w:val="24"/>
          <w:szCs w:val="24"/>
          <w:highlight w:val="none"/>
          <w:lang w:val="zh-CN"/>
        </w:rPr>
      </w:pPr>
      <w:r>
        <w:rPr>
          <w:rFonts w:hint="eastAsia" w:ascii="宋体" w:hAnsi="宋体"/>
          <w:color w:val="auto"/>
          <w:sz w:val="24"/>
          <w:szCs w:val="24"/>
          <w:highlight w:val="none"/>
          <w:lang w:val="zh-CN"/>
        </w:rPr>
        <w:t>附：法定代表人身份证复印件。</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50"/>
        <w:gridCol w:w="4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8" w:hRule="atLeast"/>
        </w:trPr>
        <w:tc>
          <w:tcPr>
            <w:tcW w:w="4550" w:type="dxa"/>
          </w:tcPr>
          <w:p>
            <w:pPr>
              <w:autoSpaceDE w:val="0"/>
              <w:autoSpaceDN w:val="0"/>
              <w:adjustRightInd w:val="0"/>
              <w:spacing w:line="360" w:lineRule="auto"/>
              <w:ind w:right="105"/>
              <w:jc w:val="left"/>
              <w:outlineLvl w:val="9"/>
              <w:rPr>
                <w:rFonts w:hint="eastAsia" w:ascii="宋体" w:hAnsi="宋体"/>
                <w:color w:val="auto"/>
                <w:sz w:val="24"/>
                <w:szCs w:val="24"/>
                <w:highlight w:val="none"/>
                <w:vertAlign w:val="baseline"/>
                <w:lang w:val="zh-CN"/>
              </w:rPr>
            </w:pPr>
          </w:p>
        </w:tc>
        <w:tc>
          <w:tcPr>
            <w:tcW w:w="4550" w:type="dxa"/>
          </w:tcPr>
          <w:p>
            <w:pPr>
              <w:autoSpaceDE w:val="0"/>
              <w:autoSpaceDN w:val="0"/>
              <w:adjustRightInd w:val="0"/>
              <w:spacing w:line="360" w:lineRule="auto"/>
              <w:ind w:right="105"/>
              <w:jc w:val="left"/>
              <w:outlineLvl w:val="9"/>
              <w:rPr>
                <w:rFonts w:hint="eastAsia" w:ascii="宋体" w:hAnsi="宋体"/>
                <w:color w:val="auto"/>
                <w:sz w:val="24"/>
                <w:szCs w:val="24"/>
                <w:highlight w:val="none"/>
                <w:vertAlign w:val="baseline"/>
                <w:lang w:val="zh-CN"/>
              </w:rPr>
            </w:pPr>
          </w:p>
        </w:tc>
      </w:tr>
    </w:tbl>
    <w:p>
      <w:pPr>
        <w:autoSpaceDE w:val="0"/>
        <w:autoSpaceDN w:val="0"/>
        <w:adjustRightInd w:val="0"/>
        <w:spacing w:line="360" w:lineRule="auto"/>
        <w:ind w:right="105"/>
        <w:jc w:val="left"/>
        <w:outlineLvl w:val="9"/>
        <w:rPr>
          <w:rFonts w:hint="eastAsia" w:ascii="宋体" w:hAnsi="宋体"/>
          <w:color w:val="auto"/>
          <w:sz w:val="24"/>
          <w:szCs w:val="24"/>
          <w:highlight w:val="none"/>
          <w:lang w:val="zh-CN"/>
        </w:rPr>
      </w:pPr>
    </w:p>
    <w:p>
      <w:pPr>
        <w:autoSpaceDE w:val="0"/>
        <w:autoSpaceDN w:val="0"/>
        <w:adjustRightInd w:val="0"/>
        <w:spacing w:line="360" w:lineRule="auto"/>
        <w:ind w:right="105"/>
        <w:jc w:val="left"/>
        <w:outlineLvl w:val="9"/>
        <w:rPr>
          <w:rFonts w:hint="eastAsia" w:ascii="宋体" w:hAnsi="宋体"/>
          <w:color w:val="auto"/>
          <w:sz w:val="24"/>
          <w:szCs w:val="24"/>
          <w:highlight w:val="none"/>
          <w:lang w:val="zh-CN"/>
        </w:rPr>
      </w:pPr>
    </w:p>
    <w:p>
      <w:pPr>
        <w:outlineLvl w:val="9"/>
        <w:rPr>
          <w:rFonts w:hint="eastAsia"/>
          <w:color w:val="auto"/>
          <w:highlight w:val="none"/>
          <w:lang w:val="zh-CN"/>
        </w:rPr>
      </w:pPr>
    </w:p>
    <w:p>
      <w:pPr>
        <w:autoSpaceDE w:val="0"/>
        <w:autoSpaceDN w:val="0"/>
        <w:adjustRightInd w:val="0"/>
        <w:spacing w:line="360" w:lineRule="auto"/>
        <w:ind w:right="105"/>
        <w:jc w:val="left"/>
        <w:outlineLvl w:val="9"/>
        <w:rPr>
          <w:rFonts w:hint="eastAsia" w:ascii="宋体" w:hAnsi="宋体"/>
          <w:color w:val="auto"/>
          <w:sz w:val="24"/>
          <w:szCs w:val="24"/>
          <w:highlight w:val="none"/>
          <w:lang w:val="zh-CN"/>
        </w:rPr>
      </w:pPr>
    </w:p>
    <w:p>
      <w:pPr>
        <w:autoSpaceDE w:val="0"/>
        <w:autoSpaceDN w:val="0"/>
        <w:adjustRightInd w:val="0"/>
        <w:spacing w:line="360" w:lineRule="auto"/>
        <w:ind w:right="105"/>
        <w:jc w:val="left"/>
        <w:outlineLvl w:val="9"/>
        <w:rPr>
          <w:rFonts w:hint="eastAsia" w:ascii="宋体" w:hAnsi="宋体"/>
          <w:color w:val="auto"/>
          <w:sz w:val="24"/>
          <w:szCs w:val="24"/>
          <w:highlight w:val="none"/>
          <w:lang w:val="zh-CN"/>
        </w:rPr>
      </w:pPr>
      <w:r>
        <w:rPr>
          <w:rFonts w:hint="eastAsia" w:ascii="宋体" w:hAnsi="宋体"/>
          <w:color w:val="auto"/>
          <w:sz w:val="24"/>
          <w:szCs w:val="24"/>
          <w:highlight w:val="none"/>
          <w:lang w:val="zh-CN"/>
        </w:rPr>
        <w:t>注：自然人谈判的此处只附身份证复印件。</w:t>
      </w:r>
    </w:p>
    <w:p>
      <w:pPr>
        <w:autoSpaceDE w:val="0"/>
        <w:autoSpaceDN w:val="0"/>
        <w:adjustRightInd w:val="0"/>
        <w:spacing w:line="360" w:lineRule="auto"/>
        <w:ind w:right="105"/>
        <w:jc w:val="left"/>
        <w:outlineLvl w:val="9"/>
        <w:rPr>
          <w:rFonts w:hint="eastAsia" w:ascii="宋体" w:hAnsi="宋体"/>
          <w:color w:val="auto"/>
          <w:szCs w:val="21"/>
          <w:highlight w:val="none"/>
          <w:lang w:val="zh-CN"/>
        </w:rPr>
      </w:pPr>
    </w:p>
    <w:p>
      <w:pPr>
        <w:autoSpaceDE w:val="0"/>
        <w:autoSpaceDN w:val="0"/>
        <w:adjustRightInd w:val="0"/>
        <w:spacing w:line="360" w:lineRule="auto"/>
        <w:ind w:right="105"/>
        <w:jc w:val="left"/>
        <w:outlineLvl w:val="9"/>
        <w:rPr>
          <w:rFonts w:hint="eastAsia" w:ascii="宋体" w:hAnsi="宋体"/>
          <w:color w:val="auto"/>
          <w:szCs w:val="21"/>
          <w:highlight w:val="none"/>
          <w:lang w:val="zh-CN"/>
        </w:rPr>
      </w:pPr>
    </w:p>
    <w:p>
      <w:pPr>
        <w:keepNext w:val="0"/>
        <w:keepLines w:val="0"/>
        <w:pageBreakBefore w:val="0"/>
        <w:widowControl w:val="0"/>
        <w:kinsoku/>
        <w:wordWrap/>
        <w:overflowPunct/>
        <w:topLinePunct w:val="0"/>
        <w:autoSpaceDE/>
        <w:autoSpaceDN/>
        <w:bidi w:val="0"/>
        <w:adjustRightInd/>
        <w:snapToGrid/>
        <w:spacing w:line="48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    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autoSpaceDE w:val="0"/>
        <w:autoSpaceDN w:val="0"/>
        <w:adjustRightInd w:val="0"/>
        <w:spacing w:line="360" w:lineRule="auto"/>
        <w:jc w:val="left"/>
        <w:outlineLvl w:val="9"/>
        <w:rPr>
          <w:rFonts w:hint="eastAsia" w:ascii="宋体" w:hAnsi="宋体"/>
          <w:color w:val="auto"/>
          <w:szCs w:val="21"/>
          <w:highlight w:val="none"/>
          <w:lang w:val="zh-CN"/>
        </w:rPr>
      </w:pPr>
    </w:p>
    <w:p>
      <w:pPr>
        <w:jc w:val="center"/>
        <w:rPr>
          <w:rFonts w:hint="eastAsia"/>
          <w:b/>
          <w:color w:val="auto"/>
          <w:sz w:val="32"/>
          <w:szCs w:val="32"/>
          <w:highlight w:val="none"/>
        </w:rPr>
      </w:pPr>
      <w:r>
        <w:rPr>
          <w:rFonts w:ascii="宋体" w:hAnsi="宋体"/>
          <w:color w:val="auto"/>
          <w:szCs w:val="21"/>
          <w:highlight w:val="none"/>
          <w:lang w:val="zh-CN"/>
        </w:rPr>
        <w:br w:type="page"/>
      </w:r>
      <w:bookmarkStart w:id="73" w:name="_Toc75259386"/>
      <w:r>
        <w:rPr>
          <w:rFonts w:hint="eastAsia" w:ascii="宋体" w:hAnsi="宋体"/>
          <w:b/>
          <w:bCs/>
          <w:color w:val="auto"/>
          <w:sz w:val="32"/>
          <w:szCs w:val="32"/>
          <w:highlight w:val="none"/>
          <w:lang w:val="en-US" w:eastAsia="zh-CN"/>
        </w:rPr>
        <w:t>法定代表人</w:t>
      </w:r>
      <w:r>
        <w:rPr>
          <w:rFonts w:hint="eastAsia" w:ascii="宋体" w:hAnsi="宋体" w:cs="宋体"/>
          <w:b/>
          <w:color w:val="auto"/>
          <w:sz w:val="32"/>
          <w:szCs w:val="32"/>
          <w:highlight w:val="none"/>
        </w:rPr>
        <w:t>授权委托书</w:t>
      </w:r>
      <w:bookmarkEnd w:id="73"/>
    </w:p>
    <w:p>
      <w:pPr>
        <w:autoSpaceDE w:val="0"/>
        <w:autoSpaceDN w:val="0"/>
        <w:adjustRightInd w:val="0"/>
        <w:spacing w:line="360" w:lineRule="auto"/>
        <w:jc w:val="both"/>
        <w:outlineLvl w:val="9"/>
        <w:rPr>
          <w:rFonts w:hint="eastAsia" w:ascii="宋体" w:hAnsi="宋体"/>
          <w:color w:val="auto"/>
          <w:szCs w:val="21"/>
          <w:highlight w:val="none"/>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本人</w:t>
      </w:r>
      <w:r>
        <w:rPr>
          <w:rFonts w:hint="eastAsia" w:asciiTheme="minorEastAsia" w:hAnsiTheme="minorEastAsia" w:eastAsiaTheme="minorEastAsia" w:cstheme="minorEastAsia"/>
          <w:color w:val="auto"/>
          <w:sz w:val="24"/>
          <w:szCs w:val="24"/>
          <w:highlight w:val="none"/>
          <w:u w:val="single"/>
          <w:lang w:val="zh-CN"/>
        </w:rPr>
        <w:t xml:space="preserve">      </w:t>
      </w:r>
      <w:r>
        <w:rPr>
          <w:rFonts w:hint="eastAsia" w:asciiTheme="minorEastAsia" w:hAnsiTheme="minorEastAsia" w:eastAsiaTheme="minorEastAsia" w:cstheme="minorEastAsia"/>
          <w:color w:val="auto"/>
          <w:sz w:val="24"/>
          <w:szCs w:val="24"/>
          <w:highlight w:val="none"/>
          <w:lang w:val="zh-CN"/>
        </w:rPr>
        <w:t>（姓名）系</w:t>
      </w:r>
      <w:r>
        <w:rPr>
          <w:rFonts w:hint="eastAsia" w:asciiTheme="minorEastAsia" w:hAnsiTheme="minorEastAsia" w:eastAsiaTheme="minorEastAsia" w:cstheme="minorEastAsia"/>
          <w:color w:val="auto"/>
          <w:sz w:val="24"/>
          <w:szCs w:val="24"/>
          <w:highlight w:val="none"/>
          <w:u w:val="single"/>
          <w:lang w:val="zh-CN"/>
        </w:rPr>
        <w:t xml:space="preserve">                    </w:t>
      </w:r>
      <w:r>
        <w:rPr>
          <w:rFonts w:hint="eastAsia" w:asciiTheme="minorEastAsia" w:hAnsiTheme="minorEastAsia" w:eastAsiaTheme="minorEastAsia" w:cstheme="minorEastAsia"/>
          <w:color w:val="auto"/>
          <w:sz w:val="24"/>
          <w:szCs w:val="24"/>
          <w:highlight w:val="none"/>
          <w:lang w:val="zh-CN"/>
        </w:rPr>
        <w:t>（供应商名称）的法定代表人，现委托</w:t>
      </w:r>
      <w:r>
        <w:rPr>
          <w:rFonts w:hint="eastAsia" w:asciiTheme="minorEastAsia" w:hAnsiTheme="minorEastAsia" w:eastAsiaTheme="minorEastAsia" w:cstheme="minorEastAsia"/>
          <w:color w:val="auto"/>
          <w:sz w:val="24"/>
          <w:szCs w:val="24"/>
          <w:highlight w:val="none"/>
          <w:u w:val="single"/>
          <w:lang w:val="zh-CN"/>
        </w:rPr>
        <w:t xml:space="preserve">      </w:t>
      </w:r>
      <w:r>
        <w:rPr>
          <w:rFonts w:hint="eastAsia" w:asciiTheme="minorEastAsia" w:hAnsiTheme="minorEastAsia" w:eastAsiaTheme="minorEastAsia" w:cstheme="minorEastAsia"/>
          <w:color w:val="auto"/>
          <w:sz w:val="24"/>
          <w:szCs w:val="24"/>
          <w:highlight w:val="none"/>
          <w:lang w:val="zh-CN"/>
        </w:rPr>
        <w:t>（姓名）为我方</w:t>
      </w:r>
      <w:r>
        <w:rPr>
          <w:rFonts w:hint="eastAsia" w:asciiTheme="minorEastAsia" w:hAnsiTheme="minorEastAsia" w:cstheme="minorEastAsia"/>
          <w:color w:val="auto"/>
          <w:sz w:val="24"/>
          <w:szCs w:val="24"/>
          <w:highlight w:val="none"/>
          <w:lang w:val="en-US" w:eastAsia="zh-CN"/>
        </w:rPr>
        <w:t>授权代表</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cstheme="minorEastAsia"/>
          <w:color w:val="auto"/>
          <w:sz w:val="24"/>
          <w:szCs w:val="24"/>
          <w:highlight w:val="none"/>
          <w:lang w:val="en-US" w:eastAsia="zh-CN"/>
        </w:rPr>
        <w:t>授权代表</w:t>
      </w:r>
      <w:r>
        <w:rPr>
          <w:rFonts w:hint="eastAsia" w:asciiTheme="minorEastAsia" w:hAnsiTheme="minorEastAsia" w:eastAsiaTheme="minorEastAsia" w:cstheme="minorEastAsia"/>
          <w:color w:val="auto"/>
          <w:sz w:val="24"/>
          <w:szCs w:val="24"/>
          <w:highlight w:val="none"/>
          <w:lang w:val="zh-CN"/>
        </w:rPr>
        <w:t>根据授权，以我方名义签署、澄清确认、递交、撤回、修改</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eastAsiaTheme="minorEastAsia" w:cstheme="minorEastAsia"/>
          <w:color w:val="auto"/>
          <w:sz w:val="24"/>
          <w:szCs w:val="24"/>
          <w:highlight w:val="none"/>
        </w:rPr>
        <w:t>（项目名称）</w:t>
      </w:r>
      <w:r>
        <w:rPr>
          <w:rFonts w:hint="eastAsia" w:asciiTheme="minorEastAsia" w:hAnsiTheme="minorEastAsia" w:cstheme="minorEastAsia"/>
          <w:color w:val="auto"/>
          <w:sz w:val="24"/>
          <w:szCs w:val="24"/>
          <w:highlight w:val="none"/>
          <w:lang w:val="zh-CN"/>
        </w:rPr>
        <w:t>谈判</w:t>
      </w:r>
      <w:r>
        <w:rPr>
          <w:rFonts w:hint="eastAsia" w:asciiTheme="minorEastAsia" w:hAnsiTheme="minorEastAsia" w:eastAsiaTheme="minorEastAsia" w:cstheme="minorEastAsia"/>
          <w:color w:val="auto"/>
          <w:sz w:val="24"/>
          <w:szCs w:val="24"/>
          <w:highlight w:val="none"/>
          <w:lang w:val="zh-CN"/>
        </w:rPr>
        <w:t>响应文件、签订合同和处理有关事宜，其法律后果由我方承担。</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委托期限：同</w:t>
      </w:r>
      <w:r>
        <w:rPr>
          <w:rFonts w:hint="eastAsia" w:asciiTheme="minorEastAsia" w:hAnsiTheme="minorEastAsia" w:cstheme="minorEastAsia"/>
          <w:color w:val="auto"/>
          <w:sz w:val="24"/>
          <w:szCs w:val="24"/>
          <w:highlight w:val="none"/>
          <w:lang w:val="zh-CN"/>
        </w:rPr>
        <w:t>谈判</w:t>
      </w:r>
      <w:r>
        <w:rPr>
          <w:rFonts w:hint="eastAsia" w:asciiTheme="minorEastAsia" w:hAnsiTheme="minorEastAsia" w:cstheme="minorEastAsia"/>
          <w:color w:val="auto"/>
          <w:sz w:val="24"/>
          <w:szCs w:val="24"/>
          <w:highlight w:val="none"/>
          <w:lang w:val="en-US" w:eastAsia="zh-CN"/>
        </w:rPr>
        <w:t>响应文件</w:t>
      </w:r>
      <w:r>
        <w:rPr>
          <w:rFonts w:hint="eastAsia" w:asciiTheme="minorEastAsia" w:hAnsiTheme="minorEastAsia" w:eastAsiaTheme="minorEastAsia" w:cstheme="minorEastAsia"/>
          <w:color w:val="auto"/>
          <w:sz w:val="24"/>
          <w:szCs w:val="24"/>
          <w:highlight w:val="none"/>
          <w:lang w:val="zh-CN"/>
        </w:rPr>
        <w:t>有效期。</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被授权人无转委托权。</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4"/>
          <w:szCs w:val="24"/>
          <w:highlight w:val="none"/>
          <w:lang w:val="zh-CN"/>
        </w:rPr>
      </w:pP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附：法定代表人身份证复印件及被授权人身份证复印件</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10"/>
        <w:gridCol w:w="4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68" w:hRule="atLeast"/>
        </w:trPr>
        <w:tc>
          <w:tcPr>
            <w:tcW w:w="4610" w:type="dxa"/>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4"/>
                <w:szCs w:val="24"/>
                <w:highlight w:val="none"/>
                <w:vertAlign w:val="baseline"/>
                <w:lang w:val="zh-CN"/>
              </w:rPr>
            </w:pPr>
          </w:p>
        </w:tc>
        <w:tc>
          <w:tcPr>
            <w:tcW w:w="4610" w:type="dxa"/>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4"/>
                <w:szCs w:val="24"/>
                <w:highlight w:val="none"/>
                <w:vertAlign w:val="baseli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6" w:hRule="atLeast"/>
        </w:trPr>
        <w:tc>
          <w:tcPr>
            <w:tcW w:w="4610" w:type="dxa"/>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4"/>
                <w:szCs w:val="24"/>
                <w:highlight w:val="none"/>
                <w:vertAlign w:val="baseline"/>
                <w:lang w:val="zh-CN"/>
              </w:rPr>
            </w:pPr>
          </w:p>
        </w:tc>
        <w:tc>
          <w:tcPr>
            <w:tcW w:w="4610" w:type="dxa"/>
          </w:tcPr>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4"/>
                <w:szCs w:val="24"/>
                <w:highlight w:val="none"/>
                <w:vertAlign w:val="baseline"/>
                <w:lang w:val="zh-CN"/>
              </w:rPr>
            </w:pPr>
          </w:p>
        </w:tc>
      </w:tr>
    </w:tbl>
    <w:p>
      <w:pPr>
        <w:wordWrap w:val="0"/>
        <w:autoSpaceDE w:val="0"/>
        <w:autoSpaceDN w:val="0"/>
        <w:adjustRightInd w:val="0"/>
        <w:spacing w:line="600" w:lineRule="auto"/>
        <w:ind w:left="0" w:leftChars="0" w:firstLine="3360" w:firstLineChars="1400"/>
        <w:jc w:val="both"/>
        <w:outlineLvl w:val="9"/>
        <w:rPr>
          <w:rFonts w:hint="eastAsia" w:ascii="宋体" w:hAnsi="宋体"/>
          <w:color w:val="auto"/>
          <w:sz w:val="24"/>
          <w:szCs w:val="24"/>
          <w:highlight w:val="none"/>
          <w:lang w:val="zh-CN"/>
        </w:rPr>
      </w:pPr>
      <w:r>
        <w:rPr>
          <w:rFonts w:hint="eastAsia" w:ascii="宋体" w:hAnsi="宋体"/>
          <w:color w:val="auto"/>
          <w:sz w:val="24"/>
          <w:szCs w:val="24"/>
          <w:highlight w:val="none"/>
          <w:lang w:val="zh-CN"/>
        </w:rPr>
        <w:t>供应商：</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（盖单位公章）</w:t>
      </w:r>
    </w:p>
    <w:p>
      <w:pPr>
        <w:wordWrap w:val="0"/>
        <w:autoSpaceDE w:val="0"/>
        <w:autoSpaceDN w:val="0"/>
        <w:adjustRightInd w:val="0"/>
        <w:spacing w:line="600" w:lineRule="auto"/>
        <w:ind w:left="0" w:leftChars="0" w:firstLine="3360" w:firstLineChars="1400"/>
        <w:jc w:val="both"/>
        <w:outlineLvl w:val="9"/>
        <w:rPr>
          <w:rFonts w:hint="eastAsia" w:ascii="宋体" w:hAnsi="宋体"/>
          <w:color w:val="auto"/>
          <w:sz w:val="24"/>
          <w:szCs w:val="24"/>
          <w:highlight w:val="none"/>
          <w:lang w:val="zh-CN"/>
        </w:rPr>
      </w:pPr>
      <w:r>
        <w:rPr>
          <w:rFonts w:hint="eastAsia" w:ascii="宋体" w:hAnsi="宋体"/>
          <w:color w:val="auto"/>
          <w:sz w:val="24"/>
          <w:szCs w:val="24"/>
          <w:highlight w:val="none"/>
          <w:lang w:val="zh-CN"/>
        </w:rPr>
        <w:t>法定代表人：</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u w:val="single"/>
          <w:lang w:val="en-US" w:eastAsia="zh-CN"/>
        </w:rPr>
        <w:t xml:space="preserve">            </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（签字或盖章）</w:t>
      </w:r>
    </w:p>
    <w:p>
      <w:pPr>
        <w:wordWrap w:val="0"/>
        <w:autoSpaceDE w:val="0"/>
        <w:autoSpaceDN w:val="0"/>
        <w:adjustRightInd w:val="0"/>
        <w:spacing w:line="600" w:lineRule="auto"/>
        <w:ind w:left="0" w:leftChars="0" w:right="210" w:firstLine="3360" w:firstLineChars="1400"/>
        <w:jc w:val="both"/>
        <w:outlineLvl w:val="9"/>
        <w:rPr>
          <w:rFonts w:hint="eastAsia" w:ascii="宋体" w:hAnsi="宋体"/>
          <w:color w:val="auto"/>
          <w:sz w:val="24"/>
          <w:szCs w:val="24"/>
          <w:highlight w:val="none"/>
          <w:lang w:val="zh-CN"/>
        </w:rPr>
      </w:pPr>
      <w:r>
        <w:rPr>
          <w:rFonts w:hint="eastAsia" w:ascii="宋体" w:hAnsi="宋体"/>
          <w:color w:val="auto"/>
          <w:sz w:val="24"/>
          <w:szCs w:val="24"/>
          <w:highlight w:val="none"/>
          <w:lang w:val="en-US" w:eastAsia="zh-CN"/>
        </w:rPr>
        <w:t>授权代表</w:t>
      </w:r>
      <w:r>
        <w:rPr>
          <w:rFonts w:hint="eastAsia" w:ascii="宋体" w:hAnsi="宋体"/>
          <w:color w:val="auto"/>
          <w:sz w:val="24"/>
          <w:szCs w:val="24"/>
          <w:highlight w:val="none"/>
          <w:lang w:val="zh-CN"/>
        </w:rPr>
        <w:t>：</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（签字或盖章）</w:t>
      </w:r>
    </w:p>
    <w:p>
      <w:pPr>
        <w:autoSpaceDE w:val="0"/>
        <w:autoSpaceDN w:val="0"/>
        <w:adjustRightInd w:val="0"/>
        <w:spacing w:line="600" w:lineRule="auto"/>
        <w:ind w:firstLine="6000" w:firstLineChars="2500"/>
        <w:jc w:val="right"/>
        <w:outlineLvl w:val="9"/>
        <w:rPr>
          <w:rFonts w:hint="eastAsia" w:ascii="宋体" w:hAnsi="宋体"/>
          <w:color w:val="auto"/>
          <w:szCs w:val="21"/>
          <w:highlight w:val="none"/>
          <w:lang w:val="zh-CN"/>
        </w:rPr>
      </w:pPr>
      <w:r>
        <w:rPr>
          <w:rFonts w:hint="eastAsia" w:ascii="宋体" w:hAnsi="宋体"/>
          <w:color w:val="auto"/>
          <w:sz w:val="24"/>
          <w:szCs w:val="24"/>
          <w:highlight w:val="none"/>
          <w:lang w:val="zh-CN"/>
        </w:rPr>
        <w:t>年    月    日</w:t>
      </w:r>
    </w:p>
    <w:p>
      <w:pPr>
        <w:keepNext w:val="0"/>
        <w:keepLines w:val="0"/>
        <w:pageBreakBefore w:val="0"/>
        <w:widowControl w:val="0"/>
        <w:kinsoku/>
        <w:wordWrap/>
        <w:overflowPunct/>
        <w:topLinePunct w:val="0"/>
        <w:autoSpaceDE w:val="0"/>
        <w:autoSpaceDN w:val="0"/>
        <w:bidi w:val="0"/>
        <w:adjustRightInd/>
        <w:snapToGrid/>
        <w:spacing w:line="360" w:lineRule="auto"/>
        <w:jc w:val="left"/>
        <w:textAlignment w:val="auto"/>
        <w:outlineLvl w:val="9"/>
        <w:rPr>
          <w:rFonts w:hint="eastAsia" w:asciiTheme="minorEastAsia" w:hAnsiTheme="minorEastAsia" w:eastAsiaTheme="minorEastAsia" w:cstheme="minorEastAsia"/>
          <w:color w:val="auto"/>
          <w:sz w:val="22"/>
          <w:szCs w:val="22"/>
          <w:highlight w:val="none"/>
          <w:lang w:val="zh-CN"/>
        </w:rPr>
      </w:pPr>
      <w:bookmarkStart w:id="74" w:name="_Toc75259387"/>
      <w:r>
        <w:rPr>
          <w:rFonts w:hint="eastAsia" w:asciiTheme="minorEastAsia" w:hAnsiTheme="minorEastAsia" w:eastAsiaTheme="minorEastAsia" w:cstheme="minorEastAsia"/>
          <w:b/>
          <w:bCs/>
          <w:color w:val="auto"/>
          <w:sz w:val="22"/>
          <w:szCs w:val="22"/>
          <w:highlight w:val="none"/>
          <w:lang w:val="zh-CN"/>
        </w:rPr>
        <w:t>注：法定代表人（自然人）本人直接</w:t>
      </w:r>
      <w:r>
        <w:rPr>
          <w:rFonts w:hint="eastAsia" w:asciiTheme="minorEastAsia" w:hAnsiTheme="minorEastAsia" w:cstheme="minorEastAsia"/>
          <w:b/>
          <w:bCs/>
          <w:color w:val="auto"/>
          <w:sz w:val="22"/>
          <w:szCs w:val="22"/>
          <w:highlight w:val="none"/>
          <w:lang w:val="zh-CN"/>
        </w:rPr>
        <w:t>谈判</w:t>
      </w:r>
      <w:r>
        <w:rPr>
          <w:rFonts w:hint="eastAsia" w:asciiTheme="minorEastAsia" w:hAnsiTheme="minorEastAsia" w:eastAsiaTheme="minorEastAsia" w:cstheme="minorEastAsia"/>
          <w:b/>
          <w:bCs/>
          <w:color w:val="auto"/>
          <w:sz w:val="22"/>
          <w:szCs w:val="22"/>
          <w:highlight w:val="none"/>
          <w:lang w:val="zh-CN"/>
        </w:rPr>
        <w:t>的不填写本部分内容。</w:t>
      </w:r>
    </w:p>
    <w:p>
      <w:pPr>
        <w:outlineLvl w:val="9"/>
        <w:rPr>
          <w:rFonts w:hint="eastAsia" w:ascii="宋体" w:hAnsi="宋体"/>
          <w:b/>
          <w:color w:val="auto"/>
          <w:sz w:val="32"/>
          <w:szCs w:val="24"/>
          <w:highlight w:val="none"/>
        </w:rPr>
      </w:pPr>
      <w:r>
        <w:rPr>
          <w:rFonts w:hint="eastAsia" w:ascii="宋体" w:hAnsi="宋体"/>
          <w:b/>
          <w:color w:val="auto"/>
          <w:sz w:val="32"/>
          <w:szCs w:val="24"/>
          <w:highlight w:val="none"/>
        </w:rPr>
        <w:br w:type="page"/>
      </w:r>
    </w:p>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eastAsia" w:ascii="宋体" w:hAnsi="宋体"/>
          <w:b/>
          <w:color w:val="auto"/>
          <w:sz w:val="30"/>
          <w:szCs w:val="30"/>
          <w:highlight w:val="none"/>
        </w:rPr>
      </w:pPr>
      <w:r>
        <w:rPr>
          <w:rFonts w:hint="eastAsia" w:ascii="宋体" w:hAnsi="宋体"/>
          <w:b/>
          <w:color w:val="auto"/>
          <w:sz w:val="32"/>
          <w:szCs w:val="24"/>
          <w:highlight w:val="none"/>
        </w:rPr>
        <w:t>四、资格证明文件</w:t>
      </w:r>
      <w:bookmarkEnd w:id="74"/>
    </w:p>
    <w:p>
      <w:pPr>
        <w:pStyle w:val="27"/>
        <w:spacing w:line="360" w:lineRule="auto"/>
        <w:outlineLvl w:val="9"/>
        <w:rPr>
          <w:rFonts w:hint="eastAsia" w:ascii="宋体" w:hAnsi="宋体"/>
          <w:b/>
          <w:bCs/>
          <w:color w:val="auto"/>
          <w:kern w:val="2"/>
          <w:sz w:val="21"/>
          <w:highlight w:val="none"/>
        </w:rPr>
      </w:pPr>
    </w:p>
    <w:p>
      <w:pPr>
        <w:pStyle w:val="27"/>
        <w:keepNext w:val="0"/>
        <w:keepLines w:val="0"/>
        <w:pageBreakBefore w:val="0"/>
        <w:widowControl/>
        <w:kinsoku/>
        <w:overflowPunct/>
        <w:topLinePunct w:val="0"/>
        <w:autoSpaceDE/>
        <w:autoSpaceDN/>
        <w:bidi w:val="0"/>
        <w:adjustRightInd/>
        <w:snapToGrid/>
        <w:spacing w:line="360" w:lineRule="auto"/>
        <w:ind w:right="0" w:rightChars="0"/>
        <w:textAlignment w:val="auto"/>
        <w:outlineLvl w:val="9"/>
        <w:rPr>
          <w:rFonts w:hint="eastAsia" w:ascii="宋体" w:hAnsi="宋体" w:eastAsia="宋体" w:cs="宋体"/>
          <w:color w:val="auto"/>
          <w:kern w:val="2"/>
          <w:sz w:val="24"/>
          <w:szCs w:val="24"/>
          <w:highlight w:val="none"/>
        </w:rPr>
      </w:pPr>
      <w:r>
        <w:rPr>
          <w:rFonts w:hint="eastAsia" w:ascii="宋体" w:hAnsi="宋体" w:eastAsia="宋体" w:cs="宋体"/>
          <w:b/>
          <w:bCs/>
          <w:color w:val="auto"/>
          <w:kern w:val="2"/>
          <w:sz w:val="24"/>
          <w:szCs w:val="24"/>
          <w:highlight w:val="none"/>
          <w:lang w:val="en-US" w:eastAsia="zh-CN"/>
        </w:rPr>
        <w:t>此处需附供应商资格证明文件并</w:t>
      </w:r>
      <w:r>
        <w:rPr>
          <w:rFonts w:hint="eastAsia" w:ascii="宋体" w:hAnsi="宋体" w:eastAsia="宋体" w:cs="宋体"/>
          <w:b/>
          <w:bCs/>
          <w:color w:val="auto"/>
          <w:kern w:val="2"/>
          <w:sz w:val="24"/>
          <w:szCs w:val="24"/>
          <w:highlight w:val="none"/>
        </w:rPr>
        <w:t>加盖公章</w:t>
      </w:r>
      <w:r>
        <w:rPr>
          <w:rFonts w:hint="eastAsia" w:ascii="宋体" w:hAnsi="宋体" w:eastAsia="宋体" w:cs="宋体"/>
          <w:color w:val="auto"/>
          <w:kern w:val="2"/>
          <w:sz w:val="24"/>
          <w:szCs w:val="24"/>
          <w:highlight w:val="none"/>
        </w:rPr>
        <w:t>：</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1.具有独立承担民事责任能力的法人或其他组织，提供合法有效的统一社会信用代码的营业执照（含年度报告）或事业单位法人证书等国家规定的相关证明，自然人参与的提供其身份证明；</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2.银行开户许可证或开户行基本信息；</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3.法定代表人授权书（委托代理人参加须提供法定代表人授权书、法定代表人身份证复印件及被授权人身份证）或法定代表人身份证（法定代表人直接参加只须提供本人身份证）；</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4.供应商应出具参加政府采购活动前3年内在经营活动中没有重大违法记录的书面声明；</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5.税收缴纳证明：自2023年1月1日以来已缴纳的至少一个月的纳税证明或完税证明，纳税证明或完税证明上应有代收机构或税务机关的公章。依法免税的供应商应提供相关文件证明；</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6.社会保障资金缴纳证明：自2023年1月1日以来已缴存的至少一个月的社会保障资金缴存单据或社保机构开具的社会保险参保缴费情况证明，依法不需要缴纳社会保障资金的供应商应提供相关文件证明；</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7.财务状况报告：提供2022年度经审计的财务报告（至少包括审计报告、资产负债表和利润表，成立时间至提交投标文件截止时间不足一年的可提供成立后任意时段的资产负债表）或其开标前三个月内基本存款账户开户银行出具的资信证明；</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8.供应商不得列入“信用中国”网站中严重主体失信名单和经营异常名单，不得为“中国执行信息网”网站失信被执行人，不得为“中国政府采购网”政府采购严重违法失信行为记录名单中被财政部门禁止参加政府采购活动的供应商（处罚期限届满的除外）（提供查询结果网页截图，并加盖供应商公章）；</w:t>
      </w:r>
    </w:p>
    <w:p>
      <w:pPr>
        <w:pStyle w:val="2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9、缴纳保证金的银行转账或电汇凭证。</w:t>
      </w:r>
      <w:bookmarkStart w:id="75" w:name="_Toc75259388"/>
    </w:p>
    <w:p>
      <w:pPr>
        <w:pStyle w:val="2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pStyle w:val="2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pStyle w:val="2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b w:val="0"/>
          <w:bCs w:val="0"/>
          <w:color w:val="auto"/>
          <w:kern w:val="2"/>
          <w:sz w:val="24"/>
          <w:szCs w:val="24"/>
          <w:highlight w:val="none"/>
          <w:lang w:val="en-US" w:eastAsia="zh-CN" w:bidi="ar-SA"/>
        </w:rPr>
      </w:pPr>
    </w:p>
    <w:p>
      <w:pPr>
        <w:pStyle w:val="26"/>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eastAsiaTheme="minorEastAsia" w:cstheme="minorBidi"/>
          <w:b/>
          <w:color w:val="auto"/>
          <w:kern w:val="2"/>
          <w:sz w:val="32"/>
          <w:szCs w:val="24"/>
          <w:highlight w:val="none"/>
          <w:lang w:val="en-US" w:eastAsia="zh-CN" w:bidi="ar-SA"/>
        </w:rPr>
      </w:pPr>
      <w:r>
        <w:rPr>
          <w:rFonts w:hint="eastAsia" w:ascii="宋体" w:hAnsi="宋体" w:eastAsiaTheme="minorEastAsia" w:cstheme="minorBidi"/>
          <w:b/>
          <w:color w:val="auto"/>
          <w:kern w:val="2"/>
          <w:sz w:val="32"/>
          <w:szCs w:val="24"/>
          <w:highlight w:val="none"/>
          <w:lang w:val="en-US" w:eastAsia="zh-CN" w:bidi="ar-SA"/>
        </w:rPr>
        <w:t>五、商务部分</w:t>
      </w:r>
      <w:bookmarkEnd w:id="75"/>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lang w:eastAsia="zh-CN"/>
        </w:rPr>
        <w:t>企业概况；</w:t>
      </w:r>
    </w:p>
    <w:p>
      <w:pPr>
        <w:keepNext w:val="0"/>
        <w:keepLines w:val="0"/>
        <w:pageBreakBefore w:val="0"/>
        <w:widowControl w:val="0"/>
        <w:shd w:val="clea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lang w:eastAsia="zh-CN"/>
        </w:rPr>
        <w:t>.经营状况。</w:t>
      </w:r>
    </w:p>
    <w:p>
      <w:pPr>
        <w:rPr>
          <w:rFonts w:hint="eastAsia" w:ascii="宋体" w:hAnsi="宋体" w:eastAsia="宋体" w:cs="宋体"/>
          <w:sz w:val="24"/>
          <w:szCs w:val="24"/>
          <w:highlight w:val="none"/>
          <w:lang w:val="en-US" w:eastAsia="zh-CN"/>
        </w:rPr>
      </w:pPr>
      <w:r>
        <w:rPr>
          <w:rFonts w:hint="eastAsia" w:ascii="宋体" w:hAnsi="宋体" w:eastAsia="宋体" w:cs="宋体"/>
          <w:b w:val="0"/>
          <w:bCs/>
          <w:kern w:val="2"/>
          <w:sz w:val="24"/>
          <w:szCs w:val="24"/>
          <w:lang w:val="en-US" w:eastAsia="zh-CN" w:bidi="ar-SA"/>
        </w:rPr>
        <w:br w:type="page"/>
      </w:r>
    </w:p>
    <w:p>
      <w:pPr>
        <w:pStyle w:val="7"/>
        <w:keepNext w:val="0"/>
        <w:keepLines w:val="0"/>
        <w:pageBreakBefore w:val="0"/>
        <w:widowControl w:val="0"/>
        <w:kinsoku/>
        <w:wordWrap/>
        <w:overflowPunct/>
        <w:topLinePunct w:val="0"/>
        <w:autoSpaceDE/>
        <w:autoSpaceDN/>
        <w:bidi w:val="0"/>
        <w:adjustRightInd/>
        <w:snapToGrid/>
        <w:spacing w:afterLines="0" w:line="360" w:lineRule="auto"/>
        <w:ind w:right="0" w:rightChars="0"/>
        <w:jc w:val="center"/>
        <w:textAlignment w:val="auto"/>
        <w:outlineLvl w:val="9"/>
        <w:rPr>
          <w:rFonts w:ascii="宋体" w:hAnsi="宋体"/>
          <w:b/>
          <w:color w:val="auto"/>
          <w:sz w:val="32"/>
          <w:szCs w:val="24"/>
          <w:highlight w:val="none"/>
        </w:rPr>
      </w:pPr>
      <w:bookmarkStart w:id="76" w:name="_Toc75259389"/>
      <w:r>
        <w:rPr>
          <w:rFonts w:hint="eastAsia"/>
          <w:b/>
          <w:color w:val="auto"/>
          <w:sz w:val="32"/>
          <w:szCs w:val="24"/>
          <w:highlight w:val="none"/>
          <w:lang w:eastAsia="zh-CN"/>
        </w:rPr>
        <w:t>六</w:t>
      </w:r>
      <w:r>
        <w:rPr>
          <w:rFonts w:hint="eastAsia" w:ascii="宋体" w:hAnsi="宋体"/>
          <w:b/>
          <w:color w:val="auto"/>
          <w:sz w:val="32"/>
          <w:szCs w:val="24"/>
          <w:highlight w:val="none"/>
          <w:lang w:eastAsia="zh-CN"/>
        </w:rPr>
        <w:t>、</w:t>
      </w:r>
      <w:r>
        <w:rPr>
          <w:rFonts w:hint="eastAsia" w:ascii="宋体" w:hAnsi="宋体"/>
          <w:b/>
          <w:color w:val="auto"/>
          <w:sz w:val="32"/>
          <w:szCs w:val="24"/>
          <w:highlight w:val="none"/>
        </w:rPr>
        <w:t>技术部分</w:t>
      </w:r>
      <w:bookmarkEnd w:id="76"/>
    </w:p>
    <w:p>
      <w:pPr>
        <w:pStyle w:val="10"/>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提供产品符合招标要求</w:t>
      </w:r>
      <w:r>
        <w:rPr>
          <w:rFonts w:hint="eastAsia" w:ascii="宋体" w:hAnsi="宋体" w:eastAsia="宋体" w:cs="宋体"/>
          <w:sz w:val="24"/>
          <w:szCs w:val="24"/>
          <w:highlight w:val="none"/>
          <w:lang w:eastAsia="zh-CN"/>
        </w:rPr>
        <w:t>，</w:t>
      </w:r>
      <w:r>
        <w:rPr>
          <w:rFonts w:hint="eastAsia" w:hAnsi="宋体" w:eastAsia="宋体" w:cs="宋体"/>
          <w:sz w:val="24"/>
          <w:szCs w:val="24"/>
          <w:highlight w:val="none"/>
          <w:lang w:eastAsia="zh-CN"/>
        </w:rPr>
        <w:t>并且</w:t>
      </w:r>
      <w:r>
        <w:rPr>
          <w:rFonts w:hint="eastAsia" w:ascii="宋体" w:hAnsi="宋体" w:eastAsia="宋体" w:cs="宋体"/>
          <w:sz w:val="24"/>
          <w:szCs w:val="24"/>
          <w:highlight w:val="none"/>
          <w:lang w:val="en-US" w:eastAsia="zh-CN"/>
        </w:rPr>
        <w:t>提供</w:t>
      </w:r>
      <w:r>
        <w:rPr>
          <w:rFonts w:hint="eastAsia" w:hAnsi="宋体" w:eastAsia="宋体" w:cs="宋体"/>
          <w:sz w:val="24"/>
          <w:szCs w:val="24"/>
          <w:highlight w:val="none"/>
          <w:lang w:val="en-US" w:eastAsia="zh-CN"/>
        </w:rPr>
        <w:t>的厂家</w:t>
      </w:r>
      <w:r>
        <w:rPr>
          <w:rFonts w:hint="eastAsia" w:ascii="宋体" w:hAnsi="宋体" w:eastAsia="宋体" w:cs="宋体"/>
          <w:sz w:val="24"/>
          <w:szCs w:val="24"/>
          <w:highlight w:val="none"/>
          <w:lang w:val="en-US" w:eastAsia="zh-CN"/>
        </w:rPr>
        <w:t>品牌、产品技术参数、产品执行标准、包装规格等资料和图片</w:t>
      </w:r>
      <w:r>
        <w:rPr>
          <w:rFonts w:hint="eastAsia" w:ascii="宋体" w:hAnsi="宋体" w:eastAsia="宋体" w:cs="宋体"/>
          <w:sz w:val="24"/>
          <w:szCs w:val="24"/>
          <w:highlight w:val="none"/>
        </w:rPr>
        <w:t>相关资料</w:t>
      </w:r>
      <w:r>
        <w:rPr>
          <w:rFonts w:hint="eastAsia" w:hAnsi="宋体" w:eastAsia="宋体" w:cs="宋体"/>
          <w:sz w:val="24"/>
          <w:szCs w:val="24"/>
          <w:highlight w:val="none"/>
          <w:lang w:eastAsia="zh-CN"/>
        </w:rPr>
        <w:t>符合要求</w:t>
      </w:r>
      <w:r>
        <w:rPr>
          <w:rFonts w:hint="eastAsia" w:ascii="宋体" w:hAnsi="宋体" w:eastAsia="宋体" w:cs="宋体"/>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2.</w:t>
      </w:r>
      <w:r>
        <w:rPr>
          <w:rFonts w:hint="eastAsia" w:ascii="宋体" w:hAnsi="宋体" w:eastAsia="宋体" w:cs="宋体"/>
          <w:sz w:val="24"/>
          <w:szCs w:val="24"/>
          <w:highlight w:val="none"/>
        </w:rPr>
        <w:t>供货方案</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具有完善的供货及验收方案、运输安全保证措施</w:t>
      </w:r>
      <w:r>
        <w:rPr>
          <w:rFonts w:hint="eastAsia" w:ascii="宋体" w:hAnsi="宋体" w:eastAsia="宋体" w:cs="宋体"/>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实施方案</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方案合理可行，有相应的进度计划保证措施</w:t>
      </w:r>
      <w:r>
        <w:rPr>
          <w:rFonts w:hint="eastAsia" w:ascii="宋体" w:hAnsi="宋体" w:eastAsia="宋体" w:cs="宋体"/>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rPr>
        <w:t>完善的培训方案，承诺进行现场培训、集中培训等</w:t>
      </w:r>
      <w:r>
        <w:rPr>
          <w:rFonts w:hint="eastAsia" w:ascii="宋体" w:hAnsi="宋体" w:eastAsia="宋体" w:cs="宋体"/>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w:t>
      </w:r>
      <w:r>
        <w:rPr>
          <w:rFonts w:hint="eastAsia" w:ascii="宋体" w:hAnsi="宋体" w:eastAsia="宋体" w:cs="宋体"/>
          <w:sz w:val="24"/>
          <w:szCs w:val="24"/>
          <w:highlight w:val="none"/>
        </w:rPr>
        <w:t>具体可行的售后服务承诺、产品质量保证承诺，保证采购人能正常使用</w:t>
      </w:r>
      <w:r>
        <w:rPr>
          <w:rFonts w:hint="eastAsia" w:ascii="宋体" w:hAnsi="宋体" w:eastAsia="宋体" w:cs="宋体"/>
          <w:sz w:val="24"/>
          <w:szCs w:val="24"/>
          <w:highlight w:val="none"/>
          <w:lang w:eastAsia="zh-CN"/>
        </w:rPr>
        <w:t>。</w:t>
      </w:r>
    </w:p>
    <w:p>
      <w:pPr>
        <w:keepNext w:val="0"/>
        <w:keepLines w:val="0"/>
        <w:pageBreakBefore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b/>
          <w:color w:val="auto"/>
          <w:sz w:val="32"/>
          <w:szCs w:val="24"/>
          <w:highlight w:val="none"/>
        </w:rPr>
      </w:pPr>
      <w:bookmarkStart w:id="77" w:name="_Toc75259390"/>
    </w:p>
    <w:p>
      <w:pPr>
        <w:keepNext w:val="0"/>
        <w:keepLines w:val="0"/>
        <w:pageBreakBefore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b/>
          <w:color w:val="auto"/>
          <w:sz w:val="32"/>
          <w:szCs w:val="24"/>
          <w:highlight w:val="none"/>
        </w:rPr>
      </w:pPr>
    </w:p>
    <w:p>
      <w:pPr>
        <w:keepNext w:val="0"/>
        <w:keepLines w:val="0"/>
        <w:pageBreakBefore w:val="0"/>
        <w:kinsoku/>
        <w:wordWrap/>
        <w:overflowPunct/>
        <w:topLinePunct w:val="0"/>
        <w:autoSpaceDE/>
        <w:autoSpaceDN/>
        <w:bidi w:val="0"/>
        <w:adjustRightInd/>
        <w:snapToGrid/>
        <w:spacing w:line="360" w:lineRule="auto"/>
        <w:ind w:firstLine="643" w:firstLineChars="200"/>
        <w:jc w:val="center"/>
        <w:textAlignment w:val="auto"/>
        <w:rPr>
          <w:rFonts w:hint="eastAsia" w:ascii="宋体" w:hAnsi="宋体"/>
          <w:b/>
          <w:color w:val="auto"/>
          <w:sz w:val="32"/>
          <w:szCs w:val="24"/>
          <w:highlight w:val="none"/>
        </w:rPr>
      </w:pPr>
    </w:p>
    <w:p>
      <w:pPr>
        <w:rPr>
          <w:rFonts w:hint="eastAsia" w:ascii="宋体" w:hAnsi="宋体"/>
          <w:b/>
          <w:color w:val="auto"/>
          <w:sz w:val="32"/>
          <w:szCs w:val="24"/>
          <w:highlight w:val="none"/>
        </w:rPr>
      </w:pPr>
      <w:r>
        <w:rPr>
          <w:rFonts w:hint="eastAsia" w:ascii="宋体" w:hAnsi="宋体"/>
          <w:b/>
          <w:color w:val="auto"/>
          <w:sz w:val="32"/>
          <w:szCs w:val="24"/>
          <w:highlight w:val="none"/>
        </w:rPr>
        <w:br w:type="page"/>
      </w:r>
    </w:p>
    <w:p>
      <w:pPr>
        <w:keepNext w:val="0"/>
        <w:keepLines w:val="0"/>
        <w:pageBreakBefore w:val="0"/>
        <w:kinsoku/>
        <w:wordWrap/>
        <w:overflowPunct/>
        <w:topLinePunct w:val="0"/>
        <w:autoSpaceDE/>
        <w:autoSpaceDN/>
        <w:bidi w:val="0"/>
        <w:adjustRightInd/>
        <w:snapToGrid/>
        <w:spacing w:line="360" w:lineRule="auto"/>
        <w:ind w:firstLine="643" w:firstLineChars="200"/>
        <w:jc w:val="center"/>
        <w:textAlignment w:val="auto"/>
        <w:rPr>
          <w:rFonts w:ascii="宋体" w:hAnsi="宋体"/>
          <w:b/>
          <w:color w:val="auto"/>
          <w:sz w:val="32"/>
          <w:szCs w:val="24"/>
          <w:highlight w:val="none"/>
        </w:rPr>
      </w:pPr>
      <w:r>
        <w:rPr>
          <w:rFonts w:hint="eastAsia" w:ascii="宋体" w:hAnsi="宋体"/>
          <w:b/>
          <w:color w:val="auto"/>
          <w:sz w:val="32"/>
          <w:szCs w:val="24"/>
          <w:highlight w:val="none"/>
          <w:lang w:eastAsia="zh-CN"/>
        </w:rPr>
        <w:t>七、</w:t>
      </w:r>
      <w:r>
        <w:rPr>
          <w:rFonts w:hint="eastAsia" w:ascii="宋体" w:hAnsi="宋体"/>
          <w:b/>
          <w:color w:val="auto"/>
          <w:sz w:val="32"/>
          <w:szCs w:val="24"/>
          <w:highlight w:val="none"/>
        </w:rPr>
        <w:t>其他材料</w:t>
      </w:r>
      <w:bookmarkEnd w:id="77"/>
    </w:p>
    <w:p>
      <w:pPr>
        <w:autoSpaceDE w:val="0"/>
        <w:autoSpaceDN w:val="0"/>
        <w:adjustRightInd w:val="0"/>
        <w:snapToGrid w:val="0"/>
        <w:spacing w:line="360" w:lineRule="auto"/>
        <w:outlineLvl w:val="9"/>
        <w:rPr>
          <w:rFonts w:hint="eastAsia"/>
          <w:color w:val="auto"/>
          <w:highlight w:val="none"/>
        </w:rPr>
      </w:pPr>
    </w:p>
    <w:p>
      <w:pPr>
        <w:autoSpaceDE w:val="0"/>
        <w:autoSpaceDN w:val="0"/>
        <w:adjustRightInd w:val="0"/>
        <w:spacing w:line="360" w:lineRule="auto"/>
        <w:jc w:val="center"/>
        <w:outlineLvl w:val="9"/>
        <w:rPr>
          <w:rFonts w:hint="eastAsia" w:ascii="宋体" w:hAnsi="宋体"/>
          <w:b/>
          <w:color w:val="auto"/>
          <w:sz w:val="28"/>
          <w:szCs w:val="28"/>
          <w:highlight w:val="none"/>
          <w:lang w:val="zh-CN"/>
        </w:rPr>
      </w:pPr>
      <w:bookmarkStart w:id="78" w:name="_Hlk74736213"/>
      <w:r>
        <w:rPr>
          <w:rFonts w:hint="eastAsia" w:ascii="宋体" w:hAnsi="宋体"/>
          <w:b/>
          <w:color w:val="auto"/>
          <w:sz w:val="28"/>
          <w:szCs w:val="28"/>
          <w:highlight w:val="none"/>
          <w:lang w:val="zh-CN"/>
        </w:rPr>
        <w:t>1、政府采购供应商拒绝政府采购领域商业贿赂承诺书</w:t>
      </w:r>
    </w:p>
    <w:p>
      <w:pPr>
        <w:outlineLvl w:val="9"/>
        <w:rPr>
          <w:color w:val="auto"/>
          <w:lang w:val="zh-CN"/>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为响应党中央、国务院关于治理采购领域商业贿赂行为的号召，我公司再次承诺：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1.在参与采购活动中遵纪守法、诚信经营、公平竞标。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2.不向采购人、采购代理机构和采购评审专家进行任何形式的商业贿赂以谋取交易机会。</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3.不向采购代理机构和采购人提供虚假资质文件或采用虚假应标方式参与采购市场竞争并谋取中标、成交。</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4.不采取“围标、陪标”等商业欺诈手段获取采购订单。</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5.不采取不正当手段诋毁、排挤其他供应商。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6.不在提供商品和服务时“偷梁换柱、以次充好”损害采购人的合法权益。</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7.不与采购人、采购代理机构、采购评审专家或其他供应商恶意串通，进行质疑和投诉，维护采购市场秩序。</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color w:val="auto"/>
          <w:sz w:val="24"/>
          <w:szCs w:val="24"/>
          <w:highlight w:val="none"/>
          <w:lang w:val="zh-CN"/>
        </w:rPr>
        <w:t>8.尊重和接受采购监督管理部门的监督和采购代理机构招标采购要求，承担因违约行为给采购人造成的损失。</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outlineLvl w:val="9"/>
        <w:rPr>
          <w:rFonts w:ascii="宋体" w:hAnsi="宋体"/>
          <w:color w:val="auto"/>
          <w:szCs w:val="21"/>
          <w:highlight w:val="none"/>
          <w:lang w:val="zh-CN"/>
        </w:rPr>
      </w:pPr>
      <w:r>
        <w:rPr>
          <w:rFonts w:hint="eastAsia" w:asciiTheme="minorEastAsia" w:hAnsiTheme="minorEastAsia" w:eastAsiaTheme="minorEastAsia" w:cstheme="minorEastAsia"/>
          <w:color w:val="auto"/>
          <w:sz w:val="24"/>
          <w:szCs w:val="24"/>
          <w:highlight w:val="none"/>
          <w:lang w:val="zh-CN"/>
        </w:rPr>
        <w:t>9.不发生其他有悖于政府采购公开、公平、公正和诚信原则的行为。</w:t>
      </w:r>
    </w:p>
    <w:p>
      <w:pPr>
        <w:autoSpaceDE w:val="0"/>
        <w:autoSpaceDN w:val="0"/>
        <w:adjustRightInd w:val="0"/>
        <w:spacing w:line="360" w:lineRule="auto"/>
        <w:ind w:firstLine="420" w:firstLineChars="200"/>
        <w:jc w:val="left"/>
        <w:outlineLvl w:val="9"/>
        <w:rPr>
          <w:rFonts w:ascii="宋体" w:hAnsi="宋体"/>
          <w:color w:val="auto"/>
          <w:szCs w:val="21"/>
          <w:highlight w:val="none"/>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3120" w:firstLineChars="1300"/>
        <w:jc w:val="left"/>
        <w:textAlignment w:val="auto"/>
        <w:outlineLvl w:val="9"/>
        <w:rPr>
          <w:rFonts w:hint="eastAsia" w:ascii="宋体" w:hAnsi="宋体"/>
          <w:color w:val="auto"/>
          <w:sz w:val="24"/>
          <w:szCs w:val="24"/>
          <w:highlight w:val="none"/>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firstLine="3120" w:firstLineChars="1300"/>
        <w:jc w:val="left"/>
        <w:textAlignment w:val="auto"/>
        <w:outlineLvl w:val="9"/>
        <w:rPr>
          <w:rFonts w:hint="eastAsia" w:ascii="宋体" w:hAnsi="宋体"/>
          <w:color w:val="auto"/>
          <w:sz w:val="24"/>
          <w:szCs w:val="24"/>
          <w:highlight w:val="none"/>
          <w:lang w:val="zh-CN"/>
        </w:rPr>
      </w:pPr>
      <w:r>
        <w:rPr>
          <w:rFonts w:hint="eastAsia" w:ascii="宋体" w:hAnsi="宋体"/>
          <w:color w:val="auto"/>
          <w:sz w:val="24"/>
          <w:szCs w:val="24"/>
          <w:highlight w:val="none"/>
          <w:lang w:val="zh-CN"/>
        </w:rPr>
        <w:t>供应商（公章）：</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color w:val="auto"/>
          <w:sz w:val="24"/>
          <w:szCs w:val="24"/>
          <w:highlight w:val="none"/>
          <w:lang w:val="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3840" w:firstLineChars="1600"/>
        <w:jc w:val="left"/>
        <w:textAlignment w:val="auto"/>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地址：</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3840" w:firstLineChars="1600"/>
        <w:jc w:val="left"/>
        <w:textAlignment w:val="auto"/>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邮编：</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firstLine="3840" w:firstLineChars="1600"/>
        <w:jc w:val="left"/>
        <w:textAlignment w:val="auto"/>
        <w:outlineLvl w:val="9"/>
        <w:rPr>
          <w:rFonts w:hint="eastAsia" w:ascii="宋体" w:hAnsi="宋体"/>
          <w:color w:val="auto"/>
          <w:szCs w:val="21"/>
          <w:highlight w:val="none"/>
          <w:lang w:val="zh-CN"/>
        </w:rPr>
      </w:pPr>
      <w:r>
        <w:rPr>
          <w:rFonts w:hint="eastAsia" w:ascii="宋体" w:hAnsi="宋体"/>
          <w:color w:val="auto"/>
          <w:sz w:val="24"/>
          <w:szCs w:val="24"/>
          <w:highlight w:val="none"/>
          <w:lang w:val="zh-CN"/>
        </w:rPr>
        <w:t>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color w:val="auto"/>
          <w:szCs w:val="21"/>
          <w:highlight w:val="none"/>
          <w:lang w:val="zh-CN"/>
        </w:rPr>
        <w:t xml:space="preserve">                    </w:t>
      </w:r>
    </w:p>
    <w:p>
      <w:pPr>
        <w:autoSpaceDE w:val="0"/>
        <w:autoSpaceDN w:val="0"/>
        <w:adjustRightInd w:val="0"/>
        <w:spacing w:line="360" w:lineRule="auto"/>
        <w:ind w:firstLine="480" w:firstLineChars="200"/>
        <w:jc w:val="right"/>
        <w:outlineLvl w:val="9"/>
        <w:rPr>
          <w:rFonts w:ascii="宋体" w:hAnsi="宋体"/>
          <w:color w:val="auto"/>
          <w:szCs w:val="21"/>
          <w:highlight w:val="none"/>
          <w:lang w:val="zh-CN"/>
        </w:rPr>
      </w:pPr>
      <w:r>
        <w:rPr>
          <w:rFonts w:hint="eastAsia" w:ascii="宋体" w:hAnsi="宋体"/>
          <w:color w:val="auto"/>
          <w:sz w:val="24"/>
          <w:szCs w:val="24"/>
          <w:highlight w:val="none"/>
          <w:lang w:val="zh-CN"/>
        </w:rPr>
        <w:t xml:space="preserve"> 年    月    日</w:t>
      </w:r>
    </w:p>
    <w:p>
      <w:pPr>
        <w:autoSpaceDE w:val="0"/>
        <w:autoSpaceDN w:val="0"/>
        <w:adjustRightInd w:val="0"/>
        <w:spacing w:line="360" w:lineRule="auto"/>
        <w:ind w:firstLine="420" w:firstLineChars="200"/>
        <w:jc w:val="left"/>
        <w:outlineLvl w:val="9"/>
        <w:rPr>
          <w:rFonts w:ascii="宋体" w:hAnsi="宋体"/>
          <w:color w:val="auto"/>
          <w:szCs w:val="21"/>
          <w:highlight w:val="none"/>
          <w:lang w:val="zh-CN"/>
        </w:rPr>
      </w:pPr>
    </w:p>
    <w:p>
      <w:pPr>
        <w:autoSpaceDE w:val="0"/>
        <w:autoSpaceDN w:val="0"/>
        <w:adjustRightInd w:val="0"/>
        <w:spacing w:line="360" w:lineRule="auto"/>
        <w:jc w:val="left"/>
        <w:outlineLvl w:val="9"/>
        <w:rPr>
          <w:rFonts w:ascii="宋体" w:hAnsi="宋体"/>
          <w:b/>
          <w:color w:val="auto"/>
          <w:sz w:val="28"/>
          <w:szCs w:val="28"/>
          <w:highlight w:val="none"/>
          <w:lang w:val="zh-CN"/>
        </w:rPr>
      </w:pPr>
    </w:p>
    <w:p>
      <w:pPr>
        <w:autoSpaceDE w:val="0"/>
        <w:autoSpaceDN w:val="0"/>
        <w:adjustRightInd w:val="0"/>
        <w:spacing w:line="360" w:lineRule="auto"/>
        <w:jc w:val="center"/>
        <w:outlineLvl w:val="9"/>
        <w:rPr>
          <w:rFonts w:hint="eastAsia" w:ascii="宋体" w:hAnsi="宋体"/>
          <w:b/>
          <w:color w:val="auto"/>
          <w:sz w:val="28"/>
          <w:szCs w:val="28"/>
          <w:highlight w:val="none"/>
          <w:lang w:val="zh-CN"/>
        </w:rPr>
      </w:pPr>
      <w:r>
        <w:rPr>
          <w:rFonts w:ascii="宋体" w:hAnsi="宋体"/>
          <w:b/>
          <w:color w:val="auto"/>
          <w:sz w:val="28"/>
          <w:szCs w:val="28"/>
          <w:highlight w:val="none"/>
          <w:lang w:val="zh-CN"/>
        </w:rPr>
        <w:br w:type="page"/>
      </w:r>
      <w:r>
        <w:rPr>
          <w:rFonts w:hint="eastAsia" w:asciiTheme="minorEastAsia" w:hAnsiTheme="minorEastAsia" w:eastAsiaTheme="minorEastAsia" w:cstheme="minorEastAsia"/>
          <w:b/>
          <w:color w:val="auto"/>
          <w:sz w:val="28"/>
          <w:szCs w:val="28"/>
          <w:highlight w:val="none"/>
          <w:lang w:val="zh-CN"/>
        </w:rPr>
        <w:t>2、</w:t>
      </w:r>
      <w:r>
        <w:rPr>
          <w:rFonts w:hint="eastAsia" w:ascii="宋体" w:hAnsi="宋体"/>
          <w:b/>
          <w:color w:val="auto"/>
          <w:sz w:val="28"/>
          <w:szCs w:val="28"/>
          <w:highlight w:val="none"/>
          <w:lang w:val="zh-CN"/>
        </w:rPr>
        <w:t>供应商资格承诺书</w:t>
      </w:r>
    </w:p>
    <w:p>
      <w:pPr>
        <w:outlineLvl w:val="9"/>
        <w:rPr>
          <w:color w:val="auto"/>
          <w:lang w:val="zh-CN"/>
        </w:rPr>
      </w:pP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我方承诺，不存在相关法律法规规定的禁止投标的情形。我单位的股权关系、与其他单位的管理关系和其他与本项目有关的利害关系等，作如下说明和承诺：</w:t>
      </w: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1.我方在本项目投标中，不存在与其他供应商单位负责人为同一人或者存在直接控股、管理关系。</w:t>
      </w: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bookmarkStart w:id="79" w:name="_Toc16297_WPSOffice_Level2"/>
      <w:bookmarkStart w:id="80" w:name="_Toc10578_WPSOffice_Level2"/>
      <w:bookmarkStart w:id="81" w:name="_Toc14125_WPSOffice_Level2"/>
      <w:r>
        <w:rPr>
          <w:rFonts w:hint="eastAsia" w:ascii="宋体" w:hAnsi="宋体"/>
          <w:color w:val="auto"/>
          <w:sz w:val="24"/>
          <w:szCs w:val="24"/>
          <w:highlight w:val="none"/>
          <w:lang w:val="zh-CN"/>
        </w:rPr>
        <w:t>1.1股权关系说明</w:t>
      </w:r>
      <w:bookmarkEnd w:id="79"/>
      <w:bookmarkEnd w:id="80"/>
      <w:bookmarkEnd w:id="81"/>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1.1.1我单位法定代表人（单位负责人）姓名：</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w:t>
      </w:r>
    </w:p>
    <w:p>
      <w:pPr>
        <w:autoSpaceDE w:val="0"/>
        <w:autoSpaceDN w:val="0"/>
        <w:adjustRightInd w:val="0"/>
        <w:spacing w:line="360" w:lineRule="auto"/>
        <w:ind w:firstLine="480" w:firstLineChars="200"/>
        <w:jc w:val="left"/>
        <w:outlineLvl w:val="9"/>
        <w:rPr>
          <w:rFonts w:ascii="宋体" w:hAnsi="宋体"/>
          <w:color w:val="auto"/>
          <w:sz w:val="24"/>
          <w:szCs w:val="24"/>
          <w:highlight w:val="none"/>
          <w:u w:val="single"/>
          <w:lang w:val="zh-CN"/>
        </w:rPr>
      </w:pPr>
      <w:r>
        <w:rPr>
          <w:rFonts w:hint="eastAsia" w:ascii="宋体" w:hAnsi="宋体"/>
          <w:color w:val="auto"/>
          <w:sz w:val="24"/>
          <w:szCs w:val="24"/>
          <w:highlight w:val="none"/>
          <w:lang w:val="zh-CN"/>
        </w:rPr>
        <w:t>1.1.2我单位控股的单位有</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w:t>
      </w: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1.1.3我单位被</w:t>
      </w:r>
      <w:r>
        <w:rPr>
          <w:rFonts w:hint="eastAsia" w:ascii="宋体" w:hAnsi="宋体"/>
          <w:color w:val="auto"/>
          <w:sz w:val="24"/>
          <w:szCs w:val="24"/>
          <w:highlight w:val="none"/>
          <w:u w:val="single"/>
          <w:lang w:val="zh-CN"/>
        </w:rPr>
        <w:t xml:space="preserve">                      （单位或自然人）  </w:t>
      </w:r>
      <w:r>
        <w:rPr>
          <w:rFonts w:hint="eastAsia" w:ascii="宋体" w:hAnsi="宋体"/>
          <w:color w:val="auto"/>
          <w:sz w:val="24"/>
          <w:szCs w:val="24"/>
          <w:highlight w:val="none"/>
          <w:lang w:val="zh-CN"/>
        </w:rPr>
        <w:t>控股。</w:t>
      </w: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bookmarkStart w:id="82" w:name="_Toc1335_WPSOffice_Level2"/>
      <w:bookmarkStart w:id="83" w:name="_Toc26574_WPSOffice_Level2"/>
      <w:bookmarkStart w:id="84" w:name="_Toc20668_WPSOffice_Level2"/>
      <w:r>
        <w:rPr>
          <w:rFonts w:hint="eastAsia" w:ascii="宋体" w:hAnsi="宋体"/>
          <w:color w:val="auto"/>
          <w:sz w:val="24"/>
          <w:szCs w:val="24"/>
          <w:highlight w:val="none"/>
          <w:lang w:val="zh-CN"/>
        </w:rPr>
        <w:t>1.2管理关系说明</w:t>
      </w:r>
      <w:bookmarkEnd w:id="82"/>
      <w:bookmarkEnd w:id="83"/>
      <w:bookmarkEnd w:id="84"/>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1.2.1我单位管理的下属单位有</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w:t>
      </w: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1.2.2我单位的上级管理单位有</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w:t>
      </w: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2.我方与采购人不存在利害关系及其他可能影响招标公正性的情形。</w:t>
      </w: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3.我方没有为采购项目提供整体设计、规范编制或者项目管理、监理、检测等服务；</w:t>
      </w: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4.其他与本项目有关的利害关系说明：</w:t>
      </w:r>
      <w:r>
        <w:rPr>
          <w:rFonts w:hint="eastAsia" w:ascii="宋体" w:hAnsi="宋体"/>
          <w:color w:val="auto"/>
          <w:sz w:val="24"/>
          <w:szCs w:val="24"/>
          <w:highlight w:val="none"/>
          <w:u w:val="single"/>
          <w:lang w:val="zh-CN"/>
        </w:rPr>
        <w:t xml:space="preserve">                      </w:t>
      </w:r>
      <w:r>
        <w:rPr>
          <w:rFonts w:hint="eastAsia" w:ascii="宋体" w:hAnsi="宋体"/>
          <w:color w:val="auto"/>
          <w:sz w:val="24"/>
          <w:szCs w:val="24"/>
          <w:highlight w:val="none"/>
          <w:lang w:val="zh-CN"/>
        </w:rPr>
        <w:t>。</w:t>
      </w:r>
    </w:p>
    <w:p>
      <w:pPr>
        <w:autoSpaceDE w:val="0"/>
        <w:autoSpaceDN w:val="0"/>
        <w:adjustRightInd w:val="0"/>
        <w:spacing w:line="360" w:lineRule="auto"/>
        <w:ind w:firstLine="480" w:firstLineChars="200"/>
        <w:jc w:val="left"/>
        <w:outlineLvl w:val="9"/>
        <w:rPr>
          <w:rFonts w:ascii="宋体" w:hAnsi="宋体"/>
          <w:color w:val="auto"/>
          <w:sz w:val="24"/>
          <w:szCs w:val="24"/>
          <w:highlight w:val="none"/>
          <w:lang w:val="zh-CN"/>
        </w:rPr>
      </w:pPr>
      <w:r>
        <w:rPr>
          <w:rFonts w:hint="eastAsia" w:ascii="宋体" w:hAnsi="宋体"/>
          <w:color w:val="auto"/>
          <w:sz w:val="24"/>
          <w:szCs w:val="24"/>
          <w:highlight w:val="none"/>
          <w:lang w:val="zh-CN"/>
        </w:rPr>
        <w:t>5.信用记录</w:t>
      </w:r>
    </w:p>
    <w:p>
      <w:pPr>
        <w:spacing w:line="360" w:lineRule="auto"/>
        <w:ind w:firstLine="480" w:firstLineChars="200"/>
        <w:outlineLvl w:val="9"/>
        <w:rPr>
          <w:color w:val="auto"/>
          <w:sz w:val="24"/>
          <w:szCs w:val="24"/>
          <w:highlight w:val="none"/>
        </w:rPr>
      </w:pPr>
      <w:r>
        <w:rPr>
          <w:rFonts w:hint="eastAsia" w:ascii="宋体" w:hAnsi="宋体"/>
          <w:color w:val="auto"/>
          <w:sz w:val="24"/>
          <w:szCs w:val="24"/>
          <w:highlight w:val="none"/>
          <w:lang w:val="zh-CN"/>
        </w:rPr>
        <w:t>5.1</w:t>
      </w:r>
      <w:r>
        <w:rPr>
          <w:rFonts w:hint="eastAsia"/>
          <w:color w:val="auto"/>
          <w:sz w:val="24"/>
          <w:szCs w:val="24"/>
          <w:highlight w:val="none"/>
        </w:rPr>
        <w:t>我方</w:t>
      </w:r>
      <w:r>
        <w:rPr>
          <w:rFonts w:hint="eastAsia" w:ascii="宋体" w:hAnsi="宋体"/>
          <w:color w:val="auto"/>
          <w:sz w:val="24"/>
          <w:szCs w:val="24"/>
          <w:highlight w:val="none"/>
          <w:u w:val="single"/>
          <w:lang w:val="zh-CN"/>
        </w:rPr>
        <w:t xml:space="preserve">         </w:t>
      </w:r>
      <w:r>
        <w:rPr>
          <w:rFonts w:hint="eastAsia"/>
          <w:color w:val="auto"/>
          <w:sz w:val="24"/>
          <w:szCs w:val="24"/>
          <w:highlight w:val="none"/>
        </w:rPr>
        <w:t>（填“未被列入”或“被列入”）失信被执行人名单。</w:t>
      </w:r>
    </w:p>
    <w:p>
      <w:pPr>
        <w:spacing w:line="360" w:lineRule="auto"/>
        <w:ind w:firstLine="480" w:firstLineChars="200"/>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5.2我方</w:t>
      </w:r>
      <w:r>
        <w:rPr>
          <w:rFonts w:hint="eastAsia" w:ascii="宋体" w:hAnsi="宋体" w:eastAsia="宋体" w:cs="宋体"/>
          <w:color w:val="auto"/>
          <w:sz w:val="24"/>
          <w:szCs w:val="24"/>
          <w:highlight w:val="none"/>
          <w:u w:val="single"/>
          <w:lang w:val="zh-CN"/>
        </w:rPr>
        <w:t xml:space="preserve">          </w:t>
      </w:r>
      <w:r>
        <w:rPr>
          <w:rFonts w:hint="eastAsia" w:ascii="宋体" w:hAnsi="宋体" w:eastAsia="宋体" w:cs="宋体"/>
          <w:color w:val="auto"/>
          <w:sz w:val="24"/>
          <w:szCs w:val="24"/>
          <w:highlight w:val="none"/>
        </w:rPr>
        <w:t>（填“未被列入”或“被列入”）重大税收违法失信主体名单。</w:t>
      </w:r>
    </w:p>
    <w:p>
      <w:pPr>
        <w:spacing w:line="360" w:lineRule="auto"/>
        <w:ind w:firstLine="480" w:firstLineChars="200"/>
        <w:outlineLvl w:val="9"/>
        <w:rPr>
          <w:color w:val="auto"/>
          <w:sz w:val="24"/>
          <w:szCs w:val="24"/>
          <w:highlight w:val="none"/>
        </w:rPr>
      </w:pPr>
      <w:r>
        <w:rPr>
          <w:rFonts w:hint="eastAsia" w:ascii="宋体" w:hAnsi="宋体" w:eastAsia="宋体" w:cs="宋体"/>
          <w:color w:val="auto"/>
          <w:sz w:val="24"/>
          <w:szCs w:val="24"/>
          <w:highlight w:val="none"/>
        </w:rPr>
        <w:t>5.3</w:t>
      </w:r>
      <w:r>
        <w:rPr>
          <w:rFonts w:hint="eastAsia"/>
          <w:color w:val="auto"/>
          <w:sz w:val="24"/>
          <w:szCs w:val="24"/>
          <w:highlight w:val="none"/>
        </w:rPr>
        <w:t>我方</w:t>
      </w:r>
      <w:r>
        <w:rPr>
          <w:rFonts w:hint="eastAsia" w:ascii="宋体" w:hAnsi="宋体"/>
          <w:color w:val="auto"/>
          <w:sz w:val="24"/>
          <w:szCs w:val="24"/>
          <w:highlight w:val="none"/>
          <w:u w:val="single"/>
          <w:lang w:val="zh-CN"/>
        </w:rPr>
        <w:t xml:space="preserve">          </w:t>
      </w:r>
      <w:r>
        <w:rPr>
          <w:rFonts w:hint="eastAsia"/>
          <w:color w:val="auto"/>
          <w:sz w:val="24"/>
          <w:szCs w:val="24"/>
          <w:highlight w:val="none"/>
        </w:rPr>
        <w:t>（填“未被列入”或“被列入”）政府采购严重违法失信行为记录名单。</w:t>
      </w:r>
    </w:p>
    <w:p>
      <w:pPr>
        <w:spacing w:line="360" w:lineRule="auto"/>
        <w:ind w:firstLine="480" w:firstLineChars="200"/>
        <w:outlineLvl w:val="9"/>
        <w:rPr>
          <w:color w:val="auto"/>
          <w:highlight w:val="none"/>
        </w:rPr>
      </w:pPr>
      <w:r>
        <w:rPr>
          <w:rFonts w:hint="eastAsia" w:ascii="宋体" w:hAnsi="宋体"/>
          <w:color w:val="auto"/>
          <w:sz w:val="24"/>
          <w:szCs w:val="24"/>
          <w:highlight w:val="none"/>
          <w:lang w:val="zh-CN"/>
        </w:rPr>
        <w:t>我方承诺以上说明</w:t>
      </w:r>
      <w:r>
        <w:rPr>
          <w:color w:val="auto"/>
          <w:sz w:val="24"/>
          <w:szCs w:val="24"/>
          <w:highlight w:val="none"/>
        </w:rPr>
        <w:t>如有不实，我方将无条件地退出本项目的采购活动，并遵照《</w:t>
      </w:r>
      <w:r>
        <w:rPr>
          <w:rFonts w:hint="eastAsia"/>
          <w:color w:val="auto"/>
          <w:sz w:val="24"/>
          <w:szCs w:val="24"/>
          <w:highlight w:val="none"/>
          <w:lang w:val="en-US" w:eastAsia="zh-CN"/>
        </w:rPr>
        <w:t>中华人民共和国</w:t>
      </w:r>
      <w:r>
        <w:rPr>
          <w:color w:val="auto"/>
          <w:sz w:val="24"/>
          <w:szCs w:val="24"/>
          <w:highlight w:val="none"/>
        </w:rPr>
        <w:t>政府采购法》有关</w:t>
      </w:r>
      <w:r>
        <w:rPr>
          <w:rFonts w:hint="eastAsia"/>
          <w:color w:val="auto"/>
          <w:sz w:val="24"/>
          <w:szCs w:val="24"/>
          <w:highlight w:val="none"/>
        </w:rPr>
        <w:t>“提供虚假材料的规定”</w:t>
      </w:r>
      <w:r>
        <w:rPr>
          <w:color w:val="auto"/>
          <w:sz w:val="24"/>
          <w:szCs w:val="24"/>
          <w:highlight w:val="none"/>
        </w:rPr>
        <w:t>接受处罚。</w:t>
      </w:r>
    </w:p>
    <w:p>
      <w:pPr>
        <w:autoSpaceDE w:val="0"/>
        <w:autoSpaceDN w:val="0"/>
        <w:adjustRightInd w:val="0"/>
        <w:spacing w:line="360" w:lineRule="auto"/>
        <w:jc w:val="left"/>
        <w:outlineLvl w:val="9"/>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法定代表人</w:t>
      </w:r>
      <w:r>
        <w:rPr>
          <w:rFonts w:hint="eastAsia" w:asciiTheme="minorEastAsia" w:hAnsiTheme="minorEastAsia" w:cstheme="minorEastAsia"/>
          <w:color w:val="auto"/>
          <w:sz w:val="24"/>
          <w:szCs w:val="24"/>
          <w:highlight w:val="none"/>
          <w:lang w:val="en-US" w:eastAsia="zh-CN"/>
        </w:rPr>
        <w:t>或</w:t>
      </w:r>
      <w:r>
        <w:rPr>
          <w:rFonts w:hint="eastAsia" w:asciiTheme="minorEastAsia" w:hAnsiTheme="minorEastAsia" w:eastAsiaTheme="minorEastAsia" w:cstheme="minorEastAsia"/>
          <w:color w:val="auto"/>
          <w:sz w:val="24"/>
          <w:szCs w:val="24"/>
          <w:highlight w:val="none"/>
        </w:rPr>
        <w:t>授权代表（签字</w:t>
      </w:r>
      <w:r>
        <w:rPr>
          <w:rFonts w:hint="eastAsia" w:asciiTheme="minorEastAsia" w:hAnsiTheme="minorEastAsia" w:eastAsiaTheme="minorEastAsia" w:cstheme="minorEastAsia"/>
          <w:color w:val="auto"/>
          <w:sz w:val="24"/>
          <w:szCs w:val="24"/>
          <w:highlight w:val="none"/>
          <w:lang w:eastAsia="zh-CN"/>
        </w:rPr>
        <w:t>或盖章</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日    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autoSpaceDE w:val="0"/>
        <w:autoSpaceDN w:val="0"/>
        <w:adjustRightInd w:val="0"/>
        <w:spacing w:line="360" w:lineRule="auto"/>
        <w:jc w:val="center"/>
        <w:outlineLvl w:val="9"/>
        <w:rPr>
          <w:rFonts w:hint="eastAsia" w:ascii="宋体" w:hAnsi="宋体" w:cs="宋体"/>
          <w:b/>
          <w:color w:val="auto"/>
          <w:sz w:val="28"/>
          <w:szCs w:val="28"/>
          <w:highlight w:val="none"/>
          <w:lang w:val="zh-CN"/>
        </w:rPr>
      </w:pPr>
      <w:r>
        <w:rPr>
          <w:color w:val="auto"/>
          <w:highlight w:val="none"/>
        </w:rPr>
        <w:br w:type="page"/>
      </w:r>
      <w:r>
        <w:rPr>
          <w:rFonts w:hint="eastAsia" w:asciiTheme="minorEastAsia" w:hAnsiTheme="minorEastAsia" w:eastAsiaTheme="minorEastAsia" w:cstheme="minorEastAsia"/>
          <w:b/>
          <w:bCs/>
          <w:color w:val="auto"/>
          <w:sz w:val="28"/>
          <w:szCs w:val="36"/>
          <w:highlight w:val="none"/>
          <w:lang w:val="en-US" w:eastAsia="zh-CN"/>
        </w:rPr>
        <w:t>3、</w:t>
      </w:r>
      <w:r>
        <w:rPr>
          <w:rFonts w:hint="eastAsia" w:ascii="宋体" w:hAnsi="宋体" w:cs="宋体"/>
          <w:b/>
          <w:color w:val="auto"/>
          <w:sz w:val="28"/>
          <w:szCs w:val="28"/>
          <w:highlight w:val="none"/>
          <w:lang w:val="zh-CN"/>
        </w:rPr>
        <w:t>供应商书面声明函</w:t>
      </w:r>
    </w:p>
    <w:p>
      <w:pPr>
        <w:autoSpaceDE w:val="0"/>
        <w:autoSpaceDN w:val="0"/>
        <w:adjustRightInd w:val="0"/>
        <w:spacing w:line="360" w:lineRule="auto"/>
        <w:ind w:firstLine="420" w:firstLineChars="200"/>
        <w:jc w:val="left"/>
        <w:outlineLvl w:val="9"/>
        <w:rPr>
          <w:rFonts w:hint="eastAsia" w:ascii="宋体" w:hAnsi="宋体" w:cs="宋体"/>
          <w:color w:val="auto"/>
          <w:szCs w:val="21"/>
          <w:highlight w:val="none"/>
          <w:lang w:val="zh-CN"/>
        </w:rPr>
      </w:pPr>
    </w:p>
    <w:p>
      <w:pPr>
        <w:keepNext w:val="0"/>
        <w:keepLines w:val="0"/>
        <w:pageBreakBefore w:val="0"/>
        <w:kinsoku/>
        <w:wordWrap/>
        <w:overflowPunct/>
        <w:topLinePunct w:val="0"/>
        <w:autoSpaceDE/>
        <w:autoSpaceDN/>
        <w:bidi w:val="0"/>
        <w:adjustRightInd/>
        <w:snapToGrid/>
        <w:spacing w:line="360" w:lineRule="auto"/>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陕西楚元项目管理有限公司</w:t>
      </w:r>
      <w:r>
        <w:rPr>
          <w:rFonts w:hint="eastAsia" w:ascii="宋体" w:hAnsi="宋体" w:cs="宋体"/>
          <w:color w:val="auto"/>
          <w:sz w:val="24"/>
          <w:szCs w:val="24"/>
          <w:highlight w:val="none"/>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我方作为</w:t>
      </w:r>
      <w:r>
        <w:rPr>
          <w:rFonts w:hint="eastAsia" w:ascii="宋体" w:hAnsi="宋体" w:cs="宋体"/>
          <w:color w:val="auto"/>
          <w:sz w:val="24"/>
          <w:szCs w:val="24"/>
          <w:highlight w:val="none"/>
          <w:lang w:val="en-US" w:eastAsia="zh-CN"/>
        </w:rPr>
        <w:t>参加</w:t>
      </w:r>
      <w:r>
        <w:rPr>
          <w:rFonts w:hint="eastAsia" w:ascii="宋体" w:hAnsi="宋体" w:cs="宋体"/>
          <w:color w:val="auto"/>
          <w:sz w:val="24"/>
          <w:szCs w:val="24"/>
          <w:highlight w:val="none"/>
          <w:u w:val="single"/>
        </w:rPr>
        <w:t xml:space="preserve"> </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u w:val="single"/>
          <w:lang w:eastAsia="zh-CN"/>
        </w:rPr>
        <w:t>（</w:t>
      </w:r>
      <w:r>
        <w:rPr>
          <w:rFonts w:hint="eastAsia" w:ascii="宋体" w:hAnsi="宋体" w:cs="宋体"/>
          <w:color w:val="auto"/>
          <w:sz w:val="24"/>
          <w:szCs w:val="24"/>
          <w:highlight w:val="none"/>
          <w:u w:val="single"/>
        </w:rPr>
        <w:t>项目名称</w:t>
      </w:r>
      <w:r>
        <w:rPr>
          <w:rFonts w:hint="eastAsia" w:ascii="宋体" w:hAnsi="宋体" w:cs="宋体"/>
          <w:color w:val="auto"/>
          <w:sz w:val="24"/>
          <w:szCs w:val="24"/>
          <w:highlight w:val="none"/>
          <w:u w:val="single"/>
          <w:lang w:eastAsia="zh-CN"/>
        </w:rPr>
        <w:t>）</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（项目编号：</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谈判</w:t>
      </w:r>
      <w:r>
        <w:rPr>
          <w:rFonts w:hint="eastAsia" w:ascii="宋体" w:hAnsi="宋体" w:cs="宋体"/>
          <w:color w:val="auto"/>
          <w:sz w:val="24"/>
          <w:szCs w:val="24"/>
          <w:highlight w:val="none"/>
        </w:rPr>
        <w:t>的供应商，在此郑重声明：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ascii="宋体" w:hAnsi="宋体" w:cs="宋体"/>
          <w:b/>
          <w:bCs/>
          <w:color w:val="auto"/>
          <w:sz w:val="24"/>
          <w:szCs w:val="24"/>
          <w:highlight w:val="none"/>
        </w:rPr>
      </w:pPr>
      <w:r>
        <w:rPr>
          <w:rFonts w:hint="eastAsia" w:ascii="宋体" w:hAnsi="宋体" w:cs="宋体"/>
          <w:color w:val="auto"/>
          <w:sz w:val="24"/>
          <w:szCs w:val="24"/>
          <w:highlight w:val="none"/>
        </w:rPr>
        <w:t>1、在参加本次政府采购活动前3年内的经营活动中</w:t>
      </w:r>
      <w:r>
        <w:rPr>
          <w:rFonts w:ascii="宋体" w:hAnsi="宋体" w:cs="宋体"/>
          <w:color w:val="auto"/>
          <w:sz w:val="24"/>
          <w:szCs w:val="24"/>
          <w:highlight w:val="none"/>
          <w:u w:val="single"/>
        </w:rPr>
        <w:t xml:space="preserve">       </w:t>
      </w:r>
      <w:r>
        <w:rPr>
          <w:rFonts w:hint="eastAsia" w:ascii="宋体" w:hAnsi="宋体" w:cs="宋体"/>
          <w:color w:val="auto"/>
          <w:sz w:val="24"/>
          <w:szCs w:val="24"/>
          <w:highlight w:val="none"/>
        </w:rPr>
        <w:t>（填“没有”或“有”）重大违法记录。</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Calibri Light"/>
          <w:color w:val="auto"/>
          <w:kern w:val="0"/>
          <w:sz w:val="24"/>
          <w:szCs w:val="24"/>
          <w:highlight w:val="none"/>
        </w:rPr>
      </w:pPr>
      <w:r>
        <w:rPr>
          <w:rFonts w:ascii="宋体" w:hAnsi="宋体" w:cs="Calibri Light"/>
          <w:color w:val="auto"/>
          <w:kern w:val="0"/>
          <w:sz w:val="24"/>
          <w:szCs w:val="24"/>
          <w:highlight w:val="none"/>
        </w:rPr>
        <w:t>2、在参加本次政府采购</w:t>
      </w:r>
      <w:r>
        <w:rPr>
          <w:rFonts w:hint="eastAsia" w:ascii="宋体" w:hAnsi="宋体" w:cs="Calibri Light"/>
          <w:color w:val="auto"/>
          <w:kern w:val="0"/>
          <w:sz w:val="24"/>
          <w:szCs w:val="24"/>
          <w:highlight w:val="none"/>
        </w:rPr>
        <w:t>项目</w:t>
      </w:r>
      <w:r>
        <w:rPr>
          <w:rFonts w:ascii="宋体" w:hAnsi="宋体" w:cs="Calibri Light"/>
          <w:color w:val="auto"/>
          <w:kern w:val="0"/>
          <w:sz w:val="24"/>
          <w:szCs w:val="24"/>
          <w:highlight w:val="none"/>
        </w:rPr>
        <w:t>经营活动中</w:t>
      </w:r>
      <w:r>
        <w:rPr>
          <w:rFonts w:ascii="宋体" w:hAnsi="宋体" w:cs="宋体"/>
          <w:color w:val="auto"/>
          <w:sz w:val="24"/>
          <w:szCs w:val="24"/>
          <w:highlight w:val="none"/>
          <w:u w:val="single"/>
        </w:rPr>
        <w:t xml:space="preserve">       </w:t>
      </w:r>
      <w:r>
        <w:rPr>
          <w:rFonts w:hint="eastAsia" w:ascii="宋体" w:hAnsi="宋体" w:cs="Calibri Light"/>
          <w:color w:val="auto"/>
          <w:kern w:val="0"/>
          <w:sz w:val="24"/>
          <w:szCs w:val="24"/>
          <w:highlight w:val="none"/>
        </w:rPr>
        <w:t>（填“没有”或“有”）履行合同所必需的设备和专业技术能力</w:t>
      </w:r>
      <w:r>
        <w:rPr>
          <w:rFonts w:hint="eastAsia" w:ascii="宋体" w:hAnsi="宋体" w:cs="Calibri Light"/>
          <w:b/>
          <w:bCs/>
          <w:color w:val="auto"/>
          <w:kern w:val="0"/>
          <w:sz w:val="24"/>
          <w:szCs w:val="24"/>
          <w:highlight w:val="none"/>
        </w:rPr>
        <w:t>。</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如有不实，我方将无条件地退出本项目的采购活动，并遵照《</w:t>
      </w:r>
      <w:r>
        <w:rPr>
          <w:rFonts w:hint="eastAsia" w:ascii="宋体" w:hAnsi="宋体" w:cs="宋体"/>
          <w:color w:val="auto"/>
          <w:sz w:val="24"/>
          <w:szCs w:val="24"/>
          <w:highlight w:val="none"/>
          <w:lang w:val="en-US" w:eastAsia="zh-CN"/>
        </w:rPr>
        <w:t>中华人民共和国</w:t>
      </w:r>
      <w:r>
        <w:rPr>
          <w:rFonts w:hint="eastAsia" w:ascii="宋体" w:hAnsi="宋体" w:cs="宋体"/>
          <w:color w:val="auto"/>
          <w:sz w:val="24"/>
          <w:szCs w:val="24"/>
          <w:highlight w:val="none"/>
        </w:rPr>
        <w:t>政府采购法》有关“提供虚假材料的规定”接受处罚。</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cs="宋体"/>
          <w:color w:val="auto"/>
          <w:sz w:val="24"/>
          <w:szCs w:val="24"/>
          <w:highlight w:val="none"/>
        </w:rPr>
      </w:pPr>
      <w:r>
        <w:rPr>
          <w:rFonts w:hint="eastAsia" w:ascii="宋体" w:hAnsi="宋体" w:cs="宋体"/>
          <w:color w:val="auto"/>
          <w:sz w:val="24"/>
          <w:szCs w:val="24"/>
          <w:highlight w:val="none"/>
        </w:rPr>
        <w:t>特此声明。</w:t>
      </w:r>
    </w:p>
    <w:p>
      <w:pPr>
        <w:autoSpaceDE w:val="0"/>
        <w:autoSpaceDN w:val="0"/>
        <w:adjustRightInd w:val="0"/>
        <w:spacing w:line="360" w:lineRule="auto"/>
        <w:ind w:firstLine="420" w:firstLineChars="200"/>
        <w:outlineLvl w:val="9"/>
        <w:rPr>
          <w:rFonts w:hint="eastAsia" w:ascii="宋体" w:hAnsi="宋体" w:cs="宋体"/>
          <w:color w:val="auto"/>
          <w:szCs w:val="24"/>
          <w:highlight w:val="none"/>
        </w:rPr>
      </w:pPr>
    </w:p>
    <w:p>
      <w:pPr>
        <w:autoSpaceDE w:val="0"/>
        <w:autoSpaceDN w:val="0"/>
        <w:adjustRightInd w:val="0"/>
        <w:spacing w:line="360" w:lineRule="auto"/>
        <w:ind w:firstLine="420" w:firstLineChars="200"/>
        <w:outlineLvl w:val="9"/>
        <w:rPr>
          <w:rFonts w:hint="eastAsia" w:ascii="宋体" w:hAnsi="宋体" w:cs="宋体"/>
          <w:color w:val="auto"/>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供应商（公章）：</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法定代表人</w:t>
      </w:r>
      <w:r>
        <w:rPr>
          <w:rFonts w:hint="eastAsia" w:asciiTheme="minorEastAsia" w:hAnsiTheme="minorEastAsia" w:cstheme="minorEastAsia"/>
          <w:color w:val="auto"/>
          <w:sz w:val="24"/>
          <w:szCs w:val="24"/>
          <w:highlight w:val="none"/>
          <w:lang w:val="en-US" w:eastAsia="zh-CN"/>
        </w:rPr>
        <w:t>或</w:t>
      </w:r>
      <w:r>
        <w:rPr>
          <w:rFonts w:hint="eastAsia" w:asciiTheme="minorEastAsia" w:hAnsiTheme="minorEastAsia" w:eastAsiaTheme="minorEastAsia" w:cstheme="minorEastAsia"/>
          <w:color w:val="auto"/>
          <w:sz w:val="24"/>
          <w:szCs w:val="24"/>
          <w:highlight w:val="none"/>
        </w:rPr>
        <w:t>授权代表（签字</w:t>
      </w:r>
      <w:r>
        <w:rPr>
          <w:rFonts w:hint="eastAsia" w:asciiTheme="minorEastAsia" w:hAnsiTheme="minorEastAsia" w:eastAsiaTheme="minorEastAsia" w:cstheme="minorEastAsia"/>
          <w:color w:val="auto"/>
          <w:sz w:val="24"/>
          <w:szCs w:val="24"/>
          <w:highlight w:val="none"/>
          <w:lang w:eastAsia="zh-CN"/>
        </w:rPr>
        <w:t>或盖章</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firstLine="3904" w:firstLineChars="1627"/>
        <w:textAlignment w:val="auto"/>
        <w:outlineLvl w:val="9"/>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rPr>
        <w:t>日    期：</w:t>
      </w:r>
      <w:r>
        <w:rPr>
          <w:rFonts w:hint="eastAsia" w:asciiTheme="minorEastAsia" w:hAnsiTheme="minorEastAsia" w:eastAsiaTheme="minorEastAsia" w:cstheme="minorEastAsia"/>
          <w:color w:val="auto"/>
          <w:sz w:val="24"/>
          <w:szCs w:val="24"/>
          <w:highlight w:val="none"/>
          <w:u w:val="single"/>
        </w:rPr>
        <w:t xml:space="preserve">                          </w:t>
      </w:r>
      <w:r>
        <w:rPr>
          <w:rFonts w:hint="eastAsia" w:asciiTheme="minorEastAsia" w:hAnsiTheme="minorEastAsia" w:cstheme="minorEastAsia"/>
          <w:color w:val="auto"/>
          <w:sz w:val="24"/>
          <w:szCs w:val="24"/>
          <w:highlight w:val="none"/>
          <w:u w:val="single"/>
          <w:lang w:val="en-US" w:eastAsia="zh-CN"/>
        </w:rPr>
        <w:t xml:space="preserve">     </w:t>
      </w:r>
      <w:r>
        <w:rPr>
          <w:rFonts w:hint="eastAsia" w:asciiTheme="minorEastAsia" w:hAnsiTheme="minorEastAsia" w:eastAsiaTheme="minorEastAsia" w:cstheme="minorEastAsia"/>
          <w:color w:val="auto"/>
          <w:sz w:val="24"/>
          <w:szCs w:val="24"/>
          <w:highlight w:val="none"/>
          <w:u w:val="single"/>
        </w:rPr>
        <w:t xml:space="preserve">  </w:t>
      </w:r>
    </w:p>
    <w:p>
      <w:pPr>
        <w:pStyle w:val="7"/>
        <w:rPr>
          <w:rFonts w:hint="eastAsia" w:asciiTheme="minorEastAsia" w:hAnsiTheme="minorEastAsia" w:eastAsiaTheme="minorEastAsia" w:cstheme="minorEastAsia"/>
          <w:color w:val="auto"/>
          <w:sz w:val="24"/>
          <w:szCs w:val="24"/>
          <w:highlight w:val="none"/>
          <w:u w:val="single"/>
        </w:rPr>
      </w:pPr>
    </w:p>
    <w:p>
      <w:pPr>
        <w:rPr>
          <w:rFonts w:hint="eastAsia" w:asciiTheme="minorEastAsia" w:hAnsiTheme="minorEastAsia" w:eastAsiaTheme="minorEastAsia" w:cstheme="minorEastAsia"/>
          <w:color w:val="auto"/>
          <w:sz w:val="24"/>
          <w:szCs w:val="24"/>
          <w:highlight w:val="none"/>
          <w:u w:val="single"/>
        </w:rPr>
      </w:pPr>
    </w:p>
    <w:p>
      <w:pPr>
        <w:pStyle w:val="7"/>
        <w:rPr>
          <w:rFonts w:hint="eastAsia"/>
        </w:rPr>
      </w:pPr>
      <w:r>
        <w:rPr>
          <w:rFonts w:hint="eastAsia"/>
          <w:b/>
          <w:bCs/>
          <w:color w:val="auto"/>
          <w:sz w:val="21"/>
          <w:szCs w:val="32"/>
          <w:highlight w:val="none"/>
          <w:lang w:val="en-US" w:eastAsia="zh-CN"/>
        </w:rPr>
        <w:t>注：供应商在参加政府采购活动前3年内因违法经营被禁止在一定期限内参加政府采购活动，期限届满的，可以参加政府采购活动，但应提供期限届满的证明材料。</w:t>
      </w:r>
    </w:p>
    <w:p>
      <w:pPr>
        <w:keepNext w:val="0"/>
        <w:keepLines w:val="0"/>
        <w:pageBreakBefore w:val="0"/>
        <w:widowControl w:val="0"/>
        <w:numPr>
          <w:ilvl w:val="0"/>
          <w:numId w:val="0"/>
        </w:numPr>
        <w:shd w:val="clear" w:color="auto" w:fill="FFFFFF"/>
        <w:tabs>
          <w:tab w:val="left" w:pos="0"/>
        </w:tabs>
        <w:suppressAutoHyphens/>
        <w:kinsoku/>
        <w:wordWrap/>
        <w:overflowPunct/>
        <w:topLinePunct w:val="0"/>
        <w:autoSpaceDE/>
        <w:autoSpaceDN/>
        <w:bidi w:val="0"/>
        <w:adjustRightInd/>
        <w:snapToGrid/>
        <w:spacing w:line="360" w:lineRule="auto"/>
        <w:ind w:leftChars="0"/>
        <w:textAlignment w:val="auto"/>
        <w:outlineLvl w:val="9"/>
        <w:rPr>
          <w:b/>
          <w:bCs/>
          <w:color w:val="auto"/>
          <w:sz w:val="24"/>
          <w:szCs w:val="32"/>
          <w:highlight w:val="none"/>
        </w:rPr>
      </w:pPr>
      <w:r>
        <w:rPr>
          <w:color w:val="auto"/>
          <w:sz w:val="18"/>
          <w:highlight w:val="none"/>
        </w:rPr>
        <w:br w:type="page"/>
      </w:r>
      <w:bookmarkStart w:id="85" w:name="_Hlk63418484"/>
    </w:p>
    <w:bookmarkEnd w:id="85"/>
    <w:p>
      <w:pPr>
        <w:bidi w:val="0"/>
        <w:spacing w:line="240" w:lineRule="auto"/>
        <w:jc w:val="left"/>
        <w:rPr>
          <w:rFonts w:hint="eastAsia" w:ascii="宋体" w:hAnsi="宋体" w:eastAsia="宋体" w:cs="宋体"/>
          <w:b/>
          <w:bCs/>
          <w:color w:val="auto"/>
          <w:sz w:val="28"/>
          <w:szCs w:val="28"/>
        </w:rPr>
      </w:pPr>
      <w:r>
        <w:rPr>
          <w:rFonts w:hint="eastAsia"/>
          <w:b/>
          <w:bCs/>
          <w:color w:val="auto"/>
          <w:sz w:val="24"/>
          <w:szCs w:val="32"/>
          <w:highlight w:val="none"/>
        </w:rPr>
        <w:t>附件</w:t>
      </w:r>
      <w:r>
        <w:rPr>
          <w:rFonts w:hint="eastAsia"/>
          <w:b/>
          <w:bCs/>
          <w:color w:val="auto"/>
          <w:sz w:val="24"/>
          <w:szCs w:val="32"/>
          <w:highlight w:val="none"/>
          <w:lang w:val="en-US" w:eastAsia="zh-CN"/>
        </w:rPr>
        <w:t>一</w:t>
      </w:r>
      <w:r>
        <w:rPr>
          <w:rFonts w:hint="eastAsia"/>
          <w:b/>
          <w:bCs/>
          <w:color w:val="auto"/>
          <w:sz w:val="24"/>
          <w:szCs w:val="32"/>
          <w:highlight w:val="none"/>
        </w:rPr>
        <w:t>：</w:t>
      </w:r>
    </w:p>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kern w:val="0"/>
          <w:sz w:val="36"/>
          <w:szCs w:val="36"/>
          <w:lang w:val="en-US" w:eastAsia="zh-CN" w:bidi="ar"/>
        </w:rPr>
      </w:pPr>
      <w:r>
        <w:rPr>
          <w:rFonts w:hint="eastAsia" w:ascii="宋体" w:hAnsi="宋体" w:eastAsia="宋体" w:cs="宋体"/>
          <w:b/>
          <w:bCs/>
          <w:color w:val="000000"/>
          <w:kern w:val="0"/>
          <w:sz w:val="32"/>
          <w:szCs w:val="32"/>
          <w:lang w:val="en-US" w:eastAsia="zh-CN" w:bidi="ar"/>
        </w:rPr>
        <w:t>中小企业声明函</w:t>
      </w:r>
    </w:p>
    <w:p>
      <w:pPr>
        <w:pStyle w:val="7"/>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本公司（联合体）郑重声明，根据《政府采购促进中小企业发展管理办法》（财库﹝2020﹞46 号）的规定，本公司（联合体）参加</w:t>
      </w:r>
      <w:r>
        <w:rPr>
          <w:rFonts w:hint="eastAsia" w:ascii="宋体" w:hAnsi="宋体" w:eastAsia="宋体" w:cs="宋体"/>
          <w:color w:val="auto"/>
          <w:sz w:val="21"/>
          <w:szCs w:val="21"/>
          <w:u w:val="single"/>
          <w:lang w:val="en-US" w:eastAsia="zh-CN"/>
        </w:rPr>
        <w:t>（单位名称）</w:t>
      </w:r>
      <w:r>
        <w:rPr>
          <w:rFonts w:hint="eastAsia" w:ascii="宋体" w:hAnsi="宋体" w:eastAsia="宋体" w:cs="宋体"/>
          <w:color w:val="auto"/>
          <w:sz w:val="21"/>
          <w:szCs w:val="21"/>
          <w:lang w:val="en-US" w:eastAsia="zh-CN"/>
        </w:rPr>
        <w:t>的</w:t>
      </w:r>
      <w:r>
        <w:rPr>
          <w:rFonts w:hint="eastAsia" w:ascii="宋体" w:hAnsi="宋体" w:eastAsia="宋体" w:cs="宋体"/>
          <w:color w:val="auto"/>
          <w:sz w:val="21"/>
          <w:szCs w:val="21"/>
          <w:u w:val="single"/>
          <w:lang w:val="en-US" w:eastAsia="zh-CN"/>
        </w:rPr>
        <w:t>（项目名称）</w:t>
      </w:r>
      <w:r>
        <w:rPr>
          <w:rFonts w:hint="eastAsia" w:ascii="宋体" w:hAnsi="宋体" w:eastAsia="宋体" w:cs="宋体"/>
          <w:color w:val="auto"/>
          <w:sz w:val="21"/>
          <w:szCs w:val="21"/>
          <w:lang w:val="en-US" w:eastAsia="zh-CN"/>
        </w:rPr>
        <w:t>采购活动，提供的货物全部由符合政策要求的中小企业制造。相关企业（含联合体中的中小企业、签订分包意向协议的中小企业） 的具体情况如下：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1. </w:t>
      </w:r>
      <w:r>
        <w:rPr>
          <w:rFonts w:hint="eastAsia" w:ascii="宋体" w:hAnsi="宋体" w:eastAsia="宋体" w:cs="宋体"/>
          <w:color w:val="auto"/>
          <w:sz w:val="21"/>
          <w:szCs w:val="21"/>
          <w:u w:val="single"/>
          <w:lang w:val="en-US" w:eastAsia="zh-CN"/>
        </w:rPr>
        <w:t>（标的名称）</w:t>
      </w:r>
      <w:r>
        <w:rPr>
          <w:rFonts w:hint="eastAsia" w:ascii="宋体" w:hAnsi="宋体" w:eastAsia="宋体" w:cs="宋体"/>
          <w:color w:val="auto"/>
          <w:sz w:val="21"/>
          <w:szCs w:val="21"/>
          <w:lang w:val="en-US" w:eastAsia="zh-CN"/>
        </w:rPr>
        <w:t xml:space="preserve"> ，属于</w:t>
      </w:r>
      <w:r>
        <w:rPr>
          <w:rFonts w:hint="eastAsia" w:ascii="宋体" w:hAnsi="宋体" w:eastAsia="宋体" w:cs="宋体"/>
          <w:color w:val="auto"/>
          <w:sz w:val="21"/>
          <w:szCs w:val="21"/>
          <w:u w:val="single"/>
          <w:lang w:val="en-US" w:eastAsia="zh-CN"/>
        </w:rPr>
        <w:t>（采购文件中明确的所属行业）</w:t>
      </w:r>
      <w:r>
        <w:rPr>
          <w:rFonts w:hint="eastAsia" w:ascii="宋体" w:hAnsi="宋体" w:eastAsia="宋体" w:cs="宋体"/>
          <w:color w:val="auto"/>
          <w:sz w:val="21"/>
          <w:szCs w:val="21"/>
          <w:lang w:val="en-US" w:eastAsia="zh-CN"/>
        </w:rPr>
        <w:t xml:space="preserve"> 行业；制造商为</w:t>
      </w:r>
      <w:r>
        <w:rPr>
          <w:rFonts w:hint="eastAsia" w:ascii="宋体" w:hAnsi="宋体" w:eastAsia="宋体" w:cs="宋体"/>
          <w:color w:val="auto"/>
          <w:sz w:val="21"/>
          <w:szCs w:val="21"/>
          <w:u w:val="single"/>
          <w:lang w:val="en-US" w:eastAsia="zh-CN"/>
        </w:rPr>
        <w:t>（企业名称）</w:t>
      </w:r>
      <w:r>
        <w:rPr>
          <w:rFonts w:hint="eastAsia" w:ascii="宋体" w:hAnsi="宋体" w:eastAsia="宋体" w:cs="宋体"/>
          <w:color w:val="auto"/>
          <w:sz w:val="21"/>
          <w:szCs w:val="21"/>
          <w:lang w:val="en-US" w:eastAsia="zh-CN"/>
        </w:rPr>
        <w:t>，从业人员</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en-US" w:eastAsia="zh-CN"/>
        </w:rPr>
        <w:t>人，营业收入为</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en-US" w:eastAsia="zh-CN"/>
        </w:rPr>
        <w:t>万元，资产总额为</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en-US" w:eastAsia="zh-CN"/>
        </w:rPr>
        <w:t>万元</w:t>
      </w:r>
      <w:r>
        <w:rPr>
          <w:rFonts w:hint="eastAsia" w:ascii="宋体" w:hAnsi="宋体" w:eastAsia="宋体" w:cs="宋体"/>
          <w:color w:val="auto"/>
          <w:sz w:val="21"/>
          <w:szCs w:val="21"/>
          <w:vertAlign w:val="superscript"/>
          <w:lang w:val="en-US" w:eastAsia="zh-CN"/>
        </w:rPr>
        <w:t>1</w:t>
      </w:r>
      <w:r>
        <w:rPr>
          <w:rFonts w:hint="eastAsia" w:ascii="宋体" w:hAnsi="宋体" w:eastAsia="宋体" w:cs="宋体"/>
          <w:color w:val="auto"/>
          <w:sz w:val="21"/>
          <w:szCs w:val="21"/>
          <w:lang w:val="en-US" w:eastAsia="zh-CN"/>
        </w:rPr>
        <w:t>，属于</w:t>
      </w:r>
      <w:r>
        <w:rPr>
          <w:rFonts w:hint="eastAsia" w:ascii="宋体" w:hAnsi="宋体" w:eastAsia="宋体" w:cs="宋体"/>
          <w:color w:val="auto"/>
          <w:sz w:val="21"/>
          <w:szCs w:val="21"/>
          <w:u w:val="single"/>
          <w:lang w:val="en-US" w:eastAsia="zh-CN"/>
        </w:rPr>
        <w:t>（中型企业、小 型企业、微型企业）</w:t>
      </w:r>
      <w:r>
        <w:rPr>
          <w:rFonts w:hint="eastAsia" w:ascii="宋体" w:hAnsi="宋体" w:eastAsia="宋体" w:cs="宋体"/>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2. </w:t>
      </w:r>
      <w:r>
        <w:rPr>
          <w:rFonts w:hint="eastAsia" w:ascii="宋体" w:hAnsi="宋体" w:eastAsia="宋体" w:cs="宋体"/>
          <w:color w:val="auto"/>
          <w:sz w:val="21"/>
          <w:szCs w:val="21"/>
          <w:u w:val="single"/>
          <w:lang w:val="en-US" w:eastAsia="zh-CN"/>
        </w:rPr>
        <w:t>（标的名称）</w:t>
      </w:r>
      <w:r>
        <w:rPr>
          <w:rFonts w:hint="eastAsia" w:ascii="宋体" w:hAnsi="宋体" w:eastAsia="宋体" w:cs="宋体"/>
          <w:color w:val="auto"/>
          <w:sz w:val="21"/>
          <w:szCs w:val="21"/>
          <w:lang w:val="en-US" w:eastAsia="zh-CN"/>
        </w:rPr>
        <w:t xml:space="preserve"> ，属于</w:t>
      </w:r>
      <w:r>
        <w:rPr>
          <w:rFonts w:hint="eastAsia" w:ascii="宋体" w:hAnsi="宋体" w:eastAsia="宋体" w:cs="宋体"/>
          <w:color w:val="auto"/>
          <w:sz w:val="21"/>
          <w:szCs w:val="21"/>
          <w:u w:val="single"/>
          <w:lang w:val="en-US" w:eastAsia="zh-CN"/>
        </w:rPr>
        <w:t>（采购文件中明确的所属行业）</w:t>
      </w:r>
      <w:r>
        <w:rPr>
          <w:rFonts w:hint="eastAsia" w:ascii="宋体" w:hAnsi="宋体" w:eastAsia="宋体" w:cs="宋体"/>
          <w:color w:val="auto"/>
          <w:sz w:val="21"/>
          <w:szCs w:val="21"/>
          <w:lang w:val="en-US" w:eastAsia="zh-CN"/>
        </w:rPr>
        <w:t xml:space="preserve"> 行业；制造商为</w:t>
      </w:r>
      <w:r>
        <w:rPr>
          <w:rFonts w:hint="eastAsia" w:ascii="宋体" w:hAnsi="宋体" w:eastAsia="宋体" w:cs="宋体"/>
          <w:color w:val="auto"/>
          <w:sz w:val="21"/>
          <w:szCs w:val="21"/>
          <w:u w:val="single"/>
          <w:lang w:val="en-US" w:eastAsia="zh-CN"/>
        </w:rPr>
        <w:t>（企业名称）</w:t>
      </w:r>
      <w:r>
        <w:rPr>
          <w:rFonts w:hint="eastAsia" w:ascii="宋体" w:hAnsi="宋体" w:eastAsia="宋体" w:cs="宋体"/>
          <w:color w:val="auto"/>
          <w:sz w:val="21"/>
          <w:szCs w:val="21"/>
          <w:lang w:val="en-US" w:eastAsia="zh-CN"/>
        </w:rPr>
        <w:t>，从业人员 人，营业收入为</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en-US" w:eastAsia="zh-CN"/>
        </w:rPr>
        <w:t>万元，资产总额为</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lang w:val="en-US" w:eastAsia="zh-CN"/>
        </w:rPr>
        <w:t>万元，属于</w:t>
      </w:r>
      <w:r>
        <w:rPr>
          <w:rFonts w:hint="eastAsia" w:ascii="宋体" w:hAnsi="宋体" w:eastAsia="宋体" w:cs="宋体"/>
          <w:color w:val="auto"/>
          <w:sz w:val="21"/>
          <w:szCs w:val="21"/>
          <w:u w:val="single"/>
          <w:lang w:val="en-US" w:eastAsia="zh-CN"/>
        </w:rPr>
        <w:t>（中型企业、小型 企业、微型企业</w:t>
      </w:r>
      <w:r>
        <w:rPr>
          <w:rFonts w:hint="eastAsia" w:ascii="宋体" w:hAnsi="宋体" w:eastAsia="宋体" w:cs="宋体"/>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以上企业，不属于大企业的分支机构，不存在控股股东 为大企业的情形，也不存在与大企业的负责人为同一人的情 形。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本企业对上述声明内容的真实性负责。如有虚假，将依法承担相应责任。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企业名称（盖章）：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日 期：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both"/>
        <w:textAlignment w:val="auto"/>
        <w:rPr>
          <w:rFonts w:hint="eastAsia" w:ascii="宋体" w:hAnsi="宋体" w:eastAsia="宋体" w:cs="宋体"/>
          <w:color w:val="auto"/>
          <w:sz w:val="21"/>
          <w:szCs w:val="21"/>
          <w:lang w:val="en-US" w:eastAsia="zh-CN"/>
        </w:rPr>
      </w:pPr>
    </w:p>
    <w:p>
      <w:pPr>
        <w:outlineLvl w:val="9"/>
        <w:rPr>
          <w:rFonts w:eastAsia="仿宋_GB2312"/>
          <w:color w:val="auto"/>
          <w:spacing w:val="6"/>
          <w:sz w:val="30"/>
          <w:szCs w:val="30"/>
          <w:highlight w:val="none"/>
        </w:rPr>
      </w:pPr>
      <w:r>
        <w:rPr>
          <w:rFonts w:hint="eastAsia" w:ascii="宋体" w:hAnsi="宋体" w:eastAsia="宋体" w:cs="宋体"/>
          <w:color w:val="auto"/>
          <w:sz w:val="21"/>
          <w:szCs w:val="21"/>
          <w:lang w:val="en-US" w:eastAsia="zh-CN"/>
        </w:rPr>
        <w:t>从业人员、营业收入、资产总额填报上一年度数据，无上一年度数据的新成立企业可不填报。</w:t>
      </w:r>
      <w:r>
        <w:rPr>
          <w:rFonts w:hint="eastAsia" w:ascii="宋体" w:hAnsi="宋体"/>
          <w:b/>
          <w:color w:val="auto"/>
          <w:kern w:val="0"/>
          <w:sz w:val="24"/>
          <w:szCs w:val="24"/>
          <w:highlight w:val="none"/>
        </w:rPr>
        <w:br w:type="page"/>
      </w:r>
    </w:p>
    <w:p>
      <w:pPr>
        <w:numPr>
          <w:ilvl w:val="0"/>
          <w:numId w:val="0"/>
        </w:numPr>
        <w:tabs>
          <w:tab w:val="left" w:pos="0"/>
        </w:tabs>
        <w:suppressAutoHyphens/>
        <w:spacing w:line="360" w:lineRule="auto"/>
        <w:ind w:leftChars="0"/>
        <w:outlineLvl w:val="9"/>
        <w:rPr>
          <w:rFonts w:eastAsia="仿宋_GB2312"/>
          <w:color w:val="auto"/>
          <w:spacing w:val="6"/>
          <w:sz w:val="30"/>
          <w:szCs w:val="30"/>
          <w:highlight w:val="none"/>
        </w:rPr>
      </w:pPr>
      <w:r>
        <w:rPr>
          <w:rFonts w:hint="eastAsia" w:ascii="宋体" w:hAnsi="宋体"/>
          <w:b/>
          <w:color w:val="auto"/>
          <w:kern w:val="0"/>
          <w:sz w:val="24"/>
          <w:szCs w:val="24"/>
          <w:highlight w:val="none"/>
        </w:rPr>
        <w:t>附件</w:t>
      </w:r>
      <w:r>
        <w:rPr>
          <w:rFonts w:hint="eastAsia" w:ascii="宋体" w:hAnsi="宋体"/>
          <w:b/>
          <w:color w:val="auto"/>
          <w:kern w:val="0"/>
          <w:sz w:val="24"/>
          <w:szCs w:val="24"/>
          <w:highlight w:val="none"/>
          <w:lang w:val="en-US" w:eastAsia="zh-CN"/>
        </w:rPr>
        <w:t>二</w:t>
      </w:r>
      <w:r>
        <w:rPr>
          <w:rFonts w:hint="eastAsia" w:ascii="宋体" w:hAnsi="宋体"/>
          <w:b/>
          <w:color w:val="auto"/>
          <w:kern w:val="0"/>
          <w:sz w:val="24"/>
          <w:szCs w:val="24"/>
          <w:highlight w:val="none"/>
        </w:rPr>
        <w:t>：</w:t>
      </w:r>
    </w:p>
    <w:p>
      <w:pPr>
        <w:numPr>
          <w:ilvl w:val="0"/>
          <w:numId w:val="0"/>
        </w:numPr>
        <w:tabs>
          <w:tab w:val="left" w:pos="0"/>
        </w:tabs>
        <w:suppressAutoHyphens/>
        <w:spacing w:line="360" w:lineRule="auto"/>
        <w:ind w:leftChars="0"/>
        <w:jc w:val="center"/>
        <w:outlineLvl w:val="9"/>
        <w:rPr>
          <w:rFonts w:ascii="宋体" w:hAnsi="宋体" w:cs="宋体"/>
          <w:b/>
          <w:color w:val="auto"/>
          <w:spacing w:val="6"/>
          <w:sz w:val="24"/>
          <w:szCs w:val="24"/>
          <w:highlight w:val="none"/>
        </w:rPr>
      </w:pPr>
      <w:r>
        <w:rPr>
          <w:rFonts w:hint="eastAsia" w:ascii="宋体" w:hAnsi="宋体" w:eastAsiaTheme="minorEastAsia" w:cstheme="minorBidi"/>
          <w:b/>
          <w:bCs/>
          <w:color w:val="auto"/>
          <w:spacing w:val="15"/>
          <w:kern w:val="0"/>
          <w:sz w:val="28"/>
          <w:szCs w:val="36"/>
          <w:highlight w:val="none"/>
          <w:shd w:val="clear" w:color="auto" w:fill="FFFFFF"/>
          <w:lang w:val="en-US" w:eastAsia="zh-CN" w:bidi="ar-SA"/>
        </w:rPr>
        <w:t>残疾人福利性单位声明函</w:t>
      </w:r>
    </w:p>
    <w:p>
      <w:pPr>
        <w:numPr>
          <w:ilvl w:val="0"/>
          <w:numId w:val="0"/>
        </w:numPr>
        <w:tabs>
          <w:tab w:val="left" w:pos="0"/>
        </w:tabs>
        <w:suppressAutoHyphens/>
        <w:spacing w:line="360" w:lineRule="auto"/>
        <w:ind w:leftChars="0"/>
        <w:outlineLvl w:val="9"/>
        <w:rPr>
          <w:rFonts w:ascii="宋体" w:hAnsi="宋体" w:cs="宋体"/>
          <w:b/>
          <w:color w:val="auto"/>
          <w:spacing w:val="6"/>
          <w:sz w:val="24"/>
          <w:szCs w:val="24"/>
          <w:highlight w:val="none"/>
        </w:rPr>
      </w:pPr>
    </w:p>
    <w:p>
      <w:pPr>
        <w:keepNext w:val="0"/>
        <w:keepLines w:val="0"/>
        <w:pageBreakBefore w:val="0"/>
        <w:widowControl w:val="0"/>
        <w:numPr>
          <w:ilvl w:val="0"/>
          <w:numId w:val="0"/>
        </w:numPr>
        <w:tabs>
          <w:tab w:val="left" w:pos="0"/>
        </w:tabs>
        <w:suppressAutoHyphens/>
        <w:kinsoku/>
        <w:wordWrap/>
        <w:overflowPunct/>
        <w:topLinePunct w:val="0"/>
        <w:autoSpaceDE/>
        <w:autoSpaceDN/>
        <w:bidi w:val="0"/>
        <w:adjustRightInd/>
        <w:snapToGrid/>
        <w:spacing w:line="360" w:lineRule="auto"/>
        <w:ind w:leftChars="0"/>
        <w:textAlignment w:val="auto"/>
        <w:outlineLvl w:val="9"/>
        <w:rPr>
          <w:rFonts w:hint="eastAsia" w:ascii="宋体" w:hAnsi="宋体" w:eastAsia="宋体" w:cs="宋体"/>
          <w:color w:val="auto"/>
          <w:spacing w:val="6"/>
          <w:sz w:val="24"/>
          <w:szCs w:val="32"/>
          <w:highlight w:val="none"/>
        </w:rPr>
      </w:pPr>
      <w:r>
        <w:rPr>
          <w:rFonts w:ascii="宋体" w:hAnsi="宋体" w:cs="宋体"/>
          <w:color w:val="auto"/>
          <w:spacing w:val="6"/>
          <w:sz w:val="24"/>
          <w:szCs w:val="24"/>
          <w:highlight w:val="none"/>
        </w:rPr>
        <w:t xml:space="preserve">   </w:t>
      </w:r>
      <w:r>
        <w:rPr>
          <w:rFonts w:ascii="宋体" w:hAnsi="宋体" w:cs="宋体"/>
          <w:color w:val="auto"/>
          <w:spacing w:val="6"/>
          <w:szCs w:val="24"/>
          <w:highlight w:val="none"/>
        </w:rPr>
        <w:t xml:space="preserve"> </w:t>
      </w:r>
      <w:r>
        <w:rPr>
          <w:rFonts w:hint="eastAsia" w:ascii="宋体" w:hAnsi="宋体" w:eastAsia="宋体" w:cs="宋体"/>
          <w:color w:val="auto"/>
          <w:spacing w:val="6"/>
          <w:sz w:val="24"/>
          <w:szCs w:val="32"/>
          <w:highlight w:val="none"/>
        </w:rPr>
        <w:t>本单位郑重声明，根据《财政部 民政部 中国残疾人联合会关于促进残疾人就业政府采购政策的通知》（财库</w:t>
      </w:r>
      <w:r>
        <w:rPr>
          <w:rFonts w:hint="eastAsia" w:ascii="宋体" w:hAnsi="宋体" w:eastAsia="宋体" w:cs="宋体"/>
          <w:color w:val="auto"/>
          <w:sz w:val="24"/>
          <w:szCs w:val="32"/>
          <w:highlight w:val="none"/>
        </w:rPr>
        <w:t>〔2017〕141</w:t>
      </w:r>
      <w:r>
        <w:rPr>
          <w:rFonts w:hint="eastAsia" w:ascii="宋体" w:hAnsi="宋体" w:eastAsia="宋体" w:cs="宋体"/>
          <w:color w:val="auto"/>
          <w:spacing w:val="6"/>
          <w:sz w:val="24"/>
          <w:szCs w:val="32"/>
          <w:highlight w:val="none"/>
        </w:rPr>
        <w:t>号）的规定，本单位为符合条件的残疾人福利性单位，且本单位参加</w:t>
      </w:r>
      <w:r>
        <w:rPr>
          <w:rFonts w:hint="eastAsia" w:asciiTheme="minorEastAsia" w:hAnsiTheme="minorEastAsia" w:eastAsiaTheme="minorEastAsia" w:cstheme="minorEastAsia"/>
          <w:color w:val="auto"/>
          <w:spacing w:val="15"/>
          <w:sz w:val="24"/>
          <w:szCs w:val="32"/>
          <w:highlight w:val="none"/>
          <w:u w:val="single"/>
          <w:shd w:val="clear" w:color="auto" w:fill="FFFFFF"/>
          <w:lang w:val="en-US" w:eastAsia="zh-CN"/>
        </w:rPr>
        <w:t xml:space="preserve">          </w:t>
      </w:r>
      <w:r>
        <w:rPr>
          <w:rFonts w:hint="eastAsia" w:ascii="宋体" w:hAnsi="宋体" w:eastAsia="宋体" w:cs="宋体"/>
          <w:color w:val="auto"/>
          <w:spacing w:val="6"/>
          <w:sz w:val="24"/>
          <w:szCs w:val="32"/>
          <w:highlight w:val="none"/>
        </w:rPr>
        <w:t>单位的</w:t>
      </w:r>
      <w:r>
        <w:rPr>
          <w:rFonts w:hint="eastAsia" w:asciiTheme="minorEastAsia" w:hAnsiTheme="minorEastAsia" w:eastAsiaTheme="minorEastAsia" w:cstheme="minorEastAsia"/>
          <w:color w:val="auto"/>
          <w:spacing w:val="15"/>
          <w:sz w:val="24"/>
          <w:szCs w:val="32"/>
          <w:highlight w:val="none"/>
          <w:u w:val="single"/>
          <w:shd w:val="clear" w:color="auto" w:fill="FFFFFF"/>
          <w:lang w:val="en-US" w:eastAsia="zh-CN"/>
        </w:rPr>
        <w:t xml:space="preserve">          </w:t>
      </w:r>
      <w:r>
        <w:rPr>
          <w:rFonts w:hint="eastAsia" w:ascii="宋体" w:hAnsi="宋体" w:eastAsia="宋体" w:cs="宋体"/>
          <w:color w:val="auto"/>
          <w:spacing w:val="6"/>
          <w:sz w:val="24"/>
          <w:szCs w:val="32"/>
          <w:highlight w:val="none"/>
        </w:rPr>
        <w:t>项目采购活动提供本单位制造的货物（由本单位承担工程/提供服务），或者提供其他残疾人福利性单位制造的货物（不包括使用非残疾人福利性单位注册商标的货物）。</w:t>
      </w:r>
    </w:p>
    <w:p>
      <w:pPr>
        <w:keepNext w:val="0"/>
        <w:keepLines w:val="0"/>
        <w:pageBreakBefore w:val="0"/>
        <w:widowControl w:val="0"/>
        <w:numPr>
          <w:ilvl w:val="0"/>
          <w:numId w:val="0"/>
        </w:numPr>
        <w:tabs>
          <w:tab w:val="left" w:pos="0"/>
        </w:tabs>
        <w:suppressAutoHyphens/>
        <w:kinsoku/>
        <w:wordWrap/>
        <w:overflowPunct/>
        <w:topLinePunct w:val="0"/>
        <w:autoSpaceDE/>
        <w:autoSpaceDN/>
        <w:bidi w:val="0"/>
        <w:adjustRightInd/>
        <w:snapToGrid/>
        <w:spacing w:line="360" w:lineRule="auto"/>
        <w:ind w:leftChars="0" w:firstLine="504" w:firstLineChars="200"/>
        <w:textAlignment w:val="auto"/>
        <w:outlineLvl w:val="9"/>
        <w:rPr>
          <w:rFonts w:hint="eastAsia" w:ascii="宋体" w:hAnsi="宋体" w:eastAsia="宋体" w:cs="宋体"/>
          <w:color w:val="auto"/>
          <w:spacing w:val="6"/>
          <w:sz w:val="24"/>
          <w:szCs w:val="32"/>
          <w:highlight w:val="none"/>
        </w:rPr>
      </w:pPr>
      <w:r>
        <w:rPr>
          <w:rFonts w:hint="eastAsia" w:ascii="宋体" w:hAnsi="宋体" w:eastAsia="宋体" w:cs="宋体"/>
          <w:color w:val="auto"/>
          <w:spacing w:val="6"/>
          <w:sz w:val="24"/>
          <w:szCs w:val="32"/>
          <w:highlight w:val="none"/>
        </w:rPr>
        <w:t>本单位对上述声明的真实性负责。如有虚假，将依法承担相应责任。</w:t>
      </w:r>
    </w:p>
    <w:p>
      <w:pPr>
        <w:numPr>
          <w:ilvl w:val="0"/>
          <w:numId w:val="8"/>
        </w:numPr>
        <w:suppressAutoHyphens/>
        <w:spacing w:line="360" w:lineRule="auto"/>
        <w:outlineLvl w:val="9"/>
        <w:rPr>
          <w:rFonts w:hint="eastAsia" w:ascii="宋体" w:hAnsi="宋体" w:eastAsia="宋体" w:cs="宋体"/>
          <w:color w:val="auto"/>
          <w:spacing w:val="6"/>
          <w:sz w:val="24"/>
          <w:szCs w:val="32"/>
          <w:highlight w:val="none"/>
        </w:rPr>
      </w:pPr>
    </w:p>
    <w:p>
      <w:pPr>
        <w:numPr>
          <w:ilvl w:val="0"/>
          <w:numId w:val="8"/>
        </w:numPr>
        <w:spacing w:line="588" w:lineRule="exact"/>
        <w:outlineLvl w:val="9"/>
        <w:rPr>
          <w:rFonts w:ascii="宋体" w:hAnsi="宋体" w:cs="宋体"/>
          <w:color w:val="auto"/>
          <w:spacing w:val="15"/>
          <w:kern w:val="0"/>
          <w:sz w:val="24"/>
          <w:highlight w:val="none"/>
          <w:shd w:val="clear" w:color="auto" w:fill="FFFFFF"/>
        </w:rPr>
      </w:pPr>
    </w:p>
    <w:p>
      <w:pPr>
        <w:keepNext w:val="0"/>
        <w:keepLines w:val="0"/>
        <w:pageBreakBefore w:val="0"/>
        <w:widowControl w:val="0"/>
        <w:numPr>
          <w:ilvl w:val="0"/>
          <w:numId w:val="0"/>
        </w:numPr>
        <w:tabs>
          <w:tab w:val="left" w:pos="0"/>
        </w:tabs>
        <w:suppressAutoHyphens/>
        <w:kinsoku/>
        <w:wordWrap/>
        <w:overflowPunct/>
        <w:topLinePunct w:val="0"/>
        <w:autoSpaceDE/>
        <w:autoSpaceDN/>
        <w:bidi w:val="0"/>
        <w:adjustRightInd/>
        <w:snapToGrid/>
        <w:spacing w:beforeAutospacing="0" w:afterAutospacing="0" w:line="360" w:lineRule="auto"/>
        <w:ind w:leftChars="0" w:right="0" w:rightChars="0"/>
        <w:jc w:val="right"/>
        <w:textAlignment w:val="auto"/>
        <w:outlineLvl w:val="9"/>
        <w:rPr>
          <w:rFonts w:hint="eastAsia" w:asciiTheme="minorEastAsia" w:hAnsiTheme="minorEastAsia" w:eastAsiaTheme="minorEastAsia" w:cstheme="minorEastAsia"/>
          <w:color w:val="auto"/>
          <w:spacing w:val="6"/>
          <w:sz w:val="24"/>
          <w:szCs w:val="32"/>
          <w:highlight w:val="none"/>
        </w:rPr>
      </w:pPr>
      <w:r>
        <w:rPr>
          <w:rFonts w:hint="eastAsia" w:asciiTheme="minorEastAsia" w:hAnsiTheme="minorEastAsia" w:eastAsiaTheme="minorEastAsia" w:cstheme="minorEastAsia"/>
          <w:color w:val="auto"/>
          <w:spacing w:val="6"/>
          <w:sz w:val="24"/>
          <w:szCs w:val="32"/>
          <w:highlight w:val="none"/>
        </w:rPr>
        <w:t>企业名称（盖章）：</w:t>
      </w:r>
    </w:p>
    <w:p>
      <w:pPr>
        <w:keepNext w:val="0"/>
        <w:keepLines w:val="0"/>
        <w:pageBreakBefore w:val="0"/>
        <w:widowControl w:val="0"/>
        <w:numPr>
          <w:ilvl w:val="0"/>
          <w:numId w:val="0"/>
        </w:numPr>
        <w:tabs>
          <w:tab w:val="left" w:pos="0"/>
        </w:tabs>
        <w:suppressAutoHyphens/>
        <w:kinsoku/>
        <w:wordWrap/>
        <w:overflowPunct/>
        <w:topLinePunct w:val="0"/>
        <w:autoSpaceDE/>
        <w:autoSpaceDN/>
        <w:bidi w:val="0"/>
        <w:adjustRightInd/>
        <w:snapToGrid/>
        <w:spacing w:beforeAutospacing="0" w:afterAutospacing="0" w:line="360" w:lineRule="auto"/>
        <w:ind w:leftChars="0" w:right="0" w:rightChars="0"/>
        <w:jc w:val="right"/>
        <w:textAlignment w:val="auto"/>
        <w:outlineLvl w:val="9"/>
        <w:rPr>
          <w:rFonts w:hint="eastAsia" w:asciiTheme="minorEastAsia" w:hAnsiTheme="minorEastAsia" w:eastAsiaTheme="minorEastAsia" w:cstheme="minorEastAsia"/>
          <w:color w:val="auto"/>
          <w:spacing w:val="6"/>
          <w:sz w:val="24"/>
          <w:szCs w:val="32"/>
          <w:highlight w:val="none"/>
        </w:rPr>
      </w:pPr>
      <w:r>
        <w:rPr>
          <w:rFonts w:hint="eastAsia" w:asciiTheme="minorEastAsia" w:hAnsiTheme="minorEastAsia" w:eastAsiaTheme="minorEastAsia" w:cstheme="minorEastAsia"/>
          <w:color w:val="auto"/>
          <w:spacing w:val="6"/>
          <w:sz w:val="24"/>
          <w:szCs w:val="32"/>
          <w:highlight w:val="none"/>
        </w:rPr>
        <w:t>日  期： 年 月 日</w:t>
      </w:r>
    </w:p>
    <w:p>
      <w:pPr>
        <w:numPr>
          <w:ilvl w:val="0"/>
          <w:numId w:val="8"/>
        </w:numPr>
        <w:jc w:val="center"/>
        <w:outlineLvl w:val="9"/>
        <w:rPr>
          <w:rFonts w:hint="eastAsia" w:ascii="宋体" w:hAnsi="宋体" w:cs="宋体"/>
          <w:b/>
          <w:color w:val="auto"/>
          <w:szCs w:val="21"/>
          <w:highlight w:val="none"/>
        </w:rPr>
      </w:pPr>
    </w:p>
    <w:p>
      <w:pPr>
        <w:numPr>
          <w:ilvl w:val="0"/>
          <w:numId w:val="8"/>
        </w:numPr>
        <w:jc w:val="center"/>
        <w:outlineLvl w:val="9"/>
        <w:rPr>
          <w:rFonts w:hint="eastAsia" w:ascii="宋体" w:hAnsi="宋体" w:cs="宋体"/>
          <w:b/>
          <w:color w:val="auto"/>
          <w:szCs w:val="21"/>
          <w:highlight w:val="none"/>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ind w:leftChars="0"/>
        <w:textAlignment w:val="auto"/>
        <w:outlineLvl w:val="9"/>
        <w:rPr>
          <w:rFonts w:ascii="宋体" w:hAnsi="宋体" w:cs="宋体"/>
          <w:b/>
          <w:color w:val="auto"/>
          <w:szCs w:val="21"/>
          <w:highlight w:val="none"/>
        </w:rPr>
      </w:pPr>
      <w:r>
        <w:rPr>
          <w:rFonts w:hint="eastAsia" w:ascii="宋体" w:hAnsi="宋体" w:cs="宋体"/>
          <w:b/>
          <w:color w:val="auto"/>
          <w:szCs w:val="21"/>
          <w:highlight w:val="none"/>
        </w:rPr>
        <w:t>注：如不是该类企业则不需提供相关声明，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numPr>
          <w:ilvl w:val="0"/>
          <w:numId w:val="0"/>
        </w:numPr>
        <w:tabs>
          <w:tab w:val="left" w:pos="0"/>
        </w:tabs>
        <w:suppressAutoHyphens/>
        <w:spacing w:line="360" w:lineRule="auto"/>
        <w:ind w:leftChars="0"/>
        <w:outlineLvl w:val="9"/>
        <w:rPr>
          <w:rFonts w:hint="eastAsia" w:ascii="宋体" w:hAnsi="宋体" w:cs="宋体"/>
          <w:color w:val="auto"/>
          <w:spacing w:val="6"/>
          <w:sz w:val="24"/>
          <w:szCs w:val="24"/>
          <w:highlight w:val="none"/>
        </w:rPr>
      </w:pPr>
      <w:r>
        <w:rPr>
          <w:b/>
          <w:color w:val="auto"/>
          <w:szCs w:val="21"/>
          <w:highlight w:val="none"/>
        </w:rPr>
        <w:br w:type="page"/>
      </w:r>
      <w:r>
        <w:rPr>
          <w:rFonts w:hint="eastAsia" w:ascii="宋体" w:hAnsi="宋体"/>
          <w:b/>
          <w:color w:val="auto"/>
          <w:sz w:val="24"/>
          <w:szCs w:val="24"/>
          <w:highlight w:val="none"/>
        </w:rPr>
        <w:t>附件</w:t>
      </w:r>
      <w:r>
        <w:rPr>
          <w:rFonts w:hint="eastAsia" w:ascii="宋体" w:hAnsi="宋体"/>
          <w:b/>
          <w:color w:val="auto"/>
          <w:sz w:val="24"/>
          <w:szCs w:val="24"/>
          <w:highlight w:val="none"/>
          <w:lang w:val="en-US" w:eastAsia="zh-CN"/>
        </w:rPr>
        <w:t>三</w:t>
      </w:r>
      <w:r>
        <w:rPr>
          <w:rFonts w:hint="eastAsia" w:ascii="宋体" w:hAnsi="宋体"/>
          <w:color w:val="auto"/>
          <w:sz w:val="24"/>
          <w:szCs w:val="24"/>
          <w:highlight w:val="none"/>
        </w:rPr>
        <w:t>：</w:t>
      </w:r>
    </w:p>
    <w:bookmarkEnd w:id="78"/>
    <w:p>
      <w:pPr>
        <w:bidi w:val="0"/>
        <w:jc w:val="center"/>
        <w:rPr>
          <w:rFonts w:hint="eastAsia"/>
          <w:b/>
          <w:bCs/>
          <w:color w:val="auto"/>
          <w:spacing w:val="15"/>
          <w:szCs w:val="36"/>
          <w:highlight w:val="none"/>
          <w:shd w:val="clear" w:color="auto" w:fill="FFFFFF"/>
          <w:lang w:val="en-US" w:eastAsia="zh-CN"/>
        </w:rPr>
      </w:pPr>
      <w:r>
        <w:rPr>
          <w:rFonts w:hint="eastAsia"/>
          <w:b/>
          <w:bCs/>
          <w:color w:val="auto"/>
          <w:sz w:val="28"/>
          <w:szCs w:val="36"/>
          <w:lang w:val="en-US" w:eastAsia="zh-CN"/>
        </w:rPr>
        <w:t>监狱企业声明函</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本单位郑重声明，根据《关于政府采购支持监狱企业发展有关问题的通知》（财库</w:t>
      </w:r>
      <w:r>
        <w:rPr>
          <w:rFonts w:hint="eastAsia" w:ascii="宋体" w:hAnsi="宋体" w:eastAsia="宋体" w:cs="宋体"/>
          <w:color w:val="auto"/>
          <w:sz w:val="24"/>
          <w:szCs w:val="32"/>
          <w:highlight w:val="none"/>
        </w:rPr>
        <w:t>〔</w:t>
      </w:r>
      <w:r>
        <w:rPr>
          <w:rFonts w:hint="eastAsia" w:ascii="宋体" w:hAnsi="宋体" w:eastAsia="宋体" w:cs="宋体"/>
          <w:color w:val="auto"/>
          <w:sz w:val="24"/>
          <w:szCs w:val="24"/>
        </w:rPr>
        <w:t>2014</w:t>
      </w:r>
      <w:r>
        <w:rPr>
          <w:rFonts w:hint="eastAsia" w:ascii="宋体" w:hAnsi="宋体" w:eastAsia="宋体" w:cs="宋体"/>
          <w:color w:val="auto"/>
          <w:sz w:val="24"/>
          <w:szCs w:val="32"/>
          <w:highlight w:val="none"/>
        </w:rPr>
        <w:t>〕</w:t>
      </w:r>
      <w:r>
        <w:rPr>
          <w:rFonts w:hint="eastAsia" w:ascii="宋体" w:hAnsi="宋体" w:eastAsia="宋体" w:cs="宋体"/>
          <w:color w:val="auto"/>
          <w:sz w:val="24"/>
          <w:szCs w:val="24"/>
        </w:rPr>
        <w:t>68号）的规定，本单位为符合条件的监狱企业，且本单位参加</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单位的</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项目采购活动提供本单位制造的货物（由本单位承担工程/提供服务），或者提供其他监狱企业制造的货物（不包括使用非监狱企业注册商标的货物）。</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pacing w:val="15"/>
          <w:kern w:val="0"/>
          <w:sz w:val="24"/>
          <w:szCs w:val="24"/>
          <w:highlight w:val="none"/>
          <w:shd w:val="clear" w:color="auto" w:fill="FFFFFF"/>
        </w:rPr>
      </w:pPr>
      <w:r>
        <w:rPr>
          <w:rFonts w:hint="eastAsia" w:ascii="宋体" w:hAnsi="宋体" w:eastAsia="宋体" w:cs="宋体"/>
          <w:color w:val="auto"/>
          <w:sz w:val="24"/>
          <w:szCs w:val="24"/>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outlineLvl w:val="9"/>
        <w:rPr>
          <w:rFonts w:hint="eastAsia" w:ascii="宋体" w:hAnsi="宋体" w:eastAsia="宋体" w:cs="宋体"/>
          <w:color w:val="auto"/>
          <w:spacing w:val="6"/>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textAlignment w:val="auto"/>
        <w:outlineLvl w:val="9"/>
        <w:rPr>
          <w:rFonts w:hint="eastAsia" w:ascii="宋体" w:hAnsi="宋体" w:eastAsia="宋体" w:cs="宋体"/>
          <w:color w:val="auto"/>
          <w:spacing w:val="6"/>
          <w:sz w:val="24"/>
          <w:szCs w:val="24"/>
          <w:highlight w:val="none"/>
        </w:rPr>
      </w:pPr>
    </w:p>
    <w:p>
      <w:pPr>
        <w:keepNext w:val="0"/>
        <w:keepLines w:val="0"/>
        <w:pageBreakBefore w:val="0"/>
        <w:widowControl w:val="0"/>
        <w:numPr>
          <w:ilvl w:val="0"/>
          <w:numId w:val="8"/>
        </w:numPr>
        <w:suppressAutoHyphens/>
        <w:kinsoku/>
        <w:wordWrap/>
        <w:overflowPunct/>
        <w:topLinePunct w:val="0"/>
        <w:autoSpaceDE/>
        <w:autoSpaceDN/>
        <w:bidi w:val="0"/>
        <w:adjustRightInd/>
        <w:snapToGrid/>
        <w:spacing w:beforeAutospacing="0" w:afterAutospacing="0" w:line="360" w:lineRule="auto"/>
        <w:ind w:right="0" w:rightChars="0" w:firstLine="504" w:firstLineChars="200"/>
        <w:jc w:val="right"/>
        <w:textAlignment w:val="auto"/>
        <w:outlineLvl w:val="9"/>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企业名称（盖章）：</w:t>
      </w:r>
    </w:p>
    <w:p>
      <w:pPr>
        <w:keepNext w:val="0"/>
        <w:keepLines w:val="0"/>
        <w:pageBreakBefore w:val="0"/>
        <w:widowControl w:val="0"/>
        <w:numPr>
          <w:ilvl w:val="0"/>
          <w:numId w:val="8"/>
        </w:numPr>
        <w:suppressAutoHyphens/>
        <w:kinsoku/>
        <w:wordWrap/>
        <w:overflowPunct/>
        <w:topLinePunct w:val="0"/>
        <w:autoSpaceDE/>
        <w:autoSpaceDN/>
        <w:bidi w:val="0"/>
        <w:adjustRightInd/>
        <w:snapToGrid/>
        <w:spacing w:beforeAutospacing="0" w:afterAutospacing="0" w:line="360" w:lineRule="auto"/>
        <w:ind w:right="0" w:rightChars="0" w:firstLine="504" w:firstLineChars="200"/>
        <w:jc w:val="right"/>
        <w:textAlignment w:val="auto"/>
        <w:outlineLvl w:val="9"/>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日  期： 年 月 日</w:t>
      </w:r>
    </w:p>
    <w:p>
      <w:pPr>
        <w:outlineLvl w:val="9"/>
        <w:rPr>
          <w:rFonts w:hint="eastAsia" w:ascii="宋体" w:hAnsi="宋体" w:cs="宋体"/>
          <w:color w:val="auto"/>
          <w:szCs w:val="21"/>
          <w:highlight w:val="none"/>
        </w:rPr>
      </w:pPr>
    </w:p>
    <w:p>
      <w:pPr>
        <w:outlineLvl w:val="9"/>
        <w:rPr>
          <w:rFonts w:hint="eastAsia" w:ascii="宋体" w:hAnsi="宋体" w:cs="宋体"/>
          <w:color w:val="auto"/>
          <w:szCs w:val="21"/>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后附：由省级以上监狱管理局、戒毒管理局（含新疆生产建设兵团）出具的属于监狱企业的证明文件</w:t>
      </w:r>
    </w:p>
    <w:p>
      <w:pPr>
        <w:pStyle w:val="3"/>
        <w:rPr>
          <w:rFonts w:hint="default"/>
          <w:color w:val="auto"/>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color w:val="auto"/>
          <w:highlight w:val="none"/>
          <w:lang w:val="en-US" w:eastAsia="zh-CN"/>
        </w:rPr>
      </w:pPr>
      <w:r>
        <w:rPr>
          <w:rFonts w:hint="eastAsia" w:ascii="宋体" w:hAnsi="宋体" w:cs="宋体"/>
          <w:b/>
          <w:color w:val="auto"/>
          <w:szCs w:val="21"/>
          <w:highlight w:val="none"/>
        </w:rPr>
        <w:t>注：如不是该类企业则不需提供相关声明，若提供虚假材料谋取中标、成交的，将按照《政府采购法》第七十七条规定对供应商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sectPr>
      <w:pgSz w:w="11906" w:h="16838"/>
      <w:pgMar w:top="1417" w:right="1417" w:bottom="1417" w:left="1417" w:header="851" w:footer="850"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8994D48B-E154-461E-B6AA-7A0F96336EEF}"/>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pperplate Gothic Bold">
    <w:altName w:val="Segoe Print"/>
    <w:panose1 w:val="020E0705020206020404"/>
    <w:charset w:val="00"/>
    <w:family w:val="swiss"/>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2" w:fontKey="{2FE81564-8E33-44FD-8847-6CDDDDF408F4}"/>
  </w:font>
  <w:font w:name="仿宋">
    <w:panose1 w:val="02010609060101010101"/>
    <w:charset w:val="86"/>
    <w:family w:val="auto"/>
    <w:pitch w:val="default"/>
    <w:sig w:usb0="800002BF" w:usb1="38CF7CFA" w:usb2="00000016" w:usb3="00000000" w:csb0="00040001" w:csb1="00000000"/>
    <w:embedRegular r:id="rId3" w:fontKey="{8B91DEC5-0FE5-4058-AA57-23FBC56005A1}"/>
  </w:font>
  <w:font w:name="仿宋_GB2312">
    <w:altName w:val="仿宋"/>
    <w:panose1 w:val="02010609030101010101"/>
    <w:charset w:val="86"/>
    <w:family w:val="modern"/>
    <w:pitch w:val="default"/>
    <w:sig w:usb0="00000000" w:usb1="00000000" w:usb2="00000000" w:usb3="00000000" w:csb0="00040000" w:csb1="00000000"/>
    <w:embedRegular r:id="rId4" w:fontKey="{FBFEAD10-214B-4F55-956E-4497BA1FDCD2}"/>
  </w:font>
  <w:font w:name="Calibri Light">
    <w:panose1 w:val="020F0302020204030204"/>
    <w:charset w:val="00"/>
    <w:family w:val="swiss"/>
    <w:pitch w:val="default"/>
    <w:sig w:usb0="A00002EF" w:usb1="4000207B" w:usb2="00000000" w:usb3="00000000" w:csb0="2000019F" w:csb1="00000000"/>
    <w:embedRegular r:id="rId5" w:fontKey="{8A99F3D5-A425-4257-BD11-30725A758D67}"/>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val="0"/>
      <w:pBdr>
        <w:top w:val="none" w:color="auto" w:sz="0" w:space="1"/>
        <w:left w:val="none" w:color="auto" w:sz="0" w:space="4"/>
        <w:bottom w:val="none" w:color="auto" w:sz="0" w:space="1"/>
        <w:right w:val="none" w:color="auto" w:sz="0" w:space="4"/>
        <w:between w:val="none" w:color="auto" w:sz="0" w:space="0"/>
      </w:pBdr>
      <w:snapToGrid w:val="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widowControl w:val="0"/>
      <w:pBdr>
        <w:top w:val="none" w:color="auto" w:sz="0" w:space="1"/>
        <w:left w:val="none" w:color="auto" w:sz="0" w:space="4"/>
        <w:bottom w:val="none" w:color="auto" w:sz="0" w:space="1"/>
        <w:right w:val="none" w:color="auto" w:sz="0" w:space="4"/>
        <w:between w:val="none" w:color="auto" w:sz="0" w:space="0"/>
      </w:pBdr>
      <w:snapToGrid w:val="0"/>
      <w:jc w:val="left"/>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widowControl w:val="0"/>
                            <w:pBdr>
                              <w:top w:val="none" w:color="auto" w:sz="0" w:space="1"/>
                              <w:left w:val="none" w:color="auto" w:sz="0" w:space="4"/>
                              <w:bottom w:val="none" w:color="auto" w:sz="0" w:space="1"/>
                              <w:right w:val="none" w:color="auto" w:sz="0" w:space="4"/>
                              <w:between w:val="none" w:color="auto" w:sz="0" w:space="0"/>
                            </w:pBdr>
                            <w:snapToGrid w:val="0"/>
                            <w:jc w:val="left"/>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widowControl w:val="0"/>
                      <w:pBdr>
                        <w:top w:val="none" w:color="auto" w:sz="0" w:space="1"/>
                        <w:left w:val="none" w:color="auto" w:sz="0" w:space="4"/>
                        <w:bottom w:val="none" w:color="auto" w:sz="0" w:space="1"/>
                        <w:right w:val="none" w:color="auto" w:sz="0" w:space="4"/>
                        <w:between w:val="none" w:color="auto" w:sz="0" w:space="0"/>
                      </w:pBdr>
                      <w:snapToGrid w:val="0"/>
                      <w:jc w:val="left"/>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mc:Fallback>
      </mc:AlternateContent>
    </w:r>
    <w:r>
      <w:rPr>
        <w:rFonts w:hint="eastAsia"/>
        <w:lang w:val="en-US" w:eastAsia="zh-CN"/>
      </w:rPr>
      <w:t xml:space="preserve">                        </w:t>
    </w:r>
    <w:r>
      <w:rPr>
        <w:rFonts w:hint="eastAsia"/>
        <w:sz w:val="10"/>
        <w:szCs w:val="16"/>
        <w:lang w:val="en-US" w:eastAsia="zh-CN"/>
      </w:rPr>
      <w:t xml:space="preserve">   </w: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hint="eastAsia" w:eastAsiaTheme="minor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widowControl w:val="0"/>
      <w:pBdr>
        <w:top w:val="none" w:color="auto" w:sz="0" w:space="1"/>
        <w:left w:val="none" w:color="auto" w:sz="0" w:space="4"/>
        <w:bottom w:val="none" w:color="auto" w:sz="0" w:space="1"/>
        <w:right w:val="none" w:color="auto" w:sz="0" w:space="4"/>
        <w:between w:val="none" w:color="auto" w:sz="0" w:space="0"/>
      </w:pBdr>
      <w:snapToGrid w:val="0"/>
      <w:spacing w:line="240" w:lineRule="auto"/>
      <w:jc w:val="right"/>
      <w:outlineLvl w:val="9"/>
      <w:rPr>
        <w:rFonts w:hint="eastAsia" w:ascii="宋体" w:hAnsi="宋体" w:eastAsia="宋体" w:cs="宋体"/>
        <w:sz w:val="18"/>
        <w:szCs w:val="18"/>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FEE92FB"/>
    <w:multiLevelType w:val="singleLevel"/>
    <w:tmpl w:val="AFEE92FB"/>
    <w:lvl w:ilvl="0" w:tentative="0">
      <w:start w:val="1"/>
      <w:numFmt w:val="decimal"/>
      <w:lvlText w:val="%1)"/>
      <w:lvlJc w:val="left"/>
      <w:pPr>
        <w:ind w:left="425" w:hanging="425"/>
      </w:pPr>
      <w:rPr>
        <w:rFonts w:hint="default"/>
      </w:rPr>
    </w:lvl>
  </w:abstractNum>
  <w:abstractNum w:abstractNumId="1">
    <w:nsid w:val="BFEA2CFE"/>
    <w:multiLevelType w:val="singleLevel"/>
    <w:tmpl w:val="BFEA2CFE"/>
    <w:lvl w:ilvl="0" w:tentative="0">
      <w:start w:val="1"/>
      <w:numFmt w:val="decimal"/>
      <w:suff w:val="nothing"/>
      <w:lvlText w:val="%1、"/>
      <w:lvlJc w:val="left"/>
    </w:lvl>
  </w:abstractNum>
  <w:abstractNum w:abstractNumId="2">
    <w:nsid w:val="CF3041E8"/>
    <w:multiLevelType w:val="singleLevel"/>
    <w:tmpl w:val="CF3041E8"/>
    <w:lvl w:ilvl="0" w:tentative="0">
      <w:start w:val="1"/>
      <w:numFmt w:val="decimal"/>
      <w:lvlText w:val="%1)"/>
      <w:lvlJc w:val="left"/>
      <w:rPr>
        <w:rFonts w:hint="default"/>
        <w:color w:val="auto"/>
      </w:rPr>
    </w:lvl>
  </w:abstractNum>
  <w:abstractNum w:abstractNumId="3">
    <w:nsid w:val="E5A401D7"/>
    <w:multiLevelType w:val="multilevel"/>
    <w:tmpl w:val="E5A401D7"/>
    <w:lvl w:ilvl="0" w:tentative="0">
      <w:start w:val="1"/>
      <w:numFmt w:val="chineseCounting"/>
      <w:suff w:val="nothing"/>
      <w:lvlText w:val="%1、"/>
      <w:lvlJc w:val="left"/>
      <w:pPr>
        <w:ind w:firstLine="400"/>
      </w:pPr>
      <w:rPr>
        <w:rFonts w:hint="eastAsia" w:cs="Times New Roman"/>
      </w:rPr>
    </w:lvl>
    <w:lvl w:ilvl="1" w:tentative="0">
      <w:start w:val="1"/>
      <w:numFmt w:val="decimal"/>
      <w:suff w:val="nothing"/>
      <w:lvlText w:val="%2．"/>
      <w:lvlJc w:val="left"/>
      <w:pPr>
        <w:ind w:left="200" w:firstLine="400"/>
      </w:pPr>
      <w:rPr>
        <w:rFonts w:hint="eastAsia" w:cs="Times New Roman"/>
      </w:rPr>
    </w:lvl>
    <w:lvl w:ilvl="2" w:tentative="0">
      <w:start w:val="1"/>
      <w:numFmt w:val="decimal"/>
      <w:suff w:val="nothing"/>
      <w:lvlText w:val="（%3）"/>
      <w:lvlJc w:val="left"/>
      <w:pPr>
        <w:ind w:firstLine="402"/>
      </w:pPr>
      <w:rPr>
        <w:rFonts w:hint="eastAsia" w:cs="Times New Roman"/>
      </w:rPr>
    </w:lvl>
    <w:lvl w:ilvl="3" w:tentative="0">
      <w:start w:val="1"/>
      <w:numFmt w:val="decimalEnclosedCircleChinese"/>
      <w:suff w:val="nothing"/>
      <w:lvlText w:val="%4 "/>
      <w:lvlJc w:val="left"/>
      <w:pPr>
        <w:ind w:firstLine="402"/>
      </w:pPr>
      <w:rPr>
        <w:rFonts w:hint="eastAsia" w:cs="Times New Roman"/>
      </w:rPr>
    </w:lvl>
    <w:lvl w:ilvl="4" w:tentative="0">
      <w:start w:val="1"/>
      <w:numFmt w:val="decimal"/>
      <w:suff w:val="nothing"/>
      <w:lvlText w:val="%5）"/>
      <w:lvlJc w:val="left"/>
      <w:pPr>
        <w:ind w:firstLine="402"/>
      </w:pPr>
      <w:rPr>
        <w:rFonts w:hint="eastAsia" w:cs="Times New Roman"/>
      </w:rPr>
    </w:lvl>
    <w:lvl w:ilvl="5" w:tentative="0">
      <w:start w:val="1"/>
      <w:numFmt w:val="lowerLetter"/>
      <w:suff w:val="nothing"/>
      <w:lvlText w:val="%6．"/>
      <w:lvlJc w:val="left"/>
      <w:pPr>
        <w:ind w:firstLine="402"/>
      </w:pPr>
      <w:rPr>
        <w:rFonts w:hint="eastAsia" w:cs="Times New Roman"/>
      </w:rPr>
    </w:lvl>
    <w:lvl w:ilvl="6" w:tentative="0">
      <w:start w:val="1"/>
      <w:numFmt w:val="lowerLetter"/>
      <w:suff w:val="nothing"/>
      <w:lvlText w:val="%7）"/>
      <w:lvlJc w:val="left"/>
      <w:pPr>
        <w:ind w:firstLine="402"/>
      </w:pPr>
      <w:rPr>
        <w:rFonts w:hint="eastAsia" w:cs="Times New Roman"/>
      </w:rPr>
    </w:lvl>
    <w:lvl w:ilvl="7" w:tentative="0">
      <w:start w:val="1"/>
      <w:numFmt w:val="lowerRoman"/>
      <w:suff w:val="nothing"/>
      <w:lvlText w:val="%8. "/>
      <w:lvlJc w:val="left"/>
      <w:pPr>
        <w:ind w:firstLine="402"/>
      </w:pPr>
      <w:rPr>
        <w:rFonts w:hint="eastAsia" w:cs="Times New Roman"/>
      </w:rPr>
    </w:lvl>
    <w:lvl w:ilvl="8" w:tentative="0">
      <w:start w:val="1"/>
      <w:numFmt w:val="lowerRoman"/>
      <w:suff w:val="nothing"/>
      <w:lvlText w:val="%9）"/>
      <w:lvlJc w:val="left"/>
      <w:pPr>
        <w:ind w:firstLine="402"/>
      </w:pPr>
      <w:rPr>
        <w:rFonts w:hint="eastAsia" w:cs="Times New Roman"/>
      </w:rPr>
    </w:lvl>
  </w:abstractNum>
  <w:abstractNum w:abstractNumId="4">
    <w:nsid w:val="00000001"/>
    <w:multiLevelType w:val="multilevel"/>
    <w:tmpl w:val="00000001"/>
    <w:lvl w:ilvl="0" w:tentative="0">
      <w:start w:val="1"/>
      <w:numFmt w:val="none"/>
      <w:suff w:val="nothing"/>
      <w:lvlText w:val=""/>
      <w:lvlJc w:val="left"/>
      <w:pPr>
        <w:tabs>
          <w:tab w:val="left" w:pos="0"/>
        </w:tabs>
        <w:ind w:left="0" w:firstLine="0"/>
      </w:pPr>
    </w:lvl>
    <w:lvl w:ilvl="1" w:tentative="0">
      <w:start w:val="1"/>
      <w:numFmt w:val="none"/>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5">
    <w:nsid w:val="1140282C"/>
    <w:multiLevelType w:val="singleLevel"/>
    <w:tmpl w:val="1140282C"/>
    <w:lvl w:ilvl="0" w:tentative="0">
      <w:start w:val="1"/>
      <w:numFmt w:val="decimal"/>
      <w:suff w:val="space"/>
      <w:lvlText w:val="%1)"/>
      <w:lvlJc w:val="left"/>
    </w:lvl>
  </w:abstractNum>
  <w:abstractNum w:abstractNumId="6">
    <w:nsid w:val="2F000005"/>
    <w:multiLevelType w:val="multilevel"/>
    <w:tmpl w:val="2F000005"/>
    <w:lvl w:ilvl="0" w:tentative="0">
      <w:start w:val="1"/>
      <w:numFmt w:val="decimal"/>
      <w:lvlText w:val="%1)"/>
      <w:lvlJc w:val="left"/>
      <w:pPr>
        <w:tabs>
          <w:tab w:val="left" w:pos="312"/>
        </w:tabs>
      </w:pPr>
    </w:lvl>
    <w:lvl w:ilvl="1" w:tentative="0">
      <w:start w:val="1"/>
      <w:numFmt w:val="decimal"/>
      <w:lvlText w:val="%1)"/>
      <w:lvlJc w:val="left"/>
      <w:pPr>
        <w:tabs>
          <w:tab w:val="left" w:pos="312"/>
        </w:tabs>
      </w:pPr>
    </w:lvl>
    <w:lvl w:ilvl="2" w:tentative="0">
      <w:start w:val="1"/>
      <w:numFmt w:val="decimal"/>
      <w:lvlText w:val="%1)"/>
      <w:lvlJc w:val="left"/>
      <w:pPr>
        <w:tabs>
          <w:tab w:val="left" w:pos="312"/>
        </w:tabs>
      </w:pPr>
    </w:lvl>
    <w:lvl w:ilvl="3" w:tentative="0">
      <w:start w:val="1"/>
      <w:numFmt w:val="decimal"/>
      <w:lvlText w:val="%1)"/>
      <w:lvlJc w:val="left"/>
      <w:pPr>
        <w:tabs>
          <w:tab w:val="left" w:pos="312"/>
        </w:tabs>
      </w:pPr>
    </w:lvl>
    <w:lvl w:ilvl="4" w:tentative="0">
      <w:start w:val="1"/>
      <w:numFmt w:val="decimal"/>
      <w:lvlText w:val="%1)"/>
      <w:lvlJc w:val="left"/>
      <w:pPr>
        <w:tabs>
          <w:tab w:val="left" w:pos="312"/>
        </w:tabs>
      </w:pPr>
    </w:lvl>
    <w:lvl w:ilvl="5" w:tentative="0">
      <w:start w:val="1"/>
      <w:numFmt w:val="decimal"/>
      <w:lvlText w:val="%1)"/>
      <w:lvlJc w:val="left"/>
      <w:pPr>
        <w:tabs>
          <w:tab w:val="left" w:pos="312"/>
        </w:tabs>
      </w:pPr>
    </w:lvl>
    <w:lvl w:ilvl="6" w:tentative="0">
      <w:start w:val="1"/>
      <w:numFmt w:val="decimal"/>
      <w:lvlText w:val="%1)"/>
      <w:lvlJc w:val="left"/>
      <w:pPr>
        <w:tabs>
          <w:tab w:val="left" w:pos="312"/>
        </w:tabs>
      </w:pPr>
    </w:lvl>
    <w:lvl w:ilvl="7" w:tentative="0">
      <w:start w:val="1"/>
      <w:numFmt w:val="decimal"/>
      <w:lvlText w:val="%1)"/>
      <w:lvlJc w:val="left"/>
      <w:pPr>
        <w:tabs>
          <w:tab w:val="left" w:pos="312"/>
        </w:tabs>
      </w:pPr>
    </w:lvl>
    <w:lvl w:ilvl="8" w:tentative="0">
      <w:start w:val="1"/>
      <w:numFmt w:val="decimal"/>
      <w:lvlText w:val="%1)"/>
      <w:lvlJc w:val="left"/>
      <w:pPr>
        <w:tabs>
          <w:tab w:val="left" w:pos="312"/>
        </w:tabs>
      </w:pPr>
    </w:lvl>
  </w:abstractNum>
  <w:abstractNum w:abstractNumId="7">
    <w:nsid w:val="4C315C21"/>
    <w:multiLevelType w:val="singleLevel"/>
    <w:tmpl w:val="4C315C21"/>
    <w:lvl w:ilvl="0" w:tentative="0">
      <w:start w:val="1"/>
      <w:numFmt w:val="decimal"/>
      <w:suff w:val="nothing"/>
      <w:lvlText w:val="%1）"/>
      <w:lvlJc w:val="left"/>
      <w:rPr>
        <w:rFonts w:cs="Times New Roman"/>
      </w:rPr>
    </w:lvl>
  </w:abstractNum>
  <w:num w:numId="1">
    <w:abstractNumId w:val="1"/>
  </w:num>
  <w:num w:numId="2">
    <w:abstractNumId w:val="6"/>
  </w:num>
  <w:num w:numId="3">
    <w:abstractNumId w:val="2"/>
  </w:num>
  <w:num w:numId="4">
    <w:abstractNumId w:val="5"/>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TrueTypeFonts/>
  <w:saveSubsetFonts/>
  <w:bordersDoNotSurroundHeader w:val="0"/>
  <w:bordersDoNotSurroundFooter w:val="0"/>
  <w:documentProtection w:edit="readOnly" w:enforcement="1" w:cryptProviderType="rsaFull" w:cryptAlgorithmClass="hash" w:cryptAlgorithmType="typeAny" w:cryptAlgorithmSid="4" w:cryptSpinCount="0" w:hash="cBJUEFRZGd9ZwzFFQyeQPIewi4Y=" w:salt="zZ64jHgclaVZFB92EFGZXg=="/>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zcsImhkaWQiOiIwOGVmNTc0MjJmNjkwNzRmYzRiNDc0MGI4Njk1YmU0OSIsInVzZXJDb3VudCI6Nzd9"/>
  </w:docVars>
  <w:rsids>
    <w:rsidRoot w:val="538E1483"/>
    <w:rsid w:val="00963027"/>
    <w:rsid w:val="018207C5"/>
    <w:rsid w:val="01B80805"/>
    <w:rsid w:val="01DB1C83"/>
    <w:rsid w:val="01FB30DC"/>
    <w:rsid w:val="021332F5"/>
    <w:rsid w:val="022343E1"/>
    <w:rsid w:val="02317DB9"/>
    <w:rsid w:val="027D26BF"/>
    <w:rsid w:val="02B726F0"/>
    <w:rsid w:val="02FB48B8"/>
    <w:rsid w:val="0391251C"/>
    <w:rsid w:val="04DB3D9A"/>
    <w:rsid w:val="04F3592C"/>
    <w:rsid w:val="053F6C4E"/>
    <w:rsid w:val="055520C3"/>
    <w:rsid w:val="057E6715"/>
    <w:rsid w:val="059A78E5"/>
    <w:rsid w:val="069274D4"/>
    <w:rsid w:val="06D172C0"/>
    <w:rsid w:val="06FB77D0"/>
    <w:rsid w:val="06FC4B75"/>
    <w:rsid w:val="07FE4A79"/>
    <w:rsid w:val="0802292E"/>
    <w:rsid w:val="083A531D"/>
    <w:rsid w:val="08510EF1"/>
    <w:rsid w:val="090F32B0"/>
    <w:rsid w:val="09EA120C"/>
    <w:rsid w:val="09ED2C05"/>
    <w:rsid w:val="0A56532E"/>
    <w:rsid w:val="0A8B14C6"/>
    <w:rsid w:val="0ADB082E"/>
    <w:rsid w:val="0B1947F8"/>
    <w:rsid w:val="0BE41E18"/>
    <w:rsid w:val="0D1A37C3"/>
    <w:rsid w:val="0DBD4381"/>
    <w:rsid w:val="0E25404D"/>
    <w:rsid w:val="0E6F4A4F"/>
    <w:rsid w:val="0E894555"/>
    <w:rsid w:val="0F082AFD"/>
    <w:rsid w:val="0F454066"/>
    <w:rsid w:val="0F6D3675"/>
    <w:rsid w:val="0F883261"/>
    <w:rsid w:val="0FB34DBB"/>
    <w:rsid w:val="0FDD3F67"/>
    <w:rsid w:val="10917F8C"/>
    <w:rsid w:val="11715B79"/>
    <w:rsid w:val="11B52FA0"/>
    <w:rsid w:val="123100E7"/>
    <w:rsid w:val="127E78E4"/>
    <w:rsid w:val="12E1088B"/>
    <w:rsid w:val="12F9328C"/>
    <w:rsid w:val="13231777"/>
    <w:rsid w:val="133438E9"/>
    <w:rsid w:val="13D7532F"/>
    <w:rsid w:val="13E214AD"/>
    <w:rsid w:val="140A48F5"/>
    <w:rsid w:val="14846311"/>
    <w:rsid w:val="14910340"/>
    <w:rsid w:val="155939A6"/>
    <w:rsid w:val="15FE0523"/>
    <w:rsid w:val="164436F2"/>
    <w:rsid w:val="16E0120F"/>
    <w:rsid w:val="1753670C"/>
    <w:rsid w:val="176F6C9D"/>
    <w:rsid w:val="18525B00"/>
    <w:rsid w:val="187D375C"/>
    <w:rsid w:val="187F6B62"/>
    <w:rsid w:val="18816044"/>
    <w:rsid w:val="18CD0120"/>
    <w:rsid w:val="18E461B2"/>
    <w:rsid w:val="197902A7"/>
    <w:rsid w:val="1A330456"/>
    <w:rsid w:val="1A340CCE"/>
    <w:rsid w:val="1A76001A"/>
    <w:rsid w:val="1AF96500"/>
    <w:rsid w:val="1B0A292E"/>
    <w:rsid w:val="1B3A46EC"/>
    <w:rsid w:val="1B7A0ECE"/>
    <w:rsid w:val="1B8A738E"/>
    <w:rsid w:val="1BE12C2C"/>
    <w:rsid w:val="1C16074F"/>
    <w:rsid w:val="1C3C5F7F"/>
    <w:rsid w:val="1CA94A00"/>
    <w:rsid w:val="1D37200B"/>
    <w:rsid w:val="1D43120C"/>
    <w:rsid w:val="1E057CCE"/>
    <w:rsid w:val="1E337EF1"/>
    <w:rsid w:val="1E4A29B8"/>
    <w:rsid w:val="1EB95DF3"/>
    <w:rsid w:val="1ECF520C"/>
    <w:rsid w:val="20352208"/>
    <w:rsid w:val="21537933"/>
    <w:rsid w:val="21771570"/>
    <w:rsid w:val="21780E44"/>
    <w:rsid w:val="217B5198"/>
    <w:rsid w:val="21D956E4"/>
    <w:rsid w:val="21F11795"/>
    <w:rsid w:val="22BA23F3"/>
    <w:rsid w:val="23BC326A"/>
    <w:rsid w:val="23EC5091"/>
    <w:rsid w:val="24015121"/>
    <w:rsid w:val="24FB4266"/>
    <w:rsid w:val="250749B9"/>
    <w:rsid w:val="25234F5B"/>
    <w:rsid w:val="256B3FAB"/>
    <w:rsid w:val="26150A4C"/>
    <w:rsid w:val="26F86CAF"/>
    <w:rsid w:val="27012FBA"/>
    <w:rsid w:val="27653C19"/>
    <w:rsid w:val="27694663"/>
    <w:rsid w:val="28BA1D43"/>
    <w:rsid w:val="29274E64"/>
    <w:rsid w:val="29323FCF"/>
    <w:rsid w:val="293B254B"/>
    <w:rsid w:val="297939AC"/>
    <w:rsid w:val="29D33D5C"/>
    <w:rsid w:val="2B8458BA"/>
    <w:rsid w:val="2DA67919"/>
    <w:rsid w:val="2DBA0EB8"/>
    <w:rsid w:val="2DF95B61"/>
    <w:rsid w:val="2EA9173A"/>
    <w:rsid w:val="2F3F2901"/>
    <w:rsid w:val="300D4E34"/>
    <w:rsid w:val="30207172"/>
    <w:rsid w:val="30435D01"/>
    <w:rsid w:val="30455DB9"/>
    <w:rsid w:val="307E6329"/>
    <w:rsid w:val="30E224BF"/>
    <w:rsid w:val="31014065"/>
    <w:rsid w:val="32AC2A72"/>
    <w:rsid w:val="32B46EF9"/>
    <w:rsid w:val="33057AC2"/>
    <w:rsid w:val="33170286"/>
    <w:rsid w:val="344A48C2"/>
    <w:rsid w:val="345A22E6"/>
    <w:rsid w:val="34B440BB"/>
    <w:rsid w:val="354807AF"/>
    <w:rsid w:val="362426FA"/>
    <w:rsid w:val="36FC5CDF"/>
    <w:rsid w:val="372F05A4"/>
    <w:rsid w:val="374B0676"/>
    <w:rsid w:val="37B3452D"/>
    <w:rsid w:val="37E64DB8"/>
    <w:rsid w:val="38922D5C"/>
    <w:rsid w:val="39916116"/>
    <w:rsid w:val="3A062564"/>
    <w:rsid w:val="3A1F7E1F"/>
    <w:rsid w:val="3A7A502C"/>
    <w:rsid w:val="3AEF7B36"/>
    <w:rsid w:val="3B025F76"/>
    <w:rsid w:val="3B094FE2"/>
    <w:rsid w:val="3B2841A1"/>
    <w:rsid w:val="3B8531F2"/>
    <w:rsid w:val="3BE13EE5"/>
    <w:rsid w:val="3C0E3598"/>
    <w:rsid w:val="3C13414A"/>
    <w:rsid w:val="3C4816E7"/>
    <w:rsid w:val="3CF5326E"/>
    <w:rsid w:val="3D245ACE"/>
    <w:rsid w:val="3D87326C"/>
    <w:rsid w:val="3E15405C"/>
    <w:rsid w:val="3E522CF1"/>
    <w:rsid w:val="3EA328EB"/>
    <w:rsid w:val="3EDC0D4E"/>
    <w:rsid w:val="3EEC5676"/>
    <w:rsid w:val="3F0F473E"/>
    <w:rsid w:val="3F542A99"/>
    <w:rsid w:val="3F7B020F"/>
    <w:rsid w:val="4049127B"/>
    <w:rsid w:val="418043A1"/>
    <w:rsid w:val="421B33FA"/>
    <w:rsid w:val="4231607A"/>
    <w:rsid w:val="42404202"/>
    <w:rsid w:val="432D1637"/>
    <w:rsid w:val="4408069A"/>
    <w:rsid w:val="4455601B"/>
    <w:rsid w:val="445968C5"/>
    <w:rsid w:val="44B21F16"/>
    <w:rsid w:val="44B83633"/>
    <w:rsid w:val="45D75EC3"/>
    <w:rsid w:val="465869CB"/>
    <w:rsid w:val="468C7E6D"/>
    <w:rsid w:val="46D32E08"/>
    <w:rsid w:val="46FD0882"/>
    <w:rsid w:val="474D04FA"/>
    <w:rsid w:val="47DC7509"/>
    <w:rsid w:val="47EF7B49"/>
    <w:rsid w:val="47F40975"/>
    <w:rsid w:val="48887922"/>
    <w:rsid w:val="48A94304"/>
    <w:rsid w:val="48BF1904"/>
    <w:rsid w:val="48DF238C"/>
    <w:rsid w:val="49731D6E"/>
    <w:rsid w:val="49CA0BFE"/>
    <w:rsid w:val="4A063530"/>
    <w:rsid w:val="4A995804"/>
    <w:rsid w:val="4B9B0777"/>
    <w:rsid w:val="4C3966F9"/>
    <w:rsid w:val="4C9E28EA"/>
    <w:rsid w:val="4D423645"/>
    <w:rsid w:val="4DBB3CB6"/>
    <w:rsid w:val="4DCB4939"/>
    <w:rsid w:val="4DDE7B03"/>
    <w:rsid w:val="4E573A0C"/>
    <w:rsid w:val="4EC05A55"/>
    <w:rsid w:val="4F3871E5"/>
    <w:rsid w:val="4F8172ED"/>
    <w:rsid w:val="4FF50D07"/>
    <w:rsid w:val="4FF66C91"/>
    <w:rsid w:val="50247633"/>
    <w:rsid w:val="52195BA8"/>
    <w:rsid w:val="527F4BC1"/>
    <w:rsid w:val="52DE64AA"/>
    <w:rsid w:val="536B3095"/>
    <w:rsid w:val="537B7C95"/>
    <w:rsid w:val="538E1483"/>
    <w:rsid w:val="53E8370E"/>
    <w:rsid w:val="541B6431"/>
    <w:rsid w:val="544A1FF9"/>
    <w:rsid w:val="5472094E"/>
    <w:rsid w:val="54B03458"/>
    <w:rsid w:val="54B17E17"/>
    <w:rsid w:val="54D42C9D"/>
    <w:rsid w:val="54F226E1"/>
    <w:rsid w:val="55384597"/>
    <w:rsid w:val="55447C67"/>
    <w:rsid w:val="5567155C"/>
    <w:rsid w:val="5702376B"/>
    <w:rsid w:val="570606C5"/>
    <w:rsid w:val="570D4076"/>
    <w:rsid w:val="5765719A"/>
    <w:rsid w:val="579161E1"/>
    <w:rsid w:val="58010C9D"/>
    <w:rsid w:val="58242BB1"/>
    <w:rsid w:val="58565030"/>
    <w:rsid w:val="58C148A4"/>
    <w:rsid w:val="58E33CEB"/>
    <w:rsid w:val="58E41511"/>
    <w:rsid w:val="594069F9"/>
    <w:rsid w:val="5A42636D"/>
    <w:rsid w:val="5AFD7032"/>
    <w:rsid w:val="5B7A2F79"/>
    <w:rsid w:val="5B841BB9"/>
    <w:rsid w:val="5C51019F"/>
    <w:rsid w:val="5D057FD3"/>
    <w:rsid w:val="5D4C0E73"/>
    <w:rsid w:val="5DB841EC"/>
    <w:rsid w:val="5DE4275B"/>
    <w:rsid w:val="5E073BED"/>
    <w:rsid w:val="5ECB5627"/>
    <w:rsid w:val="5F5E5780"/>
    <w:rsid w:val="5F67138C"/>
    <w:rsid w:val="5F6B1074"/>
    <w:rsid w:val="5F70767C"/>
    <w:rsid w:val="5F9576F1"/>
    <w:rsid w:val="5FEA53B6"/>
    <w:rsid w:val="60D14602"/>
    <w:rsid w:val="61135C9F"/>
    <w:rsid w:val="61957B24"/>
    <w:rsid w:val="61CE31A0"/>
    <w:rsid w:val="6207243A"/>
    <w:rsid w:val="62B2525D"/>
    <w:rsid w:val="63715D2B"/>
    <w:rsid w:val="63BE035D"/>
    <w:rsid w:val="64032214"/>
    <w:rsid w:val="645F08B5"/>
    <w:rsid w:val="64A468F8"/>
    <w:rsid w:val="656B0071"/>
    <w:rsid w:val="658F6ECE"/>
    <w:rsid w:val="66124991"/>
    <w:rsid w:val="6622552A"/>
    <w:rsid w:val="66394FA5"/>
    <w:rsid w:val="667110EE"/>
    <w:rsid w:val="669B71F4"/>
    <w:rsid w:val="669C1562"/>
    <w:rsid w:val="67123590"/>
    <w:rsid w:val="674175FB"/>
    <w:rsid w:val="67683D8F"/>
    <w:rsid w:val="679D472E"/>
    <w:rsid w:val="67F66B9D"/>
    <w:rsid w:val="688B25B1"/>
    <w:rsid w:val="68AE6C16"/>
    <w:rsid w:val="69540E1C"/>
    <w:rsid w:val="69CD4C10"/>
    <w:rsid w:val="6A0B3BD1"/>
    <w:rsid w:val="6A165A61"/>
    <w:rsid w:val="6AA8720E"/>
    <w:rsid w:val="6AB31B18"/>
    <w:rsid w:val="6B321631"/>
    <w:rsid w:val="6B4546B4"/>
    <w:rsid w:val="6C065B49"/>
    <w:rsid w:val="6CDC25B0"/>
    <w:rsid w:val="6D157621"/>
    <w:rsid w:val="6D8048D6"/>
    <w:rsid w:val="6DAA3701"/>
    <w:rsid w:val="6DD26832"/>
    <w:rsid w:val="6E0E1EE1"/>
    <w:rsid w:val="6E4753F3"/>
    <w:rsid w:val="6EE4423E"/>
    <w:rsid w:val="6EE64C0C"/>
    <w:rsid w:val="6EF06C9C"/>
    <w:rsid w:val="6F035365"/>
    <w:rsid w:val="6F1A4DDE"/>
    <w:rsid w:val="6FA82893"/>
    <w:rsid w:val="7091401A"/>
    <w:rsid w:val="70CE5958"/>
    <w:rsid w:val="715708B1"/>
    <w:rsid w:val="72453DD8"/>
    <w:rsid w:val="724B238B"/>
    <w:rsid w:val="72E04F19"/>
    <w:rsid w:val="731F586B"/>
    <w:rsid w:val="732C114F"/>
    <w:rsid w:val="733857C3"/>
    <w:rsid w:val="73602DCE"/>
    <w:rsid w:val="73F27BAF"/>
    <w:rsid w:val="74A125F2"/>
    <w:rsid w:val="74C90995"/>
    <w:rsid w:val="74CE06B6"/>
    <w:rsid w:val="74DC579C"/>
    <w:rsid w:val="752244C4"/>
    <w:rsid w:val="7535469C"/>
    <w:rsid w:val="75B35B00"/>
    <w:rsid w:val="764D1C68"/>
    <w:rsid w:val="76A86252"/>
    <w:rsid w:val="76D24862"/>
    <w:rsid w:val="76E72CA0"/>
    <w:rsid w:val="777D1E86"/>
    <w:rsid w:val="77A4416D"/>
    <w:rsid w:val="781D5377"/>
    <w:rsid w:val="782D0912"/>
    <w:rsid w:val="78E424DB"/>
    <w:rsid w:val="798B1B59"/>
    <w:rsid w:val="79D258F0"/>
    <w:rsid w:val="79E461EC"/>
    <w:rsid w:val="79F857F4"/>
    <w:rsid w:val="79FD4D1C"/>
    <w:rsid w:val="7A4276BD"/>
    <w:rsid w:val="7A996FD7"/>
    <w:rsid w:val="7AAC6D0A"/>
    <w:rsid w:val="7B5E70A2"/>
    <w:rsid w:val="7B6075EF"/>
    <w:rsid w:val="7B8B2DC3"/>
    <w:rsid w:val="7BBE6194"/>
    <w:rsid w:val="7CD1288F"/>
    <w:rsid w:val="7D0F16C6"/>
    <w:rsid w:val="7D3905FD"/>
    <w:rsid w:val="7D4A1525"/>
    <w:rsid w:val="7D9C132C"/>
    <w:rsid w:val="7DB67EA0"/>
    <w:rsid w:val="7E347536"/>
    <w:rsid w:val="7E4739CA"/>
    <w:rsid w:val="7E7E60A1"/>
    <w:rsid w:val="7F341F9F"/>
    <w:rsid w:val="7FC72453"/>
    <w:rsid w:val="7FE85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autoRedefine/>
    <w:qFormat/>
    <w:uiPriority w:val="0"/>
    <w:pPr>
      <w:keepNext/>
      <w:spacing w:line="720" w:lineRule="exact"/>
      <w:outlineLvl w:val="1"/>
    </w:pPr>
    <w:rPr>
      <w:rFonts w:ascii="黑体" w:hAnsi="Copperplate Gothic Bold" w:eastAsia="楷体_GB2312"/>
      <w:sz w:val="28"/>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5">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4">
    <w:name w:val="Default Paragraph Font"/>
    <w:autoRedefine/>
    <w:semiHidden/>
    <w:qFormat/>
    <w:uiPriority w:val="0"/>
  </w:style>
  <w:style w:type="table" w:default="1" w:styleId="22">
    <w:name w:val="Normal Table"/>
    <w:autoRedefin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Body Text"/>
    <w:basedOn w:val="1"/>
    <w:next w:val="1"/>
    <w:autoRedefine/>
    <w:qFormat/>
    <w:uiPriority w:val="0"/>
    <w:pPr>
      <w:spacing w:afterLines="50" w:line="360" w:lineRule="auto"/>
    </w:pPr>
    <w:rPr>
      <w:rFonts w:ascii="宋体" w:hAnsi="宋体"/>
      <w:color w:val="000000"/>
      <w:sz w:val="24"/>
    </w:rPr>
  </w:style>
  <w:style w:type="paragraph" w:styleId="8">
    <w:name w:val="Body Text Indent"/>
    <w:basedOn w:val="1"/>
    <w:qFormat/>
    <w:uiPriority w:val="0"/>
    <w:pPr>
      <w:ind w:firstLine="630"/>
    </w:pPr>
    <w:rPr>
      <w:sz w:val="32"/>
      <w:szCs w:val="20"/>
    </w:rPr>
  </w:style>
  <w:style w:type="paragraph" w:styleId="9">
    <w:name w:val="toc 3"/>
    <w:basedOn w:val="1"/>
    <w:next w:val="1"/>
    <w:autoRedefine/>
    <w:qFormat/>
    <w:uiPriority w:val="0"/>
    <w:pPr>
      <w:ind w:left="840" w:leftChars="400"/>
    </w:pPr>
  </w:style>
  <w:style w:type="paragraph" w:styleId="10">
    <w:name w:val="Plain Text"/>
    <w:basedOn w:val="1"/>
    <w:autoRedefine/>
    <w:qFormat/>
    <w:uiPriority w:val="0"/>
    <w:rPr>
      <w:rFonts w:ascii="宋体" w:hAnsi="Courier New"/>
    </w:rPr>
  </w:style>
  <w:style w:type="paragraph" w:styleId="11">
    <w:name w:val="Date"/>
    <w:basedOn w:val="1"/>
    <w:next w:val="1"/>
    <w:autoRedefine/>
    <w:qFormat/>
    <w:uiPriority w:val="0"/>
    <w:rPr>
      <w:rFonts w:ascii="Copperplate Gothic Bold" w:hAnsi="Copperplate Gothic Bold"/>
      <w:sz w:val="32"/>
    </w:rPr>
  </w:style>
  <w:style w:type="paragraph" w:styleId="12">
    <w:name w:val="footer"/>
    <w:basedOn w:val="1"/>
    <w:qFormat/>
    <w:uiPriority w:val="0"/>
    <w:pPr>
      <w:pBdr>
        <w:top w:val="double" w:color="auto" w:sz="4" w:space="1"/>
        <w:left w:val="none" w:color="auto" w:sz="0" w:space="4"/>
        <w:bottom w:val="none" w:color="auto" w:sz="0" w:space="1"/>
        <w:right w:val="none" w:color="auto" w:sz="0" w:space="4"/>
      </w:pBdr>
      <w:tabs>
        <w:tab w:val="center" w:pos="4153"/>
        <w:tab w:val="right" w:pos="8306"/>
      </w:tabs>
      <w:snapToGrid w:val="0"/>
      <w:jc w:val="left"/>
    </w:pPr>
    <w:rPr>
      <w:rFonts w:asciiTheme="minorAscii" w:hAnsiTheme="minorAscii"/>
      <w:sz w:val="18"/>
    </w:rPr>
  </w:style>
  <w:style w:type="paragraph" w:styleId="13">
    <w:name w:val="envelope return"/>
    <w:basedOn w:val="1"/>
    <w:autoRedefine/>
    <w:qFormat/>
    <w:uiPriority w:val="0"/>
    <w:pPr>
      <w:snapToGrid w:val="0"/>
    </w:pPr>
    <w:rPr>
      <w:rFonts w:ascii="Arial" w:hAnsi="Arial"/>
    </w:rPr>
  </w:style>
  <w:style w:type="paragraph" w:styleId="1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5">
    <w:name w:val="toc 1"/>
    <w:basedOn w:val="1"/>
    <w:next w:val="1"/>
    <w:qFormat/>
    <w:uiPriority w:val="0"/>
  </w:style>
  <w:style w:type="paragraph" w:styleId="16">
    <w:name w:val="toc 2"/>
    <w:basedOn w:val="1"/>
    <w:next w:val="1"/>
    <w:autoRedefine/>
    <w:qFormat/>
    <w:uiPriority w:val="0"/>
    <w:pPr>
      <w:ind w:left="420" w:leftChars="200"/>
    </w:pPr>
  </w:style>
  <w:style w:type="paragraph" w:styleId="17">
    <w:name w:val="Body Text 2"/>
    <w:basedOn w:val="1"/>
    <w:autoRedefine/>
    <w:qFormat/>
    <w:uiPriority w:val="0"/>
    <w:pPr>
      <w:adjustRightInd w:val="0"/>
      <w:snapToGrid w:val="0"/>
      <w:spacing w:line="480" w:lineRule="atLeast"/>
    </w:pPr>
    <w:rPr>
      <w:rFonts w:ascii="宋体" w:hAnsi="宋体"/>
      <w:sz w:val="28"/>
    </w:rPr>
  </w:style>
  <w:style w:type="paragraph" w:styleId="18">
    <w:name w:val="Normal (Web)"/>
    <w:basedOn w:val="1"/>
    <w:next w:val="13"/>
    <w:autoRedefine/>
    <w:qFormat/>
    <w:uiPriority w:val="0"/>
    <w:pPr>
      <w:widowControl/>
      <w:spacing w:before="100" w:beforeAutospacing="1" w:after="100" w:afterAutospacing="1"/>
      <w:jc w:val="left"/>
    </w:pPr>
    <w:rPr>
      <w:rFonts w:ascii="宋体" w:hAnsi="宋体"/>
      <w:kern w:val="0"/>
      <w:sz w:val="24"/>
      <w:szCs w:val="24"/>
    </w:rPr>
  </w:style>
  <w:style w:type="paragraph" w:styleId="19">
    <w:name w:val="Title"/>
    <w:basedOn w:val="1"/>
    <w:next w:val="1"/>
    <w:autoRedefine/>
    <w:qFormat/>
    <w:uiPriority w:val="0"/>
    <w:pPr>
      <w:jc w:val="center"/>
    </w:pPr>
    <w:rPr>
      <w:rFonts w:ascii="Calibri" w:hAnsi="Calibri"/>
      <w:kern w:val="1"/>
      <w:sz w:val="30"/>
      <w:szCs w:val="24"/>
    </w:rPr>
  </w:style>
  <w:style w:type="paragraph" w:styleId="20">
    <w:name w:val="Body Text First Indent"/>
    <w:basedOn w:val="7"/>
    <w:unhideWhenUsed/>
    <w:qFormat/>
    <w:uiPriority w:val="99"/>
    <w:pPr>
      <w:spacing w:afterLines="0" w:line="240" w:lineRule="auto"/>
      <w:ind w:firstLine="420" w:firstLineChars="100"/>
    </w:pPr>
    <w:rPr>
      <w:rFonts w:ascii="Times New Roman" w:hAnsi="Times New Roman"/>
      <w:color w:val="auto"/>
      <w:sz w:val="18"/>
      <w:szCs w:val="18"/>
    </w:rPr>
  </w:style>
  <w:style w:type="paragraph" w:styleId="21">
    <w:name w:val="Body Text First Indent 2"/>
    <w:basedOn w:val="8"/>
    <w:autoRedefine/>
    <w:qFormat/>
    <w:uiPriority w:val="0"/>
    <w:pPr>
      <w:ind w:firstLine="420" w:firstLineChars="200"/>
    </w:pPr>
    <w:rPr>
      <w:rFonts w:ascii="Times New Roman" w:hAnsi="Times New Roman" w:eastAsia="宋体" w:cs="Times New Roman"/>
      <w:szCs w:val="20"/>
    </w:rPr>
  </w:style>
  <w:style w:type="table" w:styleId="23">
    <w:name w:val="Table Grid"/>
    <w:basedOn w:val="2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basedOn w:val="24"/>
    <w:autoRedefine/>
    <w:qFormat/>
    <w:uiPriority w:val="0"/>
    <w:rPr>
      <w:b/>
    </w:rPr>
  </w:style>
  <w:style w:type="paragraph" w:customStyle="1" w:styleId="26">
    <w:name w:val="Char"/>
    <w:basedOn w:val="1"/>
    <w:autoRedefine/>
    <w:qFormat/>
    <w:uiPriority w:val="0"/>
    <w:rPr>
      <w:rFonts w:ascii="Tahoma" w:hAnsi="Tahoma"/>
      <w:sz w:val="24"/>
    </w:rPr>
  </w:style>
  <w:style w:type="paragraph" w:customStyle="1" w:styleId="27">
    <w:name w:val="List Paragraph1"/>
    <w:autoRedefine/>
    <w:qFormat/>
    <w:uiPriority w:val="0"/>
    <w:pPr>
      <w:ind w:firstLine="420" w:firstLineChars="200"/>
    </w:pPr>
    <w:rPr>
      <w:rFonts w:ascii="Calibri" w:hAnsi="Calibri" w:eastAsia="宋体" w:cs="Times New Roman"/>
      <w:lang w:val="en-US" w:eastAsia="zh-CN" w:bidi="ar-SA"/>
    </w:rPr>
  </w:style>
  <w:style w:type="paragraph" w:customStyle="1" w:styleId="28">
    <w:name w:val="正文文本1"/>
    <w:basedOn w:val="1"/>
    <w:autoRedefine/>
    <w:qFormat/>
    <w:uiPriority w:val="0"/>
    <w:pPr>
      <w:widowControl w:val="0"/>
      <w:shd w:val="clear" w:color="auto" w:fill="FFFFFF"/>
      <w:spacing w:after="60" w:line="463" w:lineRule="auto"/>
      <w:ind w:firstLine="400"/>
    </w:pPr>
    <w:rPr>
      <w:rFonts w:ascii="黑体" w:hAnsi="黑体" w:eastAsia="黑体" w:cs="黑体"/>
      <w:sz w:val="34"/>
      <w:szCs w:val="34"/>
      <w:u w:val="none"/>
      <w:lang w:val="zh-CN" w:eastAsia="zh-CN" w:bidi="zh-CN"/>
    </w:rPr>
  </w:style>
  <w:style w:type="paragraph" w:customStyle="1" w:styleId="29">
    <w:name w:val="正文（缩进 2 字符）"/>
    <w:basedOn w:val="1"/>
    <w:autoRedefine/>
    <w:qFormat/>
    <w:uiPriority w:val="0"/>
    <w:pPr>
      <w:ind w:firstLine="200" w:firstLineChars="200"/>
    </w:pPr>
  </w:style>
  <w:style w:type="paragraph" w:customStyle="1" w:styleId="30">
    <w:name w:val="p0"/>
    <w:basedOn w:val="1"/>
    <w:qFormat/>
    <w:uiPriority w:val="0"/>
    <w:pPr>
      <w:widowControl/>
    </w:pPr>
    <w:rPr>
      <w:kern w:val="0"/>
      <w:szCs w:val="21"/>
    </w:rPr>
  </w:style>
  <w:style w:type="paragraph" w:customStyle="1" w:styleId="31">
    <w:name w:val="样式 10 磅"/>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2">
    <w:name w:val="font21"/>
    <w:basedOn w:val="24"/>
    <w:autoRedefine/>
    <w:qFormat/>
    <w:uiPriority w:val="0"/>
    <w:rPr>
      <w:rFonts w:hint="eastAsia" w:ascii="宋体" w:hAnsi="宋体" w:eastAsia="宋体" w:cs="宋体"/>
      <w:color w:val="000000"/>
      <w:sz w:val="21"/>
      <w:szCs w:val="21"/>
      <w:u w:val="none"/>
    </w:rPr>
  </w:style>
  <w:style w:type="paragraph" w:customStyle="1" w:styleId="33">
    <w:name w:val="样式 首行缩进:  2 字符"/>
    <w:basedOn w:val="1"/>
    <w:autoRedefine/>
    <w:qFormat/>
    <w:uiPriority w:val="0"/>
    <w:pPr>
      <w:spacing w:line="400" w:lineRule="exact"/>
      <w:ind w:firstLine="200" w:firstLineChars="200"/>
    </w:pPr>
    <w:rPr>
      <w:rFonts w:cs="宋体"/>
      <w:sz w:val="24"/>
    </w:rPr>
  </w:style>
  <w:style w:type="paragraph" w:customStyle="1" w:styleId="34">
    <w:name w:val="标题 41"/>
    <w:basedOn w:val="1"/>
    <w:autoRedefine/>
    <w:qFormat/>
    <w:uiPriority w:val="0"/>
    <w:pPr>
      <w:ind w:left="1745"/>
      <w:jc w:val="left"/>
      <w:outlineLvl w:val="4"/>
    </w:pPr>
    <w:rPr>
      <w:rFonts w:ascii="宋体" w:hAnsi="宋体"/>
      <w:kern w:val="0"/>
      <w:sz w:val="26"/>
      <w:szCs w:val="26"/>
      <w:lang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44</Pages>
  <Words>18456</Words>
  <Characters>19366</Characters>
  <Lines>1</Lines>
  <Paragraphs>1</Paragraphs>
  <TotalTime>73</TotalTime>
  <ScaleCrop>false</ScaleCrop>
  <LinksUpToDate>false</LinksUpToDate>
  <CharactersWithSpaces>21119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2020-06-07T13:56:00Z</dcterms:created>
  <dc:creator>没人给我穿袜子</dc:creator>
  <cp:lastModifiedBy>夏陌</cp:lastModifiedBy>
  <cp:lastPrinted>2023-06-01T03:15:00Z</cp:lastPrinted>
  <dcterms:modified xsi:type="dcterms:W3CDTF">2023-12-26T06:09:47Z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KSOTemplateUUID">
    <vt:lpwstr>v1.0_mb_JTkv4FRecwauV9R5PE+DoQ==</vt:lpwstr>
  </property>
  <property fmtid="{D5CDD505-2E9C-101B-9397-08002B2CF9AE}" pid="4" name="ICV">
    <vt:lpwstr>32E95201653B4BB7A238DD2E0D9462B8</vt:lpwstr>
  </property>
</Properties>
</file>