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color w:val="auto"/>
          <w:sz w:val="32"/>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color w:val="auto"/>
          <w:sz w:val="32"/>
          <w:szCs w:val="40"/>
          <w:highlight w:val="none"/>
          <w:lang w:val="en-US" w:eastAsia="zh-CN"/>
        </w:rPr>
      </w:pPr>
      <w:r>
        <w:rPr>
          <w:rFonts w:hint="eastAsia" w:ascii="宋体" w:hAnsi="宋体" w:eastAsia="宋体" w:cs="宋体"/>
          <w:b/>
          <w:bCs/>
          <w:color w:val="auto"/>
          <w:sz w:val="32"/>
          <w:szCs w:val="40"/>
          <w:highlight w:val="none"/>
          <w:lang w:val="en-US" w:eastAsia="zh-CN"/>
        </w:rPr>
        <w:t>项目编号：XD2023-009</w:t>
      </w:r>
    </w:p>
    <w:p>
      <w:pPr>
        <w:pStyle w:val="2"/>
        <w:rPr>
          <w:rFonts w:hint="default"/>
          <w:lang w:val="en-US" w:eastAsia="zh-CN"/>
        </w:rPr>
      </w:pPr>
    </w:p>
    <w:p>
      <w:pPr>
        <w:pStyle w:val="4"/>
        <w:rPr>
          <w:rFonts w:hint="eastAsia"/>
          <w:color w:val="auto"/>
          <w:lang w:val="en-US" w:eastAsia="zh-CN"/>
        </w:rPr>
      </w:pPr>
    </w:p>
    <w:p>
      <w:pPr>
        <w:jc w:val="center"/>
        <w:rPr>
          <w:rFonts w:hint="eastAsia" w:ascii="宋体" w:hAnsi="宋体" w:eastAsia="宋体" w:cs="宋体"/>
          <w:b/>
          <w:bCs/>
          <w:i w:val="0"/>
          <w:iCs w:val="0"/>
          <w:color w:val="auto"/>
          <w:sz w:val="48"/>
          <w:szCs w:val="48"/>
          <w:highlight w:val="none"/>
          <w:lang w:val="en-US" w:eastAsia="zh-CN"/>
        </w:rPr>
      </w:pPr>
      <w:r>
        <w:rPr>
          <w:rFonts w:hint="eastAsia" w:ascii="宋体" w:hAnsi="宋体" w:eastAsia="宋体" w:cs="宋体"/>
          <w:b/>
          <w:bCs/>
          <w:i w:val="0"/>
          <w:iCs w:val="0"/>
          <w:color w:val="auto"/>
          <w:sz w:val="48"/>
          <w:szCs w:val="48"/>
          <w:highlight w:val="none"/>
          <w:lang w:val="en-US" w:eastAsia="zh-CN"/>
        </w:rPr>
        <w:t>延安市黄龙山国有林管理局2023年国家</w:t>
      </w:r>
    </w:p>
    <w:p>
      <w:pPr>
        <w:jc w:val="center"/>
        <w:rPr>
          <w:rFonts w:hint="eastAsia" w:ascii="宋体" w:hAnsi="宋体" w:eastAsia="宋体" w:cs="宋体"/>
          <w:b/>
          <w:bCs/>
          <w:color w:val="auto"/>
          <w:sz w:val="72"/>
          <w:szCs w:val="144"/>
          <w:highlight w:val="none"/>
          <w:lang w:val="en-US" w:eastAsia="zh-CN"/>
        </w:rPr>
      </w:pPr>
      <w:r>
        <w:rPr>
          <w:rFonts w:hint="eastAsia" w:ascii="宋体" w:hAnsi="宋体" w:eastAsia="宋体" w:cs="宋体"/>
          <w:b/>
          <w:bCs/>
          <w:i w:val="0"/>
          <w:iCs w:val="0"/>
          <w:color w:val="auto"/>
          <w:sz w:val="48"/>
          <w:szCs w:val="48"/>
          <w:highlight w:val="none"/>
          <w:lang w:val="en-US" w:eastAsia="zh-CN"/>
        </w:rPr>
        <w:t>重点野生动植物保护项目</w:t>
      </w:r>
    </w:p>
    <w:p>
      <w:pPr>
        <w:jc w:val="center"/>
        <w:rPr>
          <w:rFonts w:hint="eastAsia" w:ascii="宋体" w:hAnsi="宋体" w:eastAsia="宋体" w:cs="宋体"/>
          <w:b/>
          <w:bCs/>
          <w:color w:val="auto"/>
          <w:sz w:val="72"/>
          <w:szCs w:val="144"/>
          <w:highlight w:val="none"/>
          <w:lang w:val="en-US" w:eastAsia="zh-CN"/>
        </w:rPr>
      </w:pPr>
    </w:p>
    <w:p>
      <w:pPr>
        <w:pStyle w:val="2"/>
        <w:rPr>
          <w:rFonts w:hint="eastAsia"/>
          <w:lang w:val="en-US" w:eastAsia="zh-CN"/>
        </w:rPr>
      </w:pPr>
    </w:p>
    <w:p>
      <w:pPr>
        <w:jc w:val="center"/>
        <w:rPr>
          <w:rFonts w:hint="eastAsia" w:ascii="宋体" w:hAnsi="宋体" w:eastAsia="宋体" w:cs="宋体"/>
          <w:b/>
          <w:bCs/>
          <w:color w:val="auto"/>
          <w:sz w:val="72"/>
          <w:szCs w:val="144"/>
          <w:highlight w:val="none"/>
          <w:lang w:val="en-US" w:eastAsia="zh-CN"/>
        </w:rPr>
      </w:pPr>
    </w:p>
    <w:p>
      <w:pPr>
        <w:jc w:val="center"/>
        <w:rPr>
          <w:rFonts w:hint="eastAsia" w:ascii="宋体" w:hAnsi="宋体" w:eastAsia="宋体" w:cs="宋体"/>
          <w:b/>
          <w:bCs/>
          <w:color w:val="auto"/>
          <w:sz w:val="96"/>
          <w:szCs w:val="160"/>
          <w:highlight w:val="none"/>
          <w:lang w:val="en-US" w:eastAsia="zh-CN"/>
        </w:rPr>
      </w:pPr>
      <w:r>
        <w:rPr>
          <w:rFonts w:hint="eastAsia" w:ascii="宋体" w:hAnsi="宋体" w:eastAsia="宋体" w:cs="宋体"/>
          <w:b/>
          <w:bCs/>
          <w:color w:val="auto"/>
          <w:sz w:val="72"/>
          <w:szCs w:val="72"/>
          <w:highlight w:val="none"/>
          <w:lang w:val="en-US" w:eastAsia="zh-CN"/>
        </w:rPr>
        <w:t>竞争性磋商文件</w:t>
      </w:r>
    </w:p>
    <w:p>
      <w:pPr>
        <w:jc w:val="center"/>
        <w:rPr>
          <w:rFonts w:hint="eastAsia" w:ascii="宋体" w:hAnsi="宋体" w:eastAsia="宋体" w:cs="宋体"/>
          <w:b/>
          <w:bCs/>
          <w:color w:val="auto"/>
          <w:sz w:val="72"/>
          <w:szCs w:val="144"/>
          <w:highlight w:val="none"/>
          <w:lang w:val="en-US" w:eastAsia="zh-CN"/>
        </w:rPr>
      </w:pPr>
    </w:p>
    <w:p>
      <w:pPr>
        <w:jc w:val="center"/>
        <w:rPr>
          <w:rFonts w:hint="eastAsia" w:ascii="宋体" w:hAnsi="宋体" w:eastAsia="宋体" w:cs="宋体"/>
          <w:b/>
          <w:bCs/>
          <w:color w:val="auto"/>
          <w:sz w:val="72"/>
          <w:szCs w:val="144"/>
          <w:highlight w:val="none"/>
          <w:lang w:val="en-US" w:eastAsia="zh-CN"/>
        </w:rPr>
      </w:pPr>
    </w:p>
    <w:p>
      <w:pPr>
        <w:pStyle w:val="2"/>
        <w:rPr>
          <w:rFonts w:hint="eastAsia"/>
          <w:lang w:val="en-US" w:eastAsia="zh-CN"/>
        </w:rPr>
      </w:pPr>
    </w:p>
    <w:p>
      <w:pPr>
        <w:jc w:val="center"/>
        <w:rPr>
          <w:rFonts w:hint="eastAsia" w:ascii="宋体" w:hAnsi="宋体" w:eastAsia="宋体" w:cs="宋体"/>
          <w:b/>
          <w:bCs/>
          <w:color w:val="auto"/>
          <w:sz w:val="72"/>
          <w:szCs w:val="144"/>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 xml:space="preserve">采   购   人：延安市黄龙山国有林管理局               </w:t>
      </w: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 xml:space="preserve">采购代理机构：陕西轩鼎项目管理有限公司     </w:t>
      </w:r>
    </w:p>
    <w:p>
      <w:pPr>
        <w:keepNext w:val="0"/>
        <w:keepLines w:val="0"/>
        <w:pageBreakBefore w:val="0"/>
        <w:widowControl w:val="0"/>
        <w:kinsoku/>
        <w:wordWrap/>
        <w:overflowPunct/>
        <w:topLinePunct w:val="0"/>
        <w:autoSpaceDE/>
        <w:autoSpaceDN/>
        <w:bidi w:val="0"/>
        <w:adjustRightInd/>
        <w:snapToGrid/>
        <w:ind w:left="0" w:leftChars="0" w:firstLine="1063" w:firstLineChars="331"/>
        <w:textAlignment w:val="auto"/>
        <w:rPr>
          <w:rFonts w:hint="default"/>
          <w:color w:val="auto"/>
          <w:u w:val="single"/>
          <w:lang w:val="en-US" w:eastAsia="zh-CN"/>
        </w:rPr>
        <w:sectPr>
          <w:pgSz w:w="11906" w:h="16838"/>
          <w:pgMar w:top="1417" w:right="1417" w:bottom="1417" w:left="1417" w:header="851" w:footer="850" w:gutter="0"/>
          <w:cols w:space="425" w:num="1"/>
          <w:docGrid w:type="lines" w:linePitch="312" w:charSpace="0"/>
        </w:sectPr>
      </w:pPr>
      <w:r>
        <w:rPr>
          <w:rFonts w:hint="eastAsia"/>
          <w:b/>
          <w:bCs/>
          <w:color w:val="auto"/>
          <w:sz w:val="32"/>
          <w:szCs w:val="40"/>
          <w:u w:val="none"/>
          <w:lang w:val="en-US" w:eastAsia="zh-CN"/>
        </w:rPr>
        <w:t xml:space="preserve">日        期：二〇二三年五月               </w:t>
      </w:r>
    </w:p>
    <w:sdt>
      <w:sdtPr>
        <w:rPr>
          <w:rFonts w:ascii="宋体" w:hAnsi="宋体" w:eastAsia="宋体" w:cstheme="minorBidi"/>
          <w:color w:val="auto"/>
          <w:kern w:val="2"/>
          <w:sz w:val="21"/>
          <w:szCs w:val="24"/>
          <w:lang w:val="en-US" w:eastAsia="zh-CN" w:bidi="ar-SA"/>
        </w:rPr>
        <w:id w:val="147475210"/>
        <w15:color w:val="DBDBDB"/>
      </w:sdtPr>
      <w:sdtEndPr>
        <w:rPr>
          <w:rFonts w:hint="eastAsia" w:ascii="宋体" w:hAnsi="宋体" w:eastAsia="宋体" w:cs="宋体"/>
          <w:bCs/>
          <w:color w:val="auto"/>
          <w:kern w:val="2"/>
          <w:sz w:val="21"/>
          <w:szCs w:val="32"/>
          <w:highlight w:val="none"/>
          <w:u w:val="none"/>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color w:val="auto"/>
            </w:rPr>
          </w:pPr>
          <w:r>
            <w:rPr>
              <w:rFonts w:ascii="宋体" w:hAnsi="宋体" w:eastAsia="宋体"/>
              <w:b/>
              <w:bCs/>
              <w:color w:val="auto"/>
              <w:sz w:val="28"/>
              <w:szCs w:val="36"/>
            </w:rPr>
            <w:t>目录</w:t>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highlight w:val="none"/>
              <w:u w:val="none"/>
              <w:lang w:val="en-US" w:eastAsia="zh-CN"/>
            </w:rPr>
            <w:fldChar w:fldCharType="begin"/>
          </w:r>
          <w:r>
            <w:rPr>
              <w:rFonts w:hint="eastAsia" w:ascii="宋体" w:hAnsi="宋体" w:eastAsia="宋体" w:cs="宋体"/>
              <w:b/>
              <w:bCs/>
              <w:color w:val="auto"/>
              <w:sz w:val="21"/>
              <w:szCs w:val="21"/>
              <w:highlight w:val="none"/>
              <w:u w:val="none"/>
              <w:lang w:val="en-US" w:eastAsia="zh-CN"/>
            </w:rPr>
            <w:instrText xml:space="preserve">TOC \o "1-3" \h \u </w:instrText>
          </w:r>
          <w:r>
            <w:rPr>
              <w:rFonts w:hint="eastAsia" w:ascii="宋体" w:hAnsi="宋体" w:eastAsia="宋体" w:cs="宋体"/>
              <w:b/>
              <w:bCs/>
              <w:color w:val="auto"/>
              <w:sz w:val="21"/>
              <w:szCs w:val="21"/>
              <w:highlight w:val="none"/>
              <w:u w:val="none"/>
              <w:lang w:val="en-US" w:eastAsia="zh-CN"/>
            </w:rPr>
            <w:fldChar w:fldCharType="separate"/>
          </w: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_Toc28272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第一部分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竞争性磋商公告</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_Toc28272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_Toc28380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磋商须知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_Toc28380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_Toc1340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磋商须知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_Toc1340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_Toc8224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1．适用范围</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_Toc8224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_Toc1693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2．定义</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_Toc1693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_Toc31259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3．合格供应商的范围</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_Toc31259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_Toc1388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4．磋商代表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_Toc1388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_Toc25096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5．费用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_Toc25096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_Toc186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6．响应文件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_Toc13957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7．磋商保证金</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_Toc13957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_Toc4401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8．评审工作程序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_Toc4401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_Toc14323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9．磋商内容</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_Toc14323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_Toc24203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10．评审原则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_Toc24203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_Toc7322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11．评审标准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_Toc7322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11</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_Toc1434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12．磋商小组</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_Toc1434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_Toc30469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13．磋商评审纪律</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_Toc30469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13</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_Toc7094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14．无效响应文件情况说明</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_Toc7094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13</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_Toc2106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15．对响应文件的修正</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_Toc2106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_Toc8855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确定成交供应商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_Toc8855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_Toc9401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17．成交通知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_Toc9401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_Toc6101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18．合同授予</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_Toc6101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_Toc19047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19．磋商有效期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_Toc19047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_Toc26032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20．签订合同</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_Toc26032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_Toc14027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代理服务费</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_Toc14027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_Toc26314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22．质疑</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_Toc26314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_Toc2124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23．需要落实的政府采购政策</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_Toc2124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_Toc31990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需求</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_Toc31990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_Toc2645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bCs/>
              <w:color w:val="auto"/>
              <w:sz w:val="21"/>
              <w:szCs w:val="21"/>
              <w:highlight w:val="none"/>
              <w:lang w:val="en-US" w:eastAsia="zh-CN"/>
            </w:rPr>
            <w:t>第五部分 拟签订合同文本</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_Toc2645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24</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u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\l _Toc31570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bCs/>
              <w:color w:val="auto"/>
              <w:sz w:val="21"/>
              <w:szCs w:val="21"/>
              <w:highlight w:val="none"/>
              <w:lang w:val="en-US" w:eastAsia="zh-CN"/>
            </w:rPr>
            <w:t>第六部分 磋商响应文件格式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_Toc31570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28</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Cs/>
              <w:color w:val="auto"/>
              <w:sz w:val="21"/>
              <w:szCs w:val="21"/>
              <w:highlight w:val="none"/>
              <w:u w:val="none"/>
              <w:lang w:val="en-US" w:eastAsia="zh-CN"/>
            </w:rPr>
            <w:fldChar w:fldCharType="end"/>
          </w:r>
        </w:p>
      </w:sdtContent>
    </w:sdt>
    <w:p>
      <w:pPr>
        <w:pStyle w:val="4"/>
        <w:spacing w:line="240" w:lineRule="auto"/>
        <w:rPr>
          <w:rFonts w:hint="default"/>
          <w:color w:val="auto"/>
          <w:sz w:val="24"/>
          <w:szCs w:val="22"/>
          <w:lang w:val="en-US" w:eastAsia="zh-CN"/>
        </w:rPr>
        <w:sectPr>
          <w:headerReference r:id="rId3" w:type="default"/>
          <w:pgSz w:w="11906" w:h="16838"/>
          <w:pgMar w:top="1417" w:right="1417" w:bottom="1417" w:left="1417" w:header="851" w:footer="992" w:gutter="0"/>
          <w:cols w:space="425" w:num="1"/>
          <w:docGrid w:type="lines" w:linePitch="312" w:charSpace="0"/>
        </w:sectPr>
      </w:pPr>
    </w:p>
    <w:p>
      <w:pPr>
        <w:ind w:firstLine="0" w:firstLineChars="0"/>
        <w:jc w:val="center"/>
        <w:outlineLvl w:val="0"/>
        <w:rPr>
          <w:rFonts w:hint="eastAsia" w:ascii="宋体" w:hAnsi="宋体"/>
          <w:b/>
          <w:color w:val="auto"/>
          <w:sz w:val="32"/>
          <w:szCs w:val="32"/>
          <w:highlight w:val="none"/>
        </w:rPr>
      </w:pPr>
      <w:bookmarkStart w:id="0" w:name="_Toc75259334"/>
      <w:bookmarkStart w:id="1" w:name="_Toc28272"/>
      <w:r>
        <w:rPr>
          <w:rFonts w:hint="eastAsia" w:ascii="宋体" w:hAnsi="宋体"/>
          <w:b/>
          <w:color w:val="auto"/>
          <w:sz w:val="32"/>
          <w:szCs w:val="32"/>
          <w:highlight w:val="none"/>
        </w:rPr>
        <w:t>第一部分</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竞争性磋商公告</w:t>
      </w:r>
      <w:bookmarkEnd w:id="0"/>
      <w:bookmarkEnd w:id="1"/>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bookmarkStart w:id="2" w:name="_Toc35393622"/>
      <w:bookmarkStart w:id="3" w:name="_Toc35393791"/>
      <w:bookmarkStart w:id="4" w:name="_Toc28359003"/>
      <w:bookmarkStart w:id="5" w:name="_Toc28359080"/>
      <w:r>
        <w:rPr>
          <w:rFonts w:hint="eastAsia" w:asciiTheme="minorEastAsia" w:hAnsiTheme="minorEastAsia" w:eastAsiaTheme="minorEastAsia" w:cstheme="minorEastAsia"/>
          <w:color w:val="auto"/>
          <w:sz w:val="21"/>
          <w:szCs w:val="21"/>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u w:val="single"/>
          <w:lang w:eastAsia="zh-CN"/>
        </w:rPr>
        <w:t>延安市黄龙山国有林管理局2023年国家重点野生动植物保护项目</w:t>
      </w:r>
      <w:r>
        <w:rPr>
          <w:rFonts w:hint="eastAsia" w:asciiTheme="minorEastAsia" w:hAnsiTheme="minorEastAsia" w:eastAsiaTheme="minorEastAsia" w:cstheme="minorEastAsia"/>
          <w:color w:val="auto"/>
          <w:sz w:val="21"/>
          <w:szCs w:val="21"/>
          <w:highlight w:val="none"/>
        </w:rPr>
        <w:t>的潜在供应商应在</w:t>
      </w:r>
      <w:r>
        <w:rPr>
          <w:rFonts w:hint="eastAsia" w:asciiTheme="minorEastAsia" w:hAnsiTheme="minorEastAsia" w:eastAsiaTheme="minorEastAsia" w:cstheme="minorEastAsia"/>
          <w:b w:val="0"/>
          <w:color w:val="auto"/>
          <w:kern w:val="2"/>
          <w:sz w:val="21"/>
          <w:szCs w:val="21"/>
          <w:highlight w:val="none"/>
          <w:u w:val="single"/>
          <w:lang w:val="en-US" w:eastAsia="zh-CN" w:bidi="ar-SA"/>
        </w:rPr>
        <w:t>全国公共资源交易平台（陕西省.延安市）</w:t>
      </w:r>
      <w:r>
        <w:rPr>
          <w:rFonts w:hint="eastAsia" w:asciiTheme="minorEastAsia" w:hAnsiTheme="minorEastAsia" w:eastAsiaTheme="minorEastAsia" w:cstheme="minorEastAsia"/>
          <w:b w:val="0"/>
          <w:color w:val="auto"/>
          <w:kern w:val="2"/>
          <w:sz w:val="21"/>
          <w:szCs w:val="21"/>
          <w:highlight w:val="none"/>
          <w:lang w:val="en-US" w:eastAsia="zh-CN" w:bidi="ar-SA"/>
        </w:rPr>
        <w:t>获取采购文件</w:t>
      </w:r>
      <w:r>
        <w:rPr>
          <w:rFonts w:hint="eastAsia" w:asciiTheme="minorEastAsia" w:hAnsiTheme="minorEastAsia" w:eastAsiaTheme="minorEastAsia" w:cstheme="minorEastAsia"/>
          <w:color w:val="auto"/>
          <w:sz w:val="21"/>
          <w:szCs w:val="21"/>
          <w:highlight w:val="none"/>
        </w:rPr>
        <w:t>，并于</w:t>
      </w:r>
      <w:r>
        <w:rPr>
          <w:rFonts w:hint="eastAsia" w:asciiTheme="minorEastAsia" w:hAnsiTheme="minorEastAsia" w:eastAsiaTheme="minorEastAsia" w:cstheme="minorEastAsia"/>
          <w:color w:val="auto"/>
          <w:sz w:val="21"/>
          <w:szCs w:val="21"/>
          <w:highlight w:val="none"/>
          <w:u w:val="single"/>
          <w:lang w:val="en-US" w:eastAsia="zh-CN"/>
        </w:rPr>
        <w:t>202</w:t>
      </w:r>
      <w:r>
        <w:rPr>
          <w:rFonts w:hint="eastAsia" w:asciiTheme="minorEastAsia" w:hAnsiTheme="minorEastAsia" w:cstheme="minorEastAsia"/>
          <w:color w:val="auto"/>
          <w:sz w:val="21"/>
          <w:szCs w:val="21"/>
          <w:highlight w:val="none"/>
          <w:u w:val="single"/>
          <w:lang w:val="en-US" w:eastAsia="zh-CN"/>
        </w:rPr>
        <w:t>3</w:t>
      </w:r>
      <w:r>
        <w:rPr>
          <w:rFonts w:hint="eastAsia" w:asciiTheme="minorEastAsia" w:hAnsiTheme="minorEastAsia" w:eastAsiaTheme="minorEastAsia" w:cstheme="minorEastAsia"/>
          <w:bCs/>
          <w:color w:val="auto"/>
          <w:sz w:val="21"/>
          <w:szCs w:val="21"/>
          <w:highlight w:val="none"/>
          <w:u w:val="single"/>
        </w:rPr>
        <w:t>年</w:t>
      </w:r>
      <w:r>
        <w:rPr>
          <w:rFonts w:hint="eastAsia" w:asciiTheme="minorEastAsia" w:hAnsiTheme="minorEastAsia" w:cstheme="minorEastAsia"/>
          <w:bCs/>
          <w:color w:val="auto"/>
          <w:sz w:val="21"/>
          <w:szCs w:val="21"/>
          <w:highlight w:val="none"/>
          <w:u w:val="single"/>
          <w:lang w:val="en-US" w:eastAsia="zh-CN"/>
        </w:rPr>
        <w:t>05</w:t>
      </w:r>
      <w:r>
        <w:rPr>
          <w:rFonts w:hint="eastAsia" w:asciiTheme="minorEastAsia" w:hAnsiTheme="minorEastAsia" w:eastAsiaTheme="minorEastAsia" w:cstheme="minorEastAsia"/>
          <w:bCs/>
          <w:color w:val="auto"/>
          <w:sz w:val="21"/>
          <w:szCs w:val="21"/>
          <w:highlight w:val="none"/>
          <w:u w:val="single"/>
        </w:rPr>
        <w:t>月</w:t>
      </w:r>
      <w:r>
        <w:rPr>
          <w:rFonts w:hint="eastAsia" w:asciiTheme="minorEastAsia" w:hAnsiTheme="minorEastAsia" w:cstheme="minorEastAsia"/>
          <w:bCs/>
          <w:color w:val="auto"/>
          <w:sz w:val="21"/>
          <w:szCs w:val="21"/>
          <w:highlight w:val="none"/>
          <w:u w:val="single"/>
          <w:lang w:val="en-US" w:eastAsia="zh-CN"/>
        </w:rPr>
        <w:t>25</w:t>
      </w:r>
      <w:r>
        <w:rPr>
          <w:rFonts w:hint="eastAsia" w:asciiTheme="minorEastAsia" w:hAnsiTheme="minorEastAsia" w:eastAsiaTheme="minorEastAsia" w:cstheme="minorEastAsia"/>
          <w:bCs/>
          <w:color w:val="auto"/>
          <w:sz w:val="21"/>
          <w:szCs w:val="21"/>
          <w:highlight w:val="none"/>
          <w:u w:val="single"/>
        </w:rPr>
        <w:t>日</w:t>
      </w:r>
      <w:r>
        <w:rPr>
          <w:rFonts w:hint="eastAsia" w:asciiTheme="minorEastAsia" w:hAnsiTheme="minorEastAsia" w:eastAsiaTheme="minorEastAsia" w:cstheme="minorEastAsia"/>
          <w:bCs/>
          <w:color w:val="auto"/>
          <w:sz w:val="21"/>
          <w:szCs w:val="21"/>
          <w:highlight w:val="none"/>
          <w:u w:val="single"/>
          <w:lang w:val="en-US" w:eastAsia="zh-CN"/>
        </w:rPr>
        <w:t>1</w:t>
      </w:r>
      <w:r>
        <w:rPr>
          <w:rFonts w:hint="eastAsia" w:asciiTheme="minorEastAsia" w:hAnsiTheme="minorEastAsia" w:cstheme="minorEastAsia"/>
          <w:bCs/>
          <w:color w:val="auto"/>
          <w:sz w:val="21"/>
          <w:szCs w:val="21"/>
          <w:highlight w:val="none"/>
          <w:u w:val="single"/>
          <w:lang w:val="en-US" w:eastAsia="zh-CN"/>
        </w:rPr>
        <w:t>4</w:t>
      </w:r>
      <w:r>
        <w:rPr>
          <w:rFonts w:hint="eastAsia" w:asciiTheme="minorEastAsia" w:hAnsiTheme="minorEastAsia" w:eastAsiaTheme="minorEastAsia" w:cstheme="minorEastAsia"/>
          <w:bCs/>
          <w:color w:val="auto"/>
          <w:sz w:val="21"/>
          <w:szCs w:val="21"/>
          <w:highlight w:val="none"/>
          <w:u w:val="single"/>
          <w:lang w:eastAsia="zh-CN"/>
        </w:rPr>
        <w:t>时</w:t>
      </w:r>
      <w:r>
        <w:rPr>
          <w:rFonts w:hint="eastAsia" w:asciiTheme="minorEastAsia" w:hAnsiTheme="minorEastAsia" w:cstheme="minorEastAsia"/>
          <w:bCs/>
          <w:color w:val="auto"/>
          <w:sz w:val="21"/>
          <w:szCs w:val="21"/>
          <w:highlight w:val="none"/>
          <w:u w:val="single"/>
          <w:lang w:val="en-US" w:eastAsia="zh-CN"/>
        </w:rPr>
        <w:t>3</w:t>
      </w:r>
      <w:r>
        <w:rPr>
          <w:rFonts w:hint="eastAsia" w:asciiTheme="minorEastAsia" w:hAnsiTheme="minorEastAsia" w:eastAsiaTheme="minorEastAsia" w:cstheme="minorEastAsia"/>
          <w:bCs/>
          <w:color w:val="auto"/>
          <w:sz w:val="21"/>
          <w:szCs w:val="21"/>
          <w:highlight w:val="none"/>
          <w:u w:val="single"/>
          <w:lang w:val="en-US" w:eastAsia="zh-CN"/>
        </w:rPr>
        <w:t>0</w:t>
      </w:r>
      <w:r>
        <w:rPr>
          <w:rFonts w:hint="eastAsia" w:asciiTheme="minorEastAsia" w:hAnsiTheme="minorEastAsia" w:eastAsiaTheme="minorEastAsia" w:cstheme="minorEastAsia"/>
          <w:bCs/>
          <w:color w:val="auto"/>
          <w:sz w:val="21"/>
          <w:szCs w:val="21"/>
          <w:highlight w:val="none"/>
          <w:u w:val="single"/>
        </w:rPr>
        <w:t>分</w:t>
      </w:r>
      <w:r>
        <w:rPr>
          <w:rFonts w:hint="eastAsia" w:asciiTheme="minorEastAsia" w:hAnsiTheme="minorEastAsia" w:eastAsiaTheme="minorEastAsia" w:cstheme="minorEastAsia"/>
          <w:bCs/>
          <w:color w:val="auto"/>
          <w:sz w:val="21"/>
          <w:szCs w:val="21"/>
          <w:highlight w:val="none"/>
        </w:rPr>
        <w:t>（北京时间）前提交响应文件</w:t>
      </w:r>
      <w:r>
        <w:rPr>
          <w:rFonts w:hint="eastAsia" w:asciiTheme="minorEastAsia" w:hAnsiTheme="minorEastAsia" w:eastAsiaTheme="minorEastAsia" w:cstheme="minorEastAsia"/>
          <w:color w:val="auto"/>
          <w:sz w:val="21"/>
          <w:szCs w:val="21"/>
          <w:highlight w:val="none"/>
        </w:rPr>
        <w:t>。</w:t>
      </w:r>
    </w:p>
    <w:bookmarkEnd w:id="2"/>
    <w:bookmarkEnd w:id="3"/>
    <w:bookmarkEnd w:id="4"/>
    <w:bookmarkEnd w:id="5"/>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一、项目基本情况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项目编号：XD2023-009</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项目名称：延安市黄龙山国有林管理局2023年国家重点野生动植物保护项目</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采购方式：竞争性磋商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预算金额：300,000.00元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采购需求：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合同包1(延安市黄龙山国有林管理局2023年国家重点野生动植物保护项目):</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合同包预算金额：300,000.00元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合同包最高限价：300,000.00元</w:t>
      </w:r>
    </w:p>
    <w:tbl>
      <w:tblPr>
        <w:tblStyle w:val="20"/>
        <w:tblW w:w="998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01"/>
        <w:gridCol w:w="1440"/>
        <w:gridCol w:w="1095"/>
        <w:gridCol w:w="1425"/>
        <w:gridCol w:w="2250"/>
        <w:gridCol w:w="1380"/>
        <w:gridCol w:w="13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728" w:hRule="atLeast"/>
          <w:tblHeader/>
        </w:trPr>
        <w:tc>
          <w:tcPr>
            <w:tcW w:w="10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品目号</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品目名称</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采购标的</w:t>
            </w:r>
          </w:p>
        </w:tc>
        <w:tc>
          <w:tcPr>
            <w:tcW w:w="14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数量（单位）</w:t>
            </w:r>
          </w:p>
        </w:tc>
        <w:tc>
          <w:tcPr>
            <w:tcW w:w="22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技术规格、参数及要求</w:t>
            </w:r>
          </w:p>
        </w:tc>
        <w:tc>
          <w:tcPr>
            <w:tcW w:w="13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品目预算(元)</w:t>
            </w:r>
          </w:p>
        </w:tc>
        <w:tc>
          <w:tcPr>
            <w:tcW w:w="13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80" w:hRule="atLeast"/>
        </w:trPr>
        <w:tc>
          <w:tcPr>
            <w:tcW w:w="10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1-1</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其他农林牧渔服务</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3000000</w:t>
            </w:r>
          </w:p>
        </w:tc>
        <w:tc>
          <w:tcPr>
            <w:tcW w:w="14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2" w:firstLineChars="0"/>
              <w:jc w:val="center"/>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1(项)</w:t>
            </w:r>
          </w:p>
        </w:tc>
        <w:tc>
          <w:tcPr>
            <w:tcW w:w="22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详见采购文件</w:t>
            </w:r>
          </w:p>
        </w:tc>
        <w:tc>
          <w:tcPr>
            <w:tcW w:w="13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300,000.00</w:t>
            </w:r>
          </w:p>
        </w:tc>
        <w:tc>
          <w:tcPr>
            <w:tcW w:w="13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300,000.00</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本合同包不接受联合体投标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合同履行期限：一年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二、申请人的资格要求：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sz w:val="21"/>
          <w:szCs w:val="21"/>
          <w:lang w:val="en-US" w:eastAsia="zh-CN"/>
        </w:rPr>
      </w:pPr>
      <w:r>
        <w:rPr>
          <w:rFonts w:hint="eastAsia" w:asciiTheme="minorEastAsia" w:hAnsiTheme="minorEastAsia" w:eastAsiaTheme="minorEastAsia" w:cstheme="minorEastAsia"/>
          <w:b w:val="0"/>
          <w:color w:val="auto"/>
          <w:kern w:val="2"/>
          <w:sz w:val="21"/>
          <w:szCs w:val="21"/>
          <w:highlight w:val="none"/>
          <w:lang w:val="en-US" w:eastAsia="zh-CN" w:bidi="ar-SA"/>
        </w:rPr>
        <w:t>1.满足《中华人民共和国政府采购法》第二十二条规定</w:t>
      </w:r>
      <w:r>
        <w:rPr>
          <w:rFonts w:hint="eastAsia" w:asciiTheme="minorEastAsia" w:hAnsiTheme="minorEastAsia" w:eastAsiaTheme="minorEastAsia" w:cstheme="minorEastAsia"/>
          <w:b w:val="0"/>
          <w:sz w:val="21"/>
          <w:szCs w:val="21"/>
          <w:lang w:val="en-US"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2.落实政府采购政策需满足的资格要求：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合同包1(延安市黄龙山国有林管理局2023年国家重点野生动植物保护项目)落实政府采购政策需满足的资格要求如下: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本项目专门面向</w:t>
      </w:r>
      <w:r>
        <w:rPr>
          <w:rFonts w:hint="eastAsia" w:asciiTheme="minorEastAsia" w:hAnsiTheme="minorEastAsia" w:cstheme="minorEastAsia"/>
          <w:b w:val="0"/>
          <w:color w:val="auto"/>
          <w:kern w:val="2"/>
          <w:sz w:val="21"/>
          <w:szCs w:val="21"/>
          <w:highlight w:val="none"/>
          <w:lang w:val="en-US" w:eastAsia="zh-CN" w:bidi="ar-SA"/>
        </w:rPr>
        <w:t>小微</w:t>
      </w:r>
      <w:r>
        <w:rPr>
          <w:rFonts w:hint="eastAsia" w:asciiTheme="minorEastAsia" w:hAnsiTheme="minorEastAsia" w:eastAsiaTheme="minorEastAsia" w:cstheme="minorEastAsia"/>
          <w:b w:val="0"/>
          <w:color w:val="auto"/>
          <w:kern w:val="2"/>
          <w:sz w:val="21"/>
          <w:szCs w:val="21"/>
          <w:highlight w:val="none"/>
          <w:lang w:val="en-US" w:eastAsia="zh-CN" w:bidi="ar-SA"/>
        </w:rPr>
        <w:t>企业采购，供应商须为小型、微型企业，并提供《中小企业声明函》（采购标的对应所属行业为农、林、牧、渔业，声明函格式按照《政府采购促进中小企业发展管理办法》（财库〔2020〕46号）要求提供）。</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3.本项目的特定资格要求：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合同包1(延安市黄龙山国有林管理局2023年国家重点野生动植物保护项目)特定资格要求如下:</w:t>
      </w:r>
    </w:p>
    <w:p>
      <w:pPr>
        <w:keepNext w:val="0"/>
        <w:keepLines w:val="0"/>
        <w:pageBreakBefore w:val="0"/>
        <w:widowControl w:val="0"/>
        <w:kinsoku/>
        <w:wordWrap w:val="0"/>
        <w:overflowPunct/>
        <w:topLinePunct w:val="0"/>
        <w:autoSpaceDE w:val="0"/>
        <w:autoSpaceDN w:val="0"/>
        <w:bidi w:val="0"/>
        <w:adjustRightInd/>
        <w:snapToGrid/>
        <w:spacing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1</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rPr>
        <w:t>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kinsoku/>
        <w:wordWrap w:val="0"/>
        <w:overflowPunct/>
        <w:topLinePunct w:val="0"/>
        <w:autoSpaceDE w:val="0"/>
        <w:autoSpaceDN w:val="0"/>
        <w:bidi w:val="0"/>
        <w:adjustRightInd/>
        <w:snapToGrid/>
        <w:spacing w:line="420" w:lineRule="exact"/>
        <w:ind w:left="0" w:leftChars="0" w:right="0" w:rightChars="0" w:firstLine="420" w:firstLineChars="200"/>
        <w:jc w:val="left"/>
        <w:textAlignment w:val="auto"/>
        <w:outlineLvl w:val="9"/>
        <w:rPr>
          <w:rFonts w:hint="eastAsia" w:asciiTheme="minorEastAsia" w:hAnsiTheme="minorEastAsia" w:eastAsiaTheme="minorEastAsia" w:cstheme="minorEastAsia"/>
          <w:i w:val="0"/>
          <w:caps w:val="0"/>
          <w:color w:val="auto"/>
          <w:spacing w:val="0"/>
          <w:kern w:val="0"/>
          <w:sz w:val="21"/>
          <w:szCs w:val="21"/>
          <w:shd w:val="clear" w:fill="FFFFFF"/>
          <w:lang w:val="en-US" w:eastAsia="zh-CN" w:bidi="ar-SA"/>
        </w:rPr>
      </w:pP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2</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rPr>
        <w:t>法定代表人（自然人）参加磋商活动须出具法定代表人（自然人）证明书，授权代表参加磋商活动，须出具法定代表人授权委托书；</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lang w:val="en-US" w:eastAsia="zh-CN"/>
        </w:rPr>
        <w:t>（</w:t>
      </w:r>
      <w:r>
        <w:rPr>
          <w:rFonts w:hint="eastAsia" w:asciiTheme="minorEastAsia" w:hAnsiTheme="minorEastAsia" w:cstheme="minorEastAsia"/>
          <w:b w:val="0"/>
          <w:sz w:val="21"/>
          <w:szCs w:val="21"/>
          <w:lang w:val="en-US" w:eastAsia="zh-CN"/>
        </w:rPr>
        <w:t>3</w:t>
      </w:r>
      <w:r>
        <w:rPr>
          <w:rFonts w:hint="eastAsia" w:asciiTheme="minorEastAsia" w:hAnsiTheme="minorEastAsia" w:eastAsiaTheme="minorEastAsia" w:cstheme="minorEastAsia"/>
          <w:b w:val="0"/>
          <w:sz w:val="21"/>
          <w:szCs w:val="21"/>
          <w:lang w:val="en-US" w:eastAsia="zh-CN"/>
        </w:rPr>
        <w:t>）供应商应出具参加政府采购活动前3年内在经营活动中没有重大违法记录的书面声明</w:t>
      </w:r>
      <w:r>
        <w:rPr>
          <w:rFonts w:hint="eastAsia" w:asciiTheme="minorEastAsia" w:hAnsiTheme="minorEastAsia" w:eastAsiaTheme="minorEastAsia" w:cstheme="minorEastAsia"/>
          <w:b w:val="0"/>
          <w:sz w:val="21"/>
          <w:szCs w:val="21"/>
        </w:rPr>
        <w:t>；</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lang w:eastAsia="zh-CN"/>
        </w:rPr>
        <w:t>（</w:t>
      </w:r>
      <w:r>
        <w:rPr>
          <w:rFonts w:hint="eastAsia" w:asciiTheme="minorEastAsia" w:hAnsiTheme="minorEastAsia" w:cstheme="minorEastAsia"/>
          <w:b w:val="0"/>
          <w:sz w:val="21"/>
          <w:szCs w:val="21"/>
          <w:lang w:val="en-US" w:eastAsia="zh-CN"/>
        </w:rPr>
        <w:t>4</w:t>
      </w:r>
      <w:r>
        <w:rPr>
          <w:rFonts w:hint="eastAsia" w:asciiTheme="minorEastAsia" w:hAnsiTheme="minorEastAsia" w:eastAsiaTheme="minorEastAsia" w:cstheme="minorEastAsia"/>
          <w:b w:val="0"/>
          <w:sz w:val="21"/>
          <w:szCs w:val="21"/>
          <w:lang w:eastAsia="zh-CN"/>
        </w:rPr>
        <w:t>）</w:t>
      </w:r>
      <w:r>
        <w:rPr>
          <w:rFonts w:hint="eastAsia" w:asciiTheme="minorEastAsia" w:hAnsiTheme="minorEastAsia" w:eastAsiaTheme="minorEastAsia" w:cstheme="minorEastAsia"/>
          <w:b w:val="0"/>
          <w:sz w:val="21"/>
          <w:szCs w:val="21"/>
          <w:lang w:val="en-US" w:eastAsia="zh-CN"/>
        </w:rPr>
        <w:t>供应商在“中国执行信息公开网”未列入失信被执行人，不得为“信用中国”网站重大税收违法案件当事人名单的供应商，不得为中国政府采购网政府采购严重违法失信行为记录名单中被财政部门禁止参加政府采购活动的供应商（处罚期限届满的除外）；</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lang w:eastAsia="zh-CN"/>
        </w:rPr>
        <w:t>（</w:t>
      </w:r>
      <w:r>
        <w:rPr>
          <w:rFonts w:hint="eastAsia" w:asciiTheme="minorEastAsia" w:hAnsiTheme="minorEastAsia" w:cstheme="minorEastAsia"/>
          <w:b w:val="0"/>
          <w:sz w:val="21"/>
          <w:szCs w:val="21"/>
          <w:lang w:val="en-US" w:eastAsia="zh-CN"/>
        </w:rPr>
        <w:t>5</w:t>
      </w:r>
      <w:r>
        <w:rPr>
          <w:rFonts w:hint="eastAsia" w:asciiTheme="minorEastAsia" w:hAnsiTheme="minorEastAsia" w:eastAsiaTheme="minorEastAsia" w:cstheme="minorEastAsia"/>
          <w:b w:val="0"/>
          <w:sz w:val="21"/>
          <w:szCs w:val="21"/>
          <w:lang w:eastAsia="zh-CN"/>
        </w:rPr>
        <w:t>）缴纳保证金的银行转账或电汇凭证</w:t>
      </w:r>
      <w:r>
        <w:rPr>
          <w:rFonts w:hint="eastAsia" w:asciiTheme="minorEastAsia" w:hAnsiTheme="minorEastAsia" w:cstheme="minorEastAsia"/>
          <w:b w:val="0"/>
          <w:sz w:val="21"/>
          <w:szCs w:val="21"/>
          <w:lang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三、获取采购文件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时间：2023年05月</w:t>
      </w:r>
      <w:r>
        <w:rPr>
          <w:rFonts w:hint="eastAsia" w:asciiTheme="minorEastAsia" w:hAnsiTheme="minorEastAsia" w:cstheme="minorEastAsia"/>
          <w:b w:val="0"/>
          <w:color w:val="auto"/>
          <w:kern w:val="2"/>
          <w:sz w:val="21"/>
          <w:szCs w:val="21"/>
          <w:highlight w:val="none"/>
          <w:lang w:val="en-US" w:eastAsia="zh-CN" w:bidi="ar-SA"/>
        </w:rPr>
        <w:t>15</w:t>
      </w:r>
      <w:r>
        <w:rPr>
          <w:rFonts w:hint="eastAsia" w:asciiTheme="minorEastAsia" w:hAnsiTheme="minorEastAsia" w:eastAsiaTheme="minorEastAsia" w:cstheme="minorEastAsia"/>
          <w:b w:val="0"/>
          <w:color w:val="auto"/>
          <w:kern w:val="2"/>
          <w:sz w:val="21"/>
          <w:szCs w:val="21"/>
          <w:highlight w:val="none"/>
          <w:lang w:val="en-US" w:eastAsia="zh-CN" w:bidi="ar-SA"/>
        </w:rPr>
        <w:t>日至2023年05月</w:t>
      </w:r>
      <w:r>
        <w:rPr>
          <w:rFonts w:hint="eastAsia" w:asciiTheme="minorEastAsia" w:hAnsiTheme="minorEastAsia" w:cstheme="minorEastAsia"/>
          <w:b w:val="0"/>
          <w:color w:val="auto"/>
          <w:kern w:val="2"/>
          <w:sz w:val="21"/>
          <w:szCs w:val="21"/>
          <w:highlight w:val="none"/>
          <w:lang w:val="en-US" w:eastAsia="zh-CN" w:bidi="ar-SA"/>
        </w:rPr>
        <w:t>19</w:t>
      </w:r>
      <w:r>
        <w:rPr>
          <w:rFonts w:hint="eastAsia" w:asciiTheme="minorEastAsia" w:hAnsiTheme="minorEastAsia" w:eastAsiaTheme="minorEastAsia" w:cstheme="minorEastAsia"/>
          <w:b w:val="0"/>
          <w:color w:val="auto"/>
          <w:kern w:val="2"/>
          <w:sz w:val="21"/>
          <w:szCs w:val="21"/>
          <w:highlight w:val="none"/>
          <w:lang w:val="en-US" w:eastAsia="zh-CN" w:bidi="ar-SA"/>
        </w:rPr>
        <w:t>日 ，每天上午08:00:00至12:00:00，下午14:00:00至18:00:00（北京时间）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途径：全国公共资源交易平台（陕西省.延安市）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方式：在线获取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both"/>
        <w:textAlignment w:val="auto"/>
        <w:outlineLvl w:val="9"/>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售价：</w:t>
      </w:r>
      <w:r>
        <w:rPr>
          <w:rFonts w:hint="eastAsia" w:asciiTheme="minorEastAsia" w:hAnsiTheme="minorEastAsia" w:cstheme="minorEastAsia"/>
          <w:b w:val="0"/>
          <w:color w:val="auto"/>
          <w:kern w:val="2"/>
          <w:sz w:val="21"/>
          <w:szCs w:val="21"/>
          <w:highlight w:val="none"/>
          <w:lang w:val="en-US" w:eastAsia="zh-CN" w:bidi="ar-SA"/>
        </w:rPr>
        <w:t>0元</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四、响应文件提交</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截止时间：2023年05月</w:t>
      </w:r>
      <w:r>
        <w:rPr>
          <w:rFonts w:hint="eastAsia" w:asciiTheme="minorEastAsia" w:hAnsiTheme="minorEastAsia" w:cstheme="minorEastAsia"/>
          <w:color w:val="auto"/>
          <w:kern w:val="0"/>
          <w:sz w:val="21"/>
          <w:szCs w:val="21"/>
          <w:highlight w:val="none"/>
          <w:lang w:val="en-US" w:eastAsia="zh-CN"/>
        </w:rPr>
        <w:t>25</w:t>
      </w:r>
      <w:r>
        <w:rPr>
          <w:rFonts w:hint="eastAsia" w:asciiTheme="minorEastAsia" w:hAnsiTheme="minorEastAsia" w:eastAsiaTheme="minorEastAsia" w:cstheme="minorEastAsia"/>
          <w:color w:val="auto"/>
          <w:kern w:val="0"/>
          <w:sz w:val="21"/>
          <w:szCs w:val="21"/>
          <w:highlight w:val="none"/>
          <w:lang w:val="en-US" w:eastAsia="zh-CN"/>
        </w:rPr>
        <w:t xml:space="preserve">日 </w:t>
      </w:r>
      <w:r>
        <w:rPr>
          <w:rFonts w:hint="eastAsia" w:asciiTheme="minorEastAsia" w:hAnsiTheme="minorEastAsia" w:cstheme="minorEastAsia"/>
          <w:color w:val="auto"/>
          <w:kern w:val="0"/>
          <w:sz w:val="21"/>
          <w:szCs w:val="21"/>
          <w:highlight w:val="none"/>
          <w:lang w:val="en-US" w:eastAsia="zh-CN"/>
        </w:rPr>
        <w:t>14</w:t>
      </w:r>
      <w:r>
        <w:rPr>
          <w:rFonts w:hint="eastAsia" w:asciiTheme="minorEastAsia" w:hAnsiTheme="minorEastAsia" w:eastAsiaTheme="minorEastAsia" w:cstheme="minorEastAsia"/>
          <w:color w:val="auto"/>
          <w:kern w:val="0"/>
          <w:sz w:val="21"/>
          <w:szCs w:val="21"/>
          <w:highlight w:val="none"/>
          <w:lang w:val="en-US" w:eastAsia="zh-CN"/>
        </w:rPr>
        <w:t>时</w:t>
      </w:r>
      <w:r>
        <w:rPr>
          <w:rFonts w:hint="eastAsia" w:asciiTheme="minorEastAsia" w:hAnsiTheme="minorEastAsia" w:cstheme="minorEastAsia"/>
          <w:color w:val="auto"/>
          <w:kern w:val="0"/>
          <w:sz w:val="21"/>
          <w:szCs w:val="21"/>
          <w:highlight w:val="none"/>
          <w:lang w:val="en-US" w:eastAsia="zh-CN"/>
        </w:rPr>
        <w:t>30</w:t>
      </w:r>
      <w:r>
        <w:rPr>
          <w:rFonts w:hint="eastAsia" w:asciiTheme="minorEastAsia" w:hAnsiTheme="minorEastAsia" w:eastAsiaTheme="minorEastAsia" w:cstheme="minorEastAsia"/>
          <w:color w:val="auto"/>
          <w:kern w:val="0"/>
          <w:sz w:val="21"/>
          <w:szCs w:val="21"/>
          <w:highlight w:val="none"/>
          <w:lang w:val="en-US" w:eastAsia="zh-CN"/>
        </w:rPr>
        <w:t>分00秒（北京时间）</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地点：延安市公共资源交易中心交易二厅</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五、开启</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时间：2023年05月</w:t>
      </w:r>
      <w:r>
        <w:rPr>
          <w:rFonts w:hint="eastAsia" w:asciiTheme="minorEastAsia" w:hAnsiTheme="minorEastAsia" w:cstheme="minorEastAsia"/>
          <w:color w:val="auto"/>
          <w:kern w:val="0"/>
          <w:sz w:val="21"/>
          <w:szCs w:val="21"/>
          <w:highlight w:val="none"/>
          <w:lang w:val="en-US" w:eastAsia="zh-CN"/>
        </w:rPr>
        <w:t>25</w:t>
      </w:r>
      <w:r>
        <w:rPr>
          <w:rFonts w:hint="eastAsia" w:asciiTheme="minorEastAsia" w:hAnsiTheme="minorEastAsia" w:eastAsiaTheme="minorEastAsia" w:cstheme="minorEastAsia"/>
          <w:color w:val="auto"/>
          <w:kern w:val="0"/>
          <w:sz w:val="21"/>
          <w:szCs w:val="21"/>
          <w:highlight w:val="none"/>
          <w:lang w:val="en-US" w:eastAsia="zh-CN"/>
        </w:rPr>
        <w:t xml:space="preserve">日 </w:t>
      </w:r>
      <w:r>
        <w:rPr>
          <w:rFonts w:hint="eastAsia" w:asciiTheme="minorEastAsia" w:hAnsiTheme="minorEastAsia" w:cstheme="minorEastAsia"/>
          <w:color w:val="auto"/>
          <w:kern w:val="0"/>
          <w:sz w:val="21"/>
          <w:szCs w:val="21"/>
          <w:highlight w:val="none"/>
          <w:lang w:val="en-US" w:eastAsia="zh-CN"/>
        </w:rPr>
        <w:t>14</w:t>
      </w:r>
      <w:r>
        <w:rPr>
          <w:rFonts w:hint="eastAsia" w:asciiTheme="minorEastAsia" w:hAnsiTheme="minorEastAsia" w:eastAsiaTheme="minorEastAsia" w:cstheme="minorEastAsia"/>
          <w:color w:val="auto"/>
          <w:kern w:val="0"/>
          <w:sz w:val="21"/>
          <w:szCs w:val="21"/>
          <w:highlight w:val="none"/>
          <w:lang w:val="en-US" w:eastAsia="zh-CN"/>
        </w:rPr>
        <w:t>时</w:t>
      </w:r>
      <w:r>
        <w:rPr>
          <w:rFonts w:hint="eastAsia" w:asciiTheme="minorEastAsia" w:hAnsiTheme="minorEastAsia" w:cstheme="minorEastAsia"/>
          <w:color w:val="auto"/>
          <w:kern w:val="0"/>
          <w:sz w:val="21"/>
          <w:szCs w:val="21"/>
          <w:highlight w:val="none"/>
          <w:lang w:val="en-US" w:eastAsia="zh-CN"/>
        </w:rPr>
        <w:t>30</w:t>
      </w:r>
      <w:r>
        <w:rPr>
          <w:rFonts w:hint="eastAsia" w:asciiTheme="minorEastAsia" w:hAnsiTheme="minorEastAsia" w:eastAsiaTheme="minorEastAsia" w:cstheme="minorEastAsia"/>
          <w:color w:val="auto"/>
          <w:kern w:val="0"/>
          <w:sz w:val="21"/>
          <w:szCs w:val="21"/>
          <w:highlight w:val="none"/>
          <w:lang w:val="en-US" w:eastAsia="zh-CN"/>
        </w:rPr>
        <w:t>分00秒（北京时间）</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地点：延安市公共资源交易中心交易二厅</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b w:val="0"/>
          <w:bCs w:val="0"/>
          <w:kern w:val="0"/>
          <w:sz w:val="21"/>
          <w:szCs w:val="21"/>
          <w:highlight w:val="none"/>
          <w:lang w:eastAsia="zh-CN"/>
        </w:rPr>
      </w:pPr>
      <w:r>
        <w:rPr>
          <w:rFonts w:hint="eastAsia" w:asciiTheme="minorEastAsia" w:hAnsiTheme="minorEastAsia" w:eastAsiaTheme="minorEastAsia" w:cstheme="minorEastAsia"/>
          <w:b w:val="0"/>
          <w:bCs w:val="0"/>
          <w:kern w:val="0"/>
          <w:sz w:val="21"/>
          <w:szCs w:val="21"/>
          <w:highlight w:val="none"/>
          <w:lang w:eastAsia="zh-CN"/>
        </w:rPr>
        <w:t>六、公告期限</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自本公告发布之日起3个工作日。</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b w:val="0"/>
          <w:bCs w:val="0"/>
          <w:kern w:val="0"/>
          <w:sz w:val="21"/>
          <w:szCs w:val="21"/>
          <w:highlight w:val="none"/>
          <w:lang w:eastAsia="zh-CN"/>
        </w:rPr>
      </w:pPr>
      <w:r>
        <w:rPr>
          <w:rFonts w:hint="eastAsia" w:asciiTheme="minorEastAsia" w:hAnsiTheme="minorEastAsia" w:eastAsiaTheme="minorEastAsia" w:cstheme="minorEastAsia"/>
          <w:b w:val="0"/>
          <w:bCs w:val="0"/>
          <w:kern w:val="0"/>
          <w:sz w:val="21"/>
          <w:szCs w:val="21"/>
          <w:highlight w:val="none"/>
          <w:lang w:eastAsia="zh-CN"/>
        </w:rPr>
        <w:t>七、其他补充事宜</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1.凡有意参与的供应商在全国公共资源交易平台（陕西省.延安市），选择电子交易平台-政府采购交易系统-企业端，使用CA锁登录后获取竞争性磋商文件。</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2.响应文件递交方式：纸质版与加密电子版并行</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（1）纸质版响应文件递交时间与地点：见本公告第四项</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（2）加密电子版响应文件可于提交响应文件截止时间前任意时段进行上传，逾期系统将拒绝接收（供应商需携带CA锁在开标现场解密）。</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3.请供应商按照陕西省财政厅关于政府采购供应商注册登记有关事项的通知中的要求，通过陕西省政府采购网注册登记加入陕西省政府采购供应商库。</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4.CA锁办理及信息绑定：办理在延安市新区为民服务中心7号楼2楼B205室，CA锁企业信息绑定在1号服务窗口（7号楼2楼大厅）。</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b w:val="0"/>
          <w:bCs w:val="0"/>
          <w:kern w:val="0"/>
          <w:sz w:val="21"/>
          <w:szCs w:val="21"/>
          <w:highlight w:val="none"/>
          <w:lang w:eastAsia="zh-CN"/>
        </w:rPr>
      </w:pPr>
      <w:r>
        <w:rPr>
          <w:rFonts w:hint="eastAsia" w:asciiTheme="minorEastAsia" w:hAnsiTheme="minorEastAsia" w:eastAsiaTheme="minorEastAsia" w:cstheme="minorEastAsia"/>
          <w:b w:val="0"/>
          <w:bCs w:val="0"/>
          <w:kern w:val="0"/>
          <w:sz w:val="21"/>
          <w:szCs w:val="21"/>
          <w:highlight w:val="none"/>
          <w:lang w:eastAsia="zh-CN"/>
        </w:rPr>
        <w:t>八、对本次招标提出询问，请按以下方式联系。</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1.采购人信息</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名称：延安市黄龙山国有林管理局</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地址：黄龙县中心街94号</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联系方式：0911</w:t>
      </w:r>
      <w:r>
        <w:rPr>
          <w:rFonts w:hint="eastAsia" w:asciiTheme="minorEastAsia" w:hAnsiTheme="minorEastAsia" w:cstheme="minorEastAsia"/>
          <w:kern w:val="0"/>
          <w:sz w:val="21"/>
          <w:szCs w:val="21"/>
          <w:highlight w:val="none"/>
          <w:lang w:val="en-US" w:eastAsia="zh-CN"/>
        </w:rPr>
        <w:t>-</w:t>
      </w:r>
      <w:r>
        <w:rPr>
          <w:rFonts w:hint="eastAsia" w:asciiTheme="minorEastAsia" w:hAnsiTheme="minorEastAsia" w:eastAsiaTheme="minorEastAsia" w:cstheme="minorEastAsia"/>
          <w:kern w:val="0"/>
          <w:sz w:val="21"/>
          <w:szCs w:val="21"/>
          <w:highlight w:val="none"/>
          <w:lang w:eastAsia="zh-CN"/>
        </w:rPr>
        <w:t>5622106</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2.采购代理机构信息</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名称：陕西轩鼎项目管理有限公司</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地址：延安市新区上城叁号三号楼一单元302室</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联系方式：0911-8899885</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3.项目联系方式</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项目联系人：杨工</w:t>
      </w:r>
    </w:p>
    <w:p>
      <w:pPr>
        <w:keepNext w:val="0"/>
        <w:keepLines w:val="0"/>
        <w:pageBreakBefore w:val="0"/>
        <w:widowControl w:val="0"/>
        <w:kinsoku/>
        <w:overflowPunct/>
        <w:topLinePunct w:val="0"/>
        <w:bidi w:val="0"/>
        <w:adjustRightInd/>
        <w:snapToGrid/>
        <w:spacing w:line="420" w:lineRule="exact"/>
        <w:ind w:left="0" w:leftChars="0" w:right="0" w:rightChars="0" w:firstLine="420" w:firstLineChars="200"/>
        <w:textAlignment w:val="auto"/>
        <w:outlineLvl w:val="9"/>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电话：0911-8899885</w:t>
      </w:r>
    </w:p>
    <w:p>
      <w:pPr>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eastAsiaTheme="minorEastAsia"/>
          <w:b/>
          <w:color w:val="auto"/>
          <w:sz w:val="32"/>
          <w:szCs w:val="32"/>
          <w:highlight w:val="none"/>
          <w:lang w:val="en-US" w:eastAsia="zh-CN"/>
        </w:rPr>
      </w:pPr>
      <w:bookmarkStart w:id="6" w:name="_Toc28380"/>
      <w:bookmarkStart w:id="7" w:name="_Toc75259335"/>
      <w:r>
        <w:rPr>
          <w:b/>
          <w:color w:val="auto"/>
          <w:sz w:val="32"/>
          <w:szCs w:val="32"/>
          <w:highlight w:val="none"/>
        </w:rPr>
        <w:t>第</w:t>
      </w:r>
      <w:r>
        <w:rPr>
          <w:rFonts w:hint="eastAsia"/>
          <w:b/>
          <w:color w:val="auto"/>
          <w:sz w:val="32"/>
          <w:szCs w:val="32"/>
          <w:highlight w:val="none"/>
          <w:lang w:val="en-US" w:eastAsia="zh-CN"/>
        </w:rPr>
        <w:t>二</w:t>
      </w:r>
      <w:r>
        <w:rPr>
          <w:b/>
          <w:color w:val="auto"/>
          <w:sz w:val="32"/>
          <w:szCs w:val="32"/>
          <w:highlight w:val="none"/>
        </w:rPr>
        <w:t>部分</w:t>
      </w:r>
      <w:r>
        <w:rPr>
          <w:rFonts w:hint="eastAsia"/>
          <w:b/>
          <w:color w:val="auto"/>
          <w:sz w:val="32"/>
          <w:szCs w:val="32"/>
          <w:highlight w:val="none"/>
          <w:lang w:val="en-US" w:eastAsia="zh-CN"/>
        </w:rPr>
        <w:t xml:space="preserve"> </w:t>
      </w:r>
      <w:r>
        <w:rPr>
          <w:rFonts w:hint="eastAsia"/>
          <w:b/>
          <w:color w:val="auto"/>
          <w:sz w:val="32"/>
          <w:szCs w:val="32"/>
          <w:highlight w:val="none"/>
        </w:rPr>
        <w:t>磋商</w:t>
      </w:r>
      <w:r>
        <w:rPr>
          <w:b/>
          <w:color w:val="auto"/>
          <w:sz w:val="32"/>
          <w:szCs w:val="32"/>
          <w:highlight w:val="none"/>
        </w:rPr>
        <w:t>须知</w:t>
      </w:r>
      <w:r>
        <w:rPr>
          <w:rFonts w:hint="eastAsia"/>
          <w:b/>
          <w:color w:val="auto"/>
          <w:sz w:val="32"/>
          <w:szCs w:val="32"/>
          <w:highlight w:val="none"/>
          <w:lang w:val="en-US" w:eastAsia="zh-CN"/>
        </w:rPr>
        <w:t>前附表</w:t>
      </w:r>
      <w:bookmarkEnd w:id="6"/>
    </w:p>
    <w:tbl>
      <w:tblPr>
        <w:tblStyle w:val="20"/>
        <w:tblW w:w="9107" w:type="dxa"/>
        <w:jc w:val="center"/>
        <w:tblInd w:w="0" w:type="dxa"/>
        <w:tblLayout w:type="fixed"/>
        <w:tblCellMar>
          <w:top w:w="0" w:type="dxa"/>
          <w:left w:w="28" w:type="dxa"/>
          <w:bottom w:w="0" w:type="dxa"/>
          <w:right w:w="28" w:type="dxa"/>
        </w:tblCellMar>
      </w:tblPr>
      <w:tblGrid>
        <w:gridCol w:w="809"/>
        <w:gridCol w:w="1527"/>
        <w:gridCol w:w="6771"/>
      </w:tblGrid>
      <w:tr>
        <w:tblPrEx>
          <w:tblLayout w:type="fixed"/>
          <w:tblCellMar>
            <w:top w:w="0" w:type="dxa"/>
            <w:left w:w="28" w:type="dxa"/>
            <w:bottom w:w="0" w:type="dxa"/>
            <w:right w:w="28" w:type="dxa"/>
          </w:tblCellMar>
        </w:tblPrEx>
        <w:trPr>
          <w:trHeight w:val="794"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52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 列 内 容</w:t>
            </w:r>
          </w:p>
        </w:tc>
      </w:tr>
      <w:tr>
        <w:tblPrEx>
          <w:tblLayout w:type="fixed"/>
          <w:tblCellMar>
            <w:top w:w="0" w:type="dxa"/>
            <w:left w:w="28" w:type="dxa"/>
            <w:bottom w:w="0" w:type="dxa"/>
            <w:right w:w="28" w:type="dxa"/>
          </w:tblCellMar>
        </w:tblPrEx>
        <w:trPr>
          <w:trHeight w:val="101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77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延安市黄龙山国有林管理局2023年国家重点野生动植物保护项目</w:t>
            </w:r>
          </w:p>
        </w:tc>
      </w:tr>
      <w:tr>
        <w:tblPrEx>
          <w:tblLayout w:type="fixed"/>
          <w:tblCellMar>
            <w:top w:w="0" w:type="dxa"/>
            <w:left w:w="28" w:type="dxa"/>
            <w:bottom w:w="0" w:type="dxa"/>
            <w:right w:w="28" w:type="dxa"/>
          </w:tblCellMar>
        </w:tblPrEx>
        <w:trPr>
          <w:trHeight w:val="196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77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lang w:eastAsia="zh-CN"/>
              </w:rPr>
              <w:t xml:space="preserve">延安市黄龙山国有林管理局 </w:t>
            </w:r>
          </w:p>
          <w:p>
            <w:pPr>
              <w:spacing w:line="360" w:lineRule="auto"/>
              <w:jc w:val="left"/>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kern w:val="0"/>
                <w:sz w:val="21"/>
                <w:szCs w:val="21"/>
                <w:highlight w:val="none"/>
                <w:lang w:val="zh-CN" w:eastAsia="zh-CN"/>
              </w:rPr>
              <w:t>黄龙县中心街94号</w:t>
            </w:r>
          </w:p>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联系人：</w:t>
            </w:r>
            <w:r>
              <w:rPr>
                <w:rFonts w:hint="eastAsia" w:ascii="宋体" w:hAnsi="宋体" w:eastAsia="宋体" w:cs="宋体"/>
                <w:color w:val="auto"/>
                <w:sz w:val="21"/>
                <w:szCs w:val="21"/>
                <w:highlight w:val="none"/>
                <w:lang w:val="zh-CN" w:eastAsia="zh-CN"/>
              </w:rPr>
              <w:t>刘女士</w:t>
            </w:r>
          </w:p>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电</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话：</w:t>
            </w:r>
            <w:r>
              <w:rPr>
                <w:rFonts w:hint="eastAsia" w:ascii="宋体" w:hAnsi="宋体" w:eastAsia="宋体" w:cs="宋体"/>
                <w:color w:val="auto"/>
                <w:sz w:val="21"/>
                <w:szCs w:val="21"/>
                <w:highlight w:val="none"/>
                <w:lang w:val="en-US" w:eastAsia="zh-CN"/>
              </w:rPr>
              <w:t>0911-5622106</w:t>
            </w:r>
          </w:p>
        </w:tc>
      </w:tr>
      <w:tr>
        <w:tblPrEx>
          <w:tblLayout w:type="fixed"/>
          <w:tblCellMar>
            <w:top w:w="0" w:type="dxa"/>
            <w:left w:w="28" w:type="dxa"/>
            <w:bottom w:w="0" w:type="dxa"/>
            <w:right w:w="28" w:type="dxa"/>
          </w:tblCellMar>
        </w:tblPrEx>
        <w:trPr>
          <w:trHeight w:val="2016"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机构</w:t>
            </w:r>
          </w:p>
        </w:tc>
        <w:tc>
          <w:tcPr>
            <w:tcW w:w="677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采购代理机构：陕西轩鼎项目管理有限公司</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址：延安市新区上城叁号三号楼一单元302室</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杨</w:t>
            </w:r>
            <w:r>
              <w:rPr>
                <w:rFonts w:hint="eastAsia" w:ascii="宋体" w:hAnsi="宋体" w:eastAsia="宋体" w:cs="宋体"/>
                <w:color w:val="auto"/>
                <w:sz w:val="21"/>
                <w:szCs w:val="21"/>
                <w:highlight w:val="none"/>
              </w:rPr>
              <w:t>工</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lang w:val="zh-CN"/>
              </w:rPr>
              <w:t>0911-8899885</w:t>
            </w:r>
          </w:p>
        </w:tc>
      </w:tr>
      <w:tr>
        <w:tblPrEx>
          <w:tblLayout w:type="fixed"/>
          <w:tblCellMar>
            <w:top w:w="0" w:type="dxa"/>
            <w:left w:w="28" w:type="dxa"/>
            <w:bottom w:w="0" w:type="dxa"/>
            <w:right w:w="28" w:type="dxa"/>
          </w:tblCellMar>
        </w:tblPrEx>
        <w:trPr>
          <w:trHeight w:val="133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采购标的对应所属行业</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bidi w:val="0"/>
              <w:adjustRightInd/>
              <w:spacing w:line="360" w:lineRule="auto"/>
              <w:ind w:right="0" w:rightChars="0"/>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农、林、牧、渔业</w:t>
            </w:r>
          </w:p>
        </w:tc>
      </w:tr>
      <w:tr>
        <w:tblPrEx>
          <w:tblLayout w:type="fixed"/>
          <w:tblCellMar>
            <w:top w:w="0" w:type="dxa"/>
            <w:left w:w="28" w:type="dxa"/>
            <w:bottom w:w="0" w:type="dxa"/>
            <w:right w:w="28" w:type="dxa"/>
          </w:tblCellMar>
        </w:tblPrEx>
        <w:trPr>
          <w:trHeight w:val="1213"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落实政府采购</w:t>
            </w:r>
          </w:p>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政策</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面向中小企业采购</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4"/>
                <w:sz w:val="31"/>
                <w:szCs w:val="21"/>
                <w:highlight w:val="none"/>
                <w:lang w:eastAsia="zh-CN"/>
              </w:rPr>
              <w:instrText xml:space="preserve">,</w:instrText>
            </w:r>
            <w:r>
              <w:rPr>
                <w:rFonts w:hint="eastAsia" w:ascii="宋体" w:hAnsi="宋体" w:eastAsia="宋体" w:cs="宋体"/>
                <w:color w:val="auto"/>
                <w:position w:val="0"/>
                <w:sz w:val="21"/>
                <w:szCs w:val="21"/>
                <w:highlight w:val="none"/>
                <w:lang w:eastAsia="zh-CN"/>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面向小微企业采购</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不面向</w:t>
            </w:r>
          </w:p>
        </w:tc>
      </w:tr>
      <w:tr>
        <w:tblPrEx>
          <w:tblLayout w:type="fixed"/>
          <w:tblCellMar>
            <w:top w:w="0" w:type="dxa"/>
            <w:left w:w="28" w:type="dxa"/>
            <w:bottom w:w="0" w:type="dxa"/>
            <w:right w:w="28" w:type="dxa"/>
          </w:tblCellMar>
        </w:tblPrEx>
        <w:trPr>
          <w:trHeight w:val="1213"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勘踏现场</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      否</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4"/>
                <w:sz w:val="31"/>
                <w:szCs w:val="21"/>
                <w:highlight w:val="none"/>
                <w:lang w:eastAsia="zh-CN"/>
              </w:rPr>
              <w:instrText xml:space="preserve">,</w:instrText>
            </w:r>
            <w:r>
              <w:rPr>
                <w:rFonts w:hint="eastAsia" w:ascii="宋体" w:hAnsi="宋体" w:eastAsia="宋体" w:cs="宋体"/>
                <w:color w:val="auto"/>
                <w:position w:val="0"/>
                <w:sz w:val="21"/>
                <w:szCs w:val="21"/>
                <w:highlight w:val="none"/>
                <w:lang w:eastAsia="zh-CN"/>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p>
        </w:tc>
      </w:tr>
      <w:tr>
        <w:tblPrEx>
          <w:tblLayout w:type="fixed"/>
          <w:tblCellMar>
            <w:top w:w="0" w:type="dxa"/>
            <w:left w:w="28" w:type="dxa"/>
            <w:bottom w:w="0" w:type="dxa"/>
            <w:right w:w="28" w:type="dxa"/>
          </w:tblCellMar>
        </w:tblPrEx>
        <w:trPr>
          <w:trHeight w:val="1213"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进口产品</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      否</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p>
        </w:tc>
      </w:tr>
      <w:tr>
        <w:tblPrEx>
          <w:tblLayout w:type="fixed"/>
          <w:tblCellMar>
            <w:top w:w="0" w:type="dxa"/>
            <w:left w:w="28" w:type="dxa"/>
            <w:bottom w:w="0" w:type="dxa"/>
            <w:right w:w="28" w:type="dxa"/>
          </w:tblCellMar>
        </w:tblPrEx>
        <w:trPr>
          <w:trHeight w:val="1213"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样品</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      否</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p>
        </w:tc>
      </w:tr>
      <w:tr>
        <w:tblPrEx>
          <w:tblLayout w:type="fixed"/>
          <w:tblCellMar>
            <w:top w:w="0" w:type="dxa"/>
            <w:left w:w="28" w:type="dxa"/>
            <w:bottom w:w="0" w:type="dxa"/>
            <w:right w:w="28" w:type="dxa"/>
          </w:tblCellMar>
        </w:tblPrEx>
        <w:trPr>
          <w:trHeight w:val="1262"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备选方案</w:t>
            </w:r>
          </w:p>
        </w:tc>
        <w:tc>
          <w:tcPr>
            <w:tcW w:w="677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不允许提供</w:t>
            </w:r>
          </w:p>
        </w:tc>
      </w:tr>
      <w:tr>
        <w:tblPrEx>
          <w:tblLayout w:type="fixed"/>
          <w:tblCellMar>
            <w:top w:w="0" w:type="dxa"/>
            <w:left w:w="28" w:type="dxa"/>
            <w:bottom w:w="0" w:type="dxa"/>
            <w:right w:w="28" w:type="dxa"/>
          </w:tblCellMar>
        </w:tblPrEx>
        <w:trPr>
          <w:trHeight w:val="104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供应商特定资格要求</w:t>
            </w:r>
          </w:p>
        </w:tc>
        <w:tc>
          <w:tcPr>
            <w:tcW w:w="6771" w:type="dxa"/>
            <w:tcBorders>
              <w:top w:val="single" w:color="auto" w:sz="4" w:space="0"/>
              <w:left w:val="nil"/>
              <w:bottom w:val="single" w:color="auto" w:sz="4" w:space="0"/>
              <w:right w:val="single" w:color="auto" w:sz="4" w:space="0"/>
            </w:tcBorders>
            <w:vAlign w:val="center"/>
          </w:tcPr>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具有独立承担民事责任能力的法人、其他组织或自然人，并出具合法有效的营业执照或事业单位法人证书等国家规定的相关证明，自然人参与的提供其身份证明；</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法定代表人直接参加磋商活动须出具身份证，非法定代表人参加磋商活动，须出具法定代表人授权书及被授权人身份证；</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（3）供应商应出具参加政府采购活动前3年内在经营活动中没有重大违法记录的书面声明；</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color w:val="auto"/>
                <w:kern w:val="0"/>
                <w:highlight w:val="none"/>
                <w:lang w:val="en-US" w:eastAsia="zh-CN"/>
              </w:rPr>
            </w:pPr>
            <w:r>
              <w:rPr>
                <w:rFonts w:hint="eastAsia" w:ascii="宋体" w:hAnsi="宋体" w:eastAsia="宋体" w:cs="宋体"/>
                <w:b w:val="0"/>
                <w:color w:val="auto"/>
                <w:sz w:val="21"/>
                <w:szCs w:val="21"/>
                <w:highlight w:val="none"/>
              </w:rPr>
              <w:t>（5）缴纳保证金的银行转账或电汇凭证。</w:t>
            </w:r>
          </w:p>
        </w:tc>
      </w:tr>
      <w:tr>
        <w:tblPrEx>
          <w:tblLayout w:type="fixed"/>
          <w:tblCellMar>
            <w:top w:w="0" w:type="dxa"/>
            <w:left w:w="28" w:type="dxa"/>
            <w:bottom w:w="0" w:type="dxa"/>
            <w:right w:w="28"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磋商保证金</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rPr>
              <w:t>磋商保证金金额：</w:t>
            </w:r>
            <w:r>
              <w:rPr>
                <w:rFonts w:hint="eastAsia" w:ascii="宋体" w:hAnsi="宋体" w:eastAsia="宋体" w:cs="宋体"/>
                <w:b/>
                <w:color w:val="auto"/>
                <w:highlight w:val="none"/>
              </w:rPr>
              <w:t>人民币</w:t>
            </w:r>
            <w:r>
              <w:rPr>
                <w:rFonts w:hint="eastAsia" w:ascii="宋体" w:hAnsi="宋体" w:eastAsia="宋体" w:cs="宋体"/>
                <w:b/>
                <w:color w:val="auto"/>
                <w:highlight w:val="none"/>
                <w:lang w:val="en-US" w:eastAsia="zh-CN"/>
              </w:rPr>
              <w:t>陆仟元</w:t>
            </w:r>
            <w:r>
              <w:rPr>
                <w:rFonts w:hint="eastAsia" w:ascii="宋体" w:hAnsi="宋体" w:eastAsia="宋体" w:cs="宋体"/>
                <w:b/>
                <w:color w:val="auto"/>
                <w:highlight w:val="none"/>
              </w:rPr>
              <w:t>整</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lang w:val="en-US" w:eastAsia="zh-CN"/>
              </w:rPr>
              <w:t>6000.00元</w:t>
            </w:r>
            <w:r>
              <w:rPr>
                <w:rFonts w:hint="eastAsia" w:ascii="宋体" w:hAnsi="宋体" w:eastAsia="宋体" w:cs="宋体"/>
                <w:b/>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磋商保证金缴纳账户信息：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收款单位：</w:t>
            </w:r>
            <w:r>
              <w:rPr>
                <w:rFonts w:hint="eastAsia" w:ascii="宋体" w:hAnsi="宋体" w:eastAsia="宋体" w:cs="宋体"/>
                <w:b/>
                <w:color w:val="auto"/>
                <w:kern w:val="0"/>
                <w:highlight w:val="none"/>
                <w:lang w:val="en-US" w:eastAsia="zh-CN"/>
              </w:rPr>
              <w:t>陕西轩鼎项目管理有限公司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开户银行：</w:t>
            </w:r>
            <w:r>
              <w:rPr>
                <w:rFonts w:hint="eastAsia" w:ascii="宋体" w:hAnsi="宋体" w:eastAsia="宋体" w:cs="宋体"/>
                <w:b/>
                <w:color w:val="auto"/>
                <w:kern w:val="0"/>
                <w:highlight w:val="none"/>
              </w:rPr>
              <w:t>中国建设银行股份有限公司延安分行营业室</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账    号：</w:t>
            </w:r>
            <w:r>
              <w:rPr>
                <w:rFonts w:hint="eastAsia" w:ascii="宋体" w:hAnsi="宋体" w:eastAsia="宋体" w:cs="宋体"/>
                <w:b/>
                <w:color w:val="auto"/>
                <w:kern w:val="0"/>
                <w:highlight w:val="none"/>
              </w:rPr>
              <w:t>61050168003109009966</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cs="宋体" w:eastAsiaTheme="minorEastAsia"/>
                <w:color w:val="auto"/>
                <w:sz w:val="21"/>
                <w:szCs w:val="21"/>
                <w:highlight w:val="none"/>
                <w:lang w:val="en-US" w:eastAsia="zh-CN"/>
              </w:rPr>
            </w:pPr>
            <w:r>
              <w:rPr>
                <w:rFonts w:hint="eastAsia" w:ascii="宋体" w:hAnsi="宋体"/>
                <w:color w:val="auto"/>
                <w:kern w:val="0"/>
                <w:highlight w:val="none"/>
                <w:lang w:val="en-US" w:eastAsia="zh-CN"/>
              </w:rPr>
              <w:t>注：若</w:t>
            </w:r>
            <w:r>
              <w:rPr>
                <w:rFonts w:hint="eastAsia" w:ascii="宋体" w:hAnsi="宋体"/>
                <w:color w:val="auto"/>
                <w:kern w:val="0"/>
                <w:highlight w:val="none"/>
              </w:rPr>
              <w:t>磋商保证金从供应商</w:t>
            </w:r>
            <w:r>
              <w:rPr>
                <w:rFonts w:hint="eastAsia" w:ascii="宋体" w:hAnsi="宋体"/>
                <w:b w:val="0"/>
                <w:bCs/>
                <w:color w:val="auto"/>
                <w:kern w:val="0"/>
                <w:highlight w:val="none"/>
              </w:rPr>
              <w:t>基本账户</w:t>
            </w:r>
            <w:r>
              <w:rPr>
                <w:rFonts w:hint="eastAsia" w:ascii="宋体" w:hAnsi="宋体"/>
                <w:color w:val="auto"/>
                <w:kern w:val="0"/>
                <w:highlight w:val="none"/>
              </w:rPr>
              <w:t>转出</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应注明“项目编号”</w:t>
            </w:r>
          </w:p>
        </w:tc>
      </w:tr>
      <w:tr>
        <w:tblPrEx>
          <w:tblLayout w:type="fixed"/>
          <w:tblCellMar>
            <w:top w:w="0" w:type="dxa"/>
            <w:left w:w="28" w:type="dxa"/>
            <w:bottom w:w="0" w:type="dxa"/>
            <w:right w:w="28" w:type="dxa"/>
          </w:tblCellMar>
        </w:tblPrEx>
        <w:trPr>
          <w:trHeight w:val="898"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52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之日起，有效期为90日历天。</w:t>
            </w:r>
          </w:p>
        </w:tc>
      </w:tr>
      <w:tr>
        <w:tblPrEx>
          <w:tblLayout w:type="fixed"/>
          <w:tblCellMar>
            <w:top w:w="0" w:type="dxa"/>
            <w:left w:w="28" w:type="dxa"/>
            <w:bottom w:w="0" w:type="dxa"/>
            <w:right w:w="28" w:type="dxa"/>
          </w:tblCellMar>
        </w:tblPrEx>
        <w:trPr>
          <w:trHeight w:val="175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响应文件</w:t>
            </w:r>
            <w:r>
              <w:rPr>
                <w:rFonts w:hint="eastAsia" w:ascii="宋体" w:hAnsi="宋体" w:eastAsia="宋体" w:cs="宋体"/>
                <w:color w:val="auto"/>
                <w:sz w:val="21"/>
                <w:szCs w:val="21"/>
                <w:highlight w:val="none"/>
                <w:lang w:val="en-US" w:eastAsia="zh-CN"/>
              </w:rPr>
              <w:t>数量</w:t>
            </w:r>
          </w:p>
        </w:tc>
        <w:tc>
          <w:tcPr>
            <w:tcW w:w="6771" w:type="dxa"/>
            <w:tcBorders>
              <w:top w:val="single" w:color="auto" w:sz="4" w:space="0"/>
              <w:left w:val="nil"/>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纸质版：</w:t>
            </w:r>
            <w:r>
              <w:rPr>
                <w:rFonts w:hint="eastAsia" w:ascii="宋体" w:hAnsi="宋体" w:eastAsia="宋体" w:cs="宋体"/>
                <w:b w:val="0"/>
                <w:color w:val="auto"/>
                <w:sz w:val="21"/>
                <w:szCs w:val="21"/>
                <w:highlight w:val="none"/>
                <w:lang w:val="en-US" w:eastAsia="zh-CN"/>
              </w:rPr>
              <w:t>正本一份、副本二份，分别胶装装订成册，且封面须清楚地标明“正本”、“副本”。</w:t>
            </w:r>
          </w:p>
          <w:p>
            <w:pPr>
              <w:pStyle w:val="10"/>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非加密电子版：</w:t>
            </w:r>
            <w:r>
              <w:rPr>
                <w:rFonts w:hint="eastAsia" w:ascii="宋体" w:hAnsi="宋体" w:eastAsia="宋体" w:cs="宋体"/>
                <w:b w:val="0"/>
                <w:color w:val="auto"/>
                <w:sz w:val="21"/>
                <w:szCs w:val="21"/>
                <w:highlight w:val="none"/>
                <w:lang w:val="en-US" w:eastAsia="zh-CN"/>
              </w:rPr>
              <w:t>提供与正本内容一致的电子版（U盘存储），格式为PDF、WORD及nSXSTF格式（投标文件制作软件生成的不加密签章响应文件）。</w:t>
            </w:r>
          </w:p>
          <w:p>
            <w:pPr>
              <w:pStyle w:val="10"/>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加密电子版：</w:t>
            </w:r>
            <w:r>
              <w:rPr>
                <w:rFonts w:hint="eastAsia" w:ascii="宋体" w:hAnsi="宋体" w:eastAsia="宋体" w:cs="宋体"/>
                <w:b w:val="0"/>
                <w:color w:val="auto"/>
                <w:sz w:val="21"/>
                <w:szCs w:val="21"/>
                <w:highlight w:val="none"/>
                <w:lang w:val="en-US" w:eastAsia="zh-CN"/>
              </w:rPr>
              <w:t>加密电子版（SXSTF格式）上传至全国公共资源交易平台（陕西省.延安市）。</w:t>
            </w:r>
          </w:p>
          <w:p>
            <w:pPr>
              <w:pStyle w:val="10"/>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lang w:val="en-US" w:eastAsia="zh-CN"/>
              </w:rPr>
              <w:t>正本与副本不符的，以正本为准；纸质版与电子版不符的，以加密电子版为准</w:t>
            </w:r>
          </w:p>
        </w:tc>
      </w:tr>
      <w:tr>
        <w:tblPrEx>
          <w:tblLayout w:type="fixed"/>
          <w:tblCellMar>
            <w:top w:w="0" w:type="dxa"/>
            <w:left w:w="28" w:type="dxa"/>
            <w:bottom w:w="0" w:type="dxa"/>
            <w:right w:w="28" w:type="dxa"/>
          </w:tblCellMar>
        </w:tblPrEx>
        <w:trPr>
          <w:trHeight w:val="172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密封要求</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bidi w:val="0"/>
              <w:adjustRightInd/>
              <w:spacing w:line="360" w:lineRule="auto"/>
              <w:ind w:left="0" w:leftChars="0" w:right="0" w:rightChars="0"/>
              <w:textAlignment w:val="auto"/>
              <w:rPr>
                <w:rFonts w:hint="default" w:ascii="宋体" w:hAnsi="宋体" w:cs="宋体" w:eastAsiaTheme="minorEastAsia"/>
                <w:color w:val="auto"/>
                <w:sz w:val="21"/>
                <w:szCs w:val="21"/>
                <w:highlight w:val="none"/>
                <w:lang w:val="en-US" w:eastAsia="zh-CN"/>
              </w:rPr>
            </w:pPr>
            <w:r>
              <w:rPr>
                <w:rFonts w:hint="eastAsia" w:asciiTheme="minorEastAsia" w:hAnsiTheme="minorEastAsia" w:eastAsiaTheme="minorEastAsia" w:cstheme="minorEastAsia"/>
                <w:b/>
                <w:bCs/>
                <w:color w:val="auto"/>
                <w:szCs w:val="24"/>
                <w:highlight w:val="none"/>
                <w:lang w:val="en-US" w:eastAsia="zh-CN"/>
              </w:rPr>
              <w:t>正本</w:t>
            </w:r>
            <w:r>
              <w:rPr>
                <w:rFonts w:hint="eastAsia" w:asciiTheme="minorEastAsia" w:hAnsiTheme="minorEastAsia" w:cstheme="minorEastAsia"/>
                <w:b/>
                <w:bCs/>
                <w:color w:val="auto"/>
                <w:szCs w:val="24"/>
                <w:highlight w:val="none"/>
                <w:lang w:val="en-US" w:eastAsia="zh-CN"/>
              </w:rPr>
              <w:t>和电子版（u盘）</w:t>
            </w:r>
            <w:r>
              <w:rPr>
                <w:rFonts w:hint="eastAsia" w:asciiTheme="minorEastAsia" w:hAnsiTheme="minorEastAsia" w:eastAsiaTheme="minorEastAsia" w:cstheme="minorEastAsia"/>
                <w:b/>
                <w:bCs/>
                <w:color w:val="auto"/>
                <w:szCs w:val="24"/>
                <w:highlight w:val="none"/>
              </w:rPr>
              <w:t>密封在一个密封袋内</w:t>
            </w:r>
            <w:r>
              <w:rPr>
                <w:rFonts w:hint="eastAsia" w:asciiTheme="minorEastAsia" w:hAnsiTheme="minorEastAsia" w:eastAsiaTheme="minorEastAsia" w:cstheme="minorEastAsia"/>
                <w:b/>
                <w:bCs/>
                <w:color w:val="auto"/>
                <w:szCs w:val="24"/>
                <w:highlight w:val="none"/>
                <w:lang w:eastAsia="zh-CN"/>
              </w:rPr>
              <w:t>，</w:t>
            </w:r>
            <w:r>
              <w:rPr>
                <w:rFonts w:hint="eastAsia" w:asciiTheme="minorEastAsia" w:hAnsiTheme="minorEastAsia" w:cstheme="minorEastAsia"/>
                <w:b/>
                <w:bCs/>
                <w:color w:val="auto"/>
                <w:szCs w:val="24"/>
                <w:highlight w:val="none"/>
                <w:lang w:val="en-US" w:eastAsia="zh-CN"/>
              </w:rPr>
              <w:t>所有</w:t>
            </w:r>
            <w:r>
              <w:rPr>
                <w:rFonts w:hint="eastAsia" w:asciiTheme="minorEastAsia" w:hAnsiTheme="minorEastAsia" w:eastAsiaTheme="minorEastAsia" w:cstheme="minorEastAsia"/>
                <w:b/>
                <w:bCs/>
                <w:color w:val="auto"/>
                <w:szCs w:val="24"/>
                <w:highlight w:val="none"/>
                <w:lang w:val="en-US" w:eastAsia="zh-CN"/>
              </w:rPr>
              <w:t>副本密封在一个密封袋内</w:t>
            </w:r>
            <w:r>
              <w:rPr>
                <w:rFonts w:hint="eastAsia" w:asciiTheme="minorEastAsia" w:hAnsiTheme="minorEastAsia" w:cstheme="minorEastAsia"/>
                <w:b/>
                <w:bCs/>
                <w:color w:val="auto"/>
                <w:szCs w:val="24"/>
                <w:highlight w:val="none"/>
                <w:lang w:val="en-US" w:eastAsia="zh-CN"/>
              </w:rPr>
              <w:t>。</w:t>
            </w:r>
            <w:r>
              <w:rPr>
                <w:rFonts w:hint="eastAsia" w:asciiTheme="minorEastAsia" w:hAnsiTheme="minorEastAsia" w:eastAsiaTheme="minorEastAsia" w:cstheme="minorEastAsia"/>
                <w:color w:val="auto"/>
                <w:szCs w:val="24"/>
                <w:highlight w:val="none"/>
              </w:rPr>
              <w:t>在封口处需由法定代表人或授权代表签字或盖章，并加盖供应商公章。封皮上</w:t>
            </w:r>
            <w:r>
              <w:rPr>
                <w:rFonts w:hint="eastAsia" w:asciiTheme="minorEastAsia" w:hAnsiTheme="minorEastAsia" w:eastAsiaTheme="minorEastAsia" w:cstheme="minorEastAsia"/>
                <w:color w:val="auto"/>
                <w:szCs w:val="24"/>
                <w:highlight w:val="none"/>
                <w:lang w:val="en-US" w:eastAsia="zh-CN"/>
              </w:rPr>
              <w:t>注</w:t>
            </w:r>
            <w:r>
              <w:rPr>
                <w:rFonts w:hint="eastAsia" w:asciiTheme="minorEastAsia" w:hAnsiTheme="minorEastAsia" w:eastAsiaTheme="minorEastAsia" w:cstheme="minorEastAsia"/>
                <w:color w:val="auto"/>
                <w:szCs w:val="24"/>
                <w:highlight w:val="none"/>
              </w:rPr>
              <w:t>明</w:t>
            </w:r>
            <w:r>
              <w:rPr>
                <w:rFonts w:hint="eastAsia" w:asciiTheme="minorEastAsia" w:hAnsiTheme="minorEastAsia" w:eastAsiaTheme="minorEastAsia" w:cstheme="minorEastAsia"/>
                <w:color w:val="auto"/>
                <w:szCs w:val="24"/>
                <w:highlight w:val="none"/>
                <w:lang w:val="en-US" w:eastAsia="zh-CN"/>
              </w:rPr>
              <w:t>正本</w:t>
            </w:r>
            <w:r>
              <w:rPr>
                <w:rFonts w:hint="eastAsia" w:asciiTheme="minorEastAsia" w:hAnsiTheme="minorEastAsia" w:cstheme="minorEastAsia"/>
                <w:color w:val="auto"/>
                <w:szCs w:val="24"/>
                <w:highlight w:val="none"/>
                <w:lang w:val="en-US" w:eastAsia="zh-CN"/>
              </w:rPr>
              <w:t>（副本）</w:t>
            </w:r>
            <w:r>
              <w:rPr>
                <w:rFonts w:hint="eastAsia" w:asciiTheme="minorEastAsia" w:hAnsiTheme="minorEastAsia" w:eastAsiaTheme="minorEastAsia" w:cstheme="minorEastAsia"/>
                <w:color w:val="auto"/>
                <w:szCs w:val="24"/>
                <w:highlight w:val="none"/>
              </w:rPr>
              <w:t>供应商的全称、项目名称</w:t>
            </w:r>
            <w:r>
              <w:rPr>
                <w:rFonts w:hint="eastAsia" w:asciiTheme="minorEastAsia" w:hAnsiTheme="minorEastAsia" w:eastAsiaTheme="minorEastAsia" w:cstheme="minorEastAsia"/>
                <w:color w:val="auto"/>
                <w:szCs w:val="24"/>
                <w:highlight w:val="none"/>
                <w:lang w:eastAsia="zh-CN"/>
              </w:rPr>
              <w:t>、项目编号</w:t>
            </w:r>
            <w:r>
              <w:rPr>
                <w:rFonts w:hint="eastAsia" w:asciiTheme="minorEastAsia" w:hAnsiTheme="minorEastAsia" w:eastAsiaTheme="minorEastAsia" w:cstheme="minorEastAsia"/>
                <w:color w:val="auto"/>
                <w:szCs w:val="24"/>
                <w:highlight w:val="none"/>
              </w:rPr>
              <w:t>，并注明“磋商时启封”字样。</w:t>
            </w:r>
            <w:r>
              <w:rPr>
                <w:rFonts w:hint="eastAsia" w:asciiTheme="minorEastAsia" w:hAnsiTheme="minorEastAsia" w:cstheme="minorEastAsia"/>
                <w:b/>
                <w:bCs/>
                <w:color w:val="auto"/>
                <w:szCs w:val="24"/>
                <w:highlight w:val="none"/>
                <w:lang w:val="en-US" w:eastAsia="zh-CN"/>
              </w:rPr>
              <w:t>未按要求密封或加注标记，代理机构有权拒收。</w:t>
            </w:r>
          </w:p>
        </w:tc>
      </w:tr>
      <w:tr>
        <w:tblPrEx>
          <w:tblLayout w:type="fixed"/>
          <w:tblCellMar>
            <w:top w:w="0" w:type="dxa"/>
            <w:left w:w="28" w:type="dxa"/>
            <w:bottom w:w="0" w:type="dxa"/>
            <w:right w:w="28" w:type="dxa"/>
          </w:tblCellMar>
        </w:tblPrEx>
        <w:trPr>
          <w:trHeight w:val="578"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递交要求</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sz w:val="21"/>
                <w:szCs w:val="21"/>
                <w:lang w:val="en-US" w:eastAsia="zh-CN"/>
              </w:rPr>
            </w:pPr>
            <w:r>
              <w:rPr>
                <w:rFonts w:hint="eastAsia"/>
                <w:sz w:val="21"/>
                <w:szCs w:val="21"/>
                <w:lang w:val="en-US" w:eastAsia="zh-CN"/>
              </w:rPr>
              <w:t>法定代表人应持有法定代表人身份证明向代理机构递交响应文件；</w:t>
            </w:r>
          </w:p>
          <w:p>
            <w:pPr>
              <w:pStyle w:val="8"/>
              <w:keepNext w:val="0"/>
              <w:keepLines w:val="0"/>
              <w:pageBreakBefore w:val="0"/>
              <w:widowControl w:val="0"/>
              <w:kinsoku/>
              <w:wordWrap/>
              <w:overflowPunct/>
              <w:topLinePunct w:val="0"/>
              <w:autoSpaceDE/>
              <w:autoSpaceDN/>
              <w:bidi w:val="0"/>
              <w:adjustRightInd/>
              <w:snapToGrid/>
              <w:spacing w:afterLines="0" w:line="360" w:lineRule="auto"/>
              <w:textAlignment w:val="auto"/>
              <w:rPr>
                <w:rFonts w:hint="eastAsia"/>
                <w:sz w:val="21"/>
                <w:szCs w:val="21"/>
                <w:lang w:val="en-US" w:eastAsia="zh-CN"/>
              </w:rPr>
            </w:pPr>
            <w:r>
              <w:rPr>
                <w:rFonts w:hint="eastAsia"/>
                <w:sz w:val="21"/>
                <w:szCs w:val="21"/>
                <w:lang w:val="en-US" w:eastAsia="zh-CN"/>
              </w:rPr>
              <w:t>授权代表应持有法定代表人授权委托书向代理机构递交响应文件。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b/>
                <w:bCs/>
                <w:sz w:val="21"/>
                <w:szCs w:val="21"/>
                <w:lang w:val="en-US" w:eastAsia="zh-CN"/>
              </w:rPr>
              <w:t>未持有以上身份证明文件原件，代理机构有权拒收供应商的响应文件</w:t>
            </w:r>
          </w:p>
        </w:tc>
      </w:tr>
      <w:tr>
        <w:tblPrEx>
          <w:tblLayout w:type="fixed"/>
          <w:tblCellMar>
            <w:top w:w="0" w:type="dxa"/>
            <w:left w:w="28" w:type="dxa"/>
            <w:bottom w:w="0" w:type="dxa"/>
            <w:right w:w="28" w:type="dxa"/>
          </w:tblCellMar>
        </w:tblPrEx>
        <w:trPr>
          <w:trHeight w:val="91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评审办法</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bidi w:val="0"/>
              <w:adjustRightInd/>
              <w:spacing w:line="360" w:lineRule="auto"/>
              <w:ind w:left="0" w:leftChars="0"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综合评分法（详见第三部分）</w:t>
            </w:r>
          </w:p>
        </w:tc>
      </w:tr>
      <w:tr>
        <w:tblPrEx>
          <w:tblLayout w:type="fixed"/>
          <w:tblCellMar>
            <w:top w:w="0" w:type="dxa"/>
            <w:left w:w="28" w:type="dxa"/>
            <w:bottom w:w="0" w:type="dxa"/>
            <w:right w:w="28" w:type="dxa"/>
          </w:tblCellMar>
        </w:tblPrEx>
        <w:trPr>
          <w:trHeight w:val="1091"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17</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bidi w:val="0"/>
              <w:adjustRightInd/>
              <w:spacing w:line="360" w:lineRule="auto"/>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采购人在与成交供应商签订合同之前，采购人可以要求</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供应商缴纳成交价的5%作为履约保证金</w:t>
            </w:r>
          </w:p>
        </w:tc>
      </w:tr>
      <w:tr>
        <w:tblPrEx>
          <w:tblLayout w:type="fixed"/>
          <w:tblCellMar>
            <w:top w:w="0" w:type="dxa"/>
            <w:left w:w="28" w:type="dxa"/>
            <w:bottom w:w="0" w:type="dxa"/>
            <w:right w:w="28" w:type="dxa"/>
          </w:tblCellMar>
        </w:tblPrEx>
        <w:trPr>
          <w:trHeight w:val="215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18</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重新采购或者变更采购方式</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bidi w:val="0"/>
              <w:adjustRightInd/>
              <w:spacing w:line="36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重新采购或转变采购方式情形须按照《中华人民共和国政府采购法实施条例》、</w:t>
            </w:r>
            <w:r>
              <w:rPr>
                <w:rFonts w:hint="eastAsia" w:ascii="宋体" w:hAnsi="宋体" w:eastAsia="宋体" w:cs="宋体"/>
                <w:color w:val="auto"/>
                <w:spacing w:val="-4"/>
                <w:sz w:val="21"/>
                <w:szCs w:val="21"/>
                <w:highlight w:val="none"/>
              </w:rPr>
              <w:t>《政府采购竞争性磋商采购方式管理暂行办法》（财库〔201</w:t>
            </w:r>
            <w:r>
              <w:rPr>
                <w:rFonts w:hint="eastAsia" w:ascii="宋体" w:hAnsi="宋体" w:eastAsia="宋体" w:cs="宋体"/>
                <w:color w:val="auto"/>
                <w:spacing w:val="-4"/>
                <w:sz w:val="21"/>
                <w:szCs w:val="21"/>
                <w:highlight w:val="none"/>
                <w:lang w:val="en-US" w:eastAsia="zh-CN"/>
              </w:rPr>
              <w:t>4</w:t>
            </w:r>
            <w:r>
              <w:rPr>
                <w:rFonts w:hint="eastAsia" w:ascii="宋体" w:hAnsi="宋体" w:eastAsia="宋体" w:cs="宋体"/>
                <w:color w:val="auto"/>
                <w:spacing w:val="-4"/>
                <w:sz w:val="21"/>
                <w:szCs w:val="21"/>
                <w:highlight w:val="none"/>
              </w:rPr>
              <w:t>〕214号）第二十一条、《财政部关于政府采购竞争性磋商采购方式管理暂行办法有关问题的补充通知》（财库〔20</w:t>
            </w:r>
            <w:r>
              <w:rPr>
                <w:rFonts w:hint="eastAsia" w:ascii="宋体" w:hAnsi="宋体" w:eastAsia="宋体" w:cs="宋体"/>
                <w:color w:val="auto"/>
                <w:spacing w:val="-4"/>
                <w:sz w:val="21"/>
                <w:szCs w:val="21"/>
                <w:highlight w:val="none"/>
                <w:lang w:val="en-US" w:eastAsia="zh-CN"/>
              </w:rPr>
              <w:t>15</w:t>
            </w:r>
            <w:r>
              <w:rPr>
                <w:rFonts w:hint="eastAsia" w:ascii="宋体" w:hAnsi="宋体" w:eastAsia="宋体" w:cs="宋体"/>
                <w:color w:val="auto"/>
                <w:spacing w:val="-4"/>
                <w:sz w:val="21"/>
                <w:szCs w:val="21"/>
                <w:highlight w:val="none"/>
              </w:rPr>
              <w:t>〕124号）规定的相关原则处理。</w:t>
            </w:r>
          </w:p>
        </w:tc>
      </w:tr>
    </w:tbl>
    <w:p>
      <w:pPr>
        <w:rPr>
          <w:color w:val="auto"/>
          <w:highlight w:val="none"/>
        </w:rPr>
      </w:pPr>
      <w:r>
        <w:rPr>
          <w:color w:val="auto"/>
          <w:highlight w:val="none"/>
        </w:rPr>
        <w:br w:type="page"/>
      </w:r>
    </w:p>
    <w:p>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b/>
          <w:color w:val="auto"/>
          <w:sz w:val="32"/>
          <w:szCs w:val="32"/>
          <w:highlight w:val="none"/>
        </w:rPr>
      </w:pPr>
      <w:bookmarkStart w:id="8" w:name="_Toc1340"/>
      <w:r>
        <w:rPr>
          <w:b/>
          <w:color w:val="auto"/>
          <w:sz w:val="32"/>
          <w:szCs w:val="32"/>
          <w:highlight w:val="none"/>
        </w:rPr>
        <w:t>第</w:t>
      </w:r>
      <w:r>
        <w:rPr>
          <w:rFonts w:hint="eastAsia"/>
          <w:b/>
          <w:color w:val="auto"/>
          <w:sz w:val="32"/>
          <w:szCs w:val="32"/>
          <w:highlight w:val="none"/>
          <w:lang w:val="en-US" w:eastAsia="zh-CN"/>
        </w:rPr>
        <w:t>三</w:t>
      </w:r>
      <w:r>
        <w:rPr>
          <w:b/>
          <w:color w:val="auto"/>
          <w:sz w:val="32"/>
          <w:szCs w:val="32"/>
          <w:highlight w:val="none"/>
        </w:rPr>
        <w:t>部分</w:t>
      </w:r>
      <w:r>
        <w:rPr>
          <w:rFonts w:hint="eastAsia"/>
          <w:b/>
          <w:color w:val="auto"/>
          <w:sz w:val="32"/>
          <w:szCs w:val="32"/>
          <w:highlight w:val="none"/>
          <w:lang w:val="en-US" w:eastAsia="zh-CN"/>
        </w:rPr>
        <w:t xml:space="preserve"> </w:t>
      </w:r>
      <w:r>
        <w:rPr>
          <w:rFonts w:hint="eastAsia"/>
          <w:b/>
          <w:color w:val="auto"/>
          <w:sz w:val="32"/>
          <w:szCs w:val="32"/>
          <w:highlight w:val="none"/>
        </w:rPr>
        <w:t>磋商</w:t>
      </w:r>
      <w:r>
        <w:rPr>
          <w:b/>
          <w:color w:val="auto"/>
          <w:sz w:val="32"/>
          <w:szCs w:val="32"/>
          <w:highlight w:val="none"/>
        </w:rPr>
        <w:t>须知</w:t>
      </w:r>
      <w:bookmarkEnd w:id="7"/>
      <w:bookmarkEnd w:id="8"/>
    </w:p>
    <w:p>
      <w:pPr>
        <w:pStyle w:val="16"/>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9" w:name="_Toc75259336"/>
      <w:bookmarkStart w:id="10" w:name="_Toc8224"/>
      <w:r>
        <w:rPr>
          <w:rFonts w:hint="eastAsia" w:asciiTheme="minorEastAsia" w:hAnsiTheme="minorEastAsia" w:eastAsiaTheme="minorEastAsia" w:cstheme="minorEastAsia"/>
          <w:b/>
          <w:color w:val="auto"/>
          <w:sz w:val="21"/>
          <w:szCs w:val="21"/>
          <w:highlight w:val="none"/>
        </w:rPr>
        <w:t>1．适用范围</w:t>
      </w:r>
      <w:bookmarkEnd w:id="9"/>
      <w:bookmarkEnd w:id="10"/>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color w:val="auto"/>
          <w:sz w:val="21"/>
          <w:szCs w:val="21"/>
          <w:highlight w:val="none"/>
        </w:rPr>
        <w:t>1本磋商文件仅适用于本次磋商所叙述的</w:t>
      </w:r>
      <w:r>
        <w:rPr>
          <w:rFonts w:hint="eastAsia" w:asciiTheme="minorEastAsia" w:hAnsiTheme="minorEastAsia" w:cstheme="minorEastAsia"/>
          <w:color w:val="auto"/>
          <w:sz w:val="21"/>
          <w:szCs w:val="21"/>
          <w:highlight w:val="none"/>
          <w:lang w:eastAsia="zh-CN"/>
        </w:rPr>
        <w:t>延安市黄龙山国有林管理局2023年国家重点野生动植物保护项目</w:t>
      </w:r>
      <w:r>
        <w:rPr>
          <w:rFonts w:hint="eastAsia" w:asciiTheme="minorEastAsia" w:hAnsiTheme="minorEastAsia" w:eastAsiaTheme="minorEastAsia" w:cstheme="minorEastAsia"/>
          <w:color w:val="auto"/>
          <w:sz w:val="21"/>
          <w:szCs w:val="21"/>
          <w:highlight w:val="none"/>
        </w:rPr>
        <w:t>。</w:t>
      </w:r>
    </w:p>
    <w:p>
      <w:pPr>
        <w:pStyle w:val="16"/>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11" w:name="_Toc75259337"/>
      <w:bookmarkStart w:id="12" w:name="_Toc1693"/>
      <w:r>
        <w:rPr>
          <w:rFonts w:hint="eastAsia" w:asciiTheme="minorEastAsia" w:hAnsiTheme="minorEastAsia" w:eastAsiaTheme="minorEastAsia" w:cstheme="minorEastAsia"/>
          <w:b/>
          <w:color w:val="auto"/>
          <w:sz w:val="21"/>
          <w:szCs w:val="21"/>
          <w:highlight w:val="none"/>
        </w:rPr>
        <w:t>2．定义</w:t>
      </w:r>
      <w:bookmarkEnd w:id="11"/>
      <w:bookmarkEnd w:id="12"/>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color w:val="auto"/>
          <w:sz w:val="21"/>
          <w:szCs w:val="21"/>
          <w:highlight w:val="none"/>
        </w:rPr>
        <w:t>1“采购人”系指</w:t>
      </w:r>
      <w:r>
        <w:rPr>
          <w:rFonts w:hint="eastAsia" w:asciiTheme="minorEastAsia" w:hAnsiTheme="minorEastAsia" w:cstheme="minorEastAsia"/>
          <w:color w:val="auto"/>
          <w:sz w:val="21"/>
          <w:szCs w:val="21"/>
          <w:highlight w:val="none"/>
          <w:lang w:val="en-US" w:eastAsia="zh-CN"/>
        </w:rPr>
        <w:t>延安市黄龙山国有林管理局</w:t>
      </w:r>
      <w:r>
        <w:rPr>
          <w:rFonts w:hint="eastAsia" w:asciiTheme="minorEastAsia" w:hAnsiTheme="minorEastAsia" w:eastAsiaTheme="minorEastAsia" w:cstheme="minorEastAsia"/>
          <w:color w:val="auto"/>
          <w:sz w:val="21"/>
          <w:szCs w:val="21"/>
          <w:highlight w:val="none"/>
        </w:rPr>
        <w:t>。</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color w:val="auto"/>
          <w:sz w:val="21"/>
          <w:szCs w:val="21"/>
          <w:highlight w:val="none"/>
        </w:rPr>
        <w:t>2“采购代理机构”系指组织本次磋商活动的</w:t>
      </w:r>
      <w:r>
        <w:rPr>
          <w:rFonts w:hint="eastAsia" w:asciiTheme="minorEastAsia" w:hAnsiTheme="minorEastAsia" w:eastAsiaTheme="minorEastAsia" w:cstheme="minorEastAsia"/>
          <w:color w:val="auto"/>
          <w:sz w:val="21"/>
          <w:szCs w:val="21"/>
          <w:highlight w:val="none"/>
          <w:lang w:val="en-US" w:eastAsia="zh-CN"/>
        </w:rPr>
        <w:t>陕西轩鼎项目管理有限公司</w:t>
      </w:r>
      <w:r>
        <w:rPr>
          <w:rFonts w:hint="eastAsia" w:asciiTheme="minorEastAsia" w:hAnsiTheme="minorEastAsia" w:eastAsiaTheme="minorEastAsia" w:cstheme="minorEastAsia"/>
          <w:color w:val="auto"/>
          <w:sz w:val="21"/>
          <w:szCs w:val="21"/>
          <w:highlight w:val="none"/>
        </w:rPr>
        <w:t>。</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color w:val="auto"/>
          <w:sz w:val="21"/>
          <w:szCs w:val="21"/>
          <w:highlight w:val="none"/>
        </w:rPr>
        <w:t>3“供应商”系指无条件接受磋商文件的各项要求，具备相应履约能力、具有《中华人民共和国政府采购法》第</w:t>
      </w:r>
      <w:r>
        <w:rPr>
          <w:rFonts w:hint="eastAsia" w:asciiTheme="minorEastAsia" w:hAnsiTheme="minorEastAsia" w:eastAsiaTheme="minorEastAsia" w:cstheme="minorEastAsia"/>
          <w:color w:val="auto"/>
          <w:sz w:val="21"/>
          <w:szCs w:val="21"/>
          <w:highlight w:val="none"/>
          <w:lang w:val="en-US" w:eastAsia="zh-CN"/>
        </w:rPr>
        <w:t>二十二条</w:t>
      </w:r>
      <w:r>
        <w:rPr>
          <w:rFonts w:hint="eastAsia" w:asciiTheme="minorEastAsia" w:hAnsiTheme="minorEastAsia" w:eastAsiaTheme="minorEastAsia" w:cstheme="minorEastAsia"/>
          <w:color w:val="auto"/>
          <w:sz w:val="21"/>
          <w:szCs w:val="21"/>
          <w:highlight w:val="none"/>
        </w:rPr>
        <w:t>规定的相关条件并向磋商小组提交响应文件的供应商。</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bCs/>
          <w:color w:val="auto"/>
          <w:sz w:val="21"/>
          <w:szCs w:val="21"/>
          <w:highlight w:val="none"/>
        </w:rPr>
        <w:t>供应商在“中国执行信息公开网</w:t>
      </w:r>
      <w:r>
        <w:rPr>
          <w:rFonts w:hint="eastAsia" w:asciiTheme="minorEastAsia" w:hAnsiTheme="minorEastAsia" w:eastAsiaTheme="minorEastAsia" w:cstheme="minorEastAsia"/>
          <w:bCs/>
          <w:color w:val="auto"/>
          <w:sz w:val="21"/>
          <w:szCs w:val="21"/>
          <w:highlight w:val="none"/>
          <w:lang w:eastAsia="zh-CN"/>
        </w:rPr>
        <w:t>（http://zxgk.court.gov.cn/）</w:t>
      </w:r>
      <w:r>
        <w:rPr>
          <w:rFonts w:hint="eastAsia" w:asciiTheme="minorEastAsia" w:hAnsiTheme="minorEastAsia" w:eastAsiaTheme="minorEastAsia" w:cstheme="minorEastAsia"/>
          <w:bCs/>
          <w:color w:val="auto"/>
          <w:sz w:val="21"/>
          <w:szCs w:val="21"/>
          <w:highlight w:val="none"/>
        </w:rPr>
        <w:t>”未列入失信被执行人，在“信用中国</w:t>
      </w:r>
      <w:r>
        <w:rPr>
          <w:rFonts w:hint="eastAsia" w:asciiTheme="minorEastAsia" w:hAnsiTheme="minorEastAsia" w:eastAsiaTheme="minorEastAsia" w:cstheme="minorEastAsia"/>
          <w:bCs/>
          <w:color w:val="auto"/>
          <w:sz w:val="21"/>
          <w:szCs w:val="21"/>
          <w:highlight w:val="none"/>
          <w:lang w:eastAsia="zh-CN"/>
        </w:rPr>
        <w:t>（https://www.creditchina.gov.cn/）</w:t>
      </w:r>
      <w:r>
        <w:rPr>
          <w:rFonts w:hint="eastAsia" w:asciiTheme="minorEastAsia" w:hAnsiTheme="minorEastAsia" w:eastAsiaTheme="minorEastAsia" w:cstheme="minorEastAsia"/>
          <w:bCs/>
          <w:color w:val="auto"/>
          <w:sz w:val="21"/>
          <w:szCs w:val="21"/>
          <w:highlight w:val="none"/>
        </w:rPr>
        <w:t>”未列入重大税收违法失信主体，</w:t>
      </w:r>
      <w:r>
        <w:rPr>
          <w:rFonts w:hint="eastAsia" w:asciiTheme="minorEastAsia" w:hAnsiTheme="minorEastAsia" w:eastAsiaTheme="minorEastAsia" w:cstheme="minorEastAsia"/>
          <w:bCs/>
          <w:color w:val="auto"/>
          <w:sz w:val="21"/>
          <w:szCs w:val="21"/>
          <w:highlight w:val="none"/>
          <w:lang w:val="en-US" w:eastAsia="zh-CN"/>
        </w:rPr>
        <w:t>在</w:t>
      </w:r>
      <w:r>
        <w:rPr>
          <w:rFonts w:hint="eastAsia" w:asciiTheme="minorEastAsia" w:hAnsiTheme="minorEastAsia" w:eastAsiaTheme="minorEastAsia" w:cstheme="minorEastAsia"/>
          <w:bCs/>
          <w:color w:val="auto"/>
          <w:sz w:val="21"/>
          <w:szCs w:val="21"/>
          <w:highlight w:val="none"/>
        </w:rPr>
        <w:t>中国政府采购网</w:t>
      </w:r>
      <w:r>
        <w:rPr>
          <w:rFonts w:hint="eastAsia" w:asciiTheme="minorEastAsia" w:hAnsiTheme="minorEastAsia" w:eastAsiaTheme="minorEastAsia" w:cstheme="minorEastAsia"/>
          <w:bCs/>
          <w:color w:val="auto"/>
          <w:sz w:val="21"/>
          <w:szCs w:val="21"/>
          <w:highlight w:val="none"/>
          <w:lang w:eastAsia="zh-CN"/>
        </w:rPr>
        <w:t>（http://www.ccgp.gov.cn/）</w:t>
      </w:r>
      <w:r>
        <w:rPr>
          <w:rFonts w:hint="eastAsia" w:asciiTheme="minorEastAsia" w:hAnsiTheme="minorEastAsia" w:eastAsiaTheme="minorEastAsia" w:cstheme="minorEastAsia"/>
          <w:bCs/>
          <w:color w:val="auto"/>
          <w:sz w:val="21"/>
          <w:szCs w:val="21"/>
          <w:highlight w:val="none"/>
          <w:lang w:val="en-US" w:eastAsia="zh-CN"/>
        </w:rPr>
        <w:t>未列入</w:t>
      </w:r>
      <w:r>
        <w:rPr>
          <w:rFonts w:hint="eastAsia" w:asciiTheme="minorEastAsia" w:hAnsiTheme="minorEastAsia" w:eastAsiaTheme="minorEastAsia" w:cstheme="minorEastAsia"/>
          <w:bCs/>
          <w:color w:val="auto"/>
          <w:sz w:val="21"/>
          <w:szCs w:val="21"/>
          <w:highlight w:val="none"/>
        </w:rPr>
        <w:t>政府采购严重违法失信行为记录名单</w:t>
      </w:r>
      <w:r>
        <w:rPr>
          <w:rFonts w:hint="eastAsia" w:asciiTheme="minorEastAsia" w:hAnsiTheme="minorEastAsia" w:eastAsiaTheme="minorEastAsia" w:cstheme="minorEastAsia"/>
          <w:bCs/>
          <w:color w:val="auto"/>
          <w:sz w:val="21"/>
          <w:szCs w:val="21"/>
          <w:highlight w:val="none"/>
          <w:lang w:val="en-US" w:eastAsia="zh-CN"/>
        </w:rPr>
        <w:t>且未</w:t>
      </w:r>
      <w:r>
        <w:rPr>
          <w:rFonts w:hint="eastAsia" w:asciiTheme="minorEastAsia" w:hAnsiTheme="minorEastAsia" w:eastAsiaTheme="minorEastAsia" w:cstheme="minorEastAsia"/>
          <w:bCs/>
          <w:color w:val="auto"/>
          <w:sz w:val="21"/>
          <w:szCs w:val="21"/>
          <w:highlight w:val="none"/>
        </w:rPr>
        <w:t>被财政部门禁止参加政府采购活动（处罚期限届满的除外</w:t>
      </w:r>
      <w:r>
        <w:rPr>
          <w:rFonts w:hint="eastAsia" w:asciiTheme="minorEastAsia" w:hAnsi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2.5政府采购应当采购本国货物、工程和服务。有特殊情形的除外，情形详见《中华人民共和国政府采购法》第十条规定。 </w:t>
      </w:r>
    </w:p>
    <w:p>
      <w:pPr>
        <w:pStyle w:val="16"/>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13" w:name="_Toc75259338"/>
      <w:bookmarkStart w:id="14" w:name="_Toc31259"/>
      <w:r>
        <w:rPr>
          <w:rFonts w:hint="eastAsia" w:asciiTheme="minorEastAsia" w:hAnsiTheme="minorEastAsia" w:eastAsiaTheme="minorEastAsia" w:cstheme="minorEastAsia"/>
          <w:b/>
          <w:color w:val="auto"/>
          <w:sz w:val="21"/>
          <w:szCs w:val="21"/>
          <w:highlight w:val="none"/>
        </w:rPr>
        <w:t>3．合格供应商的范围</w:t>
      </w:r>
      <w:bookmarkEnd w:id="13"/>
      <w:bookmarkEnd w:id="14"/>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4"/>
          <w:highlight w:val="none"/>
        </w:rPr>
      </w:pPr>
      <w:r>
        <w:rPr>
          <w:rFonts w:hint="eastAsia" w:asciiTheme="minorEastAsia" w:hAnsiTheme="minorEastAsia" w:eastAsiaTheme="minorEastAsia" w:cstheme="minorEastAsia"/>
          <w:bCs/>
          <w:color w:val="auto"/>
          <w:sz w:val="21"/>
          <w:szCs w:val="24"/>
          <w:highlight w:val="none"/>
        </w:rPr>
        <w:t>3.1具有独立承担民事责任的能力；</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4"/>
          <w:highlight w:val="none"/>
        </w:rPr>
      </w:pPr>
      <w:r>
        <w:rPr>
          <w:rFonts w:hint="eastAsia" w:asciiTheme="minorEastAsia" w:hAnsiTheme="minorEastAsia" w:eastAsiaTheme="minorEastAsia" w:cstheme="minorEastAsia"/>
          <w:bCs/>
          <w:color w:val="auto"/>
          <w:sz w:val="21"/>
          <w:szCs w:val="24"/>
          <w:highlight w:val="none"/>
        </w:rPr>
        <w:t>3.2具有良好的商业信誉和健全的财务会计制度；</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4"/>
          <w:highlight w:val="none"/>
        </w:rPr>
      </w:pPr>
      <w:r>
        <w:rPr>
          <w:rFonts w:hint="eastAsia" w:asciiTheme="minorEastAsia" w:hAnsiTheme="minorEastAsia" w:eastAsiaTheme="minorEastAsia" w:cstheme="minorEastAsia"/>
          <w:bCs/>
          <w:color w:val="auto"/>
          <w:sz w:val="21"/>
          <w:szCs w:val="24"/>
          <w:highlight w:val="none"/>
        </w:rPr>
        <w:t>3.3具有履行合同所必需的设备和专业技术能力；</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4"/>
          <w:highlight w:val="none"/>
        </w:rPr>
      </w:pPr>
      <w:r>
        <w:rPr>
          <w:rFonts w:hint="eastAsia" w:asciiTheme="minorEastAsia" w:hAnsiTheme="minorEastAsia" w:eastAsiaTheme="minorEastAsia" w:cstheme="minorEastAsia"/>
          <w:bCs/>
          <w:color w:val="auto"/>
          <w:sz w:val="21"/>
          <w:szCs w:val="24"/>
          <w:highlight w:val="none"/>
        </w:rPr>
        <w:t>3.4有依法缴纳税收和社会保障资金的良好记录；</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4"/>
          <w:highlight w:val="none"/>
        </w:rPr>
      </w:pPr>
      <w:r>
        <w:rPr>
          <w:rFonts w:hint="eastAsia" w:asciiTheme="minorEastAsia" w:hAnsiTheme="minorEastAsia" w:eastAsiaTheme="minorEastAsia" w:cstheme="minorEastAsia"/>
          <w:bCs/>
          <w:color w:val="auto"/>
          <w:sz w:val="21"/>
          <w:szCs w:val="24"/>
          <w:highlight w:val="none"/>
        </w:rPr>
        <w:t>3.5参加政府采购活动前三年内，在经营活动中没有重大违法记录；</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4"/>
          <w:highlight w:val="none"/>
        </w:rPr>
      </w:pPr>
      <w:r>
        <w:rPr>
          <w:rFonts w:hint="eastAsia" w:asciiTheme="minorEastAsia" w:hAnsiTheme="minorEastAsia" w:eastAsiaTheme="minorEastAsia" w:cstheme="minorEastAsia"/>
          <w:bCs/>
          <w:color w:val="auto"/>
          <w:sz w:val="21"/>
          <w:szCs w:val="24"/>
          <w:highlight w:val="none"/>
        </w:rPr>
        <w:t>3.6具备法律行政法规规定的其他条件；</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4"/>
          <w:highlight w:val="none"/>
        </w:rPr>
      </w:pPr>
      <w:r>
        <w:rPr>
          <w:rFonts w:hint="eastAsia" w:asciiTheme="minorEastAsia" w:hAnsiTheme="minorEastAsia" w:eastAsiaTheme="minorEastAsia" w:cstheme="minorEastAsia"/>
          <w:bCs/>
          <w:color w:val="auto"/>
          <w:sz w:val="21"/>
          <w:szCs w:val="24"/>
          <w:highlight w:val="none"/>
        </w:rPr>
        <w:t>3.7完全满足磋商文件的实质性要求；</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4"/>
          <w:highlight w:val="none"/>
        </w:rPr>
      </w:pPr>
      <w:r>
        <w:rPr>
          <w:rFonts w:hint="eastAsia" w:asciiTheme="minorEastAsia" w:hAnsiTheme="minorEastAsia" w:eastAsiaTheme="minorEastAsia" w:cstheme="minorEastAsia"/>
          <w:bCs/>
          <w:color w:val="auto"/>
          <w:sz w:val="21"/>
          <w:szCs w:val="24"/>
          <w:highlight w:val="none"/>
        </w:rPr>
        <w:t>3.8凡具备磋商文件要求资格，有服务能力的供应商均可参加。</w:t>
      </w:r>
    </w:p>
    <w:p>
      <w:pPr>
        <w:pStyle w:val="16"/>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4"/>
          <w:highlight w:val="none"/>
        </w:rPr>
      </w:pPr>
      <w:bookmarkStart w:id="15" w:name="_Toc75259339"/>
      <w:bookmarkStart w:id="16" w:name="_Toc1388"/>
      <w:r>
        <w:rPr>
          <w:rFonts w:hint="eastAsia" w:asciiTheme="minorEastAsia" w:hAnsiTheme="minorEastAsia" w:eastAsiaTheme="minorEastAsia" w:cstheme="minorEastAsia"/>
          <w:b/>
          <w:color w:val="auto"/>
          <w:sz w:val="21"/>
          <w:szCs w:val="24"/>
          <w:highlight w:val="none"/>
        </w:rPr>
        <w:t>4</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4"/>
          <w:highlight w:val="none"/>
        </w:rPr>
        <w:t>磋商代表</w:t>
      </w:r>
      <w:bookmarkEnd w:id="15"/>
      <w:bookmarkEnd w:id="16"/>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color w:val="auto"/>
          <w:sz w:val="21"/>
          <w:szCs w:val="24"/>
          <w:highlight w:val="none"/>
        </w:rPr>
      </w:pPr>
      <w:r>
        <w:rPr>
          <w:rFonts w:hint="eastAsia" w:asciiTheme="minorEastAsia" w:hAnsiTheme="minorEastAsia" w:eastAsiaTheme="minorEastAsia" w:cstheme="minorEastAsia"/>
          <w:color w:val="auto"/>
          <w:sz w:val="21"/>
          <w:szCs w:val="24"/>
          <w:highlight w:val="none"/>
        </w:rPr>
        <w:t>磋商代表必须是法定代表人或持有《法定代表人授权委托书》的被授权代表人。</w:t>
      </w:r>
    </w:p>
    <w:p>
      <w:pPr>
        <w:pStyle w:val="16"/>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4"/>
          <w:highlight w:val="none"/>
        </w:rPr>
      </w:pPr>
      <w:bookmarkStart w:id="17" w:name="_Toc75259340"/>
      <w:bookmarkStart w:id="18" w:name="_Toc25096"/>
      <w:r>
        <w:rPr>
          <w:rFonts w:hint="eastAsia" w:asciiTheme="minorEastAsia" w:hAnsiTheme="minorEastAsia" w:eastAsiaTheme="minorEastAsia" w:cstheme="minorEastAsia"/>
          <w:b/>
          <w:color w:val="auto"/>
          <w:sz w:val="21"/>
          <w:szCs w:val="24"/>
          <w:highlight w:val="none"/>
        </w:rPr>
        <w:t>5</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4"/>
          <w:highlight w:val="none"/>
        </w:rPr>
        <w:t>费用</w:t>
      </w:r>
      <w:bookmarkEnd w:id="17"/>
      <w:bookmarkEnd w:id="18"/>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color w:val="auto"/>
          <w:sz w:val="21"/>
          <w:szCs w:val="24"/>
          <w:highlight w:val="none"/>
        </w:rPr>
      </w:pPr>
      <w:r>
        <w:rPr>
          <w:rFonts w:hint="eastAsia" w:asciiTheme="minorEastAsia" w:hAnsiTheme="minorEastAsia" w:eastAsiaTheme="minorEastAsia" w:cstheme="minorEastAsia"/>
          <w:color w:val="auto"/>
          <w:sz w:val="21"/>
          <w:szCs w:val="24"/>
          <w:highlight w:val="none"/>
        </w:rPr>
        <w:t>无论磋商结果如何，供应商自行承担所有与参加磋商有关的全部费用。</w:t>
      </w:r>
    </w:p>
    <w:p>
      <w:pPr>
        <w:pStyle w:val="16"/>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4"/>
          <w:highlight w:val="none"/>
        </w:rPr>
      </w:pPr>
      <w:bookmarkStart w:id="19" w:name="_Toc186"/>
      <w:bookmarkStart w:id="20" w:name="_Toc75259341"/>
      <w:r>
        <w:rPr>
          <w:rFonts w:hint="eastAsia" w:asciiTheme="minorEastAsia" w:hAnsiTheme="minorEastAsia" w:eastAsiaTheme="minorEastAsia" w:cstheme="minorEastAsia"/>
          <w:b/>
          <w:color w:val="auto"/>
          <w:sz w:val="21"/>
          <w:szCs w:val="24"/>
          <w:highlight w:val="none"/>
        </w:rPr>
        <w:t>6</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4"/>
          <w:highlight w:val="none"/>
        </w:rPr>
        <w:t>响应文件</w:t>
      </w:r>
      <w:bookmarkEnd w:id="19"/>
      <w:bookmarkEnd w:id="20"/>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6.1响应文件的组成</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bookmarkStart w:id="21" w:name="_Hlk63272456"/>
      <w:r>
        <w:rPr>
          <w:rFonts w:hint="eastAsia" w:asciiTheme="minorEastAsia" w:hAnsiTheme="minorEastAsia" w:eastAsiaTheme="minorEastAsia" w:cstheme="minorEastAsia"/>
          <w:color w:val="auto"/>
          <w:sz w:val="21"/>
          <w:szCs w:val="24"/>
          <w:highlight w:val="none"/>
        </w:rPr>
        <w:t>（1）磋商</w:t>
      </w:r>
      <w:r>
        <w:rPr>
          <w:rFonts w:hint="eastAsia" w:asciiTheme="minorEastAsia" w:hAnsiTheme="minorEastAsia" w:eastAsiaTheme="minorEastAsia" w:cstheme="minorEastAsia"/>
          <w:color w:val="auto"/>
          <w:sz w:val="21"/>
          <w:szCs w:val="24"/>
          <w:highlight w:val="none"/>
          <w:lang w:val="en-US" w:eastAsia="zh-CN"/>
        </w:rPr>
        <w:t>响应</w:t>
      </w:r>
      <w:r>
        <w:rPr>
          <w:rFonts w:hint="eastAsia" w:asciiTheme="minorEastAsia" w:hAnsiTheme="minorEastAsia" w:eastAsiaTheme="minorEastAsia" w:cstheme="minorEastAsia"/>
          <w:color w:val="auto"/>
          <w:sz w:val="21"/>
          <w:szCs w:val="24"/>
          <w:highlight w:val="none"/>
        </w:rPr>
        <w:t>函；</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lang w:eastAsia="zh-CN"/>
        </w:rPr>
      </w:pPr>
      <w:r>
        <w:rPr>
          <w:rFonts w:hint="eastAsia" w:asciiTheme="minorEastAsia" w:hAnsiTheme="minorEastAsia" w:eastAsiaTheme="minorEastAsia" w:cstheme="minorEastAsia"/>
          <w:color w:val="auto"/>
          <w:sz w:val="21"/>
          <w:szCs w:val="24"/>
          <w:highlight w:val="none"/>
        </w:rPr>
        <w:t>（2）</w:t>
      </w:r>
      <w:r>
        <w:rPr>
          <w:rFonts w:hint="eastAsia" w:asciiTheme="minorEastAsia" w:hAnsiTheme="minorEastAsia" w:cstheme="minorEastAsia"/>
          <w:color w:val="auto"/>
          <w:sz w:val="21"/>
          <w:szCs w:val="24"/>
          <w:highlight w:val="none"/>
          <w:lang w:val="en-US" w:eastAsia="zh-CN"/>
        </w:rPr>
        <w:t>报价</w:t>
      </w:r>
      <w:r>
        <w:rPr>
          <w:rFonts w:hint="eastAsia" w:asciiTheme="minorEastAsia" w:hAnsiTheme="minorEastAsia" w:eastAsiaTheme="minorEastAsia" w:cstheme="minorEastAsia"/>
          <w:color w:val="auto"/>
          <w:sz w:val="21"/>
          <w:szCs w:val="24"/>
          <w:highlight w:val="none"/>
        </w:rPr>
        <w:t>一览表</w:t>
      </w:r>
      <w:r>
        <w:rPr>
          <w:rFonts w:hint="eastAsia" w:asciiTheme="minorEastAsia" w:hAnsiTheme="minorEastAsia" w:eastAsiaTheme="minorEastAsia" w:cstheme="minorEastAsia"/>
          <w:color w:val="auto"/>
          <w:sz w:val="21"/>
          <w:szCs w:val="24"/>
          <w:highlight w:val="none"/>
          <w:lang w:eastAsia="zh-CN"/>
        </w:rPr>
        <w:t>；</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（3）法定代表人（自然人）身份证明</w:t>
      </w:r>
      <w:r>
        <w:rPr>
          <w:rFonts w:hint="eastAsia" w:asciiTheme="minorEastAsia" w:hAnsiTheme="minorEastAsia" w:cstheme="minorEastAsia"/>
          <w:color w:val="auto"/>
          <w:sz w:val="21"/>
          <w:szCs w:val="24"/>
          <w:highlight w:val="none"/>
          <w:lang w:val="en-US" w:eastAsia="zh-CN"/>
        </w:rPr>
        <w:t>或法定代表人</w:t>
      </w:r>
      <w:r>
        <w:rPr>
          <w:rFonts w:hint="eastAsia" w:asciiTheme="minorEastAsia" w:hAnsiTheme="minorEastAsia" w:eastAsiaTheme="minorEastAsia" w:cstheme="minorEastAsia"/>
          <w:color w:val="auto"/>
          <w:sz w:val="21"/>
          <w:szCs w:val="24"/>
          <w:highlight w:val="none"/>
        </w:rPr>
        <w:t>授权委托书；</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（4）资格证明文件；</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4"/>
          <w:highlight w:val="none"/>
        </w:rPr>
      </w:pPr>
      <w:r>
        <w:rPr>
          <w:rFonts w:hint="eastAsia" w:asciiTheme="minorEastAsia" w:hAnsiTheme="minorEastAsia" w:eastAsiaTheme="minorEastAsia" w:cstheme="minorEastAsia"/>
          <w:bCs/>
          <w:color w:val="auto"/>
          <w:sz w:val="21"/>
          <w:szCs w:val="24"/>
          <w:highlight w:val="none"/>
        </w:rPr>
        <w:t>（5）商务部分；</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4"/>
          <w:highlight w:val="none"/>
        </w:rPr>
      </w:pPr>
      <w:r>
        <w:rPr>
          <w:rFonts w:hint="eastAsia" w:asciiTheme="minorEastAsia" w:hAnsiTheme="minorEastAsia" w:eastAsiaTheme="minorEastAsia" w:cstheme="minorEastAsia"/>
          <w:bCs/>
          <w:color w:val="auto"/>
          <w:sz w:val="21"/>
          <w:szCs w:val="24"/>
          <w:highlight w:val="none"/>
        </w:rPr>
        <w:t>（6）技术部分；</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4"/>
          <w:highlight w:val="none"/>
        </w:rPr>
      </w:pPr>
      <w:r>
        <w:rPr>
          <w:rFonts w:hint="eastAsia" w:asciiTheme="minorEastAsia" w:hAnsiTheme="minorEastAsia" w:eastAsiaTheme="minorEastAsia" w:cstheme="minorEastAsia"/>
          <w:bCs/>
          <w:color w:val="auto"/>
          <w:sz w:val="21"/>
          <w:szCs w:val="24"/>
          <w:highlight w:val="none"/>
        </w:rPr>
        <w:t>（</w:t>
      </w:r>
      <w:r>
        <w:rPr>
          <w:rFonts w:hint="eastAsia" w:asciiTheme="minorEastAsia" w:hAnsiTheme="minorEastAsia" w:cstheme="minorEastAsia"/>
          <w:bCs/>
          <w:color w:val="auto"/>
          <w:sz w:val="21"/>
          <w:szCs w:val="24"/>
          <w:highlight w:val="none"/>
          <w:lang w:val="en-US" w:eastAsia="zh-CN"/>
        </w:rPr>
        <w:t>7</w:t>
      </w:r>
      <w:r>
        <w:rPr>
          <w:rFonts w:hint="eastAsia" w:asciiTheme="minorEastAsia" w:hAnsiTheme="minorEastAsia" w:eastAsiaTheme="minorEastAsia" w:cstheme="minorEastAsia"/>
          <w:bCs/>
          <w:color w:val="auto"/>
          <w:sz w:val="21"/>
          <w:szCs w:val="24"/>
          <w:highlight w:val="none"/>
        </w:rPr>
        <w:t>）其他材料</w:t>
      </w:r>
    </w:p>
    <w:bookmarkEnd w:id="21"/>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1"/>
        <w:rPr>
          <w:rFonts w:hint="eastAsia" w:asciiTheme="minorEastAsia" w:hAnsiTheme="minorEastAsia" w:eastAsiaTheme="minorEastAsia" w:cstheme="minorEastAsia"/>
          <w:color w:val="auto"/>
          <w:sz w:val="21"/>
          <w:szCs w:val="24"/>
          <w:highlight w:val="none"/>
        </w:rPr>
      </w:pPr>
      <w:bookmarkStart w:id="22" w:name="_Toc75259342"/>
      <w:bookmarkStart w:id="23" w:name="_Toc13957"/>
      <w:r>
        <w:rPr>
          <w:rFonts w:hint="eastAsia" w:asciiTheme="minorEastAsia" w:hAnsiTheme="minorEastAsia" w:eastAsiaTheme="minorEastAsia" w:cstheme="minorEastAsia"/>
          <w:color w:val="auto"/>
          <w:sz w:val="21"/>
          <w:szCs w:val="24"/>
          <w:highlight w:val="none"/>
        </w:rPr>
        <w:t>6.2响应文件编制要求</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1"/>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（1）响应文件按6.1顺序组成，装订成册，供应商应按标包分别制作响应文件。</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1"/>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（2）响应文件应字迹清楚、内容齐全、数字准确、不应有涂改增删处。如修改时，修改处须有法定代表人或授权代表签字并加盖供应商公章。</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1"/>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（3）响应文件必须用不褪色的墨水书写或打印，不得复印，并注明“正本”、“副本”字样。响应文件正、副本均须采用A4纸装订成册，不得出现散页、重页、掉页现象。</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1"/>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（4）响应文件的正本和副本必须在需要签字处签字及加盖公章处加盖供应商红色公章。</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1"/>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5）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1"/>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6.3磋商时提供的资格证明文件应包括：</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1"/>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第一部分 竞争性磋商公告 第二条 响应供应商的资格要求的内容</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1"/>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以上资格证明材料需在响应文件中提供清晰、可见，加盖公章的复印件或原件以便采购人进行资格审查，若材料内容模糊不清造成对供应商不利的后果由供应商自负，若供应商资格证明材料不符合要求，将按无效响应处理，不进入下一评审环节。</w:t>
      </w:r>
    </w:p>
    <w:p>
      <w:pPr>
        <w:pStyle w:val="16"/>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4"/>
          <w:highlight w:val="none"/>
        </w:rPr>
      </w:pPr>
      <w:r>
        <w:rPr>
          <w:rFonts w:hint="eastAsia" w:asciiTheme="minorEastAsia" w:hAnsiTheme="minorEastAsia" w:eastAsiaTheme="minorEastAsia" w:cstheme="minorEastAsia"/>
          <w:b/>
          <w:color w:val="auto"/>
          <w:sz w:val="21"/>
          <w:szCs w:val="24"/>
          <w:highlight w:val="none"/>
        </w:rPr>
        <w:t>7</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4"/>
          <w:highlight w:val="none"/>
        </w:rPr>
        <w:t>磋商保证金</w:t>
      </w:r>
      <w:bookmarkEnd w:id="22"/>
      <w:bookmarkEnd w:id="23"/>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 xml:space="preserve">7.1 </w:t>
      </w:r>
      <w:r>
        <w:rPr>
          <w:rFonts w:hint="eastAsia" w:asciiTheme="minorEastAsia" w:hAnsiTheme="minorEastAsia" w:eastAsiaTheme="minorEastAsia" w:cstheme="minorEastAsia"/>
          <w:color w:val="auto"/>
          <w:highlight w:val="none"/>
        </w:rPr>
        <w:t>磋商保证金金额：</w:t>
      </w:r>
      <w:r>
        <w:rPr>
          <w:rFonts w:hint="eastAsia" w:asciiTheme="minorEastAsia" w:hAnsiTheme="minorEastAsia" w:eastAsiaTheme="minorEastAsia" w:cstheme="minorEastAsia"/>
          <w:b/>
          <w:color w:val="auto"/>
          <w:highlight w:val="none"/>
        </w:rPr>
        <w:t>人民币</w:t>
      </w:r>
      <w:r>
        <w:rPr>
          <w:rFonts w:hint="eastAsia" w:asciiTheme="minorEastAsia" w:hAnsiTheme="minorEastAsia" w:cstheme="minorEastAsia"/>
          <w:b/>
          <w:color w:val="auto"/>
          <w:highlight w:val="none"/>
          <w:lang w:val="en-US" w:eastAsia="zh-CN"/>
        </w:rPr>
        <w:t>陆仟元整</w:t>
      </w:r>
      <w:r>
        <w:rPr>
          <w:rFonts w:hint="eastAsia" w:asciiTheme="minorEastAsia" w:hAnsiTheme="minorEastAsia" w:eastAsiaTheme="minorEastAsia" w:cstheme="minorEastAsia"/>
          <w:b/>
          <w:color w:val="auto"/>
          <w:highlight w:val="none"/>
          <w:lang w:eastAsia="zh-CN"/>
        </w:rPr>
        <w:t>（￥</w:t>
      </w:r>
      <w:r>
        <w:rPr>
          <w:rFonts w:hint="eastAsia" w:asciiTheme="minorEastAsia" w:hAnsiTheme="minorEastAsia" w:cstheme="minorEastAsia"/>
          <w:b/>
          <w:color w:val="auto"/>
          <w:highlight w:val="none"/>
          <w:lang w:val="en-US" w:eastAsia="zh-CN"/>
        </w:rPr>
        <w:t>6</w:t>
      </w:r>
      <w:r>
        <w:rPr>
          <w:rFonts w:hint="eastAsia" w:asciiTheme="minorEastAsia" w:hAnsiTheme="minorEastAsia" w:eastAsiaTheme="minorEastAsia" w:cstheme="minorEastAsia"/>
          <w:b/>
          <w:color w:val="auto"/>
          <w:highlight w:val="none"/>
          <w:lang w:val="en-US" w:eastAsia="zh-CN"/>
        </w:rPr>
        <w:t>000.00元</w:t>
      </w:r>
      <w:r>
        <w:rPr>
          <w:rFonts w:hint="eastAsia" w:asciiTheme="minorEastAsia" w:hAnsiTheme="minorEastAsia" w:eastAsiaTheme="minorEastAsia" w:cstheme="minorEastAsia"/>
          <w:b/>
          <w:color w:val="auto"/>
          <w:highlight w:val="none"/>
          <w:lang w:eastAsia="zh-CN"/>
        </w:rPr>
        <w:t>）</w:t>
      </w:r>
      <w:r>
        <w:rPr>
          <w:rFonts w:hint="eastAsia" w:asciiTheme="minorEastAsia" w:hAnsiTheme="minorEastAsia" w:eastAsiaTheme="minorEastAsia" w:cstheme="minorEastAsia"/>
          <w:color w:val="auto"/>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7.2 磋商保证金</w:t>
      </w:r>
      <w:r>
        <w:rPr>
          <w:rFonts w:hint="eastAsia" w:asciiTheme="minorEastAsia" w:hAnsiTheme="minorEastAsia" w:eastAsiaTheme="minorEastAsia" w:cstheme="minorEastAsia"/>
          <w:color w:val="auto"/>
          <w:kern w:val="0"/>
          <w:highlight w:val="none"/>
          <w:lang w:val="en-US" w:eastAsia="zh-CN"/>
        </w:rPr>
        <w:t>缴纳方式</w:t>
      </w:r>
      <w:r>
        <w:rPr>
          <w:rFonts w:hint="eastAsia" w:asciiTheme="minorEastAsia" w:hAnsiTheme="minorEastAsia" w:eastAsiaTheme="minorEastAsia" w:cstheme="minorEastAsia"/>
          <w:color w:val="auto"/>
          <w:kern w:val="0"/>
          <w:highlight w:val="none"/>
        </w:rPr>
        <w:t>：支票、汇票、本票或者金融机构、担保机构出具的保函等非现金形式提交。除保函外，其他形式提交的磋商保证金应从供应商</w:t>
      </w:r>
      <w:r>
        <w:rPr>
          <w:rFonts w:hint="eastAsia" w:asciiTheme="minorEastAsia" w:hAnsiTheme="minorEastAsia" w:eastAsiaTheme="minorEastAsia" w:cstheme="minorEastAsia"/>
          <w:b/>
          <w:color w:val="auto"/>
          <w:kern w:val="0"/>
          <w:highlight w:val="none"/>
        </w:rPr>
        <w:t>基本账户</w:t>
      </w:r>
      <w:r>
        <w:rPr>
          <w:rFonts w:hint="eastAsia" w:asciiTheme="minorEastAsia" w:hAnsiTheme="minorEastAsia" w:eastAsiaTheme="minorEastAsia" w:cstheme="minorEastAsia"/>
          <w:color w:val="auto"/>
          <w:kern w:val="0"/>
          <w:highlight w:val="none"/>
        </w:rPr>
        <w:t>转出，供应商须将</w:t>
      </w:r>
      <w:r>
        <w:rPr>
          <w:rFonts w:hint="eastAsia" w:asciiTheme="minorEastAsia" w:hAnsiTheme="minorEastAsia" w:eastAsiaTheme="minorEastAsia" w:cstheme="minorEastAsia"/>
          <w:color w:val="auto"/>
          <w:kern w:val="0"/>
          <w:highlight w:val="none"/>
          <w:lang w:val="en-US" w:eastAsia="zh-CN"/>
        </w:rPr>
        <w:t>缴</w:t>
      </w:r>
      <w:r>
        <w:rPr>
          <w:rFonts w:hint="eastAsia" w:asciiTheme="minorEastAsia" w:hAnsiTheme="minorEastAsia" w:eastAsiaTheme="minorEastAsia" w:cstheme="minorEastAsia"/>
          <w:color w:val="auto"/>
          <w:kern w:val="0"/>
          <w:highlight w:val="none"/>
        </w:rPr>
        <w:t>款凭证复印件（电汇或转账回单）装订在响应文件中，以银行保函方式递交保证金的，出具保函的银行须为其基本账户开户银行（若其基本账户开户银行没有出具保函的权限，可由该银行的上一级银行出具保函，并做出相应说明）。</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7.3 磋商保证金缴纳账户信息：</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highlight w:val="none"/>
          <w:lang w:eastAsia="zh-CN"/>
        </w:rPr>
      </w:pPr>
      <w:r>
        <w:rPr>
          <w:rFonts w:hint="eastAsia" w:asciiTheme="minorEastAsia" w:hAnsiTheme="minorEastAsia" w:eastAsiaTheme="minorEastAsia" w:cstheme="minorEastAsia"/>
          <w:color w:val="auto"/>
          <w:kern w:val="0"/>
          <w:highlight w:val="none"/>
        </w:rPr>
        <w:t>收款单位：</w:t>
      </w:r>
      <w:r>
        <w:rPr>
          <w:rFonts w:hint="eastAsia" w:asciiTheme="minorEastAsia" w:hAnsiTheme="minorEastAsia" w:eastAsiaTheme="minorEastAsia" w:cstheme="minorEastAsia"/>
          <w:b/>
          <w:color w:val="auto"/>
          <w:kern w:val="0"/>
          <w:highlight w:val="none"/>
          <w:lang w:val="en-US" w:eastAsia="zh-CN"/>
        </w:rPr>
        <w:t>陕西轩鼎项目管理有限公司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开户银行：</w:t>
      </w:r>
      <w:r>
        <w:rPr>
          <w:rFonts w:hint="eastAsia" w:asciiTheme="minorEastAsia" w:hAnsiTheme="minorEastAsia" w:eastAsiaTheme="minorEastAsia" w:cstheme="minorEastAsia"/>
          <w:b/>
          <w:color w:val="auto"/>
          <w:kern w:val="0"/>
          <w:highlight w:val="none"/>
        </w:rPr>
        <w:t>中国建设银行股份有限公司延安分行营业室</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账    号：</w:t>
      </w:r>
      <w:r>
        <w:rPr>
          <w:rFonts w:hint="eastAsia" w:asciiTheme="minorEastAsia" w:hAnsiTheme="minorEastAsia" w:eastAsiaTheme="minorEastAsia" w:cstheme="minorEastAsia"/>
          <w:b/>
          <w:color w:val="auto"/>
          <w:kern w:val="0"/>
          <w:highlight w:val="none"/>
        </w:rPr>
        <w:t>61050168003109009966</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7.4 供应商不按要求提交磋商保证金的，按无效</w:t>
      </w:r>
      <w:r>
        <w:rPr>
          <w:rFonts w:hint="eastAsia" w:asciiTheme="minorEastAsia" w:hAnsiTheme="minorEastAsia" w:eastAsiaTheme="minorEastAsia" w:cstheme="minorEastAsia"/>
          <w:color w:val="auto"/>
          <w:sz w:val="21"/>
          <w:szCs w:val="24"/>
          <w:highlight w:val="none"/>
          <w:lang w:val="en-US" w:eastAsia="zh-CN"/>
        </w:rPr>
        <w:t>响应</w:t>
      </w:r>
      <w:r>
        <w:rPr>
          <w:rFonts w:hint="eastAsia" w:asciiTheme="minorEastAsia" w:hAnsiTheme="minorEastAsia" w:eastAsiaTheme="minorEastAsia" w:cstheme="minorEastAsia"/>
          <w:color w:val="auto"/>
          <w:sz w:val="21"/>
          <w:szCs w:val="24"/>
          <w:highlight w:val="none"/>
        </w:rPr>
        <w:t>处理。</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7.5 自成交通知书发出之日起5个工作日内退还未成交供应商的磋商保证金，自政府采购合同签订之日起5个工作日内退还成交供应商的磋商保证金。</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7.6 有下列情形之一的，磋商保证金将不予退还：</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（1）供应商在提交响应文件截止时间后撤回响应文件的；</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（2）供应商在响应文件中提供虚假材料的；</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lang w:eastAsia="zh-CN"/>
        </w:rPr>
      </w:pPr>
      <w:r>
        <w:rPr>
          <w:rFonts w:hint="eastAsia" w:asciiTheme="minorEastAsia" w:hAnsiTheme="minorEastAsia" w:eastAsiaTheme="minorEastAsia" w:cstheme="minorEastAsia"/>
          <w:color w:val="auto"/>
          <w:sz w:val="21"/>
          <w:szCs w:val="24"/>
          <w:highlight w:val="none"/>
          <w:lang w:eastAsia="zh-CN"/>
        </w:rPr>
        <w:t>（</w:t>
      </w:r>
      <w:r>
        <w:rPr>
          <w:rFonts w:hint="eastAsia" w:asciiTheme="minorEastAsia" w:hAnsiTheme="minorEastAsia" w:eastAsiaTheme="minorEastAsia" w:cstheme="minorEastAsia"/>
          <w:color w:val="auto"/>
          <w:sz w:val="21"/>
          <w:szCs w:val="24"/>
          <w:highlight w:val="none"/>
          <w:lang w:val="en-US" w:eastAsia="zh-CN"/>
        </w:rPr>
        <w:t>3</w:t>
      </w:r>
      <w:r>
        <w:rPr>
          <w:rFonts w:hint="eastAsia" w:asciiTheme="minorEastAsia" w:hAnsiTheme="minorEastAsia" w:eastAsiaTheme="minorEastAsia" w:cstheme="minorEastAsia"/>
          <w:color w:val="auto"/>
          <w:sz w:val="21"/>
          <w:szCs w:val="24"/>
          <w:highlight w:val="none"/>
          <w:lang w:eastAsia="zh-CN"/>
        </w:rPr>
        <w:t>）成交供应商不与采购人签订合同的，除因不可抗力或</w:t>
      </w:r>
      <w:r>
        <w:rPr>
          <w:rFonts w:hint="eastAsia" w:asciiTheme="minorEastAsia" w:hAnsiTheme="minorEastAsia" w:eastAsiaTheme="minorEastAsia" w:cstheme="minorEastAsia"/>
          <w:color w:val="auto"/>
          <w:sz w:val="21"/>
          <w:szCs w:val="24"/>
          <w:highlight w:val="none"/>
          <w:lang w:val="en-US" w:eastAsia="zh-CN"/>
        </w:rPr>
        <w:t>磋商文件</w:t>
      </w:r>
      <w:r>
        <w:rPr>
          <w:rFonts w:hint="eastAsia" w:asciiTheme="minorEastAsia" w:hAnsiTheme="minorEastAsia" w:eastAsiaTheme="minorEastAsia" w:cstheme="minorEastAsia"/>
          <w:color w:val="auto"/>
          <w:sz w:val="21"/>
          <w:szCs w:val="24"/>
          <w:highlight w:val="none"/>
          <w:lang w:eastAsia="zh-CN"/>
        </w:rPr>
        <w:t>认可的情形以外；</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lang w:eastAsia="zh-CN"/>
        </w:rPr>
      </w:pPr>
      <w:r>
        <w:rPr>
          <w:rFonts w:hint="eastAsia" w:asciiTheme="minorEastAsia" w:hAnsiTheme="minorEastAsia" w:eastAsiaTheme="minorEastAsia" w:cstheme="minorEastAsia"/>
          <w:color w:val="auto"/>
          <w:sz w:val="21"/>
          <w:szCs w:val="24"/>
          <w:highlight w:val="none"/>
          <w:lang w:eastAsia="zh-CN"/>
        </w:rPr>
        <w:t>（</w:t>
      </w:r>
      <w:r>
        <w:rPr>
          <w:rFonts w:hint="eastAsia" w:asciiTheme="minorEastAsia" w:hAnsiTheme="minorEastAsia" w:eastAsiaTheme="minorEastAsia" w:cstheme="minorEastAsia"/>
          <w:color w:val="auto"/>
          <w:sz w:val="21"/>
          <w:szCs w:val="24"/>
          <w:highlight w:val="none"/>
          <w:lang w:val="en-US" w:eastAsia="zh-CN"/>
        </w:rPr>
        <w:t>4</w:t>
      </w:r>
      <w:r>
        <w:rPr>
          <w:rFonts w:hint="eastAsia" w:asciiTheme="minorEastAsia" w:hAnsiTheme="minorEastAsia" w:eastAsiaTheme="minorEastAsia" w:cstheme="minorEastAsia"/>
          <w:color w:val="auto"/>
          <w:sz w:val="21"/>
          <w:szCs w:val="24"/>
          <w:highlight w:val="none"/>
          <w:lang w:eastAsia="zh-CN"/>
        </w:rPr>
        <w:t>）供应商与采购人、其他供应商或者采购代理机构恶意串通的；</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w:t>
      </w:r>
      <w:r>
        <w:rPr>
          <w:rFonts w:hint="eastAsia" w:asciiTheme="minorEastAsia" w:hAnsiTheme="minorEastAsia" w:eastAsiaTheme="minorEastAsia" w:cstheme="minorEastAsia"/>
          <w:color w:val="auto"/>
          <w:sz w:val="21"/>
          <w:szCs w:val="24"/>
          <w:highlight w:val="none"/>
          <w:lang w:val="en-US" w:eastAsia="zh-CN"/>
        </w:rPr>
        <w:t>5</w:t>
      </w:r>
      <w:r>
        <w:rPr>
          <w:rFonts w:hint="eastAsia" w:asciiTheme="minorEastAsia" w:hAnsiTheme="minorEastAsia" w:eastAsiaTheme="minorEastAsia" w:cstheme="minorEastAsia"/>
          <w:color w:val="auto"/>
          <w:sz w:val="21"/>
          <w:szCs w:val="24"/>
          <w:highlight w:val="none"/>
        </w:rPr>
        <w:t>）未按竞争性磋商文件规定缴纳</w:t>
      </w:r>
      <w:r>
        <w:rPr>
          <w:rFonts w:hint="eastAsia" w:asciiTheme="minorEastAsia" w:hAnsiTheme="minorEastAsia" w:eastAsiaTheme="minorEastAsia" w:cstheme="minorEastAsia"/>
          <w:color w:val="auto"/>
          <w:sz w:val="21"/>
          <w:szCs w:val="24"/>
          <w:highlight w:val="none"/>
          <w:lang w:val="en-US" w:eastAsia="zh-CN"/>
        </w:rPr>
        <w:t>采购</w:t>
      </w:r>
      <w:r>
        <w:rPr>
          <w:rFonts w:hint="eastAsia" w:asciiTheme="minorEastAsia" w:hAnsiTheme="minorEastAsia" w:eastAsiaTheme="minorEastAsia" w:cstheme="minorEastAsia"/>
          <w:color w:val="auto"/>
          <w:sz w:val="21"/>
          <w:szCs w:val="24"/>
          <w:highlight w:val="none"/>
        </w:rPr>
        <w:t>代理服务费。</w:t>
      </w:r>
    </w:p>
    <w:p>
      <w:pPr>
        <w:pStyle w:val="16"/>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4"/>
          <w:highlight w:val="none"/>
        </w:rPr>
      </w:pPr>
      <w:bookmarkStart w:id="24" w:name="_Toc75259344"/>
      <w:bookmarkStart w:id="25" w:name="_Toc14323"/>
      <w:bookmarkStart w:id="26" w:name="_Toc75259343"/>
      <w:bookmarkStart w:id="27" w:name="_Toc4401"/>
      <w:r>
        <w:rPr>
          <w:rFonts w:hint="eastAsia" w:asciiTheme="minorEastAsia" w:hAnsiTheme="minorEastAsia" w:cstheme="minorEastAsia"/>
          <w:b/>
          <w:color w:val="auto"/>
          <w:sz w:val="21"/>
          <w:szCs w:val="24"/>
          <w:highlight w:val="none"/>
          <w:lang w:val="en-US" w:eastAsia="zh-CN"/>
        </w:rPr>
        <w:t>8</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4"/>
          <w:highlight w:val="none"/>
        </w:rPr>
        <w:t>磋商内容</w:t>
      </w:r>
      <w:bookmarkEnd w:id="24"/>
      <w:bookmarkEnd w:id="25"/>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cstheme="minorEastAsia"/>
          <w:color w:val="auto"/>
          <w:sz w:val="21"/>
          <w:szCs w:val="24"/>
          <w:highlight w:val="none"/>
          <w:lang w:val="en-US" w:eastAsia="zh-CN"/>
        </w:rPr>
        <w:t>8</w:t>
      </w:r>
      <w:r>
        <w:rPr>
          <w:rFonts w:hint="eastAsia" w:asciiTheme="minorEastAsia" w:hAnsiTheme="minorEastAsia" w:eastAsiaTheme="minorEastAsia" w:cstheme="minorEastAsia"/>
          <w:color w:val="auto"/>
          <w:sz w:val="21"/>
          <w:szCs w:val="24"/>
          <w:highlight w:val="none"/>
        </w:rPr>
        <w:t>.1采购项目的磋商报价、商务部分、技术部分、服务承诺等内容。</w:t>
      </w:r>
    </w:p>
    <w:p>
      <w:pPr>
        <w:pStyle w:val="16"/>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4"/>
          <w:highlight w:val="none"/>
        </w:rPr>
      </w:pPr>
      <w:r>
        <w:rPr>
          <w:rFonts w:hint="eastAsia" w:asciiTheme="minorEastAsia" w:hAnsiTheme="minorEastAsia" w:cstheme="minorEastAsia"/>
          <w:b/>
          <w:color w:val="auto"/>
          <w:sz w:val="21"/>
          <w:szCs w:val="24"/>
          <w:highlight w:val="none"/>
          <w:lang w:val="en-US" w:eastAsia="zh-CN"/>
        </w:rPr>
        <w:t>9</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4"/>
          <w:highlight w:val="none"/>
        </w:rPr>
        <w:t>评审工作程序</w:t>
      </w:r>
      <w:bookmarkEnd w:id="26"/>
      <w:bookmarkEnd w:id="27"/>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cstheme="minorEastAsia"/>
          <w:color w:val="auto"/>
          <w:szCs w:val="24"/>
          <w:highlight w:val="none"/>
          <w:lang w:val="en-US" w:eastAsia="zh-CN"/>
        </w:rPr>
        <w:t>9</w:t>
      </w:r>
      <w:r>
        <w:rPr>
          <w:rFonts w:hint="eastAsia" w:asciiTheme="minorEastAsia" w:hAnsiTheme="minorEastAsia" w:eastAsiaTheme="minorEastAsia" w:cstheme="minorEastAsia"/>
          <w:color w:val="auto"/>
          <w:szCs w:val="24"/>
          <w:highlight w:val="none"/>
        </w:rPr>
        <w:t>.1</w:t>
      </w:r>
      <w:r>
        <w:rPr>
          <w:rFonts w:hint="eastAsia" w:asciiTheme="minorEastAsia" w:hAnsiTheme="minorEastAsia" w:cstheme="minorEastAsia"/>
          <w:color w:val="auto"/>
          <w:szCs w:val="24"/>
          <w:highlight w:val="none"/>
          <w:lang w:val="en-US" w:eastAsia="zh-CN"/>
        </w:rPr>
        <w:t>代理机构工作人员</w:t>
      </w:r>
      <w:r>
        <w:rPr>
          <w:rFonts w:hint="eastAsia" w:asciiTheme="minorEastAsia" w:hAnsiTheme="minorEastAsia" w:eastAsiaTheme="minorEastAsia" w:cstheme="minorEastAsia"/>
          <w:color w:val="auto"/>
          <w:szCs w:val="24"/>
          <w:highlight w:val="none"/>
        </w:rPr>
        <w:t>按下列程序</w:t>
      </w:r>
      <w:r>
        <w:rPr>
          <w:rFonts w:hint="eastAsia" w:asciiTheme="minorEastAsia" w:hAnsiTheme="minorEastAsia" w:cstheme="minorEastAsia"/>
          <w:color w:val="auto"/>
          <w:szCs w:val="24"/>
          <w:highlight w:val="none"/>
          <w:lang w:val="en-US" w:eastAsia="zh-CN"/>
        </w:rPr>
        <w:t>组织</w:t>
      </w:r>
      <w:r>
        <w:rPr>
          <w:rFonts w:hint="eastAsia" w:asciiTheme="minorEastAsia" w:hAnsiTheme="minorEastAsia" w:eastAsiaTheme="minorEastAsia" w:cstheme="minorEastAsia"/>
          <w:color w:val="auto"/>
          <w:szCs w:val="24"/>
          <w:highlight w:val="none"/>
        </w:rPr>
        <w:t>磋商：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（1）采购代理机构按磋商文件规定的时间、地点组织磋商；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（2）磋商</w:t>
      </w:r>
      <w:r>
        <w:rPr>
          <w:rFonts w:hint="eastAsia" w:asciiTheme="minorEastAsia" w:hAnsiTheme="minorEastAsia" w:eastAsiaTheme="minorEastAsia" w:cstheme="minorEastAsia"/>
          <w:color w:val="auto"/>
          <w:szCs w:val="24"/>
          <w:highlight w:val="none"/>
          <w:lang w:val="en-US" w:eastAsia="zh-CN"/>
        </w:rPr>
        <w:t>会议</w:t>
      </w:r>
      <w:r>
        <w:rPr>
          <w:rFonts w:hint="eastAsia" w:asciiTheme="minorEastAsia" w:hAnsiTheme="minorEastAsia" w:eastAsiaTheme="minorEastAsia" w:cstheme="minorEastAsia"/>
          <w:color w:val="auto"/>
          <w:szCs w:val="24"/>
          <w:highlight w:val="none"/>
        </w:rPr>
        <w:t>由采购代理机构主持，采购人代表及有关人员参加；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（3）供应商应派法定代表人或其授权代表参加磋商，</w:t>
      </w:r>
      <w:r>
        <w:rPr>
          <w:rFonts w:hint="eastAsia" w:asciiTheme="minorEastAsia" w:hAnsiTheme="minorEastAsia" w:eastAsiaTheme="minorEastAsia" w:cstheme="minorEastAsia"/>
          <w:color w:val="auto"/>
          <w:szCs w:val="24"/>
          <w:highlight w:val="none"/>
          <w:lang w:val="en-US" w:eastAsia="zh-CN"/>
        </w:rPr>
        <w:t>供应商</w:t>
      </w:r>
      <w:r>
        <w:rPr>
          <w:rFonts w:hint="eastAsia" w:asciiTheme="minorEastAsia" w:hAnsiTheme="minorEastAsia" w:eastAsiaTheme="minorEastAsia" w:cstheme="minorEastAsia"/>
          <w:color w:val="auto"/>
          <w:szCs w:val="24"/>
          <w:highlight w:val="none"/>
        </w:rPr>
        <w:t>应签名报到，以证明其出席；</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（4）磋商时</w:t>
      </w:r>
      <w:r>
        <w:rPr>
          <w:rFonts w:hint="eastAsia" w:asciiTheme="minorEastAsia" w:hAnsiTheme="minorEastAsia" w:eastAsiaTheme="minorEastAsia" w:cstheme="minorEastAsia"/>
          <w:color w:val="auto"/>
          <w:szCs w:val="24"/>
          <w:highlight w:val="none"/>
          <w:lang w:val="en-US" w:eastAsia="zh-CN"/>
        </w:rPr>
        <w:t>采购代理机构</w:t>
      </w:r>
      <w:r>
        <w:rPr>
          <w:rFonts w:hint="eastAsia" w:asciiTheme="minorEastAsia" w:hAnsiTheme="minorEastAsia" w:eastAsiaTheme="minorEastAsia" w:cstheme="minorEastAsia"/>
          <w:color w:val="auto"/>
          <w:szCs w:val="24"/>
          <w:highlight w:val="none"/>
        </w:rPr>
        <w:t>公布供应商的名称；</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（5）按本部分第6.</w:t>
      </w:r>
      <w:r>
        <w:rPr>
          <w:rFonts w:hint="eastAsia" w:asciiTheme="minorEastAsia" w:hAnsiTheme="minorEastAsia" w:cstheme="minorEastAsia"/>
          <w:color w:val="auto"/>
          <w:szCs w:val="24"/>
          <w:highlight w:val="none"/>
          <w:lang w:val="en-US" w:eastAsia="zh-CN"/>
        </w:rPr>
        <w:t>3</w:t>
      </w:r>
      <w:r>
        <w:rPr>
          <w:rFonts w:hint="eastAsia" w:asciiTheme="minorEastAsia" w:hAnsiTheme="minorEastAsia" w:eastAsiaTheme="minorEastAsia" w:cstheme="minorEastAsia"/>
          <w:color w:val="auto"/>
          <w:szCs w:val="24"/>
          <w:highlight w:val="none"/>
        </w:rPr>
        <w:t>条的内容对供应商进行资格审查，不符合磋商文件规定</w:t>
      </w:r>
      <w:r>
        <w:rPr>
          <w:rFonts w:hint="eastAsia" w:asciiTheme="minorEastAsia" w:hAnsiTheme="minorEastAsia" w:eastAsiaTheme="minorEastAsia" w:cstheme="minorEastAsia"/>
          <w:color w:val="auto"/>
          <w:szCs w:val="24"/>
          <w:highlight w:val="none"/>
          <w:lang w:val="en-US" w:eastAsia="zh-CN"/>
        </w:rPr>
        <w:t>资格</w:t>
      </w:r>
      <w:r>
        <w:rPr>
          <w:rFonts w:hint="eastAsia" w:asciiTheme="minorEastAsia" w:hAnsiTheme="minorEastAsia" w:eastAsiaTheme="minorEastAsia" w:cstheme="minorEastAsia"/>
          <w:color w:val="auto"/>
          <w:szCs w:val="24"/>
          <w:highlight w:val="none"/>
        </w:rPr>
        <w:t>要求的供应商将不再进入后续评审环节（在评审结束前发现供应商资格不符合要求的作无效响应处理）；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（6）检查响应文件密封情况，并签字确认；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（7）开启响应文件，宣读响应文件递交情况；</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（8）磋商；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（9）评审；</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（10）会议结束。</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lang w:val="zh-CN"/>
        </w:rPr>
      </w:pPr>
      <w:r>
        <w:rPr>
          <w:rFonts w:hint="eastAsia" w:asciiTheme="minorEastAsia" w:hAnsiTheme="minorEastAsia" w:eastAsiaTheme="minorEastAsia" w:cstheme="minorEastAsia"/>
          <w:color w:val="auto"/>
          <w:sz w:val="21"/>
          <w:szCs w:val="24"/>
          <w:highlight w:val="none"/>
          <w:lang w:val="zh-CN"/>
        </w:rPr>
        <w:t>磋商小组依据磋商文件的规定，对响应文件的</w:t>
      </w:r>
      <w:r>
        <w:rPr>
          <w:rFonts w:hint="eastAsia" w:asciiTheme="minorEastAsia" w:hAnsiTheme="minorEastAsia" w:cstheme="minorEastAsia"/>
          <w:color w:val="auto"/>
          <w:sz w:val="21"/>
          <w:szCs w:val="24"/>
          <w:highlight w:val="none"/>
          <w:lang w:val="en-US" w:eastAsia="zh-CN"/>
        </w:rPr>
        <w:t>符合性</w:t>
      </w:r>
      <w:r>
        <w:rPr>
          <w:rFonts w:hint="eastAsia" w:asciiTheme="minorEastAsia" w:hAnsiTheme="minorEastAsia" w:eastAsiaTheme="minorEastAsia" w:cstheme="minorEastAsia"/>
          <w:color w:val="auto"/>
          <w:sz w:val="21"/>
          <w:szCs w:val="24"/>
          <w:highlight w:val="none"/>
          <w:lang w:val="zh-CN"/>
        </w:rPr>
        <w:t>进行审查，以确定是否对</w:t>
      </w:r>
      <w:r>
        <w:rPr>
          <w:rFonts w:hint="eastAsia" w:asciiTheme="minorEastAsia" w:hAnsiTheme="minorEastAsia" w:cstheme="minorEastAsia"/>
          <w:color w:val="auto"/>
          <w:sz w:val="21"/>
          <w:szCs w:val="24"/>
          <w:highlight w:val="none"/>
          <w:lang w:val="en-US" w:eastAsia="zh-CN"/>
        </w:rPr>
        <w:t>竞争性</w:t>
      </w:r>
      <w:r>
        <w:rPr>
          <w:rFonts w:hint="eastAsia" w:asciiTheme="minorEastAsia" w:hAnsiTheme="minorEastAsia" w:eastAsiaTheme="minorEastAsia" w:cstheme="minorEastAsia"/>
          <w:color w:val="auto"/>
          <w:sz w:val="21"/>
          <w:szCs w:val="24"/>
          <w:highlight w:val="none"/>
          <w:lang w:val="zh-CN"/>
        </w:rPr>
        <w:t>磋商文件的要求做出实质性响应。未对磋商文件做实质性响应的供应商，不得进入具体磋商程序。</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cstheme="minorEastAsia"/>
          <w:color w:val="auto"/>
          <w:sz w:val="21"/>
          <w:szCs w:val="24"/>
          <w:highlight w:val="none"/>
          <w:lang w:val="en-US" w:eastAsia="zh-CN"/>
        </w:rPr>
        <w:t>9</w:t>
      </w:r>
      <w:r>
        <w:rPr>
          <w:rFonts w:hint="eastAsia" w:asciiTheme="minorEastAsia" w:hAnsiTheme="minorEastAsia" w:eastAsiaTheme="minorEastAsia" w:cstheme="minorEastAsia"/>
          <w:color w:val="auto"/>
          <w:sz w:val="21"/>
          <w:szCs w:val="24"/>
          <w:highlight w:val="none"/>
        </w:rPr>
        <w:t>.2磋商开始，与供应商磋商各项内容：</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lang w:val="zh-CN"/>
        </w:rPr>
      </w:pPr>
      <w:r>
        <w:rPr>
          <w:rFonts w:hint="eastAsia" w:asciiTheme="minorEastAsia" w:hAnsiTheme="minorEastAsia" w:eastAsiaTheme="minorEastAsia" w:cstheme="minorEastAsia"/>
          <w:color w:val="auto"/>
          <w:sz w:val="21"/>
          <w:szCs w:val="24"/>
          <w:highlight w:val="none"/>
          <w:lang w:val="zh-CN"/>
        </w:rPr>
        <w:t>磋商小组所有成员集中与单一供应商按照</w:t>
      </w:r>
      <w:r>
        <w:rPr>
          <w:rFonts w:hint="eastAsia" w:asciiTheme="minorEastAsia" w:hAnsiTheme="minorEastAsia" w:eastAsiaTheme="minorEastAsia" w:cstheme="minorEastAsia"/>
          <w:color w:val="auto"/>
          <w:sz w:val="21"/>
          <w:szCs w:val="24"/>
          <w:highlight w:val="none"/>
        </w:rPr>
        <w:t>顺序</w:t>
      </w:r>
      <w:r>
        <w:rPr>
          <w:rFonts w:hint="eastAsia" w:asciiTheme="minorEastAsia" w:hAnsiTheme="minorEastAsia" w:eastAsiaTheme="minorEastAsia" w:cstheme="minorEastAsia"/>
          <w:color w:val="auto"/>
          <w:sz w:val="21"/>
          <w:szCs w:val="24"/>
          <w:highlight w:val="none"/>
          <w:lang w:val="zh-CN"/>
        </w:rPr>
        <w:t>分别进行磋商。磋商小组可根据供应商的报价，响应内容及磋商的情况，给予每个正在参加磋商的供应商相同的机会。</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lang w:val="zh-CN"/>
        </w:rPr>
        <w:t>（1）</w:t>
      </w:r>
      <w:r>
        <w:rPr>
          <w:rFonts w:hint="eastAsia" w:asciiTheme="minorEastAsia" w:hAnsiTheme="minorEastAsia" w:eastAsiaTheme="minorEastAsia" w:cstheme="minorEastAsia"/>
          <w:color w:val="auto"/>
          <w:sz w:val="21"/>
          <w:szCs w:val="24"/>
          <w:highlight w:val="none"/>
        </w:rPr>
        <w:t xml:space="preserve">在磋商过程中，磋商小组可以根据磋商文件和磋商情况实质性变动采购需求中的技术、采购要求以及合同草案条款，但不得变动磋商文件中的其他内容。实质性变动的内容，须经采购人代表确认。 </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 xml:space="preserve">（2）对磋商文件作出的实质性变动是磋商文件的有效组成部分，磋商小组应当及时以书面形式同时通知所有参加磋商的供应商。 </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（3）供应商应当按照磋商文件的变动情况和磋商小组的要求重新提交响应文件，并由其</w:t>
      </w:r>
      <w:r>
        <w:rPr>
          <w:rFonts w:hint="eastAsia" w:asciiTheme="minorEastAsia" w:hAnsiTheme="minorEastAsia" w:eastAsiaTheme="minorEastAsia" w:cstheme="minorEastAsia"/>
          <w:color w:val="auto"/>
          <w:sz w:val="21"/>
          <w:szCs w:val="24"/>
          <w:highlight w:val="none"/>
          <w:lang w:val="en-US" w:eastAsia="zh-CN"/>
        </w:rPr>
        <w:t>法定代表人或</w:t>
      </w:r>
      <w:r>
        <w:rPr>
          <w:rFonts w:hint="eastAsia" w:asciiTheme="minorEastAsia" w:hAnsiTheme="minorEastAsia" w:eastAsiaTheme="minorEastAsia" w:cstheme="minorEastAsia"/>
          <w:color w:val="auto"/>
          <w:sz w:val="21"/>
          <w:szCs w:val="24"/>
          <w:highlight w:val="none"/>
        </w:rPr>
        <w:t>授权代表签字、盖章。</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cstheme="minorEastAsia"/>
          <w:color w:val="auto"/>
          <w:sz w:val="21"/>
          <w:szCs w:val="24"/>
          <w:highlight w:val="none"/>
          <w:lang w:val="en-US" w:eastAsia="zh-CN"/>
        </w:rPr>
        <w:t>9</w:t>
      </w:r>
      <w:r>
        <w:rPr>
          <w:rFonts w:hint="eastAsia" w:asciiTheme="minorEastAsia" w:hAnsiTheme="minorEastAsia" w:eastAsiaTheme="minorEastAsia" w:cstheme="minorEastAsia"/>
          <w:color w:val="auto"/>
          <w:sz w:val="21"/>
          <w:szCs w:val="24"/>
          <w:highlight w:val="none"/>
        </w:rPr>
        <w:t>.3各供应商进行二次报价：</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sz w:val="21"/>
          <w:szCs w:val="24"/>
          <w:highlight w:val="none"/>
          <w:lang w:val="en-US" w:eastAsia="zh-CN"/>
        </w:rPr>
      </w:pPr>
      <w:r>
        <w:rPr>
          <w:rFonts w:hint="eastAsia" w:asciiTheme="minorEastAsia" w:hAnsiTheme="minorEastAsia" w:eastAsiaTheme="minorEastAsia" w:cstheme="minorEastAsia"/>
          <w:color w:val="auto"/>
          <w:sz w:val="21"/>
          <w:szCs w:val="24"/>
          <w:highlight w:val="none"/>
          <w:lang w:val="zh-CN"/>
        </w:rPr>
        <w:t>磋商结束后，参加磋商的供应商应</w:t>
      </w:r>
      <w:r>
        <w:rPr>
          <w:rFonts w:hint="eastAsia" w:asciiTheme="minorEastAsia" w:hAnsiTheme="minorEastAsia" w:cstheme="minorEastAsia"/>
          <w:color w:val="auto"/>
          <w:sz w:val="21"/>
          <w:szCs w:val="24"/>
          <w:highlight w:val="none"/>
          <w:lang w:val="en-US" w:eastAsia="zh-CN"/>
        </w:rPr>
        <w:t>提交</w:t>
      </w:r>
      <w:r>
        <w:rPr>
          <w:rFonts w:hint="eastAsia" w:asciiTheme="minorEastAsia" w:hAnsiTheme="minorEastAsia" w:eastAsiaTheme="minorEastAsia" w:cstheme="minorEastAsia"/>
          <w:color w:val="auto"/>
          <w:sz w:val="21"/>
          <w:szCs w:val="24"/>
          <w:highlight w:val="none"/>
          <w:lang w:val="en-US" w:eastAsia="zh-CN"/>
        </w:rPr>
        <w:t>二次报价</w:t>
      </w:r>
      <w:r>
        <w:rPr>
          <w:rFonts w:hint="eastAsia" w:asciiTheme="minorEastAsia" w:hAnsiTheme="minorEastAsia" w:eastAsiaTheme="minorEastAsia" w:cstheme="minorEastAsia"/>
          <w:color w:val="auto"/>
          <w:sz w:val="21"/>
          <w:szCs w:val="24"/>
          <w:highlight w:val="none"/>
          <w:lang w:val="zh-CN"/>
        </w:rPr>
        <w:t>，并</w:t>
      </w:r>
      <w:r>
        <w:rPr>
          <w:rFonts w:hint="eastAsia" w:asciiTheme="minorEastAsia" w:hAnsiTheme="minorEastAsia" w:cstheme="minorEastAsia"/>
          <w:color w:val="auto"/>
          <w:sz w:val="21"/>
          <w:szCs w:val="24"/>
          <w:highlight w:val="none"/>
          <w:lang w:val="en-US" w:eastAsia="zh-CN"/>
        </w:rPr>
        <w:t>加盖供应商公</w:t>
      </w:r>
      <w:r>
        <w:rPr>
          <w:rFonts w:hint="eastAsia" w:asciiTheme="minorEastAsia" w:hAnsiTheme="minorEastAsia" w:eastAsiaTheme="minorEastAsia" w:cstheme="minorEastAsia"/>
          <w:color w:val="auto"/>
          <w:sz w:val="21"/>
          <w:szCs w:val="24"/>
          <w:highlight w:val="none"/>
          <w:lang w:val="zh-CN"/>
        </w:rPr>
        <w:t>章</w:t>
      </w:r>
      <w:r>
        <w:rPr>
          <w:rFonts w:hint="eastAsia" w:asciiTheme="minorEastAsia" w:hAnsiTheme="minorEastAsia" w:cstheme="minorEastAsia"/>
          <w:color w:val="auto"/>
          <w:sz w:val="21"/>
          <w:szCs w:val="24"/>
          <w:highlight w:val="none"/>
          <w:lang w:val="en-US" w:eastAsia="zh-CN"/>
        </w:rPr>
        <w:t>。</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cstheme="minorEastAsia"/>
          <w:color w:val="auto"/>
          <w:sz w:val="21"/>
          <w:szCs w:val="24"/>
          <w:highlight w:val="none"/>
          <w:lang w:val="en-US" w:eastAsia="zh-CN"/>
        </w:rPr>
        <w:t>9</w:t>
      </w:r>
      <w:r>
        <w:rPr>
          <w:rFonts w:hint="eastAsia" w:asciiTheme="minorEastAsia" w:hAnsiTheme="minorEastAsia" w:eastAsiaTheme="minorEastAsia" w:cstheme="minorEastAsia"/>
          <w:color w:val="auto"/>
          <w:sz w:val="21"/>
          <w:szCs w:val="24"/>
          <w:highlight w:val="none"/>
          <w:lang w:val="zh-CN"/>
        </w:rPr>
        <w:t>.4</w:t>
      </w:r>
      <w:r>
        <w:rPr>
          <w:rFonts w:hint="eastAsia" w:asciiTheme="minorEastAsia" w:hAnsiTheme="minorEastAsia" w:eastAsiaTheme="minorEastAsia" w:cstheme="minorEastAsia"/>
          <w:color w:val="auto"/>
          <w:sz w:val="21"/>
          <w:szCs w:val="24"/>
          <w:highlight w:val="none"/>
        </w:rPr>
        <w:t>由磋商小组采用综合评分法对提交最</w:t>
      </w:r>
      <w:r>
        <w:rPr>
          <w:rFonts w:hint="eastAsia" w:asciiTheme="minorEastAsia" w:hAnsiTheme="minorEastAsia" w:cstheme="minorEastAsia"/>
          <w:color w:val="auto"/>
          <w:sz w:val="21"/>
          <w:szCs w:val="24"/>
          <w:highlight w:val="none"/>
          <w:lang w:val="en-US" w:eastAsia="zh-CN"/>
        </w:rPr>
        <w:t>终</w:t>
      </w:r>
      <w:r>
        <w:rPr>
          <w:rFonts w:hint="eastAsia" w:asciiTheme="minorEastAsia" w:hAnsiTheme="minorEastAsia" w:eastAsiaTheme="minorEastAsia" w:cstheme="minorEastAsia"/>
          <w:color w:val="auto"/>
          <w:sz w:val="21"/>
          <w:szCs w:val="24"/>
          <w:highlight w:val="none"/>
        </w:rPr>
        <w:t>报价的供应商的响应文件和最</w:t>
      </w:r>
      <w:r>
        <w:rPr>
          <w:rFonts w:hint="eastAsia" w:asciiTheme="minorEastAsia" w:hAnsiTheme="minorEastAsia" w:cstheme="minorEastAsia"/>
          <w:color w:val="auto"/>
          <w:sz w:val="21"/>
          <w:szCs w:val="24"/>
          <w:highlight w:val="none"/>
          <w:lang w:val="en-US" w:eastAsia="zh-CN"/>
        </w:rPr>
        <w:t>终</w:t>
      </w:r>
      <w:r>
        <w:rPr>
          <w:rFonts w:hint="eastAsia" w:asciiTheme="minorEastAsia" w:hAnsiTheme="minorEastAsia" w:eastAsiaTheme="minorEastAsia" w:cstheme="minorEastAsia"/>
          <w:color w:val="auto"/>
          <w:sz w:val="21"/>
          <w:szCs w:val="24"/>
          <w:highlight w:val="none"/>
        </w:rPr>
        <w:t>报价进行综合评分。</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cstheme="minorEastAsia"/>
          <w:color w:val="auto"/>
          <w:sz w:val="21"/>
          <w:szCs w:val="24"/>
          <w:highlight w:val="none"/>
          <w:lang w:val="en-US" w:eastAsia="zh-CN"/>
        </w:rPr>
        <w:t>9</w:t>
      </w:r>
      <w:r>
        <w:rPr>
          <w:rFonts w:hint="eastAsia" w:asciiTheme="minorEastAsia" w:hAnsiTheme="minorEastAsia" w:eastAsiaTheme="minorEastAsia" w:cstheme="minorEastAsia"/>
          <w:color w:val="auto"/>
          <w:sz w:val="21"/>
          <w:szCs w:val="24"/>
          <w:highlight w:val="none"/>
        </w:rPr>
        <w:t>.5确定成交供应商。</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cstheme="minorEastAsia"/>
          <w:color w:val="auto"/>
          <w:sz w:val="21"/>
          <w:szCs w:val="24"/>
          <w:highlight w:val="none"/>
          <w:lang w:val="en-US" w:eastAsia="zh-CN"/>
        </w:rPr>
        <w:t>9</w:t>
      </w:r>
      <w:r>
        <w:rPr>
          <w:rFonts w:hint="eastAsia" w:asciiTheme="minorEastAsia" w:hAnsiTheme="minorEastAsia" w:eastAsiaTheme="minorEastAsia" w:cstheme="minorEastAsia"/>
          <w:color w:val="auto"/>
          <w:sz w:val="21"/>
          <w:szCs w:val="24"/>
          <w:highlight w:val="none"/>
        </w:rPr>
        <w:t>.6磋商响应报价说明：</w:t>
      </w:r>
    </w:p>
    <w:p>
      <w:pPr>
        <w:pStyle w:val="16"/>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4"/>
          <w:highlight w:val="none"/>
          <w:lang w:val="zh-CN"/>
        </w:rPr>
      </w:pPr>
      <w:r>
        <w:rPr>
          <w:rFonts w:hint="eastAsia" w:asciiTheme="minorEastAsia" w:hAnsiTheme="minorEastAsia" w:eastAsiaTheme="minorEastAsia" w:cstheme="minorEastAsia"/>
          <w:b/>
          <w:color w:val="auto"/>
          <w:sz w:val="21"/>
          <w:szCs w:val="24"/>
          <w:highlight w:val="none"/>
          <w:lang w:val="zh-CN"/>
        </w:rPr>
        <w:t>（1）本次磋商第二轮报价为最终报价；</w:t>
      </w:r>
    </w:p>
    <w:p>
      <w:pPr>
        <w:pStyle w:val="16"/>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4"/>
          <w:highlight w:val="none"/>
          <w:lang w:val="zh-CN"/>
        </w:rPr>
      </w:pPr>
      <w:r>
        <w:rPr>
          <w:rFonts w:hint="eastAsia" w:asciiTheme="minorEastAsia" w:hAnsiTheme="minorEastAsia" w:eastAsiaTheme="minorEastAsia" w:cstheme="minorEastAsia"/>
          <w:b/>
          <w:color w:val="auto"/>
          <w:sz w:val="21"/>
          <w:szCs w:val="24"/>
          <w:highlight w:val="none"/>
          <w:lang w:val="zh-CN"/>
        </w:rPr>
        <w:t>（2）磋商过程中，均不公开各供应商的报价。</w:t>
      </w:r>
    </w:p>
    <w:p>
      <w:pPr>
        <w:pStyle w:val="16"/>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4"/>
          <w:highlight w:val="none"/>
        </w:rPr>
      </w:pPr>
      <w:bookmarkStart w:id="28" w:name="_Toc75259345"/>
      <w:bookmarkStart w:id="29" w:name="_Toc24203"/>
      <w:r>
        <w:rPr>
          <w:rFonts w:hint="eastAsia" w:asciiTheme="minorEastAsia" w:hAnsiTheme="minorEastAsia" w:eastAsiaTheme="minorEastAsia" w:cstheme="minorEastAsia"/>
          <w:b/>
          <w:color w:val="auto"/>
          <w:sz w:val="21"/>
          <w:szCs w:val="24"/>
          <w:highlight w:val="none"/>
        </w:rPr>
        <w:t>10</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4"/>
          <w:highlight w:val="none"/>
        </w:rPr>
        <w:t>评审原则</w:t>
      </w:r>
      <w:bookmarkEnd w:id="28"/>
      <w:bookmarkEnd w:id="29"/>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1）本次磋商遵循公开透明、公平竞争、公正和诚实信用的原则。磋商小组成员按照客观、公正、审慎的原则，根据磋商文件规定的评审程序、评审方法和评审标准进行独立评审。未实质性响应磋商文件的响应文件按无效响应处理。</w:t>
      </w:r>
    </w:p>
    <w:p>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4"/>
          <w:highlight w:val="none"/>
          <w:lang w:val="zh-CN"/>
        </w:rPr>
      </w:pPr>
      <w:r>
        <w:rPr>
          <w:rFonts w:hint="eastAsia" w:asciiTheme="minorEastAsia" w:hAnsiTheme="minorEastAsia" w:eastAsiaTheme="minorEastAsia" w:cstheme="minorEastAsia"/>
          <w:color w:val="auto"/>
          <w:sz w:val="21"/>
          <w:szCs w:val="24"/>
          <w:highlight w:val="none"/>
          <w:lang w:val="zh-CN"/>
        </w:rPr>
        <w:t>（2）磋商小组应当根据综合评分情况，按照评审得分由高到低顺序推荐3名成交候选供应商，并编写评审报告。评审得分相同的，按照最后报价由低到高的顺序推荐。评审得分且最后报价相同的，按照</w:t>
      </w:r>
      <w:r>
        <w:rPr>
          <w:rFonts w:hint="eastAsia" w:asciiTheme="minorEastAsia" w:hAnsiTheme="minorEastAsia" w:eastAsiaTheme="minorEastAsia" w:cstheme="minorEastAsia"/>
          <w:color w:val="auto"/>
          <w:sz w:val="21"/>
          <w:szCs w:val="24"/>
          <w:highlight w:val="none"/>
          <w:lang w:val="en-US" w:eastAsia="zh-CN"/>
        </w:rPr>
        <w:t>技术</w:t>
      </w:r>
      <w:r>
        <w:rPr>
          <w:rFonts w:hint="eastAsia" w:asciiTheme="minorEastAsia" w:hAnsiTheme="minorEastAsia" w:eastAsiaTheme="minorEastAsia" w:cstheme="minorEastAsia"/>
          <w:color w:val="auto"/>
          <w:sz w:val="21"/>
          <w:szCs w:val="24"/>
          <w:highlight w:val="none"/>
          <w:lang w:val="zh-CN"/>
        </w:rPr>
        <w:t>方案优劣顺序推荐，磋商小组认为供应商的报价明显低于其他通过符合性审查供应商的报价，有可能影响项目质量或者不能诚信履约的，应当要求其在磋商现场合理的时间内提供书面说明，必要时提交相关证明材料，供应商不能证明其报价合理性的，磋商小组应当将其作为无效</w:t>
      </w:r>
      <w:r>
        <w:rPr>
          <w:rFonts w:hint="eastAsia" w:asciiTheme="minorEastAsia" w:hAnsiTheme="minorEastAsia" w:eastAsiaTheme="minorEastAsia" w:cstheme="minorEastAsia"/>
          <w:color w:val="auto"/>
          <w:sz w:val="21"/>
          <w:szCs w:val="24"/>
          <w:highlight w:val="none"/>
          <w:lang w:val="en-US" w:eastAsia="zh-CN"/>
        </w:rPr>
        <w:t>响应</w:t>
      </w:r>
      <w:r>
        <w:rPr>
          <w:rFonts w:hint="eastAsia" w:asciiTheme="minorEastAsia" w:hAnsiTheme="minorEastAsia" w:eastAsiaTheme="minorEastAsia" w:cstheme="minorEastAsia"/>
          <w:color w:val="auto"/>
          <w:sz w:val="21"/>
          <w:szCs w:val="24"/>
          <w:highlight w:val="none"/>
          <w:lang w:val="zh-CN"/>
        </w:rPr>
        <w:t>文件处理。</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auto"/>
          <w:szCs w:val="24"/>
          <w:highlight w:val="none"/>
          <w:lang w:val="zh-CN"/>
        </w:rPr>
      </w:pPr>
      <w:r>
        <w:rPr>
          <w:rFonts w:hint="eastAsia" w:asciiTheme="minorEastAsia" w:hAnsiTheme="minorEastAsia" w:eastAsiaTheme="minorEastAsia" w:cstheme="minorEastAsia"/>
          <w:color w:val="auto"/>
          <w:szCs w:val="24"/>
          <w:highlight w:val="none"/>
          <w:lang w:val="zh-CN"/>
        </w:rPr>
        <w:t>（3）</w:t>
      </w:r>
      <w:r>
        <w:rPr>
          <w:rFonts w:hint="eastAsia" w:asciiTheme="minorEastAsia" w:hAnsiTheme="minorEastAsia" w:eastAsiaTheme="minorEastAsia" w:cstheme="minorEastAsia"/>
          <w:bCs/>
          <w:color w:val="auto"/>
          <w:szCs w:val="24"/>
          <w:highlight w:val="none"/>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（4）本次综合评分的主要因素是：</w:t>
      </w:r>
      <w:bookmarkStart w:id="30" w:name="_Hlk74319622"/>
      <w:r>
        <w:rPr>
          <w:rFonts w:hint="eastAsia" w:asciiTheme="minorEastAsia" w:hAnsiTheme="minorEastAsia" w:eastAsiaTheme="minorEastAsia" w:cstheme="minorEastAsia"/>
          <w:color w:val="auto"/>
          <w:szCs w:val="24"/>
          <w:highlight w:val="none"/>
        </w:rPr>
        <w:t>磋商报价、商务部分、技术部分、服务承诺</w:t>
      </w:r>
      <w:bookmarkEnd w:id="30"/>
      <w:r>
        <w:rPr>
          <w:rFonts w:hint="eastAsia" w:asciiTheme="minorEastAsia" w:hAnsiTheme="minorEastAsia" w:eastAsiaTheme="minorEastAsia" w:cstheme="minorEastAsia"/>
          <w:color w:val="auto"/>
          <w:szCs w:val="24"/>
          <w:highlight w:val="none"/>
        </w:rPr>
        <w:t>等内容。评审过程中，在同等条件下，优先采购具有环境标志、节能的产品。（注：节能产品、环境标志产品是指由财政部、发展改革委、生态环境部、市场监管总局颁布的财库〔2021〕9号 财政部关于调整优化节能产品、环境标志产品政府采购执行机制的通知中品目清单中的的产品。）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highlight w:val="none"/>
        </w:rPr>
        <w:t>（5）</w:t>
      </w:r>
      <w:r>
        <w:rPr>
          <w:rFonts w:hint="eastAsia" w:asciiTheme="minorEastAsia" w:hAnsiTheme="minorEastAsia" w:eastAsiaTheme="minorEastAsia" w:cstheme="minorEastAsia"/>
          <w:b/>
          <w:bCs/>
          <w:color w:val="auto"/>
          <w:szCs w:val="24"/>
          <w:highlight w:val="none"/>
        </w:rPr>
        <w:t>各</w:t>
      </w:r>
      <w:r>
        <w:rPr>
          <w:rFonts w:hint="eastAsia" w:asciiTheme="minorEastAsia" w:hAnsiTheme="minorEastAsia" w:eastAsiaTheme="minorEastAsia" w:cstheme="minorEastAsia"/>
          <w:b/>
          <w:color w:val="auto"/>
          <w:szCs w:val="24"/>
          <w:highlight w:val="none"/>
        </w:rPr>
        <w:t>供应</w:t>
      </w:r>
      <w:r>
        <w:rPr>
          <w:rFonts w:hint="eastAsia" w:asciiTheme="minorEastAsia" w:hAnsiTheme="minorEastAsia" w:eastAsiaTheme="minorEastAsia" w:cstheme="minorEastAsia"/>
          <w:b/>
          <w:bCs/>
          <w:color w:val="auto"/>
          <w:szCs w:val="24"/>
          <w:highlight w:val="none"/>
        </w:rPr>
        <w:t>商应按照竞争性磋商文件要求报出磋商总报价，磋商总报价不得超过项目预算和相应的最高限价</w:t>
      </w:r>
      <w:r>
        <w:rPr>
          <w:rFonts w:hint="eastAsia" w:asciiTheme="minorEastAsia" w:hAnsiTheme="minorEastAsia" w:eastAsiaTheme="minorEastAsia" w:cstheme="minorEastAsia"/>
          <w:b/>
          <w:bCs/>
          <w:color w:val="auto"/>
          <w:szCs w:val="24"/>
          <w:highlight w:val="none"/>
          <w:lang w:eastAsia="zh-CN"/>
        </w:rPr>
        <w:t>（</w:t>
      </w:r>
      <w:r>
        <w:rPr>
          <w:rFonts w:hint="eastAsia" w:asciiTheme="minorEastAsia" w:hAnsiTheme="minorEastAsia" w:eastAsiaTheme="minorEastAsia" w:cstheme="minorEastAsia"/>
          <w:b/>
          <w:bCs/>
          <w:color w:val="auto"/>
          <w:szCs w:val="24"/>
          <w:highlight w:val="none"/>
          <w:lang w:val="en-US" w:eastAsia="zh-CN"/>
        </w:rPr>
        <w:t>如有</w:t>
      </w:r>
      <w:r>
        <w:rPr>
          <w:rFonts w:hint="eastAsia" w:asciiTheme="minorEastAsia" w:hAnsiTheme="minorEastAsia" w:eastAsiaTheme="minorEastAsia" w:cstheme="minorEastAsia"/>
          <w:b/>
          <w:bCs/>
          <w:color w:val="auto"/>
          <w:szCs w:val="24"/>
          <w:highlight w:val="none"/>
          <w:lang w:eastAsia="zh-CN"/>
        </w:rPr>
        <w:t>）</w:t>
      </w:r>
      <w:r>
        <w:rPr>
          <w:rFonts w:hint="eastAsia" w:asciiTheme="minorEastAsia" w:hAnsiTheme="minorEastAsia" w:eastAsiaTheme="minorEastAsia" w:cstheme="minorEastAsia"/>
          <w:b/>
          <w:bCs/>
          <w:color w:val="auto"/>
          <w:szCs w:val="24"/>
          <w:highlight w:val="none"/>
        </w:rPr>
        <w:t>。</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4"/>
          <w:highlight w:val="none"/>
        </w:rPr>
      </w:pPr>
      <w:bookmarkStart w:id="31" w:name="_Toc7322"/>
      <w:bookmarkStart w:id="32" w:name="_Toc75259346"/>
      <w:r>
        <w:rPr>
          <w:rFonts w:hint="eastAsia" w:asciiTheme="minorEastAsia" w:hAnsiTheme="minorEastAsia" w:eastAsiaTheme="minorEastAsia" w:cstheme="minorEastAsia"/>
          <w:b/>
          <w:color w:val="auto"/>
          <w:sz w:val="21"/>
          <w:szCs w:val="24"/>
          <w:highlight w:val="none"/>
        </w:rPr>
        <w:t>11</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4"/>
          <w:highlight w:val="none"/>
        </w:rPr>
        <w:t>评审标准</w:t>
      </w:r>
      <w:bookmarkEnd w:id="31"/>
      <w:bookmarkEnd w:id="3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根据《中华人民共和国政府采购法》、《中华人民共和国政府采购法实施条例》、《政府采购竞争性磋商采购方式暂行办法》及省、市有关规定，磋商小组成员按照客观、公正、谨慎的原则，根据磋商文件规定的评审程序、评审方法和评审标准进行独立评审。根据排名先后确定成交候选供应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lang w:val="en-US" w:eastAsia="zh-CN"/>
        </w:rPr>
        <w:t>11.1</w:t>
      </w:r>
      <w:r>
        <w:rPr>
          <w:rFonts w:hint="eastAsia" w:asciiTheme="minorEastAsia" w:hAnsiTheme="minorEastAsia" w:eastAsiaTheme="minorEastAsia" w:cstheme="minorEastAsia"/>
          <w:b/>
          <w:color w:val="auto"/>
          <w:szCs w:val="24"/>
          <w:highlight w:val="none"/>
        </w:rPr>
        <w:t>资格审查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下述资格审查项凡有一项不合格的即作为无效响应处理，不再进入符合性评审：</w:t>
      </w:r>
    </w:p>
    <w:tbl>
      <w:tblPr>
        <w:tblStyle w:val="20"/>
        <w:tblW w:w="90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7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42" w:type="dxa"/>
            <w:vAlign w:val="center"/>
          </w:tcPr>
          <w:p>
            <w:pPr>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序号</w:t>
            </w:r>
          </w:p>
        </w:tc>
        <w:tc>
          <w:tcPr>
            <w:tcW w:w="7966" w:type="dxa"/>
            <w:vAlign w:val="center"/>
          </w:tcPr>
          <w:p>
            <w:pPr>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审查</w:t>
            </w:r>
            <w:r>
              <w:rPr>
                <w:rFonts w:hint="eastAsia" w:asciiTheme="minorEastAsia" w:hAnsiTheme="minorEastAsia" w:eastAsiaTheme="minorEastAsia" w:cstheme="minorEastAsia"/>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4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bookmarkStart w:id="33" w:name="_Hlk63272576"/>
            <w:r>
              <w:rPr>
                <w:rFonts w:hint="eastAsia" w:asciiTheme="minorEastAsia" w:hAnsiTheme="minorEastAsia" w:eastAsiaTheme="minorEastAsia" w:cstheme="minorEastAsia"/>
                <w:color w:val="auto"/>
                <w:sz w:val="21"/>
                <w:szCs w:val="21"/>
                <w:highlight w:val="none"/>
              </w:rPr>
              <w:t>1</w:t>
            </w:r>
          </w:p>
        </w:tc>
        <w:tc>
          <w:tcPr>
            <w:tcW w:w="7966" w:type="dxa"/>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专门面向小微企业采购，供应商须为小型、微型企业，并提供《中小企业声明函》（采购标的对应所属行业为农、林、牧、渔业，声明函格式按照《政府采购促进中小企业发展管理办法》（财库〔2020〕46号）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104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7966" w:type="dxa"/>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kern w:val="0"/>
                <w:sz w:val="21"/>
                <w:szCs w:val="21"/>
                <w:highlight w:val="none"/>
              </w:rPr>
              <w:t>具有独立承担民事责任能力的法人、其他组织或自然人，并出具合法有效的营业执照或事业单位法人证书等国家规定的相关证明，自然人参与的提供其身份证明；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jc w:val="center"/>
        </w:trPr>
        <w:tc>
          <w:tcPr>
            <w:tcW w:w="104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7966" w:type="dxa"/>
            <w:vAlign w:val="center"/>
          </w:tcPr>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b w:val="0"/>
                <w:color w:val="auto"/>
                <w:sz w:val="21"/>
                <w:szCs w:val="21"/>
                <w:highlight w:val="none"/>
              </w:rPr>
              <w:t>法定代表人（自然人）参加磋商活动须出具法定代表人（自然人）证明书，授权代表参加磋商活动，须出具法定代表人授权委托书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4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7966" w:type="dxa"/>
            <w:vAlign w:val="center"/>
          </w:tcPr>
          <w:p>
            <w:pPr>
              <w:spacing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b w:val="0"/>
                <w:color w:val="auto"/>
                <w:sz w:val="21"/>
                <w:szCs w:val="21"/>
                <w:highlight w:val="none"/>
              </w:rPr>
              <w:t>供应商应出具参加政府采购活动前3年内在经营活动中没有重大违法记录的书面声明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4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7966" w:type="dxa"/>
            <w:vAlign w:val="center"/>
          </w:tcPr>
          <w:p>
            <w:pPr>
              <w:spacing w:line="360" w:lineRule="auto"/>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rPr>
              <w:t>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42" w:type="dxa"/>
            <w:vAlign w:val="center"/>
          </w:tcPr>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7966" w:type="dxa"/>
            <w:vAlign w:val="center"/>
          </w:tcPr>
          <w:p>
            <w:pPr>
              <w:spacing w:line="360" w:lineRule="auto"/>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rPr>
              <w:t>缴纳保证金的银行转账或电汇凭证</w:t>
            </w:r>
          </w:p>
        </w:tc>
      </w:tr>
      <w:bookmarkEnd w:id="33"/>
    </w:tbl>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Theme="minorEastAsia" w:hAnsiTheme="minorEastAsia" w:eastAsiaTheme="minorEastAsia" w:cstheme="minorEastAsia"/>
          <w:b/>
          <w:color w:val="auto"/>
          <w:szCs w:val="24"/>
          <w:highlight w:val="none"/>
          <w:lang w:eastAsia="zh-CN"/>
        </w:rPr>
      </w:pPr>
      <w:r>
        <w:rPr>
          <w:rFonts w:hint="eastAsia" w:asciiTheme="minorEastAsia" w:hAnsiTheme="minorEastAsia" w:eastAsiaTheme="minorEastAsia" w:cstheme="minorEastAsia"/>
          <w:b/>
          <w:color w:val="auto"/>
          <w:szCs w:val="24"/>
          <w:highlight w:val="none"/>
          <w:lang w:val="en-US" w:eastAsia="zh-CN"/>
        </w:rPr>
        <w:t>11.</w:t>
      </w:r>
      <w:r>
        <w:rPr>
          <w:rFonts w:hint="eastAsia" w:asciiTheme="minorEastAsia" w:hAnsiTheme="minorEastAsia" w:eastAsiaTheme="minorEastAsia" w:cstheme="minorEastAsia"/>
          <w:b/>
          <w:color w:val="auto"/>
          <w:szCs w:val="24"/>
          <w:highlight w:val="none"/>
        </w:rPr>
        <w:t>2符合性</w:t>
      </w:r>
      <w:r>
        <w:rPr>
          <w:rFonts w:hint="eastAsia" w:asciiTheme="minorEastAsia" w:hAnsiTheme="minorEastAsia" w:eastAsiaTheme="minorEastAsia" w:cstheme="minorEastAsia"/>
          <w:b/>
          <w:color w:val="auto"/>
          <w:szCs w:val="24"/>
          <w:highlight w:val="none"/>
          <w:lang w:val="en-US" w:eastAsia="zh-CN"/>
        </w:rPr>
        <w:t>审查</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下述内容凡有一项不合格的响应即作为无效响应处理，不再进入详细评审：</w:t>
      </w:r>
    </w:p>
    <w:tbl>
      <w:tblPr>
        <w:tblStyle w:val="20"/>
        <w:tblW w:w="89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702"/>
        <w:gridCol w:w="5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53" w:type="dxa"/>
            <w:vMerge w:val="restart"/>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符合性</w:t>
            </w:r>
            <w:r>
              <w:rPr>
                <w:rFonts w:hint="eastAsia" w:asciiTheme="minorEastAsia" w:hAnsiTheme="minorEastAsia" w:eastAsiaTheme="minorEastAsia" w:cstheme="minorEastAsia"/>
                <w:color w:val="auto"/>
                <w:kern w:val="0"/>
                <w:szCs w:val="21"/>
                <w:highlight w:val="none"/>
                <w:lang w:val="en-US" w:eastAsia="zh-CN"/>
              </w:rPr>
              <w:t>审查</w:t>
            </w:r>
          </w:p>
        </w:tc>
        <w:tc>
          <w:tcPr>
            <w:tcW w:w="1702" w:type="dxa"/>
            <w:vAlign w:val="center"/>
          </w:tcPr>
          <w:p>
            <w:pPr>
              <w:widowControl/>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响应文件数量</w:t>
            </w:r>
          </w:p>
        </w:tc>
        <w:tc>
          <w:tcPr>
            <w:tcW w:w="5640" w:type="dxa"/>
            <w:vAlign w:val="center"/>
          </w:tcPr>
          <w:p>
            <w:pPr>
              <w:widowControl/>
              <w:spacing w:line="360" w:lineRule="auto"/>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响应文件数量符合竞争性磋商文件要求</w:t>
            </w:r>
            <w:r>
              <w:rPr>
                <w:rFonts w:hint="eastAsia" w:asciiTheme="minorEastAsia" w:hAnsiTheme="minorEastAsia" w:eastAsiaTheme="minorEastAsia" w:cstheme="minorEastAsia"/>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53" w:type="dxa"/>
            <w:vMerge w:val="continue"/>
            <w:vAlign w:val="center"/>
          </w:tcPr>
          <w:p>
            <w:pPr>
              <w:widowControl/>
              <w:jc w:val="left"/>
              <w:rPr>
                <w:rFonts w:hint="eastAsia" w:asciiTheme="minorEastAsia" w:hAnsiTheme="minorEastAsia" w:eastAsiaTheme="minorEastAsia" w:cstheme="minorEastAsia"/>
                <w:color w:val="auto"/>
                <w:kern w:val="0"/>
                <w:szCs w:val="21"/>
                <w:highlight w:val="none"/>
              </w:rPr>
            </w:pPr>
          </w:p>
        </w:tc>
        <w:tc>
          <w:tcPr>
            <w:tcW w:w="1702" w:type="dxa"/>
            <w:vAlign w:val="center"/>
          </w:tcPr>
          <w:p>
            <w:pPr>
              <w:widowControl/>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响应文件报价</w:t>
            </w:r>
          </w:p>
        </w:tc>
        <w:tc>
          <w:tcPr>
            <w:tcW w:w="5640" w:type="dxa"/>
            <w:vAlign w:val="center"/>
          </w:tcPr>
          <w:p>
            <w:pPr>
              <w:widowControl/>
              <w:spacing w:line="360" w:lineRule="auto"/>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内容无重大缺漏项，报价唯一，且没有超过采购预算和相应的最高限价</w:t>
            </w:r>
            <w:r>
              <w:rPr>
                <w:rFonts w:hint="eastAsia" w:asciiTheme="minorEastAsia" w:hAnsiTheme="minorEastAsia" w:eastAsiaTheme="minorEastAsia" w:cstheme="minorEastAsia"/>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53" w:type="dxa"/>
            <w:vMerge w:val="continue"/>
            <w:vAlign w:val="center"/>
          </w:tcPr>
          <w:p>
            <w:pPr>
              <w:widowControl/>
              <w:jc w:val="left"/>
              <w:rPr>
                <w:rFonts w:hint="eastAsia" w:asciiTheme="minorEastAsia" w:hAnsiTheme="minorEastAsia" w:eastAsiaTheme="minorEastAsia" w:cstheme="minorEastAsia"/>
                <w:color w:val="auto"/>
                <w:kern w:val="0"/>
                <w:szCs w:val="21"/>
                <w:highlight w:val="none"/>
              </w:rPr>
            </w:pPr>
          </w:p>
        </w:tc>
        <w:tc>
          <w:tcPr>
            <w:tcW w:w="1702" w:type="dxa"/>
            <w:vAlign w:val="center"/>
          </w:tcPr>
          <w:p>
            <w:pPr>
              <w:widowControl/>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响应文件有效性</w:t>
            </w:r>
          </w:p>
        </w:tc>
        <w:tc>
          <w:tcPr>
            <w:tcW w:w="5640" w:type="dxa"/>
            <w:vAlign w:val="center"/>
          </w:tcPr>
          <w:p>
            <w:pPr>
              <w:widowControl/>
              <w:spacing w:line="360" w:lineRule="auto"/>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lang w:val="en-US" w:eastAsia="zh-CN"/>
              </w:rPr>
              <w:t>法定代表人或授权代表签字和供应商公章</w:t>
            </w:r>
            <w:r>
              <w:rPr>
                <w:rFonts w:hint="eastAsia" w:asciiTheme="minorEastAsia" w:hAnsiTheme="minorEastAsia" w:eastAsiaTheme="minorEastAsia" w:cstheme="minorEastAsia"/>
                <w:color w:val="auto"/>
                <w:kern w:val="0"/>
                <w:szCs w:val="21"/>
                <w:highlight w:val="none"/>
              </w:rPr>
              <w:t>是否齐全、有效</w:t>
            </w:r>
            <w:r>
              <w:rPr>
                <w:rFonts w:hint="eastAsia" w:asciiTheme="minorEastAsia" w:hAnsiTheme="minorEastAsia" w:eastAsiaTheme="minorEastAsia" w:cstheme="minorEastAsia"/>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53" w:type="dxa"/>
            <w:vMerge w:val="continue"/>
            <w:vAlign w:val="center"/>
          </w:tcPr>
          <w:p>
            <w:pPr>
              <w:widowControl/>
              <w:jc w:val="left"/>
              <w:rPr>
                <w:rFonts w:hint="eastAsia" w:asciiTheme="minorEastAsia" w:hAnsiTheme="minorEastAsia" w:eastAsiaTheme="minorEastAsia" w:cstheme="minorEastAsia"/>
                <w:color w:val="auto"/>
                <w:kern w:val="0"/>
                <w:szCs w:val="21"/>
                <w:highlight w:val="none"/>
              </w:rPr>
            </w:pPr>
          </w:p>
        </w:tc>
        <w:tc>
          <w:tcPr>
            <w:tcW w:w="1702" w:type="dxa"/>
            <w:vAlign w:val="center"/>
          </w:tcPr>
          <w:p>
            <w:pPr>
              <w:widowControl/>
              <w:spacing w:line="360" w:lineRule="auto"/>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磋商保证金</w:t>
            </w:r>
          </w:p>
        </w:tc>
        <w:tc>
          <w:tcPr>
            <w:tcW w:w="5640" w:type="dxa"/>
            <w:vAlign w:val="center"/>
          </w:tcPr>
          <w:p>
            <w:pPr>
              <w:widowControl/>
              <w:spacing w:line="360" w:lineRule="auto"/>
              <w:jc w:val="left"/>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保证金是否按竞争性磋商文件要求缴纳；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53" w:type="dxa"/>
            <w:vMerge w:val="continue"/>
            <w:vAlign w:val="center"/>
          </w:tcPr>
          <w:p>
            <w:pPr>
              <w:widowControl/>
              <w:jc w:val="left"/>
              <w:rPr>
                <w:rFonts w:hint="eastAsia" w:asciiTheme="minorEastAsia" w:hAnsiTheme="minorEastAsia" w:eastAsiaTheme="minorEastAsia" w:cstheme="minorEastAsia"/>
                <w:color w:val="auto"/>
                <w:kern w:val="0"/>
                <w:szCs w:val="21"/>
                <w:highlight w:val="none"/>
              </w:rPr>
            </w:pPr>
          </w:p>
        </w:tc>
        <w:tc>
          <w:tcPr>
            <w:tcW w:w="1702" w:type="dxa"/>
            <w:vAlign w:val="center"/>
          </w:tcPr>
          <w:p>
            <w:pPr>
              <w:widowControl/>
              <w:spacing w:line="360" w:lineRule="auto"/>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rPr>
              <w:t>磋商有效期</w:t>
            </w:r>
          </w:p>
        </w:tc>
        <w:tc>
          <w:tcPr>
            <w:tcW w:w="5640" w:type="dxa"/>
            <w:vAlign w:val="center"/>
          </w:tcPr>
          <w:p>
            <w:pPr>
              <w:widowControl/>
              <w:spacing w:line="360" w:lineRule="auto"/>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lang w:val="en-US" w:eastAsia="zh-CN"/>
              </w:rPr>
              <w:t>自响应</w:t>
            </w:r>
            <w:r>
              <w:rPr>
                <w:rFonts w:hint="eastAsia" w:asciiTheme="minorEastAsia" w:hAnsiTheme="minorEastAsia" w:eastAsiaTheme="minorEastAsia" w:cstheme="minorEastAsia"/>
                <w:color w:val="auto"/>
                <w:kern w:val="0"/>
                <w:szCs w:val="21"/>
                <w:highlight w:val="none"/>
              </w:rPr>
              <w:t>文件递交截止之日</w:t>
            </w:r>
            <w:r>
              <w:rPr>
                <w:rFonts w:hint="eastAsia" w:asciiTheme="minorEastAsia" w:hAnsiTheme="minorEastAsia" w:eastAsiaTheme="minorEastAsia" w:cstheme="minorEastAsia"/>
                <w:color w:val="auto"/>
                <w:kern w:val="0"/>
                <w:szCs w:val="21"/>
                <w:highlight w:val="none"/>
                <w:lang w:val="en-US" w:eastAsia="zh-CN"/>
              </w:rPr>
              <w:t>起</w:t>
            </w:r>
            <w:r>
              <w:rPr>
                <w:rFonts w:hint="eastAsia" w:asciiTheme="minorEastAsia" w:hAnsiTheme="minorEastAsia" w:eastAsiaTheme="minorEastAsia" w:cstheme="minorEastAsia"/>
                <w:color w:val="auto"/>
                <w:kern w:val="0"/>
                <w:szCs w:val="21"/>
                <w:highlight w:val="none"/>
              </w:rPr>
              <w:t>90日历日</w:t>
            </w:r>
            <w:r>
              <w:rPr>
                <w:rFonts w:hint="eastAsia" w:asciiTheme="minorEastAsia" w:hAnsiTheme="minorEastAsia" w:eastAsiaTheme="minorEastAsia" w:cstheme="minorEastAsia"/>
                <w:color w:val="auto"/>
                <w:kern w:val="0"/>
                <w:szCs w:val="21"/>
                <w:highlight w:val="none"/>
                <w:lang w:eastAsia="zh-CN"/>
              </w:rPr>
              <w:t>；</w:t>
            </w:r>
          </w:p>
        </w:tc>
      </w:tr>
    </w:tbl>
    <w:p>
      <w:pPr>
        <w:spacing w:line="360" w:lineRule="auto"/>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lang w:val="en-US" w:eastAsia="zh-CN"/>
        </w:rPr>
        <w:t>11.</w:t>
      </w:r>
      <w:r>
        <w:rPr>
          <w:rFonts w:hint="eastAsia" w:asciiTheme="minorEastAsia" w:hAnsiTheme="minorEastAsia" w:eastAsiaTheme="minorEastAsia" w:cstheme="minorEastAsia"/>
          <w:b/>
          <w:color w:val="auto"/>
          <w:szCs w:val="24"/>
          <w:highlight w:val="none"/>
        </w:rPr>
        <w:t>3详细评审标准</w:t>
      </w:r>
    </w:p>
    <w:tbl>
      <w:tblPr>
        <w:tblStyle w:val="20"/>
        <w:tblW w:w="901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0"/>
        <w:gridCol w:w="986"/>
        <w:gridCol w:w="1180"/>
        <w:gridCol w:w="910"/>
        <w:gridCol w:w="52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8" w:hRule="atLeast"/>
          <w:jc w:val="center"/>
        </w:trPr>
        <w:tc>
          <w:tcPr>
            <w:tcW w:w="1626" w:type="dxa"/>
            <w:gridSpan w:val="2"/>
            <w:tcBorders>
              <w:top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b/>
                <w:bCs/>
                <w:color w:val="auto"/>
                <w:kern w:val="2"/>
                <w:sz w:val="21"/>
                <w:szCs w:val="21"/>
                <w:highlight w:val="none"/>
                <w:lang w:val="zh-CN" w:eastAsia="zh-CN" w:bidi="ar-SA"/>
              </w:rPr>
            </w:pPr>
            <w:bookmarkStart w:id="34" w:name="_Toc1434"/>
            <w:bookmarkStart w:id="35" w:name="_Toc75259347"/>
            <w:r>
              <w:rPr>
                <w:rFonts w:hint="eastAsia" w:asciiTheme="minorEastAsia" w:hAnsiTheme="minorEastAsia" w:eastAsiaTheme="minorEastAsia" w:cstheme="minorEastAsia"/>
                <w:b/>
                <w:bCs/>
                <w:color w:val="auto"/>
                <w:kern w:val="2"/>
                <w:sz w:val="21"/>
                <w:szCs w:val="21"/>
                <w:highlight w:val="none"/>
                <w:lang w:val="zh-CN" w:eastAsia="zh-CN" w:bidi="ar-SA"/>
              </w:rPr>
              <w:t>条款号</w:t>
            </w:r>
          </w:p>
        </w:tc>
        <w:tc>
          <w:tcPr>
            <w:tcW w:w="1180"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b/>
                <w:bCs/>
                <w:color w:val="auto"/>
                <w:kern w:val="2"/>
                <w:sz w:val="21"/>
                <w:szCs w:val="21"/>
                <w:highlight w:val="none"/>
                <w:lang w:val="zh-CN" w:eastAsia="zh-CN" w:bidi="ar-SA"/>
              </w:rPr>
            </w:pPr>
            <w:r>
              <w:rPr>
                <w:rFonts w:hint="eastAsia" w:asciiTheme="minorEastAsia" w:hAnsiTheme="minorEastAsia" w:eastAsiaTheme="minorEastAsia" w:cstheme="minorEastAsia"/>
                <w:b/>
                <w:bCs/>
                <w:color w:val="auto"/>
                <w:kern w:val="2"/>
                <w:sz w:val="21"/>
                <w:szCs w:val="21"/>
                <w:highlight w:val="none"/>
                <w:lang w:val="zh-CN" w:eastAsia="zh-CN" w:bidi="ar-SA"/>
              </w:rPr>
              <w:t>评分因素</w:t>
            </w:r>
          </w:p>
        </w:tc>
        <w:tc>
          <w:tcPr>
            <w:tcW w:w="6205" w:type="dxa"/>
            <w:gridSpan w:val="2"/>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b/>
                <w:bCs/>
                <w:color w:val="auto"/>
                <w:kern w:val="2"/>
                <w:sz w:val="21"/>
                <w:szCs w:val="21"/>
                <w:highlight w:val="none"/>
                <w:lang w:val="zh-CN" w:eastAsia="zh-CN" w:bidi="ar-SA"/>
              </w:rPr>
            </w:pPr>
            <w:r>
              <w:rPr>
                <w:rFonts w:hint="eastAsia" w:asciiTheme="minorEastAsia" w:hAnsiTheme="minorEastAsia" w:eastAsiaTheme="minorEastAsia" w:cstheme="minorEastAsia"/>
                <w:b/>
                <w:bCs/>
                <w:color w:val="auto"/>
                <w:kern w:val="2"/>
                <w:sz w:val="21"/>
                <w:szCs w:val="21"/>
                <w:highlight w:val="none"/>
                <w:lang w:val="zh-CN" w:eastAsia="zh-CN" w:bidi="ar-SA"/>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01" w:hRule="atLeast"/>
          <w:jc w:val="center"/>
        </w:trPr>
        <w:tc>
          <w:tcPr>
            <w:tcW w:w="640" w:type="dxa"/>
            <w:tcBorders>
              <w:top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zh-CN"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p>
        </w:tc>
        <w:tc>
          <w:tcPr>
            <w:tcW w:w="986"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2"/>
                <w:sz w:val="21"/>
                <w:szCs w:val="21"/>
                <w:highlight w:val="none"/>
                <w:lang w:val="zh-CN" w:eastAsia="zh-CN" w:bidi="ar-SA"/>
              </w:rPr>
            </w:pPr>
            <w:r>
              <w:rPr>
                <w:rFonts w:hint="eastAsia" w:asciiTheme="minorEastAsia" w:hAnsiTheme="minorEastAsia" w:eastAsiaTheme="minorEastAsia" w:cstheme="minorEastAsia"/>
                <w:color w:val="auto"/>
                <w:kern w:val="2"/>
                <w:sz w:val="21"/>
                <w:szCs w:val="21"/>
                <w:highlight w:val="none"/>
                <w:lang w:val="zh-CN" w:eastAsia="zh-CN" w:bidi="ar-SA"/>
              </w:rPr>
              <w:t>价格</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2"/>
                <w:sz w:val="21"/>
                <w:szCs w:val="21"/>
                <w:highlight w:val="none"/>
                <w:lang w:val="zh-CN" w:eastAsia="zh-CN" w:bidi="ar-SA"/>
              </w:rPr>
            </w:pPr>
            <w:r>
              <w:rPr>
                <w:rFonts w:hint="eastAsia" w:asciiTheme="minorEastAsia" w:hAnsiTheme="minorEastAsia" w:eastAsiaTheme="minorEastAsia" w:cstheme="minorEastAsia"/>
                <w:color w:val="auto"/>
                <w:kern w:val="2"/>
                <w:sz w:val="21"/>
                <w:szCs w:val="21"/>
                <w:highlight w:val="none"/>
                <w:lang w:val="zh-CN" w:eastAsia="zh-CN" w:bidi="ar-SA"/>
              </w:rPr>
              <w:t>评审</w:t>
            </w:r>
          </w:p>
          <w:p>
            <w:pPr>
              <w:spacing w:after="156" w:afterLines="50"/>
              <w:jc w:val="center"/>
              <w:rPr>
                <w:rFonts w:hint="eastAsia" w:asciiTheme="minorEastAsia" w:hAnsiTheme="minorEastAsia" w:eastAsiaTheme="minorEastAsia" w:cstheme="minorEastAsia"/>
                <w:color w:val="auto"/>
                <w:kern w:val="2"/>
                <w:sz w:val="21"/>
                <w:szCs w:val="21"/>
                <w:highlight w:val="none"/>
                <w:lang w:val="zh-CN" w:eastAsia="zh-CN" w:bidi="ar-SA"/>
              </w:rPr>
            </w:pPr>
            <w:r>
              <w:rPr>
                <w:rFonts w:hint="eastAsia" w:asciiTheme="minorEastAsia" w:hAnsiTheme="minorEastAsia" w:eastAsiaTheme="minorEastAsia" w:cstheme="minorEastAsia"/>
                <w:color w:val="auto"/>
                <w:kern w:val="2"/>
                <w:sz w:val="21"/>
                <w:szCs w:val="21"/>
                <w:highlight w:val="none"/>
                <w:lang w:val="zh-CN" w:eastAsia="zh-CN" w:bidi="ar-SA"/>
              </w:rPr>
              <w:t>（</w:t>
            </w:r>
            <w:r>
              <w:rPr>
                <w:rFonts w:hint="eastAsia" w:asciiTheme="minorEastAsia" w:hAnsiTheme="minorEastAsia" w:eastAsiaTheme="minorEastAsia" w:cstheme="minorEastAsia"/>
                <w:color w:val="auto"/>
                <w:kern w:val="2"/>
                <w:sz w:val="21"/>
                <w:szCs w:val="21"/>
                <w:highlight w:val="none"/>
                <w:lang w:val="en-US" w:eastAsia="zh-CN" w:bidi="ar-SA"/>
              </w:rPr>
              <w:t>3</w:t>
            </w:r>
            <w:r>
              <w:rPr>
                <w:rFonts w:hint="eastAsia" w:asciiTheme="minorEastAsia" w:hAnsiTheme="minorEastAsia" w:eastAsiaTheme="minorEastAsia" w:cstheme="minorEastAsia"/>
                <w:color w:val="auto"/>
                <w:kern w:val="2"/>
                <w:sz w:val="21"/>
                <w:szCs w:val="21"/>
                <w:highlight w:val="none"/>
                <w:lang w:val="zh-CN" w:eastAsia="zh-CN" w:bidi="ar-SA"/>
              </w:rPr>
              <w:t>0分）</w:t>
            </w:r>
          </w:p>
        </w:tc>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2"/>
                <w:sz w:val="21"/>
                <w:szCs w:val="21"/>
                <w:highlight w:val="none"/>
                <w:lang w:val="zh-CN" w:eastAsia="zh-CN" w:bidi="ar-SA"/>
              </w:rPr>
            </w:pPr>
            <w:r>
              <w:rPr>
                <w:rFonts w:hint="eastAsia" w:asciiTheme="minorEastAsia" w:hAnsiTheme="minorEastAsia" w:eastAsiaTheme="minorEastAsia" w:cstheme="minorEastAsia"/>
                <w:color w:val="auto"/>
                <w:kern w:val="2"/>
                <w:sz w:val="21"/>
                <w:szCs w:val="21"/>
                <w:highlight w:val="none"/>
                <w:lang w:val="zh-CN" w:eastAsia="zh-CN" w:bidi="ar-SA"/>
              </w:rPr>
              <w:t>磋商报价</w:t>
            </w:r>
          </w:p>
          <w:p>
            <w:pPr>
              <w:spacing w:after="156" w:afterLines="50"/>
              <w:jc w:val="center"/>
              <w:rPr>
                <w:rFonts w:hint="eastAsia" w:asciiTheme="minorEastAsia" w:hAnsiTheme="minorEastAsia" w:eastAsiaTheme="minorEastAsia" w:cstheme="minorEastAsia"/>
                <w:color w:val="auto"/>
                <w:kern w:val="2"/>
                <w:sz w:val="21"/>
                <w:szCs w:val="21"/>
                <w:highlight w:val="none"/>
                <w:lang w:val="zh-CN" w:eastAsia="zh-CN" w:bidi="ar-SA"/>
              </w:rPr>
            </w:pPr>
          </w:p>
        </w:tc>
        <w:tc>
          <w:tcPr>
            <w:tcW w:w="62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left="-94" w:leftChars="-45" w:firstLine="105" w:firstLineChars="50"/>
              <w:rPr>
                <w:rFonts w:hint="eastAsia" w:asciiTheme="minorEastAsia" w:hAnsiTheme="minorEastAsia" w:eastAsiaTheme="minorEastAsia" w:cstheme="minorEastAsia"/>
                <w:color w:val="auto"/>
                <w:kern w:val="2"/>
                <w:sz w:val="21"/>
                <w:szCs w:val="21"/>
                <w:highlight w:val="none"/>
                <w:lang w:val="zh-CN"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r>
              <w:rPr>
                <w:rFonts w:hint="eastAsia" w:asciiTheme="minorEastAsia" w:hAnsiTheme="minorEastAsia" w:eastAsiaTheme="minorEastAsia" w:cstheme="minorEastAsia"/>
                <w:color w:val="auto"/>
                <w:kern w:val="2"/>
                <w:sz w:val="21"/>
                <w:szCs w:val="21"/>
                <w:highlight w:val="none"/>
                <w:lang w:val="zh-CN" w:eastAsia="zh-CN" w:bidi="ar-SA"/>
              </w:rPr>
              <w:t>满足磋商文件实质性要求且最终报价最低的供应商的价格为磋商基准价，其价格分为满分</w:t>
            </w:r>
            <w:r>
              <w:rPr>
                <w:rFonts w:hint="eastAsia" w:asciiTheme="minorEastAsia" w:hAnsiTheme="minorEastAsia" w:eastAsiaTheme="minorEastAsia" w:cstheme="minorEastAsia"/>
                <w:color w:val="auto"/>
                <w:kern w:val="2"/>
                <w:sz w:val="21"/>
                <w:szCs w:val="21"/>
                <w:highlight w:val="none"/>
                <w:lang w:val="en-US" w:eastAsia="zh-CN" w:bidi="ar-SA"/>
              </w:rPr>
              <w:t>30</w:t>
            </w:r>
            <w:r>
              <w:rPr>
                <w:rFonts w:hint="eastAsia" w:asciiTheme="minorEastAsia" w:hAnsiTheme="minorEastAsia" w:eastAsiaTheme="minorEastAsia" w:cstheme="minorEastAsia"/>
                <w:color w:val="auto"/>
                <w:kern w:val="2"/>
                <w:sz w:val="21"/>
                <w:szCs w:val="21"/>
                <w:highlight w:val="none"/>
                <w:lang w:val="zh-CN" w:eastAsia="zh-CN" w:bidi="ar-SA"/>
              </w:rPr>
              <w:t>分。</w:t>
            </w:r>
          </w:p>
          <w:p>
            <w:pPr>
              <w:spacing w:after="156" w:afterLines="50"/>
              <w:jc w:val="left"/>
              <w:rPr>
                <w:rFonts w:hint="eastAsia" w:asciiTheme="minorEastAsia" w:hAnsiTheme="minorEastAsia" w:eastAsiaTheme="minorEastAsia" w:cstheme="minorEastAsia"/>
                <w:color w:val="auto"/>
                <w:kern w:val="2"/>
                <w:sz w:val="21"/>
                <w:szCs w:val="21"/>
                <w:highlight w:val="none"/>
                <w:lang w:val="zh-CN"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kern w:val="2"/>
                <w:sz w:val="21"/>
                <w:szCs w:val="21"/>
                <w:highlight w:val="none"/>
                <w:lang w:val="zh-CN" w:eastAsia="zh-CN" w:bidi="ar-SA"/>
              </w:rPr>
              <w:t>磋商报价得分=（磋商基准价/最终磋商报价）×</w:t>
            </w:r>
            <w:r>
              <w:rPr>
                <w:rFonts w:hint="eastAsia" w:asciiTheme="minorEastAsia" w:hAnsiTheme="minorEastAsia" w:eastAsiaTheme="minorEastAsia" w:cstheme="minorEastAsia"/>
                <w:color w:val="auto"/>
                <w:kern w:val="2"/>
                <w:sz w:val="21"/>
                <w:szCs w:val="21"/>
                <w:highlight w:val="none"/>
                <w:lang w:val="en-US" w:eastAsia="zh-CN" w:bidi="ar-SA"/>
              </w:rPr>
              <w:t>30</w:t>
            </w:r>
            <w:r>
              <w:rPr>
                <w:rFonts w:hint="eastAsia" w:asciiTheme="minorEastAsia" w:hAnsiTheme="minorEastAsia" w:eastAsiaTheme="minorEastAsia" w:cstheme="minorEastAsia"/>
                <w:color w:val="auto"/>
                <w:kern w:val="2"/>
                <w:sz w:val="21"/>
                <w:szCs w:val="21"/>
                <w:highlight w:val="none"/>
                <w:lang w:val="zh-CN" w:eastAsia="zh-CN" w:bidi="ar-SA"/>
              </w:rPr>
              <w:t>的公式计算得分。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517" w:hRule="atLeast"/>
          <w:jc w:val="center"/>
        </w:trPr>
        <w:tc>
          <w:tcPr>
            <w:tcW w:w="640" w:type="dxa"/>
            <w:vMerge w:val="restart"/>
            <w:tcBorders>
              <w:top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w:t>
            </w:r>
          </w:p>
        </w:tc>
        <w:tc>
          <w:tcPr>
            <w:tcW w:w="986" w:type="dxa"/>
            <w:vMerge w:val="restart"/>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商务</w:t>
            </w:r>
          </w:p>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部分</w:t>
            </w:r>
          </w:p>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（20分）</w:t>
            </w:r>
          </w:p>
        </w:tc>
        <w:tc>
          <w:tcPr>
            <w:tcW w:w="1180" w:type="dxa"/>
            <w:tcBorders>
              <w:top w:val="single" w:color="auto" w:sz="4" w:space="0"/>
              <w:left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商务响应</w:t>
            </w:r>
          </w:p>
        </w:tc>
        <w:tc>
          <w:tcPr>
            <w:tcW w:w="910" w:type="dxa"/>
            <w:tcBorders>
              <w:top w:val="single" w:color="auto" w:sz="4" w:space="0"/>
              <w:left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满分</w:t>
            </w:r>
          </w:p>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10分</w:t>
            </w:r>
          </w:p>
        </w:tc>
        <w:tc>
          <w:tcPr>
            <w:tcW w:w="5295"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质量，服务期，安全、其他商务条款优于磋商文件要求的得7-10分；质量，服务期，安全、其他商务条款满足磋商文件要求的得4-6分；质量，服务期，安全满足磋商文件要求，其他商务条款不满足磋商文件要求的得</w:t>
            </w:r>
            <w:r>
              <w:rPr>
                <w:rFonts w:hint="eastAsia" w:asciiTheme="minorEastAsia" w:hAnsiTheme="minorEastAsia" w:cstheme="minorEastAsia"/>
                <w:color w:val="auto"/>
                <w:kern w:val="2"/>
                <w:sz w:val="21"/>
                <w:szCs w:val="21"/>
                <w:highlight w:val="none"/>
                <w:lang w:val="en-US" w:eastAsia="zh-CN" w:bidi="ar-SA"/>
              </w:rPr>
              <w:t>0</w:t>
            </w:r>
            <w:r>
              <w:rPr>
                <w:rFonts w:hint="eastAsia" w:asciiTheme="minorEastAsia" w:hAnsiTheme="minorEastAsia" w:eastAsiaTheme="minorEastAsia" w:cstheme="minorEastAsia"/>
                <w:color w:val="auto"/>
                <w:kern w:val="2"/>
                <w:sz w:val="21"/>
                <w:szCs w:val="21"/>
                <w:highlight w:val="none"/>
                <w:lang w:val="en-US" w:eastAsia="zh-CN" w:bidi="ar-SA"/>
              </w:rPr>
              <w:t>-3分；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107" w:hRule="atLeast"/>
          <w:jc w:val="center"/>
        </w:trPr>
        <w:tc>
          <w:tcPr>
            <w:tcW w:w="640" w:type="dxa"/>
            <w:vMerge w:val="continue"/>
            <w:tcBorders>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986" w:type="dxa"/>
            <w:vMerge w:val="continue"/>
            <w:tcBorders>
              <w:left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中标履约</w:t>
            </w:r>
          </w:p>
        </w:tc>
        <w:tc>
          <w:tcPr>
            <w:tcW w:w="910"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满分</w:t>
            </w:r>
          </w:p>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10分</w:t>
            </w:r>
          </w:p>
        </w:tc>
        <w:tc>
          <w:tcPr>
            <w:tcW w:w="5295"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供应商自20</w:t>
            </w:r>
            <w:r>
              <w:rPr>
                <w:rFonts w:hint="eastAsia" w:asciiTheme="minorEastAsia" w:hAnsiTheme="minorEastAsia" w:cstheme="minorEastAsia"/>
                <w:color w:val="auto"/>
                <w:kern w:val="2"/>
                <w:sz w:val="21"/>
                <w:szCs w:val="21"/>
                <w:highlight w:val="none"/>
                <w:lang w:val="en-US" w:eastAsia="zh-CN" w:bidi="ar-SA"/>
              </w:rPr>
              <w:t>20</w:t>
            </w:r>
            <w:r>
              <w:rPr>
                <w:rFonts w:hint="eastAsia" w:asciiTheme="minorEastAsia" w:hAnsiTheme="minorEastAsia" w:eastAsiaTheme="minorEastAsia" w:cstheme="minorEastAsia"/>
                <w:color w:val="auto"/>
                <w:kern w:val="2"/>
                <w:sz w:val="21"/>
                <w:szCs w:val="21"/>
                <w:highlight w:val="none"/>
                <w:lang w:val="en-US" w:eastAsia="zh-CN" w:bidi="ar-SA"/>
              </w:rPr>
              <w:t>年以来完成过林业类业绩，一个业绩得3分，两个业绩得6分，三个及三个以上业绩得10分，未提供业绩的不得分。（以中标通知书或合同为准）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566" w:hRule="atLeast"/>
          <w:jc w:val="center"/>
        </w:trPr>
        <w:tc>
          <w:tcPr>
            <w:tcW w:w="640" w:type="dxa"/>
            <w:vMerge w:val="restart"/>
            <w:tcBorders>
              <w:top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w:t>
            </w:r>
          </w:p>
        </w:tc>
        <w:tc>
          <w:tcPr>
            <w:tcW w:w="986" w:type="dxa"/>
            <w:vMerge w:val="restart"/>
            <w:tcBorders>
              <w:top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技术</w:t>
            </w:r>
          </w:p>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部分</w:t>
            </w:r>
          </w:p>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（50分）</w:t>
            </w:r>
          </w:p>
        </w:tc>
        <w:tc>
          <w:tcPr>
            <w:tcW w:w="1180"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实施方案</w:t>
            </w:r>
          </w:p>
        </w:tc>
        <w:tc>
          <w:tcPr>
            <w:tcW w:w="910"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满分</w:t>
            </w:r>
          </w:p>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20分</w:t>
            </w:r>
          </w:p>
        </w:tc>
        <w:tc>
          <w:tcPr>
            <w:tcW w:w="5295"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kern w:val="2"/>
                <w:sz w:val="21"/>
                <w:szCs w:val="21"/>
                <w:highlight w:val="none"/>
                <w:lang w:val="en-US" w:eastAsia="zh-CN" w:bidi="ar-SA"/>
              </w:rPr>
              <w:t>供应商在响应文件中编制总体</w:t>
            </w:r>
            <w:r>
              <w:rPr>
                <w:rFonts w:hint="eastAsia" w:asciiTheme="minorEastAsia" w:hAnsiTheme="minorEastAsia" w:eastAsiaTheme="minorEastAsia" w:cstheme="minorEastAsia"/>
                <w:color w:val="auto"/>
                <w:kern w:val="2"/>
                <w:sz w:val="21"/>
                <w:szCs w:val="21"/>
                <w:highlight w:val="none"/>
                <w:lang w:val="en-US" w:eastAsia="zh-CN" w:bidi="ar-SA"/>
              </w:rPr>
              <w:t>实施方案，实施方案合理，内容全面且高于磋商文件要求的得16-20分；方案合理，内容全面符合磋商文件得11-15分，方案合理，内容有漏项的得6-10分，方案不合理，内容有漏项的得</w:t>
            </w:r>
            <w:r>
              <w:rPr>
                <w:rFonts w:hint="eastAsia" w:asciiTheme="minorEastAsia" w:hAnsiTheme="minorEastAsia" w:cstheme="minorEastAsia"/>
                <w:color w:val="auto"/>
                <w:kern w:val="2"/>
                <w:sz w:val="21"/>
                <w:szCs w:val="21"/>
                <w:highlight w:val="none"/>
                <w:lang w:val="en-US" w:eastAsia="zh-CN" w:bidi="ar-SA"/>
              </w:rPr>
              <w:t>0</w:t>
            </w:r>
            <w:r>
              <w:rPr>
                <w:rFonts w:hint="eastAsia" w:asciiTheme="minorEastAsia" w:hAnsiTheme="minorEastAsia" w:eastAsiaTheme="minorEastAsia" w:cstheme="minorEastAsia"/>
                <w:color w:val="auto"/>
                <w:kern w:val="2"/>
                <w:sz w:val="21"/>
                <w:szCs w:val="21"/>
                <w:highlight w:val="none"/>
                <w:lang w:val="en-US" w:eastAsia="zh-CN" w:bidi="ar-SA"/>
              </w:rPr>
              <w:t>-5分（同等情形下允许同分）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555" w:hRule="atLeast"/>
          <w:jc w:val="center"/>
        </w:trPr>
        <w:tc>
          <w:tcPr>
            <w:tcW w:w="640" w:type="dxa"/>
            <w:vMerge w:val="continue"/>
            <w:tcBorders>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986" w:type="dxa"/>
            <w:vMerge w:val="continue"/>
            <w:tcBorders>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180" w:type="dxa"/>
            <w:tcBorders>
              <w:top w:val="single" w:color="auto" w:sz="4" w:space="0"/>
              <w:left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服务期承诺及保障措施</w:t>
            </w:r>
          </w:p>
        </w:tc>
        <w:tc>
          <w:tcPr>
            <w:tcW w:w="910" w:type="dxa"/>
            <w:tcBorders>
              <w:top w:val="single" w:color="auto" w:sz="4" w:space="0"/>
              <w:left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满分</w:t>
            </w:r>
          </w:p>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10分</w:t>
            </w:r>
          </w:p>
        </w:tc>
        <w:tc>
          <w:tcPr>
            <w:tcW w:w="5295"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服务期承诺优于磋商文件要求，保证措施全面、完善、可行的得9-10分；服务期承诺满足磋商文件要求，保证措施较全面、较完善、可行的得5-8分；服务期承诺满足磋商文件要求，保证措施不全面、不完善、可行性差的得</w:t>
            </w:r>
            <w:r>
              <w:rPr>
                <w:rFonts w:hint="eastAsia" w:asciiTheme="minorEastAsia" w:hAnsiTheme="minorEastAsia" w:cstheme="minorEastAsia"/>
                <w:color w:val="auto"/>
                <w:kern w:val="2"/>
                <w:sz w:val="21"/>
                <w:szCs w:val="21"/>
                <w:highlight w:val="none"/>
                <w:lang w:val="en-US" w:eastAsia="zh-CN" w:bidi="ar-SA"/>
              </w:rPr>
              <w:t>0</w:t>
            </w:r>
            <w:r>
              <w:rPr>
                <w:rFonts w:hint="eastAsia" w:asciiTheme="minorEastAsia" w:hAnsiTheme="minorEastAsia" w:eastAsiaTheme="minorEastAsia" w:cstheme="minorEastAsia"/>
                <w:color w:val="auto"/>
                <w:kern w:val="2"/>
                <w:sz w:val="21"/>
                <w:szCs w:val="21"/>
                <w:highlight w:val="none"/>
                <w:lang w:val="en-US" w:eastAsia="zh-CN" w:bidi="ar-SA"/>
              </w:rPr>
              <w:t>-4分；（同等情形下允许同分）。服务期不满足磋商文件要求的，按无效标处理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260" w:hRule="atLeast"/>
          <w:jc w:val="center"/>
        </w:trPr>
        <w:tc>
          <w:tcPr>
            <w:tcW w:w="640" w:type="dxa"/>
            <w:vMerge w:val="continue"/>
            <w:tcBorders>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986" w:type="dxa"/>
            <w:vMerge w:val="continue"/>
            <w:tcBorders>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安全施工保障措施</w:t>
            </w:r>
          </w:p>
        </w:tc>
        <w:tc>
          <w:tcPr>
            <w:tcW w:w="910"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满分</w:t>
            </w:r>
          </w:p>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10分</w:t>
            </w:r>
          </w:p>
        </w:tc>
        <w:tc>
          <w:tcPr>
            <w:tcW w:w="5295"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针对本项目详细编制安全施工保障措施供评委评审，措施合理，防火保障措施得当的得9-10分；措施合理，有防火措施的良得5-8分；措施不合理，无防火措施的得</w:t>
            </w:r>
            <w:r>
              <w:rPr>
                <w:rFonts w:hint="eastAsia" w:asciiTheme="minorEastAsia" w:hAnsiTheme="minorEastAsia" w:cstheme="minorEastAsia"/>
                <w:color w:val="auto"/>
                <w:kern w:val="2"/>
                <w:sz w:val="21"/>
                <w:szCs w:val="21"/>
                <w:highlight w:val="none"/>
                <w:lang w:val="en-US" w:eastAsia="zh-CN" w:bidi="ar-SA"/>
              </w:rPr>
              <w:t>0</w:t>
            </w:r>
            <w:r>
              <w:rPr>
                <w:rFonts w:hint="eastAsia" w:asciiTheme="minorEastAsia" w:hAnsiTheme="minorEastAsia" w:eastAsiaTheme="minorEastAsia" w:cstheme="minorEastAsia"/>
                <w:color w:val="auto"/>
                <w:kern w:val="2"/>
                <w:sz w:val="21"/>
                <w:szCs w:val="21"/>
                <w:highlight w:val="none"/>
                <w:lang w:val="en-US" w:eastAsia="zh-CN" w:bidi="ar-SA"/>
              </w:rPr>
              <w:t>-4分。（同等情形下允许同分）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913" w:hRule="atLeast"/>
          <w:jc w:val="center"/>
        </w:trPr>
        <w:tc>
          <w:tcPr>
            <w:tcW w:w="640" w:type="dxa"/>
            <w:vMerge w:val="continue"/>
            <w:tcBorders>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986" w:type="dxa"/>
            <w:vMerge w:val="continue"/>
            <w:tcBorders>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质量承诺</w:t>
            </w:r>
          </w:p>
        </w:tc>
        <w:tc>
          <w:tcPr>
            <w:tcW w:w="910"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满分</w:t>
            </w:r>
          </w:p>
          <w:p>
            <w:pPr>
              <w:spacing w:after="156" w:afterLines="5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10分</w:t>
            </w:r>
          </w:p>
        </w:tc>
        <w:tc>
          <w:tcPr>
            <w:tcW w:w="5295" w:type="dxa"/>
            <w:tcBorders>
              <w:top w:val="single" w:color="auto" w:sz="4" w:space="0"/>
              <w:left w:val="single" w:color="auto" w:sz="4" w:space="0"/>
              <w:bottom w:val="single" w:color="auto" w:sz="4" w:space="0"/>
              <w:right w:val="single" w:color="auto" w:sz="4" w:space="0"/>
            </w:tcBorders>
            <w:vAlign w:val="center"/>
          </w:tcPr>
          <w:p>
            <w:pPr>
              <w:spacing w:after="156" w:afterLines="5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对供应商承诺的各项工序质量进行综合评比，质量承诺合理，质量保证措施完善得9-10分，质量承诺合理，质量保证措施较完善的得5-8；质量承诺不合理，无质量保证措施或质量保证措施不完善的得</w:t>
            </w:r>
            <w:r>
              <w:rPr>
                <w:rFonts w:hint="eastAsia" w:asciiTheme="minorEastAsia" w:hAnsiTheme="minorEastAsia" w:cstheme="minorEastAsia"/>
                <w:color w:val="auto"/>
                <w:kern w:val="2"/>
                <w:sz w:val="21"/>
                <w:szCs w:val="21"/>
                <w:highlight w:val="none"/>
                <w:lang w:val="en-US" w:eastAsia="zh-CN" w:bidi="ar-SA"/>
              </w:rPr>
              <w:t>0</w:t>
            </w:r>
            <w:r>
              <w:rPr>
                <w:rFonts w:hint="eastAsia" w:asciiTheme="minorEastAsia" w:hAnsiTheme="minorEastAsia" w:eastAsiaTheme="minorEastAsia" w:cstheme="minorEastAsia"/>
                <w:color w:val="auto"/>
                <w:kern w:val="2"/>
                <w:sz w:val="21"/>
                <w:szCs w:val="21"/>
                <w:highlight w:val="none"/>
                <w:lang w:val="en-US" w:eastAsia="zh-CN" w:bidi="ar-SA"/>
              </w:rPr>
              <w:t>-4分。（同等情形下允许同分）。质量承诺不满足磋商文件要求的，按无效标处理</w:t>
            </w:r>
          </w:p>
        </w:tc>
      </w:tr>
    </w:tbl>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各评审专家在充分审阅供应商响应文件的基础上，按照评审标准对每个供应商进行打分，评委评议得分算术平均值为各供应商的评审得分（小数点后保留2位有效数字），按评审得分由高到低顺序，推荐前三名为本项目成交候选供应商。</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12．磋商小组</w:t>
      </w:r>
      <w:bookmarkEnd w:id="34"/>
      <w:bookmarkEnd w:id="35"/>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磋商小组由采购人代表和评审专家共同组成。评审专家应当从政府采购评审专家库内相关专业的专家名单中随机抽取。</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36" w:name="_Toc75259348"/>
      <w:bookmarkStart w:id="37" w:name="_Toc30469"/>
      <w:r>
        <w:rPr>
          <w:rFonts w:hint="eastAsia" w:asciiTheme="minorEastAsia" w:hAnsiTheme="minorEastAsia" w:eastAsiaTheme="minorEastAsia" w:cstheme="minorEastAsia"/>
          <w:b/>
          <w:color w:val="auto"/>
          <w:sz w:val="21"/>
          <w:szCs w:val="21"/>
          <w:highlight w:val="none"/>
        </w:rPr>
        <w:t>13．磋商评审纪律</w:t>
      </w:r>
      <w:bookmarkEnd w:id="36"/>
      <w:bookmarkEnd w:id="37"/>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13.1磋商小组成员</w:t>
      </w:r>
      <w:r>
        <w:rPr>
          <w:rFonts w:hint="eastAsia" w:asciiTheme="minorEastAsia" w:hAnsiTheme="minorEastAsia" w:eastAsiaTheme="minorEastAsia" w:cstheme="minorEastAsia"/>
          <w:color w:val="auto"/>
          <w:sz w:val="21"/>
          <w:szCs w:val="21"/>
          <w:highlight w:val="none"/>
          <w:lang w:val="zh-CN"/>
        </w:rPr>
        <w:t>内部讨论的情况和意见必须保密，任何人不得以任何形式透露给供应商或与供应商有关的单位或个人；</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13.2</w:t>
      </w:r>
      <w:r>
        <w:rPr>
          <w:rFonts w:hint="eastAsia" w:asciiTheme="minorEastAsia" w:hAnsiTheme="minorEastAsia" w:eastAsiaTheme="minorEastAsia" w:cstheme="minorEastAsia"/>
          <w:color w:val="auto"/>
          <w:sz w:val="21"/>
          <w:szCs w:val="21"/>
          <w:highlight w:val="none"/>
          <w:lang w:val="zh-CN"/>
        </w:rPr>
        <w:t>在磋商过程中，供应商不得以任何形式对磋商小组成员进行旨在影响磋商结果的私下接触，否则取消其磋商资格；</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13.3</w:t>
      </w:r>
      <w:r>
        <w:rPr>
          <w:rFonts w:hint="eastAsia" w:asciiTheme="minorEastAsia" w:hAnsiTheme="minorEastAsia" w:eastAsiaTheme="minorEastAsia" w:cstheme="minorEastAsia"/>
          <w:color w:val="auto"/>
          <w:sz w:val="21"/>
          <w:szCs w:val="21"/>
          <w:highlight w:val="none"/>
          <w:lang w:val="zh-CN"/>
        </w:rPr>
        <w:t>磋商小组以及与磋商有关的人员应当对评审情况和评审过程中获悉的国家秘密、商业秘密予以保密。</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38" w:name="_Toc75259349"/>
      <w:bookmarkStart w:id="39" w:name="_Toc7094"/>
      <w:r>
        <w:rPr>
          <w:rFonts w:hint="eastAsia" w:asciiTheme="minorEastAsia" w:hAnsiTheme="minorEastAsia" w:eastAsiaTheme="minorEastAsia" w:cstheme="minorEastAsia"/>
          <w:b/>
          <w:color w:val="auto"/>
          <w:sz w:val="21"/>
          <w:szCs w:val="21"/>
          <w:highlight w:val="none"/>
        </w:rPr>
        <w:t>14．无效响应文件情况说明</w:t>
      </w:r>
      <w:bookmarkEnd w:id="38"/>
      <w:bookmarkEnd w:id="39"/>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响应文件有下列情形之一的，应当按照无效响应文件处理： </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14.1</w:t>
      </w:r>
      <w:r>
        <w:rPr>
          <w:rFonts w:hint="eastAsia" w:asciiTheme="minorEastAsia" w:hAnsiTheme="minorEastAsia" w:eastAsiaTheme="minorEastAsia" w:cstheme="minorEastAsia"/>
          <w:color w:val="auto"/>
          <w:sz w:val="21"/>
          <w:szCs w:val="21"/>
          <w:highlight w:val="none"/>
        </w:rPr>
        <w:t>未按磋商文件规定要求签署、盖章的；</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14.2不具备磋商文件中规定的资格要求的；</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14.3报价超过采购预算的；</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14.4未完全响应磋商文件规定的实质性要求的；</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14.5不符合法律、法规规定的其他情形；</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14.6供应商没有经过正常渠道</w:t>
      </w:r>
      <w:r>
        <w:rPr>
          <w:rFonts w:hint="eastAsia" w:asciiTheme="minorEastAsia" w:hAnsiTheme="minorEastAsia" w:cstheme="minorEastAsia"/>
          <w:color w:val="auto"/>
          <w:sz w:val="21"/>
          <w:szCs w:val="21"/>
          <w:highlight w:val="none"/>
          <w:lang w:eastAsia="zh-CN"/>
        </w:rPr>
        <w:t>获取</w:t>
      </w:r>
      <w:r>
        <w:rPr>
          <w:rFonts w:hint="eastAsia" w:asciiTheme="minorEastAsia" w:hAnsiTheme="minorEastAsia" w:eastAsiaTheme="minorEastAsia" w:cstheme="minorEastAsia"/>
          <w:color w:val="auto"/>
          <w:sz w:val="21"/>
          <w:szCs w:val="21"/>
          <w:highlight w:val="none"/>
        </w:rPr>
        <w:t>磋商文件；</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14.7响应文件</w:t>
      </w:r>
      <w:r>
        <w:rPr>
          <w:rFonts w:hint="eastAsia" w:asciiTheme="minorEastAsia" w:hAnsiTheme="minorEastAsia" w:eastAsiaTheme="minorEastAsia" w:cstheme="minorEastAsia"/>
          <w:bCs/>
          <w:color w:val="auto"/>
          <w:sz w:val="21"/>
          <w:szCs w:val="21"/>
          <w:highlight w:val="none"/>
        </w:rPr>
        <w:t>没有盖单位公章，无有效期或有效期达不到磋商文件的要求；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14.8供应商针对同一项目递交两份或多份内容不同的响应文件，未书面声明哪一份是有效的；出现选择性报价的；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14.9提供虚假资质证明，除按无效响应文件处理外，并进行相应的处罚；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sz w:val="21"/>
          <w:szCs w:val="21"/>
          <w:highlight w:val="none"/>
        </w:rPr>
        <w:t>14.10</w:t>
      </w:r>
      <w:r>
        <w:rPr>
          <w:rFonts w:hint="eastAsia" w:asciiTheme="minorEastAsia" w:hAnsiTheme="minorEastAsia" w:eastAsiaTheme="minorEastAsia" w:cstheme="minorEastAsia"/>
          <w:bCs/>
          <w:color w:val="auto"/>
          <w:kern w:val="0"/>
          <w:sz w:val="21"/>
          <w:szCs w:val="21"/>
          <w:highlight w:val="none"/>
        </w:rPr>
        <w:t>单位负责人为同一人或者存在直接控股、管理关系的不同单位不得同时</w:t>
      </w:r>
      <w:r>
        <w:rPr>
          <w:rFonts w:hint="eastAsia" w:asciiTheme="minorEastAsia" w:hAnsiTheme="minorEastAsia" w:cstheme="minorEastAsia"/>
          <w:bCs/>
          <w:color w:val="auto"/>
          <w:kern w:val="0"/>
          <w:sz w:val="21"/>
          <w:szCs w:val="21"/>
          <w:highlight w:val="none"/>
          <w:lang w:val="en-US" w:eastAsia="zh-CN"/>
        </w:rPr>
        <w:t>参加</w:t>
      </w:r>
      <w:r>
        <w:rPr>
          <w:rFonts w:hint="eastAsia" w:asciiTheme="minorEastAsia" w:hAnsiTheme="minorEastAsia" w:eastAsiaTheme="minorEastAsia" w:cstheme="minorEastAsia"/>
          <w:bCs/>
          <w:color w:val="auto"/>
          <w:kern w:val="0"/>
          <w:sz w:val="21"/>
          <w:szCs w:val="21"/>
          <w:highlight w:val="none"/>
        </w:rPr>
        <w:t>磋商。</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40" w:name="_Toc2106"/>
      <w:bookmarkStart w:id="41" w:name="_Toc75259350"/>
      <w:r>
        <w:rPr>
          <w:rFonts w:hint="eastAsia" w:asciiTheme="minorEastAsia" w:hAnsiTheme="minorEastAsia" w:eastAsiaTheme="minorEastAsia" w:cstheme="minorEastAsia"/>
          <w:b/>
          <w:color w:val="auto"/>
          <w:sz w:val="21"/>
          <w:szCs w:val="21"/>
          <w:highlight w:val="none"/>
        </w:rPr>
        <w:t>15．对响应文件的修正</w:t>
      </w:r>
      <w:bookmarkEnd w:id="40"/>
      <w:bookmarkEnd w:id="41"/>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1磋商中，对价格的计算错误按下述原则修正：</w:t>
      </w:r>
    </w:p>
    <w:p>
      <w:pPr>
        <w:pStyle w:val="16"/>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磋商时，响应文件正本与副本不一致的，以正本为准</w:t>
      </w:r>
      <w:r>
        <w:rPr>
          <w:rFonts w:hint="eastAsia" w:asciiTheme="minorEastAsia" w:hAnsiTheme="minorEastAsia" w:eastAsiaTheme="minorEastAsia" w:cstheme="minorEastAsia"/>
          <w:color w:val="auto"/>
          <w:sz w:val="21"/>
          <w:szCs w:val="21"/>
          <w:highlight w:val="none"/>
        </w:rPr>
        <w:t>；</w:t>
      </w:r>
    </w:p>
    <w:p>
      <w:pPr>
        <w:pStyle w:val="16"/>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响应文件的大写金额和小写金额不一致的，以大写金额为准； </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（3）总价金额与按单价汇总金额不一致的，以单价金额计算结果为准；</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（4）单价金额小数点有明显错位的，应以总价为准，并修改单价；</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（5）对不同文字文本响应文件的解释发生异议的，以中文文本为准；</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（6）供应商不同意以上修正，则其响应文件将被拒绝。</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lang w:val="en-US" w:eastAsia="zh-CN"/>
        </w:rPr>
      </w:pPr>
      <w:bookmarkStart w:id="42" w:name="_Toc75259351"/>
      <w:bookmarkStart w:id="43" w:name="_Toc8855"/>
      <w:r>
        <w:rPr>
          <w:rFonts w:hint="eastAsia" w:asciiTheme="minorEastAsia" w:hAnsiTheme="minorEastAsia" w:eastAsiaTheme="minorEastAsia" w:cstheme="minorEastAsia"/>
          <w:b/>
          <w:color w:val="auto"/>
          <w:sz w:val="21"/>
          <w:szCs w:val="21"/>
          <w:highlight w:val="none"/>
        </w:rPr>
        <w:t>16</w:t>
      </w:r>
      <w:bookmarkEnd w:id="42"/>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1"/>
          <w:highlight w:val="none"/>
          <w:lang w:val="en-US" w:eastAsia="zh-CN"/>
        </w:rPr>
        <w:t>确定成交供应商</w:t>
      </w:r>
      <w:bookmarkEnd w:id="43"/>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采购代理机构在评审结束后2个工作日内将评审报告送采购人确认。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44" w:name="_Toc9401"/>
      <w:bookmarkStart w:id="45" w:name="_Toc75259352"/>
      <w:r>
        <w:rPr>
          <w:rFonts w:hint="eastAsia" w:asciiTheme="minorEastAsia" w:hAnsiTheme="minorEastAsia" w:eastAsiaTheme="minorEastAsia" w:cstheme="minorEastAsia"/>
          <w:b/>
          <w:color w:val="auto"/>
          <w:sz w:val="21"/>
          <w:szCs w:val="21"/>
          <w:highlight w:val="none"/>
        </w:rPr>
        <w:t>17．成交通知</w:t>
      </w:r>
      <w:bookmarkEnd w:id="44"/>
      <w:bookmarkEnd w:id="45"/>
      <w:r>
        <w:rPr>
          <w:rFonts w:hint="eastAsia" w:asciiTheme="minorEastAsia" w:hAnsiTheme="minorEastAsia" w:cstheme="minorEastAsia"/>
          <w:b/>
          <w:color w:val="auto"/>
          <w:sz w:val="21"/>
          <w:szCs w:val="21"/>
          <w:highlight w:val="none"/>
          <w:lang w:val="en-US" w:eastAsia="zh-CN"/>
        </w:rPr>
        <w:t>书</w:t>
      </w:r>
      <w:r>
        <w:rPr>
          <w:rFonts w:hint="eastAsia" w:asciiTheme="minorEastAsia" w:hAnsiTheme="minorEastAsia" w:eastAsiaTheme="minorEastAsia" w:cstheme="minorEastAsia"/>
          <w:b/>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17.1采购人或者采购代理机构应当在成交供应商确定后2个工作日内，在省级以上财政部门指定的政府采购信息发布媒体上公告成交结果，同时向成交供应商发出成交通知书。</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17.2成交通知书将是合同的一个组成部分。</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46" w:name="_Toc6101"/>
      <w:bookmarkStart w:id="47" w:name="_Toc75259353"/>
      <w:r>
        <w:rPr>
          <w:rFonts w:hint="eastAsia" w:asciiTheme="minorEastAsia" w:hAnsiTheme="minorEastAsia" w:eastAsiaTheme="minorEastAsia" w:cstheme="minorEastAsia"/>
          <w:b/>
          <w:color w:val="auto"/>
          <w:sz w:val="21"/>
          <w:szCs w:val="21"/>
          <w:highlight w:val="none"/>
        </w:rPr>
        <w:t>18．合同授予</w:t>
      </w:r>
      <w:bookmarkEnd w:id="46"/>
      <w:bookmarkEnd w:id="4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18.1 磋商文件、响应文件及磋商过程中有关补充文件均作为合同附件，并与合同具有相同的法律效力。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18.2当按照合同履行义务，完成磋商项目。未经采购人同意，成交供应商不得向他人转让成交项目。</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48" w:name="_Toc19047"/>
      <w:bookmarkStart w:id="49" w:name="_Toc75259354"/>
      <w:r>
        <w:rPr>
          <w:rFonts w:hint="eastAsia" w:asciiTheme="minorEastAsia" w:hAnsiTheme="minorEastAsia" w:eastAsiaTheme="minorEastAsia" w:cstheme="minorEastAsia"/>
          <w:b/>
          <w:color w:val="auto"/>
          <w:sz w:val="21"/>
          <w:szCs w:val="21"/>
          <w:highlight w:val="none"/>
        </w:rPr>
        <w:t>19．磋商有效期</w:t>
      </w:r>
      <w:bookmarkEnd w:id="48"/>
      <w:bookmarkEnd w:id="49"/>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本项目</w:t>
      </w:r>
      <w:r>
        <w:rPr>
          <w:rFonts w:hint="eastAsia" w:asciiTheme="minorEastAsia" w:hAnsiTheme="minorEastAsia" w:eastAsiaTheme="minorEastAsia" w:cstheme="minorEastAsia"/>
          <w:b/>
          <w:bCs/>
          <w:color w:val="auto"/>
          <w:sz w:val="21"/>
          <w:szCs w:val="21"/>
          <w:highlight w:val="none"/>
        </w:rPr>
        <w:t>磋商</w:t>
      </w:r>
      <w:r>
        <w:rPr>
          <w:rFonts w:hint="eastAsia" w:asciiTheme="minorEastAsia" w:hAnsiTheme="minorEastAsia" w:eastAsiaTheme="minorEastAsia" w:cstheme="minorEastAsia"/>
          <w:b/>
          <w:color w:val="auto"/>
          <w:sz w:val="21"/>
          <w:szCs w:val="21"/>
          <w:highlight w:val="none"/>
        </w:rPr>
        <w:t>有效期为</w:t>
      </w:r>
      <w:r>
        <w:rPr>
          <w:rFonts w:hint="eastAsia" w:asciiTheme="minorEastAsia" w:hAnsiTheme="minorEastAsia" w:eastAsiaTheme="minorEastAsia" w:cstheme="minorEastAsia"/>
          <w:b/>
          <w:color w:val="auto"/>
          <w:sz w:val="21"/>
          <w:szCs w:val="21"/>
          <w:highlight w:val="none"/>
          <w:u w:val="none"/>
        </w:rPr>
        <w:t>响应文件递交截止之日后90日历日</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color w:val="auto"/>
          <w:sz w:val="21"/>
          <w:szCs w:val="21"/>
          <w:highlight w:val="none"/>
        </w:rPr>
        <w:t>在此期限内，凡符合本磋商文件要求的响应文件均保持有效。</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50" w:name="_Toc75259355"/>
      <w:bookmarkStart w:id="51" w:name="_Toc26032"/>
      <w:r>
        <w:rPr>
          <w:rFonts w:hint="eastAsia" w:asciiTheme="minorEastAsia" w:hAnsiTheme="minorEastAsia" w:eastAsiaTheme="minorEastAsia" w:cstheme="minorEastAsia"/>
          <w:b/>
          <w:color w:val="auto"/>
          <w:sz w:val="21"/>
          <w:szCs w:val="21"/>
          <w:highlight w:val="none"/>
        </w:rPr>
        <w:t>20．签订合同</w:t>
      </w:r>
      <w:bookmarkEnd w:id="50"/>
      <w:bookmarkEnd w:id="51"/>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20.1成交</w:t>
      </w:r>
      <w:r>
        <w:rPr>
          <w:rFonts w:hint="eastAsia" w:asciiTheme="minorEastAsia" w:hAnsiTheme="minorEastAsia" w:eastAsiaTheme="minorEastAsia" w:cstheme="minorEastAsia"/>
          <w:color w:val="auto"/>
          <w:sz w:val="21"/>
          <w:szCs w:val="21"/>
          <w:highlight w:val="none"/>
          <w:lang w:val="en-US" w:eastAsia="zh-CN"/>
        </w:rPr>
        <w:t>供应商应自收到成交通知书之日起</w:t>
      </w:r>
      <w:r>
        <w:rPr>
          <w:rFonts w:hint="eastAsia" w:asciiTheme="minorEastAsia" w:hAnsi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lang w:val="en-US" w:eastAsia="zh-CN"/>
        </w:rPr>
        <w:t>日内</w:t>
      </w:r>
      <w:r>
        <w:rPr>
          <w:rFonts w:hint="eastAsia" w:asciiTheme="minorEastAsia" w:hAnsiTheme="minorEastAsia" w:eastAsiaTheme="minorEastAsia" w:cstheme="minorEastAsia"/>
          <w:color w:val="auto"/>
          <w:sz w:val="21"/>
          <w:szCs w:val="21"/>
          <w:highlight w:val="none"/>
        </w:rPr>
        <w:t>与采购人签订合同。</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20.2成交供应商应按成交通知书中规定的时间与采购人签订合同，否则按违约处理，并赔偿本次及再次采购所发生的费用。</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20.3磋商文件、成交供应商的响应报价文件及评审过程中有关澄清文件均应作为合同附件，并与合同具有相同的法律效力。</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52" w:name="_Toc14027"/>
      <w:bookmarkStart w:id="53" w:name="_Toc75259356"/>
      <w:r>
        <w:rPr>
          <w:rFonts w:hint="eastAsia" w:asciiTheme="minorEastAsia" w:hAnsiTheme="minorEastAsia" w:eastAsiaTheme="minorEastAsia" w:cstheme="minorEastAsia"/>
          <w:b/>
          <w:color w:val="auto"/>
          <w:sz w:val="21"/>
          <w:szCs w:val="21"/>
          <w:highlight w:val="none"/>
        </w:rPr>
        <w:t>21．</w:t>
      </w:r>
      <w:r>
        <w:rPr>
          <w:rFonts w:hint="eastAsia" w:asciiTheme="minorEastAsia" w:hAnsiTheme="minorEastAsia" w:eastAsiaTheme="minorEastAsia" w:cstheme="minorEastAsia"/>
          <w:b/>
          <w:color w:val="auto"/>
          <w:sz w:val="21"/>
          <w:szCs w:val="21"/>
          <w:highlight w:val="none"/>
          <w:lang w:val="en-US" w:eastAsia="zh-CN"/>
        </w:rPr>
        <w:t>采购</w:t>
      </w:r>
      <w:r>
        <w:rPr>
          <w:rFonts w:hint="eastAsia" w:asciiTheme="minorEastAsia" w:hAnsiTheme="minorEastAsia" w:eastAsiaTheme="minorEastAsia" w:cstheme="minorEastAsia"/>
          <w:b/>
          <w:color w:val="auto"/>
          <w:sz w:val="21"/>
          <w:szCs w:val="21"/>
          <w:highlight w:val="none"/>
        </w:rPr>
        <w:t>代理服务费</w:t>
      </w:r>
      <w:bookmarkEnd w:id="52"/>
      <w:bookmarkEnd w:id="5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color w:val="auto"/>
          <w:sz w:val="21"/>
          <w:szCs w:val="21"/>
          <w:highlight w:val="none"/>
        </w:rPr>
      </w:pPr>
      <w:bookmarkStart w:id="54" w:name="_Hlk63417944"/>
      <w:r>
        <w:rPr>
          <w:rFonts w:hint="eastAsia" w:asciiTheme="minorEastAsia" w:hAnsiTheme="minorEastAsia" w:eastAsiaTheme="minorEastAsia" w:cstheme="minorEastAsia"/>
          <w:color w:val="auto"/>
          <w:sz w:val="21"/>
          <w:szCs w:val="21"/>
          <w:highlight w:val="none"/>
        </w:rPr>
        <w:t>21.1</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代理服务费参照《国家计委关于印发&lt;招标代理服务收费管理暂行办法&gt;的通知》（计价格〔20</w:t>
      </w:r>
      <w:r>
        <w:rPr>
          <w:rFonts w:hint="eastAsia" w:asciiTheme="minorEastAsia" w:hAnsiTheme="minorEastAsia" w:eastAsiaTheme="minorEastAsia" w:cstheme="minorEastAsia"/>
          <w:color w:val="auto"/>
          <w:sz w:val="21"/>
          <w:szCs w:val="21"/>
          <w:highlight w:val="none"/>
          <w:lang w:val="en-US" w:eastAsia="zh-CN"/>
        </w:rPr>
        <w:t>02</w:t>
      </w:r>
      <w:r>
        <w:rPr>
          <w:rFonts w:hint="eastAsia" w:asciiTheme="minorEastAsia" w:hAnsiTheme="minorEastAsia" w:eastAsiaTheme="minorEastAsia" w:cstheme="minorEastAsia"/>
          <w:color w:val="auto"/>
          <w:sz w:val="21"/>
          <w:szCs w:val="21"/>
          <w:highlight w:val="none"/>
        </w:rPr>
        <w:t>〕1980号）中规定的差额定律累进法计取。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21.2</w:t>
      </w:r>
      <w:r>
        <w:rPr>
          <w:rFonts w:hint="eastAsia" w:asciiTheme="minorEastAsia" w:hAnsi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向采购代理机构缴</w:t>
      </w:r>
      <w:r>
        <w:rPr>
          <w:rFonts w:hint="eastAsia" w:asciiTheme="minorEastAsia" w:hAnsiTheme="minorEastAsia" w:cstheme="minorEastAsia"/>
          <w:color w:val="auto"/>
          <w:sz w:val="21"/>
          <w:szCs w:val="21"/>
          <w:highlight w:val="none"/>
          <w:lang w:val="en-US" w:eastAsia="zh-CN"/>
        </w:rPr>
        <w:t>清</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代理服务费。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21.3</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代理服务费以转账或现金形式缴纳。</w:t>
      </w:r>
    </w:p>
    <w:bookmarkEnd w:id="54"/>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55" w:name="_Toc75259357"/>
      <w:bookmarkStart w:id="56" w:name="_Toc26314"/>
      <w:r>
        <w:rPr>
          <w:rFonts w:hint="eastAsia" w:asciiTheme="minorEastAsia" w:hAnsiTheme="minorEastAsia" w:eastAsiaTheme="minorEastAsia" w:cstheme="minorEastAsia"/>
          <w:b/>
          <w:color w:val="auto"/>
          <w:sz w:val="21"/>
          <w:szCs w:val="21"/>
          <w:highlight w:val="none"/>
        </w:rPr>
        <w:t>22．质疑</w:t>
      </w:r>
      <w:bookmarkEnd w:id="55"/>
      <w:bookmarkEnd w:id="5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22.1供应商可以在知道或者应知其权益受到损害之日起7个工作日内，以书面形式向采购人、采购代理机构提出质疑。供应商提出质疑应当提交质疑函和必要的证明材料。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22.2项目联系人：</w:t>
      </w:r>
      <w:r>
        <w:rPr>
          <w:rFonts w:hint="eastAsia" w:asciiTheme="minorEastAsia" w:hAnsiTheme="minorEastAsia" w:cstheme="minorEastAsia"/>
          <w:color w:val="auto"/>
          <w:sz w:val="21"/>
          <w:szCs w:val="21"/>
          <w:highlight w:val="none"/>
          <w:lang w:eastAsia="zh-CN"/>
        </w:rPr>
        <w:t>付</w:t>
      </w:r>
      <w:r>
        <w:rPr>
          <w:rFonts w:hint="eastAsia" w:asciiTheme="minorEastAsia" w:hAnsiTheme="minorEastAsia" w:eastAsiaTheme="minorEastAsia" w:cstheme="minorEastAsia"/>
          <w:color w:val="auto"/>
          <w:sz w:val="21"/>
          <w:szCs w:val="21"/>
          <w:highlight w:val="none"/>
          <w:lang w:val="en-US" w:eastAsia="zh-CN"/>
        </w:rPr>
        <w:t>工</w:t>
      </w:r>
      <w:r>
        <w:rPr>
          <w:rFonts w:hint="eastAsia" w:asciiTheme="minorEastAsia" w:hAnsiTheme="minorEastAsia" w:eastAsiaTheme="minorEastAsia" w:cstheme="minorEastAsia"/>
          <w:color w:val="auto"/>
          <w:sz w:val="21"/>
          <w:szCs w:val="21"/>
          <w:highlight w:val="none"/>
        </w:rPr>
        <w:t>；联系电话：</w:t>
      </w:r>
      <w:r>
        <w:rPr>
          <w:rFonts w:hint="eastAsia" w:asciiTheme="minorEastAsia" w:hAnsiTheme="minorEastAsia" w:eastAsiaTheme="minorEastAsia" w:cstheme="minorEastAsia"/>
          <w:color w:val="auto"/>
          <w:sz w:val="21"/>
          <w:szCs w:val="21"/>
          <w:highlight w:val="none"/>
          <w:lang w:val="en-US" w:eastAsia="zh-CN"/>
        </w:rPr>
        <w:t>0911-8899885</w:t>
      </w: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lang w:val="en-US" w:eastAsia="zh-CN"/>
        </w:rPr>
        <w:t>延安市新区上城三号3号楼1单元302</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22.3质疑函应当包括下列内容：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（二）质疑项目的名称、编号；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（四）事实依据；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（五）必要的法律依据；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（六）提出质疑的日期。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供应商为自然人的应当由本人签字；供应商为法人或者其他组织的，应当由法定代表人或其授权代表签字</w:t>
      </w:r>
      <w:r>
        <w:rPr>
          <w:rFonts w:hint="eastAsia" w:asciiTheme="minorEastAsia" w:hAnsiTheme="minorEastAsia" w:cstheme="minorEastAsia"/>
          <w:color w:val="auto"/>
          <w:sz w:val="21"/>
          <w:szCs w:val="21"/>
          <w:highlight w:val="none"/>
          <w:lang w:val="en-US" w:eastAsia="zh-CN"/>
        </w:rPr>
        <w:t>或</w:t>
      </w:r>
      <w:r>
        <w:rPr>
          <w:rFonts w:hint="eastAsia" w:asciiTheme="minorEastAsia" w:hAnsiTheme="minorEastAsia" w:eastAsiaTheme="minorEastAsia" w:cstheme="minorEastAsia"/>
          <w:color w:val="auto"/>
          <w:sz w:val="21"/>
          <w:szCs w:val="21"/>
          <w:highlight w:val="none"/>
        </w:rPr>
        <w:t>盖章，并加盖公章。</w:t>
      </w:r>
      <w:r>
        <w:rPr>
          <w:rFonts w:hint="eastAsia" w:asciiTheme="minorEastAsia" w:hAnsiTheme="minorEastAsia" w:eastAsiaTheme="minorEastAsia" w:cstheme="minorEastAsia"/>
          <w:b/>
          <w:bCs/>
          <w:color w:val="auto"/>
          <w:sz w:val="21"/>
          <w:szCs w:val="21"/>
          <w:highlight w:val="none"/>
        </w:rPr>
        <w:t>采购文件要求供应商在法定质疑</w:t>
      </w:r>
      <w:r>
        <w:rPr>
          <w:rFonts w:hint="eastAsia" w:asciiTheme="minorEastAsia" w:hAnsiTheme="minorEastAsia" w:cstheme="minorEastAsia"/>
          <w:b/>
          <w:bCs/>
          <w:color w:val="auto"/>
          <w:sz w:val="21"/>
          <w:szCs w:val="21"/>
          <w:highlight w:val="none"/>
          <w:lang w:val="en-US" w:eastAsia="zh-CN"/>
        </w:rPr>
        <w:t>期</w:t>
      </w:r>
      <w:r>
        <w:rPr>
          <w:rFonts w:hint="eastAsia" w:asciiTheme="minorEastAsia" w:hAnsiTheme="minorEastAsia" w:eastAsiaTheme="minorEastAsia" w:cstheme="minorEastAsia"/>
          <w:b/>
          <w:bCs/>
          <w:color w:val="auto"/>
          <w:sz w:val="21"/>
          <w:szCs w:val="21"/>
          <w:highlight w:val="none"/>
        </w:rPr>
        <w:t>内一次性提出针对同一采购程序环节的质疑。</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highlight w:val="none"/>
        </w:rPr>
      </w:pPr>
      <w:bookmarkStart w:id="57" w:name="_Toc2124"/>
      <w:bookmarkStart w:id="58" w:name="_Toc75259358"/>
      <w:r>
        <w:rPr>
          <w:rFonts w:hint="eastAsia" w:asciiTheme="minorEastAsia" w:hAnsiTheme="minorEastAsia" w:eastAsiaTheme="minorEastAsia" w:cstheme="minorEastAsia"/>
          <w:b/>
          <w:color w:val="auto"/>
          <w:sz w:val="21"/>
          <w:szCs w:val="21"/>
          <w:highlight w:val="none"/>
        </w:rPr>
        <w:t>23</w:t>
      </w:r>
      <w:bookmarkStart w:id="59" w:name="_Toc44581001"/>
      <w:bookmarkStart w:id="60" w:name="_Toc44581543"/>
      <w:r>
        <w:rPr>
          <w:rFonts w:hint="eastAsia" w:asciiTheme="minorEastAsia" w:hAnsiTheme="minorEastAsia" w:eastAsiaTheme="minorEastAsia" w:cstheme="minorEastAsia"/>
          <w:b/>
          <w:color w:val="auto"/>
          <w:sz w:val="21"/>
          <w:szCs w:val="21"/>
          <w:highlight w:val="none"/>
        </w:rPr>
        <w:t>．需要落实的政府采购政策</w:t>
      </w:r>
      <w:bookmarkEnd w:id="57"/>
      <w:bookmarkEnd w:id="58"/>
      <w:bookmarkEnd w:id="59"/>
      <w:bookmarkEnd w:id="60"/>
      <w:bookmarkStart w:id="61" w:name="_Hlk63418170"/>
    </w:p>
    <w:bookmarkEnd w:id="61"/>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23.1落实促进支持中小企业、监狱企业、残疾人福利性单位发展、脱贫攻坚工作的政策(如专门面向中小企业的采购项目（或采购包），不执行</w:t>
      </w:r>
      <w:r>
        <w:rPr>
          <w:rFonts w:hint="eastAsia" w:asciiTheme="minorEastAsia" w:hAnsiTheme="minorEastAsia" w:eastAsiaTheme="minorEastAsia" w:cstheme="minorEastAsia"/>
          <w:color w:val="auto"/>
          <w:sz w:val="21"/>
          <w:szCs w:val="21"/>
          <w:highlight w:val="none"/>
          <w:lang w:val="en-US" w:eastAsia="zh-CN"/>
        </w:rPr>
        <w:t>23.1.1/23.1.2/23.1.3</w:t>
      </w:r>
      <w:r>
        <w:rPr>
          <w:rFonts w:hint="eastAsia" w:asciiTheme="minorEastAsia" w:hAnsiTheme="minorEastAsia" w:eastAsiaTheme="minorEastAsia" w:cstheme="minorEastAsia"/>
          <w:color w:val="auto"/>
          <w:sz w:val="21"/>
          <w:szCs w:val="21"/>
          <w:highlight w:val="none"/>
        </w:rPr>
        <w:t>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23.1.1《政府采购促进中小企业发展管理办法》（财库〔2020〕46号）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在政府采购活动中，供应商提供的货物、工程或者服务符合下列情形的，享受《办法》规定的中小企业扶持政策: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(一)在货物采购项目中，货物由中小企业制造，即货物由中小企业生产且使用该中小企业商号或者注册商标；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(二)在工程采购项目中，工程由中小企业承建，即工程施工单位为中小企业；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(三)在服务采购项目中，服务由中小企业承接，即提供服务的人员为中小企业依照《中华人民共和国</w:t>
      </w:r>
      <w:r>
        <w:rPr>
          <w:rFonts w:hint="eastAsia" w:asciiTheme="minorEastAsia" w:hAnsiTheme="minorEastAsia" w:eastAsiaTheme="minorEastAsia" w:cstheme="minorEastAsia"/>
          <w:color w:val="auto"/>
          <w:sz w:val="21"/>
          <w:szCs w:val="21"/>
          <w:highlight w:val="none"/>
          <w:lang w:eastAsia="zh-CN"/>
        </w:rPr>
        <w:t>民法典</w:t>
      </w:r>
      <w:r>
        <w:rPr>
          <w:rFonts w:hint="eastAsia" w:asciiTheme="minorEastAsia" w:hAnsiTheme="minorEastAsia" w:eastAsiaTheme="minorEastAsia" w:cstheme="minorEastAsia"/>
          <w:color w:val="auto"/>
          <w:sz w:val="21"/>
          <w:szCs w:val="21"/>
          <w:highlight w:val="none"/>
        </w:rPr>
        <w:t>》订立劳动合同的从业人员。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在货物采购项目中，供应商提供的货物既有中小企业制造货物，也有大型企业制造货物的，不享受《办法》规定的中小企业扶持政策。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依据《办法》规定享受扶持政策获得政府采购合同的，小微企业不得将合同分包给大中型企业，中型企业不得将合同分包给大型企业。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政府采购促进中小企业发展管理办法》的通知（财库〔2020〕46号）规定，参加政府采购活动的中小企业应当提供《中小企业声明函》。供应商提供的《中小企业声明函》原件必须真实，否则，按照有关规定予以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陕西省财政厅关于落实政府采购支持中小企业政策有关事项的通知</w:t>
      </w:r>
      <w:r>
        <w:rPr>
          <w:rFonts w:hint="eastAsia" w:asciiTheme="minorEastAsia" w:hAnsiTheme="minorEastAsia" w:eastAsiaTheme="minorEastAsia" w:cstheme="minorEastAsia"/>
          <w:color w:val="auto"/>
          <w:sz w:val="21"/>
          <w:szCs w:val="21"/>
          <w:highlight w:val="none"/>
          <w:lang w:eastAsia="zh-CN"/>
        </w:rPr>
        <w:t>》（陕财办采函〔2022〕10号）</w:t>
      </w:r>
      <w:r>
        <w:rPr>
          <w:rFonts w:hint="eastAsia" w:asciiTheme="minorEastAsia" w:hAnsiTheme="minorEastAsia" w:eastAsiaTheme="minorEastAsia" w:cstheme="minorEastAsia"/>
          <w:color w:val="auto"/>
          <w:sz w:val="21"/>
          <w:szCs w:val="21"/>
          <w:highlight w:val="none"/>
          <w:lang w:val="en-US" w:eastAsia="zh-CN"/>
        </w:rPr>
        <w:t>要求</w:t>
      </w:r>
      <w:r>
        <w:rPr>
          <w:rFonts w:hint="eastAsia" w:asciiTheme="minorEastAsia" w:hAnsiTheme="minorEastAsia" w:eastAsiaTheme="minorEastAsia" w:cstheme="minorEastAsia"/>
          <w:color w:val="auto"/>
          <w:sz w:val="21"/>
          <w:szCs w:val="21"/>
          <w:highlight w:val="none"/>
        </w:rPr>
        <w:t>，对符合规定的小微企业报价给予10%的扣除</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用扣除后的价格参加评审。货物服务采购项目联合协议或者分包意向协议约定小微企业的合同份额占到合同总金额30%以上的，对联合体或者大中型企业的报价给予4%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23.1.2《财政部 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监狱企业参加政府采购活动时，应当提供由省级以上监狱管理局、戒毒管理局（含新疆生产建设兵团）出具的属于监狱企业的证明文件。在政府采购活动中，监狱企业视同小型、微型企业。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23.1.3 《三部门联合发布关于促进残疾人就业政府采购政策的通知》（财库〔2017〕141号）；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23.2落实优先采购节能、环保产品的政策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23.2.1根据《财政部</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国家发展改革委关于印发〈节能产品政府采购实施意见〉的通知》（财库〔2004〕185号）规定“政府采购属于节能产品品目清单的，在技术、服务等指标同等条件下，应当优先采购节能品目清单的节能产品。”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23.2.2根据《财政部环保总局</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关于环境标志产品政府采购实施的意见》（财库〔2006〕90号）规定“采购人采购的产品属于环境标志产品政府采购清单中品目的，在性能、技术、服务等指标同等条件下，应当优先采购清单中的产品”。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23.2.3根据《国务院办公厅</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23.2.4根据《财政部</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发展改革委生态环境部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所有投标产品进入“节能产品政府采购品目清单”的，应提供相关证书复印件，相关证书的颁发机构应来自《参与实施政府采购节能产品认证机构名录》。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所有投标产品进入“环境标志产品政府采购品目清单”的，应提供相关证书复印件，相关证书的颁发机构应来自《参与实施政府采购环境标志产品认证机构名录》。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23.3政府采购信用融资政策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依据《陕西省财政厅关于印发〈陕西省中小企业政府采购信用融资办法〉的通知》（陕财办采〔2018〕23号）、《陕西省财政厅关于加快推进我省中小企业政府采购信用融资工作的通知》（陕财办采〔</w:t>
      </w:r>
      <w:r>
        <w:rPr>
          <w:rFonts w:hint="eastAsia" w:asciiTheme="minorEastAsia" w:hAnsiTheme="minorEastAsia" w:cstheme="minorEastAsia"/>
          <w:color w:val="auto"/>
          <w:sz w:val="21"/>
          <w:szCs w:val="21"/>
          <w:highlight w:val="none"/>
          <w:lang w:val="en-US" w:eastAsia="zh-CN"/>
        </w:rPr>
        <w:t>2020</w:t>
      </w:r>
      <w:r>
        <w:rPr>
          <w:rFonts w:hint="eastAsia" w:asciiTheme="minorEastAsia" w:hAnsiTheme="minorEastAsia" w:eastAsiaTheme="minorEastAsia" w:cstheme="minorEastAsia"/>
          <w:color w:val="auto"/>
          <w:sz w:val="21"/>
          <w:szCs w:val="21"/>
          <w:highlight w:val="none"/>
        </w:rPr>
        <w:t>〕15号），有融资需求的供应商可根据自身情况，在“陕西政府采购信用融资平台（含各市分平台）”查询并办理相关业务。</w:t>
      </w:r>
    </w:p>
    <w:p>
      <w:pPr>
        <w:rPr>
          <w:rFonts w:hint="eastAsia" w:ascii="宋体" w:hAnsi="宋体"/>
          <w:b/>
          <w:color w:val="auto"/>
          <w:sz w:val="32"/>
          <w:szCs w:val="36"/>
          <w:highlight w:val="none"/>
        </w:rPr>
      </w:pPr>
      <w:bookmarkStart w:id="62" w:name="__RefHeading___Toc413314952"/>
      <w:bookmarkEnd w:id="62"/>
      <w:bookmarkStart w:id="63" w:name="_Toc75259359"/>
      <w:r>
        <w:rPr>
          <w:rFonts w:hint="eastAsia" w:ascii="宋体" w:hAnsi="宋体"/>
          <w:b/>
          <w:color w:val="auto"/>
          <w:sz w:val="32"/>
          <w:szCs w:val="36"/>
          <w:highlight w:val="none"/>
        </w:rPr>
        <w:br w:type="page"/>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宋体" w:hAnsi="宋体"/>
          <w:b/>
          <w:color w:val="auto"/>
          <w:sz w:val="32"/>
          <w:szCs w:val="36"/>
          <w:highlight w:val="none"/>
          <w:lang w:val="en-US" w:eastAsia="zh-CN"/>
        </w:rPr>
      </w:pPr>
      <w:bookmarkStart w:id="64" w:name="_Toc31990"/>
      <w:r>
        <w:rPr>
          <w:rFonts w:hint="eastAsia" w:ascii="宋体" w:hAnsi="宋体"/>
          <w:b/>
          <w:color w:val="auto"/>
          <w:sz w:val="32"/>
          <w:szCs w:val="36"/>
          <w:highlight w:val="none"/>
        </w:rPr>
        <w:t>第</w:t>
      </w:r>
      <w:r>
        <w:rPr>
          <w:rFonts w:hint="eastAsia" w:ascii="宋体" w:hAnsi="宋体"/>
          <w:b/>
          <w:color w:val="auto"/>
          <w:sz w:val="32"/>
          <w:szCs w:val="36"/>
          <w:highlight w:val="none"/>
          <w:lang w:val="en-US" w:eastAsia="zh-CN"/>
        </w:rPr>
        <w:t>四</w:t>
      </w:r>
      <w:r>
        <w:rPr>
          <w:rFonts w:hint="eastAsia" w:ascii="宋体" w:hAnsi="宋体"/>
          <w:b/>
          <w:color w:val="auto"/>
          <w:sz w:val="32"/>
          <w:szCs w:val="36"/>
          <w:highlight w:val="none"/>
        </w:rPr>
        <w:t>部分</w:t>
      </w:r>
      <w:bookmarkEnd w:id="63"/>
      <w:r>
        <w:rPr>
          <w:rFonts w:hint="eastAsia" w:ascii="宋体" w:hAnsi="宋体"/>
          <w:b/>
          <w:color w:val="auto"/>
          <w:sz w:val="32"/>
          <w:szCs w:val="36"/>
          <w:highlight w:val="none"/>
          <w:lang w:val="en-US" w:eastAsia="zh-CN"/>
        </w:rPr>
        <w:t xml:space="preserve"> </w:t>
      </w:r>
      <w:r>
        <w:rPr>
          <w:rFonts w:hint="eastAsia" w:ascii="宋体" w:hAnsi="宋体"/>
          <w:b/>
          <w:color w:val="auto"/>
          <w:sz w:val="32"/>
          <w:szCs w:val="36"/>
          <w:highlight w:val="none"/>
        </w:rPr>
        <w:t>采购</w:t>
      </w:r>
      <w:r>
        <w:rPr>
          <w:rFonts w:hint="eastAsia" w:ascii="宋体" w:hAnsi="宋体"/>
          <w:b/>
          <w:color w:val="auto"/>
          <w:sz w:val="32"/>
          <w:szCs w:val="36"/>
          <w:highlight w:val="none"/>
          <w:lang w:val="en-US" w:eastAsia="zh-CN"/>
        </w:rPr>
        <w:t>需求</w:t>
      </w:r>
      <w:bookmarkEnd w:id="64"/>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宋体" w:hAnsi="宋体" w:eastAsia="宋体" w:cs="宋体"/>
          <w:b/>
          <w:bCs/>
          <w:color w:val="auto"/>
          <w:sz w:val="21"/>
          <w:szCs w:val="21"/>
          <w:highlight w:val="none"/>
        </w:rPr>
      </w:pPr>
      <w:bookmarkStart w:id="65" w:name="_Toc15647"/>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采购</w:t>
      </w:r>
      <w:r>
        <w:rPr>
          <w:rFonts w:hint="eastAsia" w:ascii="宋体" w:hAnsi="宋体" w:eastAsia="宋体" w:cs="宋体"/>
          <w:b/>
          <w:bCs/>
          <w:color w:val="auto"/>
          <w:sz w:val="21"/>
          <w:szCs w:val="21"/>
          <w:highlight w:val="none"/>
          <w:lang w:eastAsia="zh-CN"/>
        </w:rPr>
        <w:t>要求</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lang w:val="en-US" w:eastAsia="zh-CN"/>
        </w:rPr>
        <w:t>1.1</w:t>
      </w:r>
      <w:r>
        <w:rPr>
          <w:rFonts w:hint="eastAsia" w:ascii="宋体" w:hAnsi="宋体" w:eastAsia="宋体" w:cs="宋体"/>
          <w:color w:val="auto"/>
          <w:sz w:val="21"/>
          <w:szCs w:val="16"/>
          <w:highlight w:val="none"/>
        </w:rPr>
        <w:t>项目名称:</w:t>
      </w:r>
      <w:r>
        <w:rPr>
          <w:rFonts w:hint="eastAsia" w:ascii="宋体" w:hAnsi="宋体" w:eastAsia="宋体" w:cs="宋体"/>
          <w:color w:val="auto"/>
          <w:sz w:val="21"/>
          <w:szCs w:val="16"/>
          <w:highlight w:val="none"/>
          <w:lang w:eastAsia="zh-CN"/>
        </w:rPr>
        <w:t>延安市黄龙山国有林管理局2023年国家重点野生动植物保护项目</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16"/>
          <w:highlight w:val="none"/>
          <w:lang w:val="en-US" w:eastAsia="zh-CN"/>
        </w:rPr>
      </w:pPr>
      <w:r>
        <w:rPr>
          <w:rFonts w:hint="eastAsia" w:ascii="宋体" w:hAnsi="宋体" w:eastAsia="宋体" w:cs="宋体"/>
          <w:color w:val="auto"/>
          <w:sz w:val="21"/>
          <w:szCs w:val="16"/>
          <w:highlight w:val="none"/>
          <w:lang w:val="en-US" w:eastAsia="zh-CN"/>
        </w:rPr>
        <w:t>1.2服务期</w:t>
      </w:r>
      <w:r>
        <w:rPr>
          <w:rFonts w:hint="eastAsia" w:ascii="宋体" w:hAnsi="宋体" w:eastAsia="宋体" w:cs="宋体"/>
          <w:color w:val="auto"/>
          <w:sz w:val="21"/>
          <w:szCs w:val="16"/>
          <w:highlight w:val="none"/>
          <w:lang w:eastAsia="zh-CN"/>
        </w:rPr>
        <w:t>:</w:t>
      </w:r>
      <w:r>
        <w:rPr>
          <w:rFonts w:hint="eastAsia" w:ascii="宋体" w:hAnsi="宋体" w:eastAsia="宋体" w:cs="宋体"/>
          <w:color w:val="auto"/>
          <w:sz w:val="21"/>
          <w:szCs w:val="16"/>
          <w:highlight w:val="none"/>
          <w:lang w:val="en-US" w:eastAsia="zh-CN"/>
        </w:rPr>
        <w:t>一年</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lang w:val="en-US" w:eastAsia="zh-CN"/>
        </w:rPr>
        <w:t>1.3服务</w:t>
      </w:r>
      <w:r>
        <w:rPr>
          <w:rFonts w:hint="eastAsia" w:ascii="宋体" w:hAnsi="宋体" w:eastAsia="宋体" w:cs="宋体"/>
          <w:color w:val="auto"/>
          <w:sz w:val="21"/>
          <w:szCs w:val="16"/>
          <w:highlight w:val="none"/>
        </w:rPr>
        <w:t>地点</w:t>
      </w:r>
      <w:r>
        <w:rPr>
          <w:rFonts w:hint="eastAsia" w:ascii="宋体" w:hAnsi="宋体" w:eastAsia="宋体" w:cs="宋体"/>
          <w:color w:val="auto"/>
          <w:sz w:val="21"/>
          <w:szCs w:val="16"/>
          <w:highlight w:val="none"/>
          <w:lang w:val="en-US" w:eastAsia="zh-CN"/>
        </w:rPr>
        <w:t>:采购人</w:t>
      </w:r>
      <w:r>
        <w:rPr>
          <w:rFonts w:hint="eastAsia" w:ascii="宋体" w:hAnsi="宋体" w:eastAsia="宋体" w:cs="宋体"/>
          <w:color w:val="auto"/>
          <w:sz w:val="21"/>
          <w:szCs w:val="16"/>
          <w:highlight w:val="none"/>
        </w:rPr>
        <w:t>指定地点</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lang w:val="en-US" w:eastAsia="zh-CN"/>
        </w:rPr>
        <w:t>1.4</w:t>
      </w:r>
      <w:r>
        <w:rPr>
          <w:rFonts w:hint="eastAsia" w:ascii="宋体" w:hAnsi="宋体" w:eastAsia="宋体" w:cs="宋体"/>
          <w:color w:val="auto"/>
          <w:sz w:val="21"/>
          <w:szCs w:val="16"/>
          <w:highlight w:val="none"/>
        </w:rPr>
        <w:t>付款方式:采购人与成交供应商签订合同时具体商定</w:t>
      </w:r>
    </w:p>
    <w:p>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16"/>
          <w:highlight w:val="none"/>
          <w:lang w:val="en-US" w:eastAsia="zh-CN"/>
        </w:rPr>
        <w:t>1.5</w:t>
      </w:r>
      <w:r>
        <w:rPr>
          <w:rFonts w:hint="eastAsia" w:ascii="宋体" w:hAnsi="宋体" w:eastAsia="宋体" w:cs="宋体"/>
          <w:color w:val="auto"/>
          <w:sz w:val="21"/>
          <w:szCs w:val="16"/>
          <w:highlight w:val="none"/>
          <w:lang w:eastAsia="zh-CN"/>
        </w:rPr>
        <w:t>质量要求</w:t>
      </w:r>
      <w:r>
        <w:rPr>
          <w:rFonts w:hint="eastAsia" w:ascii="宋体" w:hAnsi="宋体" w:eastAsia="宋体" w:cs="宋体"/>
          <w:color w:val="auto"/>
          <w:sz w:val="21"/>
          <w:szCs w:val="16"/>
          <w:highlight w:val="none"/>
          <w:lang w:val="en-US" w:eastAsia="zh-CN"/>
        </w:rPr>
        <w:t>:</w:t>
      </w:r>
      <w:r>
        <w:rPr>
          <w:rFonts w:hint="eastAsia" w:ascii="宋体" w:hAnsi="宋体" w:eastAsia="宋体" w:cs="宋体"/>
          <w:color w:val="auto"/>
          <w:sz w:val="21"/>
          <w:szCs w:val="16"/>
          <w:highlight w:val="none"/>
          <w:lang w:eastAsia="zh-CN"/>
        </w:rPr>
        <w:t>符合</w:t>
      </w:r>
      <w:r>
        <w:rPr>
          <w:rFonts w:hint="eastAsia" w:ascii="宋体" w:hAnsi="宋体" w:eastAsia="宋体" w:cs="宋体"/>
          <w:color w:val="auto"/>
          <w:sz w:val="21"/>
          <w:szCs w:val="16"/>
          <w:highlight w:val="none"/>
          <w:lang w:val="en-US" w:eastAsia="zh-CN"/>
        </w:rPr>
        <w:t>国家</w:t>
      </w:r>
      <w:r>
        <w:rPr>
          <w:rFonts w:hint="eastAsia" w:ascii="宋体" w:hAnsi="宋体" w:eastAsia="宋体" w:cs="宋体"/>
          <w:color w:val="auto"/>
          <w:sz w:val="21"/>
          <w:szCs w:val="16"/>
          <w:highlight w:val="none"/>
          <w:lang w:eastAsia="zh-CN"/>
        </w:rPr>
        <w:t>相关合格标准</w:t>
      </w:r>
    </w:p>
    <w:bookmarkEnd w:id="65"/>
    <w:p>
      <w:pPr>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2.采购内容</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宋体" w:hAnsi="宋体" w:eastAsia="宋体" w:cs="宋体"/>
          <w:b/>
          <w:bCs/>
          <w:color w:val="auto"/>
          <w:sz w:val="21"/>
          <w:szCs w:val="21"/>
          <w:highlight w:val="none"/>
          <w:lang w:val="en-US" w:eastAsia="zh-CN"/>
        </w:rPr>
      </w:pPr>
      <w:bookmarkStart w:id="66" w:name="_Toc128637387"/>
      <w:r>
        <w:rPr>
          <w:rFonts w:hint="eastAsia" w:ascii="宋体" w:hAnsi="宋体" w:eastAsia="宋体" w:cs="宋体"/>
          <w:b/>
          <w:bCs/>
          <w:color w:val="auto"/>
          <w:sz w:val="21"/>
          <w:szCs w:val="21"/>
          <w:highlight w:val="none"/>
          <w:lang w:val="en-US" w:eastAsia="zh-CN"/>
        </w:rPr>
        <w:t>2.1主要建设任务</w:t>
      </w:r>
      <w:bookmarkEnd w:id="66"/>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本次项目建设：购置红外感应相机6套；野外应急救助物资包2套；外业调查、监测面积20515公顷，布设巡查线路、监测点；防控与调查培训2次，印制宣传资料1990份。</w:t>
      </w:r>
    </w:p>
    <w:tbl>
      <w:tblPr>
        <w:tblStyle w:val="2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280"/>
        <w:gridCol w:w="1470"/>
        <w:gridCol w:w="1290"/>
        <w:gridCol w:w="3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bookmarkStart w:id="67" w:name="_Toc128637388"/>
            <w:r>
              <w:rPr>
                <w:rFonts w:hint="eastAsia" w:ascii="宋体" w:hAnsi="宋体" w:eastAsia="宋体" w:cs="宋体"/>
                <w:b w:val="0"/>
                <w:bCs w:val="0"/>
                <w:color w:val="auto"/>
                <w:kern w:val="2"/>
                <w:sz w:val="21"/>
                <w:szCs w:val="16"/>
                <w:highlight w:val="none"/>
                <w:lang w:val="en-US" w:eastAsia="zh-CN" w:bidi="ar-SA"/>
              </w:rPr>
              <w:t>序号</w:t>
            </w:r>
          </w:p>
        </w:tc>
        <w:tc>
          <w:tcPr>
            <w:tcW w:w="2280"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项目内容</w:t>
            </w:r>
          </w:p>
        </w:tc>
        <w:tc>
          <w:tcPr>
            <w:tcW w:w="1470"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cs="宋体"/>
                <w:b w:val="0"/>
                <w:bCs w:val="0"/>
                <w:color w:val="auto"/>
                <w:kern w:val="2"/>
                <w:sz w:val="21"/>
                <w:szCs w:val="16"/>
                <w:highlight w:val="none"/>
                <w:lang w:val="en-US" w:eastAsia="zh-CN" w:bidi="ar-SA"/>
              </w:rPr>
              <w:t>单位</w:t>
            </w:r>
          </w:p>
        </w:tc>
        <w:tc>
          <w:tcPr>
            <w:tcW w:w="1290"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cs="宋体"/>
                <w:b w:val="0"/>
                <w:bCs w:val="0"/>
                <w:color w:val="auto"/>
                <w:kern w:val="2"/>
                <w:sz w:val="21"/>
                <w:szCs w:val="16"/>
                <w:highlight w:val="none"/>
                <w:lang w:val="en-US" w:eastAsia="zh-CN" w:bidi="ar-SA"/>
              </w:rPr>
              <w:t>数量</w:t>
            </w:r>
          </w:p>
        </w:tc>
        <w:tc>
          <w:tcPr>
            <w:tcW w:w="3553"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cs="宋体"/>
                <w:b w:val="0"/>
                <w:bCs w:val="0"/>
                <w:color w:val="auto"/>
                <w:kern w:val="2"/>
                <w:sz w:val="21"/>
                <w:szCs w:val="16"/>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3" w:hRule="atLeast"/>
        </w:trPr>
        <w:tc>
          <w:tcPr>
            <w:tcW w:w="695"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1</w:t>
            </w:r>
          </w:p>
        </w:tc>
        <w:tc>
          <w:tcPr>
            <w:tcW w:w="2280"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红外感应相机</w:t>
            </w:r>
          </w:p>
        </w:tc>
        <w:tc>
          <w:tcPr>
            <w:tcW w:w="1470"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套</w:t>
            </w:r>
          </w:p>
        </w:tc>
        <w:tc>
          <w:tcPr>
            <w:tcW w:w="1290"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6</w:t>
            </w:r>
          </w:p>
        </w:tc>
        <w:tc>
          <w:tcPr>
            <w:tcW w:w="3553" w:type="dxa"/>
            <w:vAlign w:val="center"/>
          </w:tcPr>
          <w:p>
            <w:pPr>
              <w:pStyle w:val="5"/>
              <w:widowControl/>
              <w:snapToGrid w:val="0"/>
              <w:spacing w:before="0" w:after="0" w:line="580" w:lineRule="exact"/>
              <w:jc w:val="both"/>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防水、防雷、防尘、防低温</w:t>
            </w:r>
          </w:p>
          <w:p>
            <w:pPr>
              <w:pStyle w:val="5"/>
              <w:widowControl/>
              <w:snapToGrid w:val="0"/>
              <w:spacing w:before="0" w:after="0" w:line="580" w:lineRule="exact"/>
              <w:jc w:val="both"/>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支持夜摄功能</w:t>
            </w:r>
          </w:p>
          <w:p>
            <w:pPr>
              <w:pStyle w:val="5"/>
              <w:widowControl/>
              <w:snapToGrid w:val="0"/>
              <w:spacing w:before="0" w:after="0" w:line="580" w:lineRule="exact"/>
              <w:jc w:val="both"/>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具有防抖功能</w:t>
            </w:r>
          </w:p>
          <w:p>
            <w:pPr>
              <w:pStyle w:val="5"/>
              <w:widowControl/>
              <w:snapToGrid w:val="0"/>
              <w:spacing w:before="0" w:after="0" w:line="580" w:lineRule="exact"/>
              <w:jc w:val="both"/>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拍摄视频分辨率：≥1920×1080</w:t>
            </w:r>
          </w:p>
          <w:p>
            <w:pPr>
              <w:pStyle w:val="5"/>
              <w:widowControl/>
              <w:snapToGrid w:val="0"/>
              <w:spacing w:before="0" w:after="0" w:line="580" w:lineRule="exact"/>
              <w:jc w:val="both"/>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有效像素：≥1200万</w:t>
            </w:r>
          </w:p>
          <w:p>
            <w:pPr>
              <w:pStyle w:val="5"/>
              <w:widowControl/>
              <w:snapToGrid w:val="0"/>
              <w:spacing w:before="0" w:after="0" w:line="580" w:lineRule="exact"/>
              <w:jc w:val="both"/>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触发距离：≥20m</w:t>
            </w:r>
          </w:p>
          <w:p>
            <w:pPr>
              <w:pStyle w:val="5"/>
              <w:widowControl/>
              <w:snapToGrid w:val="0"/>
              <w:spacing w:before="0" w:after="0" w:line="580" w:lineRule="exact"/>
              <w:jc w:val="both"/>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触发速度：约0.1～0.5</w:t>
            </w:r>
          </w:p>
          <w:p>
            <w:pPr>
              <w:pStyle w:val="5"/>
              <w:widowControl/>
              <w:snapToGrid w:val="0"/>
              <w:spacing w:before="0" w:after="0" w:line="580" w:lineRule="exact"/>
              <w:jc w:val="both"/>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防水等级：≥IP44</w:t>
            </w:r>
          </w:p>
          <w:p>
            <w:pPr>
              <w:pStyle w:val="5"/>
              <w:widowControl/>
              <w:snapToGrid w:val="0"/>
              <w:spacing w:before="0" w:after="0" w:line="580" w:lineRule="exact"/>
              <w:jc w:val="both"/>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传感器类型：CMOS</w:t>
            </w:r>
          </w:p>
          <w:p>
            <w:pPr>
              <w:pStyle w:val="5"/>
              <w:widowControl/>
              <w:snapToGrid w:val="0"/>
              <w:spacing w:before="0" w:after="0" w:line="580" w:lineRule="exact"/>
              <w:jc w:val="both"/>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工作模式：拍照/录像/拍照+录像</w:t>
            </w:r>
          </w:p>
          <w:p>
            <w:pPr>
              <w:pStyle w:val="5"/>
              <w:widowControl/>
              <w:snapToGrid w:val="0"/>
              <w:spacing w:before="0" w:after="0" w:line="580" w:lineRule="exact"/>
              <w:jc w:val="both"/>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镜头：支持日夜切换</w:t>
            </w:r>
          </w:p>
          <w:p>
            <w:pPr>
              <w:pStyle w:val="5"/>
              <w:widowControl/>
              <w:snapToGrid w:val="0"/>
              <w:spacing w:before="0" w:after="0" w:line="580" w:lineRule="exact"/>
              <w:jc w:val="both"/>
              <w:rPr>
                <w:rFonts w:hint="eastAsia"/>
                <w:lang w:val="en-US" w:eastAsia="zh-CN"/>
              </w:rPr>
            </w:pPr>
            <w:r>
              <w:rPr>
                <w:rFonts w:hint="eastAsia" w:ascii="宋体" w:hAnsi="宋体" w:eastAsia="宋体" w:cs="宋体"/>
                <w:b w:val="0"/>
                <w:bCs w:val="0"/>
                <w:color w:val="auto"/>
                <w:kern w:val="2"/>
                <w:sz w:val="21"/>
                <w:szCs w:val="16"/>
                <w:highlight w:val="none"/>
                <w:lang w:val="en-US" w:eastAsia="zh-CN" w:bidi="ar-SA"/>
              </w:rPr>
              <w:t>待机时长</w:t>
            </w:r>
            <w:r>
              <w:rPr>
                <w:rFonts w:hint="eastAsia" w:ascii="宋体" w:hAnsi="宋体" w:cs="宋体"/>
                <w:b w:val="0"/>
                <w:bCs w:val="0"/>
                <w:color w:val="auto"/>
                <w:kern w:val="2"/>
                <w:sz w:val="21"/>
                <w:szCs w:val="16"/>
                <w:highlight w:val="none"/>
                <w:lang w:val="en-US" w:eastAsia="zh-CN" w:bidi="ar-SA"/>
              </w:rPr>
              <w:t>:</w:t>
            </w:r>
            <w:r>
              <w:rPr>
                <w:rFonts w:hint="eastAsia" w:ascii="宋体" w:hAnsi="宋体" w:eastAsia="宋体" w:cs="宋体"/>
                <w:b w:val="0"/>
                <w:bCs w:val="0"/>
                <w:color w:val="auto"/>
                <w:kern w:val="2"/>
                <w:sz w:val="21"/>
                <w:szCs w:val="16"/>
                <w:highlight w:val="none"/>
                <w:lang w:val="en-US" w:eastAsia="zh-CN" w:bidi="ar-SA"/>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2</w:t>
            </w:r>
          </w:p>
        </w:tc>
        <w:tc>
          <w:tcPr>
            <w:tcW w:w="2280"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野外应急救助物资包</w:t>
            </w:r>
          </w:p>
        </w:tc>
        <w:tc>
          <w:tcPr>
            <w:tcW w:w="1470"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套</w:t>
            </w:r>
          </w:p>
        </w:tc>
        <w:tc>
          <w:tcPr>
            <w:tcW w:w="1290"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2</w:t>
            </w:r>
          </w:p>
        </w:tc>
        <w:tc>
          <w:tcPr>
            <w:tcW w:w="3553" w:type="dxa"/>
            <w:vAlign w:val="center"/>
          </w:tcPr>
          <w:p>
            <w:pPr>
              <w:pStyle w:val="5"/>
              <w:widowControl/>
              <w:snapToGrid w:val="0"/>
              <w:spacing w:before="0" w:after="0" w:line="580" w:lineRule="exact"/>
              <w:jc w:val="both"/>
              <w:rPr>
                <w:rFonts w:hint="eastAsia" w:ascii="宋体" w:hAnsi="宋体" w:eastAsia="宋体" w:cs="宋体"/>
                <w:b w:val="0"/>
                <w:bCs w:val="0"/>
                <w:color w:val="auto"/>
                <w:kern w:val="2"/>
                <w:sz w:val="21"/>
                <w:szCs w:val="16"/>
                <w:highlight w:val="none"/>
                <w:lang w:val="en-US" w:eastAsia="zh-CN" w:bidi="ar-SA"/>
              </w:rPr>
            </w:pPr>
            <w:bookmarkStart w:id="91" w:name="_GoBack"/>
            <w:r>
              <w:rPr>
                <w:rFonts w:hint="eastAsia" w:ascii="宋体" w:hAnsi="宋体" w:cs="宋体"/>
                <w:b w:val="0"/>
                <w:bCs w:val="0"/>
                <w:color w:val="auto"/>
                <w:kern w:val="2"/>
                <w:sz w:val="21"/>
                <w:szCs w:val="16"/>
                <w:highlight w:val="none"/>
                <w:lang w:val="en-US" w:eastAsia="zh-CN" w:bidi="ar-SA"/>
              </w:rPr>
              <w:t>防水、耐磨、防刮</w:t>
            </w:r>
            <w:bookmarkEnd w:id="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95"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3</w:t>
            </w:r>
          </w:p>
        </w:tc>
        <w:tc>
          <w:tcPr>
            <w:tcW w:w="2280"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外业调查、监测</w:t>
            </w:r>
          </w:p>
        </w:tc>
        <w:tc>
          <w:tcPr>
            <w:tcW w:w="1470"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公顷</w:t>
            </w:r>
          </w:p>
        </w:tc>
        <w:tc>
          <w:tcPr>
            <w:tcW w:w="1290"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20515</w:t>
            </w:r>
          </w:p>
        </w:tc>
        <w:tc>
          <w:tcPr>
            <w:tcW w:w="3553"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cs="宋体"/>
                <w:b w:val="0"/>
                <w:bCs w:val="0"/>
                <w:color w:val="auto"/>
                <w:kern w:val="2"/>
                <w:sz w:val="21"/>
                <w:szCs w:val="16"/>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4</w:t>
            </w:r>
          </w:p>
        </w:tc>
        <w:tc>
          <w:tcPr>
            <w:tcW w:w="2280"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防控与调查培训</w:t>
            </w:r>
          </w:p>
        </w:tc>
        <w:tc>
          <w:tcPr>
            <w:tcW w:w="1470"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次</w:t>
            </w:r>
          </w:p>
        </w:tc>
        <w:tc>
          <w:tcPr>
            <w:tcW w:w="1290"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2</w:t>
            </w:r>
          </w:p>
        </w:tc>
        <w:tc>
          <w:tcPr>
            <w:tcW w:w="3553" w:type="dxa"/>
            <w:vAlign w:val="center"/>
          </w:tcPr>
          <w:p>
            <w:pPr>
              <w:pStyle w:val="5"/>
              <w:widowControl/>
              <w:snapToGrid w:val="0"/>
              <w:spacing w:before="0" w:after="0" w:line="580" w:lineRule="exact"/>
              <w:ind w:firstLine="1470" w:firstLineChars="700"/>
              <w:jc w:val="both"/>
              <w:rPr>
                <w:rFonts w:hint="eastAsia" w:ascii="宋体" w:hAnsi="宋体" w:eastAsia="宋体" w:cs="宋体"/>
                <w:b w:val="0"/>
                <w:bCs w:val="0"/>
                <w:color w:val="auto"/>
                <w:kern w:val="2"/>
                <w:sz w:val="21"/>
                <w:szCs w:val="16"/>
                <w:highlight w:val="none"/>
                <w:lang w:val="en-US" w:eastAsia="zh-CN" w:bidi="ar-SA"/>
              </w:rPr>
            </w:pPr>
            <w:r>
              <w:rPr>
                <w:rFonts w:hint="eastAsia" w:ascii="宋体" w:hAnsi="宋体" w:cs="宋体"/>
                <w:b w:val="0"/>
                <w:bCs w:val="0"/>
                <w:color w:val="auto"/>
                <w:kern w:val="2"/>
                <w:sz w:val="21"/>
                <w:szCs w:val="16"/>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5</w:t>
            </w:r>
          </w:p>
        </w:tc>
        <w:tc>
          <w:tcPr>
            <w:tcW w:w="2280"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印制宣传资料</w:t>
            </w:r>
          </w:p>
        </w:tc>
        <w:tc>
          <w:tcPr>
            <w:tcW w:w="1470"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份</w:t>
            </w:r>
          </w:p>
        </w:tc>
        <w:tc>
          <w:tcPr>
            <w:tcW w:w="1290"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1990</w:t>
            </w:r>
          </w:p>
        </w:tc>
        <w:tc>
          <w:tcPr>
            <w:tcW w:w="3553" w:type="dxa"/>
            <w:vAlign w:val="center"/>
          </w:tcPr>
          <w:p>
            <w:pPr>
              <w:pStyle w:val="5"/>
              <w:widowControl/>
              <w:snapToGrid w:val="0"/>
              <w:spacing w:before="0" w:after="0" w:line="580" w:lineRule="exact"/>
              <w:jc w:val="center"/>
              <w:rPr>
                <w:rFonts w:hint="eastAsia" w:ascii="宋体" w:hAnsi="宋体" w:eastAsia="宋体" w:cs="宋体"/>
                <w:b w:val="0"/>
                <w:bCs w:val="0"/>
                <w:color w:val="auto"/>
                <w:kern w:val="2"/>
                <w:sz w:val="21"/>
                <w:szCs w:val="16"/>
                <w:highlight w:val="none"/>
                <w:lang w:val="en-US" w:eastAsia="zh-CN" w:bidi="ar-SA"/>
              </w:rPr>
            </w:pPr>
            <w:r>
              <w:rPr>
                <w:rFonts w:hint="eastAsia" w:ascii="宋体" w:hAnsi="宋体" w:eastAsia="宋体" w:cs="宋体"/>
                <w:b w:val="0"/>
                <w:bCs w:val="0"/>
                <w:color w:val="auto"/>
                <w:kern w:val="2"/>
                <w:sz w:val="21"/>
                <w:szCs w:val="16"/>
                <w:highlight w:val="none"/>
                <w:lang w:val="en-US" w:eastAsia="zh-CN" w:bidi="ar-SA"/>
              </w:rPr>
              <w:t>彩色A4双面喷绘</w:t>
            </w:r>
          </w:p>
        </w:tc>
      </w:tr>
    </w:tbl>
    <w:p>
      <w:pPr>
        <w:pStyle w:val="5"/>
        <w:widowControl/>
        <w:snapToGrid w:val="0"/>
        <w:spacing w:before="0" w:after="0" w:line="580" w:lineRule="exact"/>
        <w:ind w:firstLine="422"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项目建设方案</w:t>
      </w:r>
      <w:bookmarkEnd w:id="67"/>
    </w:p>
    <w:p>
      <w:pPr>
        <w:pStyle w:val="5"/>
        <w:widowControl/>
        <w:snapToGrid w:val="0"/>
        <w:spacing w:before="0" w:after="0" w:line="580" w:lineRule="exact"/>
        <w:ind w:firstLine="422"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选址方案</w:t>
      </w:r>
    </w:p>
    <w:p>
      <w:pPr>
        <w:pStyle w:val="5"/>
        <w:widowControl/>
        <w:snapToGrid w:val="0"/>
        <w:spacing w:before="0" w:after="0"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圪台国有生态林场辖区地广人稀，野生动植物资源丰富，人为干涉较小，交通、通信等设施完善，加之陕西延安黄龙山国家级褐马鸡自然保护区设立在圪台国有生态林场辖区内，通过多种方式考察，圪台国有生态林场是最为理想的野生动物疫源疫病防控与调查保护地址，有利于后期工作的顺利开展。</w:t>
      </w:r>
    </w:p>
    <w:p>
      <w:pPr>
        <w:pStyle w:val="5"/>
        <w:widowControl/>
        <w:snapToGrid w:val="0"/>
        <w:spacing w:before="0" w:after="0" w:line="580" w:lineRule="exact"/>
        <w:ind w:firstLine="422"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5.2技术方案</w:t>
      </w:r>
    </w:p>
    <w:p>
      <w:pPr>
        <w:pStyle w:val="5"/>
        <w:widowControl/>
        <w:snapToGrid w:val="0"/>
        <w:spacing w:before="0" w:after="0"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按照《全国第二次陆生野生动物资源调查技术规程》、《全国第二次陆生野生动物资源调查工作方案》、《全国第二次陆生野生动物资源调查技术细则》规定执行。</w:t>
      </w:r>
    </w:p>
    <w:p>
      <w:pPr>
        <w:pStyle w:val="5"/>
        <w:widowControl/>
        <w:snapToGrid w:val="0"/>
        <w:spacing w:before="0" w:after="0"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（一）野外调查</w:t>
      </w:r>
    </w:p>
    <w:p>
      <w:pPr>
        <w:pStyle w:val="5"/>
        <w:widowControl/>
        <w:snapToGrid w:val="0"/>
        <w:spacing w:before="0" w:after="0"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包括：开展鸟兽调查、野生动物野外调查。</w:t>
      </w:r>
    </w:p>
    <w:p>
      <w:pPr>
        <w:pStyle w:val="5"/>
        <w:widowControl/>
        <w:snapToGrid w:val="0"/>
        <w:spacing w:before="0" w:after="0"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（1）抽样方法及抽样强度</w:t>
      </w:r>
    </w:p>
    <w:p>
      <w:pPr>
        <w:pStyle w:val="5"/>
        <w:widowControl/>
        <w:snapToGrid w:val="0"/>
        <w:spacing w:before="0" w:after="0"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本地理单元调查面积为20515.0公顷，利用GIS技术以1/25万的矢量地形图为基础，调查单元按公里网格划分若干正方形样区，系统抽样，抽取10%的样区作为调查样区。在调查样区内布设样地，每一调查样区每一类型样地面积之和不小于动物栖息地面积的3%。样地面积100公顷。 </w:t>
      </w:r>
    </w:p>
    <w:p>
      <w:pPr>
        <w:pStyle w:val="5"/>
        <w:widowControl/>
        <w:snapToGrid w:val="0"/>
        <w:spacing w:before="0" w:after="0"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（2）样地布设</w:t>
      </w:r>
    </w:p>
    <w:p>
      <w:pPr>
        <w:pStyle w:val="5"/>
        <w:widowControl/>
        <w:snapToGrid w:val="0"/>
        <w:spacing w:before="0" w:after="0"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按照《全国第二次陆生野生动物资源调查技术规程》和《全国第二次陆生野生动物资源调查技术细则》进行样地布设。即，在预调查基础上，将各个调查样区根据栖息地类型进行分层，在各层内随机布设样线、样点，应用GIS并结合实地进行样地布设。</w:t>
      </w:r>
    </w:p>
    <w:p>
      <w:pPr>
        <w:pStyle w:val="5"/>
        <w:widowControl/>
        <w:snapToGrid w:val="0"/>
        <w:spacing w:before="0" w:after="0"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用访问调查法及资料查询法，对抽取的样区进行预调查，以初步掌握样区内野生动物的栖息地类型、活动范围、生态习性及其受威胁状况、保护现状等基本情况，以及样区内的社会经济情况，为分层和布设样地提供依据。</w:t>
      </w:r>
    </w:p>
    <w:p>
      <w:pPr>
        <w:pStyle w:val="5"/>
        <w:widowControl/>
        <w:snapToGrid w:val="0"/>
        <w:spacing w:before="0" w:after="0"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在调查样区内根据栖息地类型和垂直分布情况进行分层，在各层内随机布设样线、样点等样地。按照《全国第二次陆生野生动物资源调查技术细则》规定，样地面积为抽取正方形网格面积的3%，样地面积100公顷。样地布设充分考虑野生动物的栖息地类型、活动范围、生态习性、透视度和所使用的交通工具。样线长度以使对该样线的调查在当天能够完成为原则，一般为2 公里，样线单侧宽度分别为15米（两栖爬行类）、25米（鸟类、兽类）；样点半径分别为20米（两栖爬行类）、30米（鸟类、兽类）。</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（3）动物分布调查</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采用访问调查法及资料查询法。近5年内有人见到某种动物或者存在某种动物出现的确切证据的，认为该物种在该调查样区内有分布。</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野外调查发现某种野生动物实体或活动痕迹的，认为该物种在该调查样区内有分布。</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（4）动物栖息地调查</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结合野生种群数量调查进行栖息地调查。发现野生动物实体或活动痕迹时，记录动物或活动痕迹所在地的地貌、坡度、坡位、坡向、植被类型等栖息地因子及干扰状况和保护状况。</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栖息地为天然植被或人工林的，记录其植被类型；栖息地为无植被的水面的，依据《湿地公约》，描述到类，即沼泽、湖泊、河流、河口、滩涂和人工湿地；栖息地为农田的，记录到水田或旱地。</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（5）动物种群数量调查</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根据各样线、样点上观察记录的野生动物实体或痕迹数，利用数理统计和GIS空间分析技术估算调查区域内各物种的野生种群数量。</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1)兽类种群数量调查</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fldChar w:fldCharType="begin"/>
      </w:r>
      <w:r>
        <w:rPr>
          <w:rFonts w:hint="eastAsia" w:ascii="宋体" w:hAnsi="宋体" w:eastAsia="宋体" w:cs="宋体"/>
          <w:b w:val="0"/>
          <w:bCs w:val="0"/>
          <w:color w:val="auto"/>
          <w:kern w:val="2"/>
          <w:sz w:val="21"/>
          <w:szCs w:val="21"/>
          <w:highlight w:val="none"/>
          <w:lang w:val="en-US" w:eastAsia="zh-CN" w:bidi="ar-SA"/>
        </w:rPr>
        <w:instrText xml:space="preserve"> = 1 \* GB3 </w:instrText>
      </w:r>
      <w:r>
        <w:rPr>
          <w:rFonts w:hint="eastAsia" w:ascii="宋体" w:hAnsi="宋体" w:eastAsia="宋体" w:cs="宋体"/>
          <w:b w:val="0"/>
          <w:bCs w:val="0"/>
          <w:color w:val="auto"/>
          <w:kern w:val="2"/>
          <w:sz w:val="21"/>
          <w:szCs w:val="21"/>
          <w:highlight w:val="none"/>
          <w:lang w:val="en-US" w:eastAsia="zh-CN" w:bidi="ar-SA"/>
        </w:rPr>
        <w:fldChar w:fldCharType="separate"/>
      </w:r>
      <w:r>
        <w:rPr>
          <w:rFonts w:hint="eastAsia" w:ascii="宋体" w:hAnsi="宋体" w:eastAsia="宋体" w:cs="宋体"/>
          <w:b w:val="0"/>
          <w:bCs w:val="0"/>
          <w:color w:val="auto"/>
          <w:kern w:val="2"/>
          <w:sz w:val="21"/>
          <w:szCs w:val="21"/>
          <w:highlight w:val="none"/>
          <w:lang w:val="en-US" w:eastAsia="zh-CN" w:bidi="ar-SA"/>
        </w:rPr>
        <w:t>①</w:t>
      </w:r>
      <w:r>
        <w:rPr>
          <w:rFonts w:hint="eastAsia" w:ascii="宋体" w:hAnsi="宋体" w:eastAsia="宋体" w:cs="宋体"/>
          <w:b w:val="0"/>
          <w:bCs w:val="0"/>
          <w:color w:val="auto"/>
          <w:kern w:val="2"/>
          <w:sz w:val="21"/>
          <w:szCs w:val="21"/>
          <w:highlight w:val="none"/>
          <w:lang w:val="en-US" w:eastAsia="zh-CN" w:bidi="ar-SA"/>
        </w:rPr>
        <w:fldChar w:fldCharType="end"/>
      </w:r>
      <w:r>
        <w:rPr>
          <w:rFonts w:hint="eastAsia" w:ascii="宋体" w:hAnsi="宋体" w:eastAsia="宋体" w:cs="宋体"/>
          <w:b w:val="0"/>
          <w:bCs w:val="0"/>
          <w:color w:val="auto"/>
          <w:kern w:val="2"/>
          <w:sz w:val="21"/>
          <w:szCs w:val="21"/>
          <w:highlight w:val="none"/>
          <w:lang w:val="en-US" w:eastAsia="zh-CN" w:bidi="ar-SA"/>
        </w:rPr>
        <w:t>红外自动数码照相法：对褐马鸡等数量稀少、活动规律特殊、在野外很难见到实体的物种的调查应使用红外自动数码相机法。</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fldChar w:fldCharType="begin"/>
      </w:r>
      <w:r>
        <w:rPr>
          <w:rFonts w:hint="eastAsia" w:ascii="宋体" w:hAnsi="宋体" w:eastAsia="宋体" w:cs="宋体"/>
          <w:b w:val="0"/>
          <w:bCs w:val="0"/>
          <w:color w:val="auto"/>
          <w:kern w:val="2"/>
          <w:sz w:val="21"/>
          <w:szCs w:val="21"/>
          <w:highlight w:val="none"/>
          <w:lang w:val="en-US" w:eastAsia="zh-CN" w:bidi="ar-SA"/>
        </w:rPr>
        <w:instrText xml:space="preserve"> = 2 \* GB3 </w:instrText>
      </w:r>
      <w:r>
        <w:rPr>
          <w:rFonts w:hint="eastAsia" w:ascii="宋体" w:hAnsi="宋体" w:eastAsia="宋体" w:cs="宋体"/>
          <w:b w:val="0"/>
          <w:bCs w:val="0"/>
          <w:color w:val="auto"/>
          <w:kern w:val="2"/>
          <w:sz w:val="21"/>
          <w:szCs w:val="21"/>
          <w:highlight w:val="none"/>
          <w:lang w:val="en-US" w:eastAsia="zh-CN" w:bidi="ar-SA"/>
        </w:rPr>
        <w:fldChar w:fldCharType="separate"/>
      </w:r>
      <w:r>
        <w:rPr>
          <w:rFonts w:hint="eastAsia" w:ascii="宋体" w:hAnsi="宋体" w:eastAsia="宋体" w:cs="宋体"/>
          <w:b w:val="0"/>
          <w:bCs w:val="0"/>
          <w:color w:val="auto"/>
          <w:kern w:val="2"/>
          <w:sz w:val="21"/>
          <w:szCs w:val="21"/>
          <w:highlight w:val="none"/>
          <w:lang w:val="en-US" w:eastAsia="zh-CN" w:bidi="ar-SA"/>
        </w:rPr>
        <w:t>②</w:t>
      </w:r>
      <w:r>
        <w:rPr>
          <w:rFonts w:hint="eastAsia" w:ascii="宋体" w:hAnsi="宋体" w:eastAsia="宋体" w:cs="宋体"/>
          <w:b w:val="0"/>
          <w:bCs w:val="0"/>
          <w:color w:val="auto"/>
          <w:kern w:val="2"/>
          <w:sz w:val="21"/>
          <w:szCs w:val="21"/>
          <w:highlight w:val="none"/>
          <w:lang w:val="en-US" w:eastAsia="zh-CN" w:bidi="ar-SA"/>
        </w:rPr>
        <w:fldChar w:fldCharType="end"/>
      </w:r>
      <w:r>
        <w:rPr>
          <w:rFonts w:hint="eastAsia" w:ascii="宋体" w:hAnsi="宋体" w:eastAsia="宋体" w:cs="宋体"/>
          <w:b w:val="0"/>
          <w:bCs w:val="0"/>
          <w:color w:val="auto"/>
          <w:kern w:val="2"/>
          <w:sz w:val="21"/>
          <w:szCs w:val="21"/>
          <w:highlight w:val="none"/>
          <w:lang w:val="en-US" w:eastAsia="zh-CN" w:bidi="ar-SA"/>
        </w:rPr>
        <w:t>样线法：在生境较为一致、可视性和可行走性较好的地区可使用样线法。线上行进的速度为每小时1-2公里。统计记录沿线上和样线两侧所见到兽类种类和数量以及痕迹，同时记录生境状况和威胁因素。发现动物实体或其痕迹时，记录动物名称、动物数量、痕迹种类及距离中线距离、地理位置等信息。</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2)鸟类种群数量调查</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调查分繁殖季（4-7月）和冬季（11月至翌年2月）两次进行。繁殖季和冬季调查都在大多数种类的数量相对稳定的时期内开展；调查尽量在晴朗、风力不大(一般在三级以下)的天气条件下进行；调查时间主要在清晨（日出后0.5小时至3小时）或傍晚（日落前3小时至日落）。</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在森林生态系统大部分地区的鸟类调查使用样线法；雀形目鸟类调查主要使用样点法；对于集群繁殖或栖息的鸟类调查使用直接计数法进行调查。</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3)爬行类种群数量调查</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调查季节为出蛰后的1-5个月内，因不同种类活动时间不同，调查时间主要在日出后2-4小时及日落前2-4小时。</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在森林生态系统中生境较为一致、可视性较好的区域调查爬行类，使用样线法。样线上行进的速度为每小时1-2公里。记录发现爬行类的名称、数量、距离中线的距离、地理位置等信息。</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4)两栖类种群数量调查</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调查季节为出蛰后的1-5个月内，因不同种类活动时间不同，调查时间应分为白昼调查和夜晚调查。</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在森林生态系统中生境较为一致、可视性较好的区域调查两栖类，使用样线法。样线上行进的速度为每小时1-2公里。记录发现两栖类的名称、数量、距离中线的距离、地理位置等信息。</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 动物受威胁状况调查</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进行种群及栖息地调查时，记录各调查样区野生动物及栖息地受到的主要威胁、受干扰状况及程度。</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根据样区调查情况，结合资料查阅、访问调查，对调查单元野生动物及栖息地受到的主要威胁、受干扰状况进行评估。</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 保护现状调查</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一方面，整理野生种群数量实地调查时收集的人为活动和保护状况资料；另一方面，采用查阅资料、访问调查相结合，搞清调查单元内野生动物受到的主要威胁及保护现状。</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 社会经济状况调查</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查阅资料、访问调查相结合，记录各调查样区、调查单元社会经济情况。</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（二）疫源疫病监测防控</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主要对陕西延安黄龙山褐马鸡国家级自然保护区圪台保护站内重点区域进行疫源疫病监测，建立健全相关配套制度及设施，使保护区管理局对野生动物疫源疫病从发现、上报到应急处理更加专业，最大力度减少保护区野生动物资源因疫源疫病带来损失，更加专业的收集处理疫源疫病相关的动物尸体，为后续分析预防提供一手的专业的数据。</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（三）巡护监测</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加强保护区巡护监测，进一步完善相关巡护装备，将管护责任划定到人，要求巡护人员按时、按路线巡护和定位观察，做好保护区巡护日志，严厉查处破坏野生动物资源的违法行为。</w:t>
      </w:r>
    </w:p>
    <w:p>
      <w:pPr>
        <w:pStyle w:val="5"/>
        <w:widowControl/>
        <w:snapToGrid w:val="0"/>
        <w:spacing w:before="0" w:after="0" w:line="580" w:lineRule="exact"/>
        <w:ind w:firstLine="422"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建设方案</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对延安市黄龙山国有林管理局圪台国有生态林场辖区进行监测，调查、监测、巡护面积20515公顷。</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（一）野生动、植物资源调查、监测、巡护坚持工作常态化，对重点保护野生动、植物进行调查，摸清重点保护野生植物资源现状及分布情况，合理设置野生动物监测巡查线路和固定监测样点。</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二）野生动物疫源疫病监测防控、应急演练开展野生动物疫源疫病监测防控，加强重点时期野外巡护监测，及时发现、报告、处置陆生野生动物异常情况，提升陆生野生动物巡护和疫源疫病监测水平，购置监测设备，提升应急保障能力。开展应急防控演练，进一步提高对突发陆生野生动物疫源疫病事件的应急反应和处置能力，确保在出现陆生野生动物疫源疫病时，能够及早发现、迅速响应、科学决策、妥善处理。</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三）开展野生动物拯救性保护工作，对巡查巡护中发现受伤、受困、病弱、迷途野生动物、群众救助野生动物及时进行救护、安置、放归。同时有效保护周边农户的农作物安全，减少因野生动物致害造成的损失。</w:t>
      </w:r>
    </w:p>
    <w:p>
      <w:pPr>
        <w:spacing w:line="58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四）积极开展野生动物保护宣传教育，革除食用野生动物陋习，保障野生动物资源安全。主要采取印发宣传资料及物品、网络媒体宣传、聘请专家讲座、参加相关培训等方式，开展宣传教育培训，全年开展宣传活动不少于2次，提高全社会保护野生动物资源的意识。</w:t>
      </w:r>
    </w:p>
    <w:p>
      <w:pPr>
        <w:spacing w:line="580" w:lineRule="exact"/>
        <w:ind w:firstLine="420" w:firstLineChars="200"/>
        <w:rPr>
          <w:rFonts w:ascii="仿宋_GB2312" w:hAnsi="仿宋_GB2312" w:eastAsia="仿宋_GB2312" w:cs="仿宋_GB2312"/>
          <w:sz w:val="30"/>
          <w:szCs w:val="30"/>
        </w:rPr>
      </w:pPr>
      <w:r>
        <w:rPr>
          <w:rFonts w:hint="eastAsia" w:ascii="宋体" w:hAnsi="宋体" w:eastAsia="宋体" w:cs="宋体"/>
          <w:b w:val="0"/>
          <w:bCs w:val="0"/>
          <w:color w:val="auto"/>
          <w:kern w:val="2"/>
          <w:sz w:val="21"/>
          <w:szCs w:val="21"/>
          <w:highlight w:val="none"/>
          <w:lang w:val="en-US" w:eastAsia="zh-CN" w:bidi="ar-SA"/>
        </w:rPr>
        <w:t>（五）培养和建立一支技术过硬、手段先进、专业齐全的野生动物调查、保护和管理队伍。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hint="eastAsia" w:ascii="宋体" w:hAnsi="宋体" w:eastAsia="宋体" w:cs="宋体"/>
          <w:b/>
          <w:bCs/>
          <w:color w:val="auto"/>
          <w:sz w:val="32"/>
          <w:szCs w:val="32"/>
          <w:highlight w:val="none"/>
          <w:lang w:val="en-US" w:eastAsia="zh-CN"/>
        </w:rPr>
      </w:pPr>
      <w:bookmarkStart w:id="68" w:name="_Toc2645"/>
      <w:r>
        <w:rPr>
          <w:rFonts w:hint="eastAsia" w:ascii="宋体" w:hAnsi="宋体" w:eastAsia="宋体" w:cs="宋体"/>
          <w:b/>
          <w:bCs/>
          <w:color w:val="auto"/>
          <w:sz w:val="32"/>
          <w:szCs w:val="32"/>
          <w:highlight w:val="none"/>
          <w:lang w:val="en-US" w:eastAsia="zh-CN"/>
        </w:rPr>
        <w:t>第五部分 拟签订合同文本</w:t>
      </w:r>
      <w:bookmarkEnd w:id="68"/>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依据《中华人民共和国</w:t>
      </w:r>
      <w:r>
        <w:rPr>
          <w:rFonts w:hint="eastAsia" w:ascii="宋体" w:hAnsi="宋体" w:eastAsia="宋体" w:cs="宋体"/>
          <w:color w:val="auto"/>
          <w:sz w:val="21"/>
          <w:szCs w:val="21"/>
          <w:lang w:val="en-US" w:eastAsia="zh-CN"/>
        </w:rPr>
        <w:t>民法典</w:t>
      </w:r>
      <w:r>
        <w:rPr>
          <w:rFonts w:hint="eastAsia" w:ascii="宋体" w:hAnsi="宋体" w:eastAsia="宋体" w:cs="宋体"/>
          <w:color w:val="auto"/>
          <w:sz w:val="21"/>
          <w:szCs w:val="21"/>
          <w:lang w:val="zh-CN"/>
        </w:rPr>
        <w:t>》和《中华人民共和国政府采购法》，</w:t>
      </w:r>
      <w:r>
        <w:rPr>
          <w:rFonts w:hint="eastAsia" w:ascii="宋体" w:hAnsi="宋体" w:eastAsia="宋体" w:cs="宋体"/>
          <w:color w:val="auto"/>
          <w:sz w:val="21"/>
          <w:szCs w:val="21"/>
          <w:u w:val="single"/>
          <w:lang w:val="zh-CN"/>
        </w:rPr>
        <w:t>延安市黄龙山国有林管理局2023年国家重点野生动植物保护项目(项目编号：</w:t>
      </w:r>
      <w:r>
        <w:rPr>
          <w:rFonts w:hint="eastAsia" w:ascii="宋体" w:hAnsi="宋体" w:eastAsia="宋体" w:cs="宋体"/>
          <w:color w:val="auto"/>
          <w:sz w:val="21"/>
          <w:szCs w:val="21"/>
          <w:u w:val="single"/>
          <w:lang w:eastAsia="zh-CN"/>
        </w:rPr>
        <w:t>XD2023-00</w:t>
      </w:r>
      <w:r>
        <w:rPr>
          <w:rFonts w:hint="eastAsia" w:ascii="宋体" w:hAnsi="宋体" w:eastAsia="宋体" w:cs="宋体"/>
          <w:color w:val="auto"/>
          <w:sz w:val="21"/>
          <w:szCs w:val="21"/>
          <w:u w:val="single"/>
          <w:lang w:val="en-US" w:eastAsia="zh-CN"/>
        </w:rPr>
        <w:t>9</w:t>
      </w:r>
      <w:r>
        <w:rPr>
          <w:rFonts w:hint="eastAsia" w:ascii="宋体" w:hAnsi="宋体" w:eastAsia="宋体" w:cs="宋体"/>
          <w:color w:val="auto"/>
          <w:sz w:val="21"/>
          <w:szCs w:val="21"/>
          <w:u w:val="single"/>
          <w:lang w:val="zh-CN"/>
        </w:rPr>
        <w:t>)</w:t>
      </w:r>
      <w:r>
        <w:rPr>
          <w:rFonts w:hint="eastAsia" w:ascii="宋体" w:hAnsi="宋体" w:eastAsia="宋体" w:cs="宋体"/>
          <w:color w:val="auto"/>
          <w:sz w:val="21"/>
          <w:szCs w:val="21"/>
          <w:lang w:val="zh-CN"/>
        </w:rPr>
        <w:t>，在</w:t>
      </w:r>
      <w:r>
        <w:rPr>
          <w:rFonts w:hint="eastAsia" w:ascii="宋体" w:hAnsi="宋体" w:eastAsia="宋体" w:cs="宋体"/>
          <w:color w:val="auto"/>
          <w:sz w:val="21"/>
          <w:szCs w:val="21"/>
          <w:u w:val="single"/>
          <w:lang w:val="zh-CN"/>
        </w:rPr>
        <w:t>延安市</w:t>
      </w:r>
      <w:r>
        <w:rPr>
          <w:rFonts w:hint="eastAsia" w:ascii="宋体" w:hAnsi="宋体" w:eastAsia="宋体" w:cs="宋体"/>
          <w:color w:val="auto"/>
          <w:sz w:val="21"/>
          <w:szCs w:val="21"/>
          <w:u w:val="single"/>
          <w:lang w:val="en-US" w:eastAsia="zh-CN"/>
        </w:rPr>
        <w:t>财政局采购科</w:t>
      </w:r>
      <w:r>
        <w:rPr>
          <w:rFonts w:hint="eastAsia" w:ascii="宋体" w:hAnsi="宋体" w:eastAsia="宋体" w:cs="宋体"/>
          <w:color w:val="auto"/>
          <w:sz w:val="21"/>
          <w:szCs w:val="21"/>
          <w:lang w:val="zh-CN"/>
        </w:rPr>
        <w:t>的监督管理下，由</w:t>
      </w:r>
      <w:r>
        <w:rPr>
          <w:rFonts w:hint="eastAsia" w:ascii="宋体" w:hAnsi="宋体" w:eastAsia="宋体" w:cs="宋体"/>
          <w:color w:val="auto"/>
          <w:sz w:val="21"/>
          <w:szCs w:val="21"/>
          <w:u w:val="single"/>
          <w:lang w:val="en-US" w:eastAsia="zh-CN"/>
        </w:rPr>
        <w:t>陕西轩鼎项目管理有限公司</w:t>
      </w:r>
      <w:r>
        <w:rPr>
          <w:rFonts w:hint="eastAsia" w:ascii="宋体" w:hAnsi="宋体" w:eastAsia="宋体" w:cs="宋体"/>
          <w:color w:val="auto"/>
          <w:sz w:val="21"/>
          <w:szCs w:val="21"/>
          <w:lang w:val="zh-CN"/>
        </w:rPr>
        <w:t>组织</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lang w:val="zh-CN"/>
        </w:rPr>
        <w:t>采</w:t>
      </w:r>
      <w:r>
        <w:rPr>
          <w:rFonts w:hint="eastAsia" w:ascii="宋体" w:hAnsi="宋体" w:eastAsia="宋体" w:cs="宋体"/>
          <w:color w:val="auto"/>
          <w:sz w:val="21"/>
          <w:szCs w:val="21"/>
          <w:lang w:val="zh-CN"/>
        </w:rPr>
        <w:t>购。</w:t>
      </w:r>
      <w:r>
        <w:rPr>
          <w:rFonts w:hint="eastAsia" w:ascii="宋体" w:hAnsi="宋体" w:eastAsia="宋体" w:cs="宋体"/>
          <w:color w:val="auto"/>
          <w:sz w:val="21"/>
          <w:szCs w:val="21"/>
          <w:u w:val="single"/>
          <w:lang w:val="zh-CN"/>
        </w:rPr>
        <w:t>延安市黄龙山国有林管理局</w:t>
      </w:r>
      <w:r>
        <w:rPr>
          <w:rFonts w:hint="eastAsia" w:ascii="宋体" w:hAnsi="宋体" w:eastAsia="宋体" w:cs="宋体"/>
          <w:color w:val="auto"/>
          <w:sz w:val="21"/>
          <w:szCs w:val="21"/>
          <w:lang w:val="zh-CN"/>
        </w:rPr>
        <w:t>(以下简称“</w:t>
      </w:r>
      <w:r>
        <w:rPr>
          <w:rFonts w:hint="eastAsia" w:ascii="宋体" w:hAnsi="宋体" w:eastAsia="宋体" w:cs="宋体"/>
          <w:color w:val="auto"/>
          <w:sz w:val="21"/>
          <w:szCs w:val="21"/>
          <w:lang w:val="en-US" w:eastAsia="zh-CN"/>
        </w:rPr>
        <w:t>甲</w:t>
      </w:r>
      <w:r>
        <w:rPr>
          <w:rFonts w:hint="eastAsia" w:ascii="宋体" w:hAnsi="宋体" w:eastAsia="宋体" w:cs="宋体"/>
          <w:color w:val="auto"/>
          <w:sz w:val="21"/>
          <w:szCs w:val="21"/>
          <w:lang w:val="zh-CN"/>
        </w:rPr>
        <w:t xml:space="preserve">方”)确定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lang w:val="zh-CN"/>
        </w:rPr>
        <w:t>（以下简称“</w:t>
      </w:r>
      <w:r>
        <w:rPr>
          <w:rFonts w:hint="eastAsia" w:ascii="宋体" w:hAnsi="宋体" w:eastAsia="宋体" w:cs="宋体"/>
          <w:color w:val="auto"/>
          <w:sz w:val="21"/>
          <w:szCs w:val="21"/>
          <w:lang w:val="en-US" w:eastAsia="zh-CN"/>
        </w:rPr>
        <w:t>乙</w:t>
      </w:r>
      <w:r>
        <w:rPr>
          <w:rFonts w:hint="eastAsia" w:ascii="宋体" w:hAnsi="宋体" w:eastAsia="宋体" w:cs="宋体"/>
          <w:color w:val="auto"/>
          <w:sz w:val="21"/>
          <w:szCs w:val="21"/>
          <w:lang w:val="zh-CN"/>
        </w:rPr>
        <w:t>方”）为</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lang w:val="zh-CN"/>
        </w:rPr>
        <w:t>单位。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本合同在此声明如下：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1、本合同中的词语和术语的含义与合同条款中定义的相同。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2、下述文件是本合同的一部分，并与本合同一起阅读和解释：</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（1）合同条款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（2）合同条款附件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lang w:val="zh-CN"/>
        </w:rPr>
        <w:t>通知书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w:t>
      </w:r>
      <w:r>
        <w:rPr>
          <w:rFonts w:hint="eastAsia" w:ascii="宋体" w:hAnsi="宋体" w:eastAsia="宋体" w:cs="宋体"/>
          <w:color w:val="auto"/>
          <w:sz w:val="21"/>
          <w:szCs w:val="21"/>
          <w:lang w:val="en-US" w:eastAsia="zh-CN"/>
        </w:rPr>
        <w:t>竞争性磋商</w:t>
      </w:r>
      <w:r>
        <w:rPr>
          <w:rFonts w:hint="eastAsia" w:ascii="宋体" w:hAnsi="宋体" w:eastAsia="宋体" w:cs="宋体"/>
          <w:color w:val="auto"/>
          <w:sz w:val="21"/>
          <w:szCs w:val="21"/>
          <w:lang w:val="zh-CN"/>
        </w:rPr>
        <w:t>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（5）</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lang w:val="zh-CN"/>
        </w:rPr>
        <w:t>文件</w:t>
      </w:r>
    </w:p>
    <w:p>
      <w:pPr>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rPr>
        <w:t>合同</w:t>
      </w:r>
      <w:r>
        <w:rPr>
          <w:rFonts w:hint="eastAsia" w:ascii="宋体" w:hAnsi="宋体" w:eastAsia="宋体" w:cs="宋体"/>
          <w:color w:val="auto"/>
          <w:sz w:val="21"/>
          <w:szCs w:val="21"/>
          <w:lang w:val="zh-CN" w:eastAsia="zh-CN"/>
        </w:rPr>
        <w:t>内容：延安市黄龙山国有林管理局2023年国家重点野生动植物保护项目</w:t>
      </w:r>
    </w:p>
    <w:p>
      <w:pPr>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rPr>
        <w:t>施工地点：采购人指定地点</w:t>
      </w:r>
    </w:p>
    <w:p>
      <w:pPr>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lang w:val="zh-CN"/>
        </w:rPr>
      </w:pPr>
      <w:r>
        <w:rPr>
          <w:rFonts w:hint="eastAsia" w:ascii="宋体" w:hAnsi="宋体" w:eastAsia="宋体" w:cs="宋体"/>
          <w:color w:val="auto"/>
          <w:sz w:val="21"/>
          <w:szCs w:val="21"/>
          <w:lang w:val="zh-CN" w:eastAsia="zh-CN"/>
        </w:rPr>
        <w:t>施工期限：</w:t>
      </w:r>
      <w:r>
        <w:rPr>
          <w:rFonts w:hint="eastAsia" w:ascii="宋体" w:hAnsi="宋体" w:eastAsia="宋体" w:cs="宋体"/>
          <w:color w:val="auto"/>
          <w:sz w:val="21"/>
          <w:szCs w:val="21"/>
          <w:lang w:val="en-US" w:eastAsia="zh-CN"/>
        </w:rPr>
        <w:t>一年</w:t>
      </w:r>
    </w:p>
    <w:p>
      <w:pPr>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运输及施工</w:t>
      </w:r>
    </w:p>
    <w:p>
      <w:pPr>
        <w:pStyle w:val="8"/>
        <w:keepLines w:val="0"/>
        <w:pageBreakBefore w:val="0"/>
        <w:widowControl w:val="0"/>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r>
        <w:rPr>
          <w:rFonts w:hint="eastAsia" w:eastAsia="宋体" w:cs="宋体"/>
          <w:sz w:val="21"/>
          <w:szCs w:val="21"/>
          <w:highlight w:val="none"/>
          <w:lang w:val="en-US" w:eastAsia="zh-CN"/>
        </w:rPr>
        <w:t>一</w:t>
      </w:r>
      <w:r>
        <w:rPr>
          <w:rFonts w:hint="eastAsia" w:ascii="宋体" w:hAnsi="宋体" w:eastAsia="宋体" w:cs="宋体"/>
          <w:sz w:val="21"/>
          <w:szCs w:val="21"/>
          <w:highlight w:val="none"/>
          <w:lang w:val="en-US" w:eastAsia="zh-CN"/>
        </w:rPr>
        <w:t>）运输</w:t>
      </w:r>
    </w:p>
    <w:p>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1、运杂费已包含在合同总价内，包括从材料供应地点到施工地点所包含的运输费、含保险费、装卸费等。</w:t>
      </w:r>
    </w:p>
    <w:p>
      <w:pPr>
        <w:pStyle w:val="8"/>
        <w:keepLines w:val="0"/>
        <w:pageBreakBefore w:val="0"/>
        <w:widowControl w:val="0"/>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2、运输方式：成交人自定。</w:t>
      </w:r>
    </w:p>
    <w:p>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3、运输要求：应有明显的运输作业标志和发货标志。</w:t>
      </w:r>
    </w:p>
    <w:p>
      <w:pPr>
        <w:pStyle w:val="8"/>
        <w:keepLines w:val="0"/>
        <w:pageBreakBefore w:val="0"/>
        <w:widowControl w:val="0"/>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r>
        <w:rPr>
          <w:rFonts w:hint="eastAsia" w:eastAsia="宋体" w:cs="宋体"/>
          <w:sz w:val="21"/>
          <w:szCs w:val="21"/>
          <w:highlight w:val="none"/>
          <w:lang w:val="en-US" w:eastAsia="zh-CN"/>
        </w:rPr>
        <w:t>二</w:t>
      </w:r>
      <w:r>
        <w:rPr>
          <w:rFonts w:hint="eastAsia" w:ascii="宋体" w:hAnsi="宋体" w:eastAsia="宋体" w:cs="宋体"/>
          <w:sz w:val="21"/>
          <w:szCs w:val="21"/>
          <w:highlight w:val="none"/>
          <w:lang w:val="en-US" w:eastAsia="zh-CN"/>
        </w:rPr>
        <w:t>）施工</w:t>
      </w:r>
    </w:p>
    <w:p>
      <w:pPr>
        <w:pStyle w:val="8"/>
        <w:keepLines w:val="0"/>
        <w:pageBreakBefore w:val="0"/>
        <w:widowControl w:val="0"/>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1、工程施工工作全部由成交人负责完成，并承担检验费、安装费等。</w:t>
      </w:r>
    </w:p>
    <w:p>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en-US" w:eastAsia="zh-CN"/>
        </w:rPr>
        <w:t>2、施工时根据采购人要求派技术人员现场指导安装施工</w:t>
      </w:r>
      <w:r>
        <w:rPr>
          <w:rFonts w:hint="eastAsia" w:ascii="宋体" w:hAnsi="宋体" w:eastAsia="宋体" w:cs="宋体"/>
          <w:sz w:val="21"/>
          <w:szCs w:val="21"/>
          <w:highlight w:val="none"/>
          <w:lang w:val="zh-CN"/>
        </w:rPr>
        <w:t>。</w:t>
      </w:r>
    </w:p>
    <w:p>
      <w:pPr>
        <w:pStyle w:val="8"/>
        <w:keepLines w:val="0"/>
        <w:pageBreakBefore w:val="0"/>
        <w:widowControl w:val="0"/>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3、成交人在施工中要做好人员及施工现场的安全工作，杜绝各类事故的发生，如发生安全事故由成交人负全部责任。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五、合同价款：</w:t>
      </w:r>
      <w:r>
        <w:rPr>
          <w:rFonts w:hint="eastAsia" w:ascii="宋体" w:hAnsi="宋体" w:eastAsia="宋体" w:cs="宋体"/>
          <w:color w:val="auto"/>
          <w:sz w:val="21"/>
          <w:szCs w:val="21"/>
          <w:u w:val="single"/>
          <w:lang w:val="zh-CN" w:eastAsia="zh-CN"/>
        </w:rPr>
        <w:t xml:space="preserve">           </w:t>
      </w:r>
      <w:r>
        <w:rPr>
          <w:rFonts w:hint="eastAsia" w:ascii="宋体" w:hAnsi="宋体" w:eastAsia="宋体" w:cs="宋体"/>
          <w:color w:val="auto"/>
          <w:sz w:val="21"/>
          <w:szCs w:val="21"/>
          <w:lang w:val="zh-CN" w:eastAsia="zh-CN"/>
        </w:rPr>
        <w:t>元（大写：</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zh-CN" w:eastAsia="zh-CN"/>
        </w:rPr>
        <w:t>），本项目的合同价根据成交供应商的成交价确定，采用约定范围内固定综合单价合同的方式承包，最终竣工结算价以审计价格为准。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六、 质量保证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1、质量应当达到</w:t>
      </w:r>
      <w:r>
        <w:rPr>
          <w:rFonts w:hint="eastAsia" w:ascii="宋体" w:hAnsi="宋体" w:eastAsia="宋体" w:cs="宋体"/>
          <w:color w:val="auto"/>
          <w:sz w:val="21"/>
          <w:szCs w:val="21"/>
          <w:lang w:val="en-US" w:eastAsia="zh-CN"/>
        </w:rPr>
        <w:t>合同</w:t>
      </w:r>
      <w:r>
        <w:rPr>
          <w:rFonts w:hint="eastAsia" w:ascii="宋体" w:hAnsi="宋体" w:eastAsia="宋体" w:cs="宋体"/>
          <w:color w:val="auto"/>
          <w:sz w:val="21"/>
          <w:szCs w:val="21"/>
          <w:lang w:val="zh-CN" w:eastAsia="zh-CN"/>
        </w:rPr>
        <w:t>约定的质量标准，质量标准的评定以国家或行业的质量检验评定标准为依据。因</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lang w:val="zh-CN" w:eastAsia="zh-CN"/>
        </w:rPr>
        <w:t>原因质量达不到约定的质量标准，</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lang w:val="zh-CN" w:eastAsia="zh-CN"/>
        </w:rPr>
        <w:t>承担违约责任。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2、双方对质量有争议，由双方同意的质量检测机构鉴定，所需费用及因此造成的损失，由责任方承担。双方均有责任，由双方根据其责任分别承担。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七、双方承诺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1、采购人承诺按照法律规定履行项目审批手续，按照合同约定提供相关资料，并按照合同约定的期限和方式支付合同价款。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2、成交人承诺按照法律法规和技术标准规定及合同约定提供服务。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3、成交人未征得甲方同意和谅解而单方面延迟交工，将按违约终止合同。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4、成交人遇到可能妨碍按时交工的情况，应当及时以书面形式通知采购人，说明原由、拖延的期限等；采购人在收到通知后，尽快进行情况评估并确定是否通过修改合同，酌情延长期限或者通过协商加收误期赔偿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5、成交人严格按照相关质量控制规范，保证检验结果准确可靠。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八、双方义务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1、采购人有权要求成交人配合采购人完成所采购项目的验收工作。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2、采购人有义务保证按合同所规定的内容及时间支付成交人相关费用。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3、成交人有权要求采购人提供必要的施工条件。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4、施工中如遇雷雨以及恶劣天气等不可抗力或其他因素影响施工进度，成交人应及时向采购人通报，并征得采购人确认、签字，工期方可顺延。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5、成交人在</w:t>
      </w:r>
      <w:r>
        <w:rPr>
          <w:rFonts w:hint="eastAsia" w:ascii="宋体" w:hAnsi="宋体" w:eastAsia="宋体" w:cs="宋体"/>
          <w:color w:val="auto"/>
          <w:sz w:val="21"/>
          <w:szCs w:val="21"/>
          <w:lang w:val="en-US" w:eastAsia="zh-CN"/>
        </w:rPr>
        <w:t>项目实施</w:t>
      </w:r>
      <w:r>
        <w:rPr>
          <w:rFonts w:hint="eastAsia" w:ascii="宋体" w:hAnsi="宋体" w:eastAsia="宋体" w:cs="宋体"/>
          <w:color w:val="auto"/>
          <w:sz w:val="21"/>
          <w:szCs w:val="21"/>
          <w:lang w:val="zh-CN" w:eastAsia="zh-CN"/>
        </w:rPr>
        <w:t>中所发生的一切安全事故，由成交人完全负责，采购人不承担任何责任，如给采购人造成经济损失，应如数赔偿。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6、遵守采购人制定的现场安全文明施工的规章制度，如违反采购人的规章制度由成交人负责。</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九、验收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1、本项目验收费用，由成交人自行承担。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2、项目完毕后，</w:t>
      </w:r>
      <w:r>
        <w:rPr>
          <w:rFonts w:hint="eastAsia" w:ascii="宋体" w:hAnsi="宋体" w:eastAsia="宋体" w:cs="宋体"/>
          <w:color w:val="auto"/>
          <w:sz w:val="21"/>
          <w:szCs w:val="21"/>
          <w:lang w:val="en-US" w:eastAsia="zh-CN"/>
        </w:rPr>
        <w:t>成交人</w:t>
      </w:r>
      <w:r>
        <w:rPr>
          <w:rFonts w:hint="eastAsia" w:ascii="宋体" w:hAnsi="宋体" w:eastAsia="宋体" w:cs="宋体"/>
          <w:color w:val="auto"/>
          <w:sz w:val="21"/>
          <w:szCs w:val="21"/>
          <w:lang w:val="zh-CN" w:eastAsia="zh-CN"/>
        </w:rPr>
        <w:t>进行自检，合格后准备验收文件，并书面通知采购人。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3、由采购人组织相关专家进行验收，对成交人的自检内容进行验收并确认。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4、</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lang w:val="zh-CN" w:eastAsia="zh-CN"/>
        </w:rPr>
        <w:t>验收合格后，成交人填写验收单，并向采购人提交所有资料，双方按照合同规定办理合同价款结算手续，以便采购人日后管理和维护。</w:t>
      </w:r>
    </w:p>
    <w:p>
      <w:pPr>
        <w:pStyle w:val="8"/>
        <w:keepLines w:val="0"/>
        <w:pageBreakBefore w:val="0"/>
        <w:widowControl w:val="0"/>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5、质量保证期：</w:t>
      </w:r>
      <w:r>
        <w:rPr>
          <w:rFonts w:hint="eastAsia" w:eastAsia="宋体" w:cs="宋体"/>
          <w:color w:val="auto"/>
          <w:sz w:val="21"/>
          <w:szCs w:val="21"/>
          <w:lang w:val="en-US" w:eastAsia="zh-CN"/>
        </w:rPr>
        <w:t>合同约定</w:t>
      </w:r>
      <w:r>
        <w:rPr>
          <w:rFonts w:hint="eastAsia" w:ascii="宋体" w:hAnsi="宋体" w:eastAsia="宋体" w:cs="宋体"/>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6、验收依据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6.1  本合同文本；</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6.2  采购文件及成交供应商的响应文件；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6.3  国家相应的标准、规范。</w:t>
      </w:r>
    </w:p>
    <w:p>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i w:val="0"/>
          <w:caps w:val="0"/>
          <w:color w:val="333333"/>
          <w:spacing w:val="0"/>
          <w:sz w:val="21"/>
          <w:szCs w:val="21"/>
          <w:shd w:val="clear" w:color="auto" w:fill="FFFFFF"/>
        </w:rPr>
      </w:pPr>
      <w:r>
        <w:rPr>
          <w:rFonts w:hint="eastAsia" w:ascii="宋体" w:hAnsi="宋体" w:eastAsia="宋体" w:cs="宋体"/>
          <w:i w:val="0"/>
          <w:caps w:val="0"/>
          <w:color w:val="333333"/>
          <w:spacing w:val="0"/>
          <w:sz w:val="21"/>
          <w:szCs w:val="21"/>
          <w:shd w:val="clear" w:color="auto" w:fill="FFFFFF"/>
        </w:rPr>
        <w:t>十、合同价款结算</w:t>
      </w:r>
    </w:p>
    <w:p>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i w:val="0"/>
          <w:caps w:val="0"/>
          <w:color w:val="333333"/>
          <w:spacing w:val="0"/>
          <w:sz w:val="21"/>
          <w:szCs w:val="21"/>
          <w:shd w:val="clear" w:color="auto" w:fill="FFFFFF"/>
          <w:lang w:eastAsia="zh-CN"/>
        </w:rPr>
      </w:pPr>
      <w:r>
        <w:rPr>
          <w:rFonts w:hint="eastAsia" w:ascii="宋体" w:hAnsi="宋体" w:eastAsia="宋体" w:cs="宋体"/>
          <w:i w:val="0"/>
          <w:caps w:val="0"/>
          <w:color w:val="333333"/>
          <w:spacing w:val="0"/>
          <w:sz w:val="21"/>
          <w:szCs w:val="21"/>
          <w:shd w:val="clear" w:color="auto" w:fill="FFFFFF"/>
          <w:lang w:val="en-US" w:eastAsia="zh-CN"/>
        </w:rPr>
        <w:t>1、</w:t>
      </w:r>
      <w:r>
        <w:rPr>
          <w:rFonts w:hint="eastAsia" w:ascii="宋体" w:hAnsi="宋体" w:eastAsia="宋体" w:cs="宋体"/>
          <w:i w:val="0"/>
          <w:caps w:val="0"/>
          <w:color w:val="333333"/>
          <w:spacing w:val="0"/>
          <w:sz w:val="21"/>
          <w:szCs w:val="21"/>
          <w:shd w:val="clear" w:color="auto" w:fill="FFFFFF"/>
        </w:rPr>
        <w:t>资金结算由采购人直接结算，采购人在付款前，成交人必须开具全额发票给采购人</w:t>
      </w:r>
      <w:r>
        <w:rPr>
          <w:rFonts w:hint="eastAsia" w:ascii="宋体" w:hAnsi="宋体" w:eastAsia="宋体" w:cs="宋体"/>
          <w:i w:val="0"/>
          <w:caps w:val="0"/>
          <w:color w:val="333333"/>
          <w:spacing w:val="0"/>
          <w:sz w:val="21"/>
          <w:szCs w:val="21"/>
          <w:shd w:val="clear" w:color="auto" w:fill="FFFFFF"/>
          <w:lang w:eastAsia="zh-CN"/>
        </w:rPr>
        <w:t>。</w:t>
      </w:r>
    </w:p>
    <w:p>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color="auto" w:fill="FFFFFF"/>
        </w:rPr>
        <w:t>2、本工程执行固定综合单价，工程量以实际发生量结算。工程完工，验收合格后。付合同价的</w:t>
      </w:r>
      <w:r>
        <w:rPr>
          <w:rFonts w:hint="eastAsia" w:ascii="宋体" w:hAnsi="宋体" w:eastAsia="宋体" w:cs="宋体"/>
          <w:i w:val="0"/>
          <w:caps w:val="0"/>
          <w:color w:val="333333"/>
          <w:spacing w:val="0"/>
          <w:sz w:val="21"/>
          <w:szCs w:val="21"/>
          <w:u w:val="single"/>
          <w:shd w:val="clear" w:color="auto" w:fill="FFFFFF"/>
        </w:rPr>
        <w:t xml:space="preserve">    </w:t>
      </w:r>
      <w:r>
        <w:rPr>
          <w:rFonts w:hint="eastAsia" w:ascii="宋体" w:hAnsi="宋体" w:eastAsia="宋体" w:cs="宋体"/>
          <w:i w:val="0"/>
          <w:caps w:val="0"/>
          <w:color w:val="333333"/>
          <w:spacing w:val="0"/>
          <w:sz w:val="21"/>
          <w:szCs w:val="21"/>
          <w:shd w:val="clear" w:color="auto" w:fill="FFFFFF"/>
        </w:rPr>
        <w:t>%，结算审定后，付结算总价</w:t>
      </w:r>
      <w:r>
        <w:rPr>
          <w:rFonts w:hint="eastAsia" w:ascii="宋体" w:hAnsi="宋体" w:eastAsia="宋体" w:cs="宋体"/>
          <w:i w:val="0"/>
          <w:caps w:val="0"/>
          <w:color w:val="333333"/>
          <w:spacing w:val="0"/>
          <w:sz w:val="21"/>
          <w:szCs w:val="21"/>
          <w:u w:val="single"/>
          <w:shd w:val="clear" w:color="auto" w:fill="FFFFFF"/>
        </w:rPr>
        <w:t xml:space="preserve">    </w:t>
      </w:r>
      <w:r>
        <w:rPr>
          <w:rFonts w:hint="eastAsia" w:ascii="宋体" w:hAnsi="宋体" w:eastAsia="宋体" w:cs="宋体"/>
          <w:i w:val="0"/>
          <w:caps w:val="0"/>
          <w:color w:val="333333"/>
          <w:spacing w:val="0"/>
          <w:sz w:val="21"/>
          <w:szCs w:val="21"/>
          <w:shd w:val="clear" w:color="auto" w:fill="FFFFFF"/>
        </w:rPr>
        <w:t>%工程款，剩余</w:t>
      </w:r>
      <w:r>
        <w:rPr>
          <w:rFonts w:hint="eastAsia" w:ascii="宋体" w:hAnsi="宋体" w:eastAsia="宋体" w:cs="宋体"/>
          <w:i w:val="0"/>
          <w:caps w:val="0"/>
          <w:color w:val="333333"/>
          <w:spacing w:val="0"/>
          <w:sz w:val="21"/>
          <w:szCs w:val="21"/>
          <w:u w:val="single"/>
          <w:shd w:val="clear" w:color="auto" w:fill="FFFFFF"/>
        </w:rPr>
        <w:t xml:space="preserve">    </w:t>
      </w:r>
      <w:r>
        <w:rPr>
          <w:rFonts w:hint="eastAsia" w:ascii="宋体" w:hAnsi="宋体" w:eastAsia="宋体" w:cs="宋体"/>
          <w:i w:val="0"/>
          <w:caps w:val="0"/>
          <w:color w:val="333333"/>
          <w:spacing w:val="0"/>
          <w:sz w:val="21"/>
          <w:szCs w:val="21"/>
          <w:shd w:val="clear" w:color="auto" w:fill="FFFFFF"/>
        </w:rPr>
        <w:t>%作为本工程质保金，质保期满后无质量问题一次性无息付清</w:t>
      </w:r>
      <w:r>
        <w:rPr>
          <w:rFonts w:hint="eastAsia" w:ascii="宋体" w:hAnsi="宋体" w:eastAsia="宋体" w:cs="宋体"/>
          <w:i w:val="0"/>
          <w:caps w:val="0"/>
          <w:color w:val="333333"/>
          <w:spacing w:val="0"/>
          <w:sz w:val="21"/>
          <w:szCs w:val="21"/>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十一、违约责任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1、甲乙双方的任一方违反国家法律、法规，受到罚款或给对方造成损失均由责任方承担责任。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2、若乙方违约，须向甲方支付合同价款10%的违约金，并承担因此造成的经济损失。</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zh-CN" w:eastAsia="zh-CN"/>
        </w:rPr>
        <w:t>、成交人所供产品不符合合同规定，也未得到采购人认可时，应负责更换或重新组织设备，并承担由此而引起的延误供货责任。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4、成交人严重违约后，采购人可单方终止合同。出现此类情况时，将根据《中华人民共和国民法典》追究其法律责任。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十二、合同争议的解决：合同执行中发生争议的，当事人双方应协商解决，协商达不成一致时，可向延安仲裁委员会申请仲裁或者向采购单位所在地的人民法院提请诉讼。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十三、合同一经签订，不得擅自变更、中止或者终止合同。对确需变更、调整或者中止、终止合同的，应按规定履行相应的手续。</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十四、本合同一式5份，甲方、乙方各2份，采购代理机构（见证方）执1份。甲方、乙方及见证方三方签字盖章后生效，合同执行完毕自动失效（合同的服务承诺则长期有效）。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zh-CN" w:eastAsia="zh-CN"/>
        </w:rPr>
        <w:t>十五、见证方只见证合同的金额、付款方式。</w:t>
      </w:r>
    </w:p>
    <w:p>
      <w:pPr>
        <w:rPr>
          <w:rFonts w:hint="default"/>
          <w:color w:val="auto"/>
          <w:highlight w:val="none"/>
          <w:lang w:val="en-US" w:eastAsia="zh-CN"/>
        </w:rPr>
      </w:pPr>
      <w:r>
        <w:rPr>
          <w:rFonts w:hint="default"/>
          <w:color w:val="auto"/>
          <w:highlight w:val="none"/>
          <w:lang w:val="en-US" w:eastAsia="zh-CN"/>
        </w:rPr>
        <w:br w:type="page"/>
      </w:r>
    </w:p>
    <w:tbl>
      <w:tblPr>
        <w:tblStyle w:val="21"/>
        <w:tblW w:w="90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9"/>
        <w:gridCol w:w="2941"/>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939"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甲方</w:t>
            </w:r>
          </w:p>
        </w:tc>
        <w:tc>
          <w:tcPr>
            <w:tcW w:w="29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乙方</w:t>
            </w:r>
          </w:p>
        </w:tc>
        <w:tc>
          <w:tcPr>
            <w:tcW w:w="3140"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见证方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3" w:hRule="atLeast"/>
          <w:jc w:val="center"/>
        </w:trPr>
        <w:tc>
          <w:tcPr>
            <w:tcW w:w="2939" w:type="dxa"/>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right"/>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（盖章）</w:t>
            </w:r>
          </w:p>
        </w:tc>
        <w:tc>
          <w:tcPr>
            <w:tcW w:w="2941" w:type="dxa"/>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right"/>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（盖章）</w:t>
            </w:r>
          </w:p>
        </w:tc>
        <w:tc>
          <w:tcPr>
            <w:tcW w:w="3140" w:type="dxa"/>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right"/>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jc w:val="center"/>
        </w:trPr>
        <w:tc>
          <w:tcPr>
            <w:tcW w:w="2939"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地址：</w:t>
            </w:r>
          </w:p>
        </w:tc>
        <w:tc>
          <w:tcPr>
            <w:tcW w:w="29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地址：</w:t>
            </w:r>
          </w:p>
        </w:tc>
        <w:tc>
          <w:tcPr>
            <w:tcW w:w="3140"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地址：延安市新区上城叁号三号楼一单元</w:t>
            </w:r>
            <w:r>
              <w:rPr>
                <w:rFonts w:hint="eastAsia" w:ascii="宋体" w:hAnsi="宋体" w:eastAsia="宋体" w:cs="宋体"/>
                <w:color w:val="auto"/>
                <w:kern w:val="0"/>
                <w:sz w:val="21"/>
                <w:szCs w:val="21"/>
                <w:highlight w:val="none"/>
                <w:vertAlign w:val="baseline"/>
                <w:lang w:val="en-US" w:eastAsia="zh-CN"/>
              </w:rPr>
              <w:t>302室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2939"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邮政编码：</w:t>
            </w:r>
          </w:p>
        </w:tc>
        <w:tc>
          <w:tcPr>
            <w:tcW w:w="29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eastAsia="zh-CN"/>
              </w:rPr>
              <w:t>邮政编码：</w:t>
            </w:r>
          </w:p>
        </w:tc>
        <w:tc>
          <w:tcPr>
            <w:tcW w:w="3140"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eastAsia="zh-CN"/>
              </w:rPr>
              <w:t>邮政编码：</w:t>
            </w:r>
            <w:r>
              <w:rPr>
                <w:rFonts w:hint="eastAsia" w:ascii="宋体" w:hAnsi="宋体" w:eastAsia="宋体" w:cs="宋体"/>
                <w:color w:val="auto"/>
                <w:kern w:val="0"/>
                <w:sz w:val="21"/>
                <w:szCs w:val="21"/>
                <w:highlight w:val="none"/>
                <w:vertAlign w:val="baseline"/>
                <w:lang w:val="en-US" w:eastAsia="zh-CN"/>
              </w:rPr>
              <w:t>716000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jc w:val="center"/>
        </w:trPr>
        <w:tc>
          <w:tcPr>
            <w:tcW w:w="2939"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账号：</w:t>
            </w:r>
          </w:p>
        </w:tc>
        <w:tc>
          <w:tcPr>
            <w:tcW w:w="29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账号：</w:t>
            </w:r>
          </w:p>
        </w:tc>
        <w:tc>
          <w:tcPr>
            <w:tcW w:w="3140"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left"/>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账号：61050168003109009966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jc w:val="center"/>
        </w:trPr>
        <w:tc>
          <w:tcPr>
            <w:tcW w:w="2939"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开户行：</w:t>
            </w:r>
          </w:p>
        </w:tc>
        <w:tc>
          <w:tcPr>
            <w:tcW w:w="29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both"/>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开户行：</w:t>
            </w:r>
          </w:p>
        </w:tc>
        <w:tc>
          <w:tcPr>
            <w:tcW w:w="3140"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开户行：中国建设银行股份有限公司延安分行营业室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jc w:val="center"/>
        </w:trPr>
        <w:tc>
          <w:tcPr>
            <w:tcW w:w="2939"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户名：</w:t>
            </w:r>
          </w:p>
        </w:tc>
        <w:tc>
          <w:tcPr>
            <w:tcW w:w="29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both"/>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户名：</w:t>
            </w:r>
          </w:p>
        </w:tc>
        <w:tc>
          <w:tcPr>
            <w:tcW w:w="3140"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户名：陕西轩鼎项目管理有限公司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jc w:val="center"/>
        </w:trPr>
        <w:tc>
          <w:tcPr>
            <w:tcW w:w="2939"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全权代表：</w:t>
            </w:r>
          </w:p>
        </w:tc>
        <w:tc>
          <w:tcPr>
            <w:tcW w:w="29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全权代表：</w:t>
            </w:r>
          </w:p>
        </w:tc>
        <w:tc>
          <w:tcPr>
            <w:tcW w:w="3140"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全权代表：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9" w:hRule="atLeast"/>
          <w:jc w:val="center"/>
        </w:trPr>
        <w:tc>
          <w:tcPr>
            <w:tcW w:w="2939"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日期：</w:t>
            </w:r>
            <w:r>
              <w:rPr>
                <w:rFonts w:hint="eastAsia" w:ascii="宋体" w:hAnsi="宋体" w:eastAsia="宋体" w:cs="宋体"/>
                <w:color w:val="auto"/>
                <w:kern w:val="0"/>
                <w:sz w:val="21"/>
                <w:szCs w:val="21"/>
                <w:highlight w:val="none"/>
                <w:vertAlign w:val="baseline"/>
                <w:lang w:val="en-US" w:eastAsia="zh-CN"/>
              </w:rPr>
              <w:t xml:space="preserve">   年  月  日</w:t>
            </w:r>
          </w:p>
        </w:tc>
        <w:tc>
          <w:tcPr>
            <w:tcW w:w="29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eastAsia="zh-CN"/>
              </w:rPr>
              <w:t>日期：</w:t>
            </w:r>
            <w:r>
              <w:rPr>
                <w:rFonts w:hint="eastAsia" w:ascii="宋体" w:hAnsi="宋体" w:eastAsia="宋体" w:cs="宋体"/>
                <w:color w:val="auto"/>
                <w:kern w:val="0"/>
                <w:sz w:val="21"/>
                <w:szCs w:val="21"/>
                <w:highlight w:val="none"/>
                <w:vertAlign w:val="baseline"/>
                <w:lang w:val="en-US" w:eastAsia="zh-CN"/>
              </w:rPr>
              <w:t xml:space="preserve">   年  月  日</w:t>
            </w:r>
          </w:p>
        </w:tc>
        <w:tc>
          <w:tcPr>
            <w:tcW w:w="3140"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eastAsia="zh-CN"/>
              </w:rPr>
              <w:t>日期：</w:t>
            </w:r>
            <w:r>
              <w:rPr>
                <w:rFonts w:hint="eastAsia" w:ascii="宋体" w:hAnsi="宋体" w:eastAsia="宋体" w:cs="宋体"/>
                <w:color w:val="auto"/>
                <w:kern w:val="0"/>
                <w:sz w:val="21"/>
                <w:szCs w:val="21"/>
                <w:highlight w:val="none"/>
                <w:vertAlign w:val="baseline"/>
                <w:lang w:val="en-US" w:eastAsia="zh-CN"/>
              </w:rPr>
              <w:t xml:space="preserve">   年  月  日</w:t>
            </w:r>
          </w:p>
        </w:tc>
      </w:tr>
    </w:tbl>
    <w:p>
      <w:pPr>
        <w:rPr>
          <w:rFonts w:hint="default"/>
          <w:color w:val="auto"/>
          <w:highlight w:val="none"/>
          <w:lang w:val="en-US" w:eastAsia="zh-CN"/>
        </w:rPr>
      </w:pPr>
      <w:r>
        <w:rPr>
          <w:rFonts w:hint="default"/>
          <w:color w:val="auto"/>
          <w:highlight w:val="none"/>
          <w:lang w:val="en-US" w:eastAsia="zh-CN"/>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hint="eastAsia" w:ascii="宋体" w:hAnsi="宋体" w:eastAsia="宋体" w:cs="宋体"/>
          <w:b/>
          <w:bCs/>
          <w:color w:val="auto"/>
          <w:sz w:val="32"/>
          <w:szCs w:val="32"/>
          <w:highlight w:val="none"/>
          <w:lang w:val="en-US" w:eastAsia="zh-CN"/>
        </w:rPr>
      </w:pPr>
      <w:bookmarkStart w:id="69" w:name="_Toc31570"/>
      <w:r>
        <w:rPr>
          <w:rFonts w:hint="eastAsia" w:ascii="宋体" w:hAnsi="宋体" w:eastAsia="宋体" w:cs="宋体"/>
          <w:b/>
          <w:bCs/>
          <w:color w:val="auto"/>
          <w:sz w:val="32"/>
          <w:szCs w:val="32"/>
          <w:highlight w:val="none"/>
          <w:lang w:val="en-US" w:eastAsia="zh-CN"/>
        </w:rPr>
        <w:t>第六部分 磋商响应文件格式</w:t>
      </w:r>
      <w:bookmarkEnd w:id="69"/>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编制说明：</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1、本磋商响应文件格式，仅起到样式作用，编制磋商响应文件前，请详细阅读竞争性磋商文件。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2、磋商响应文件的编制应按照本格式提供的内容，做出逐一的明确答复；磋商供应商认为必要，还可以做其它补充说明。</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3、本竞争性磋商文件中相关表格如不够填写时，磋商供应商可以自行扩展。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4、磋商响应文件格式中要求响应的内容应完整，不得随意删减。</w:t>
      </w:r>
    </w:p>
    <w:p>
      <w:pPr>
        <w:spacing w:line="360" w:lineRule="auto"/>
        <w:ind w:firstLine="480" w:firstLineChars="200"/>
        <w:rPr>
          <w:rFonts w:hint="eastAsia"/>
          <w:b/>
          <w:color w:val="auto"/>
          <w:sz w:val="30"/>
          <w:szCs w:val="30"/>
          <w:highlight w:val="none"/>
        </w:rPr>
      </w:pPr>
      <w:r>
        <w:rPr>
          <w:rFonts w:hint="eastAsia" w:ascii="宋体" w:hAnsi="宋体" w:cs="宋体"/>
          <w:color w:val="auto"/>
          <w:sz w:val="24"/>
          <w:szCs w:val="24"/>
          <w:highlight w:val="none"/>
        </w:rPr>
        <w:t>5、磋商响应文件</w:t>
      </w:r>
      <w:r>
        <w:rPr>
          <w:rFonts w:hint="eastAsia" w:ascii="宋体" w:hAnsi="宋体" w:cs="宋体"/>
          <w:b/>
          <w:bCs/>
          <w:color w:val="auto"/>
          <w:sz w:val="24"/>
          <w:szCs w:val="24"/>
          <w:highlight w:val="none"/>
        </w:rPr>
        <w:t>须编写目录</w:t>
      </w:r>
      <w:r>
        <w:rPr>
          <w:rFonts w:hint="eastAsia" w:ascii="宋体" w:hAnsi="宋体" w:cs="宋体"/>
          <w:color w:val="auto"/>
          <w:sz w:val="24"/>
          <w:szCs w:val="24"/>
          <w:highlight w:val="none"/>
        </w:rPr>
        <w:t>。</w:t>
      </w: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br w:type="page"/>
      </w:r>
    </w:p>
    <w:p>
      <w:pPr>
        <w:jc w:val="right"/>
        <w:outlineLvl w:val="9"/>
        <w:rPr>
          <w:rFonts w:hint="default" w:ascii="宋体" w:hAnsi="宋体" w:eastAsia="宋体" w:cs="宋体"/>
          <w:b/>
          <w:bCs/>
          <w:color w:val="auto"/>
          <w:sz w:val="32"/>
          <w:szCs w:val="40"/>
          <w:highlight w:val="none"/>
          <w:lang w:val="en-US" w:eastAsia="zh-CN"/>
        </w:rPr>
      </w:pPr>
      <w:r>
        <w:rPr>
          <w:rFonts w:hint="eastAsia" w:ascii="宋体" w:hAnsi="宋体" w:eastAsia="宋体" w:cs="宋体"/>
          <w:b/>
          <w:bCs/>
          <w:color w:val="auto"/>
          <w:sz w:val="32"/>
          <w:szCs w:val="40"/>
          <w:highlight w:val="none"/>
          <w:lang w:val="en-US" w:eastAsia="zh-CN"/>
        </w:rPr>
        <w:t>正本/副本</w:t>
      </w:r>
    </w:p>
    <w:p>
      <w:pPr>
        <w:jc w:val="both"/>
        <w:outlineLvl w:val="9"/>
        <w:rPr>
          <w:rFonts w:hint="eastAsia" w:ascii="宋体" w:hAnsi="宋体" w:eastAsia="宋体" w:cs="宋体"/>
          <w:b/>
          <w:bCs/>
          <w:color w:val="auto"/>
          <w:sz w:val="32"/>
          <w:szCs w:val="40"/>
          <w:highlight w:val="none"/>
          <w:lang w:val="en-US" w:eastAsia="zh-CN"/>
        </w:rPr>
      </w:pPr>
    </w:p>
    <w:p>
      <w:pPr>
        <w:jc w:val="both"/>
        <w:outlineLvl w:val="9"/>
        <w:rPr>
          <w:rFonts w:hint="default" w:ascii="宋体" w:hAnsi="宋体" w:eastAsia="宋体" w:cs="宋体"/>
          <w:b/>
          <w:bCs/>
          <w:i w:val="0"/>
          <w:iCs w:val="0"/>
          <w:color w:val="auto"/>
          <w:sz w:val="56"/>
          <w:szCs w:val="96"/>
          <w:highlight w:val="none"/>
          <w:lang w:val="en-US" w:eastAsia="zh-CN"/>
        </w:rPr>
      </w:pPr>
      <w:r>
        <w:rPr>
          <w:rFonts w:hint="eastAsia" w:ascii="宋体" w:hAnsi="宋体" w:eastAsia="宋体" w:cs="宋体"/>
          <w:b/>
          <w:bCs/>
          <w:color w:val="auto"/>
          <w:sz w:val="32"/>
          <w:szCs w:val="40"/>
          <w:highlight w:val="none"/>
          <w:lang w:val="en-US" w:eastAsia="zh-CN"/>
        </w:rPr>
        <w:t>项目编号：XD2023-009</w:t>
      </w:r>
    </w:p>
    <w:p>
      <w:pPr>
        <w:jc w:val="center"/>
        <w:outlineLvl w:val="9"/>
        <w:rPr>
          <w:rFonts w:hint="eastAsia" w:ascii="宋体" w:hAnsi="宋体" w:eastAsia="宋体" w:cs="宋体"/>
          <w:b/>
          <w:bCs/>
          <w:i w:val="0"/>
          <w:iCs w:val="0"/>
          <w:color w:val="auto"/>
          <w:sz w:val="72"/>
          <w:szCs w:val="144"/>
          <w:highlight w:val="none"/>
          <w:lang w:val="en-US" w:eastAsia="zh-CN"/>
        </w:rPr>
      </w:pPr>
    </w:p>
    <w:p>
      <w:pPr>
        <w:jc w:val="center"/>
        <w:outlineLvl w:val="9"/>
        <w:rPr>
          <w:rFonts w:hint="eastAsia" w:ascii="宋体" w:hAnsi="宋体" w:eastAsia="宋体" w:cs="宋体"/>
          <w:b/>
          <w:bCs/>
          <w:i w:val="0"/>
          <w:iCs w:val="0"/>
          <w:color w:val="auto"/>
          <w:sz w:val="48"/>
          <w:szCs w:val="48"/>
          <w:highlight w:val="none"/>
          <w:lang w:val="en-US" w:eastAsia="zh-CN"/>
        </w:rPr>
      </w:pPr>
      <w:r>
        <w:rPr>
          <w:rFonts w:hint="eastAsia" w:ascii="宋体" w:hAnsi="宋体" w:eastAsia="宋体" w:cs="宋体"/>
          <w:b/>
          <w:bCs/>
          <w:i w:val="0"/>
          <w:iCs w:val="0"/>
          <w:color w:val="auto"/>
          <w:sz w:val="48"/>
          <w:szCs w:val="48"/>
          <w:highlight w:val="none"/>
          <w:lang w:val="en-US" w:eastAsia="zh-CN"/>
        </w:rPr>
        <w:t>延安市黄龙山国有林管理局2023年国家</w:t>
      </w:r>
    </w:p>
    <w:p>
      <w:pPr>
        <w:jc w:val="center"/>
        <w:outlineLvl w:val="9"/>
        <w:rPr>
          <w:rFonts w:hint="eastAsia" w:ascii="宋体" w:hAnsi="宋体" w:eastAsia="宋体" w:cs="宋体"/>
          <w:b w:val="0"/>
          <w:bCs w:val="0"/>
          <w:i w:val="0"/>
          <w:iCs w:val="0"/>
          <w:color w:val="auto"/>
          <w:sz w:val="56"/>
          <w:szCs w:val="96"/>
          <w:highlight w:val="none"/>
          <w:lang w:val="en-US" w:eastAsia="zh-CN"/>
        </w:rPr>
      </w:pPr>
      <w:r>
        <w:rPr>
          <w:rFonts w:hint="eastAsia" w:ascii="宋体" w:hAnsi="宋体" w:eastAsia="宋体" w:cs="宋体"/>
          <w:b/>
          <w:bCs/>
          <w:i w:val="0"/>
          <w:iCs w:val="0"/>
          <w:color w:val="auto"/>
          <w:sz w:val="48"/>
          <w:szCs w:val="48"/>
          <w:highlight w:val="none"/>
          <w:lang w:val="en-US" w:eastAsia="zh-CN"/>
        </w:rPr>
        <w:t>重点野生动植物保护项目</w:t>
      </w:r>
    </w:p>
    <w:p>
      <w:pPr>
        <w:jc w:val="center"/>
        <w:outlineLvl w:val="9"/>
        <w:rPr>
          <w:rFonts w:hint="eastAsia" w:ascii="宋体" w:hAnsi="宋体" w:eastAsia="宋体" w:cs="宋体"/>
          <w:b/>
          <w:bCs/>
          <w:color w:val="auto"/>
          <w:sz w:val="72"/>
          <w:szCs w:val="144"/>
          <w:highlight w:val="none"/>
          <w:lang w:val="en-US" w:eastAsia="zh-CN"/>
        </w:rPr>
      </w:pPr>
    </w:p>
    <w:p>
      <w:pPr>
        <w:jc w:val="center"/>
        <w:outlineLvl w:val="9"/>
        <w:rPr>
          <w:rFonts w:hint="eastAsia" w:ascii="宋体" w:hAnsi="宋体" w:eastAsia="宋体" w:cs="宋体"/>
          <w:b/>
          <w:bCs/>
          <w:color w:val="auto"/>
          <w:sz w:val="72"/>
          <w:szCs w:val="144"/>
          <w:highlight w:val="none"/>
          <w:lang w:val="en-US" w:eastAsia="zh-CN"/>
        </w:rPr>
      </w:pPr>
    </w:p>
    <w:p>
      <w:pPr>
        <w:jc w:val="center"/>
        <w:outlineLvl w:val="9"/>
        <w:rPr>
          <w:rFonts w:hint="eastAsia" w:ascii="宋体" w:hAnsi="宋体" w:eastAsia="宋体" w:cs="宋体"/>
          <w:b/>
          <w:bCs/>
          <w:color w:val="auto"/>
          <w:sz w:val="72"/>
          <w:szCs w:val="144"/>
          <w:highlight w:val="none"/>
          <w:lang w:val="en-US" w:eastAsia="zh-CN"/>
        </w:rPr>
      </w:pPr>
    </w:p>
    <w:p>
      <w:pPr>
        <w:spacing w:line="600" w:lineRule="auto"/>
        <w:ind w:firstLine="211"/>
        <w:jc w:val="center"/>
        <w:outlineLvl w:val="9"/>
        <w:rPr>
          <w:rFonts w:hint="eastAsia" w:ascii="宋体" w:hAnsi="宋体"/>
          <w:b/>
          <w:color w:val="auto"/>
          <w:sz w:val="48"/>
          <w:szCs w:val="48"/>
          <w:highlight w:val="none"/>
        </w:rPr>
      </w:pPr>
      <w:r>
        <w:rPr>
          <w:rFonts w:hint="eastAsia" w:ascii="宋体" w:hAnsi="宋体" w:eastAsia="宋体" w:cs="宋体"/>
          <w:b/>
          <w:bCs/>
          <w:color w:val="auto"/>
          <w:sz w:val="72"/>
          <w:szCs w:val="72"/>
          <w:highlight w:val="none"/>
          <w:lang w:val="en-US" w:eastAsia="zh-CN"/>
        </w:rPr>
        <w:t>竞争性磋商响应文件</w:t>
      </w:r>
    </w:p>
    <w:p>
      <w:pPr>
        <w:jc w:val="center"/>
        <w:outlineLvl w:val="9"/>
        <w:rPr>
          <w:rFonts w:hint="eastAsia" w:ascii="宋体" w:hAnsi="宋体" w:eastAsia="宋体" w:cs="宋体"/>
          <w:b/>
          <w:bCs/>
          <w:color w:val="auto"/>
          <w:sz w:val="72"/>
          <w:szCs w:val="144"/>
          <w:highlight w:val="none"/>
          <w:lang w:val="en-US" w:eastAsia="zh-CN"/>
        </w:rPr>
      </w:pPr>
    </w:p>
    <w:p>
      <w:pPr>
        <w:jc w:val="center"/>
        <w:outlineLvl w:val="9"/>
        <w:rPr>
          <w:rFonts w:hint="eastAsia" w:ascii="宋体" w:hAnsi="宋体" w:eastAsia="宋体" w:cs="宋体"/>
          <w:b/>
          <w:bCs/>
          <w:color w:val="auto"/>
          <w:sz w:val="72"/>
          <w:szCs w:val="144"/>
          <w:highlight w:val="none"/>
          <w:lang w:val="en-US" w:eastAsia="zh-CN"/>
        </w:rPr>
      </w:pPr>
    </w:p>
    <w:p>
      <w:pPr>
        <w:jc w:val="center"/>
        <w:outlineLvl w:val="9"/>
        <w:rPr>
          <w:rFonts w:hint="eastAsia" w:ascii="宋体" w:hAnsi="宋体" w:eastAsia="宋体" w:cs="宋体"/>
          <w:b/>
          <w:bCs/>
          <w:color w:val="auto"/>
          <w:sz w:val="72"/>
          <w:szCs w:val="144"/>
          <w:highlight w:val="none"/>
          <w:lang w:val="en-US" w:eastAsia="zh-CN"/>
        </w:rPr>
      </w:pPr>
    </w:p>
    <w:p>
      <w:pPr>
        <w:spacing w:line="600" w:lineRule="auto"/>
        <w:ind w:firstLine="1285" w:firstLineChars="400"/>
        <w:outlineLvl w:val="9"/>
        <w:rPr>
          <w:rFonts w:hint="eastAsia" w:ascii="宋体" w:hAnsi="宋体"/>
          <w:b/>
          <w:bCs/>
          <w:color w:val="auto"/>
          <w:sz w:val="32"/>
          <w:szCs w:val="32"/>
          <w:highlight w:val="none"/>
          <w:u w:val="single"/>
        </w:rPr>
      </w:pPr>
      <w:r>
        <w:rPr>
          <w:rFonts w:hint="eastAsia" w:ascii="宋体" w:hAnsi="宋体"/>
          <w:b/>
          <w:bCs/>
          <w:color w:val="auto"/>
          <w:sz w:val="32"/>
          <w:szCs w:val="32"/>
          <w:highlight w:val="none"/>
        </w:rPr>
        <w:t>供应商：</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u w:val="single"/>
          <w:lang w:val="en-US" w:eastAsia="zh-CN"/>
        </w:rPr>
        <w:t xml:space="preserve">   </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（公章）</w:t>
      </w:r>
    </w:p>
    <w:p>
      <w:pPr>
        <w:spacing w:line="600" w:lineRule="auto"/>
        <w:ind w:firstLine="1285" w:firstLineChars="400"/>
        <w:outlineLvl w:val="9"/>
        <w:rPr>
          <w:rFonts w:hint="eastAsia" w:ascii="宋体" w:hAnsi="宋体"/>
          <w:b/>
          <w:bCs/>
          <w:color w:val="auto"/>
          <w:sz w:val="32"/>
          <w:szCs w:val="32"/>
          <w:highlight w:val="none"/>
        </w:rPr>
      </w:pPr>
      <w:r>
        <w:rPr>
          <w:rFonts w:hint="eastAsia" w:ascii="宋体" w:hAnsi="宋体"/>
          <w:b/>
          <w:bCs/>
          <w:color w:val="auto"/>
          <w:sz w:val="32"/>
          <w:szCs w:val="32"/>
          <w:highlight w:val="none"/>
        </w:rPr>
        <w:t>法定代表人或被授权人：</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（签字或盖章）</w:t>
      </w:r>
    </w:p>
    <w:p>
      <w:pPr>
        <w:spacing w:line="480" w:lineRule="auto"/>
        <w:ind w:firstLine="1285" w:firstLineChars="400"/>
        <w:outlineLvl w:val="9"/>
        <w:rPr>
          <w:rFonts w:hint="eastAsia" w:ascii="宋体" w:hAnsi="宋体" w:eastAsiaTheme="minorEastAsia"/>
          <w:color w:val="auto"/>
          <w:sz w:val="32"/>
          <w:szCs w:val="32"/>
          <w:highlight w:val="none"/>
          <w:lang w:val="en-US" w:eastAsia="zh-CN"/>
        </w:rPr>
      </w:pPr>
      <w:r>
        <w:rPr>
          <w:rFonts w:hint="eastAsia" w:ascii="宋体" w:hAnsi="宋体"/>
          <w:b/>
          <w:bCs/>
          <w:color w:val="auto"/>
          <w:sz w:val="32"/>
          <w:szCs w:val="32"/>
          <w:highlight w:val="none"/>
        </w:rPr>
        <w:t>时    间：</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年</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月</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u w:val="none"/>
          <w:lang w:val="en-US" w:eastAsia="zh-CN"/>
        </w:rPr>
        <w:t>日</w:t>
      </w:r>
    </w:p>
    <w:p>
      <w:pPr>
        <w:rPr>
          <w:rFonts w:hint="eastAsia" w:ascii="宋体" w:hAnsi="宋体"/>
          <w:b/>
          <w:color w:val="auto"/>
          <w:sz w:val="32"/>
          <w:szCs w:val="28"/>
          <w:highlight w:val="none"/>
        </w:rPr>
      </w:pPr>
      <w:bookmarkStart w:id="70" w:name="_Toc75259380"/>
      <w:r>
        <w:rPr>
          <w:rFonts w:hint="eastAsia" w:ascii="宋体" w:hAnsi="宋体"/>
          <w:b/>
          <w:color w:val="auto"/>
          <w:sz w:val="32"/>
          <w:szCs w:val="28"/>
          <w:highlight w:val="none"/>
        </w:rPr>
        <w:br w:type="page"/>
      </w:r>
    </w:p>
    <w:p>
      <w:pPr>
        <w:widowControl/>
        <w:spacing w:line="480" w:lineRule="auto"/>
        <w:jc w:val="center"/>
        <w:outlineLvl w:val="9"/>
        <w:rPr>
          <w:rFonts w:ascii="宋体" w:hAnsi="宋体"/>
          <w:color w:val="auto"/>
          <w:sz w:val="32"/>
          <w:szCs w:val="32"/>
          <w:highlight w:val="none"/>
        </w:rPr>
      </w:pPr>
      <w:r>
        <w:rPr>
          <w:rFonts w:hint="eastAsia" w:ascii="宋体" w:hAnsi="宋体"/>
          <w:b/>
          <w:color w:val="auto"/>
          <w:sz w:val="32"/>
          <w:szCs w:val="28"/>
          <w:highlight w:val="none"/>
        </w:rPr>
        <w:t xml:space="preserve">目 </w:t>
      </w:r>
      <w:r>
        <w:rPr>
          <w:rFonts w:ascii="宋体" w:hAnsi="宋体"/>
          <w:b/>
          <w:color w:val="auto"/>
          <w:sz w:val="32"/>
          <w:szCs w:val="28"/>
          <w:highlight w:val="none"/>
        </w:rPr>
        <w:t xml:space="preserve"> </w:t>
      </w:r>
      <w:r>
        <w:rPr>
          <w:rFonts w:hint="eastAsia" w:ascii="宋体" w:hAnsi="宋体"/>
          <w:b/>
          <w:color w:val="auto"/>
          <w:sz w:val="32"/>
          <w:szCs w:val="28"/>
          <w:highlight w:val="none"/>
        </w:rPr>
        <w:t>录</w:t>
      </w:r>
      <w:bookmarkEnd w:id="70"/>
    </w:p>
    <w:p>
      <w:pPr>
        <w:pStyle w:val="16"/>
        <w:spacing w:line="480" w:lineRule="auto"/>
        <w:jc w:val="left"/>
        <w:outlineLvl w:val="9"/>
        <w:rPr>
          <w:color w:val="auto"/>
          <w:sz w:val="24"/>
          <w:szCs w:val="24"/>
          <w:highlight w:val="none"/>
        </w:rPr>
      </w:pPr>
      <w:r>
        <w:rPr>
          <w:rFonts w:hint="eastAsia"/>
          <w:color w:val="auto"/>
          <w:sz w:val="24"/>
          <w:szCs w:val="24"/>
          <w:highlight w:val="none"/>
        </w:rPr>
        <w:t>一、磋商</w:t>
      </w:r>
      <w:r>
        <w:rPr>
          <w:rFonts w:hint="eastAsia"/>
          <w:color w:val="auto"/>
          <w:sz w:val="24"/>
          <w:szCs w:val="24"/>
          <w:highlight w:val="none"/>
          <w:lang w:val="en-US" w:eastAsia="zh-CN"/>
        </w:rPr>
        <w:t>响应</w:t>
      </w:r>
      <w:r>
        <w:rPr>
          <w:rFonts w:hint="eastAsia"/>
          <w:color w:val="auto"/>
          <w:sz w:val="24"/>
          <w:szCs w:val="24"/>
          <w:highlight w:val="none"/>
        </w:rPr>
        <w:t>函</w:t>
      </w:r>
    </w:p>
    <w:p>
      <w:pPr>
        <w:pStyle w:val="16"/>
        <w:spacing w:line="480" w:lineRule="auto"/>
        <w:jc w:val="left"/>
        <w:outlineLvl w:val="9"/>
        <w:rPr>
          <w:color w:val="auto"/>
          <w:sz w:val="24"/>
          <w:szCs w:val="24"/>
          <w:highlight w:val="none"/>
        </w:rPr>
      </w:pPr>
      <w:r>
        <w:rPr>
          <w:rFonts w:hint="eastAsia"/>
          <w:color w:val="auto"/>
          <w:sz w:val="24"/>
          <w:szCs w:val="24"/>
          <w:highlight w:val="none"/>
        </w:rPr>
        <w:t>二、</w:t>
      </w:r>
      <w:r>
        <w:rPr>
          <w:rFonts w:hint="eastAsia"/>
          <w:color w:val="auto"/>
          <w:sz w:val="24"/>
          <w:szCs w:val="24"/>
          <w:highlight w:val="none"/>
          <w:lang w:val="en-US" w:eastAsia="zh-CN"/>
        </w:rPr>
        <w:t>报价</w:t>
      </w:r>
      <w:r>
        <w:rPr>
          <w:rFonts w:hint="eastAsia"/>
          <w:color w:val="auto"/>
          <w:sz w:val="24"/>
          <w:szCs w:val="24"/>
          <w:highlight w:val="none"/>
        </w:rPr>
        <w:t>一览表</w:t>
      </w:r>
    </w:p>
    <w:p>
      <w:pPr>
        <w:pStyle w:val="16"/>
        <w:spacing w:line="480" w:lineRule="auto"/>
        <w:jc w:val="left"/>
        <w:outlineLvl w:val="9"/>
        <w:rPr>
          <w:rFonts w:hint="eastAsia"/>
          <w:color w:val="auto"/>
          <w:sz w:val="24"/>
          <w:szCs w:val="24"/>
          <w:highlight w:val="none"/>
        </w:rPr>
      </w:pPr>
      <w:r>
        <w:rPr>
          <w:rFonts w:hint="eastAsia"/>
          <w:color w:val="auto"/>
          <w:sz w:val="24"/>
          <w:szCs w:val="24"/>
          <w:highlight w:val="none"/>
        </w:rPr>
        <w:t>三、法定代表人身份证明</w:t>
      </w:r>
      <w:r>
        <w:rPr>
          <w:rFonts w:hint="eastAsia"/>
          <w:color w:val="auto"/>
          <w:sz w:val="24"/>
          <w:szCs w:val="24"/>
          <w:highlight w:val="none"/>
          <w:lang w:val="en-US" w:eastAsia="zh-CN"/>
        </w:rPr>
        <w:t>及法定代表人</w:t>
      </w:r>
      <w:r>
        <w:rPr>
          <w:rFonts w:hint="eastAsia"/>
          <w:color w:val="auto"/>
          <w:sz w:val="24"/>
          <w:szCs w:val="24"/>
          <w:highlight w:val="none"/>
        </w:rPr>
        <w:t>授权委托书</w:t>
      </w:r>
    </w:p>
    <w:p>
      <w:pPr>
        <w:pStyle w:val="16"/>
        <w:spacing w:line="480" w:lineRule="auto"/>
        <w:jc w:val="left"/>
        <w:outlineLvl w:val="9"/>
        <w:rPr>
          <w:rFonts w:hint="eastAsia"/>
          <w:color w:val="auto"/>
          <w:sz w:val="24"/>
          <w:szCs w:val="24"/>
          <w:highlight w:val="none"/>
        </w:rPr>
      </w:pPr>
      <w:r>
        <w:rPr>
          <w:rFonts w:hint="eastAsia"/>
          <w:color w:val="auto"/>
          <w:sz w:val="24"/>
          <w:szCs w:val="24"/>
          <w:highlight w:val="none"/>
        </w:rPr>
        <w:t>四、资格证明文件</w:t>
      </w:r>
    </w:p>
    <w:p>
      <w:pPr>
        <w:pStyle w:val="16"/>
        <w:spacing w:line="480" w:lineRule="auto"/>
        <w:jc w:val="left"/>
        <w:outlineLvl w:val="9"/>
        <w:rPr>
          <w:bCs/>
          <w:color w:val="auto"/>
          <w:sz w:val="24"/>
          <w:szCs w:val="24"/>
          <w:highlight w:val="none"/>
        </w:rPr>
      </w:pPr>
      <w:r>
        <w:rPr>
          <w:rFonts w:hint="eastAsia"/>
          <w:bCs/>
          <w:color w:val="auto"/>
          <w:sz w:val="24"/>
          <w:szCs w:val="24"/>
          <w:highlight w:val="none"/>
        </w:rPr>
        <w:t>五、商务部分</w:t>
      </w:r>
    </w:p>
    <w:p>
      <w:pPr>
        <w:pStyle w:val="16"/>
        <w:spacing w:line="480" w:lineRule="auto"/>
        <w:jc w:val="left"/>
        <w:outlineLvl w:val="9"/>
        <w:rPr>
          <w:bCs/>
          <w:color w:val="auto"/>
          <w:sz w:val="24"/>
          <w:szCs w:val="24"/>
          <w:highlight w:val="none"/>
        </w:rPr>
      </w:pPr>
      <w:r>
        <w:rPr>
          <w:rFonts w:hint="eastAsia"/>
          <w:bCs/>
          <w:color w:val="auto"/>
          <w:sz w:val="24"/>
          <w:szCs w:val="24"/>
          <w:highlight w:val="none"/>
        </w:rPr>
        <w:t>六、技术部分</w:t>
      </w:r>
    </w:p>
    <w:p>
      <w:pPr>
        <w:pStyle w:val="16"/>
        <w:spacing w:line="480" w:lineRule="auto"/>
        <w:jc w:val="left"/>
        <w:outlineLvl w:val="9"/>
        <w:rPr>
          <w:rFonts w:hint="eastAsia"/>
          <w:color w:val="auto"/>
          <w:sz w:val="24"/>
          <w:szCs w:val="24"/>
          <w:highlight w:val="none"/>
        </w:rPr>
      </w:pPr>
      <w:r>
        <w:rPr>
          <w:rFonts w:hint="eastAsia"/>
          <w:bCs/>
          <w:color w:val="auto"/>
          <w:sz w:val="24"/>
          <w:szCs w:val="24"/>
          <w:highlight w:val="none"/>
        </w:rPr>
        <w:t>七、其他材料</w:t>
      </w:r>
    </w:p>
    <w:p>
      <w:pPr>
        <w:outlineLvl w:val="9"/>
        <w:rPr>
          <w:color w:val="auto"/>
          <w:highlight w:val="none"/>
        </w:rPr>
      </w:pPr>
    </w:p>
    <w:p>
      <w:pPr>
        <w:outlineLvl w:val="9"/>
        <w:rPr>
          <w:rFonts w:hint="eastAsia"/>
          <w:color w:val="auto"/>
          <w:highlight w:val="none"/>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b/>
          <w:color w:val="auto"/>
          <w:sz w:val="36"/>
          <w:szCs w:val="36"/>
          <w:highlight w:val="none"/>
        </w:rPr>
      </w:pPr>
      <w:r>
        <w:rPr>
          <w:b/>
          <w:color w:val="auto"/>
          <w:sz w:val="30"/>
          <w:szCs w:val="30"/>
          <w:highlight w:val="none"/>
        </w:rPr>
        <w:br w:type="page"/>
      </w:r>
      <w:bookmarkStart w:id="71" w:name="_Toc75259381"/>
      <w:r>
        <w:rPr>
          <w:rFonts w:hint="eastAsia" w:ascii="宋体" w:hAnsi="宋体"/>
          <w:b/>
          <w:color w:val="auto"/>
          <w:sz w:val="32"/>
          <w:szCs w:val="24"/>
          <w:highlight w:val="none"/>
        </w:rPr>
        <w:t>一、磋商</w:t>
      </w:r>
      <w:r>
        <w:rPr>
          <w:rFonts w:hint="eastAsia" w:ascii="宋体" w:hAnsi="宋体"/>
          <w:b/>
          <w:color w:val="auto"/>
          <w:sz w:val="32"/>
          <w:szCs w:val="24"/>
          <w:highlight w:val="none"/>
          <w:lang w:val="en-US" w:eastAsia="zh-CN"/>
        </w:rPr>
        <w:t>响应</w:t>
      </w:r>
      <w:r>
        <w:rPr>
          <w:rFonts w:hint="eastAsia" w:ascii="宋体" w:hAnsi="宋体"/>
          <w:b/>
          <w:color w:val="auto"/>
          <w:sz w:val="32"/>
          <w:szCs w:val="24"/>
          <w:highlight w:val="none"/>
        </w:rPr>
        <w:t>函</w:t>
      </w:r>
      <w:bookmarkEnd w:id="71"/>
    </w:p>
    <w:p>
      <w:pPr>
        <w:pStyle w:val="16"/>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陕西轩鼎项目管理有限公司</w:t>
      </w:r>
      <w:r>
        <w:rPr>
          <w:rFonts w:hint="eastAsia" w:ascii="宋体" w:hAnsi="宋体" w:eastAsia="宋体" w:cs="宋体"/>
          <w:b/>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72" w:name="_Hlk74735128"/>
      <w:r>
        <w:rPr>
          <w:rFonts w:hint="eastAsia" w:ascii="宋体" w:hAnsi="宋体" w:eastAsia="宋体" w:cs="宋体"/>
          <w:color w:val="auto"/>
          <w:sz w:val="24"/>
          <w:szCs w:val="24"/>
          <w:highlight w:val="none"/>
        </w:rPr>
        <w:t>我单位收到贵公司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项目名称：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竞争性</w:t>
      </w:r>
      <w:r>
        <w:rPr>
          <w:rFonts w:hint="eastAsia" w:ascii="宋体" w:hAnsi="宋体" w:eastAsia="宋体" w:cs="宋体"/>
          <w:color w:val="auto"/>
          <w:sz w:val="24"/>
          <w:szCs w:val="24"/>
          <w:highlight w:val="none"/>
        </w:rPr>
        <w:t>磋商文件，经详细研究，我们决定参加本次磋商活动。为此，我方郑重声明以下诸点，并负法律责任。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一、愿意按照磋商文件中的要求，提供相应的技术服务，完成合同的责任和义务。</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二、按磋商文件的规定，我公司的第一次磋商报价为：人民币（大写）：</w:t>
      </w:r>
      <w:r>
        <w:rPr>
          <w:rFonts w:hint="eastAsia" w:ascii="仿宋_GB2312" w:hAnsi="仿宋_GB2312" w:eastAsia="仿宋_GB2312" w:cs="仿宋_GB2312"/>
          <w:color w:val="auto"/>
          <w:sz w:val="32"/>
          <w:szCs w:val="32"/>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元），并对其后的磋商报价负法律责任。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承诺遵守《中华人民共和国政府采购法》及其实施条例的有关规定，保证在获得成交资格后按照磋商文件确定的事项签订政府采购合同，履行双方所签订的合同，并承担合同规定的责任和义务，保证合同签订生效后</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四、我方提交的磋商响应文件正本一份、副本二份、电子版一份。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五、我方已详细阅读了磋商文件，并同意和放弃对磋商文件不明或误解而询问、质疑和投诉的权利。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后在规定的磋商有效期内撤回</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，我们愿接受有关处罚决定。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七、同意向贵方提供可能要求的，与本次磋商有关的任何证据或资料。我们完全理解最低磋商报价不作为成交的唯一条件，且尊重磋商小组的评审结论和成交结果。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八、我方的磋商响应文件在</w:t>
      </w:r>
      <w:r>
        <w:rPr>
          <w:rFonts w:hint="eastAsia" w:ascii="宋体" w:hAnsi="宋体" w:eastAsia="宋体" w:cs="宋体"/>
          <w:color w:val="auto"/>
          <w:sz w:val="24"/>
          <w:szCs w:val="24"/>
          <w:highlight w:val="none"/>
          <w:lang w:val="en-US" w:eastAsia="zh-CN"/>
        </w:rPr>
        <w:t>磋商开始</w:t>
      </w:r>
      <w:r>
        <w:rPr>
          <w:rFonts w:hint="eastAsia" w:ascii="宋体" w:hAnsi="宋体" w:eastAsia="宋体" w:cs="宋体"/>
          <w:color w:val="auto"/>
          <w:sz w:val="24"/>
          <w:szCs w:val="24"/>
          <w:highlight w:val="none"/>
        </w:rPr>
        <w:t>后有效期为90个日历天，若我方成交，磋商响应文件有效期自动延长至合同执行完毕。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九、有关于本响应文件的函电，请按下列地址联系。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仿宋"/>
          <w:b/>
          <w:bCs/>
          <w:color w:val="auto"/>
          <w:sz w:val="24"/>
          <w:szCs w:val="24"/>
          <w:highlight w:val="none"/>
        </w:rPr>
      </w:pPr>
      <w:r>
        <w:rPr>
          <w:rFonts w:hint="eastAsia" w:ascii="宋体" w:hAnsi="宋体" w:cs="仿宋"/>
          <w:color w:val="auto"/>
          <w:sz w:val="24"/>
          <w:szCs w:val="24"/>
          <w:highlight w:val="none"/>
        </w:rPr>
        <w:t xml:space="preserve">                             </w:t>
      </w:r>
      <w:r>
        <w:rPr>
          <w:rFonts w:hint="eastAsia" w:ascii="宋体" w:hAnsi="宋体" w:cs="仿宋"/>
          <w:color w:val="auto"/>
          <w:sz w:val="24"/>
          <w:szCs w:val="24"/>
          <w:highlight w:val="none"/>
          <w:lang w:val="en-US" w:eastAsia="zh-CN"/>
        </w:rPr>
        <w:t xml:space="preserve">                </w:t>
      </w:r>
      <w:r>
        <w:rPr>
          <w:rFonts w:hint="eastAsia" w:ascii="宋体" w:hAnsi="宋体" w:cs="仿宋"/>
          <w:color w:val="auto"/>
          <w:sz w:val="24"/>
          <w:szCs w:val="24"/>
          <w:highlight w:val="none"/>
        </w:rPr>
        <w:t xml:space="preserve"> 年    月    日</w:t>
      </w:r>
    </w:p>
    <w:bookmarkEnd w:id="72"/>
    <w:p>
      <w:pPr>
        <w:widowControl/>
        <w:spacing w:line="360" w:lineRule="auto"/>
        <w:jc w:val="center"/>
        <w:outlineLvl w:val="9"/>
        <w:rPr>
          <w:rFonts w:ascii="宋体" w:hAnsi="宋体"/>
          <w:b/>
          <w:color w:val="auto"/>
          <w:sz w:val="32"/>
          <w:szCs w:val="24"/>
          <w:highlight w:val="none"/>
        </w:rPr>
      </w:pPr>
      <w:r>
        <w:rPr>
          <w:rFonts w:ascii="宋体" w:hAnsi="宋体"/>
          <w:b/>
          <w:color w:val="auto"/>
          <w:sz w:val="32"/>
          <w:szCs w:val="24"/>
          <w:highlight w:val="none"/>
        </w:rPr>
        <w:br w:type="page"/>
      </w:r>
      <w:bookmarkStart w:id="73" w:name="_Toc75259382"/>
      <w:r>
        <w:rPr>
          <w:rFonts w:hint="eastAsia" w:ascii="宋体" w:hAnsi="宋体"/>
          <w:b/>
          <w:color w:val="auto"/>
          <w:sz w:val="32"/>
          <w:szCs w:val="24"/>
          <w:highlight w:val="none"/>
        </w:rPr>
        <w:t>二、</w:t>
      </w:r>
      <w:r>
        <w:rPr>
          <w:rFonts w:hint="eastAsia" w:ascii="宋体" w:hAnsi="宋体"/>
          <w:b/>
          <w:color w:val="auto"/>
          <w:sz w:val="32"/>
          <w:szCs w:val="24"/>
          <w:highlight w:val="none"/>
          <w:lang w:val="en-US" w:eastAsia="zh-CN"/>
        </w:rPr>
        <w:t>报价</w:t>
      </w:r>
      <w:r>
        <w:rPr>
          <w:rFonts w:hint="eastAsia" w:ascii="宋体" w:hAnsi="宋体"/>
          <w:b/>
          <w:color w:val="auto"/>
          <w:sz w:val="32"/>
          <w:szCs w:val="24"/>
          <w:highlight w:val="none"/>
        </w:rPr>
        <w:t>一览表</w:t>
      </w:r>
      <w:bookmarkEnd w:id="73"/>
    </w:p>
    <w:p>
      <w:pPr>
        <w:jc w:val="center"/>
        <w:outlineLvl w:val="9"/>
        <w:rPr>
          <w:color w:val="auto"/>
          <w:highlight w:val="none"/>
        </w:rPr>
      </w:pPr>
    </w:p>
    <w:p>
      <w:pPr>
        <w:jc w:val="center"/>
        <w:outlineLvl w:val="9"/>
        <w:rPr>
          <w:rFonts w:hint="eastAsia"/>
          <w:color w:val="auto"/>
          <w:highlight w:val="none"/>
        </w:rPr>
      </w:pPr>
    </w:p>
    <w:tbl>
      <w:tblPr>
        <w:tblStyle w:val="20"/>
        <w:tblW w:w="90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7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jc w:val="center"/>
        </w:trPr>
        <w:tc>
          <w:tcPr>
            <w:tcW w:w="2055" w:type="dxa"/>
            <w:vAlign w:val="center"/>
          </w:tcPr>
          <w:p>
            <w:pPr>
              <w:jc w:val="center"/>
              <w:outlineLvl w:val="9"/>
              <w:rPr>
                <w:rFonts w:hint="eastAsia" w:ascii="Times New Roman" w:hAnsi="Times New Roman" w:cs="宋体"/>
                <w:color w:val="auto"/>
                <w:sz w:val="24"/>
                <w:szCs w:val="24"/>
                <w:highlight w:val="none"/>
              </w:rPr>
            </w:pPr>
            <w:r>
              <w:rPr>
                <w:rFonts w:hint="eastAsia" w:ascii="宋体" w:hAnsi="宋体" w:cs="宋体"/>
                <w:color w:val="auto"/>
                <w:sz w:val="24"/>
                <w:szCs w:val="24"/>
                <w:highlight w:val="none"/>
              </w:rPr>
              <w:t xml:space="preserve"> </w:t>
            </w:r>
            <w:r>
              <w:rPr>
                <w:rFonts w:hint="eastAsia" w:ascii="Times New Roman" w:hAnsi="Times New Roman" w:cs="宋体"/>
                <w:color w:val="auto"/>
                <w:sz w:val="24"/>
                <w:szCs w:val="24"/>
                <w:highlight w:val="none"/>
              </w:rPr>
              <w:t>项目名称</w:t>
            </w:r>
          </w:p>
        </w:tc>
        <w:tc>
          <w:tcPr>
            <w:tcW w:w="7042" w:type="dxa"/>
            <w:vAlign w:val="center"/>
          </w:tcPr>
          <w:p>
            <w:pPr>
              <w:outlineLvl w:val="9"/>
              <w:rPr>
                <w:rFonts w:hint="eastAsia" w:ascii="Times New Roman" w:hAnsi="Times New Roman" w:cs="宋体" w:eastAsiaTheme="minorEastAsia"/>
                <w:color w:val="auto"/>
                <w:sz w:val="24"/>
                <w:szCs w:val="24"/>
                <w:highlight w:val="none"/>
                <w:lang w:eastAsia="zh-CN"/>
              </w:rPr>
            </w:pPr>
            <w:r>
              <w:rPr>
                <w:rFonts w:hint="eastAsia" w:ascii="Times New Roman" w:hAnsi="Times New Roman" w:cs="宋体"/>
                <w:color w:val="auto"/>
                <w:sz w:val="24"/>
                <w:szCs w:val="24"/>
                <w:highlight w:val="none"/>
                <w:lang w:eastAsia="zh-CN"/>
              </w:rPr>
              <w:t>延安市黄龙山国有林管理局2023年国家重点野生动植物保护项目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jc w:val="center"/>
        </w:trPr>
        <w:tc>
          <w:tcPr>
            <w:tcW w:w="2055" w:type="dxa"/>
            <w:vAlign w:val="center"/>
          </w:tcPr>
          <w:p>
            <w:pPr>
              <w:jc w:val="center"/>
              <w:outlineLvl w:val="9"/>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磋商总报价（元）</w:t>
            </w:r>
          </w:p>
        </w:tc>
        <w:tc>
          <w:tcPr>
            <w:tcW w:w="7042" w:type="dxa"/>
            <w:vAlign w:val="center"/>
          </w:tcPr>
          <w:p>
            <w:pPr>
              <w:jc w:val="left"/>
              <w:outlineLvl w:val="9"/>
              <w:rPr>
                <w:rFonts w:ascii="Times New Roman" w:hAnsi="Times New Roman"/>
                <w:color w:val="auto"/>
                <w:sz w:val="24"/>
                <w:szCs w:val="24"/>
                <w:highlight w:val="none"/>
              </w:rPr>
            </w:pPr>
            <w:r>
              <w:rPr>
                <w:rFonts w:hint="eastAsia" w:ascii="Times New Roman" w:hAnsi="Times New Roman" w:cs="宋体"/>
                <w:color w:val="auto"/>
                <w:sz w:val="24"/>
                <w:szCs w:val="24"/>
                <w:highlight w:val="none"/>
              </w:rPr>
              <w:t>大写：</w:t>
            </w:r>
          </w:p>
          <w:p>
            <w:pPr>
              <w:outlineLvl w:val="9"/>
              <w:rPr>
                <w:rFonts w:hint="eastAsia" w:ascii="Times New Roman" w:hAnsi="Times New Roman" w:cs="宋体"/>
                <w:color w:val="auto"/>
                <w:sz w:val="24"/>
                <w:szCs w:val="24"/>
                <w:highlight w:val="none"/>
                <w:u w:val="single"/>
              </w:rPr>
            </w:pPr>
            <w:r>
              <w:rPr>
                <w:rFonts w:hint="eastAsia" w:ascii="Times New Roman" w:hAnsi="Times New Roman"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jc w:val="center"/>
        </w:trPr>
        <w:tc>
          <w:tcPr>
            <w:tcW w:w="2055" w:type="dxa"/>
            <w:vAlign w:val="center"/>
          </w:tcPr>
          <w:p>
            <w:pPr>
              <w:jc w:val="center"/>
              <w:outlineLvl w:val="9"/>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u w:val="none"/>
                <w:lang w:val="en-US" w:eastAsia="zh-CN"/>
              </w:rPr>
              <w:t>服务</w:t>
            </w:r>
            <w:r>
              <w:rPr>
                <w:rFonts w:hint="eastAsia" w:ascii="Times New Roman" w:hAnsi="Times New Roman" w:cs="宋体"/>
                <w:color w:val="auto"/>
                <w:sz w:val="24"/>
                <w:szCs w:val="24"/>
                <w:highlight w:val="none"/>
                <w:u w:val="none"/>
              </w:rPr>
              <w:t>期</w:t>
            </w:r>
          </w:p>
        </w:tc>
        <w:tc>
          <w:tcPr>
            <w:tcW w:w="7042" w:type="dxa"/>
            <w:vAlign w:val="center"/>
          </w:tcPr>
          <w:p>
            <w:pPr>
              <w:jc w:val="left"/>
              <w:outlineLvl w:val="9"/>
              <w:rPr>
                <w:rFonts w:hint="eastAsia" w:ascii="Times New Roman" w:hAnsi="Times New Roman"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jc w:val="center"/>
        </w:trPr>
        <w:tc>
          <w:tcPr>
            <w:tcW w:w="2055" w:type="dxa"/>
            <w:vAlign w:val="center"/>
          </w:tcPr>
          <w:p>
            <w:pPr>
              <w:snapToGrid w:val="0"/>
              <w:jc w:val="center"/>
              <w:outlineLvl w:val="9"/>
              <w:rPr>
                <w:rFonts w:hint="eastAsia" w:ascii="Times New Roman" w:hAnsi="Times New Roman" w:cs="宋体"/>
                <w:color w:val="auto"/>
                <w:sz w:val="24"/>
                <w:szCs w:val="24"/>
                <w:highlight w:val="none"/>
              </w:rPr>
            </w:pPr>
            <w:r>
              <w:rPr>
                <w:rFonts w:hint="eastAsia" w:ascii="Times New Roman" w:hAnsi="Times New Roman"/>
                <w:color w:val="auto"/>
                <w:sz w:val="24"/>
                <w:szCs w:val="24"/>
                <w:highlight w:val="none"/>
              </w:rPr>
              <w:t>其他说明事项</w:t>
            </w:r>
          </w:p>
        </w:tc>
        <w:tc>
          <w:tcPr>
            <w:tcW w:w="7042" w:type="dxa"/>
            <w:vAlign w:val="center"/>
          </w:tcPr>
          <w:p>
            <w:pPr>
              <w:snapToGrid w:val="0"/>
              <w:jc w:val="center"/>
              <w:outlineLvl w:val="9"/>
              <w:rPr>
                <w:rFonts w:hint="eastAsia" w:ascii="Times New Roman" w:hAnsi="Times New Roman" w:cs="宋体"/>
                <w:color w:val="auto"/>
                <w:sz w:val="24"/>
                <w:szCs w:val="24"/>
                <w:highlight w:val="none"/>
              </w:rPr>
            </w:pPr>
          </w:p>
        </w:tc>
      </w:tr>
    </w:tbl>
    <w:p>
      <w:pPr>
        <w:spacing w:line="360" w:lineRule="auto"/>
        <w:outlineLvl w:val="9"/>
        <w:rPr>
          <w:color w:val="auto"/>
          <w:highlight w:val="none"/>
        </w:rPr>
      </w:pPr>
    </w:p>
    <w:p>
      <w:pPr>
        <w:outlineLvl w:val="9"/>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法定代表人或授权代表（签字</w:t>
      </w:r>
      <w:r>
        <w:rPr>
          <w:rFonts w:hint="eastAsia" w:asciiTheme="minorEastAsia" w:hAnsiTheme="minorEastAsia" w:eastAsiaTheme="minorEastAsia" w:cstheme="minorEastAsia"/>
          <w:color w:val="auto"/>
          <w:sz w:val="24"/>
          <w:szCs w:val="24"/>
          <w:highlight w:val="none"/>
          <w:lang w:eastAsia="zh-CN"/>
        </w:rPr>
        <w:t>或盖章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spacing w:line="360" w:lineRule="auto"/>
        <w:ind w:firstLine="1050" w:firstLineChars="500"/>
        <w:outlineLvl w:val="9"/>
        <w:rPr>
          <w:rFonts w:ascii="宋体" w:hAnsi="宋体" w:cs="宋体"/>
          <w:color w:val="auto"/>
          <w:szCs w:val="24"/>
          <w:highlight w:val="none"/>
        </w:rPr>
      </w:pP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outlineLvl w:val="9"/>
        <w:rPr>
          <w:rFonts w:hint="eastAsia" w:cs="宋体"/>
          <w:b/>
          <w:color w:val="auto"/>
          <w:sz w:val="32"/>
          <w:szCs w:val="32"/>
          <w:highlight w:val="none"/>
          <w:lang w:val="en-US" w:eastAsia="zh-CN"/>
        </w:rPr>
      </w:pPr>
      <w:r>
        <w:rPr>
          <w:color w:val="auto"/>
          <w:highlight w:val="none"/>
        </w:rPr>
        <w:br w:type="page"/>
      </w:r>
    </w:p>
    <w:p>
      <w:pPr>
        <w:jc w:val="center"/>
        <w:outlineLvl w:val="9"/>
        <w:rPr>
          <w:rFonts w:hint="eastAsia" w:cs="宋体"/>
          <w:b/>
          <w:color w:val="auto"/>
          <w:sz w:val="32"/>
          <w:szCs w:val="32"/>
          <w:highlight w:val="none"/>
          <w:lang w:val="en-US" w:eastAsia="zh-CN"/>
        </w:rPr>
      </w:pPr>
      <w:r>
        <w:rPr>
          <w:rFonts w:hint="eastAsia" w:cs="宋体"/>
          <w:b/>
          <w:color w:val="auto"/>
          <w:sz w:val="32"/>
          <w:szCs w:val="32"/>
          <w:highlight w:val="none"/>
          <w:lang w:val="en-US" w:eastAsia="zh-CN"/>
        </w:rPr>
        <w:t>分项报价表</w:t>
      </w:r>
    </w:p>
    <w:tbl>
      <w:tblPr>
        <w:tblStyle w:val="21"/>
        <w:tblW w:w="9615"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9"/>
        <w:gridCol w:w="1037"/>
        <w:gridCol w:w="1037"/>
        <w:gridCol w:w="1242"/>
        <w:gridCol w:w="821"/>
        <w:gridCol w:w="1189"/>
        <w:gridCol w:w="96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cstheme="minorEastAsia"/>
                <w:color w:val="auto"/>
                <w:sz w:val="24"/>
                <w:szCs w:val="24"/>
                <w:highlight w:val="none"/>
                <w:vertAlign w:val="baseline"/>
                <w:lang w:val="en-US" w:eastAsia="zh-CN"/>
              </w:rPr>
              <w:t>序号</w:t>
            </w:r>
          </w:p>
        </w:tc>
        <w:tc>
          <w:tcPr>
            <w:tcW w:w="188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sz w:val="24"/>
                <w:szCs w:val="24"/>
                <w:highlight w:val="none"/>
                <w:vertAlign w:val="baseline"/>
                <w:lang w:eastAsia="zh-CN"/>
              </w:rPr>
            </w:pPr>
            <w:r>
              <w:rPr>
                <w:rFonts w:hint="eastAsia" w:asciiTheme="minorEastAsia" w:hAnsiTheme="minorEastAsia" w:cstheme="minorEastAsia"/>
                <w:color w:val="auto"/>
                <w:sz w:val="24"/>
                <w:szCs w:val="24"/>
                <w:highlight w:val="none"/>
                <w:vertAlign w:val="baseline"/>
                <w:lang w:eastAsia="zh-CN"/>
              </w:rPr>
              <w:t>项目内容</w:t>
            </w: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sz w:val="24"/>
                <w:szCs w:val="24"/>
                <w:highlight w:val="none"/>
                <w:vertAlign w:val="baseline"/>
                <w:lang w:eastAsia="zh-CN"/>
              </w:rPr>
            </w:pPr>
            <w:r>
              <w:rPr>
                <w:rFonts w:hint="eastAsia" w:asciiTheme="minorEastAsia" w:hAnsiTheme="minorEastAsia" w:cstheme="minorEastAsia"/>
                <w:color w:val="auto"/>
                <w:sz w:val="24"/>
                <w:szCs w:val="24"/>
                <w:highlight w:val="none"/>
                <w:vertAlign w:val="baseline"/>
                <w:lang w:eastAsia="zh-CN"/>
              </w:rPr>
              <w:t>品牌</w:t>
            </w: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sz w:val="24"/>
                <w:szCs w:val="24"/>
                <w:highlight w:val="none"/>
                <w:vertAlign w:val="baseline"/>
                <w:lang w:eastAsia="zh-CN"/>
              </w:rPr>
            </w:pPr>
            <w:r>
              <w:rPr>
                <w:rFonts w:hint="eastAsia" w:asciiTheme="minorEastAsia" w:hAnsiTheme="minorEastAsia" w:cstheme="minorEastAsia"/>
                <w:color w:val="auto"/>
                <w:sz w:val="24"/>
                <w:szCs w:val="24"/>
                <w:highlight w:val="none"/>
                <w:vertAlign w:val="baseline"/>
                <w:lang w:eastAsia="zh-CN"/>
              </w:rPr>
              <w:t>型号及规格</w:t>
            </w: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sz w:val="24"/>
                <w:szCs w:val="24"/>
                <w:highlight w:val="none"/>
                <w:vertAlign w:val="baseline"/>
                <w:lang w:eastAsia="zh-CN"/>
              </w:rPr>
            </w:pPr>
            <w:r>
              <w:rPr>
                <w:rFonts w:hint="eastAsia" w:asciiTheme="minorEastAsia" w:hAnsiTheme="minorEastAsia" w:cstheme="minorEastAsia"/>
                <w:color w:val="auto"/>
                <w:sz w:val="24"/>
                <w:szCs w:val="24"/>
                <w:highlight w:val="none"/>
                <w:vertAlign w:val="baseline"/>
                <w:lang w:eastAsia="zh-CN"/>
              </w:rPr>
              <w:t>技术参数</w:t>
            </w:r>
          </w:p>
        </w:tc>
        <w:tc>
          <w:tcPr>
            <w:tcW w:w="82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sz w:val="24"/>
                <w:szCs w:val="24"/>
                <w:highlight w:val="none"/>
                <w:vertAlign w:val="baseline"/>
                <w:lang w:eastAsia="zh-CN"/>
              </w:rPr>
            </w:pPr>
            <w:r>
              <w:rPr>
                <w:rFonts w:hint="eastAsia" w:asciiTheme="minorEastAsia" w:hAnsiTheme="minorEastAsia" w:cstheme="minorEastAsia"/>
                <w:color w:val="auto"/>
                <w:sz w:val="24"/>
                <w:szCs w:val="24"/>
                <w:highlight w:val="none"/>
                <w:vertAlign w:val="baseline"/>
                <w:lang w:eastAsia="zh-CN"/>
              </w:rPr>
              <w:t>单位</w:t>
            </w:r>
          </w:p>
        </w:tc>
        <w:tc>
          <w:tcPr>
            <w:tcW w:w="118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sz w:val="24"/>
                <w:szCs w:val="24"/>
                <w:highlight w:val="none"/>
                <w:vertAlign w:val="baseline"/>
                <w:lang w:eastAsia="zh-CN"/>
              </w:rPr>
            </w:pPr>
            <w:r>
              <w:rPr>
                <w:rFonts w:hint="eastAsia" w:asciiTheme="minorEastAsia" w:hAnsiTheme="minorEastAsia" w:cstheme="minorEastAsia"/>
                <w:color w:val="auto"/>
                <w:sz w:val="24"/>
                <w:szCs w:val="24"/>
                <w:highlight w:val="none"/>
                <w:vertAlign w:val="baseline"/>
                <w:lang w:eastAsia="zh-CN"/>
              </w:rPr>
              <w:t>数量</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cstheme="minorEastAsia"/>
                <w:color w:val="auto"/>
                <w:sz w:val="24"/>
                <w:szCs w:val="24"/>
                <w:highlight w:val="none"/>
                <w:vertAlign w:val="baseline"/>
                <w:lang w:eastAsia="zh-CN"/>
              </w:rPr>
            </w:pPr>
            <w:r>
              <w:rPr>
                <w:rFonts w:hint="eastAsia" w:asciiTheme="minorEastAsia" w:hAnsiTheme="minorEastAsia" w:cstheme="minorEastAsia"/>
                <w:color w:val="auto"/>
                <w:sz w:val="24"/>
                <w:szCs w:val="24"/>
                <w:highlight w:val="none"/>
                <w:vertAlign w:val="baseline"/>
                <w:lang w:eastAsia="zh-CN"/>
              </w:rPr>
              <w:t>单价（元）</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cstheme="minorEastAsia"/>
                <w:color w:val="auto"/>
                <w:sz w:val="24"/>
                <w:szCs w:val="24"/>
                <w:highlight w:val="none"/>
                <w:vertAlign w:val="baseline"/>
                <w:lang w:eastAsia="zh-CN"/>
              </w:rPr>
            </w:pPr>
            <w:r>
              <w:rPr>
                <w:rFonts w:hint="eastAsia" w:asciiTheme="minorEastAsia" w:hAnsiTheme="minorEastAsia" w:cstheme="minorEastAsia"/>
                <w:color w:val="auto"/>
                <w:sz w:val="24"/>
                <w:szCs w:val="24"/>
                <w:highlight w:val="none"/>
                <w:vertAlign w:val="baseline"/>
                <w:lang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540" w:type="dxa"/>
            <w:vAlign w:val="center"/>
          </w:tcPr>
          <w:p>
            <w:pPr>
              <w:jc w:val="center"/>
              <w:outlineLvl w:val="9"/>
              <w:rPr>
                <w:rFonts w:hint="eastAsia" w:ascii="Times New Roman" w:hAnsi="Times New Roman"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1</w:t>
            </w:r>
          </w:p>
        </w:tc>
        <w:tc>
          <w:tcPr>
            <w:tcW w:w="1889" w:type="dxa"/>
            <w:vAlign w:val="center"/>
          </w:tcPr>
          <w:p>
            <w:pPr>
              <w:jc w:val="center"/>
              <w:outlineLvl w:val="9"/>
              <w:rPr>
                <w:rFonts w:hint="eastAsia" w:ascii="Times New Roman" w:hAnsi="Times New Roman" w:cs="宋体"/>
                <w:color w:val="auto"/>
                <w:sz w:val="24"/>
                <w:szCs w:val="24"/>
                <w:highlight w:val="none"/>
                <w:lang w:eastAsia="zh-CN"/>
              </w:rPr>
            </w:pPr>
            <w:r>
              <w:rPr>
                <w:rFonts w:hint="eastAsia" w:ascii="Times New Roman" w:hAnsi="Times New Roman" w:cs="宋体"/>
                <w:color w:val="auto"/>
                <w:sz w:val="24"/>
                <w:szCs w:val="24"/>
                <w:highlight w:val="none"/>
                <w:lang w:eastAsia="zh-CN"/>
              </w:rPr>
              <w:t>红外感应相机</w:t>
            </w:r>
          </w:p>
        </w:tc>
        <w:tc>
          <w:tcPr>
            <w:tcW w:w="1037" w:type="dxa"/>
            <w:vAlign w:val="center"/>
          </w:tcPr>
          <w:p>
            <w:pPr>
              <w:jc w:val="center"/>
              <w:outlineLvl w:val="9"/>
              <w:rPr>
                <w:rFonts w:hint="eastAsia" w:ascii="Times New Roman" w:hAnsi="Times New Roman" w:cs="宋体"/>
                <w:color w:val="auto"/>
                <w:sz w:val="24"/>
                <w:szCs w:val="24"/>
                <w:highlight w:val="none"/>
                <w:lang w:eastAsia="zh-CN"/>
              </w:rPr>
            </w:pPr>
          </w:p>
        </w:tc>
        <w:tc>
          <w:tcPr>
            <w:tcW w:w="1037" w:type="dxa"/>
            <w:vAlign w:val="center"/>
          </w:tcPr>
          <w:p>
            <w:pPr>
              <w:jc w:val="center"/>
              <w:outlineLvl w:val="9"/>
              <w:rPr>
                <w:rFonts w:hint="eastAsia" w:ascii="Times New Roman" w:hAnsi="Times New Roman" w:cs="宋体"/>
                <w:color w:val="auto"/>
                <w:sz w:val="24"/>
                <w:szCs w:val="24"/>
                <w:highlight w:val="none"/>
                <w:lang w:eastAsia="zh-CN"/>
              </w:rPr>
            </w:pPr>
          </w:p>
        </w:tc>
        <w:tc>
          <w:tcPr>
            <w:tcW w:w="1242" w:type="dxa"/>
            <w:vAlign w:val="center"/>
          </w:tcPr>
          <w:p>
            <w:pPr>
              <w:jc w:val="center"/>
              <w:outlineLvl w:val="9"/>
              <w:rPr>
                <w:rFonts w:hint="eastAsia" w:ascii="Times New Roman" w:hAnsi="Times New Roman" w:cs="宋体"/>
                <w:color w:val="auto"/>
                <w:sz w:val="24"/>
                <w:szCs w:val="24"/>
                <w:highlight w:val="none"/>
                <w:lang w:eastAsia="zh-CN"/>
              </w:rPr>
            </w:pPr>
          </w:p>
        </w:tc>
        <w:tc>
          <w:tcPr>
            <w:tcW w:w="821" w:type="dxa"/>
            <w:vAlign w:val="center"/>
          </w:tcPr>
          <w:p>
            <w:pPr>
              <w:jc w:val="center"/>
              <w:outlineLvl w:val="9"/>
              <w:rPr>
                <w:rFonts w:hint="eastAsia" w:ascii="Times New Roman" w:hAnsi="Times New Roman" w:cs="宋体"/>
                <w:color w:val="auto"/>
                <w:sz w:val="24"/>
                <w:szCs w:val="24"/>
                <w:highlight w:val="none"/>
                <w:lang w:eastAsia="zh-CN"/>
              </w:rPr>
            </w:pPr>
            <w:r>
              <w:rPr>
                <w:rFonts w:hint="eastAsia" w:ascii="Times New Roman" w:hAnsi="Times New Roman" w:cs="宋体"/>
                <w:color w:val="auto"/>
                <w:sz w:val="24"/>
                <w:szCs w:val="24"/>
                <w:highlight w:val="none"/>
                <w:lang w:eastAsia="zh-CN"/>
              </w:rPr>
              <w:t>套</w:t>
            </w:r>
          </w:p>
        </w:tc>
        <w:tc>
          <w:tcPr>
            <w:tcW w:w="1189" w:type="dxa"/>
            <w:vAlign w:val="center"/>
          </w:tcPr>
          <w:p>
            <w:pPr>
              <w:jc w:val="center"/>
              <w:outlineLvl w:val="9"/>
              <w:rPr>
                <w:rFonts w:hint="eastAsia" w:ascii="Times New Roman" w:hAnsi="Times New Roman" w:cs="宋体"/>
                <w:color w:val="auto"/>
                <w:sz w:val="24"/>
                <w:szCs w:val="24"/>
                <w:highlight w:val="none"/>
                <w:lang w:eastAsia="zh-CN"/>
              </w:rPr>
            </w:pPr>
            <w:r>
              <w:rPr>
                <w:rFonts w:hint="eastAsia" w:ascii="Times New Roman" w:hAnsi="Times New Roman" w:cs="宋体"/>
                <w:color w:val="auto"/>
                <w:sz w:val="24"/>
                <w:szCs w:val="24"/>
                <w:highlight w:val="none"/>
                <w:lang w:eastAsia="zh-CN"/>
              </w:rPr>
              <w:t>6</w:t>
            </w:r>
          </w:p>
        </w:tc>
        <w:tc>
          <w:tcPr>
            <w:tcW w:w="960" w:type="dxa"/>
            <w:vAlign w:val="center"/>
          </w:tcPr>
          <w:p>
            <w:pPr>
              <w:jc w:val="center"/>
              <w:outlineLvl w:val="9"/>
              <w:rPr>
                <w:rFonts w:hint="eastAsia" w:ascii="Times New Roman" w:hAnsi="Times New Roman" w:cs="宋体"/>
                <w:color w:val="auto"/>
                <w:sz w:val="24"/>
                <w:szCs w:val="24"/>
                <w:highlight w:val="none"/>
                <w:lang w:eastAsia="zh-CN"/>
              </w:rPr>
            </w:pPr>
          </w:p>
        </w:tc>
        <w:tc>
          <w:tcPr>
            <w:tcW w:w="900" w:type="dxa"/>
            <w:vAlign w:val="center"/>
          </w:tcPr>
          <w:p>
            <w:pPr>
              <w:jc w:val="center"/>
              <w:outlineLvl w:val="9"/>
              <w:rPr>
                <w:rFonts w:hint="eastAsia" w:ascii="Times New Roman" w:hAnsi="Times New Roman"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540" w:type="dxa"/>
            <w:vAlign w:val="center"/>
          </w:tcPr>
          <w:p>
            <w:pPr>
              <w:jc w:val="center"/>
              <w:outlineLvl w:val="9"/>
              <w:rPr>
                <w:rFonts w:hint="eastAsia" w:ascii="Times New Roman" w:hAnsi="Times New Roman"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2</w:t>
            </w:r>
          </w:p>
        </w:tc>
        <w:tc>
          <w:tcPr>
            <w:tcW w:w="1889" w:type="dxa"/>
            <w:vAlign w:val="center"/>
          </w:tcPr>
          <w:p>
            <w:pPr>
              <w:spacing w:line="360" w:lineRule="auto"/>
              <w:jc w:val="center"/>
              <w:outlineLvl w:val="9"/>
              <w:rPr>
                <w:rFonts w:hint="eastAsia" w:ascii="Times New Roman" w:hAnsi="Times New Roman" w:cs="宋体"/>
                <w:color w:val="auto"/>
                <w:sz w:val="24"/>
                <w:szCs w:val="24"/>
                <w:highlight w:val="none"/>
                <w:lang w:eastAsia="zh-CN"/>
              </w:rPr>
            </w:pPr>
            <w:r>
              <w:rPr>
                <w:rFonts w:hint="eastAsia" w:ascii="Times New Roman" w:hAnsi="Times New Roman" w:cs="宋体"/>
                <w:color w:val="auto"/>
                <w:sz w:val="24"/>
                <w:szCs w:val="24"/>
                <w:highlight w:val="none"/>
                <w:lang w:eastAsia="zh-CN"/>
              </w:rPr>
              <w:t>野外应急救助物资包</w:t>
            </w:r>
          </w:p>
        </w:tc>
        <w:tc>
          <w:tcPr>
            <w:tcW w:w="1037" w:type="dxa"/>
            <w:vAlign w:val="center"/>
          </w:tcPr>
          <w:p>
            <w:pPr>
              <w:jc w:val="center"/>
              <w:outlineLvl w:val="9"/>
              <w:rPr>
                <w:rFonts w:hint="eastAsia" w:ascii="Times New Roman" w:hAnsi="Times New Roman" w:cs="宋体"/>
                <w:color w:val="auto"/>
                <w:sz w:val="24"/>
                <w:szCs w:val="24"/>
                <w:highlight w:val="none"/>
                <w:lang w:eastAsia="zh-CN"/>
              </w:rPr>
            </w:pPr>
          </w:p>
        </w:tc>
        <w:tc>
          <w:tcPr>
            <w:tcW w:w="1037" w:type="dxa"/>
            <w:vAlign w:val="center"/>
          </w:tcPr>
          <w:p>
            <w:pPr>
              <w:jc w:val="center"/>
              <w:outlineLvl w:val="9"/>
              <w:rPr>
                <w:rFonts w:hint="eastAsia" w:ascii="Times New Roman" w:hAnsi="Times New Roman" w:cs="宋体"/>
                <w:color w:val="auto"/>
                <w:sz w:val="24"/>
                <w:szCs w:val="24"/>
                <w:highlight w:val="none"/>
                <w:lang w:eastAsia="zh-CN"/>
              </w:rPr>
            </w:pPr>
          </w:p>
        </w:tc>
        <w:tc>
          <w:tcPr>
            <w:tcW w:w="1242" w:type="dxa"/>
            <w:vAlign w:val="center"/>
          </w:tcPr>
          <w:p>
            <w:pPr>
              <w:jc w:val="center"/>
              <w:outlineLvl w:val="9"/>
              <w:rPr>
                <w:rFonts w:hint="eastAsia" w:ascii="Times New Roman" w:hAnsi="Times New Roman" w:cs="宋体"/>
                <w:color w:val="auto"/>
                <w:sz w:val="24"/>
                <w:szCs w:val="24"/>
                <w:highlight w:val="none"/>
                <w:lang w:eastAsia="zh-CN"/>
              </w:rPr>
            </w:pPr>
          </w:p>
        </w:tc>
        <w:tc>
          <w:tcPr>
            <w:tcW w:w="821" w:type="dxa"/>
            <w:vAlign w:val="center"/>
          </w:tcPr>
          <w:p>
            <w:pPr>
              <w:jc w:val="center"/>
              <w:outlineLvl w:val="9"/>
              <w:rPr>
                <w:rFonts w:hint="eastAsia" w:ascii="Times New Roman" w:hAnsi="Times New Roman" w:cs="宋体"/>
                <w:color w:val="auto"/>
                <w:sz w:val="24"/>
                <w:szCs w:val="24"/>
                <w:highlight w:val="none"/>
                <w:lang w:eastAsia="zh-CN"/>
              </w:rPr>
            </w:pPr>
            <w:r>
              <w:rPr>
                <w:rFonts w:hint="eastAsia" w:ascii="Times New Roman" w:hAnsi="Times New Roman" w:cs="宋体"/>
                <w:color w:val="auto"/>
                <w:sz w:val="24"/>
                <w:szCs w:val="24"/>
                <w:highlight w:val="none"/>
                <w:lang w:eastAsia="zh-CN"/>
              </w:rPr>
              <w:t>套</w:t>
            </w:r>
          </w:p>
        </w:tc>
        <w:tc>
          <w:tcPr>
            <w:tcW w:w="1189" w:type="dxa"/>
            <w:vAlign w:val="center"/>
          </w:tcPr>
          <w:p>
            <w:pPr>
              <w:jc w:val="center"/>
              <w:outlineLvl w:val="9"/>
              <w:rPr>
                <w:rFonts w:hint="eastAsia" w:ascii="Times New Roman" w:hAnsi="Times New Roman" w:cs="宋体"/>
                <w:color w:val="auto"/>
                <w:sz w:val="24"/>
                <w:szCs w:val="24"/>
                <w:highlight w:val="none"/>
                <w:lang w:eastAsia="zh-CN"/>
              </w:rPr>
            </w:pPr>
            <w:r>
              <w:rPr>
                <w:rFonts w:hint="eastAsia" w:ascii="Times New Roman" w:hAnsi="Times New Roman" w:cs="宋体"/>
                <w:color w:val="auto"/>
                <w:sz w:val="24"/>
                <w:szCs w:val="24"/>
                <w:highlight w:val="none"/>
                <w:lang w:eastAsia="zh-CN"/>
              </w:rPr>
              <w:t>2</w:t>
            </w:r>
          </w:p>
        </w:tc>
        <w:tc>
          <w:tcPr>
            <w:tcW w:w="960" w:type="dxa"/>
            <w:vAlign w:val="center"/>
          </w:tcPr>
          <w:p>
            <w:pPr>
              <w:jc w:val="center"/>
              <w:outlineLvl w:val="9"/>
              <w:rPr>
                <w:rFonts w:hint="eastAsia" w:ascii="Times New Roman" w:hAnsi="Times New Roman" w:cs="宋体"/>
                <w:color w:val="auto"/>
                <w:sz w:val="24"/>
                <w:szCs w:val="24"/>
                <w:highlight w:val="none"/>
                <w:lang w:eastAsia="zh-CN"/>
              </w:rPr>
            </w:pPr>
          </w:p>
        </w:tc>
        <w:tc>
          <w:tcPr>
            <w:tcW w:w="900" w:type="dxa"/>
            <w:vAlign w:val="center"/>
          </w:tcPr>
          <w:p>
            <w:pPr>
              <w:jc w:val="center"/>
              <w:outlineLvl w:val="9"/>
              <w:rPr>
                <w:rFonts w:hint="eastAsia" w:ascii="Times New Roman" w:hAnsi="Times New Roman"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540" w:type="dxa"/>
            <w:vAlign w:val="center"/>
          </w:tcPr>
          <w:p>
            <w:pPr>
              <w:jc w:val="center"/>
              <w:outlineLvl w:val="9"/>
              <w:rPr>
                <w:rFonts w:hint="eastAsia" w:ascii="Times New Roman" w:hAnsi="Times New Roman"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3</w:t>
            </w:r>
          </w:p>
        </w:tc>
        <w:tc>
          <w:tcPr>
            <w:tcW w:w="1889" w:type="dxa"/>
            <w:vAlign w:val="center"/>
          </w:tcPr>
          <w:p>
            <w:pPr>
              <w:jc w:val="center"/>
              <w:outlineLvl w:val="9"/>
              <w:rPr>
                <w:rFonts w:hint="eastAsia" w:ascii="Times New Roman" w:hAnsi="Times New Roman" w:cs="宋体"/>
                <w:color w:val="auto"/>
                <w:sz w:val="24"/>
                <w:szCs w:val="24"/>
                <w:highlight w:val="none"/>
                <w:lang w:eastAsia="zh-CN"/>
              </w:rPr>
            </w:pPr>
            <w:r>
              <w:rPr>
                <w:rFonts w:hint="eastAsia" w:ascii="Times New Roman" w:hAnsi="Times New Roman" w:cs="宋体"/>
                <w:color w:val="auto"/>
                <w:sz w:val="24"/>
                <w:szCs w:val="24"/>
                <w:highlight w:val="none"/>
                <w:lang w:eastAsia="zh-CN"/>
              </w:rPr>
              <w:t>外业调查、监测</w:t>
            </w:r>
          </w:p>
        </w:tc>
        <w:tc>
          <w:tcPr>
            <w:tcW w:w="1037" w:type="dxa"/>
            <w:vAlign w:val="center"/>
          </w:tcPr>
          <w:p>
            <w:pPr>
              <w:jc w:val="center"/>
              <w:outlineLvl w:val="9"/>
              <w:rPr>
                <w:rFonts w:hint="eastAsia" w:ascii="Times New Roman" w:hAnsi="Times New Roman" w:cs="宋体"/>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w:t>
            </w:r>
          </w:p>
        </w:tc>
        <w:tc>
          <w:tcPr>
            <w:tcW w:w="1037" w:type="dxa"/>
            <w:vAlign w:val="center"/>
          </w:tcPr>
          <w:p>
            <w:pPr>
              <w:jc w:val="center"/>
              <w:outlineLvl w:val="9"/>
              <w:rPr>
                <w:rFonts w:hint="eastAsia" w:ascii="Times New Roman" w:hAnsi="Times New Roman" w:cs="宋体"/>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w:t>
            </w:r>
          </w:p>
        </w:tc>
        <w:tc>
          <w:tcPr>
            <w:tcW w:w="1242" w:type="dxa"/>
            <w:vAlign w:val="center"/>
          </w:tcPr>
          <w:p>
            <w:pPr>
              <w:jc w:val="center"/>
              <w:outlineLvl w:val="9"/>
              <w:rPr>
                <w:rFonts w:hint="eastAsia" w:ascii="Times New Roman" w:hAnsi="Times New Roman" w:cs="宋体"/>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w:t>
            </w:r>
          </w:p>
        </w:tc>
        <w:tc>
          <w:tcPr>
            <w:tcW w:w="821" w:type="dxa"/>
            <w:vAlign w:val="center"/>
          </w:tcPr>
          <w:p>
            <w:pPr>
              <w:jc w:val="center"/>
              <w:outlineLvl w:val="9"/>
              <w:rPr>
                <w:rFonts w:hint="eastAsia" w:ascii="Times New Roman" w:hAnsi="Times New Roman" w:cs="宋体"/>
                <w:color w:val="auto"/>
                <w:sz w:val="24"/>
                <w:szCs w:val="24"/>
                <w:highlight w:val="none"/>
                <w:lang w:eastAsia="zh-CN"/>
              </w:rPr>
            </w:pPr>
            <w:r>
              <w:rPr>
                <w:rFonts w:hint="eastAsia" w:ascii="Times New Roman" w:hAnsi="Times New Roman" w:cs="宋体"/>
                <w:color w:val="auto"/>
                <w:sz w:val="24"/>
                <w:szCs w:val="24"/>
                <w:highlight w:val="none"/>
                <w:lang w:eastAsia="zh-CN"/>
              </w:rPr>
              <w:t>公顷</w:t>
            </w:r>
          </w:p>
        </w:tc>
        <w:tc>
          <w:tcPr>
            <w:tcW w:w="1189" w:type="dxa"/>
            <w:vAlign w:val="center"/>
          </w:tcPr>
          <w:p>
            <w:pPr>
              <w:jc w:val="center"/>
              <w:outlineLvl w:val="9"/>
              <w:rPr>
                <w:rFonts w:hint="eastAsia" w:ascii="Times New Roman" w:hAnsi="Times New Roman" w:cs="宋体"/>
                <w:color w:val="auto"/>
                <w:sz w:val="24"/>
                <w:szCs w:val="24"/>
                <w:highlight w:val="none"/>
                <w:lang w:eastAsia="zh-CN"/>
              </w:rPr>
            </w:pPr>
            <w:r>
              <w:rPr>
                <w:rFonts w:hint="eastAsia" w:ascii="Times New Roman" w:hAnsi="Times New Roman" w:cs="宋体"/>
                <w:color w:val="auto"/>
                <w:sz w:val="24"/>
                <w:szCs w:val="24"/>
                <w:highlight w:val="none"/>
                <w:lang w:eastAsia="zh-CN"/>
              </w:rPr>
              <w:t>20515</w:t>
            </w:r>
          </w:p>
        </w:tc>
        <w:tc>
          <w:tcPr>
            <w:tcW w:w="960" w:type="dxa"/>
            <w:vAlign w:val="center"/>
          </w:tcPr>
          <w:p>
            <w:pPr>
              <w:jc w:val="center"/>
              <w:outlineLvl w:val="9"/>
              <w:rPr>
                <w:rFonts w:hint="eastAsia" w:ascii="Times New Roman" w:hAnsi="Times New Roman" w:cs="宋体"/>
                <w:color w:val="auto"/>
                <w:sz w:val="24"/>
                <w:szCs w:val="24"/>
                <w:highlight w:val="none"/>
                <w:lang w:eastAsia="zh-CN"/>
              </w:rPr>
            </w:pPr>
          </w:p>
        </w:tc>
        <w:tc>
          <w:tcPr>
            <w:tcW w:w="900" w:type="dxa"/>
            <w:vAlign w:val="center"/>
          </w:tcPr>
          <w:p>
            <w:pPr>
              <w:jc w:val="center"/>
              <w:outlineLvl w:val="9"/>
              <w:rPr>
                <w:rFonts w:hint="eastAsia" w:ascii="Times New Roman" w:hAnsi="Times New Roman"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trPr>
        <w:tc>
          <w:tcPr>
            <w:tcW w:w="540" w:type="dxa"/>
            <w:vAlign w:val="center"/>
          </w:tcPr>
          <w:p>
            <w:pPr>
              <w:jc w:val="center"/>
              <w:outlineLvl w:val="9"/>
              <w:rPr>
                <w:rFonts w:hint="eastAsia" w:ascii="Times New Roman" w:hAnsi="Times New Roman"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4</w:t>
            </w:r>
          </w:p>
        </w:tc>
        <w:tc>
          <w:tcPr>
            <w:tcW w:w="1889" w:type="dxa"/>
            <w:vAlign w:val="center"/>
          </w:tcPr>
          <w:p>
            <w:pPr>
              <w:spacing w:line="360" w:lineRule="auto"/>
              <w:jc w:val="center"/>
              <w:outlineLvl w:val="9"/>
              <w:rPr>
                <w:rFonts w:hint="eastAsia" w:ascii="Times New Roman" w:hAnsi="Times New Roman" w:cs="宋体"/>
                <w:color w:val="auto"/>
                <w:sz w:val="24"/>
                <w:szCs w:val="24"/>
                <w:highlight w:val="none"/>
                <w:lang w:eastAsia="zh-CN"/>
              </w:rPr>
            </w:pPr>
            <w:r>
              <w:rPr>
                <w:rFonts w:hint="eastAsia" w:ascii="Times New Roman" w:hAnsi="Times New Roman" w:cs="宋体"/>
                <w:color w:val="auto"/>
                <w:sz w:val="24"/>
                <w:szCs w:val="24"/>
                <w:highlight w:val="none"/>
                <w:lang w:eastAsia="zh-CN"/>
              </w:rPr>
              <w:t>防控与调查培训</w:t>
            </w:r>
          </w:p>
        </w:tc>
        <w:tc>
          <w:tcPr>
            <w:tcW w:w="1037" w:type="dxa"/>
            <w:vAlign w:val="center"/>
          </w:tcPr>
          <w:p>
            <w:pPr>
              <w:jc w:val="center"/>
              <w:outlineLvl w:val="9"/>
              <w:rPr>
                <w:rFonts w:hint="eastAsia" w:ascii="Times New Roman" w:hAnsi="Times New Roman" w:cs="宋体"/>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w:t>
            </w:r>
          </w:p>
        </w:tc>
        <w:tc>
          <w:tcPr>
            <w:tcW w:w="1037" w:type="dxa"/>
            <w:vAlign w:val="center"/>
          </w:tcPr>
          <w:p>
            <w:pPr>
              <w:jc w:val="center"/>
              <w:outlineLvl w:val="9"/>
              <w:rPr>
                <w:rFonts w:hint="eastAsia" w:ascii="Times New Roman" w:hAnsi="Times New Roman" w:cs="宋体"/>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w:t>
            </w:r>
          </w:p>
        </w:tc>
        <w:tc>
          <w:tcPr>
            <w:tcW w:w="1242" w:type="dxa"/>
            <w:vAlign w:val="center"/>
          </w:tcPr>
          <w:p>
            <w:pPr>
              <w:jc w:val="center"/>
              <w:outlineLvl w:val="9"/>
              <w:rPr>
                <w:rFonts w:hint="eastAsia" w:ascii="Times New Roman" w:hAnsi="Times New Roman" w:cs="宋体"/>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w:t>
            </w:r>
          </w:p>
        </w:tc>
        <w:tc>
          <w:tcPr>
            <w:tcW w:w="821" w:type="dxa"/>
            <w:vAlign w:val="center"/>
          </w:tcPr>
          <w:p>
            <w:pPr>
              <w:jc w:val="center"/>
              <w:outlineLvl w:val="9"/>
              <w:rPr>
                <w:rFonts w:hint="eastAsia" w:ascii="Times New Roman" w:hAnsi="Times New Roman" w:cs="宋体"/>
                <w:color w:val="auto"/>
                <w:sz w:val="24"/>
                <w:szCs w:val="24"/>
                <w:highlight w:val="none"/>
                <w:lang w:eastAsia="zh-CN"/>
              </w:rPr>
            </w:pPr>
            <w:r>
              <w:rPr>
                <w:rFonts w:hint="eastAsia" w:ascii="Times New Roman" w:hAnsi="Times New Roman" w:cs="宋体"/>
                <w:color w:val="auto"/>
                <w:sz w:val="24"/>
                <w:szCs w:val="24"/>
                <w:highlight w:val="none"/>
                <w:lang w:eastAsia="zh-CN"/>
              </w:rPr>
              <w:t>次</w:t>
            </w:r>
          </w:p>
        </w:tc>
        <w:tc>
          <w:tcPr>
            <w:tcW w:w="1189" w:type="dxa"/>
            <w:vAlign w:val="center"/>
          </w:tcPr>
          <w:p>
            <w:pPr>
              <w:jc w:val="center"/>
              <w:outlineLvl w:val="9"/>
              <w:rPr>
                <w:rFonts w:hint="eastAsia" w:ascii="Times New Roman" w:hAnsi="Times New Roman" w:cs="宋体"/>
                <w:color w:val="auto"/>
                <w:sz w:val="24"/>
                <w:szCs w:val="24"/>
                <w:highlight w:val="none"/>
                <w:lang w:eastAsia="zh-CN"/>
              </w:rPr>
            </w:pPr>
            <w:r>
              <w:rPr>
                <w:rFonts w:hint="eastAsia" w:ascii="Times New Roman" w:hAnsi="Times New Roman" w:cs="宋体"/>
                <w:color w:val="auto"/>
                <w:sz w:val="24"/>
                <w:szCs w:val="24"/>
                <w:highlight w:val="none"/>
                <w:lang w:eastAsia="zh-CN"/>
              </w:rPr>
              <w:t>2</w:t>
            </w:r>
          </w:p>
        </w:tc>
        <w:tc>
          <w:tcPr>
            <w:tcW w:w="960" w:type="dxa"/>
            <w:vAlign w:val="center"/>
          </w:tcPr>
          <w:p>
            <w:pPr>
              <w:jc w:val="center"/>
              <w:outlineLvl w:val="9"/>
              <w:rPr>
                <w:rFonts w:hint="eastAsia" w:ascii="Times New Roman" w:hAnsi="Times New Roman" w:cs="宋体"/>
                <w:color w:val="auto"/>
                <w:sz w:val="24"/>
                <w:szCs w:val="24"/>
                <w:highlight w:val="none"/>
                <w:lang w:eastAsia="zh-CN"/>
              </w:rPr>
            </w:pPr>
          </w:p>
        </w:tc>
        <w:tc>
          <w:tcPr>
            <w:tcW w:w="900" w:type="dxa"/>
            <w:vAlign w:val="center"/>
          </w:tcPr>
          <w:p>
            <w:pPr>
              <w:jc w:val="center"/>
              <w:outlineLvl w:val="9"/>
              <w:rPr>
                <w:rFonts w:hint="eastAsia" w:ascii="Times New Roman" w:hAnsi="Times New Roman"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7" w:hRule="atLeast"/>
        </w:trPr>
        <w:tc>
          <w:tcPr>
            <w:tcW w:w="540" w:type="dxa"/>
            <w:vAlign w:val="center"/>
          </w:tcPr>
          <w:p>
            <w:pPr>
              <w:jc w:val="center"/>
              <w:outlineLvl w:val="9"/>
              <w:rPr>
                <w:rFonts w:hint="eastAsia" w:ascii="Times New Roman" w:hAnsi="Times New Roman"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5</w:t>
            </w:r>
          </w:p>
        </w:tc>
        <w:tc>
          <w:tcPr>
            <w:tcW w:w="1889" w:type="dxa"/>
            <w:vAlign w:val="center"/>
          </w:tcPr>
          <w:p>
            <w:pPr>
              <w:jc w:val="center"/>
              <w:outlineLvl w:val="9"/>
              <w:rPr>
                <w:rFonts w:hint="eastAsia" w:ascii="Times New Roman" w:hAnsi="Times New Roman" w:cs="宋体"/>
                <w:color w:val="auto"/>
                <w:sz w:val="24"/>
                <w:szCs w:val="24"/>
                <w:highlight w:val="none"/>
                <w:lang w:eastAsia="zh-CN"/>
              </w:rPr>
            </w:pPr>
            <w:r>
              <w:rPr>
                <w:rFonts w:hint="eastAsia" w:ascii="Times New Roman" w:hAnsi="Times New Roman" w:cs="宋体"/>
                <w:color w:val="auto"/>
                <w:sz w:val="24"/>
                <w:szCs w:val="24"/>
                <w:highlight w:val="none"/>
                <w:lang w:eastAsia="zh-CN"/>
              </w:rPr>
              <w:t>印制宣传资料</w:t>
            </w:r>
          </w:p>
        </w:tc>
        <w:tc>
          <w:tcPr>
            <w:tcW w:w="1037" w:type="dxa"/>
            <w:vAlign w:val="center"/>
          </w:tcPr>
          <w:p>
            <w:pPr>
              <w:jc w:val="center"/>
              <w:outlineLvl w:val="9"/>
              <w:rPr>
                <w:rFonts w:hint="eastAsia" w:ascii="Times New Roman" w:hAnsi="Times New Roman" w:cs="宋体"/>
                <w:color w:val="auto"/>
                <w:sz w:val="24"/>
                <w:szCs w:val="24"/>
                <w:highlight w:val="none"/>
                <w:lang w:eastAsia="zh-CN"/>
              </w:rPr>
            </w:pPr>
            <w:r>
              <w:rPr>
                <w:rFonts w:hint="eastAsia" w:ascii="宋体" w:hAnsi="宋体" w:eastAsia="宋体" w:cs="宋体"/>
                <w:i w:val="0"/>
                <w:color w:val="000000"/>
                <w:kern w:val="0"/>
                <w:sz w:val="24"/>
                <w:szCs w:val="24"/>
                <w:u w:val="none"/>
                <w:lang w:val="en-US" w:eastAsia="zh-CN" w:bidi="ar"/>
              </w:rPr>
              <w:t>/</w:t>
            </w:r>
          </w:p>
        </w:tc>
        <w:tc>
          <w:tcPr>
            <w:tcW w:w="1037" w:type="dxa"/>
            <w:vAlign w:val="center"/>
          </w:tcPr>
          <w:p>
            <w:pPr>
              <w:jc w:val="center"/>
              <w:outlineLvl w:val="9"/>
              <w:rPr>
                <w:rFonts w:hint="eastAsia" w:ascii="Times New Roman" w:hAnsi="Times New Roman" w:cs="宋体"/>
                <w:color w:val="auto"/>
                <w:sz w:val="24"/>
                <w:szCs w:val="24"/>
                <w:highlight w:val="none"/>
                <w:lang w:eastAsia="zh-CN"/>
              </w:rPr>
            </w:pPr>
            <w:r>
              <w:rPr>
                <w:rFonts w:hint="eastAsia" w:ascii="宋体" w:hAnsi="宋体" w:eastAsia="宋体" w:cs="宋体"/>
                <w:i w:val="0"/>
                <w:color w:val="000000"/>
                <w:kern w:val="0"/>
                <w:sz w:val="24"/>
                <w:szCs w:val="24"/>
                <w:u w:val="none"/>
                <w:lang w:val="en-US" w:eastAsia="zh-CN" w:bidi="ar"/>
              </w:rPr>
              <w:t>/</w:t>
            </w:r>
          </w:p>
        </w:tc>
        <w:tc>
          <w:tcPr>
            <w:tcW w:w="1242" w:type="dxa"/>
            <w:vAlign w:val="center"/>
          </w:tcPr>
          <w:p>
            <w:pPr>
              <w:jc w:val="center"/>
              <w:outlineLvl w:val="9"/>
              <w:rPr>
                <w:rFonts w:hint="eastAsia" w:ascii="Times New Roman" w:hAnsi="Times New Roman" w:cs="宋体"/>
                <w:color w:val="auto"/>
                <w:sz w:val="24"/>
                <w:szCs w:val="24"/>
                <w:highlight w:val="none"/>
                <w:lang w:eastAsia="zh-CN"/>
              </w:rPr>
            </w:pPr>
          </w:p>
        </w:tc>
        <w:tc>
          <w:tcPr>
            <w:tcW w:w="821" w:type="dxa"/>
            <w:vAlign w:val="center"/>
          </w:tcPr>
          <w:p>
            <w:pPr>
              <w:jc w:val="center"/>
              <w:outlineLvl w:val="9"/>
              <w:rPr>
                <w:rFonts w:hint="eastAsia" w:ascii="Times New Roman" w:hAnsi="Times New Roman" w:cs="宋体"/>
                <w:color w:val="auto"/>
                <w:sz w:val="24"/>
                <w:szCs w:val="24"/>
                <w:highlight w:val="none"/>
                <w:lang w:eastAsia="zh-CN"/>
              </w:rPr>
            </w:pPr>
            <w:r>
              <w:rPr>
                <w:rFonts w:hint="eastAsia" w:ascii="Times New Roman" w:hAnsi="Times New Roman" w:cs="宋体"/>
                <w:color w:val="auto"/>
                <w:sz w:val="24"/>
                <w:szCs w:val="24"/>
                <w:highlight w:val="none"/>
                <w:lang w:eastAsia="zh-CN"/>
              </w:rPr>
              <w:t>份</w:t>
            </w:r>
          </w:p>
        </w:tc>
        <w:tc>
          <w:tcPr>
            <w:tcW w:w="1189" w:type="dxa"/>
            <w:vAlign w:val="center"/>
          </w:tcPr>
          <w:p>
            <w:pPr>
              <w:jc w:val="center"/>
              <w:outlineLvl w:val="9"/>
              <w:rPr>
                <w:rFonts w:hint="eastAsia" w:ascii="Times New Roman" w:hAnsi="Times New Roman" w:cs="宋体"/>
                <w:color w:val="auto"/>
                <w:sz w:val="24"/>
                <w:szCs w:val="24"/>
                <w:highlight w:val="none"/>
                <w:lang w:eastAsia="zh-CN"/>
              </w:rPr>
            </w:pPr>
            <w:r>
              <w:rPr>
                <w:rFonts w:hint="eastAsia" w:ascii="Times New Roman" w:hAnsi="Times New Roman" w:cs="宋体"/>
                <w:color w:val="auto"/>
                <w:sz w:val="24"/>
                <w:szCs w:val="24"/>
                <w:highlight w:val="none"/>
                <w:lang w:eastAsia="zh-CN"/>
              </w:rPr>
              <w:t>1990</w:t>
            </w:r>
          </w:p>
        </w:tc>
        <w:tc>
          <w:tcPr>
            <w:tcW w:w="960" w:type="dxa"/>
            <w:vAlign w:val="center"/>
          </w:tcPr>
          <w:p>
            <w:pPr>
              <w:jc w:val="center"/>
              <w:outlineLvl w:val="9"/>
              <w:rPr>
                <w:rFonts w:hint="eastAsia" w:ascii="Times New Roman" w:hAnsi="Times New Roman" w:cs="宋体"/>
                <w:color w:val="auto"/>
                <w:sz w:val="24"/>
                <w:szCs w:val="24"/>
                <w:highlight w:val="none"/>
                <w:lang w:eastAsia="zh-CN"/>
              </w:rPr>
            </w:pPr>
          </w:p>
        </w:tc>
        <w:tc>
          <w:tcPr>
            <w:tcW w:w="900" w:type="dxa"/>
            <w:vAlign w:val="center"/>
          </w:tcPr>
          <w:p>
            <w:pPr>
              <w:jc w:val="center"/>
              <w:outlineLvl w:val="9"/>
              <w:rPr>
                <w:rFonts w:hint="eastAsia" w:ascii="Times New Roman" w:hAnsi="Times New Roman"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trPr>
        <w:tc>
          <w:tcPr>
            <w:tcW w:w="9615" w:type="dxa"/>
            <w:gridSpan w:val="9"/>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lang w:eastAsia="zh-CN"/>
              </w:rPr>
            </w:pPr>
            <w:r>
              <w:rPr>
                <w:rFonts w:hint="eastAsia"/>
                <w:lang w:eastAsia="zh-CN"/>
              </w:rPr>
              <w:t>合计：</w:t>
            </w:r>
            <w:r>
              <w:rPr>
                <w:rFonts w:hint="eastAsia" w:asciiTheme="minorEastAsia" w:hAnsiTheme="minorEastAsia" w:cstheme="minorEastAsia"/>
                <w:color w:val="auto"/>
                <w:sz w:val="24"/>
                <w:szCs w:val="24"/>
                <w:highlight w:val="none"/>
                <w:vertAlign w:val="baseline"/>
                <w:lang w:val="en-US" w:eastAsia="zh-CN"/>
              </w:rPr>
              <w:t>小写</w:t>
            </w:r>
            <w:r>
              <w:rPr>
                <w:rFonts w:hint="eastAsia"/>
                <w:lang w:eastAsia="zh-CN"/>
              </w:rPr>
              <w:t>：</w:t>
            </w:r>
          </w:p>
          <w:p>
            <w:pPr>
              <w:pStyle w:val="2"/>
              <w:rPr>
                <w:rFonts w:hint="eastAsia"/>
                <w:lang w:val="en-US" w:eastAsia="zh-CN"/>
              </w:rPr>
            </w:pPr>
            <w:r>
              <w:rPr>
                <w:rFonts w:hint="eastAsia" w:asciiTheme="minorEastAsia" w:hAnsiTheme="minorEastAsia" w:cstheme="minorEastAsia"/>
                <w:color w:val="auto"/>
                <w:sz w:val="24"/>
                <w:szCs w:val="24"/>
                <w:highlight w:val="none"/>
                <w:vertAlign w:val="baseline"/>
                <w:lang w:val="en-US" w:eastAsia="zh-CN"/>
              </w:rPr>
              <w:t xml:space="preserve">  大写：</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780" w:firstLineChars="1575"/>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780" w:firstLineChars="1575"/>
        <w:textAlignment w:val="auto"/>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法定代表人或授权代表（签字</w:t>
      </w:r>
      <w:r>
        <w:rPr>
          <w:rFonts w:hint="eastAsia" w:asciiTheme="minorEastAsia" w:hAnsiTheme="minorEastAsia" w:eastAsiaTheme="minorEastAsia" w:cstheme="minorEastAsia"/>
          <w:color w:val="auto"/>
          <w:sz w:val="24"/>
          <w:szCs w:val="24"/>
          <w:highlight w:val="none"/>
          <w:lang w:eastAsia="zh-CN"/>
        </w:rPr>
        <w:t>或盖章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pPr>
        <w:pStyle w:val="8"/>
        <w:ind w:left="0" w:leftChars="0" w:firstLine="3780" w:firstLineChars="1575"/>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auto"/>
          <w:sz w:val="24"/>
          <w:szCs w:val="24"/>
          <w:highlight w:val="none"/>
        </w:rPr>
      </w:pPr>
      <w:r>
        <w:rPr>
          <w:rFonts w:ascii="宋体" w:hAnsi="宋体"/>
          <w:b/>
          <w:color w:val="auto"/>
          <w:sz w:val="36"/>
          <w:highlight w:val="none"/>
        </w:rPr>
        <w:br w:type="page"/>
      </w:r>
    </w:p>
    <w:p>
      <w:pPr>
        <w:widowControl/>
        <w:spacing w:line="360" w:lineRule="auto"/>
        <w:jc w:val="center"/>
        <w:outlineLvl w:val="9"/>
        <w:rPr>
          <w:rFonts w:hint="eastAsia"/>
          <w:b/>
          <w:color w:val="auto"/>
          <w:sz w:val="30"/>
          <w:szCs w:val="30"/>
          <w:highlight w:val="none"/>
        </w:rPr>
      </w:pPr>
      <w:bookmarkStart w:id="74" w:name="_Toc75259385"/>
      <w:r>
        <w:rPr>
          <w:rFonts w:hint="eastAsia" w:ascii="宋体" w:hAnsi="宋体"/>
          <w:b/>
          <w:color w:val="auto"/>
          <w:sz w:val="32"/>
          <w:szCs w:val="24"/>
          <w:highlight w:val="none"/>
        </w:rPr>
        <w:t>三、</w:t>
      </w:r>
      <w:bookmarkStart w:id="75" w:name="_Hlk63340562"/>
      <w:r>
        <w:rPr>
          <w:rFonts w:hint="eastAsia" w:ascii="宋体" w:hAnsi="宋体"/>
          <w:b/>
          <w:color w:val="auto"/>
          <w:sz w:val="32"/>
          <w:szCs w:val="24"/>
          <w:highlight w:val="none"/>
        </w:rPr>
        <w:t>法定代表人（自然人）身份证明</w:t>
      </w:r>
      <w:bookmarkEnd w:id="74"/>
    </w:p>
    <w:bookmarkEnd w:id="75"/>
    <w:p>
      <w:pPr>
        <w:autoSpaceDE w:val="0"/>
        <w:autoSpaceDN w:val="0"/>
        <w:adjustRightInd w:val="0"/>
        <w:spacing w:line="360" w:lineRule="auto"/>
        <w:jc w:val="right"/>
        <w:outlineLvl w:val="9"/>
        <w:rPr>
          <w:rFonts w:hint="eastAsia" w:ascii="宋体" w:hAnsi="宋体"/>
          <w:color w:val="auto"/>
          <w:szCs w:val="21"/>
          <w:highlight w:val="none"/>
          <w:lang w:val="zh-CN"/>
        </w:rPr>
      </w:pPr>
    </w:p>
    <w:p>
      <w:pPr>
        <w:autoSpaceDE w:val="0"/>
        <w:autoSpaceDN w:val="0"/>
        <w:adjustRightInd w:val="0"/>
        <w:spacing w:line="360" w:lineRule="auto"/>
        <w:ind w:right="105"/>
        <w:jc w:val="left"/>
        <w:outlineLvl w:val="9"/>
        <w:rPr>
          <w:rFonts w:hint="eastAsia" w:ascii="宋体" w:hAnsi="宋体"/>
          <w:color w:val="auto"/>
          <w:sz w:val="24"/>
          <w:szCs w:val="24"/>
          <w:highlight w:val="none"/>
          <w:lang w:val="zh-CN"/>
        </w:rPr>
      </w:pPr>
      <w:r>
        <w:rPr>
          <w:rFonts w:hint="eastAsia" w:ascii="宋体" w:hAnsi="宋体"/>
          <w:color w:val="auto"/>
          <w:sz w:val="24"/>
          <w:szCs w:val="24"/>
          <w:highlight w:val="none"/>
          <w:lang w:val="zh-CN"/>
        </w:rPr>
        <w:t>供应商名称：</w:t>
      </w:r>
      <w:r>
        <w:rPr>
          <w:rFonts w:hint="eastAsia" w:ascii="宋体" w:hAnsi="宋体"/>
          <w:color w:val="auto"/>
          <w:sz w:val="24"/>
          <w:szCs w:val="24"/>
          <w:highlight w:val="none"/>
          <w:u w:val="single"/>
          <w:lang w:val="zh-CN"/>
        </w:rPr>
        <w:t xml:space="preserve">                                    </w:t>
      </w:r>
    </w:p>
    <w:p>
      <w:pPr>
        <w:autoSpaceDE w:val="0"/>
        <w:autoSpaceDN w:val="0"/>
        <w:adjustRightInd w:val="0"/>
        <w:spacing w:line="360" w:lineRule="auto"/>
        <w:ind w:right="105"/>
        <w:jc w:val="left"/>
        <w:outlineLvl w:val="9"/>
        <w:rPr>
          <w:rFonts w:hint="eastAsia" w:ascii="宋体" w:hAnsi="宋体"/>
          <w:color w:val="auto"/>
          <w:sz w:val="24"/>
          <w:szCs w:val="24"/>
          <w:highlight w:val="none"/>
          <w:lang w:val="zh-CN"/>
        </w:rPr>
      </w:pPr>
      <w:r>
        <w:rPr>
          <w:rFonts w:hint="eastAsia" w:ascii="宋体" w:hAnsi="宋体"/>
          <w:color w:val="auto"/>
          <w:sz w:val="24"/>
          <w:szCs w:val="24"/>
          <w:highlight w:val="none"/>
          <w:lang w:val="zh-CN"/>
        </w:rPr>
        <w:t>姓名：</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性别：</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年龄：</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职务：</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系</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（供应商名称）的法定代表人。</w:t>
      </w:r>
    </w:p>
    <w:p>
      <w:pPr>
        <w:autoSpaceDE w:val="0"/>
        <w:autoSpaceDN w:val="0"/>
        <w:adjustRightInd w:val="0"/>
        <w:spacing w:line="600" w:lineRule="auto"/>
        <w:ind w:right="105" w:firstLine="480" w:firstLineChars="200"/>
        <w:jc w:val="left"/>
        <w:outlineLvl w:val="9"/>
        <w:rPr>
          <w:rFonts w:hint="eastAsia" w:ascii="宋体" w:hAnsi="宋体"/>
          <w:color w:val="auto"/>
          <w:sz w:val="24"/>
          <w:szCs w:val="24"/>
          <w:highlight w:val="none"/>
          <w:lang w:val="zh-CN"/>
        </w:rPr>
      </w:pPr>
      <w:r>
        <w:rPr>
          <w:rFonts w:hint="eastAsia" w:ascii="宋体" w:hAnsi="宋体"/>
          <w:color w:val="auto"/>
          <w:sz w:val="24"/>
          <w:szCs w:val="24"/>
          <w:highlight w:val="none"/>
          <w:lang w:val="zh-CN"/>
        </w:rPr>
        <w:t>特此证明。</w:t>
      </w:r>
    </w:p>
    <w:p>
      <w:pPr>
        <w:autoSpaceDE w:val="0"/>
        <w:autoSpaceDN w:val="0"/>
        <w:adjustRightInd w:val="0"/>
        <w:spacing w:line="360" w:lineRule="auto"/>
        <w:ind w:right="105"/>
        <w:jc w:val="left"/>
        <w:outlineLvl w:val="9"/>
        <w:rPr>
          <w:rFonts w:hint="eastAsia" w:ascii="宋体" w:hAnsi="宋体"/>
          <w:color w:val="auto"/>
          <w:sz w:val="24"/>
          <w:szCs w:val="24"/>
          <w:highlight w:val="none"/>
          <w:lang w:val="zh-CN"/>
        </w:rPr>
      </w:pPr>
      <w:r>
        <w:rPr>
          <w:rFonts w:hint="eastAsia" w:ascii="宋体" w:hAnsi="宋体"/>
          <w:color w:val="auto"/>
          <w:sz w:val="24"/>
          <w:szCs w:val="24"/>
          <w:highlight w:val="none"/>
          <w:lang w:val="zh-CN"/>
        </w:rPr>
        <w:t>附：法定代表人身份证复印件。</w:t>
      </w:r>
    </w:p>
    <w:tbl>
      <w:tblPr>
        <w:tblStyle w:val="21"/>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8" w:hRule="atLeast"/>
        </w:trPr>
        <w:tc>
          <w:tcPr>
            <w:tcW w:w="4550" w:type="dxa"/>
          </w:tcPr>
          <w:p>
            <w:pPr>
              <w:autoSpaceDE w:val="0"/>
              <w:autoSpaceDN w:val="0"/>
              <w:adjustRightInd w:val="0"/>
              <w:spacing w:line="360" w:lineRule="auto"/>
              <w:ind w:right="105"/>
              <w:jc w:val="left"/>
              <w:outlineLvl w:val="9"/>
              <w:rPr>
                <w:rFonts w:hint="eastAsia" w:ascii="宋体" w:hAnsi="宋体"/>
                <w:color w:val="auto"/>
                <w:sz w:val="24"/>
                <w:szCs w:val="24"/>
                <w:highlight w:val="none"/>
                <w:vertAlign w:val="baseline"/>
                <w:lang w:val="zh-CN"/>
              </w:rPr>
            </w:pPr>
          </w:p>
        </w:tc>
        <w:tc>
          <w:tcPr>
            <w:tcW w:w="4550" w:type="dxa"/>
          </w:tcPr>
          <w:p>
            <w:pPr>
              <w:autoSpaceDE w:val="0"/>
              <w:autoSpaceDN w:val="0"/>
              <w:adjustRightInd w:val="0"/>
              <w:spacing w:line="360" w:lineRule="auto"/>
              <w:ind w:right="105"/>
              <w:jc w:val="left"/>
              <w:outlineLvl w:val="9"/>
              <w:rPr>
                <w:rFonts w:hint="eastAsia" w:ascii="宋体" w:hAnsi="宋体"/>
                <w:color w:val="auto"/>
                <w:sz w:val="24"/>
                <w:szCs w:val="24"/>
                <w:highlight w:val="none"/>
                <w:vertAlign w:val="baseline"/>
                <w:lang w:val="zh-CN"/>
              </w:rPr>
            </w:pPr>
          </w:p>
        </w:tc>
      </w:tr>
    </w:tbl>
    <w:p>
      <w:pPr>
        <w:autoSpaceDE w:val="0"/>
        <w:autoSpaceDN w:val="0"/>
        <w:adjustRightInd w:val="0"/>
        <w:spacing w:line="360" w:lineRule="auto"/>
        <w:ind w:right="105"/>
        <w:jc w:val="left"/>
        <w:outlineLvl w:val="9"/>
        <w:rPr>
          <w:rFonts w:hint="eastAsia" w:ascii="宋体" w:hAnsi="宋体"/>
          <w:color w:val="auto"/>
          <w:sz w:val="24"/>
          <w:szCs w:val="24"/>
          <w:highlight w:val="none"/>
          <w:lang w:val="zh-CN"/>
        </w:rPr>
      </w:pPr>
    </w:p>
    <w:p>
      <w:pPr>
        <w:autoSpaceDE w:val="0"/>
        <w:autoSpaceDN w:val="0"/>
        <w:adjustRightInd w:val="0"/>
        <w:spacing w:line="360" w:lineRule="auto"/>
        <w:ind w:right="105"/>
        <w:jc w:val="left"/>
        <w:outlineLvl w:val="9"/>
        <w:rPr>
          <w:rFonts w:hint="eastAsia" w:ascii="宋体" w:hAnsi="宋体"/>
          <w:color w:val="auto"/>
          <w:sz w:val="24"/>
          <w:szCs w:val="24"/>
          <w:highlight w:val="none"/>
          <w:lang w:val="zh-CN"/>
        </w:rPr>
      </w:pPr>
    </w:p>
    <w:p>
      <w:pPr>
        <w:outlineLvl w:val="9"/>
        <w:rPr>
          <w:rFonts w:hint="eastAsia"/>
          <w:color w:val="auto"/>
          <w:highlight w:val="none"/>
          <w:lang w:val="zh-CN"/>
        </w:rPr>
      </w:pPr>
    </w:p>
    <w:p>
      <w:pPr>
        <w:autoSpaceDE w:val="0"/>
        <w:autoSpaceDN w:val="0"/>
        <w:adjustRightInd w:val="0"/>
        <w:spacing w:line="360" w:lineRule="auto"/>
        <w:ind w:right="105"/>
        <w:jc w:val="left"/>
        <w:outlineLvl w:val="9"/>
        <w:rPr>
          <w:rFonts w:hint="eastAsia" w:ascii="宋体" w:hAnsi="宋体"/>
          <w:color w:val="auto"/>
          <w:sz w:val="24"/>
          <w:szCs w:val="24"/>
          <w:highlight w:val="none"/>
          <w:lang w:val="zh-CN"/>
        </w:rPr>
      </w:pPr>
    </w:p>
    <w:p>
      <w:pPr>
        <w:autoSpaceDE w:val="0"/>
        <w:autoSpaceDN w:val="0"/>
        <w:adjustRightInd w:val="0"/>
        <w:spacing w:line="360" w:lineRule="auto"/>
        <w:ind w:right="105"/>
        <w:jc w:val="left"/>
        <w:outlineLvl w:val="9"/>
        <w:rPr>
          <w:rFonts w:hint="eastAsia" w:ascii="宋体" w:hAnsi="宋体"/>
          <w:color w:val="auto"/>
          <w:sz w:val="24"/>
          <w:szCs w:val="24"/>
          <w:highlight w:val="none"/>
          <w:lang w:val="zh-CN"/>
        </w:rPr>
      </w:pPr>
      <w:r>
        <w:rPr>
          <w:rFonts w:hint="eastAsia" w:ascii="宋体" w:hAnsi="宋体"/>
          <w:color w:val="auto"/>
          <w:sz w:val="24"/>
          <w:szCs w:val="24"/>
          <w:highlight w:val="none"/>
          <w:lang w:val="zh-CN"/>
        </w:rPr>
        <w:t>注：自然人磋商的此处只附身份证复印件。</w:t>
      </w:r>
    </w:p>
    <w:p>
      <w:pPr>
        <w:autoSpaceDE w:val="0"/>
        <w:autoSpaceDN w:val="0"/>
        <w:adjustRightInd w:val="0"/>
        <w:spacing w:line="360" w:lineRule="auto"/>
        <w:ind w:right="105"/>
        <w:jc w:val="left"/>
        <w:outlineLvl w:val="9"/>
        <w:rPr>
          <w:rFonts w:hint="eastAsia" w:ascii="宋体" w:hAnsi="宋体"/>
          <w:color w:val="auto"/>
          <w:szCs w:val="21"/>
          <w:highlight w:val="none"/>
          <w:lang w:val="zh-CN"/>
        </w:rPr>
      </w:pPr>
    </w:p>
    <w:p>
      <w:pPr>
        <w:autoSpaceDE w:val="0"/>
        <w:autoSpaceDN w:val="0"/>
        <w:adjustRightInd w:val="0"/>
        <w:spacing w:line="360" w:lineRule="auto"/>
        <w:ind w:right="105"/>
        <w:jc w:val="left"/>
        <w:outlineLvl w:val="9"/>
        <w:rPr>
          <w:rFonts w:hint="eastAsia" w:ascii="宋体" w:hAnsi="宋体"/>
          <w:color w:val="auto"/>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autoSpaceDE w:val="0"/>
        <w:autoSpaceDN w:val="0"/>
        <w:adjustRightInd w:val="0"/>
        <w:spacing w:line="360" w:lineRule="auto"/>
        <w:jc w:val="left"/>
        <w:outlineLvl w:val="9"/>
        <w:rPr>
          <w:rFonts w:hint="eastAsia" w:ascii="宋体" w:hAnsi="宋体"/>
          <w:color w:val="auto"/>
          <w:szCs w:val="21"/>
          <w:highlight w:val="none"/>
          <w:lang w:val="zh-CN"/>
        </w:rPr>
      </w:pPr>
    </w:p>
    <w:p>
      <w:pPr>
        <w:spacing w:line="360" w:lineRule="auto"/>
        <w:ind w:firstLine="210"/>
        <w:jc w:val="center"/>
        <w:outlineLvl w:val="9"/>
        <w:rPr>
          <w:rFonts w:hint="eastAsia"/>
          <w:b/>
          <w:color w:val="auto"/>
          <w:sz w:val="32"/>
          <w:szCs w:val="32"/>
          <w:highlight w:val="none"/>
        </w:rPr>
      </w:pPr>
      <w:r>
        <w:rPr>
          <w:rFonts w:ascii="宋体" w:hAnsi="宋体"/>
          <w:color w:val="auto"/>
          <w:szCs w:val="21"/>
          <w:highlight w:val="none"/>
          <w:lang w:val="zh-CN"/>
        </w:rPr>
        <w:br w:type="page"/>
      </w:r>
      <w:bookmarkStart w:id="76" w:name="_Toc75259386"/>
      <w:r>
        <w:rPr>
          <w:rFonts w:hint="eastAsia" w:ascii="宋体" w:hAnsi="宋体"/>
          <w:b/>
          <w:bCs/>
          <w:color w:val="auto"/>
          <w:sz w:val="32"/>
          <w:szCs w:val="32"/>
          <w:highlight w:val="none"/>
          <w:lang w:val="en-US" w:eastAsia="zh-CN"/>
        </w:rPr>
        <w:t>法定代表人</w:t>
      </w:r>
      <w:r>
        <w:rPr>
          <w:rFonts w:hint="eastAsia" w:ascii="宋体" w:hAnsi="宋体" w:cs="宋体"/>
          <w:b/>
          <w:color w:val="auto"/>
          <w:sz w:val="32"/>
          <w:szCs w:val="32"/>
          <w:highlight w:val="none"/>
        </w:rPr>
        <w:t>授权委托书</w:t>
      </w:r>
      <w:bookmarkEnd w:id="76"/>
    </w:p>
    <w:p>
      <w:pPr>
        <w:autoSpaceDE w:val="0"/>
        <w:autoSpaceDN w:val="0"/>
        <w:adjustRightInd w:val="0"/>
        <w:spacing w:line="360" w:lineRule="auto"/>
        <w:jc w:val="both"/>
        <w:outlineLvl w:val="9"/>
        <w:rPr>
          <w:rFonts w:hint="eastAsia" w:ascii="宋体" w:hAnsi="宋体"/>
          <w:color w:val="auto"/>
          <w:szCs w:val="21"/>
          <w:highlight w:val="none"/>
          <w:lang w:val="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本人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（姓名）系</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（供应商名称）的法定代表人，现委托</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（姓名）为我方</w:t>
      </w:r>
      <w:r>
        <w:rPr>
          <w:rFonts w:hint="eastAsia" w:asciiTheme="minorEastAsia" w:hAnsiTheme="minorEastAsia" w:cstheme="minorEastAsia"/>
          <w:color w:val="auto"/>
          <w:sz w:val="24"/>
          <w:szCs w:val="24"/>
          <w:highlight w:val="none"/>
          <w:lang w:val="en-US" w:eastAsia="zh-CN"/>
        </w:rPr>
        <w:t>授权代表</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cstheme="minorEastAsia"/>
          <w:color w:val="auto"/>
          <w:sz w:val="24"/>
          <w:szCs w:val="24"/>
          <w:highlight w:val="none"/>
          <w:lang w:val="en-US" w:eastAsia="zh-CN"/>
        </w:rPr>
        <w:t>授权代表</w:t>
      </w:r>
      <w:r>
        <w:rPr>
          <w:rFonts w:hint="eastAsia" w:asciiTheme="minorEastAsia" w:hAnsiTheme="minorEastAsia" w:eastAsiaTheme="minorEastAsia" w:cstheme="minorEastAsia"/>
          <w:color w:val="auto"/>
          <w:sz w:val="24"/>
          <w:szCs w:val="24"/>
          <w:highlight w:val="none"/>
          <w:lang w:val="zh-CN"/>
        </w:rPr>
        <w:t>根据授权，以我方名义签署、澄清确认、递交、撤回、修改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zh-CN"/>
        </w:rPr>
        <w:t>磋商响应文件、签订合同和处理有关事宜，其法律后果由我方承担。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委托期限：同磋商</w:t>
      </w:r>
      <w:r>
        <w:rPr>
          <w:rFonts w:hint="eastAsia" w:asciiTheme="minorEastAsia" w:hAnsi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zh-CN"/>
        </w:rPr>
        <w:t>有效期。</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被授权人无转委托权。</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szCs w:val="24"/>
          <w:highlight w:val="none"/>
          <w:lang w:val="zh-CN"/>
        </w:rPr>
      </w:pP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附：法定代表人身份证复印件及被授权人身份证复印件</w:t>
      </w:r>
    </w:p>
    <w:tbl>
      <w:tblPr>
        <w:tblStyle w:val="21"/>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0"/>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8" w:hRule="atLeast"/>
        </w:trPr>
        <w:tc>
          <w:tcPr>
            <w:tcW w:w="4610" w:type="dxa"/>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szCs w:val="24"/>
                <w:highlight w:val="none"/>
                <w:vertAlign w:val="baseline"/>
                <w:lang w:val="zh-CN"/>
              </w:rPr>
            </w:pPr>
          </w:p>
        </w:tc>
        <w:tc>
          <w:tcPr>
            <w:tcW w:w="4610" w:type="dxa"/>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szCs w:val="24"/>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6" w:hRule="atLeast"/>
        </w:trPr>
        <w:tc>
          <w:tcPr>
            <w:tcW w:w="4610" w:type="dxa"/>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szCs w:val="24"/>
                <w:highlight w:val="none"/>
                <w:vertAlign w:val="baseline"/>
                <w:lang w:val="zh-CN"/>
              </w:rPr>
            </w:pPr>
          </w:p>
        </w:tc>
        <w:tc>
          <w:tcPr>
            <w:tcW w:w="4610" w:type="dxa"/>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szCs w:val="24"/>
                <w:highlight w:val="none"/>
                <w:vertAlign w:val="baseline"/>
                <w:lang w:val="zh-CN"/>
              </w:rPr>
            </w:pPr>
          </w:p>
        </w:tc>
      </w:tr>
    </w:tbl>
    <w:p>
      <w:pPr>
        <w:wordWrap w:val="0"/>
        <w:autoSpaceDE w:val="0"/>
        <w:autoSpaceDN w:val="0"/>
        <w:adjustRightInd w:val="0"/>
        <w:spacing w:line="600" w:lineRule="auto"/>
        <w:ind w:left="0" w:leftChars="0" w:firstLine="3360" w:firstLineChars="1400"/>
        <w:jc w:val="both"/>
        <w:outlineLvl w:val="9"/>
        <w:rPr>
          <w:rFonts w:hint="eastAsia" w:ascii="宋体" w:hAnsi="宋体"/>
          <w:color w:val="auto"/>
          <w:sz w:val="24"/>
          <w:szCs w:val="24"/>
          <w:highlight w:val="none"/>
          <w:lang w:val="zh-CN"/>
        </w:rPr>
      </w:pPr>
      <w:r>
        <w:rPr>
          <w:rFonts w:hint="eastAsia" w:ascii="宋体" w:hAnsi="宋体"/>
          <w:color w:val="auto"/>
          <w:sz w:val="24"/>
          <w:szCs w:val="24"/>
          <w:highlight w:val="none"/>
          <w:lang w:val="zh-CN"/>
        </w:rPr>
        <w:t>供应商：</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（盖单位公章）</w:t>
      </w:r>
    </w:p>
    <w:p>
      <w:pPr>
        <w:wordWrap w:val="0"/>
        <w:autoSpaceDE w:val="0"/>
        <w:autoSpaceDN w:val="0"/>
        <w:adjustRightInd w:val="0"/>
        <w:spacing w:line="600" w:lineRule="auto"/>
        <w:ind w:left="0" w:leftChars="0" w:firstLine="3360" w:firstLineChars="1400"/>
        <w:jc w:val="both"/>
        <w:outlineLvl w:val="9"/>
        <w:rPr>
          <w:rFonts w:hint="eastAsia" w:ascii="宋体" w:hAnsi="宋体"/>
          <w:color w:val="auto"/>
          <w:sz w:val="24"/>
          <w:szCs w:val="24"/>
          <w:highlight w:val="none"/>
          <w:lang w:val="zh-CN"/>
        </w:rPr>
      </w:pPr>
      <w:r>
        <w:rPr>
          <w:rFonts w:hint="eastAsia" w:ascii="宋体" w:hAnsi="宋体"/>
          <w:color w:val="auto"/>
          <w:sz w:val="24"/>
          <w:szCs w:val="24"/>
          <w:highlight w:val="none"/>
          <w:lang w:val="zh-CN"/>
        </w:rPr>
        <w:t>法定代表人：</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（签字或盖章）</w:t>
      </w:r>
    </w:p>
    <w:p>
      <w:pPr>
        <w:wordWrap w:val="0"/>
        <w:autoSpaceDE w:val="0"/>
        <w:autoSpaceDN w:val="0"/>
        <w:adjustRightInd w:val="0"/>
        <w:spacing w:line="600" w:lineRule="auto"/>
        <w:ind w:left="0" w:leftChars="0" w:right="210" w:firstLine="3360" w:firstLineChars="1400"/>
        <w:jc w:val="both"/>
        <w:outlineLvl w:val="9"/>
        <w:rPr>
          <w:rFonts w:hint="eastAsia" w:ascii="宋体" w:hAnsi="宋体"/>
          <w:color w:val="auto"/>
          <w:sz w:val="24"/>
          <w:szCs w:val="24"/>
          <w:highlight w:val="none"/>
          <w:lang w:val="zh-CN"/>
        </w:rPr>
      </w:pPr>
      <w:r>
        <w:rPr>
          <w:rFonts w:hint="eastAsia" w:ascii="宋体" w:hAnsi="宋体"/>
          <w:color w:val="auto"/>
          <w:sz w:val="24"/>
          <w:szCs w:val="24"/>
          <w:highlight w:val="none"/>
          <w:lang w:val="en-US" w:eastAsia="zh-CN"/>
        </w:rPr>
        <w:t>授权代表</w:t>
      </w:r>
      <w:r>
        <w:rPr>
          <w:rFonts w:hint="eastAsia" w:ascii="宋体" w:hAnsi="宋体"/>
          <w:color w:val="auto"/>
          <w:sz w:val="24"/>
          <w:szCs w:val="24"/>
          <w:highlight w:val="none"/>
          <w:lang w:val="zh-CN"/>
        </w:rPr>
        <w:t>：</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（签字或盖章）</w:t>
      </w:r>
    </w:p>
    <w:p>
      <w:pPr>
        <w:autoSpaceDE w:val="0"/>
        <w:autoSpaceDN w:val="0"/>
        <w:adjustRightInd w:val="0"/>
        <w:spacing w:line="600" w:lineRule="auto"/>
        <w:ind w:firstLine="6000" w:firstLineChars="2500"/>
        <w:jc w:val="right"/>
        <w:outlineLvl w:val="9"/>
        <w:rPr>
          <w:rFonts w:hint="eastAsia" w:ascii="宋体" w:hAnsi="宋体"/>
          <w:color w:val="auto"/>
          <w:szCs w:val="21"/>
          <w:highlight w:val="none"/>
          <w:lang w:val="zh-CN"/>
        </w:rPr>
      </w:pPr>
      <w:r>
        <w:rPr>
          <w:rFonts w:hint="eastAsia" w:ascii="宋体" w:hAnsi="宋体"/>
          <w:color w:val="auto"/>
          <w:sz w:val="24"/>
          <w:szCs w:val="24"/>
          <w:highlight w:val="none"/>
          <w:lang w:val="zh-CN"/>
        </w:rPr>
        <w:t>年    月    日</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2"/>
          <w:szCs w:val="22"/>
          <w:highlight w:val="none"/>
          <w:lang w:val="zh-CN"/>
        </w:rPr>
      </w:pPr>
      <w:bookmarkStart w:id="77" w:name="_Toc75259387"/>
      <w:r>
        <w:rPr>
          <w:rFonts w:hint="eastAsia" w:asciiTheme="minorEastAsia" w:hAnsiTheme="minorEastAsia" w:eastAsiaTheme="minorEastAsia" w:cstheme="minorEastAsia"/>
          <w:b/>
          <w:bCs/>
          <w:color w:val="auto"/>
          <w:sz w:val="22"/>
          <w:szCs w:val="22"/>
          <w:highlight w:val="none"/>
          <w:lang w:val="zh-CN"/>
        </w:rPr>
        <w:t>注：法定代表人（自然人）本人直接磋商的不填写本部分内容。</w:t>
      </w:r>
    </w:p>
    <w:p>
      <w:pPr>
        <w:outlineLvl w:val="9"/>
        <w:rPr>
          <w:rFonts w:hint="eastAsia" w:ascii="宋体" w:hAnsi="宋体"/>
          <w:b/>
          <w:color w:val="auto"/>
          <w:sz w:val="32"/>
          <w:szCs w:val="24"/>
          <w:highlight w:val="none"/>
        </w:rPr>
      </w:pPr>
      <w:r>
        <w:rPr>
          <w:rFonts w:hint="eastAsia" w:ascii="宋体" w:hAnsi="宋体"/>
          <w:b/>
          <w:color w:val="auto"/>
          <w:sz w:val="32"/>
          <w:szCs w:val="24"/>
          <w:highlight w:val="none"/>
        </w:rPr>
        <w:br w:type="page"/>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b/>
          <w:color w:val="auto"/>
          <w:sz w:val="30"/>
          <w:szCs w:val="30"/>
          <w:highlight w:val="none"/>
        </w:rPr>
      </w:pPr>
      <w:r>
        <w:rPr>
          <w:rFonts w:hint="eastAsia" w:ascii="宋体" w:hAnsi="宋体"/>
          <w:b/>
          <w:color w:val="auto"/>
          <w:sz w:val="32"/>
          <w:szCs w:val="24"/>
          <w:highlight w:val="none"/>
        </w:rPr>
        <w:t>四、资格证明文件</w:t>
      </w:r>
      <w:bookmarkEnd w:id="77"/>
    </w:p>
    <w:p>
      <w:pPr>
        <w:pStyle w:val="22"/>
        <w:spacing w:line="360" w:lineRule="auto"/>
        <w:outlineLvl w:val="9"/>
        <w:rPr>
          <w:rFonts w:hint="eastAsia" w:ascii="宋体" w:hAnsi="宋体"/>
          <w:b/>
          <w:bCs/>
          <w:color w:val="auto"/>
          <w:kern w:val="2"/>
          <w:sz w:val="21"/>
          <w:highlight w:val="none"/>
        </w:rPr>
      </w:pPr>
    </w:p>
    <w:p>
      <w:pPr>
        <w:pStyle w:val="22"/>
        <w:keepNext w:val="0"/>
        <w:keepLines w:val="0"/>
        <w:pageBreakBefore w:val="0"/>
        <w:widowControl/>
        <w:kinsoku/>
        <w:overflowPunct/>
        <w:topLinePunct w:val="0"/>
        <w:autoSpaceDE/>
        <w:autoSpaceDN/>
        <w:bidi w:val="0"/>
        <w:adjustRightInd/>
        <w:snapToGrid/>
        <w:spacing w:line="360" w:lineRule="auto"/>
        <w:ind w:right="0" w:rightChars="0"/>
        <w:textAlignment w:val="auto"/>
        <w:outlineLvl w:val="9"/>
        <w:rPr>
          <w:rFonts w:hint="eastAsia" w:ascii="宋体" w:hAnsi="宋体"/>
          <w:color w:val="auto"/>
          <w:kern w:val="2"/>
          <w:sz w:val="24"/>
          <w:szCs w:val="24"/>
          <w:highlight w:val="none"/>
        </w:rPr>
      </w:pPr>
      <w:r>
        <w:rPr>
          <w:rFonts w:hint="eastAsia" w:ascii="宋体" w:hAnsi="宋体"/>
          <w:b/>
          <w:bCs/>
          <w:color w:val="auto"/>
          <w:kern w:val="2"/>
          <w:sz w:val="24"/>
          <w:szCs w:val="24"/>
          <w:highlight w:val="none"/>
          <w:lang w:val="en-US" w:eastAsia="zh-CN"/>
        </w:rPr>
        <w:t>此处需附供应商资格证明文件并</w:t>
      </w:r>
      <w:r>
        <w:rPr>
          <w:rFonts w:hint="eastAsia" w:ascii="宋体" w:hAnsi="宋体"/>
          <w:b/>
          <w:bCs/>
          <w:color w:val="auto"/>
          <w:kern w:val="2"/>
          <w:sz w:val="24"/>
          <w:szCs w:val="24"/>
          <w:highlight w:val="none"/>
        </w:rPr>
        <w:t>加盖公章</w:t>
      </w:r>
      <w:r>
        <w:rPr>
          <w:rFonts w:hint="eastAsia" w:ascii="宋体" w:hAnsi="宋体"/>
          <w:color w:val="auto"/>
          <w:kern w:val="2"/>
          <w:sz w:val="24"/>
          <w:szCs w:val="24"/>
          <w:highlight w:val="none"/>
        </w:rPr>
        <w:t>：</w:t>
      </w:r>
    </w:p>
    <w:p>
      <w:pPr>
        <w:keepLines w:val="0"/>
        <w:pageBreakBefore w:val="0"/>
        <w:widowControl w:val="0"/>
        <w:kinsoku/>
        <w:overflowPunct/>
        <w:topLinePunct w:val="0"/>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1.满足《中华人民共和国政府采购法》第二十二条规定；</w:t>
      </w:r>
    </w:p>
    <w:p>
      <w:pPr>
        <w:keepLines w:val="0"/>
        <w:pageBreakBefore w:val="0"/>
        <w:widowControl w:val="0"/>
        <w:kinsoku/>
        <w:overflowPunct/>
        <w:topLinePunct w:val="0"/>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2.落实政府采购政策需满足的资格要求</w:t>
      </w:r>
      <w:r>
        <w:rPr>
          <w:rFonts w:hint="eastAsia" w:asciiTheme="minorEastAsia" w:hAnsiTheme="minorEastAsia" w:eastAsiaTheme="minorEastAsia" w:cstheme="minorEastAsia"/>
          <w:color w:val="auto"/>
          <w:sz w:val="24"/>
          <w:szCs w:val="24"/>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目专门面向小微企业采购，供应商须为小型、微型企业，并提供《中小企业声明函》（采购标的对应所属行业为农、林、牧、渔业，声明函格式按照《政府采购促进中小企业发展管理办法》（财库〔2020〕46号）要求提供）</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3.本项目的特定资格要求：</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合同包1(</w:t>
      </w:r>
      <w:r>
        <w:rPr>
          <w:rFonts w:hint="eastAsia" w:hAnsi="宋体" w:eastAsia="宋体" w:cs="宋体"/>
          <w:b w:val="0"/>
          <w:color w:val="auto"/>
          <w:sz w:val="24"/>
          <w:szCs w:val="24"/>
          <w:highlight w:val="none"/>
          <w:lang w:eastAsia="zh-CN"/>
        </w:rPr>
        <w:t>延安市黄龙山国有林管理局2023年国家重点野生动植物保护项目</w:t>
      </w:r>
      <w:r>
        <w:rPr>
          <w:rFonts w:hint="eastAsia" w:ascii="宋体" w:hAnsi="宋体" w:eastAsia="宋体" w:cs="宋体"/>
          <w:b w:val="0"/>
          <w:color w:val="auto"/>
          <w:sz w:val="24"/>
          <w:szCs w:val="24"/>
          <w:highlight w:val="none"/>
        </w:rPr>
        <w:t>)特定资格要求如下:</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（1）具有独立承担民事责任能力的法人、其他组织或自然人，并出具合法有效的营业执照或事业单位法人证书等国家规定的相关证明，自然人参与的提供其身份证明；</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（2）法定代表人（自然人）参加磋商活动须出具法定代表人（自然人）证明书，授权代表参加磋商活动，须出具法定代表人授权委托书；</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（3）供应商应出具参加政府采购活动前3年内在经营活动中没有重大违法记录的书面声明；</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w:t>
      </w:r>
      <w:r>
        <w:rPr>
          <w:rFonts w:hint="eastAsia" w:hAnsi="宋体" w:eastAsia="宋体" w:cs="宋体"/>
          <w:b w:val="0"/>
          <w:color w:val="auto"/>
          <w:sz w:val="24"/>
          <w:szCs w:val="24"/>
          <w:highlight w:val="none"/>
          <w:lang w:val="en-US" w:eastAsia="zh-CN"/>
        </w:rPr>
        <w:t>4</w:t>
      </w:r>
      <w:r>
        <w:rPr>
          <w:rFonts w:hint="eastAsia" w:ascii="宋体" w:hAnsi="宋体" w:eastAsia="宋体" w:cs="宋体"/>
          <w:b w:val="0"/>
          <w:color w:val="auto"/>
          <w:sz w:val="24"/>
          <w:szCs w:val="24"/>
          <w:highlight w:val="none"/>
        </w:rPr>
        <w:t>）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w:t>
      </w:r>
      <w:r>
        <w:rPr>
          <w:rFonts w:hint="eastAsia" w:hAnsi="宋体" w:eastAsia="宋体" w:cs="宋体"/>
          <w:b w:val="0"/>
          <w:color w:val="auto"/>
          <w:sz w:val="24"/>
          <w:szCs w:val="24"/>
          <w:highlight w:val="none"/>
          <w:lang w:val="en-US" w:eastAsia="zh-CN"/>
        </w:rPr>
        <w:t>5</w:t>
      </w:r>
      <w:r>
        <w:rPr>
          <w:rFonts w:hint="eastAsia" w:ascii="宋体" w:hAnsi="宋体" w:eastAsia="宋体" w:cs="宋体"/>
          <w:b w:val="0"/>
          <w:color w:val="auto"/>
          <w:sz w:val="24"/>
          <w:szCs w:val="24"/>
          <w:highlight w:val="none"/>
        </w:rPr>
        <w:t>）缴纳保证金的银行转账或电汇凭证。</w:t>
      </w:r>
    </w:p>
    <w:p>
      <w:pPr>
        <w:keepLines w:val="0"/>
        <w:pageBreakBefore w:val="0"/>
        <w:widowControl w:val="0"/>
        <w:kinsoku/>
        <w:overflowPunct/>
        <w:topLinePunct w:val="0"/>
        <w:bidi w:val="0"/>
        <w:adjustRightInd/>
        <w:snapToGrid/>
        <w:spacing w:line="360" w:lineRule="auto"/>
        <w:ind w:firstLine="420" w:firstLineChars="200"/>
        <w:textAlignment w:val="auto"/>
        <w:outlineLvl w:val="9"/>
        <w:rPr>
          <w:color w:val="auto"/>
          <w:highlight w:val="none"/>
        </w:rPr>
      </w:pPr>
    </w:p>
    <w:p>
      <w:pPr>
        <w:spacing w:line="360" w:lineRule="auto"/>
        <w:jc w:val="center"/>
        <w:outlineLvl w:val="9"/>
        <w:rPr>
          <w:rFonts w:hint="eastAsia" w:ascii="宋体" w:hAnsi="宋体" w:cs="宋体"/>
          <w:b/>
          <w:color w:val="auto"/>
          <w:sz w:val="32"/>
          <w:szCs w:val="32"/>
          <w:highlight w:val="none"/>
        </w:rPr>
      </w:pPr>
      <w:r>
        <w:rPr>
          <w:rFonts w:ascii="宋体" w:hAnsi="宋体" w:cs="宋体"/>
          <w:b/>
          <w:color w:val="auto"/>
          <w:sz w:val="32"/>
          <w:szCs w:val="32"/>
          <w:highlight w:val="none"/>
        </w:rPr>
        <w:br w:type="page"/>
      </w:r>
      <w:r>
        <w:rPr>
          <w:rFonts w:ascii="宋体" w:hAnsi="宋体" w:cs="宋体"/>
          <w:b/>
          <w:color w:val="auto"/>
          <w:sz w:val="32"/>
          <w:szCs w:val="32"/>
          <w:highlight w:val="none"/>
        </w:rPr>
        <w:t>磋商保证金缴纳凭证</w:t>
      </w:r>
    </w:p>
    <w:p>
      <w:pPr>
        <w:spacing w:line="360" w:lineRule="auto"/>
        <w:ind w:left="1262"/>
        <w:outlineLvl w:val="9"/>
        <w:rPr>
          <w:rFonts w:ascii="宋体"/>
          <w:color w:val="auto"/>
          <w:sz w:val="24"/>
          <w:highlight w:val="none"/>
        </w:rPr>
      </w:pPr>
    </w:p>
    <w:tbl>
      <w:tblPr>
        <w:tblStyle w:val="20"/>
        <w:tblW w:w="8280"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28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PrEx>
        <w:trPr>
          <w:trHeight w:val="5573" w:hRule="atLeast"/>
          <w:jc w:val="center"/>
        </w:trPr>
        <w:tc>
          <w:tcPr>
            <w:tcW w:w="8280" w:type="dxa"/>
            <w:vAlign w:val="center"/>
          </w:tcPr>
          <w:p>
            <w:pPr>
              <w:spacing w:line="360" w:lineRule="auto"/>
              <w:jc w:val="center"/>
              <w:outlineLvl w:val="9"/>
              <w:rPr>
                <w:rFonts w:ascii="宋体"/>
                <w:color w:val="auto"/>
                <w:sz w:val="24"/>
                <w:highlight w:val="none"/>
              </w:rPr>
            </w:pPr>
            <w:r>
              <w:rPr>
                <w:rFonts w:hint="eastAsia" w:ascii="宋体" w:hAnsi="宋体"/>
                <w:color w:val="auto"/>
                <w:sz w:val="24"/>
                <w:highlight w:val="none"/>
              </w:rPr>
              <w:t>粘贴处</w:t>
            </w:r>
          </w:p>
        </w:tc>
      </w:tr>
    </w:tbl>
    <w:p>
      <w:pPr>
        <w:spacing w:line="360" w:lineRule="auto"/>
        <w:ind w:firstLine="716" w:firstLineChars="297"/>
        <w:outlineLvl w:val="9"/>
        <w:rPr>
          <w:rFonts w:ascii="宋体"/>
          <w:b/>
          <w:color w:val="auto"/>
          <w:sz w:val="24"/>
          <w:highlight w:val="none"/>
        </w:rPr>
      </w:pPr>
    </w:p>
    <w:p>
      <w:pPr>
        <w:spacing w:line="360" w:lineRule="auto"/>
        <w:outlineLvl w:val="9"/>
        <w:rPr>
          <w:rFonts w:ascii="宋体"/>
          <w:b/>
          <w:color w:val="auto"/>
          <w:sz w:val="24"/>
          <w:highlight w:val="none"/>
        </w:rPr>
      </w:pPr>
      <w:r>
        <w:rPr>
          <w:rFonts w:hint="eastAsia" w:ascii="宋体"/>
          <w:b/>
          <w:color w:val="auto"/>
          <w:sz w:val="24"/>
          <w:highlight w:val="none"/>
        </w:rPr>
        <w:t>注</w:t>
      </w:r>
      <w:r>
        <w:rPr>
          <w:rFonts w:ascii="宋体"/>
          <w:b/>
          <w:color w:val="auto"/>
          <w:sz w:val="24"/>
          <w:highlight w:val="none"/>
        </w:rPr>
        <w:t>：须</w:t>
      </w:r>
      <w:r>
        <w:rPr>
          <w:rFonts w:hint="eastAsia" w:ascii="宋体"/>
          <w:b/>
          <w:color w:val="auto"/>
          <w:sz w:val="24"/>
          <w:highlight w:val="none"/>
        </w:rPr>
        <w:t>附开户许可证或基本存款账户信息</w:t>
      </w:r>
    </w:p>
    <w:p>
      <w:pPr>
        <w:outlineLvl w:val="9"/>
        <w:rPr>
          <w:rFonts w:hint="eastAsia"/>
          <w:color w:val="auto"/>
          <w:highlight w:val="none"/>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b/>
          <w:color w:val="auto"/>
          <w:sz w:val="30"/>
          <w:szCs w:val="30"/>
          <w:highlight w:val="none"/>
        </w:rPr>
      </w:pPr>
      <w:r>
        <w:rPr>
          <w:rFonts w:ascii="宋体" w:hAnsi="宋体"/>
          <w:b/>
          <w:color w:val="auto"/>
          <w:kern w:val="13"/>
          <w:sz w:val="24"/>
          <w:highlight w:val="none"/>
        </w:rPr>
        <w:br w:type="page"/>
      </w:r>
      <w:bookmarkStart w:id="78" w:name="_Toc75259388"/>
      <w:r>
        <w:rPr>
          <w:rFonts w:hint="eastAsia" w:ascii="宋体" w:hAnsi="宋体"/>
          <w:b/>
          <w:color w:val="auto"/>
          <w:sz w:val="32"/>
          <w:szCs w:val="24"/>
          <w:highlight w:val="none"/>
        </w:rPr>
        <w:t>五、商务部分</w:t>
      </w:r>
      <w:bookmarkEnd w:id="78"/>
    </w:p>
    <w:p>
      <w:pPr>
        <w:spacing w:line="360" w:lineRule="auto"/>
        <w:outlineLvl w:val="9"/>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供应商根据 竞争性磋商文件</w:t>
      </w:r>
      <w:r>
        <w:rPr>
          <w:rFonts w:hint="eastAsia" w:ascii="宋体" w:hAnsi="宋体"/>
          <w:color w:val="auto"/>
          <w:sz w:val="24"/>
          <w:szCs w:val="24"/>
          <w:highlight w:val="none"/>
        </w:rPr>
        <w:t>第三部分 磋商须知</w:t>
      </w:r>
      <w:r>
        <w:rPr>
          <w:rFonts w:hint="eastAsia" w:ascii="宋体" w:hAnsi="宋体"/>
          <w:color w:val="auto"/>
          <w:sz w:val="24"/>
          <w:szCs w:val="24"/>
          <w:highlight w:val="none"/>
          <w:lang w:val="en-US" w:eastAsia="zh-CN"/>
        </w:rPr>
        <w:t xml:space="preserve"> 11.3详细评审标准（商务部分） 自主编写</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ascii="宋体" w:hAnsi="宋体"/>
          <w:b/>
          <w:color w:val="auto"/>
          <w:sz w:val="32"/>
          <w:szCs w:val="24"/>
          <w:highlight w:val="none"/>
        </w:rPr>
      </w:pPr>
      <w:r>
        <w:rPr>
          <w:rFonts w:ascii="宋体" w:hAnsi="宋体"/>
          <w:b/>
          <w:color w:val="auto"/>
          <w:sz w:val="32"/>
          <w:szCs w:val="24"/>
          <w:highlight w:val="none"/>
        </w:rPr>
        <w:br w:type="page"/>
      </w:r>
      <w:bookmarkStart w:id="79" w:name="_Toc75259389"/>
      <w:r>
        <w:rPr>
          <w:rFonts w:hint="eastAsia" w:ascii="宋体" w:hAnsi="宋体"/>
          <w:b/>
          <w:color w:val="auto"/>
          <w:sz w:val="32"/>
          <w:szCs w:val="24"/>
          <w:highlight w:val="none"/>
        </w:rPr>
        <w:t>六</w:t>
      </w:r>
      <w:r>
        <w:rPr>
          <w:rFonts w:hint="eastAsia" w:ascii="宋体" w:hAnsi="宋体"/>
          <w:b/>
          <w:color w:val="auto"/>
          <w:sz w:val="32"/>
          <w:szCs w:val="24"/>
          <w:highlight w:val="none"/>
          <w:lang w:eastAsia="zh-CN"/>
        </w:rPr>
        <w:t>、</w:t>
      </w:r>
      <w:r>
        <w:rPr>
          <w:rFonts w:hint="eastAsia" w:ascii="宋体" w:hAnsi="宋体"/>
          <w:b/>
          <w:color w:val="auto"/>
          <w:sz w:val="32"/>
          <w:szCs w:val="24"/>
          <w:highlight w:val="none"/>
        </w:rPr>
        <w:t>技术部分</w:t>
      </w:r>
      <w:bookmarkEnd w:id="79"/>
    </w:p>
    <w:p>
      <w:pPr>
        <w:widowControl/>
        <w:tabs>
          <w:tab w:val="left" w:pos="1620"/>
        </w:tabs>
        <w:wordWrap w:val="0"/>
        <w:spacing w:line="360" w:lineRule="auto"/>
        <w:ind w:right="-197" w:rightChars="-94" w:firstLine="480" w:firstLineChars="200"/>
        <w:jc w:val="left"/>
        <w:outlineLvl w:val="9"/>
        <w:rPr>
          <w:rFonts w:hint="eastAsia" w:ascii="宋体" w:hAnsi="宋体" w:eastAsiaTheme="minorEastAsia"/>
          <w:color w:val="auto"/>
          <w:sz w:val="24"/>
          <w:szCs w:val="24"/>
          <w:highlight w:val="none"/>
          <w:lang w:eastAsia="zh-CN"/>
        </w:rPr>
      </w:pPr>
      <w:bookmarkStart w:id="80" w:name="_Hlk74736178"/>
      <w:r>
        <w:rPr>
          <w:rFonts w:hint="eastAsia" w:ascii="宋体" w:hAnsi="宋体"/>
          <w:color w:val="auto"/>
          <w:sz w:val="24"/>
          <w:szCs w:val="24"/>
          <w:highlight w:val="none"/>
          <w:lang w:val="en-US" w:eastAsia="zh-CN"/>
        </w:rPr>
        <w:t>供应商根据 竞争性磋商文件</w:t>
      </w:r>
      <w:r>
        <w:rPr>
          <w:rFonts w:hint="eastAsia" w:ascii="宋体" w:hAnsi="宋体"/>
          <w:color w:val="auto"/>
          <w:sz w:val="24"/>
          <w:szCs w:val="24"/>
          <w:highlight w:val="none"/>
        </w:rPr>
        <w:t>第三部分 磋商须知</w:t>
      </w:r>
      <w:r>
        <w:rPr>
          <w:rFonts w:hint="eastAsia" w:ascii="宋体" w:hAnsi="宋体"/>
          <w:color w:val="auto"/>
          <w:sz w:val="24"/>
          <w:szCs w:val="24"/>
          <w:highlight w:val="none"/>
          <w:lang w:val="en-US" w:eastAsia="zh-CN"/>
        </w:rPr>
        <w:t xml:space="preserve"> 11.3详细评审标准（技术部分） 自主编写</w:t>
      </w:r>
    </w:p>
    <w:p>
      <w:pPr>
        <w:widowControl/>
        <w:tabs>
          <w:tab w:val="left" w:pos="1620"/>
        </w:tabs>
        <w:wordWrap w:val="0"/>
        <w:spacing w:line="360" w:lineRule="auto"/>
        <w:ind w:right="-197" w:rightChars="-94" w:firstLine="480" w:firstLineChars="200"/>
        <w:jc w:val="left"/>
        <w:outlineLvl w:val="9"/>
        <w:rPr>
          <w:rFonts w:hint="eastAsia" w:ascii="宋体" w:hAnsi="宋体"/>
          <w:color w:val="auto"/>
          <w:sz w:val="24"/>
          <w:szCs w:val="24"/>
          <w:highlight w:val="none"/>
        </w:rPr>
      </w:pPr>
    </w:p>
    <w:bookmarkEnd w:id="80"/>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ascii="宋体" w:hAnsi="宋体"/>
          <w:b/>
          <w:color w:val="auto"/>
          <w:sz w:val="32"/>
          <w:szCs w:val="24"/>
          <w:highlight w:val="none"/>
        </w:rPr>
      </w:pPr>
      <w:r>
        <w:rPr>
          <w:rFonts w:ascii="宋体" w:hAnsi="宋体"/>
          <w:b/>
          <w:color w:val="auto"/>
          <w:sz w:val="32"/>
          <w:szCs w:val="24"/>
          <w:highlight w:val="none"/>
        </w:rPr>
        <w:br w:type="page"/>
      </w:r>
      <w:bookmarkStart w:id="81" w:name="_Toc75259390"/>
      <w:r>
        <w:rPr>
          <w:rFonts w:hint="eastAsia" w:ascii="宋体" w:hAnsi="宋体"/>
          <w:b/>
          <w:color w:val="auto"/>
          <w:sz w:val="32"/>
          <w:szCs w:val="24"/>
          <w:highlight w:val="none"/>
        </w:rPr>
        <w:t>七</w:t>
      </w:r>
      <w:r>
        <w:rPr>
          <w:rFonts w:hint="eastAsia" w:ascii="宋体" w:hAnsi="宋体"/>
          <w:b/>
          <w:color w:val="auto"/>
          <w:sz w:val="32"/>
          <w:szCs w:val="24"/>
          <w:highlight w:val="none"/>
          <w:lang w:eastAsia="zh-CN"/>
        </w:rPr>
        <w:t>、</w:t>
      </w:r>
      <w:r>
        <w:rPr>
          <w:rFonts w:hint="eastAsia" w:ascii="宋体" w:hAnsi="宋体"/>
          <w:b/>
          <w:color w:val="auto"/>
          <w:sz w:val="32"/>
          <w:szCs w:val="24"/>
          <w:highlight w:val="none"/>
        </w:rPr>
        <w:t>其他材料</w:t>
      </w:r>
      <w:bookmarkEnd w:id="81"/>
    </w:p>
    <w:p>
      <w:pPr>
        <w:autoSpaceDE w:val="0"/>
        <w:autoSpaceDN w:val="0"/>
        <w:adjustRightInd w:val="0"/>
        <w:snapToGrid w:val="0"/>
        <w:spacing w:line="360" w:lineRule="auto"/>
        <w:outlineLvl w:val="9"/>
        <w:rPr>
          <w:rFonts w:hint="eastAsia"/>
          <w:color w:val="auto"/>
          <w:highlight w:val="none"/>
        </w:rPr>
      </w:pPr>
    </w:p>
    <w:p>
      <w:pPr>
        <w:autoSpaceDE w:val="0"/>
        <w:autoSpaceDN w:val="0"/>
        <w:adjustRightInd w:val="0"/>
        <w:spacing w:line="360" w:lineRule="auto"/>
        <w:jc w:val="center"/>
        <w:outlineLvl w:val="9"/>
        <w:rPr>
          <w:rFonts w:hint="eastAsia" w:ascii="宋体" w:hAnsi="宋体"/>
          <w:b/>
          <w:color w:val="auto"/>
          <w:sz w:val="28"/>
          <w:szCs w:val="28"/>
          <w:highlight w:val="none"/>
          <w:lang w:val="zh-CN"/>
        </w:rPr>
      </w:pPr>
      <w:bookmarkStart w:id="82" w:name="_Hlk74736213"/>
      <w:r>
        <w:rPr>
          <w:rFonts w:hint="eastAsia" w:ascii="宋体" w:hAnsi="宋体"/>
          <w:b/>
          <w:color w:val="auto"/>
          <w:sz w:val="28"/>
          <w:szCs w:val="28"/>
          <w:highlight w:val="none"/>
          <w:lang w:val="zh-CN"/>
        </w:rPr>
        <w:t>1、政府采购供应商拒绝政府采购领域商业贿赂承诺书</w:t>
      </w:r>
    </w:p>
    <w:p>
      <w:pPr>
        <w:outlineLvl w:val="9"/>
        <w:rPr>
          <w:color w:val="auto"/>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为响应党中央、国务院关于治理采购领域商业贿赂行为的号召，我公司再次承诺：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1.在参与采购活动中遵纪守法、诚信经营、公平竞标。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2.不向采购人、采购代理机构和采购评审专家进行任何形式的商业贿赂以谋取交易机会。</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3.不向采购代理机构和采购人提供虚假资质文件或采用虚假应标方式参与采购市场竞争并谋取中标、成交。</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4.不采取“围标、陪标”等商业欺诈手段获取采购订单。</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5.不采取不正当手段诋毁、排挤其他供应商。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6.不在提供商品和服务时“偷梁换柱、以次充好”损害采购人的合法权益。</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7.不与采购人、采购代理机构、采购评审专家或其他供应商恶意串通，进行质疑和投诉，维护采购市场秩序。</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8.尊重和接受采购监督管理部门的监督和采购代理机构招标采购要求，承担因违约行为给采购人造成的损失。</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ascii="宋体" w:hAnsi="宋体"/>
          <w:color w:val="auto"/>
          <w:szCs w:val="21"/>
          <w:highlight w:val="none"/>
          <w:lang w:val="zh-CN"/>
        </w:rPr>
      </w:pPr>
      <w:r>
        <w:rPr>
          <w:rFonts w:hint="eastAsia" w:asciiTheme="minorEastAsia" w:hAnsiTheme="minorEastAsia" w:eastAsiaTheme="minorEastAsia" w:cstheme="minorEastAsia"/>
          <w:color w:val="auto"/>
          <w:sz w:val="24"/>
          <w:szCs w:val="24"/>
          <w:highlight w:val="none"/>
          <w:lang w:val="zh-CN"/>
        </w:rPr>
        <w:t>9.不发生其他有悖于政府采购公开、公平、公正和诚信原则的行为。</w:t>
      </w:r>
    </w:p>
    <w:p>
      <w:pPr>
        <w:autoSpaceDE w:val="0"/>
        <w:autoSpaceDN w:val="0"/>
        <w:adjustRightInd w:val="0"/>
        <w:spacing w:line="360" w:lineRule="auto"/>
        <w:ind w:firstLine="420" w:firstLineChars="200"/>
        <w:jc w:val="left"/>
        <w:outlineLvl w:val="9"/>
        <w:rPr>
          <w:rFonts w:ascii="宋体" w:hAnsi="宋体"/>
          <w:color w:val="auto"/>
          <w:szCs w:val="21"/>
          <w:highlight w:val="none"/>
          <w:lang w:val="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 xml:space="preserve">供应商（公章） ：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地址：</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邮编：</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ascii="宋体" w:hAnsi="宋体"/>
          <w:color w:val="auto"/>
          <w:szCs w:val="21"/>
          <w:highlight w:val="none"/>
          <w:lang w:val="zh-CN"/>
        </w:rPr>
      </w:pPr>
      <w:r>
        <w:rPr>
          <w:rFonts w:hint="eastAsia" w:ascii="宋体" w:hAnsi="宋体"/>
          <w:color w:val="auto"/>
          <w:sz w:val="24"/>
          <w:szCs w:val="24"/>
          <w:highlight w:val="none"/>
          <w:lang w:val="zh-CN"/>
        </w:rPr>
        <w:t xml:space="preserve">电话： </w:t>
      </w:r>
      <w:r>
        <w:rPr>
          <w:rFonts w:hint="eastAsia" w:ascii="宋体" w:hAnsi="宋体"/>
          <w:color w:val="auto"/>
          <w:szCs w:val="21"/>
          <w:highlight w:val="none"/>
          <w:lang w:val="zh-CN"/>
        </w:rPr>
        <w:t xml:space="preserve">      </w:t>
      </w:r>
    </w:p>
    <w:p>
      <w:pPr>
        <w:autoSpaceDE w:val="0"/>
        <w:autoSpaceDN w:val="0"/>
        <w:adjustRightInd w:val="0"/>
        <w:spacing w:line="360" w:lineRule="auto"/>
        <w:ind w:firstLine="420" w:firstLineChars="200"/>
        <w:jc w:val="right"/>
        <w:outlineLvl w:val="9"/>
        <w:rPr>
          <w:rFonts w:hint="eastAsia" w:ascii="宋体" w:hAnsi="宋体"/>
          <w:color w:val="auto"/>
          <w:szCs w:val="21"/>
          <w:highlight w:val="none"/>
          <w:lang w:val="zh-CN"/>
        </w:rPr>
      </w:pPr>
      <w:r>
        <w:rPr>
          <w:rFonts w:hint="eastAsia" w:ascii="宋体" w:hAnsi="宋体"/>
          <w:color w:val="auto"/>
          <w:szCs w:val="21"/>
          <w:highlight w:val="none"/>
          <w:lang w:val="zh-CN"/>
        </w:rPr>
        <w:t xml:space="preserve">                     </w:t>
      </w:r>
    </w:p>
    <w:p>
      <w:pPr>
        <w:autoSpaceDE w:val="0"/>
        <w:autoSpaceDN w:val="0"/>
        <w:adjustRightInd w:val="0"/>
        <w:spacing w:line="360" w:lineRule="auto"/>
        <w:ind w:firstLine="480" w:firstLineChars="200"/>
        <w:jc w:val="right"/>
        <w:outlineLvl w:val="9"/>
        <w:rPr>
          <w:rFonts w:ascii="宋体" w:hAnsi="宋体"/>
          <w:color w:val="auto"/>
          <w:szCs w:val="21"/>
          <w:highlight w:val="none"/>
          <w:lang w:val="zh-CN"/>
        </w:rPr>
      </w:pPr>
      <w:r>
        <w:rPr>
          <w:rFonts w:hint="eastAsia" w:ascii="宋体" w:hAnsi="宋体"/>
          <w:color w:val="auto"/>
          <w:sz w:val="24"/>
          <w:szCs w:val="24"/>
          <w:highlight w:val="none"/>
          <w:lang w:val="zh-CN"/>
        </w:rPr>
        <w:t xml:space="preserve"> 年    月    日</w:t>
      </w:r>
    </w:p>
    <w:p>
      <w:pPr>
        <w:autoSpaceDE w:val="0"/>
        <w:autoSpaceDN w:val="0"/>
        <w:adjustRightInd w:val="0"/>
        <w:spacing w:line="360" w:lineRule="auto"/>
        <w:ind w:firstLine="420" w:firstLineChars="200"/>
        <w:jc w:val="left"/>
        <w:outlineLvl w:val="9"/>
        <w:rPr>
          <w:rFonts w:ascii="宋体" w:hAnsi="宋体"/>
          <w:color w:val="auto"/>
          <w:szCs w:val="21"/>
          <w:highlight w:val="none"/>
          <w:lang w:val="zh-CN"/>
        </w:rPr>
      </w:pPr>
    </w:p>
    <w:p>
      <w:pPr>
        <w:autoSpaceDE w:val="0"/>
        <w:autoSpaceDN w:val="0"/>
        <w:adjustRightInd w:val="0"/>
        <w:spacing w:line="360" w:lineRule="auto"/>
        <w:jc w:val="left"/>
        <w:outlineLvl w:val="9"/>
        <w:rPr>
          <w:rFonts w:ascii="宋体" w:hAnsi="宋体"/>
          <w:b/>
          <w:color w:val="auto"/>
          <w:sz w:val="28"/>
          <w:szCs w:val="28"/>
          <w:highlight w:val="none"/>
          <w:lang w:val="zh-CN"/>
        </w:rPr>
      </w:pPr>
    </w:p>
    <w:p>
      <w:pPr>
        <w:autoSpaceDE w:val="0"/>
        <w:autoSpaceDN w:val="0"/>
        <w:adjustRightInd w:val="0"/>
        <w:spacing w:line="360" w:lineRule="auto"/>
        <w:jc w:val="center"/>
        <w:outlineLvl w:val="9"/>
        <w:rPr>
          <w:rFonts w:hint="eastAsia" w:ascii="宋体" w:hAnsi="宋体"/>
          <w:b/>
          <w:color w:val="auto"/>
          <w:sz w:val="28"/>
          <w:szCs w:val="28"/>
          <w:highlight w:val="none"/>
          <w:lang w:val="zh-CN"/>
        </w:rPr>
      </w:pPr>
      <w:r>
        <w:rPr>
          <w:rFonts w:ascii="宋体" w:hAnsi="宋体"/>
          <w:b/>
          <w:color w:val="auto"/>
          <w:sz w:val="28"/>
          <w:szCs w:val="28"/>
          <w:highlight w:val="none"/>
          <w:lang w:val="zh-CN"/>
        </w:rPr>
        <w:br w:type="page"/>
      </w:r>
      <w:r>
        <w:rPr>
          <w:rFonts w:hint="eastAsia" w:asciiTheme="minorEastAsia" w:hAnsiTheme="minorEastAsia" w:eastAsiaTheme="minorEastAsia" w:cstheme="minorEastAsia"/>
          <w:b/>
          <w:color w:val="auto"/>
          <w:sz w:val="28"/>
          <w:szCs w:val="28"/>
          <w:highlight w:val="none"/>
          <w:lang w:val="zh-CN"/>
        </w:rPr>
        <w:t>2、</w:t>
      </w:r>
      <w:r>
        <w:rPr>
          <w:rFonts w:hint="eastAsia" w:ascii="宋体" w:hAnsi="宋体"/>
          <w:b/>
          <w:color w:val="auto"/>
          <w:sz w:val="28"/>
          <w:szCs w:val="28"/>
          <w:highlight w:val="none"/>
          <w:lang w:val="zh-CN"/>
        </w:rPr>
        <w:t>供应商资格承诺书</w:t>
      </w:r>
    </w:p>
    <w:p>
      <w:pPr>
        <w:outlineLvl w:val="9"/>
        <w:rPr>
          <w:color w:val="auto"/>
          <w:lang w:val="zh-CN"/>
        </w:rPr>
      </w:pPr>
    </w:p>
    <w:p>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我方承诺，不存在相关法律法规规定的禁止投标的情形。我单位的股权关系、与其他单位的管理关系和其他与本项目有关的利害关系等，作如下说明和承诺：</w:t>
      </w:r>
    </w:p>
    <w:p>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1.我方在本项目投标中，不存在与其他供应商单位负责人为同一人或者存在直接控股、管理关系。</w:t>
      </w:r>
    </w:p>
    <w:p>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bookmarkStart w:id="83" w:name="_Toc10578_WPSOffice_Level2"/>
      <w:bookmarkStart w:id="84" w:name="_Toc14125_WPSOffice_Level2"/>
      <w:bookmarkStart w:id="85" w:name="_Toc16297_WPSOffice_Level2"/>
      <w:r>
        <w:rPr>
          <w:rFonts w:hint="eastAsia" w:ascii="宋体" w:hAnsi="宋体"/>
          <w:color w:val="auto"/>
          <w:sz w:val="24"/>
          <w:szCs w:val="24"/>
          <w:highlight w:val="none"/>
          <w:lang w:val="zh-CN"/>
        </w:rPr>
        <w:t>1.1股权关系说明</w:t>
      </w:r>
      <w:bookmarkEnd w:id="83"/>
      <w:bookmarkEnd w:id="84"/>
      <w:bookmarkEnd w:id="85"/>
    </w:p>
    <w:p>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1.1.1我单位法定代表人（单位负责人）姓名：</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w:t>
      </w:r>
    </w:p>
    <w:p>
      <w:pPr>
        <w:autoSpaceDE w:val="0"/>
        <w:autoSpaceDN w:val="0"/>
        <w:adjustRightInd w:val="0"/>
        <w:spacing w:line="360" w:lineRule="auto"/>
        <w:ind w:firstLine="480" w:firstLineChars="200"/>
        <w:jc w:val="left"/>
        <w:outlineLvl w:val="9"/>
        <w:rPr>
          <w:rFonts w:ascii="宋体" w:hAnsi="宋体"/>
          <w:color w:val="auto"/>
          <w:sz w:val="24"/>
          <w:szCs w:val="24"/>
          <w:highlight w:val="none"/>
          <w:u w:val="single"/>
          <w:lang w:val="zh-CN"/>
        </w:rPr>
      </w:pPr>
      <w:r>
        <w:rPr>
          <w:rFonts w:hint="eastAsia" w:ascii="宋体" w:hAnsi="宋体"/>
          <w:color w:val="auto"/>
          <w:sz w:val="24"/>
          <w:szCs w:val="24"/>
          <w:highlight w:val="none"/>
          <w:lang w:val="zh-CN"/>
        </w:rPr>
        <w:t>1.1.2我单位控股的单位有</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w:t>
      </w:r>
    </w:p>
    <w:p>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1.1.3我单位被</w:t>
      </w:r>
      <w:r>
        <w:rPr>
          <w:rFonts w:hint="eastAsia" w:ascii="宋体" w:hAnsi="宋体"/>
          <w:color w:val="auto"/>
          <w:sz w:val="24"/>
          <w:szCs w:val="24"/>
          <w:highlight w:val="none"/>
          <w:u w:val="single"/>
          <w:lang w:val="zh-CN"/>
        </w:rPr>
        <w:t xml:space="preserve">                      （单位或自然人）  </w:t>
      </w:r>
      <w:r>
        <w:rPr>
          <w:rFonts w:hint="eastAsia" w:ascii="宋体" w:hAnsi="宋体"/>
          <w:color w:val="auto"/>
          <w:sz w:val="24"/>
          <w:szCs w:val="24"/>
          <w:highlight w:val="none"/>
          <w:lang w:val="zh-CN"/>
        </w:rPr>
        <w:t>控股。</w:t>
      </w:r>
    </w:p>
    <w:p>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bookmarkStart w:id="86" w:name="_Toc1335_WPSOffice_Level2"/>
      <w:bookmarkStart w:id="87" w:name="_Toc26574_WPSOffice_Level2"/>
      <w:bookmarkStart w:id="88" w:name="_Toc20668_WPSOffice_Level2"/>
      <w:r>
        <w:rPr>
          <w:rFonts w:hint="eastAsia" w:ascii="宋体" w:hAnsi="宋体"/>
          <w:color w:val="auto"/>
          <w:sz w:val="24"/>
          <w:szCs w:val="24"/>
          <w:highlight w:val="none"/>
          <w:lang w:val="zh-CN"/>
        </w:rPr>
        <w:t>1.2管理关系说明</w:t>
      </w:r>
      <w:bookmarkEnd w:id="86"/>
      <w:bookmarkEnd w:id="87"/>
      <w:bookmarkEnd w:id="88"/>
    </w:p>
    <w:p>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1.2.1我单位管理的下属单位有</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w:t>
      </w:r>
    </w:p>
    <w:p>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1.2.2我单位的上级管理单位有</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w:t>
      </w:r>
    </w:p>
    <w:p>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2.我方与采购人不存在利害关系及其他可能影响招标公正性的情形。</w:t>
      </w:r>
    </w:p>
    <w:p>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3.我方没有为采购项目提供整体设计、规范编制或者项目管理、监理、检测等服务；</w:t>
      </w:r>
    </w:p>
    <w:p>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4.其他与本项目有关的利害关系说明：</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w:t>
      </w:r>
    </w:p>
    <w:p>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5.信用记录</w:t>
      </w:r>
    </w:p>
    <w:p>
      <w:pPr>
        <w:spacing w:line="360" w:lineRule="auto"/>
        <w:ind w:firstLine="480" w:firstLineChars="200"/>
        <w:outlineLvl w:val="9"/>
        <w:rPr>
          <w:color w:val="auto"/>
          <w:sz w:val="24"/>
          <w:szCs w:val="24"/>
          <w:highlight w:val="none"/>
        </w:rPr>
      </w:pPr>
      <w:r>
        <w:rPr>
          <w:rFonts w:hint="eastAsia" w:ascii="宋体" w:hAnsi="宋体"/>
          <w:color w:val="auto"/>
          <w:sz w:val="24"/>
          <w:szCs w:val="24"/>
          <w:highlight w:val="none"/>
          <w:lang w:val="zh-CN"/>
        </w:rPr>
        <w:t>5.1</w:t>
      </w:r>
      <w:r>
        <w:rPr>
          <w:rFonts w:hint="eastAsia"/>
          <w:color w:val="auto"/>
          <w:sz w:val="24"/>
          <w:szCs w:val="24"/>
          <w:highlight w:val="none"/>
        </w:rPr>
        <w:t>我方</w:t>
      </w:r>
      <w:r>
        <w:rPr>
          <w:rFonts w:hint="eastAsia" w:ascii="宋体" w:hAnsi="宋体"/>
          <w:color w:val="auto"/>
          <w:sz w:val="24"/>
          <w:szCs w:val="24"/>
          <w:highlight w:val="none"/>
          <w:u w:val="single"/>
          <w:lang w:val="zh-CN"/>
        </w:rPr>
        <w:t xml:space="preserve">         </w:t>
      </w:r>
      <w:r>
        <w:rPr>
          <w:rFonts w:hint="eastAsia"/>
          <w:color w:val="auto"/>
          <w:sz w:val="24"/>
          <w:szCs w:val="24"/>
          <w:highlight w:val="none"/>
        </w:rPr>
        <w:t>（填“未被列入”或“被列入”）失信被执行人名单。</w:t>
      </w: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（填“未被列入”或“被列入”）重大税收违法案件当事人名单。</w:t>
      </w:r>
    </w:p>
    <w:p>
      <w:pPr>
        <w:spacing w:line="360" w:lineRule="auto"/>
        <w:ind w:firstLine="480" w:firstLineChars="200"/>
        <w:outlineLvl w:val="9"/>
        <w:rPr>
          <w:color w:val="auto"/>
          <w:sz w:val="24"/>
          <w:szCs w:val="24"/>
          <w:highlight w:val="none"/>
        </w:rPr>
      </w:pPr>
      <w:r>
        <w:rPr>
          <w:rFonts w:hint="eastAsia" w:ascii="宋体" w:hAnsi="宋体" w:eastAsia="宋体" w:cs="宋体"/>
          <w:color w:val="auto"/>
          <w:sz w:val="24"/>
          <w:szCs w:val="24"/>
          <w:highlight w:val="none"/>
        </w:rPr>
        <w:t>5.3</w:t>
      </w:r>
      <w:r>
        <w:rPr>
          <w:rFonts w:hint="eastAsia"/>
          <w:color w:val="auto"/>
          <w:sz w:val="24"/>
          <w:szCs w:val="24"/>
          <w:highlight w:val="none"/>
        </w:rPr>
        <w:t>我方</w:t>
      </w:r>
      <w:r>
        <w:rPr>
          <w:rFonts w:hint="eastAsia" w:ascii="宋体" w:hAnsi="宋体"/>
          <w:color w:val="auto"/>
          <w:sz w:val="24"/>
          <w:szCs w:val="24"/>
          <w:highlight w:val="none"/>
          <w:u w:val="single"/>
          <w:lang w:val="zh-CN"/>
        </w:rPr>
        <w:t xml:space="preserve">          </w:t>
      </w:r>
      <w:r>
        <w:rPr>
          <w:rFonts w:hint="eastAsia"/>
          <w:color w:val="auto"/>
          <w:sz w:val="24"/>
          <w:szCs w:val="24"/>
          <w:highlight w:val="none"/>
        </w:rPr>
        <w:t>（填“未被列入”或“被列入”）政府采购严重违法失信行为记录名单。</w:t>
      </w:r>
    </w:p>
    <w:p>
      <w:pPr>
        <w:spacing w:line="360" w:lineRule="auto"/>
        <w:ind w:firstLine="480" w:firstLineChars="200"/>
        <w:outlineLvl w:val="9"/>
        <w:rPr>
          <w:color w:val="auto"/>
          <w:highlight w:val="none"/>
        </w:rPr>
      </w:pPr>
      <w:r>
        <w:rPr>
          <w:rFonts w:hint="eastAsia" w:ascii="宋体" w:hAnsi="宋体"/>
          <w:color w:val="auto"/>
          <w:sz w:val="24"/>
          <w:szCs w:val="24"/>
          <w:highlight w:val="none"/>
          <w:lang w:val="zh-CN"/>
        </w:rPr>
        <w:t>我方承诺以上说明</w:t>
      </w:r>
      <w:r>
        <w:rPr>
          <w:color w:val="auto"/>
          <w:sz w:val="24"/>
          <w:szCs w:val="24"/>
          <w:highlight w:val="none"/>
        </w:rPr>
        <w:t>如有不实，我方将无条件地退出本项目的采购活动，并遵照《</w:t>
      </w:r>
      <w:r>
        <w:rPr>
          <w:rFonts w:hint="eastAsia"/>
          <w:color w:val="auto"/>
          <w:sz w:val="24"/>
          <w:szCs w:val="24"/>
          <w:highlight w:val="none"/>
          <w:lang w:val="en-US" w:eastAsia="zh-CN"/>
        </w:rPr>
        <w:t>中华人民共和国</w:t>
      </w:r>
      <w:r>
        <w:rPr>
          <w:color w:val="auto"/>
          <w:sz w:val="24"/>
          <w:szCs w:val="24"/>
          <w:highlight w:val="none"/>
        </w:rPr>
        <w:t>政府采购法》有关</w:t>
      </w:r>
      <w:r>
        <w:rPr>
          <w:rFonts w:hint="eastAsia"/>
          <w:color w:val="auto"/>
          <w:sz w:val="24"/>
          <w:szCs w:val="24"/>
          <w:highlight w:val="none"/>
        </w:rPr>
        <w:t>“提供虚假材料的规定”</w:t>
      </w:r>
      <w:r>
        <w:rPr>
          <w:color w:val="auto"/>
          <w:sz w:val="24"/>
          <w:szCs w:val="24"/>
          <w:highlight w:val="none"/>
        </w:rPr>
        <w:t>接受处罚。</w:t>
      </w:r>
    </w:p>
    <w:p>
      <w:pPr>
        <w:autoSpaceDE w:val="0"/>
        <w:autoSpaceDN w:val="0"/>
        <w:adjustRightInd w:val="0"/>
        <w:spacing w:line="360" w:lineRule="auto"/>
        <w:jc w:val="left"/>
        <w:outlineLvl w:val="9"/>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授权代表（签字</w:t>
      </w:r>
      <w:r>
        <w:rPr>
          <w:rFonts w:hint="eastAsia" w:asciiTheme="minorEastAsia" w:hAnsiTheme="minorEastAsia" w:eastAsiaTheme="minorEastAsia" w:cstheme="minorEastAsia"/>
          <w:color w:val="auto"/>
          <w:sz w:val="24"/>
          <w:szCs w:val="24"/>
          <w:highlight w:val="none"/>
          <w:lang w:eastAsia="zh-CN"/>
        </w:rPr>
        <w:t>或盖章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autoSpaceDE w:val="0"/>
        <w:autoSpaceDN w:val="0"/>
        <w:adjustRightInd w:val="0"/>
        <w:spacing w:line="360" w:lineRule="auto"/>
        <w:jc w:val="center"/>
        <w:outlineLvl w:val="9"/>
        <w:rPr>
          <w:rFonts w:hint="eastAsia" w:ascii="宋体" w:hAnsi="宋体" w:cs="宋体"/>
          <w:b/>
          <w:color w:val="auto"/>
          <w:sz w:val="28"/>
          <w:szCs w:val="28"/>
          <w:highlight w:val="none"/>
          <w:lang w:val="zh-CN"/>
        </w:rPr>
      </w:pPr>
      <w:r>
        <w:rPr>
          <w:color w:val="auto"/>
          <w:highlight w:val="none"/>
        </w:rPr>
        <w:br w:type="page"/>
      </w:r>
      <w:r>
        <w:rPr>
          <w:rFonts w:hint="eastAsia" w:asciiTheme="minorEastAsia" w:hAnsiTheme="minorEastAsia" w:eastAsiaTheme="minorEastAsia" w:cstheme="minorEastAsia"/>
          <w:b/>
          <w:bCs/>
          <w:color w:val="auto"/>
          <w:sz w:val="28"/>
          <w:szCs w:val="36"/>
          <w:highlight w:val="none"/>
          <w:lang w:val="en-US" w:eastAsia="zh-CN"/>
        </w:rPr>
        <w:t>3、</w:t>
      </w:r>
      <w:r>
        <w:rPr>
          <w:rFonts w:hint="eastAsia" w:ascii="宋体" w:hAnsi="宋体" w:cs="宋体"/>
          <w:b/>
          <w:color w:val="auto"/>
          <w:sz w:val="28"/>
          <w:szCs w:val="28"/>
          <w:highlight w:val="none"/>
          <w:lang w:val="zh-CN"/>
        </w:rPr>
        <w:t>供应商书面声明函</w:t>
      </w:r>
    </w:p>
    <w:p>
      <w:pPr>
        <w:autoSpaceDE w:val="0"/>
        <w:autoSpaceDN w:val="0"/>
        <w:adjustRightInd w:val="0"/>
        <w:spacing w:line="360" w:lineRule="auto"/>
        <w:ind w:firstLine="420" w:firstLineChars="200"/>
        <w:jc w:val="left"/>
        <w:outlineLvl w:val="9"/>
        <w:rPr>
          <w:rFonts w:hint="eastAsia" w:ascii="宋体" w:hAnsi="宋体" w:cs="宋体"/>
          <w:color w:val="auto"/>
          <w:szCs w:val="21"/>
          <w:highlight w:val="none"/>
          <w:lang w:val="zh-CN"/>
        </w:rPr>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陕西轩鼎项目管理有限公司</w:t>
      </w:r>
      <w:r>
        <w:rPr>
          <w:rFonts w:hint="eastAsia" w:ascii="宋体" w:hAnsi="宋体" w:cs="宋体"/>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我方作为</w:t>
      </w:r>
      <w:r>
        <w:rPr>
          <w:rFonts w:hint="eastAsia" w:ascii="宋体" w:hAnsi="宋体" w:cs="宋体"/>
          <w:color w:val="auto"/>
          <w:sz w:val="24"/>
          <w:szCs w:val="24"/>
          <w:highlight w:val="none"/>
          <w:lang w:val="en-US" w:eastAsia="zh-CN"/>
        </w:rPr>
        <w:t>参加</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（项目编号：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的供应商，在此郑重声明：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b/>
          <w:bCs/>
          <w:color w:val="auto"/>
          <w:sz w:val="24"/>
          <w:szCs w:val="24"/>
          <w:highlight w:val="none"/>
        </w:rPr>
      </w:pPr>
      <w:r>
        <w:rPr>
          <w:rFonts w:hint="eastAsia" w:ascii="宋体" w:hAnsi="宋体" w:cs="宋体"/>
          <w:color w:val="auto"/>
          <w:sz w:val="24"/>
          <w:szCs w:val="24"/>
          <w:highlight w:val="none"/>
        </w:rPr>
        <w:t>1、在参加本次政府采购活动前3年内的经营活动中</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（填“没有”或“有”）重大违法记录。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Calibri Light"/>
          <w:color w:val="auto"/>
          <w:kern w:val="0"/>
          <w:sz w:val="24"/>
          <w:szCs w:val="24"/>
          <w:highlight w:val="none"/>
        </w:rPr>
      </w:pPr>
      <w:r>
        <w:rPr>
          <w:rFonts w:ascii="宋体" w:hAnsi="宋体" w:cs="Calibri Light"/>
          <w:color w:val="auto"/>
          <w:kern w:val="0"/>
          <w:sz w:val="24"/>
          <w:szCs w:val="24"/>
          <w:highlight w:val="none"/>
        </w:rPr>
        <w:t>2、在参加本次政府采购</w:t>
      </w:r>
      <w:r>
        <w:rPr>
          <w:rFonts w:hint="eastAsia" w:ascii="宋体" w:hAnsi="宋体" w:cs="Calibri Light"/>
          <w:color w:val="auto"/>
          <w:kern w:val="0"/>
          <w:sz w:val="24"/>
          <w:szCs w:val="24"/>
          <w:highlight w:val="none"/>
        </w:rPr>
        <w:t>项目</w:t>
      </w:r>
      <w:r>
        <w:rPr>
          <w:rFonts w:ascii="宋体" w:hAnsi="宋体" w:cs="Calibri Light"/>
          <w:color w:val="auto"/>
          <w:kern w:val="0"/>
          <w:sz w:val="24"/>
          <w:szCs w:val="24"/>
          <w:highlight w:val="none"/>
        </w:rPr>
        <w:t>经营活动中</w:t>
      </w:r>
      <w:r>
        <w:rPr>
          <w:rFonts w:ascii="宋体" w:hAnsi="宋体" w:cs="宋体"/>
          <w:color w:val="auto"/>
          <w:sz w:val="24"/>
          <w:szCs w:val="24"/>
          <w:highlight w:val="none"/>
          <w:u w:val="single"/>
        </w:rPr>
        <w:t xml:space="preserve">       </w:t>
      </w:r>
      <w:r>
        <w:rPr>
          <w:rFonts w:hint="eastAsia" w:ascii="宋体" w:hAnsi="宋体" w:cs="Calibri Light"/>
          <w:color w:val="auto"/>
          <w:kern w:val="0"/>
          <w:sz w:val="24"/>
          <w:szCs w:val="24"/>
          <w:highlight w:val="none"/>
        </w:rPr>
        <w:t>（填“没有”或“有”）履行合同所必需的设备和专业技术能力</w:t>
      </w:r>
      <w:r>
        <w:rPr>
          <w:rFonts w:hint="eastAsia" w:ascii="宋体" w:hAnsi="宋体" w:cs="宋体"/>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如有不实，我方将无条件地退出本项目的采购活动，并遵照《</w:t>
      </w:r>
      <w:r>
        <w:rPr>
          <w:rFonts w:hint="eastAsia" w:ascii="宋体" w:hAnsi="宋体" w:cs="宋体"/>
          <w:color w:val="auto"/>
          <w:sz w:val="24"/>
          <w:szCs w:val="24"/>
          <w:highlight w:val="none"/>
          <w:lang w:val="en-US" w:eastAsia="zh-CN"/>
        </w:rPr>
        <w:t>中华人民共和国</w:t>
      </w:r>
      <w:r>
        <w:rPr>
          <w:rFonts w:hint="eastAsia" w:ascii="宋体" w:hAnsi="宋体" w:cs="宋体"/>
          <w:color w:val="auto"/>
          <w:sz w:val="24"/>
          <w:szCs w:val="24"/>
          <w:highlight w:val="none"/>
        </w:rPr>
        <w:t>政府采购法》有关“提供虚假材料的规定”接受处罚。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特此声明。</w:t>
      </w:r>
    </w:p>
    <w:p>
      <w:pPr>
        <w:autoSpaceDE w:val="0"/>
        <w:autoSpaceDN w:val="0"/>
        <w:adjustRightInd w:val="0"/>
        <w:spacing w:line="360" w:lineRule="auto"/>
        <w:ind w:firstLine="420" w:firstLineChars="200"/>
        <w:outlineLvl w:val="9"/>
        <w:rPr>
          <w:rFonts w:hint="eastAsia" w:ascii="宋体" w:hAnsi="宋体" w:cs="宋体"/>
          <w:color w:val="auto"/>
          <w:szCs w:val="24"/>
          <w:highlight w:val="none"/>
        </w:rPr>
      </w:pPr>
    </w:p>
    <w:p>
      <w:pPr>
        <w:autoSpaceDE w:val="0"/>
        <w:autoSpaceDN w:val="0"/>
        <w:adjustRightInd w:val="0"/>
        <w:spacing w:line="360" w:lineRule="auto"/>
        <w:ind w:firstLine="420" w:firstLineChars="200"/>
        <w:outlineLvl w:val="9"/>
        <w:rPr>
          <w:rFonts w:hint="eastAsia" w:ascii="宋体" w:hAnsi="宋体" w:cs="宋体"/>
          <w:color w:val="auto"/>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授权代表（签字</w:t>
      </w:r>
      <w:r>
        <w:rPr>
          <w:rFonts w:hint="eastAsia" w:asciiTheme="minorEastAsia" w:hAnsiTheme="minorEastAsia" w:eastAsiaTheme="minorEastAsia" w:cstheme="minorEastAsia"/>
          <w:color w:val="auto"/>
          <w:sz w:val="24"/>
          <w:szCs w:val="24"/>
          <w:highlight w:val="none"/>
          <w:lang w:eastAsia="zh-CN"/>
        </w:rPr>
        <w:t>或盖章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spacing w:line="360" w:lineRule="auto"/>
        <w:jc w:val="center"/>
        <w:outlineLvl w:val="9"/>
        <w:rPr>
          <w:rFonts w:ascii="宋体" w:hAnsi="宋体" w:cs="宋体"/>
          <w:color w:val="auto"/>
          <w:szCs w:val="24"/>
          <w:highlight w:val="none"/>
          <w:lang w:val="zh-CN"/>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b/>
          <w:bCs/>
          <w:color w:val="auto"/>
          <w:sz w:val="24"/>
          <w:szCs w:val="32"/>
          <w:highlight w:val="none"/>
        </w:rPr>
      </w:pPr>
      <w:r>
        <w:rPr>
          <w:rFonts w:hint="eastAsia"/>
          <w:b/>
          <w:bCs/>
          <w:color w:val="auto"/>
          <w:sz w:val="21"/>
          <w:szCs w:val="32"/>
          <w:highlight w:val="none"/>
          <w:lang w:eastAsia="zh-CN"/>
        </w:rPr>
        <w:t>（</w:t>
      </w:r>
      <w:r>
        <w:rPr>
          <w:rFonts w:hint="eastAsia"/>
          <w:b/>
          <w:bCs/>
          <w:color w:val="auto"/>
          <w:sz w:val="21"/>
          <w:szCs w:val="32"/>
          <w:highlight w:val="none"/>
          <w:lang w:val="en-US" w:eastAsia="zh-CN"/>
        </w:rPr>
        <w:t>注：供应商在参加政府采购活动前3年内因违法经营被禁止在一定期限内参加政府采购活动，期限届满的，可以参加政府采购活动，但应提供期限届满的证明材料。</w:t>
      </w:r>
      <w:r>
        <w:rPr>
          <w:rFonts w:hint="eastAsia"/>
          <w:b/>
          <w:bCs/>
          <w:color w:val="auto"/>
          <w:sz w:val="21"/>
          <w:szCs w:val="32"/>
          <w:highlight w:val="none"/>
          <w:lang w:eastAsia="zh-CN"/>
        </w:rPr>
        <w:t>）</w:t>
      </w:r>
      <w:r>
        <w:rPr>
          <w:color w:val="auto"/>
          <w:sz w:val="18"/>
          <w:highlight w:val="none"/>
        </w:rPr>
        <w:br w:type="page"/>
      </w:r>
      <w:bookmarkStart w:id="89" w:name="_Hlk63418484"/>
      <w:r>
        <w:rPr>
          <w:rFonts w:hint="eastAsia"/>
          <w:b/>
          <w:bCs/>
          <w:color w:val="auto"/>
          <w:sz w:val="24"/>
          <w:szCs w:val="32"/>
          <w:highlight w:val="none"/>
        </w:rPr>
        <w:t>附件</w:t>
      </w:r>
      <w:r>
        <w:rPr>
          <w:rFonts w:hint="eastAsia"/>
          <w:b/>
          <w:bCs/>
          <w:color w:val="auto"/>
          <w:sz w:val="24"/>
          <w:szCs w:val="32"/>
          <w:highlight w:val="none"/>
          <w:lang w:val="en-US" w:eastAsia="zh-CN"/>
        </w:rPr>
        <w:t>一</w:t>
      </w:r>
      <w:r>
        <w:rPr>
          <w:rFonts w:hint="eastAsia"/>
          <w:b/>
          <w:bCs/>
          <w:color w:val="auto"/>
          <w:sz w:val="24"/>
          <w:szCs w:val="32"/>
          <w:highlight w:val="none"/>
        </w:rPr>
        <w:t>：</w:t>
      </w:r>
    </w:p>
    <w:bookmarkEnd w:id="89"/>
    <w:p>
      <w:pPr>
        <w:bidi w:val="0"/>
        <w:spacing w:line="240" w:lineRule="auto"/>
        <w:jc w:val="center"/>
        <w:rPr>
          <w:rFonts w:hint="eastAsia"/>
          <w:b/>
          <w:bCs/>
          <w:color w:val="auto"/>
          <w:spacing w:val="15"/>
          <w:szCs w:val="36"/>
          <w:highlight w:val="none"/>
          <w:shd w:val="clear" w:color="auto" w:fill="FFFFFF"/>
        </w:rPr>
      </w:pPr>
      <w:r>
        <w:rPr>
          <w:rFonts w:hint="eastAsia" w:ascii="宋体" w:hAnsi="宋体" w:eastAsia="宋体" w:cs="宋体"/>
          <w:b/>
          <w:bCs/>
          <w:color w:val="auto"/>
          <w:sz w:val="28"/>
          <w:szCs w:val="28"/>
        </w:rPr>
        <w:t>中小企业声明函(服务)</w:t>
      </w: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42" w:firstLineChars="200"/>
        <w:jc w:val="center"/>
        <w:textAlignment w:val="auto"/>
        <w:outlineLvl w:val="9"/>
        <w:rPr>
          <w:rFonts w:hint="eastAsia"/>
          <w:b/>
          <w:bCs/>
          <w:color w:val="auto"/>
          <w:spacing w:val="15"/>
          <w:sz w:val="24"/>
          <w:szCs w:val="32"/>
          <w:highlight w:val="none"/>
          <w:shd w:val="clear" w:color="auto" w:fill="FFFFFF"/>
        </w:rPr>
      </w:pP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单位名称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1. </w:t>
      </w:r>
      <w:r>
        <w:rPr>
          <w:rFonts w:hint="eastAsia" w:ascii="宋体" w:hAnsi="宋体" w:eastAsia="宋体" w:cs="宋体"/>
          <w:color w:val="auto"/>
          <w:sz w:val="24"/>
          <w:szCs w:val="24"/>
          <w:u w:val="single"/>
          <w:lang w:val="en-US" w:eastAsia="zh-CN"/>
        </w:rPr>
        <w:t xml:space="preserve">       （标的名称）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采购文件中明确的所属行业</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承接企业为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lang w:eastAsia="zh-CN"/>
        </w:rPr>
        <w:t>；</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bookmarkStart w:id="90" w:name="_Hlk74735468"/>
      <w:r>
        <w:rPr>
          <w:rFonts w:hint="eastAsia" w:ascii="宋体" w:hAnsi="宋体" w:eastAsia="宋体" w:cs="宋体"/>
          <w:color w:val="auto"/>
          <w:sz w:val="24"/>
          <w:szCs w:val="24"/>
          <w:lang w:val="en-US" w:eastAsia="zh-CN"/>
        </w:rPr>
        <w:t>......</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bookmarkEnd w:id="90"/>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right"/>
        <w:textAlignment w:val="auto"/>
        <w:rPr>
          <w:rFonts w:hint="eastAsia" w:asciiTheme="minorEastAsia" w:hAnsiTheme="minorEastAsia" w:eastAsiaTheme="minorEastAsia" w:cstheme="minorEastAsia"/>
          <w:color w:val="auto"/>
          <w:spacing w:val="6"/>
          <w:szCs w:val="32"/>
          <w:highlight w:val="none"/>
        </w:rPr>
      </w:pPr>
      <w:r>
        <w:rPr>
          <w:rFonts w:hint="eastAsia" w:ascii="宋体" w:hAnsi="宋体" w:eastAsia="宋体" w:cs="宋体"/>
          <w:color w:val="auto"/>
          <w:sz w:val="24"/>
          <w:szCs w:val="24"/>
        </w:rPr>
        <w:t xml:space="preserve">日  期： 年 月 </w:t>
      </w:r>
      <w:r>
        <w:rPr>
          <w:rFonts w:hint="eastAsia" w:asciiTheme="minorEastAsia" w:hAnsiTheme="minorEastAsia" w:eastAsiaTheme="minorEastAsia" w:cstheme="minorEastAsia"/>
          <w:color w:val="auto"/>
          <w:spacing w:val="6"/>
          <w:szCs w:val="32"/>
          <w:highlight w:val="none"/>
        </w:rPr>
        <w:t>日</w:t>
      </w:r>
    </w:p>
    <w:p>
      <w:pPr>
        <w:pStyle w:val="17"/>
        <w:numPr>
          <w:ilvl w:val="0"/>
          <w:numId w:val="4"/>
        </w:numPr>
        <w:shd w:val="clear" w:color="auto" w:fill="FFFFFF"/>
        <w:spacing w:before="0" w:beforeAutospacing="0" w:after="0" w:afterAutospacing="0" w:line="360" w:lineRule="auto"/>
        <w:jc w:val="both"/>
        <w:outlineLvl w:val="9"/>
        <w:rPr>
          <w:color w:val="333333"/>
          <w:spacing w:val="15"/>
          <w:sz w:val="21"/>
          <w:highlight w:val="none"/>
          <w:shd w:val="clear" w:color="auto" w:fill="FFFFFF"/>
        </w:rPr>
      </w:pPr>
    </w:p>
    <w:p>
      <w:pPr>
        <w:pStyle w:val="17"/>
        <w:numPr>
          <w:ilvl w:val="0"/>
          <w:numId w:val="0"/>
        </w:numPr>
        <w:shd w:val="clear" w:color="auto" w:fill="FFFFFF"/>
        <w:tabs>
          <w:tab w:val="left" w:pos="0"/>
        </w:tabs>
        <w:spacing w:before="0" w:beforeAutospacing="0" w:after="0" w:afterAutospacing="0" w:line="360" w:lineRule="auto"/>
        <w:ind w:leftChars="0"/>
        <w:jc w:val="both"/>
        <w:outlineLvl w:val="9"/>
        <w:rPr>
          <w:rFonts w:hint="eastAsia" w:ascii="宋体" w:hAnsi="宋体" w:eastAsia="宋体" w:cs="宋体"/>
          <w:b/>
          <w:bCs/>
          <w:color w:val="333333"/>
          <w:spacing w:val="15"/>
          <w:sz w:val="21"/>
          <w:highlight w:val="none"/>
          <w:shd w:val="clear" w:color="auto" w:fill="FFFFFF"/>
        </w:rPr>
      </w:pPr>
      <w:r>
        <w:rPr>
          <w:rFonts w:hint="eastAsia" w:ascii="宋体" w:hAnsi="宋体" w:eastAsia="宋体" w:cs="宋体"/>
          <w:b/>
          <w:bCs/>
          <w:color w:val="333333"/>
          <w:spacing w:val="15"/>
          <w:sz w:val="21"/>
          <w:highlight w:val="none"/>
          <w:shd w:val="clear" w:color="auto" w:fill="FFFFFF"/>
          <w:lang w:val="en-US" w:eastAsia="zh-CN"/>
        </w:rPr>
        <w:t>注：1、</w:t>
      </w:r>
      <w:r>
        <w:rPr>
          <w:rFonts w:hint="eastAsia" w:ascii="宋体" w:hAnsi="宋体" w:eastAsia="宋体" w:cs="宋体"/>
          <w:b/>
          <w:bCs/>
          <w:color w:val="333333"/>
          <w:spacing w:val="15"/>
          <w:sz w:val="21"/>
          <w:highlight w:val="none"/>
          <w:shd w:val="clear" w:color="auto" w:fill="FFFFFF"/>
        </w:rPr>
        <w:t>从业人员、营业收入、资产总额填报上一年度数据，无上一年度数据的新成立企业可不填报。</w:t>
      </w:r>
    </w:p>
    <w:p>
      <w:pPr>
        <w:numPr>
          <w:ilvl w:val="0"/>
          <w:numId w:val="0"/>
        </w:numPr>
        <w:tabs>
          <w:tab w:val="left" w:pos="0"/>
        </w:tabs>
        <w:spacing w:line="360" w:lineRule="auto"/>
        <w:ind w:leftChars="0"/>
        <w:outlineLvl w:val="9"/>
        <w:rPr>
          <w:rFonts w:hint="eastAsia" w:ascii="宋体" w:hAnsi="宋体" w:eastAsia="宋体" w:cs="宋体"/>
          <w:b/>
          <w:bCs/>
          <w:color w:val="auto"/>
          <w:szCs w:val="21"/>
          <w:highlight w:val="none"/>
        </w:rPr>
      </w:pP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rPr>
        <w:t>如不是该类企业则不需提供相关声明，若提供虚假材料谋取中标、成交的，将按照《政府采购法》第七十七条规定对</w:t>
      </w:r>
      <w:r>
        <w:rPr>
          <w:rFonts w:hint="eastAsia" w:ascii="宋体" w:hAnsi="宋体" w:eastAsia="宋体" w:cs="宋体"/>
          <w:b/>
          <w:bCs/>
          <w:szCs w:val="21"/>
          <w:highlight w:val="none"/>
          <w:lang w:eastAsia="zh-CN"/>
        </w:rPr>
        <w:t>投标人</w:t>
      </w:r>
      <w:r>
        <w:rPr>
          <w:rFonts w:hint="eastAsia" w:ascii="宋体" w:hAnsi="宋体" w:eastAsia="宋体" w:cs="宋体"/>
          <w:b/>
          <w:bCs/>
          <w:szCs w:val="21"/>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outlineLvl w:val="9"/>
        <w:rPr>
          <w:rFonts w:eastAsia="仿宋_GB2312"/>
          <w:color w:val="auto"/>
          <w:spacing w:val="6"/>
          <w:sz w:val="30"/>
          <w:szCs w:val="30"/>
          <w:highlight w:val="none"/>
        </w:rPr>
      </w:pPr>
      <w:r>
        <w:rPr>
          <w:rFonts w:hint="eastAsia" w:ascii="宋体" w:hAnsi="宋体"/>
          <w:b/>
          <w:color w:val="auto"/>
          <w:kern w:val="0"/>
          <w:sz w:val="24"/>
          <w:szCs w:val="24"/>
          <w:highlight w:val="none"/>
        </w:rPr>
        <w:br w:type="page"/>
      </w:r>
    </w:p>
    <w:p>
      <w:pPr>
        <w:numPr>
          <w:ilvl w:val="0"/>
          <w:numId w:val="0"/>
        </w:numPr>
        <w:tabs>
          <w:tab w:val="left" w:pos="0"/>
        </w:tabs>
        <w:suppressAutoHyphens/>
        <w:spacing w:line="360" w:lineRule="auto"/>
        <w:ind w:leftChars="0"/>
        <w:outlineLvl w:val="9"/>
        <w:rPr>
          <w:rFonts w:eastAsia="仿宋_GB2312"/>
          <w:color w:val="auto"/>
          <w:spacing w:val="6"/>
          <w:sz w:val="30"/>
          <w:szCs w:val="30"/>
          <w:highlight w:val="none"/>
        </w:rPr>
      </w:pPr>
      <w:r>
        <w:rPr>
          <w:rFonts w:hint="eastAsia" w:ascii="宋体" w:hAnsi="宋体"/>
          <w:b/>
          <w:color w:val="auto"/>
          <w:kern w:val="0"/>
          <w:sz w:val="24"/>
          <w:szCs w:val="24"/>
          <w:highlight w:val="none"/>
        </w:rPr>
        <w:t>附件</w:t>
      </w:r>
      <w:r>
        <w:rPr>
          <w:rFonts w:hint="eastAsia" w:ascii="宋体" w:hAnsi="宋体"/>
          <w:b/>
          <w:color w:val="auto"/>
          <w:kern w:val="0"/>
          <w:sz w:val="24"/>
          <w:szCs w:val="24"/>
          <w:highlight w:val="none"/>
          <w:lang w:val="en-US" w:eastAsia="zh-CN"/>
        </w:rPr>
        <w:t>二</w:t>
      </w:r>
      <w:r>
        <w:rPr>
          <w:rFonts w:hint="eastAsia" w:ascii="宋体" w:hAnsi="宋体"/>
          <w:b/>
          <w:color w:val="auto"/>
          <w:kern w:val="0"/>
          <w:sz w:val="24"/>
          <w:szCs w:val="24"/>
          <w:highlight w:val="none"/>
        </w:rPr>
        <w:t>：</w:t>
      </w:r>
    </w:p>
    <w:p>
      <w:pPr>
        <w:numPr>
          <w:ilvl w:val="0"/>
          <w:numId w:val="0"/>
        </w:numPr>
        <w:tabs>
          <w:tab w:val="left" w:pos="0"/>
        </w:tabs>
        <w:suppressAutoHyphens/>
        <w:spacing w:line="360" w:lineRule="auto"/>
        <w:ind w:leftChars="0"/>
        <w:jc w:val="center"/>
        <w:outlineLvl w:val="9"/>
        <w:rPr>
          <w:rFonts w:ascii="宋体" w:hAnsi="宋体" w:cs="宋体"/>
          <w:b/>
          <w:color w:val="auto"/>
          <w:spacing w:val="6"/>
          <w:sz w:val="24"/>
          <w:szCs w:val="24"/>
          <w:highlight w:val="none"/>
        </w:rPr>
      </w:pPr>
      <w:r>
        <w:rPr>
          <w:rFonts w:hint="eastAsia" w:ascii="宋体" w:hAnsi="宋体" w:eastAsiaTheme="minorEastAsia" w:cstheme="minorBidi"/>
          <w:b/>
          <w:bCs/>
          <w:color w:val="auto"/>
          <w:spacing w:val="15"/>
          <w:kern w:val="0"/>
          <w:sz w:val="28"/>
          <w:szCs w:val="36"/>
          <w:highlight w:val="none"/>
          <w:shd w:val="clear" w:color="auto" w:fill="FFFFFF"/>
          <w:lang w:val="en-US" w:eastAsia="zh-CN" w:bidi="ar-SA"/>
        </w:rPr>
        <w:t>残疾人福利性单位声明函</w:t>
      </w:r>
    </w:p>
    <w:p>
      <w:pPr>
        <w:numPr>
          <w:ilvl w:val="0"/>
          <w:numId w:val="0"/>
        </w:numPr>
        <w:tabs>
          <w:tab w:val="left" w:pos="0"/>
        </w:tabs>
        <w:suppressAutoHyphens/>
        <w:spacing w:line="360" w:lineRule="auto"/>
        <w:ind w:leftChars="0"/>
        <w:outlineLvl w:val="9"/>
        <w:rPr>
          <w:rFonts w:ascii="宋体" w:hAnsi="宋体" w:cs="宋体"/>
          <w:b/>
          <w:color w:val="auto"/>
          <w:spacing w:val="6"/>
          <w:sz w:val="24"/>
          <w:szCs w:val="24"/>
          <w:highlight w:val="none"/>
        </w:rPr>
      </w:pP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pacing w:val="6"/>
          <w:sz w:val="24"/>
          <w:szCs w:val="32"/>
          <w:highlight w:val="none"/>
        </w:rPr>
      </w:pPr>
      <w:r>
        <w:rPr>
          <w:rFonts w:ascii="宋体" w:hAnsi="宋体" w:cs="宋体"/>
          <w:color w:val="auto"/>
          <w:spacing w:val="6"/>
          <w:sz w:val="24"/>
          <w:szCs w:val="24"/>
          <w:highlight w:val="none"/>
        </w:rPr>
        <w:t xml:space="preserve">   </w:t>
      </w:r>
      <w:r>
        <w:rPr>
          <w:rFonts w:ascii="宋体" w:hAnsi="宋体" w:cs="宋体"/>
          <w:color w:val="auto"/>
          <w:spacing w:val="6"/>
          <w:szCs w:val="24"/>
          <w:highlight w:val="none"/>
        </w:rPr>
        <w:t xml:space="preserve"> </w:t>
      </w:r>
      <w:r>
        <w:rPr>
          <w:rFonts w:hint="eastAsia" w:ascii="宋体" w:hAnsi="宋体" w:eastAsia="宋体" w:cs="宋体"/>
          <w:color w:val="auto"/>
          <w:spacing w:val="6"/>
          <w:sz w:val="24"/>
          <w:szCs w:val="32"/>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32"/>
          <w:highlight w:val="none"/>
        </w:rPr>
        <w:t>〔2017〕141</w:t>
      </w:r>
      <w:r>
        <w:rPr>
          <w:rFonts w:hint="eastAsia" w:ascii="宋体" w:hAnsi="宋体" w:eastAsia="宋体" w:cs="宋体"/>
          <w:color w:val="auto"/>
          <w:spacing w:val="6"/>
          <w:sz w:val="24"/>
          <w:szCs w:val="32"/>
          <w:highlight w:val="none"/>
        </w:rPr>
        <w:t>号）的规定，本单位为符合条件的残疾人福利性单位，且本单位参加</w:t>
      </w:r>
      <w:r>
        <w:rPr>
          <w:rFonts w:hint="eastAsia" w:asciiTheme="minorEastAsia" w:hAnsiTheme="minorEastAsia" w:eastAsiaTheme="minorEastAsia" w:cstheme="minorEastAsia"/>
          <w:color w:val="auto"/>
          <w:spacing w:val="15"/>
          <w:sz w:val="24"/>
          <w:szCs w:val="32"/>
          <w:highlight w:val="none"/>
          <w:u w:val="single"/>
          <w:shd w:val="clear" w:color="auto" w:fill="FFFFFF"/>
          <w:lang w:val="en-US" w:eastAsia="zh-CN"/>
        </w:rPr>
        <w:t xml:space="preserve">          </w:t>
      </w:r>
      <w:r>
        <w:rPr>
          <w:rFonts w:hint="eastAsia" w:ascii="宋体" w:hAnsi="宋体" w:eastAsia="宋体" w:cs="宋体"/>
          <w:color w:val="auto"/>
          <w:spacing w:val="6"/>
          <w:sz w:val="24"/>
          <w:szCs w:val="32"/>
          <w:highlight w:val="none"/>
        </w:rPr>
        <w:t>单位的</w:t>
      </w:r>
      <w:r>
        <w:rPr>
          <w:rFonts w:hint="eastAsia" w:asciiTheme="minorEastAsia" w:hAnsiTheme="minorEastAsia" w:eastAsiaTheme="minorEastAsia" w:cstheme="minorEastAsia"/>
          <w:color w:val="auto"/>
          <w:spacing w:val="15"/>
          <w:sz w:val="24"/>
          <w:szCs w:val="32"/>
          <w:highlight w:val="none"/>
          <w:u w:val="single"/>
          <w:shd w:val="clear" w:color="auto" w:fill="FFFFFF"/>
          <w:lang w:val="en-US" w:eastAsia="zh-CN"/>
        </w:rPr>
        <w:t xml:space="preserve">          </w:t>
      </w:r>
      <w:r>
        <w:rPr>
          <w:rFonts w:hint="eastAsia" w:ascii="宋体" w:hAnsi="宋体" w:eastAsia="宋体" w:cs="宋体"/>
          <w:color w:val="auto"/>
          <w:spacing w:val="6"/>
          <w:sz w:val="24"/>
          <w:szCs w:val="32"/>
          <w:highlight w:val="none"/>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firstLine="504" w:firstLineChars="200"/>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本单位对上述声明的真实性负责。如有虚假，将依法承担相应责任。</w:t>
      </w:r>
    </w:p>
    <w:p>
      <w:pPr>
        <w:numPr>
          <w:ilvl w:val="0"/>
          <w:numId w:val="4"/>
        </w:numPr>
        <w:suppressAutoHyphens/>
        <w:spacing w:line="360" w:lineRule="auto"/>
        <w:outlineLvl w:val="9"/>
        <w:rPr>
          <w:rFonts w:hint="eastAsia" w:ascii="宋体" w:hAnsi="宋体" w:eastAsia="宋体" w:cs="宋体"/>
          <w:color w:val="auto"/>
          <w:spacing w:val="6"/>
          <w:sz w:val="24"/>
          <w:szCs w:val="32"/>
          <w:highlight w:val="none"/>
        </w:rPr>
      </w:pPr>
    </w:p>
    <w:p>
      <w:pPr>
        <w:numPr>
          <w:ilvl w:val="0"/>
          <w:numId w:val="4"/>
        </w:numPr>
        <w:spacing w:line="588" w:lineRule="exact"/>
        <w:outlineLvl w:val="9"/>
        <w:rPr>
          <w:rFonts w:ascii="宋体" w:hAnsi="宋体" w:cs="宋体"/>
          <w:color w:val="auto"/>
          <w:spacing w:val="15"/>
          <w:kern w:val="0"/>
          <w:sz w:val="24"/>
          <w:highlight w:val="none"/>
          <w:shd w:val="clear" w:color="auto" w:fill="FFFFFF"/>
        </w:rPr>
      </w:pP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Theme="minorEastAsia" w:hAnsiTheme="minorEastAsia" w:eastAsiaTheme="minorEastAsia" w:cstheme="minorEastAsia"/>
          <w:color w:val="auto"/>
          <w:spacing w:val="6"/>
          <w:sz w:val="24"/>
          <w:szCs w:val="32"/>
          <w:highlight w:val="none"/>
        </w:rPr>
      </w:pPr>
      <w:r>
        <w:rPr>
          <w:rFonts w:hint="eastAsia" w:asciiTheme="minorEastAsia" w:hAnsiTheme="minorEastAsia" w:eastAsiaTheme="minorEastAsia" w:cstheme="minorEastAsia"/>
          <w:color w:val="auto"/>
          <w:spacing w:val="6"/>
          <w:sz w:val="24"/>
          <w:szCs w:val="32"/>
          <w:highlight w:val="none"/>
        </w:rPr>
        <w:t>企业名称（盖章）：</w:t>
      </w: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Theme="minorEastAsia" w:hAnsiTheme="minorEastAsia" w:eastAsiaTheme="minorEastAsia" w:cstheme="minorEastAsia"/>
          <w:color w:val="auto"/>
          <w:spacing w:val="6"/>
          <w:sz w:val="24"/>
          <w:szCs w:val="32"/>
          <w:highlight w:val="none"/>
        </w:rPr>
      </w:pPr>
      <w:r>
        <w:rPr>
          <w:rFonts w:hint="eastAsia" w:asciiTheme="minorEastAsia" w:hAnsiTheme="minorEastAsia" w:eastAsiaTheme="minorEastAsia" w:cstheme="minorEastAsia"/>
          <w:color w:val="auto"/>
          <w:spacing w:val="6"/>
          <w:sz w:val="24"/>
          <w:szCs w:val="32"/>
          <w:highlight w:val="none"/>
        </w:rPr>
        <w:t>日  期： 年 月 日</w:t>
      </w:r>
    </w:p>
    <w:p>
      <w:pPr>
        <w:numPr>
          <w:ilvl w:val="0"/>
          <w:numId w:val="4"/>
        </w:numPr>
        <w:jc w:val="center"/>
        <w:outlineLvl w:val="9"/>
        <w:rPr>
          <w:rFonts w:hint="eastAsia" w:ascii="宋体" w:hAnsi="宋体" w:cs="宋体"/>
          <w:b/>
          <w:color w:val="auto"/>
          <w:szCs w:val="21"/>
          <w:highlight w:val="none"/>
        </w:rPr>
      </w:pPr>
    </w:p>
    <w:p>
      <w:pPr>
        <w:numPr>
          <w:ilvl w:val="0"/>
          <w:numId w:val="4"/>
        </w:numPr>
        <w:jc w:val="center"/>
        <w:outlineLvl w:val="9"/>
        <w:rPr>
          <w:rFonts w:hint="eastAsia" w:ascii="宋体" w:hAnsi="宋体" w:cs="宋体"/>
          <w:b/>
          <w:color w:val="auto"/>
          <w:szCs w:val="21"/>
          <w:highlight w:val="none"/>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textAlignment w:val="auto"/>
        <w:outlineLvl w:val="9"/>
        <w:rPr>
          <w:rFonts w:ascii="宋体" w:hAnsi="宋体" w:cs="宋体"/>
          <w:b/>
          <w:color w:val="auto"/>
          <w:szCs w:val="21"/>
          <w:highlight w:val="none"/>
        </w:rPr>
      </w:pPr>
      <w:r>
        <w:rPr>
          <w:rFonts w:hint="eastAsia" w:ascii="宋体" w:hAnsi="宋体" w:cs="宋体"/>
          <w:b/>
          <w:color w:val="auto"/>
          <w:szCs w:val="21"/>
          <w:highlight w:val="none"/>
        </w:rPr>
        <w:t>注：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0"/>
        </w:numPr>
        <w:tabs>
          <w:tab w:val="left" w:pos="0"/>
        </w:tabs>
        <w:suppressAutoHyphens/>
        <w:spacing w:line="360" w:lineRule="auto"/>
        <w:ind w:leftChars="0"/>
        <w:outlineLvl w:val="9"/>
        <w:rPr>
          <w:rFonts w:hint="eastAsia" w:ascii="宋体" w:hAnsi="宋体" w:cs="宋体"/>
          <w:color w:val="auto"/>
          <w:spacing w:val="6"/>
          <w:sz w:val="24"/>
          <w:szCs w:val="24"/>
          <w:highlight w:val="none"/>
        </w:rPr>
      </w:pPr>
      <w:r>
        <w:rPr>
          <w:b/>
          <w:color w:val="auto"/>
          <w:szCs w:val="21"/>
          <w:highlight w:val="none"/>
        </w:rPr>
        <w:br w:type="page"/>
      </w:r>
      <w:r>
        <w:rPr>
          <w:rFonts w:hint="eastAsia" w:ascii="宋体" w:hAnsi="宋体"/>
          <w:b/>
          <w:color w:val="auto"/>
          <w:sz w:val="24"/>
          <w:szCs w:val="24"/>
          <w:highlight w:val="none"/>
        </w:rPr>
        <w:t>附件</w:t>
      </w:r>
      <w:r>
        <w:rPr>
          <w:rFonts w:hint="eastAsia" w:ascii="宋体" w:hAnsi="宋体"/>
          <w:b/>
          <w:color w:val="auto"/>
          <w:sz w:val="24"/>
          <w:szCs w:val="24"/>
          <w:highlight w:val="none"/>
          <w:lang w:val="en-US" w:eastAsia="zh-CN"/>
        </w:rPr>
        <w:t>三</w:t>
      </w:r>
      <w:r>
        <w:rPr>
          <w:rFonts w:hint="eastAsia" w:ascii="宋体" w:hAnsi="宋体"/>
          <w:color w:val="auto"/>
          <w:sz w:val="24"/>
          <w:szCs w:val="24"/>
          <w:highlight w:val="none"/>
        </w:rPr>
        <w:t>：</w:t>
      </w:r>
    </w:p>
    <w:bookmarkEnd w:id="82"/>
    <w:p>
      <w:pPr>
        <w:bidi w:val="0"/>
        <w:jc w:val="center"/>
        <w:rPr>
          <w:rFonts w:hint="eastAsia"/>
          <w:b/>
          <w:bCs/>
          <w:color w:val="auto"/>
          <w:spacing w:val="15"/>
          <w:szCs w:val="36"/>
          <w:highlight w:val="none"/>
          <w:shd w:val="clear" w:color="auto" w:fill="FFFFFF"/>
          <w:lang w:val="en-US" w:eastAsia="zh-CN"/>
        </w:rPr>
      </w:pPr>
      <w:r>
        <w:rPr>
          <w:rFonts w:hint="eastAsia"/>
          <w:b/>
          <w:bCs/>
          <w:color w:val="auto"/>
          <w:sz w:val="28"/>
          <w:szCs w:val="36"/>
          <w:lang w:val="en-US" w:eastAsia="zh-CN"/>
        </w:rPr>
        <w:t>监狱企业声明函</w:t>
      </w: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center"/>
        <w:textAlignment w:val="auto"/>
        <w:outlineLvl w:val="9"/>
        <w:rPr>
          <w:rFonts w:hint="eastAsia"/>
          <w:b/>
          <w:bCs/>
          <w:color w:val="auto"/>
          <w:spacing w:val="15"/>
          <w:sz w:val="28"/>
          <w:szCs w:val="36"/>
          <w:highlight w:val="none"/>
          <w:shd w:val="clear" w:color="auto" w:fill="FFFFFF"/>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本单位郑重声明，根据《关于政府采购支持监狱企业发展有关问题的通知》（财库</w:t>
      </w:r>
      <w:r>
        <w:rPr>
          <w:rFonts w:hint="eastAsia" w:ascii="宋体" w:hAnsi="宋体" w:eastAsia="宋体" w:cs="宋体"/>
          <w:color w:val="auto"/>
          <w:sz w:val="24"/>
          <w:szCs w:val="32"/>
          <w:highlight w:val="none"/>
        </w:rPr>
        <w:t>〔201</w:t>
      </w: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24"/>
        </w:rPr>
        <w:t>68号）的规定，本单位为符合条件的监狱企业，且本单位参加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单位的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项目采购活动提供本单位制造的货物（由本单位承担工程/提供服务），或者提供其他监狱企业制造的货物（不包括使用非监狱企业注册商标的货物）。</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5"/>
          <w:kern w:val="0"/>
          <w:sz w:val="24"/>
          <w:szCs w:val="24"/>
          <w:highlight w:val="none"/>
          <w:shd w:val="clear" w:color="auto" w:fill="FFFFFF"/>
        </w:rPr>
      </w:pPr>
      <w:r>
        <w:rPr>
          <w:rFonts w:hint="eastAsia" w:ascii="宋体" w:hAnsi="宋体" w:eastAsia="宋体" w:cs="宋体"/>
          <w:color w:val="auto"/>
          <w:sz w:val="24"/>
          <w:szCs w:val="24"/>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pPr>
        <w:keepNext w:val="0"/>
        <w:keepLines w:val="0"/>
        <w:pageBreakBefore w:val="0"/>
        <w:widowControl w:val="0"/>
        <w:numPr>
          <w:ilvl w:val="0"/>
          <w:numId w:val="4"/>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pPr>
        <w:keepNext w:val="0"/>
        <w:keepLines w:val="0"/>
        <w:pageBreakBefore w:val="0"/>
        <w:widowControl w:val="0"/>
        <w:numPr>
          <w:ilvl w:val="0"/>
          <w:numId w:val="4"/>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 年 月 日</w:t>
      </w:r>
    </w:p>
    <w:p>
      <w:pPr>
        <w:outlineLvl w:val="9"/>
        <w:rPr>
          <w:rFonts w:hint="eastAsia" w:ascii="宋体" w:hAnsi="宋体" w:cs="宋体"/>
          <w:color w:val="auto"/>
          <w:szCs w:val="21"/>
          <w:highlight w:val="none"/>
        </w:rPr>
      </w:pPr>
    </w:p>
    <w:p>
      <w:pPr>
        <w:outlineLvl w:val="9"/>
        <w:rPr>
          <w:rFonts w:hint="eastAsia" w:ascii="宋体" w:hAnsi="宋体" w:cs="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后附：由省级以上监狱管理局、戒毒管理局（含新疆生产建设兵团）出具的属于监狱企业的证明文件</w:t>
      </w:r>
    </w:p>
    <w:p>
      <w:pPr>
        <w:pStyle w:val="4"/>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olor w:val="auto"/>
          <w:highlight w:val="none"/>
          <w:lang w:val="en-US" w:eastAsia="zh-CN"/>
        </w:rPr>
      </w:pPr>
      <w:r>
        <w:rPr>
          <w:rFonts w:hint="eastAsia" w:ascii="宋体" w:hAnsi="宋体" w:cs="宋体"/>
          <w:b/>
          <w:color w:val="auto"/>
          <w:szCs w:val="21"/>
          <w:highlight w:val="none"/>
        </w:rPr>
        <w:t>注：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sectPr>
      <w:headerReference r:id="rId4" w:type="default"/>
      <w:footerReference r:id="rId5" w:type="default"/>
      <w:pgSz w:w="11906" w:h="16838"/>
      <w:pgMar w:top="1417" w:right="1417" w:bottom="1417" w:left="1417"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Courier New">
    <w:panose1 w:val="02070309020205020404"/>
    <w:charset w:val="00"/>
    <w:family w:val="auto"/>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Swis721 BT">
    <w:altName w:val="Segoe Script"/>
    <w:panose1 w:val="020B0504020202020204"/>
    <w:charset w:val="00"/>
    <w:family w:val="swiss"/>
    <w:pitch w:val="default"/>
    <w:sig w:usb0="00000000" w:usb1="00000000" w:usb2="00000000" w:usb3="00000000" w:csb0="0000001B" w:csb1="00000000"/>
  </w:font>
  <w:font w:name="Batang">
    <w:panose1 w:val="02030600000101010101"/>
    <w:charset w:val="81"/>
    <w:family w:val="roman"/>
    <w:pitch w:val="default"/>
    <w:sig w:usb0="B00002AF" w:usb1="69D77CFB" w:usb2="00000030" w:usb3="00000000" w:csb0="4008009F" w:csb1="DFD70000"/>
  </w:font>
  <w:font w:name="??_GB2312">
    <w:altName w:val="Courier New"/>
    <w:panose1 w:val="00000000000000000000"/>
    <w:charset w:val="00"/>
    <w:family w:val="auto"/>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幼圆">
    <w:altName w:val="宋体"/>
    <w:panose1 w:val="0201050906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FuturaA Bk BT">
    <w:altName w:val="Lucida Sans Unicode"/>
    <w:panose1 w:val="020B0502020204020303"/>
    <w:charset w:val="00"/>
    <w:family w:val="swiss"/>
    <w:pitch w:val="default"/>
    <w:sig w:usb0="00000000" w:usb1="00000000" w:usb2="00000000" w:usb3="00000000" w:csb0="0000001B" w:csb1="00000000"/>
  </w:font>
  <w:font w:name="??">
    <w:altName w:val="黑体"/>
    <w:panose1 w:val="00000000000000000000"/>
    <w:charset w:val="86"/>
    <w:family w:val="auto"/>
    <w:pitch w:val="default"/>
    <w:sig w:usb0="00000000" w:usb1="00000000" w:usb2="00000010" w:usb3="00000000" w:csb0="00040001" w:csb1="00000000"/>
  </w:font>
  <w:font w:name="方正小标宋简体">
    <w:panose1 w:val="02010601030101010101"/>
    <w:charset w:val="86"/>
    <w:family w:val="auto"/>
    <w:pitch w:val="default"/>
    <w:sig w:usb0="00000001" w:usb1="080E0000" w:usb2="00000000" w:usb3="00000000" w:csb0="00040000" w:csb1="00000000"/>
  </w:font>
  <w:font w:name="Segoe Script">
    <w:panose1 w:val="020B0504020000000003"/>
    <w:charset w:val="00"/>
    <w:family w:val="auto"/>
    <w:pitch w:val="default"/>
    <w:sig w:usb0="0000028F" w:usb1="00000000" w:usb2="00000000" w:usb3="00000000" w:csb0="0000009F" w:csb1="00000000"/>
  </w:font>
  <w:font w:name="Lucida Sans Unicode">
    <w:panose1 w:val="020B0602030504020204"/>
    <w:charset w:val="00"/>
    <w:family w:val="auto"/>
    <w:pitch w:val="default"/>
    <w:sig w:usb0="80001AFF" w:usb1="0000396B" w:usb2="00000000" w:usb3="00000000" w:csb0="200000BF" w:csb1="D7F70000"/>
  </w:font>
  <w:font w:name="华文中宋">
    <w:altName w:val="宋体"/>
    <w:panose1 w:val="02010600040101010101"/>
    <w:charset w:val="86"/>
    <w:family w:val="auto"/>
    <w:pitch w:val="default"/>
    <w:sig w:usb0="00000000" w:usb1="00000000" w:usb2="00000000" w:usb3="00000000" w:csb0="0004009F" w:csb1="DFD70000"/>
  </w:font>
  <w:font w:name="MS Sans Serif">
    <w:altName w:val="Arial"/>
    <w:panose1 w:val="00000000000000000000"/>
    <w:charset w:val="00"/>
    <w:family w:val="swiss"/>
    <w:pitch w:val="default"/>
    <w:sig w:usb0="00000000" w:usb1="00000000" w:usb2="00000000" w:usb3="00000000" w:csb0="00000001" w:csb1="00000000"/>
  </w:font>
  <w:font w:name="Arabic Typesetting">
    <w:panose1 w:val="03020402040406030203"/>
    <w:charset w:val="00"/>
    <w:family w:val="script"/>
    <w:pitch w:val="default"/>
    <w:sig w:usb0="A000206F" w:usb1="C0000000" w:usb2="00000008" w:usb3="00000000" w:csb0="2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3</w:t>
                          </w:r>
                          <w:r>
                            <w:rPr>
                              <w:rFonts w:hint="eastAsia" w:ascii="宋体" w:hAnsi="宋体" w:eastAsia="宋体" w:cs="宋体"/>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3</w:t>
                    </w:r>
                    <w:r>
                      <w:rPr>
                        <w:rFonts w:hint="eastAsia" w:ascii="宋体" w:hAnsi="宋体" w:eastAsia="宋体" w:cs="宋体"/>
                        <w:sz w:val="18"/>
                        <w:szCs w:val="18"/>
                      </w:rPr>
                      <w:fldChar w:fldCharType="end"/>
                    </w:r>
                  </w:p>
                </w:txbxContent>
              </v:textbox>
            </v:shape>
          </w:pict>
        </mc:Fallback>
      </mc:AlternateContent>
    </w:r>
    <w:r>
      <w:rPr>
        <w:rFonts w:hint="eastAsia"/>
        <w:lang w:val="en-US" w:eastAsia="zh-CN"/>
      </w:rPr>
      <w:t xml:space="preserve">                        </w:t>
    </w:r>
    <w:r>
      <w:rPr>
        <w:rFonts w:hint="eastAsia"/>
        <w:sz w:val="10"/>
        <w:szCs w:val="16"/>
        <w:lang w:val="en-US" w:eastAsia="zh-CN"/>
      </w:rPr>
      <w:t xml:space="preserve">   </w: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ouble" w:color="auto" w:sz="8" w:space="1"/>
      </w:pBdr>
      <w:jc w:val="right"/>
      <w:rPr>
        <w:rFonts w:hint="eastAsia" w:ascii="宋体" w:hAnsi="宋体" w:eastAsia="宋体" w:cs="宋体"/>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6153D0F0"/>
    <w:multiLevelType w:val="singleLevel"/>
    <w:tmpl w:val="6153D0F0"/>
    <w:lvl w:ilvl="0" w:tentative="0">
      <w:start w:val="1"/>
      <w:numFmt w:val="chineseCounting"/>
      <w:suff w:val="nothing"/>
      <w:lvlText w:val="%1、"/>
      <w:lvlJc w:val="left"/>
    </w:lvl>
  </w:abstractNum>
  <w:abstractNum w:abstractNumId="2">
    <w:nsid w:val="6459BA5A"/>
    <w:multiLevelType w:val="singleLevel"/>
    <w:tmpl w:val="6459BA5A"/>
    <w:lvl w:ilvl="0" w:tentative="0">
      <w:start w:val="1"/>
      <w:numFmt w:val="decimal"/>
      <w:suff w:val="nothing"/>
      <w:lvlText w:val="（%1）"/>
      <w:lvlJc w:val="left"/>
    </w:lvl>
  </w:abstractNum>
  <w:abstractNum w:abstractNumId="3">
    <w:nsid w:val="645AFEF5"/>
    <w:multiLevelType w:val="singleLevel"/>
    <w:tmpl w:val="645AFEF5"/>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E1483"/>
    <w:rsid w:val="014F34CF"/>
    <w:rsid w:val="018F5B46"/>
    <w:rsid w:val="01B80805"/>
    <w:rsid w:val="021332F5"/>
    <w:rsid w:val="022343E1"/>
    <w:rsid w:val="027D26BF"/>
    <w:rsid w:val="02D279FE"/>
    <w:rsid w:val="0391251C"/>
    <w:rsid w:val="04DB3D9A"/>
    <w:rsid w:val="057E6715"/>
    <w:rsid w:val="059A78E5"/>
    <w:rsid w:val="05A74DD9"/>
    <w:rsid w:val="069274D4"/>
    <w:rsid w:val="0802292E"/>
    <w:rsid w:val="081C5E33"/>
    <w:rsid w:val="09EA120C"/>
    <w:rsid w:val="0A56532E"/>
    <w:rsid w:val="0AB65B5F"/>
    <w:rsid w:val="0B854509"/>
    <w:rsid w:val="0BE41E18"/>
    <w:rsid w:val="0DBD4381"/>
    <w:rsid w:val="0E3B7FEF"/>
    <w:rsid w:val="0FB34DBB"/>
    <w:rsid w:val="0FDD3F67"/>
    <w:rsid w:val="11C735F9"/>
    <w:rsid w:val="123100E7"/>
    <w:rsid w:val="13E214AD"/>
    <w:rsid w:val="14846311"/>
    <w:rsid w:val="155939A6"/>
    <w:rsid w:val="156F531E"/>
    <w:rsid w:val="18525B00"/>
    <w:rsid w:val="187F6B62"/>
    <w:rsid w:val="18816044"/>
    <w:rsid w:val="19BB7624"/>
    <w:rsid w:val="1A340CCE"/>
    <w:rsid w:val="1ADB66D5"/>
    <w:rsid w:val="1AF96500"/>
    <w:rsid w:val="1B5D1568"/>
    <w:rsid w:val="1C16074F"/>
    <w:rsid w:val="1C3C5F7F"/>
    <w:rsid w:val="20352208"/>
    <w:rsid w:val="217B5198"/>
    <w:rsid w:val="22BA23F3"/>
    <w:rsid w:val="230321C7"/>
    <w:rsid w:val="230B2003"/>
    <w:rsid w:val="23EC5091"/>
    <w:rsid w:val="2514542B"/>
    <w:rsid w:val="259F10BA"/>
    <w:rsid w:val="2684742F"/>
    <w:rsid w:val="287C58D2"/>
    <w:rsid w:val="29274E64"/>
    <w:rsid w:val="293B254B"/>
    <w:rsid w:val="29872C6D"/>
    <w:rsid w:val="29D33D5C"/>
    <w:rsid w:val="2C974580"/>
    <w:rsid w:val="2D26345B"/>
    <w:rsid w:val="2D7D7E70"/>
    <w:rsid w:val="2DD07670"/>
    <w:rsid w:val="2DF95B61"/>
    <w:rsid w:val="2EED0C3D"/>
    <w:rsid w:val="300D4E34"/>
    <w:rsid w:val="30207172"/>
    <w:rsid w:val="31F923D4"/>
    <w:rsid w:val="321D22B2"/>
    <w:rsid w:val="32B46EF9"/>
    <w:rsid w:val="331B5860"/>
    <w:rsid w:val="33470933"/>
    <w:rsid w:val="34B440BB"/>
    <w:rsid w:val="354807AF"/>
    <w:rsid w:val="362426FA"/>
    <w:rsid w:val="372F05A4"/>
    <w:rsid w:val="39916116"/>
    <w:rsid w:val="39BA461F"/>
    <w:rsid w:val="3A2810E3"/>
    <w:rsid w:val="3B025F76"/>
    <w:rsid w:val="3B094FE2"/>
    <w:rsid w:val="3BE13EE5"/>
    <w:rsid w:val="3C0E3598"/>
    <w:rsid w:val="3C692F81"/>
    <w:rsid w:val="3D474ABB"/>
    <w:rsid w:val="3E6867CC"/>
    <w:rsid w:val="3FDD50B5"/>
    <w:rsid w:val="427E3DAD"/>
    <w:rsid w:val="4408069A"/>
    <w:rsid w:val="445968C5"/>
    <w:rsid w:val="45472BD1"/>
    <w:rsid w:val="457334BD"/>
    <w:rsid w:val="46055FF9"/>
    <w:rsid w:val="468E11F6"/>
    <w:rsid w:val="46D32E08"/>
    <w:rsid w:val="47062D0E"/>
    <w:rsid w:val="47EF7B49"/>
    <w:rsid w:val="48F219A8"/>
    <w:rsid w:val="49542E52"/>
    <w:rsid w:val="4C91774A"/>
    <w:rsid w:val="4C9E28EA"/>
    <w:rsid w:val="4D423645"/>
    <w:rsid w:val="4EC22DE4"/>
    <w:rsid w:val="4F8172ED"/>
    <w:rsid w:val="4FF50D07"/>
    <w:rsid w:val="52DD0433"/>
    <w:rsid w:val="536B3095"/>
    <w:rsid w:val="538E1483"/>
    <w:rsid w:val="541B6431"/>
    <w:rsid w:val="54B17E17"/>
    <w:rsid w:val="54D42C9D"/>
    <w:rsid w:val="54DD2826"/>
    <w:rsid w:val="5567155C"/>
    <w:rsid w:val="570606C5"/>
    <w:rsid w:val="57B42C43"/>
    <w:rsid w:val="57C4627D"/>
    <w:rsid w:val="58010C9D"/>
    <w:rsid w:val="58565030"/>
    <w:rsid w:val="588D487D"/>
    <w:rsid w:val="59E93A8E"/>
    <w:rsid w:val="5B99692A"/>
    <w:rsid w:val="5BAB4992"/>
    <w:rsid w:val="5C2835EC"/>
    <w:rsid w:val="5C51019F"/>
    <w:rsid w:val="5C774AAD"/>
    <w:rsid w:val="5D4C0E73"/>
    <w:rsid w:val="5DE474C8"/>
    <w:rsid w:val="5E073BED"/>
    <w:rsid w:val="5ECB5627"/>
    <w:rsid w:val="5EE319B3"/>
    <w:rsid w:val="5F5E5780"/>
    <w:rsid w:val="5F67138C"/>
    <w:rsid w:val="5F70767C"/>
    <w:rsid w:val="5F9576F1"/>
    <w:rsid w:val="5FB366BE"/>
    <w:rsid w:val="60D14602"/>
    <w:rsid w:val="61957B24"/>
    <w:rsid w:val="61E123B3"/>
    <w:rsid w:val="62124585"/>
    <w:rsid w:val="625D592B"/>
    <w:rsid w:val="63715D2B"/>
    <w:rsid w:val="645F08B5"/>
    <w:rsid w:val="64BB5419"/>
    <w:rsid w:val="66394FA5"/>
    <w:rsid w:val="667110EE"/>
    <w:rsid w:val="669B71F4"/>
    <w:rsid w:val="67123590"/>
    <w:rsid w:val="67EB5D21"/>
    <w:rsid w:val="67FA568C"/>
    <w:rsid w:val="686C04E8"/>
    <w:rsid w:val="697014F1"/>
    <w:rsid w:val="6AA8720E"/>
    <w:rsid w:val="6AB31B18"/>
    <w:rsid w:val="6BB250E2"/>
    <w:rsid w:val="6C065B49"/>
    <w:rsid w:val="6D597E44"/>
    <w:rsid w:val="6E4B5BB0"/>
    <w:rsid w:val="6FA82893"/>
    <w:rsid w:val="715F0110"/>
    <w:rsid w:val="729E0492"/>
    <w:rsid w:val="73602DCE"/>
    <w:rsid w:val="74A125F2"/>
    <w:rsid w:val="75841AB5"/>
    <w:rsid w:val="76BA778C"/>
    <w:rsid w:val="76D24862"/>
    <w:rsid w:val="790240CC"/>
    <w:rsid w:val="79196CF1"/>
    <w:rsid w:val="7952225E"/>
    <w:rsid w:val="79A96237"/>
    <w:rsid w:val="79FD4D1C"/>
    <w:rsid w:val="7A4276BD"/>
    <w:rsid w:val="7B5E70A2"/>
    <w:rsid w:val="7B6075EF"/>
    <w:rsid w:val="7C1517A4"/>
    <w:rsid w:val="7C527796"/>
    <w:rsid w:val="7C6C44EA"/>
    <w:rsid w:val="7D44283C"/>
    <w:rsid w:val="7D4A1525"/>
    <w:rsid w:val="7D5331D3"/>
    <w:rsid w:val="7DCE14FF"/>
    <w:rsid w:val="7F8E793F"/>
    <w:rsid w:val="7FC72453"/>
    <w:rsid w:val="7FE85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spacing w:line="720" w:lineRule="exact"/>
      <w:outlineLvl w:val="1"/>
    </w:pPr>
    <w:rPr>
      <w:rFonts w:ascii="黑体" w:hAnsi="Copperplate Gothic Bold" w:eastAsia="楷体_GB2312"/>
      <w:sz w:val="28"/>
    </w:rPr>
  </w:style>
  <w:style w:type="paragraph" w:styleId="5">
    <w:name w:val="heading 3"/>
    <w:basedOn w:val="1"/>
    <w:next w:val="1"/>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7">
    <w:name w:val="Body Text First Indent"/>
    <w:basedOn w:val="8"/>
    <w:unhideWhenUsed/>
    <w:qFormat/>
    <w:uiPriority w:val="99"/>
    <w:pPr>
      <w:spacing w:afterLines="0" w:line="240" w:lineRule="auto"/>
      <w:ind w:firstLine="420" w:firstLineChars="100"/>
    </w:pPr>
    <w:rPr>
      <w:rFonts w:ascii="Times New Roman" w:hAnsi="Times New Roman"/>
      <w:color w:val="auto"/>
      <w:sz w:val="18"/>
      <w:szCs w:val="18"/>
    </w:rPr>
  </w:style>
  <w:style w:type="paragraph" w:styleId="8">
    <w:name w:val="Body Text"/>
    <w:basedOn w:val="1"/>
    <w:next w:val="1"/>
    <w:qFormat/>
    <w:uiPriority w:val="0"/>
    <w:pPr>
      <w:spacing w:afterLines="50" w:line="360" w:lineRule="auto"/>
    </w:pPr>
    <w:rPr>
      <w:rFonts w:ascii="宋体" w:hAnsi="宋体"/>
      <w:color w:val="000000"/>
      <w:sz w:val="24"/>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rPr>
  </w:style>
  <w:style w:type="paragraph" w:styleId="11">
    <w:name w:val="Date"/>
    <w:basedOn w:val="1"/>
    <w:next w:val="1"/>
    <w:qFormat/>
    <w:uiPriority w:val="0"/>
    <w:rPr>
      <w:rFonts w:ascii="Copperplate Gothic Bold" w:hAnsi="Copperplate Gothic Bold"/>
      <w:sz w:val="32"/>
    </w:rPr>
  </w:style>
  <w:style w:type="paragraph" w:styleId="12">
    <w:name w:val="footer"/>
    <w:basedOn w:val="1"/>
    <w:qFormat/>
    <w:uiPriority w:val="0"/>
    <w:pPr>
      <w:pBdr>
        <w:top w:val="double" w:color="auto" w:sz="4" w:space="1"/>
        <w:left w:val="none" w:color="auto" w:sz="0" w:space="4"/>
        <w:bottom w:val="none" w:color="auto" w:sz="0" w:space="1"/>
        <w:right w:val="none" w:color="auto" w:sz="0" w:space="4"/>
      </w:pBdr>
      <w:tabs>
        <w:tab w:val="center" w:pos="4153"/>
        <w:tab w:val="right" w:pos="8306"/>
      </w:tabs>
      <w:snapToGrid w:val="0"/>
      <w:jc w:val="left"/>
    </w:pPr>
    <w:rPr>
      <w:rFonts w:asciiTheme="minorAscii" w:hAnsiTheme="minorAscii"/>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Body Text 2"/>
    <w:basedOn w:val="1"/>
    <w:qFormat/>
    <w:uiPriority w:val="0"/>
    <w:pPr>
      <w:adjustRightInd w:val="0"/>
      <w:snapToGrid w:val="0"/>
      <w:spacing w:line="480" w:lineRule="atLeast"/>
    </w:pPr>
    <w:rPr>
      <w:rFonts w:ascii="宋体" w:hAnsi="宋体"/>
      <w:sz w:val="28"/>
    </w:rPr>
  </w:style>
  <w:style w:type="paragraph" w:styleId="17">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9">
    <w:name w:val="Strong"/>
    <w:basedOn w:val="18"/>
    <w:qFormat/>
    <w:uiPriority w:val="0"/>
    <w:rPr>
      <w:b/>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List Paragraph1"/>
    <w:qFormat/>
    <w:uiPriority w:val="0"/>
    <w:pPr>
      <w:ind w:firstLine="420" w:firstLineChars="200"/>
    </w:pPr>
    <w:rPr>
      <w:rFonts w:ascii="Calibri" w:hAnsi="Calibri" w:eastAsia="宋体" w:cs="Times New Roman"/>
      <w:lang w:val="en-US" w:eastAsia="zh-CN" w:bidi="ar-SA"/>
    </w:rPr>
  </w:style>
  <w:style w:type="paragraph" w:customStyle="1" w:styleId="23">
    <w:name w:val="正文文本1"/>
    <w:basedOn w:val="1"/>
    <w:qFormat/>
    <w:uiPriority w:val="0"/>
    <w:pPr>
      <w:widowControl w:val="0"/>
      <w:shd w:val="clear" w:color="auto" w:fill="FFFFFF"/>
      <w:spacing w:after="60" w:line="463" w:lineRule="auto"/>
      <w:ind w:firstLine="400"/>
    </w:pPr>
    <w:rPr>
      <w:rFonts w:ascii="黑体" w:hAnsi="黑体" w:eastAsia="黑体" w:cs="黑体"/>
      <w:sz w:val="34"/>
      <w:szCs w:val="34"/>
      <w:u w:val="none"/>
      <w:lang w:val="zh-CN" w:eastAsia="zh-CN" w:bidi="zh-CN"/>
    </w:rPr>
  </w:style>
  <w:style w:type="paragraph" w:customStyle="1" w:styleId="24">
    <w:name w:val="正文（缩进 2 字符）"/>
    <w:basedOn w:val="1"/>
    <w:qFormat/>
    <w:uiPriority w:val="0"/>
    <w:pPr>
      <w:ind w:firstLine="200" w:firstLineChars="200"/>
    </w:pPr>
  </w:style>
  <w:style w:type="paragraph" w:customStyle="1" w:styleId="25">
    <w:name w:val="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81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2020-06-07T13:56:00Z</dcterms:created>
  <dc:creator>没人给我穿袜子</dc:creator>
  <cp:lastModifiedBy>Administrator</cp:lastModifiedBy>
  <cp:lastPrinted>2022-08-26T09:26:00Z</cp:lastPrinted>
  <dcterms:modified xsi:type="dcterms:W3CDTF">2023-05-23T09:44:47Z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KSOTemplateUUID">
    <vt:lpwstr>v1.0_mb_JTkv4FRecwauV9R5PE+DoQ==</vt:lpwstr>
  </property>
  <property fmtid="{D5CDD505-2E9C-101B-9397-08002B2CF9AE}" pid="4" name="ICV">
    <vt:lpwstr>948222DC355D46AA8C94A95DF88F9E76</vt:lpwstr>
  </property>
</Properties>
</file>