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 w:after="10" w:line="440" w:lineRule="exact"/>
        <w:jc w:val="center"/>
        <w:textAlignment w:val="auto"/>
        <w:rPr>
          <w:rFonts w:hint="eastAsia" w:ascii="宋体" w:hAnsi="宋体" w:eastAsia="宋体" w:cs="宋体"/>
          <w:b/>
          <w:bCs/>
          <w:color w:val="auto"/>
          <w:kern w:val="0"/>
          <w:sz w:val="28"/>
          <w:szCs w:val="28"/>
          <w:bdr w:val="none" w:color="auto" w:sz="0" w:space="0"/>
          <w:lang w:val="en-US" w:eastAsia="zh-CN" w:bidi="ar"/>
        </w:rPr>
      </w:pPr>
      <w:r>
        <w:rPr>
          <w:rFonts w:hint="eastAsia" w:ascii="宋体" w:hAnsi="宋体" w:eastAsia="宋体" w:cs="宋体"/>
          <w:b/>
          <w:bCs/>
          <w:color w:val="auto"/>
          <w:kern w:val="0"/>
          <w:sz w:val="28"/>
          <w:szCs w:val="28"/>
          <w:bdr w:val="none" w:color="auto" w:sz="0" w:space="0"/>
          <w:lang w:val="en-US" w:eastAsia="zh-CN" w:bidi="ar"/>
        </w:rPr>
        <w:t>延安市人民医院人事档案专项审核及数字化建设(二次)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 w:after="10" w:line="440" w:lineRule="exact"/>
        <w:jc w:val="center"/>
        <w:textAlignment w:val="auto"/>
        <w:rPr>
          <w:rFonts w:hint="eastAsia" w:ascii="宋体" w:hAnsi="宋体" w:eastAsia="宋体" w:cs="宋体"/>
          <w:b/>
          <w:bCs/>
          <w:color w:val="auto"/>
          <w:sz w:val="28"/>
          <w:szCs w:val="28"/>
        </w:rPr>
      </w:pPr>
      <w:bookmarkStart w:id="0" w:name="_GoBack"/>
      <w:bookmarkEnd w:id="0"/>
      <w:r>
        <w:rPr>
          <w:rFonts w:hint="eastAsia" w:ascii="宋体" w:hAnsi="宋体" w:eastAsia="宋体" w:cs="宋体"/>
          <w:b/>
          <w:bCs/>
          <w:color w:val="auto"/>
          <w:kern w:val="0"/>
          <w:sz w:val="28"/>
          <w:szCs w:val="28"/>
          <w:bdr w:val="none" w:color="auto" w:sz="0" w:space="0"/>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人事档案专项审核及数字化建设(二次)</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全国公共资源交易平台（陕西省·延安市）</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2024年01月25日 14时30分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项目编号：SXJC-ZC-2023-089.1B1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项目名称：人事档案专项审核及数字化建设(二次)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预算金额：340,000.00元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合同包1(人事档案专项审核及数字化建设):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合同包预算金额：340,000.00元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合同包最高限价：340,000.00元</w:t>
      </w:r>
    </w:p>
    <w:tbl>
      <w:tblPr>
        <w:tblW w:w="181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4"/>
        <w:gridCol w:w="4466"/>
        <w:gridCol w:w="4466"/>
        <w:gridCol w:w="1493"/>
        <w:gridCol w:w="2981"/>
        <w:gridCol w:w="1797"/>
        <w:gridCol w:w="1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档案管理服务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人事档案专项审核及数字化建设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10" w:beforeAutospacing="0" w:after="1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4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 w:beforeAutospacing="0" w:after="10" w:afterAutospacing="0" w:line="44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340,000.00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合同包1(人事档案专项审核及数字化建设)落实政府采购政策需满足的资格要求如下: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合同包1(人事档案专项审核及数字化建设)落实政府采购政策需满足的资格要求如下:</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 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2.4《财政部 国家发展改革委关于印发(节能产品政府采购实施意见)的通知》(财库〔2004〕185号)；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 《财政部 环保总局关于环境标志产品政府采购实施的意见》(财库〔2006〕90号)；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 农业农村部 国家乡村振兴局关于运用政府采购政策支持乡村产业振兴的通知》（财库〔2021〕19号）；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2.10《关于进一步加大政府采购支持中小企业力度的通知》(财库〔2022〕19号)；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2.11《陕西省财政厅关于印发&lt;陕西省中小企业政府采购信用融资办法&gt;的通知》（陕财办采〔2018〕23号）相关政策、业务流程、办理平台；</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2.12&lt;陕西省财政厅关于进一步落实政府采购支持中小企业相关政策的通知》(陕财办采(2023)3号)。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2.13《陕西省财政厅关于进一步优化政府采购营商环境有关事项的通知》(陕财办采(2023)4号)。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2.14其他需要落实的政府采购政策。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合同包1(人事档案专项审核及数字化建设)特定资格要求如下: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（1）具有独立承担民事责任能力的法人或其他组织，提供合法有效的统一社会信用代码的营业执照（含年度报告书）或事业单位法人证书等国家规定的相关证明，自然人参与的提供其身份证明；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（3）税收缴纳证明：提供磋商截止时间前一年内已缴纳的连续六个月的纳税证明或完税证明；依法免税的应提供相关证明文件(成立不足六个月的提供自成立之日起的连续纳税证明或完税凭证)；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（4）社会保障资金缴纳证明：提供本年度已缴纳的任意一个月的社会保障资金缴存证明或社保机构开具的社会保险参保缴费情况证明；依法不需要缴纳社会保障资金的应提供相关文件证明；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（5）财务状况报告：提供2020-2022年度财务审计报告（至少包括审计报告、资产负债表和利润表，成立时间不足一年的可提供成立后任意时段的资产负债表）；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不得列入“信用中国”网站中严重主体失信名单和经营异常名单，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（8）单位负责人为同一人或者存在直接控股、管理关系的不同供应商，不得参加同一合同项下的政府采购活动（提供承诺函）；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（9）本项目专门面向中小企业采购；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2024年01月15日 至 2024年01月19日 ，每天上午 08:00:00 至 12:00:00 ，下午 12:00:00 至 18:00:00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全国公共资源交易平台（陕西省·延安市）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2024年01月25日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延安市公共资源交易中心交易三厅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2024年01月25日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延安市公共资源交易中心交易三厅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报名登记：供应商使用捆绑CA证书登录全国公共资源交易平台（陕西省·延安市）延安市公共资源交易中心，选择电子交易平台中的陕西政府采购交易系统进行登录，登录后选择“交易乙方”身份进入供应商界面进行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2、下载文件：供应商登录登录全国公共资源交易平台（陕西省·延安市）延安市公共资源交易中心，选择“交易乙方”身份进入供应商界面下载采购文件。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3、请供应商按照陕西省财政厅关于政府采购供应商注册登记有关事项的通知中的要求，通过陕西省政府采购网注册登记加入陕西省政府采购供应商库。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4、本次招标公告在《陕西省政府采购网》、《全国公共资源交易平台（陕西省·延安市）》媒介上发布。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 w:beforeAutospacing="0" w:after="10" w:afterAutospacing="0" w:line="44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延安市人民医院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延安市七里铺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0911-2888450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陕西省延安市新城区上城新世纪东区1号楼919室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0911-8881278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 w:beforeAutospacing="0" w:after="1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0911-8881278</w:t>
      </w:r>
    </w:p>
    <w:p>
      <w:pPr>
        <w:keepNext w:val="0"/>
        <w:keepLines w:val="0"/>
        <w:pageBreakBefore w:val="0"/>
        <w:widowControl/>
        <w:suppressLineNumbers w:val="0"/>
        <w:kinsoku/>
        <w:wordWrap w:val="0"/>
        <w:overflowPunct/>
        <w:topLinePunct w:val="0"/>
        <w:autoSpaceDE/>
        <w:autoSpaceDN/>
        <w:bidi w:val="0"/>
        <w:adjustRightInd/>
        <w:snapToGrid/>
        <w:spacing w:before="10" w:after="10" w:line="440" w:lineRule="exact"/>
        <w:jc w:val="both"/>
        <w:textAlignment w:val="auto"/>
        <w:rPr>
          <w:rFonts w:hint="eastAsia" w:ascii="宋体" w:hAnsi="宋体" w:eastAsia="宋体" w:cs="宋体"/>
          <w:color w:val="auto"/>
          <w:sz w:val="24"/>
          <w:szCs w:val="24"/>
        </w:rPr>
      </w:pPr>
    </w:p>
    <w:p>
      <w:pPr>
        <w:keepNext w:val="0"/>
        <w:keepLines w:val="0"/>
        <w:pageBreakBefore w:val="0"/>
        <w:kinsoku/>
        <w:overflowPunct/>
        <w:topLinePunct w:val="0"/>
        <w:autoSpaceDE/>
        <w:autoSpaceDN/>
        <w:bidi w:val="0"/>
        <w:adjustRightInd/>
        <w:snapToGrid/>
        <w:spacing w:before="10" w:after="10" w:line="440" w:lineRule="exact"/>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MGVhNWNiY2IyZmU2ZGM1YzQ0YjRjYTM3YTE2YjMifQ=="/>
  </w:docVars>
  <w:rsids>
    <w:rsidRoot w:val="00000000"/>
    <w:rsid w:val="17A31F63"/>
    <w:rsid w:val="263A6F19"/>
    <w:rsid w:val="35A959AA"/>
    <w:rsid w:val="384F7AEE"/>
    <w:rsid w:val="439D013D"/>
    <w:rsid w:val="440E1A52"/>
    <w:rsid w:val="4CC4276F"/>
    <w:rsid w:val="5BEC25FE"/>
    <w:rsid w:val="5D6A6572"/>
    <w:rsid w:val="5F7A71E1"/>
    <w:rsid w:val="60494BFF"/>
    <w:rsid w:val="63782E20"/>
    <w:rsid w:val="74F01A39"/>
    <w:rsid w:val="7C6E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line="480" w:lineRule="auto"/>
      <w:ind w:left="420" w:leftChars="200"/>
    </w:pPr>
  </w:style>
  <w:style w:type="paragraph" w:styleId="5">
    <w:name w:val="envelope return"/>
    <w:basedOn w:val="1"/>
    <w:autoRedefine/>
    <w:qFormat/>
    <w:uiPriority w:val="0"/>
    <w:pPr>
      <w:snapToGrid w:val="0"/>
    </w:pPr>
    <w:rPr>
      <w:rFonts w:ascii="Arial" w:hAnsi="Arial"/>
    </w:rPr>
  </w:style>
  <w:style w:type="paragraph" w:styleId="6">
    <w:name w:val="Normal (Web)"/>
    <w:basedOn w:val="1"/>
    <w:next w:val="5"/>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2023-12-18T01:50:00Z</dcterms:created>
  <dc:creator>Administrator</dc:creator>
  <cp:lastModifiedBy>安</cp:lastModifiedBy>
  <dcterms:modified xsi:type="dcterms:W3CDTF">2024-01-12T01:57:04Z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26B6FFB35B6A46D4B969C2D84A846D08_12</vt:lpwstr>
  </property>
</Properties>
</file>