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黑体" w:hAnsi="黑体" w:eastAsia="黑体" w:cs="黑体"/>
          <w:b/>
          <w:sz w:val="36"/>
          <w:szCs w:val="36"/>
        </w:rPr>
      </w:pPr>
      <w:r>
        <w:rPr>
          <w:rFonts w:hint="eastAsia" w:ascii="黑体" w:hAnsi="黑体" w:eastAsia="黑体" w:cs="黑体"/>
          <w:b/>
          <w:sz w:val="36"/>
          <w:szCs w:val="36"/>
        </w:rPr>
        <w:t>谈判公告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延长县政府采购中心受</w:t>
      </w:r>
      <w:r>
        <w:rPr>
          <w:rFonts w:hint="eastAsia" w:ascii="黑体" w:hAnsi="黑体" w:eastAsia="黑体" w:cs="黑体"/>
          <w:color w:val="auto"/>
          <w:sz w:val="24"/>
          <w:highlight w:val="none"/>
          <w:lang w:val="en-US" w:eastAsia="zh-CN"/>
        </w:rPr>
        <w:t>延长县城市管理执法大队</w:t>
      </w:r>
      <w:r>
        <w:rPr>
          <w:rFonts w:hint="eastAsia" w:ascii="黑体" w:hAnsi="黑体" w:eastAsia="黑体" w:cs="黑体"/>
          <w:color w:val="auto"/>
          <w:sz w:val="24"/>
          <w:highlight w:val="none"/>
        </w:rPr>
        <w:t>的委托，经政府采购管理部门批准，按照政府采购程序，拟就</w:t>
      </w:r>
      <w:r>
        <w:rPr>
          <w:rFonts w:hint="eastAsia" w:ascii="黑体" w:hAnsi="黑体" w:eastAsia="黑体" w:cs="黑体"/>
          <w:color w:val="auto"/>
          <w:sz w:val="24"/>
          <w:highlight w:val="none"/>
          <w:lang w:val="en-US" w:eastAsia="zh-CN"/>
        </w:rPr>
        <w:t>延长县城市管理执法大队关于延长县临时停车位统一运营管理平台建设采购(二次)项目</w:t>
      </w:r>
      <w:r>
        <w:rPr>
          <w:rFonts w:hint="eastAsia" w:ascii="黑体" w:hAnsi="黑体" w:eastAsia="黑体" w:cs="黑体"/>
          <w:color w:val="auto"/>
          <w:sz w:val="24"/>
          <w:highlight w:val="none"/>
        </w:rPr>
        <w:t>进行</w:t>
      </w:r>
      <w:r>
        <w:rPr>
          <w:rFonts w:hint="eastAsia" w:ascii="黑体" w:hAnsi="黑体" w:eastAsia="黑体" w:cs="黑体"/>
          <w:color w:val="auto"/>
          <w:sz w:val="24"/>
          <w:highlight w:val="none"/>
          <w:lang w:eastAsia="zh-CN"/>
        </w:rPr>
        <w:t>竞争性</w:t>
      </w:r>
      <w:r>
        <w:rPr>
          <w:rFonts w:hint="eastAsia" w:ascii="黑体" w:hAnsi="黑体" w:eastAsia="黑体" w:cs="黑体"/>
          <w:color w:val="auto"/>
          <w:sz w:val="24"/>
          <w:highlight w:val="none"/>
        </w:rPr>
        <w:t>谈判，欢迎符合资格条件的、有能力提供本项目所需服务的供应商参加。</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sz w:val="24"/>
        </w:rPr>
      </w:pPr>
      <w:r>
        <w:rPr>
          <w:rFonts w:hint="eastAsia" w:ascii="黑体" w:hAnsi="黑体" w:eastAsia="黑体" w:cs="黑体"/>
          <w:b/>
          <w:sz w:val="24"/>
        </w:rPr>
        <w:t>一、采购项目名称：</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延长县临时停车位统一运营管理平台建设采购(二次)项目</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lang w:val="en-US" w:eastAsia="zh-CN"/>
        </w:rPr>
      </w:pPr>
      <w:r>
        <w:rPr>
          <w:rFonts w:hint="eastAsia" w:ascii="黑体" w:hAnsi="黑体" w:eastAsia="黑体" w:cs="黑体"/>
          <w:b/>
          <w:sz w:val="24"/>
        </w:rPr>
        <w:t>二、采购项目编号：</w:t>
      </w:r>
      <w:r>
        <w:rPr>
          <w:rFonts w:hint="eastAsia" w:ascii="黑体" w:hAnsi="黑体" w:eastAsia="黑体" w:cs="黑体"/>
          <w:sz w:val="24"/>
        </w:rPr>
        <w:t>YCZC-2023-J001.1B1</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lang w:val="en-US" w:eastAsia="zh-CN"/>
        </w:rPr>
      </w:pPr>
      <w:r>
        <w:rPr>
          <w:rFonts w:hint="eastAsia" w:ascii="黑体" w:hAnsi="黑体" w:eastAsia="黑体" w:cs="黑体"/>
          <w:b/>
          <w:sz w:val="24"/>
        </w:rPr>
        <w:t>三、采购人名称：</w:t>
      </w:r>
      <w:r>
        <w:rPr>
          <w:rFonts w:hint="eastAsia" w:ascii="黑体" w:hAnsi="黑体" w:eastAsia="黑体" w:cs="黑体"/>
          <w:color w:val="auto"/>
          <w:sz w:val="24"/>
          <w:highlight w:val="none"/>
          <w:lang w:val="en-US" w:eastAsia="zh-CN"/>
        </w:rPr>
        <w:t>延长县城市管理执法大队</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联系人：</w:t>
      </w:r>
      <w:r>
        <w:rPr>
          <w:rFonts w:hint="eastAsia" w:ascii="黑体" w:hAnsi="黑体" w:eastAsia="黑体" w:cs="黑体"/>
          <w:sz w:val="24"/>
          <w:lang w:val="en-US" w:eastAsia="zh-CN"/>
        </w:rPr>
        <w:t>董炎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sz w:val="24"/>
          <w:lang w:val="en-US" w:eastAsia="zh-CN"/>
        </w:rPr>
      </w:pPr>
      <w:r>
        <w:rPr>
          <w:rFonts w:hint="eastAsia" w:ascii="黑体" w:hAnsi="黑体" w:eastAsia="黑体" w:cs="黑体"/>
          <w:sz w:val="24"/>
        </w:rPr>
        <w:t xml:space="preserve">    联系方式：</w:t>
      </w:r>
      <w:r>
        <w:rPr>
          <w:rFonts w:hint="eastAsia" w:ascii="黑体" w:hAnsi="黑体" w:eastAsia="黑体" w:cs="黑体"/>
          <w:sz w:val="24"/>
          <w:lang w:val="en-US" w:eastAsia="zh-CN"/>
        </w:rPr>
        <w:t>18091129925</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rPr>
      </w:pPr>
      <w:r>
        <w:rPr>
          <w:rFonts w:hint="eastAsia" w:ascii="黑体" w:hAnsi="黑体" w:eastAsia="黑体" w:cs="黑体"/>
          <w:b/>
          <w:sz w:val="24"/>
        </w:rPr>
        <w:t>四、采购代理机构名称：</w:t>
      </w:r>
      <w:r>
        <w:rPr>
          <w:rFonts w:hint="eastAsia" w:ascii="黑体" w:hAnsi="黑体" w:eastAsia="黑体" w:cs="黑体"/>
          <w:sz w:val="24"/>
        </w:rPr>
        <w:t>延长县政府采购中心</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rPr>
      </w:pPr>
      <w:r>
        <w:rPr>
          <w:rFonts w:hint="eastAsia" w:ascii="黑体" w:hAnsi="黑体" w:eastAsia="黑体" w:cs="黑体"/>
          <w:sz w:val="24"/>
        </w:rPr>
        <w:t>联系人：</w:t>
      </w:r>
      <w:r>
        <w:rPr>
          <w:rFonts w:hint="eastAsia" w:ascii="黑体" w:hAnsi="黑体" w:eastAsia="黑体" w:cs="黑体"/>
          <w:sz w:val="24"/>
          <w:lang w:val="en-US" w:eastAsia="zh-CN"/>
        </w:rPr>
        <w:t>刘红莉</w:t>
      </w:r>
      <w:r>
        <w:rPr>
          <w:rFonts w:hint="eastAsia" w:ascii="黑体" w:hAnsi="黑体" w:eastAsia="黑体" w:cs="黑体"/>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lang w:val="en-US" w:eastAsia="zh-CN"/>
        </w:rPr>
      </w:pPr>
      <w:r>
        <w:rPr>
          <w:rFonts w:hint="eastAsia" w:ascii="黑体" w:hAnsi="黑体" w:eastAsia="黑体" w:cs="黑体"/>
          <w:sz w:val="24"/>
        </w:rPr>
        <w:t>联系方式：0911-861</w:t>
      </w:r>
      <w:r>
        <w:rPr>
          <w:rFonts w:hint="eastAsia" w:ascii="黑体" w:hAnsi="黑体" w:eastAsia="黑体" w:cs="黑体"/>
          <w:sz w:val="24"/>
          <w:lang w:val="en-US" w:eastAsia="zh-CN"/>
        </w:rPr>
        <w:t>9952</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b/>
          <w:sz w:val="24"/>
        </w:rPr>
      </w:pPr>
      <w:r>
        <w:rPr>
          <w:rFonts w:hint="eastAsia" w:ascii="黑体" w:hAnsi="黑体" w:eastAsia="黑体" w:cs="黑体"/>
          <w:b/>
          <w:sz w:val="24"/>
        </w:rPr>
        <w:t>五、采购内容和要求：</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1.采购需求：延长县城区临时停车运营管理平台，1项， 采购预算： 120万元， 项目概况： 近年来，随着延长县机动车数量不断增加，停车设施数量不足、资源配置效率低下等状况逐步显现，停车难、交通拥堵问题日益突出。亟需建设一套智慧停车平台，盘活县域内停车资源，科学规划收费，降低城市交通系统的压力，破解停车难题。</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lang w:val="en-US" w:eastAsia="zh-CN"/>
        </w:rPr>
      </w:pPr>
      <w:r>
        <w:rPr>
          <w:rFonts w:hint="eastAsia" w:ascii="黑体" w:hAnsi="黑体" w:eastAsia="黑体" w:cs="黑体"/>
          <w:b w:val="0"/>
          <w:bCs/>
          <w:sz w:val="24"/>
          <w:lang w:val="en-US" w:eastAsia="zh-CN"/>
        </w:rPr>
        <w:t>2.项目属性：服务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rPr>
      </w:pPr>
      <w:r>
        <w:rPr>
          <w:rFonts w:hint="eastAsia" w:ascii="黑体" w:hAnsi="黑体" w:eastAsia="黑体" w:cs="黑体"/>
          <w:b w:val="0"/>
          <w:bCs/>
          <w:sz w:val="24"/>
          <w:lang w:val="en-US" w:eastAsia="zh-CN"/>
        </w:rPr>
        <w:t>3.</w:t>
      </w:r>
      <w:r>
        <w:rPr>
          <w:rFonts w:hint="eastAsia" w:ascii="黑体" w:hAnsi="黑体" w:eastAsia="黑体" w:cs="黑体"/>
          <w:b w:val="0"/>
          <w:bCs/>
          <w:sz w:val="24"/>
          <w:highlight w:val="none"/>
          <w:lang w:val="en-US" w:eastAsia="zh-CN"/>
        </w:rPr>
        <w:t>服务期限：一年</w:t>
      </w:r>
    </w:p>
    <w:p>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sz w:val="24"/>
        </w:rPr>
      </w:pPr>
      <w:r>
        <w:rPr>
          <w:rFonts w:hint="eastAsia" w:ascii="黑体" w:hAnsi="黑体" w:eastAsia="黑体" w:cs="黑体"/>
          <w:b/>
          <w:sz w:val="24"/>
        </w:rPr>
        <w:t>预算金额：</w:t>
      </w:r>
      <w:r>
        <w:rPr>
          <w:rFonts w:hint="eastAsia" w:ascii="黑体" w:hAnsi="黑体" w:eastAsia="黑体" w:cs="黑体"/>
          <w:b/>
          <w:sz w:val="24"/>
          <w:lang w:val="en-US" w:eastAsia="zh-CN"/>
        </w:rPr>
        <w:t>1200000.00</w:t>
      </w:r>
      <w:r>
        <w:rPr>
          <w:rFonts w:hint="eastAsia" w:ascii="黑体" w:hAnsi="黑体" w:eastAsia="黑体" w:cs="黑体"/>
          <w:sz w:val="24"/>
        </w:rPr>
        <w:t>元</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rPr>
      </w:pPr>
      <w:r>
        <w:rPr>
          <w:rFonts w:hint="eastAsia" w:ascii="黑体" w:hAnsi="黑体" w:eastAsia="黑体" w:cs="黑体"/>
          <w:b/>
          <w:sz w:val="24"/>
        </w:rPr>
        <w:t>供应商资格要求：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黑体" w:hAnsi="黑体" w:eastAsia="黑体" w:cs="黑体"/>
          <w:b/>
          <w:bCs/>
          <w:i w:val="0"/>
          <w:caps w:val="0"/>
          <w:color w:val="auto"/>
          <w:spacing w:val="0"/>
          <w:sz w:val="24"/>
          <w:szCs w:val="24"/>
          <w:shd w:val="clear" w:color="auto" w:fill="FFFFFF"/>
        </w:rPr>
      </w:pPr>
      <w:r>
        <w:rPr>
          <w:rFonts w:hint="eastAsia" w:ascii="黑体" w:hAnsi="黑体" w:eastAsia="黑体" w:cs="黑体"/>
          <w:b/>
          <w:bCs/>
          <w:i w:val="0"/>
          <w:caps w:val="0"/>
          <w:color w:val="auto"/>
          <w:spacing w:val="0"/>
          <w:sz w:val="24"/>
          <w:szCs w:val="24"/>
          <w:shd w:val="clear" w:color="auto" w:fill="FFFFFF"/>
          <w:lang w:val="en-US" w:eastAsia="zh-CN"/>
        </w:rPr>
        <w:t>1</w:t>
      </w:r>
      <w:r>
        <w:rPr>
          <w:rFonts w:hint="eastAsia" w:ascii="黑体" w:hAnsi="黑体" w:eastAsia="黑体" w:cs="黑体"/>
          <w:b/>
          <w:bCs/>
          <w:i w:val="0"/>
          <w:caps w:val="0"/>
          <w:color w:val="auto"/>
          <w:spacing w:val="0"/>
          <w:sz w:val="24"/>
          <w:szCs w:val="24"/>
          <w:shd w:val="clear" w:color="auto" w:fill="FFFFFF"/>
        </w:rPr>
        <w:t>、落实政府采购政策需满足的资格要求：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color="auto" w:fill="FFFFFF"/>
          <w:vertAlign w:val="baseline"/>
        </w:rPr>
        <w:t>合同包1(</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延长县临时停车位统一运营管理平台建设采购(二次)项目</w:t>
      </w:r>
      <w:r>
        <w:rPr>
          <w:rFonts w:hint="eastAsia" w:ascii="微软雅黑" w:hAnsi="微软雅黑" w:eastAsia="微软雅黑" w:cs="微软雅黑"/>
          <w:i w:val="0"/>
          <w:iCs w:val="0"/>
          <w:caps w:val="0"/>
          <w:color w:val="333333"/>
          <w:spacing w:val="0"/>
          <w:sz w:val="21"/>
          <w:szCs w:val="21"/>
          <w:shd w:val="clear" w:color="auto" w:fill="FFFFFF"/>
          <w:vertAlign w:val="baseline"/>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333333"/>
          <w:spacing w:val="0"/>
          <w:sz w:val="21"/>
          <w:szCs w:val="21"/>
          <w:shd w:val="clear" w:color="auto" w:fill="FFFFFF"/>
          <w:vertAlign w:val="baseline"/>
        </w:rPr>
      </w:pPr>
      <w:r>
        <w:rPr>
          <w:rFonts w:hint="eastAsia" w:ascii="微软雅黑" w:hAnsi="微软雅黑" w:eastAsia="微软雅黑" w:cs="微软雅黑"/>
          <w:i w:val="0"/>
          <w:iCs w:val="0"/>
          <w:caps w:val="0"/>
          <w:color w:val="333333"/>
          <w:spacing w:val="0"/>
          <w:sz w:val="21"/>
          <w:szCs w:val="21"/>
          <w:shd w:val="clear" w:color="auto" w:fill="FFFFFF"/>
          <w:vertAlign w:val="baseline"/>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2.4《节能产品政府采购实施意见》（财库[2004]185号）；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2.13《财政部关于在政府采购活动中落实平等对待内外资企业有关政策的通知》（财库〔2021〕35号）；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bCs/>
          <w:i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2.14《</w:t>
      </w:r>
      <w:r>
        <w:rPr>
          <w:rFonts w:hint="eastAsia" w:ascii="微软雅黑" w:hAnsi="微软雅黑" w:eastAsia="微软雅黑" w:cs="微软雅黑"/>
          <w:i w:val="0"/>
          <w:iCs w:val="0"/>
          <w:caps w:val="0"/>
          <w:color w:val="333333"/>
          <w:spacing w:val="0"/>
          <w:sz w:val="21"/>
          <w:szCs w:val="21"/>
          <w:shd w:val="clear" w:color="auto" w:fill="FFFFFF"/>
          <w:vertAlign w:val="baseline"/>
        </w:rPr>
        <w:t>关于进一步加大政府采购支持中小企业力度的通知</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rPr>
        <w:t>财库〔2022〕19号</w:t>
      </w:r>
      <w:r>
        <w:rPr>
          <w:rFonts w:hint="eastAsia" w:ascii="微软雅黑" w:hAnsi="微软雅黑" w:eastAsia="微软雅黑" w:cs="微软雅黑"/>
          <w:i w:val="0"/>
          <w:iCs w:val="0"/>
          <w:caps w:val="0"/>
          <w:color w:val="333333"/>
          <w:spacing w:val="0"/>
          <w:sz w:val="21"/>
          <w:szCs w:val="21"/>
          <w:shd w:val="clear" w:color="auto" w:fill="FFFFFF"/>
          <w:vertAlign w:val="baseline"/>
          <w:lang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color="auto" w:fill="FFFFFF"/>
          <w:vertAlign w:val="baseline"/>
        </w:rPr>
        <w:br w:type="textWrapping"/>
      </w:r>
      <w:r>
        <w:rPr>
          <w:rFonts w:hint="eastAsia" w:ascii="微软雅黑" w:hAnsi="微软雅黑" w:eastAsia="微软雅黑" w:cs="微软雅黑"/>
          <w:i w:val="0"/>
          <w:iCs w:val="0"/>
          <w:caps w:val="0"/>
          <w:color w:val="333333"/>
          <w:spacing w:val="0"/>
          <w:sz w:val="21"/>
          <w:szCs w:val="21"/>
          <w:shd w:val="clear" w:color="auto" w:fill="FFFFFF"/>
          <w:vertAlign w:val="baseline"/>
        </w:rPr>
        <w:t>2.1</w:t>
      </w:r>
      <w:r>
        <w:rPr>
          <w:rFonts w:hint="eastAsia" w:ascii="微软雅黑" w:hAnsi="微软雅黑" w:eastAsia="微软雅黑" w:cs="微软雅黑"/>
          <w:i w:val="0"/>
          <w:iCs w:val="0"/>
          <w:caps w:val="0"/>
          <w:color w:val="333333"/>
          <w:spacing w:val="0"/>
          <w:sz w:val="21"/>
          <w:szCs w:val="21"/>
          <w:shd w:val="clear" w:color="auto" w:fill="FFFFFF"/>
          <w:vertAlign w:val="baseline"/>
          <w:lang w:val="en-US" w:eastAsia="zh-CN"/>
        </w:rPr>
        <w:t>5</w:t>
      </w:r>
      <w:r>
        <w:rPr>
          <w:rFonts w:hint="eastAsia" w:ascii="微软雅黑" w:hAnsi="微软雅黑" w:eastAsia="微软雅黑" w:cs="微软雅黑"/>
          <w:i w:val="0"/>
          <w:iCs w:val="0"/>
          <w:caps w:val="0"/>
          <w:color w:val="333333"/>
          <w:spacing w:val="0"/>
          <w:sz w:val="21"/>
          <w:szCs w:val="21"/>
          <w:shd w:val="clear" w:color="auto" w:fill="FFFFFF"/>
          <w:vertAlign w:val="baseline"/>
        </w:rPr>
        <w:t>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shd w:val="clear" w:color="auto" w:fill="FFFFFF"/>
        </w:rPr>
      </w:pPr>
      <w:r>
        <w:rPr>
          <w:rFonts w:hint="eastAsia" w:ascii="黑体" w:hAnsi="黑体" w:eastAsia="黑体" w:cs="黑体"/>
          <w:b/>
          <w:bCs/>
          <w:i w:val="0"/>
          <w:caps w:val="0"/>
          <w:color w:val="333333"/>
          <w:spacing w:val="0"/>
          <w:sz w:val="24"/>
          <w:szCs w:val="24"/>
          <w:shd w:val="clear" w:color="auto" w:fill="FFFFFF"/>
          <w:lang w:val="en-US" w:eastAsia="zh-CN"/>
        </w:rPr>
        <w:t>2</w:t>
      </w:r>
      <w:r>
        <w:rPr>
          <w:rFonts w:hint="eastAsia" w:ascii="黑体" w:hAnsi="黑体" w:eastAsia="黑体" w:cs="黑体"/>
          <w:b/>
          <w:bCs/>
          <w:i w:val="0"/>
          <w:caps w:val="0"/>
          <w:color w:val="333333"/>
          <w:spacing w:val="0"/>
          <w:sz w:val="24"/>
          <w:szCs w:val="24"/>
          <w:shd w:val="clear" w:color="auto" w:fill="FFFFFF"/>
        </w:rPr>
        <w:t>、本项目的特定资格要求</w:t>
      </w:r>
      <w:r>
        <w:rPr>
          <w:rFonts w:hint="eastAsia" w:ascii="黑体" w:hAnsi="黑体" w:eastAsia="黑体" w:cs="黑体"/>
          <w:i w:val="0"/>
          <w:caps w:val="0"/>
          <w:color w:val="333333"/>
          <w:spacing w:val="0"/>
          <w:sz w:val="24"/>
          <w:szCs w:val="24"/>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highlight w:val="none"/>
          <w:shd w:val="clear" w:color="auto" w:fill="FFFFFF"/>
        </w:rPr>
      </w:pPr>
      <w:r>
        <w:rPr>
          <w:rFonts w:hint="eastAsia" w:ascii="黑体" w:hAnsi="黑体" w:eastAsia="黑体" w:cs="黑体"/>
          <w:color w:val="000000"/>
          <w:kern w:val="0"/>
          <w:sz w:val="24"/>
          <w:szCs w:val="24"/>
          <w:highlight w:val="none"/>
        </w:rPr>
        <w:t>符合《中华人民共和国政府采购法》第二十二条有关规定，供应商属于企业法人或其他组织，能够独立承担民事责任，有履行完成本项目的能力，经营范围与所投内容相符，并具有以下条件：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420" w:leftChars="0" w:right="0" w:rightChars="0" w:firstLine="480" w:firstLineChars="200"/>
        <w:textAlignment w:val="auto"/>
        <w:rPr>
          <w:rFonts w:hint="eastAsia" w:ascii="黑体" w:hAnsi="黑体" w:eastAsia="黑体" w:cs="黑体"/>
          <w:color w:val="000000"/>
          <w:kern w:val="0"/>
          <w:sz w:val="24"/>
          <w:szCs w:val="24"/>
          <w:highlight w:val="none"/>
          <w:lang w:eastAsia="zh-CN"/>
        </w:rPr>
      </w:pPr>
      <w:r>
        <w:rPr>
          <w:rFonts w:hint="eastAsia" w:ascii="黑体" w:hAnsi="黑体" w:eastAsia="黑体" w:cs="黑体"/>
          <w:color w:val="000000"/>
          <w:kern w:val="0"/>
          <w:sz w:val="24"/>
          <w:szCs w:val="24"/>
          <w:highlight w:val="none"/>
        </w:rPr>
        <w:t>具有独立承担民事责任能力的法人、其他组织或自然人，法人或其他组织提供营业执照（事业单位法人证书），自然人提供身份证明</w:t>
      </w:r>
      <w:r>
        <w:rPr>
          <w:rFonts w:hint="eastAsia" w:ascii="黑体" w:hAnsi="黑体" w:eastAsia="黑体" w:cs="黑体"/>
          <w:color w:val="000000"/>
          <w:kern w:val="0"/>
          <w:sz w:val="24"/>
          <w:szCs w:val="24"/>
          <w:highlight w:val="none"/>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420" w:leftChars="0" w:right="0" w:rightChars="0" w:firstLine="240" w:firstLineChars="100"/>
        <w:textAlignment w:val="auto"/>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(1)</w:t>
      </w:r>
      <w:r>
        <w:rPr>
          <w:rFonts w:hint="eastAsia" w:ascii="黑体" w:hAnsi="黑体" w:eastAsia="黑体" w:cs="黑体"/>
          <w:color w:val="000000"/>
          <w:kern w:val="0"/>
          <w:sz w:val="24"/>
          <w:szCs w:val="24"/>
          <w:highlight w:val="none"/>
        </w:rPr>
        <w:t>提供经年检有效的营业执照（“三证合一”的营业执照）；</w:t>
      </w:r>
    </w:p>
    <w:p>
      <w:pPr>
        <w:pStyle w:val="4"/>
        <w:numPr>
          <w:ilvl w:val="0"/>
          <w:numId w:val="0"/>
        </w:numPr>
        <w:spacing w:before="0" w:beforeAutospacing="0" w:after="0" w:afterAutospacing="0" w:line="390" w:lineRule="exact"/>
        <w:ind w:firstLine="720" w:firstLineChars="3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(2)</w:t>
      </w:r>
      <w:r>
        <w:rPr>
          <w:rFonts w:hint="eastAsia" w:ascii="黑体" w:hAnsi="黑体" w:eastAsia="黑体" w:cs="黑体"/>
          <w:color w:val="000000"/>
          <w:kern w:val="0"/>
          <w:sz w:val="24"/>
          <w:szCs w:val="24"/>
          <w:highlight w:val="none"/>
        </w:rPr>
        <w:t>银行开户许可证或开户行基本信息；</w:t>
      </w:r>
    </w:p>
    <w:p>
      <w:pPr>
        <w:pStyle w:val="4"/>
        <w:numPr>
          <w:ilvl w:val="0"/>
          <w:numId w:val="0"/>
        </w:numPr>
        <w:spacing w:before="0" w:beforeAutospacing="0" w:after="0" w:afterAutospacing="0" w:line="390" w:lineRule="exact"/>
        <w:ind w:left="239" w:leftChars="114"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(3)</w:t>
      </w:r>
      <w:r>
        <w:rPr>
          <w:rFonts w:hint="eastAsia" w:ascii="黑体" w:hAnsi="黑体" w:eastAsia="黑体" w:cs="黑体"/>
          <w:color w:val="000000"/>
          <w:kern w:val="0"/>
          <w:sz w:val="24"/>
          <w:szCs w:val="24"/>
          <w:highlight w:val="none"/>
        </w:rPr>
        <w:t>法定代表人授权委托书及被授权人身份证（法定代表人直接参加时，只须出示法定代表人身份证)；</w:t>
      </w:r>
    </w:p>
    <w:p>
      <w:pPr>
        <w:pStyle w:val="4"/>
        <w:numPr>
          <w:ilvl w:val="0"/>
          <w:numId w:val="0"/>
        </w:numPr>
        <w:spacing w:before="0" w:beforeAutospacing="0" w:after="0" w:afterAutospacing="0" w:line="390" w:lineRule="exact"/>
        <w:ind w:left="239" w:leftChars="114"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(4)</w:t>
      </w:r>
      <w:r>
        <w:rPr>
          <w:rFonts w:hint="eastAsia" w:ascii="黑体" w:hAnsi="黑体" w:eastAsia="黑体" w:cs="黑体"/>
          <w:color w:val="000000"/>
          <w:kern w:val="0"/>
          <w:sz w:val="24"/>
          <w:szCs w:val="24"/>
          <w:highlight w:val="none"/>
        </w:rPr>
        <w:t>税收缴纳证明：提供2022年内报名前连续六个月的纳税证明或完税证明（不限税种），依法免税的单位应提供相关证明材料；</w:t>
      </w:r>
    </w:p>
    <w:p>
      <w:pPr>
        <w:pStyle w:val="4"/>
        <w:numPr>
          <w:ilvl w:val="0"/>
          <w:numId w:val="0"/>
        </w:numPr>
        <w:spacing w:before="0" w:beforeAutospacing="0" w:after="0" w:afterAutospacing="0" w:line="390" w:lineRule="exact"/>
        <w:ind w:left="239" w:leftChars="114"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(5)</w:t>
      </w:r>
      <w:r>
        <w:rPr>
          <w:rFonts w:hint="eastAsia" w:ascii="黑体" w:hAnsi="黑体" w:eastAsia="黑体" w:cs="黑体"/>
          <w:color w:val="000000"/>
          <w:kern w:val="0"/>
          <w:sz w:val="24"/>
          <w:szCs w:val="24"/>
          <w:highlight w:val="none"/>
        </w:rPr>
        <w:t>社会保障资金缴纳证明：提供2022年内报名前已缴存的任意一个月的社会保障资金缴存单据或社保机构开具的社会保险参保缴费情况证明，依法不需要缴纳社会保障资金的单位应提供相关证明材料；</w:t>
      </w:r>
    </w:p>
    <w:p>
      <w:pPr>
        <w:pStyle w:val="4"/>
        <w:numPr>
          <w:ilvl w:val="0"/>
          <w:numId w:val="0"/>
        </w:numPr>
        <w:spacing w:before="0" w:beforeAutospacing="0" w:after="0" w:afterAutospacing="0" w:line="390" w:lineRule="exact"/>
        <w:ind w:left="239" w:leftChars="114"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(6)</w:t>
      </w:r>
      <w:r>
        <w:rPr>
          <w:rFonts w:hint="eastAsia" w:ascii="黑体" w:hAnsi="黑体" w:eastAsia="黑体" w:cs="黑体"/>
          <w:color w:val="000000"/>
          <w:kern w:val="0"/>
          <w:sz w:val="24"/>
          <w:szCs w:val="24"/>
          <w:highlight w:val="none"/>
        </w:rPr>
        <w:t>财务状况报告：提供2021年度经审计的财务报告或基本存款账户开户银行出具的资信证明；</w:t>
      </w:r>
    </w:p>
    <w:p>
      <w:pPr>
        <w:pStyle w:val="4"/>
        <w:numPr>
          <w:ilvl w:val="0"/>
          <w:numId w:val="0"/>
        </w:numPr>
        <w:spacing w:before="0" w:beforeAutospacing="0" w:after="0" w:afterAutospacing="0" w:line="390" w:lineRule="exact"/>
        <w:ind w:left="239" w:leftChars="114"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(7)</w:t>
      </w:r>
      <w:r>
        <w:rPr>
          <w:rFonts w:hint="eastAsia" w:ascii="黑体" w:hAnsi="黑体" w:eastAsia="黑体" w:cs="黑体"/>
          <w:color w:val="000000"/>
          <w:kern w:val="0"/>
          <w:sz w:val="24"/>
          <w:szCs w:val="24"/>
          <w:highlight w:val="none"/>
        </w:rPr>
        <w:t>投标人需提供【中国执行信息公开网】“失信被执行人”、【信用中国】“政府采购严重违法失信行为记录名单”，“重大税收违法失信主体”，“统计严重失信企业名单”、【中国政府采购网】“政府采购严重违法失信行为记录名单”对企业信用记录查询截图，栏目中有失信等负面信息的潜在投标人，将拒绝其报名参加本项目；</w:t>
      </w:r>
    </w:p>
    <w:p>
      <w:pPr>
        <w:pStyle w:val="4"/>
        <w:numPr>
          <w:ilvl w:val="0"/>
          <w:numId w:val="0"/>
        </w:numPr>
        <w:spacing w:before="0" w:beforeAutospacing="0" w:after="0" w:afterAutospacing="0" w:line="390" w:lineRule="exact"/>
        <w:ind w:firstLine="480" w:firstLineChars="200"/>
        <w:jc w:val="left"/>
        <w:textAlignment w:val="baseline"/>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lang w:val="en-US" w:eastAsia="zh-CN"/>
        </w:rPr>
        <w:t>(8)</w:t>
      </w:r>
      <w:r>
        <w:rPr>
          <w:rFonts w:hint="eastAsia" w:ascii="黑体" w:hAnsi="黑体" w:eastAsia="黑体" w:cs="黑体"/>
          <w:color w:val="000000"/>
          <w:kern w:val="0"/>
          <w:sz w:val="24"/>
          <w:szCs w:val="24"/>
          <w:highlight w:val="none"/>
        </w:rPr>
        <w:t>提供参加政府采购活动前3年内经营活动中无重大违法记录声明；</w:t>
      </w:r>
    </w:p>
    <w:p>
      <w:pPr>
        <w:pStyle w:val="4"/>
        <w:numPr>
          <w:ilvl w:val="0"/>
          <w:numId w:val="0"/>
        </w:numPr>
        <w:spacing w:before="0" w:beforeAutospacing="0" w:after="0" w:afterAutospacing="0" w:line="390" w:lineRule="exact"/>
        <w:ind w:firstLine="480" w:firstLineChars="200"/>
        <w:jc w:val="left"/>
        <w:textAlignment w:val="baseline"/>
        <w:rPr>
          <w:rFonts w:hint="eastAsia"/>
          <w:lang w:val="en-US" w:eastAsia="zh-CN"/>
        </w:rPr>
      </w:pPr>
      <w:r>
        <w:rPr>
          <w:rFonts w:hint="eastAsia" w:ascii="黑体" w:hAnsi="黑体" w:eastAsia="黑体" w:cs="黑体"/>
          <w:color w:val="000000"/>
          <w:kern w:val="0"/>
          <w:sz w:val="24"/>
          <w:szCs w:val="24"/>
          <w:highlight w:val="none"/>
          <w:lang w:val="en-US" w:eastAsia="zh-CN"/>
        </w:rPr>
        <w:t>(9)</w:t>
      </w:r>
      <w:r>
        <w:rPr>
          <w:rFonts w:hint="eastAsia" w:ascii="黑体" w:hAnsi="黑体" w:eastAsia="黑体" w:cs="黑体"/>
          <w:color w:val="000000"/>
          <w:kern w:val="0"/>
          <w:sz w:val="24"/>
          <w:szCs w:val="24"/>
          <w:highlight w:val="none"/>
        </w:rPr>
        <w:t>本项目不接受联合体</w:t>
      </w:r>
      <w:r>
        <w:rPr>
          <w:rFonts w:hint="eastAsia" w:ascii="黑体" w:hAnsi="黑体" w:eastAsia="黑体" w:cs="黑体"/>
          <w:color w:val="000000"/>
          <w:kern w:val="0"/>
          <w:sz w:val="24"/>
          <w:szCs w:val="24"/>
          <w:highlight w:val="none"/>
          <w:lang w:val="en-US" w:eastAsia="zh-CN"/>
        </w:rPr>
        <w:t>谈判</w:t>
      </w:r>
      <w:r>
        <w:rPr>
          <w:rFonts w:hint="eastAsia" w:ascii="黑体" w:hAnsi="黑体" w:eastAsia="黑体" w:cs="黑体"/>
          <w:color w:val="000000"/>
          <w:kern w:val="0"/>
          <w:sz w:val="24"/>
          <w:szCs w:val="24"/>
          <w:highlight w:val="none"/>
        </w:rPr>
        <w:t>。</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AFBA"/>
    <w:multiLevelType w:val="singleLevel"/>
    <w:tmpl w:val="1A08AFB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AxMDMwYTQyZWRkYWNkYjFiYWQ1YTMwOGQ1N2IifQ=="/>
  </w:docVars>
  <w:rsids>
    <w:rsidRoot w:val="00000000"/>
    <w:rsid w:val="329E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after="120" w:afterLines="0"/>
      <w:jc w:val="left"/>
    </w:pPr>
    <w:rPr>
      <w:rFonts w:hint="eastAsia" w:ascii="Calibri" w:hAnsi="Calibri"/>
      <w:b/>
      <w:caps/>
      <w:sz w:val="20"/>
    </w:rPr>
  </w:style>
  <w:style w:type="paragraph" w:styleId="3">
    <w:name w:val="envelope return"/>
    <w:basedOn w:val="1"/>
    <w:qFormat/>
    <w:uiPriority w:val="0"/>
    <w:pPr>
      <w:snapToGrid w:val="0"/>
    </w:pPr>
    <w:rPr>
      <w:rFonts w:ascii="Arial" w:hAnsi="Arial"/>
    </w:rPr>
  </w:style>
  <w:style w:type="paragraph" w:styleId="4">
    <w:name w:val="Normal (Web)"/>
    <w:basedOn w:val="1"/>
    <w:next w:val="3"/>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2023-04-18T02:30:21Z</dcterms:created>
  <dc:creator>lenovo</dc:creator>
  <cp:lastModifiedBy>刘红莉</cp:lastModifiedBy>
  <dcterms:modified xsi:type="dcterms:W3CDTF">2023-04-18T02:30:26Z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6148CA5B395F415A9FD0484FA497B41E_12</vt:lpwstr>
  </property>
</Properties>
</file>