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480" w:lineRule="atLeast"/>
        <w:ind w:left="375" w:right="375"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u w:val="single"/>
          <w:bdr w:val="none" w:color="auto" w:sz="0" w:space="0"/>
          <w:lang w:val="en-US" w:eastAsia="zh-CN" w:bidi="ar"/>
        </w:rPr>
        <w:t>子长市自然资源局关于林权类不动产登记工作采购招标公告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9"/>
          <w:b/>
          <w:bCs/>
          <w:i w:val="0"/>
          <w:iCs w:val="0"/>
          <w:caps w:val="0"/>
          <w:color w:val="333333"/>
          <w:spacing w:val="0"/>
          <w:sz w:val="21"/>
          <w:szCs w:val="21"/>
          <w:bdr w:val="none" w:color="auto" w:sz="0" w:space="0"/>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rPr>
        <w:t>关于林权类不动产登记工作采购</w:t>
      </w:r>
      <w:r>
        <w:rPr>
          <w:rFonts w:hint="eastAsia" w:ascii="微软雅黑" w:hAnsi="微软雅黑" w:eastAsia="微软雅黑" w:cs="微软雅黑"/>
          <w:i w:val="0"/>
          <w:iCs w:val="0"/>
          <w:caps w:val="0"/>
          <w:color w:val="333333"/>
          <w:spacing w:val="0"/>
          <w:sz w:val="21"/>
          <w:szCs w:val="21"/>
          <w:bdr w:val="none" w:color="auto" w:sz="0" w:space="0"/>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rPr>
        <w:t>获取招标文件，并于</w:t>
      </w:r>
      <w:r>
        <w:rPr>
          <w:rFonts w:hint="eastAsia" w:ascii="微软雅黑" w:hAnsi="微软雅黑" w:eastAsia="微软雅黑" w:cs="微软雅黑"/>
          <w:i w:val="0"/>
          <w:iCs w:val="0"/>
          <w:caps w:val="0"/>
          <w:color w:val="0A82E5"/>
          <w:spacing w:val="0"/>
          <w:sz w:val="21"/>
          <w:szCs w:val="21"/>
          <w:bdr w:val="none" w:color="auto" w:sz="0" w:space="0"/>
        </w:rPr>
        <w:t> 2023年11月14日 09时00分 </w:t>
      </w:r>
      <w:r>
        <w:rPr>
          <w:rFonts w:hint="eastAsia" w:ascii="微软雅黑" w:hAnsi="微软雅黑" w:eastAsia="微软雅黑" w:cs="微软雅黑"/>
          <w:i w:val="0"/>
          <w:iCs w:val="0"/>
          <w:caps w:val="0"/>
          <w:color w:val="333333"/>
          <w:spacing w:val="0"/>
          <w:sz w:val="21"/>
          <w:szCs w:val="21"/>
          <w:bdr w:val="none" w:color="auto" w:sz="0" w:space="0"/>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项目编号：JYZC2023-042</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项目名称：关于林权类不动产登记工作采购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预算金额：13,560,400.00元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合同包1(关于林权类不动产登记工作采购第一包):</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合同包预算金额：624,926.00元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合同包最高限价：624,926.00元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32"/>
        <w:gridCol w:w="1843"/>
        <w:gridCol w:w="662"/>
        <w:gridCol w:w="1173"/>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15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15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8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55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55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3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15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其他林业服务</w:t>
            </w:r>
          </w:p>
        </w:tc>
        <w:tc>
          <w:tcPr>
            <w:tcW w:w="115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关于林权类不动产登记工作采购第一包</w:t>
            </w:r>
          </w:p>
        </w:tc>
        <w:tc>
          <w:tcPr>
            <w:tcW w:w="4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80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55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624,926.00</w:t>
            </w:r>
          </w:p>
        </w:tc>
        <w:tc>
          <w:tcPr>
            <w:tcW w:w="55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624,926.00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合同履行期限：详见招标文件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合同包2(关于林权类不动产登记工作采购第二包):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合同包预算金额：751,140.00元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合同包最高限价：751,140.00元</w:t>
      </w:r>
    </w:p>
    <w:tbl>
      <w:tblPr>
        <w:tblW w:w="1492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06"/>
        <w:gridCol w:w="3454"/>
        <w:gridCol w:w="3454"/>
        <w:gridCol w:w="1283"/>
        <w:gridCol w:w="2396"/>
        <w:gridCol w:w="1668"/>
        <w:gridCol w:w="1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其他林业服务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关于林权类不动产登记工作采购第二包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751,140.00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751,140.00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合同履行期限：详见招标文件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合同包3(关于林权类不动产登记工作采购第三包):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合同包预算金额：623,610.00元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合同包最高限价：623,610.00元</w:t>
      </w:r>
    </w:p>
    <w:tbl>
      <w:tblPr>
        <w:tblW w:w="1492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06"/>
        <w:gridCol w:w="3454"/>
        <w:gridCol w:w="3454"/>
        <w:gridCol w:w="1283"/>
        <w:gridCol w:w="2396"/>
        <w:gridCol w:w="1668"/>
        <w:gridCol w:w="1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其他林业服务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关于林权类不动产登记工作采购第三包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623,610.00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623,610.00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合同履行期限：详见招标文件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合同包4(关于林权类不动产登记工作采购第四包):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合同包预算金额：831,558.00元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合同包最高限价：831,558.00元</w:t>
      </w:r>
    </w:p>
    <w:tbl>
      <w:tblPr>
        <w:tblW w:w="1492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06"/>
        <w:gridCol w:w="3454"/>
        <w:gridCol w:w="3454"/>
        <w:gridCol w:w="1283"/>
        <w:gridCol w:w="2396"/>
        <w:gridCol w:w="1668"/>
        <w:gridCol w:w="1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其他林业服务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关于林权类不动产登记工作采购第四包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831,558.00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831,558.00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合同履行期限：详见招标文件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合同包5(关于林权类不动产登记工作采购第五包):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合同包预算金额：566,972.00元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合同包最高限价：566,972.00元</w:t>
      </w:r>
    </w:p>
    <w:tbl>
      <w:tblPr>
        <w:tblW w:w="1492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06"/>
        <w:gridCol w:w="3454"/>
        <w:gridCol w:w="3454"/>
        <w:gridCol w:w="1283"/>
        <w:gridCol w:w="2396"/>
        <w:gridCol w:w="1668"/>
        <w:gridCol w:w="1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5-1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其他林业服务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关于林权类不动产登记工作采购第五包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566,972.00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566,972.00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合同履行期限：详见招标文件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合同包6(关于林权类不动产登记工作采购第六包):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合同包预算金额：936,644.00元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合同包最高限价：936,644.00元</w:t>
      </w:r>
    </w:p>
    <w:tbl>
      <w:tblPr>
        <w:tblW w:w="1492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06"/>
        <w:gridCol w:w="3454"/>
        <w:gridCol w:w="3454"/>
        <w:gridCol w:w="1283"/>
        <w:gridCol w:w="2396"/>
        <w:gridCol w:w="1668"/>
        <w:gridCol w:w="1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6-1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其他林业服务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关于林权类不动产登记工作采购第六包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936,644.00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936,644.00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合同履行期限：详见招标文件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合同包7(关于林权类不动产登记工作采购第七包):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合同包预算金额：9,225,550.00元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合同包最高限价：9,225,550.00元</w:t>
      </w:r>
    </w:p>
    <w:tbl>
      <w:tblPr>
        <w:tblW w:w="1492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9"/>
        <w:gridCol w:w="3419"/>
        <w:gridCol w:w="3419"/>
        <w:gridCol w:w="1276"/>
        <w:gridCol w:w="2376"/>
        <w:gridCol w:w="1720"/>
        <w:gridCol w:w="17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7-1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其他林业服务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关于林权类不动产登记工作采购第七包</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9,225,550.00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9,225,550.00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合同履行期限：详见招标文件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合同包1(关于林权类不动产登记工作采购第一包)落实政府采购政策需满足的资格要求如下: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合同包2(关于林权类不动产登记工作采购第二包)落实政府采购政策需满足的资格要求如下: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合同包3(关于林权类不动产登记工作采购第三包)落实政府采购政策需满足的资格要求如下: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合同包4(关于林权类不动产登记工作采购第四包)落实政府采购政策需满足的资格要求如下: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合同包5(关于林权类不动产登记工作采购第五包)落实政府采购政策需满足的资格要求如下: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合同包6(关于林权类不动产登记工作采购第六包)落实政府采购政策需满足的资格要求如下: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合同包7(关于林权类不动产登记工作采购第七包)落实政府采购政策需满足的资格要求如下: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合同包1(关于林权类不动产登记工作采购第一包)特定资格要求如下: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3.3.税收缴纳证明：提供本年度内已缴纳的任意一个月的纳税证明或完税证明，依法免税的单位应提供相关证明材料；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3.5.财务状况报告：提供 2021年度或 2022 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3.6.投标人须具有测绘乙级及以上资质或土地规划乙级及以上资质（含乙级）；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3.7.供应商应出具参加政府采购活动前3年内在经营活动中没有重大违法记录的书面声明；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3.8.供应商不得为“信用中国”网站中列入失信被执行人和重大税收违法案件当事人名单的供应商，不得为中国政府采购网政府采购严重违法失信行为记录名单中被财政部门禁止参加政府采购活动的谈判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3.9.单位负责人为同一人或者存在直接控股、管理关系的不同供应商，不得参加同一合同项下的政府采购活动；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合同包2(关于林权类不动产登记工作采购第二包)特定资格要求如下: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3.3.税收缴纳证明：提供本年度内已缴纳的任意一个月的纳税证明或完税证明，依法免税的单位应提供相关证明材料；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3.5.财务状况报告：提供 2021年度或 2022 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3.6.投标人须具有测绘乙级及以上资质或土地规划乙级及以上资质（含乙级）；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3.7.供应商应出具参加政府采购活动前3年内在经营活动中没有重大违法记录的书面声明；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3.8.供应商不得为“信用中国”网站中列入失信被执行人和重大税收违法案件当事人名单的供应商，不得为中国政府采购网政府采购严重违法失信行为记录名单中被财政部门禁止参加政府采购活动的谈判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3.9.单位负责人为同一人或者存在直接控股、管理关系的不同供应商，不得参加同一合同项下的政府采购活动；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合同包3(关于林权类不动产登记工作采购第三包)特定资格要求如下: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3.3.税收缴纳证明：提供本年度内已缴纳的任意一个月的纳税证明或完税证明，依法免税的单位应提供相关证明材料；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3.5.财务状况报告：提供 2021年度或 2022 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3.6.投标人须具有测绘乙级及以上资质或土地规划乙级及以上资质（含乙级）；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3.7.供应商应出具参加政府采购活动前3年内在经营活动中没有重大违法记录的书面声明；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3.8.供应商不得为“信用中国”网站中列入失信被执行人和重大税收违法案件当事人名单的供应商，不得为中国政府采购网政府采购严重违法失信行为记录名单中被财政部门禁止参加政府采购活动的谈判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3.9.单位负责人为同一人或者存在直接控股、管理关系的不同供应商，不得参加同一合同项下的政府采购活动；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合同包4(关于林权类不动产登记工作采购第四包)特定资格要求如下: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3.3.税收缴纳证明：提供本年度内已缴纳的任意一个月的纳税证明或完税证明，依法免税的单位应提供相关证明材料；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3.5.财务状况报告：提供 2021年度或 2022 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3.6.投标人须具有测绘乙级及以上资质或土地规划乙级及以上资质（含乙级）；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3.7.供应商应出具参加政府采购活动前3年内在经营活动中没有重大违法记录的书面声明；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3.8.供应商不得为“信用中国”网站中列入失信被执行人和重大税收违法案件当事人名单的供应商，不得为中国政府采购网政府采购严重违法失信行为记录名单中被财政部门禁止参加政府采购活动的谈判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3.9.单位负责人为同一人或者存在直接控股、管理关系的不同供应商，不得参加同一合同项下的政府采购活动；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合同包5(关于林权类不动产登记工作采购第五包)特定资格要求如下: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3.3.税收缴纳证明：提供本年度内已缴纳的任意一个月的纳税证明或完税证明，依法免税的单位应提供相关证明材料；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3.5.财务状况报告：提供 2021年度或 2022 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3.6.投标人须具有测绘乙级及以上资质或土地规划乙级及以上资质（含乙级）；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3.7.供应商应出具参加政府采购活动前3年内在经营活动中没有重大违法记录的书面声明；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3.8.供应商不得为“信用中国”网站中列入失信被执行人和重大税收违法案件当事人名单的供应商，不得为中国政府采购网政府采购严重违法失信行为记录名单中被财政部门禁止参加政府采购活动的谈判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3.9.单位负责人为同一人或者存在直接控股、管理关系的不同供应商，不得参加同一合同项下的政府采购活动；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合同包6(关于林权类不动产登记工作采购第六包)特定资格要求如下: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3.3.税收缴纳证明：提供本年度内已缴纳的任意一个月的纳税证明或完税证明，依法免税的单位应提供相关证明材料；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3.5.财务状况报告：提供 2021年度或 2022 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3.6.投标人须具有测绘乙级及以上资质或土地规划乙级及以上资质（含乙级）；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3.7.供应商应出具参加政府采购活动前3年内在经营活动中没有重大违法记录的书面声明；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3.8.供应商不得为“信用中国”网站中列入失信被执行人和重大税收违法案件当事人名单的供应商，不得为中国政府采购网政府采购严重违法失信行为记录名单中被财政部门禁止参加政府采购活动的谈判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3.9.单位负责人为同一人或者存在直接控股、管理关系的不同供应商，不得参加同一合同项下的政府采购活动；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合同包7(关于林权类不动产登记工作采购第七包)特定资格要求如下: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3.3.税收缴纳证明：提供本年度内已缴纳的任意一个月的纳税证明或完税证明，依法免税的单位应提供相关证明材料；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社会保障资金缴纳证明：提供已缴存的本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3.5.财务状况报告：提供 2021年度或 2022 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3.6.投标人须具有测绘乙级及以上资质或土地规划乙级及以上资质（含乙级）；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3.7.供应商应出具参加政府采购活动前3年内在经营活动中没有重大违法记录的书面声明；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3.8.供应商不得为“信用中国”网站中列入失信被执行人和重大税收违法案件当事人名单的供应商，不得为中国政府采购网政府采购严重违法失信行为记录名单中被财政部门禁止参加政府采购活动的谈判人（提供查询结果网页截图并加盖供应商公章），非企业单位提供书面声明，加盖公章；</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3.9.单位负责人为同一人或者存在直接控股、管理关系的不同供应商，不得参加同一合同项下的政府采购活动；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2023年10月23日 至 2023年10月27日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途径：</w:t>
      </w:r>
      <w:r>
        <w:rPr>
          <w:rFonts w:hint="eastAsia" w:ascii="微软雅黑" w:hAnsi="微软雅黑" w:eastAsia="微软雅黑" w:cs="微软雅黑"/>
          <w:i w:val="0"/>
          <w:iCs w:val="0"/>
          <w:caps w:val="0"/>
          <w:color w:val="0A82E5"/>
          <w:spacing w:val="0"/>
          <w:sz w:val="21"/>
          <w:szCs w:val="21"/>
          <w:bdr w:val="none" w:color="auto" w:sz="0" w:space="0"/>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方式：</w:t>
      </w:r>
      <w:r>
        <w:rPr>
          <w:rFonts w:hint="eastAsia" w:ascii="微软雅黑" w:hAnsi="微软雅黑" w:eastAsia="微软雅黑" w:cs="微软雅黑"/>
          <w:i w:val="0"/>
          <w:iCs w:val="0"/>
          <w:caps w:val="0"/>
          <w:color w:val="0A82E5"/>
          <w:spacing w:val="0"/>
          <w:sz w:val="21"/>
          <w:szCs w:val="21"/>
          <w:bdr w:val="none" w:color="auto" w:sz="0" w:space="0"/>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售价：</w:t>
      </w:r>
      <w:r>
        <w:rPr>
          <w:rFonts w:hint="eastAsia" w:ascii="微软雅黑" w:hAnsi="微软雅黑" w:eastAsia="微软雅黑" w:cs="微软雅黑"/>
          <w:i w:val="0"/>
          <w:iCs w:val="0"/>
          <w:caps w:val="0"/>
          <w:color w:val="0A82E5"/>
          <w:spacing w:val="0"/>
          <w:sz w:val="21"/>
          <w:szCs w:val="21"/>
          <w:bdr w:val="none" w:color="auto" w:sz="0" w:space="0"/>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2023年11月14日 09时00分00秒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提交投标文件地点：</w:t>
      </w:r>
      <w:r>
        <w:rPr>
          <w:rFonts w:hint="eastAsia" w:ascii="微软雅黑" w:hAnsi="微软雅黑" w:eastAsia="微软雅黑" w:cs="微软雅黑"/>
          <w:i w:val="0"/>
          <w:iCs w:val="0"/>
          <w:caps w:val="0"/>
          <w:color w:val="0A82E5"/>
          <w:spacing w:val="0"/>
          <w:sz w:val="21"/>
          <w:szCs w:val="21"/>
          <w:bdr w:val="none" w:color="auto" w:sz="0" w:space="0"/>
        </w:rPr>
        <w:t>延安市新区为民服务中心7号楼公共资源交易中心交易2厅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开标地点：</w:t>
      </w:r>
      <w:r>
        <w:rPr>
          <w:rFonts w:hint="eastAsia" w:ascii="微软雅黑" w:hAnsi="微软雅黑" w:eastAsia="微软雅黑" w:cs="微软雅黑"/>
          <w:i w:val="0"/>
          <w:iCs w:val="0"/>
          <w:caps w:val="0"/>
          <w:color w:val="0A82E5"/>
          <w:spacing w:val="0"/>
          <w:sz w:val="21"/>
          <w:szCs w:val="21"/>
          <w:bdr w:val="none" w:color="auto" w:sz="0" w:space="0"/>
        </w:rPr>
        <w:t>延安市新区为民服务中心7号楼公共资源交易中心交易2厅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自本公告发布之日起</w:t>
      </w:r>
      <w:r>
        <w:rPr>
          <w:rFonts w:hint="eastAsia" w:ascii="微软雅黑" w:hAnsi="微软雅黑" w:eastAsia="微软雅黑" w:cs="微软雅黑"/>
          <w:i w:val="0"/>
          <w:iCs w:val="0"/>
          <w:caps w:val="0"/>
          <w:color w:val="0A82E5"/>
          <w:spacing w:val="0"/>
          <w:sz w:val="21"/>
          <w:szCs w:val="21"/>
          <w:bdr w:val="none" w:color="auto" w:sz="0" w:space="0"/>
        </w:rPr>
        <w:t>5</w:t>
      </w:r>
      <w:r>
        <w:rPr>
          <w:rFonts w:hint="eastAsia" w:ascii="微软雅黑" w:hAnsi="微软雅黑" w:eastAsia="微软雅黑" w:cs="微软雅黑"/>
          <w:i w:val="0"/>
          <w:iCs w:val="0"/>
          <w:caps w:val="0"/>
          <w:color w:val="333333"/>
          <w:spacing w:val="0"/>
          <w:sz w:val="21"/>
          <w:szCs w:val="21"/>
          <w:bdr w:val="none" w:color="auto" w:sz="0" w:space="0"/>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rPr>
        <w:t>3. 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9"/>
          <w:b/>
          <w:bCs/>
          <w:i w:val="0"/>
          <w:iCs w:val="0"/>
          <w:caps w:val="0"/>
          <w:color w:val="333333"/>
          <w:spacing w:val="0"/>
          <w:sz w:val="21"/>
          <w:szCs w:val="21"/>
          <w:bdr w:val="none" w:color="auto" w:sz="0" w:space="0"/>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子长市自然资源局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陕西省子长县四路口</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13509114297</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i w:val="0"/>
          <w:iCs w:val="0"/>
          <w:caps w:val="0"/>
          <w:color w:val="333333"/>
          <w:spacing w:val="0"/>
          <w:sz w:val="21"/>
          <w:szCs w:val="21"/>
          <w:bdr w:val="none" w:color="auto" w:sz="0" w:space="0"/>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项目联系人：</w:t>
      </w:r>
      <w:r>
        <w:rPr>
          <w:rFonts w:hint="eastAsia" w:ascii="微软雅黑" w:hAnsi="微软雅黑" w:eastAsia="微软雅黑" w:cs="微软雅黑"/>
          <w:i w:val="0"/>
          <w:iCs w:val="0"/>
          <w:caps w:val="0"/>
          <w:color w:val="0A82E5"/>
          <w:spacing w:val="0"/>
          <w:sz w:val="21"/>
          <w:szCs w:val="21"/>
          <w:bdr w:val="none" w:color="auto" w:sz="0" w:space="0"/>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电话：</w:t>
      </w:r>
      <w:r>
        <w:rPr>
          <w:rFonts w:hint="eastAsia" w:ascii="微软雅黑" w:hAnsi="微软雅黑" w:eastAsia="微软雅黑" w:cs="微软雅黑"/>
          <w:i w:val="0"/>
          <w:iCs w:val="0"/>
          <w:caps w:val="0"/>
          <w:color w:val="0A82E5"/>
          <w:spacing w:val="0"/>
          <w:sz w:val="21"/>
          <w:szCs w:val="21"/>
          <w:bdr w:val="none" w:color="auto" w:sz="0" w:space="0"/>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陕西集云项目管理有限公司</w:t>
      </w:r>
    </w:p>
    <w:p>
      <w:pPr>
        <w:keepNext w:val="0"/>
        <w:keepLines w:val="0"/>
        <w:widowControl/>
        <w:suppressLineNumbers w:val="0"/>
        <w:wordWrap w:val="0"/>
        <w:spacing w:before="750" w:beforeAutospacing="0" w:after="750" w:afterAutospacing="0" w:line="480" w:lineRule="atLeast"/>
        <w:ind w:left="375" w:right="375" w:firstLine="0"/>
        <w:jc w:val="both"/>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u w:val="single"/>
          <w:bdr w:val="none" w:color="auto" w:sz="0" w:space="0"/>
          <w:shd w:val="clear" w:fill="FFFFFF"/>
          <w:lang w:val="en-US" w:eastAsia="zh-CN" w:bidi="ar"/>
        </w:rPr>
        <w:t> 公告附件 </w:t>
      </w:r>
      <w:r>
        <w:rPr>
          <w:rFonts w:hint="eastAsia" w:ascii="微软雅黑" w:hAnsi="微软雅黑" w:eastAsia="微软雅黑" w:cs="微软雅黑"/>
          <w:i w:val="0"/>
          <w:iCs w:val="0"/>
          <w:caps w:val="0"/>
          <w:color w:val="FFFFFF"/>
          <w:spacing w:val="0"/>
          <w:kern w:val="0"/>
          <w:sz w:val="18"/>
          <w:szCs w:val="18"/>
          <w:u w:val="single"/>
          <w:bdr w:val="none" w:color="auto" w:sz="0" w:space="0"/>
          <w:shd w:val="clear" w:fill="F5222D"/>
          <w:lang w:val="en-US" w:eastAsia="zh-CN" w:bidi="ar"/>
        </w:rPr>
        <w:t>0</w:t>
      </w:r>
    </w:p>
    <w:tbl>
      <w:tblPr>
        <w:tblW w:w="1602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014"/>
        <w:gridCol w:w="3999"/>
        <w:gridCol w:w="3999"/>
        <w:gridCol w:w="40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tblCellSpacing w:w="15" w:type="dxa"/>
        </w:trPr>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c>
          <w:tcPr>
            <w:tcW w:w="0" w:type="auto"/>
            <w:tcBorders>
              <w:bottom w:val="single" w:color="E5E5E5" w:sz="6" w:space="0"/>
              <w:right w:val="single" w:color="E5E5E5" w:sz="6" w:space="0"/>
            </w:tcBorders>
            <w:shd w:val="clear" w:color="auto" w:fill="F5F5F5"/>
            <w:tcMar>
              <w:top w:w="0" w:type="dxa"/>
              <w:left w:w="0" w:type="dxa"/>
              <w:bottom w:w="0" w:type="dxa"/>
              <w:right w:w="0" w:type="dxa"/>
            </w:tcMar>
            <w:vAlign w:val="center"/>
          </w:tcPr>
          <w:p>
            <w:pPr>
              <w:jc w:val="left"/>
              <w:rPr>
                <w:rFonts w:hint="eastAsia" w:ascii="宋体"/>
                <w:b/>
                <w:bCs/>
                <w:color w:val="333333"/>
                <w:sz w:val="21"/>
                <w:szCs w:val="21"/>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6CE6449B"/>
    <w:rsid w:val="78FA3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2023-10-20T07:46:02Z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166C870C9E0243DEB7A3E4350AA09DE1</vt:lpwstr>
  </property>
</Properties>
</file>