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before="0" w:after="0" w:line="579" w:lineRule="auto"/>
        <w:ind w:firstLine="3935" w:firstLineChars="14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16" w:name="_GoBack"/>
      <w:bookmarkEnd w:id="16"/>
      <w:bookmarkStart w:id="0" w:name="_Toc16364"/>
      <w:bookmarkStart w:id="1" w:name="_Toc11076"/>
      <w:bookmarkStart w:id="2" w:name="_Toc7968"/>
      <w:bookmarkStart w:id="3" w:name="_Toc21232"/>
      <w:bookmarkStart w:id="4" w:name="_Toc5721"/>
      <w:bookmarkStart w:id="5" w:name="_Toc22906"/>
      <w:bookmarkStart w:id="6" w:name="_Toc29759"/>
      <w:bookmarkStart w:id="7" w:name="_Toc29747"/>
      <w:bookmarkStart w:id="8" w:name="_Toc9987"/>
      <w:bookmarkStart w:id="9" w:name="_Toc18137"/>
      <w:bookmarkStart w:id="10" w:name="_Toc17609"/>
      <w:bookmarkStart w:id="11" w:name="_Toc13116"/>
      <w:bookmarkStart w:id="12" w:name="_Toc15815"/>
      <w:bookmarkStart w:id="13" w:name="_Toc27587"/>
      <w:r>
        <w:rPr>
          <w:rFonts w:hint="eastAsia" w:ascii="宋体" w:hAnsi="宋体" w:eastAsia="宋体" w:cs="宋体"/>
          <w:color w:val="000000"/>
          <w:sz w:val="28"/>
          <w:szCs w:val="28"/>
        </w:rPr>
        <w:t>技术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要求</w:t>
      </w:r>
      <w:bookmarkEnd w:id="1"/>
      <w:bookmarkEnd w:id="2"/>
      <w:bookmarkEnd w:id="3"/>
      <w:bookmarkEnd w:id="4"/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rPr>
          <w:rFonts w:hint="eastAsia"/>
        </w:rPr>
      </w:pPr>
    </w:p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bookmarkStart w:id="14" w:name="_Hlk16461016"/>
      <w:bookmarkStart w:id="15" w:name="_Hlk23621890"/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一、项目概况</w:t>
      </w:r>
    </w:p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志丹县生活垃圾填埋场渗滤液处理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位于县城生活垃圾填埋场场区内，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两级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DTRO工艺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，设计处理垃圾渗滤液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规模10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/d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。渗滤液处理后出水水质执行《生活垃圾填埋场污染控制标准》（GB16889-2008）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中的表2标准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二、服务内容</w:t>
      </w:r>
    </w:p>
    <w:p>
      <w:pPr>
        <w:shd w:val="clear" w:color="auto" w:fill="auto"/>
        <w:spacing w:line="360" w:lineRule="auto"/>
        <w:ind w:firstLine="480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服务内容为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志丹县生活垃圾填埋场渗滤液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运营管理，主要工作包括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志丹县生活垃圾填埋场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产生的渗滤液全过程处理、渗滤液设备运行、维护。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表1生活垃圾填埋场水污染物排放浓度限值污染物排放监控值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5"/>
        <w:gridCol w:w="21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87" w:type="pc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49" w:type="pc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50" w:type="pct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出水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水质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COD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BOD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subscript"/>
              </w:rPr>
              <w:t>5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SS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氨氮（以N计）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TP(以P计)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pH值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TN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色度(稀释倍数)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粪大肠菌群数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总汞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总镉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总铬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六价铬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总砷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2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总铅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snapToGrid w:val="0"/>
              <w:jc w:val="center"/>
              <w:outlineLvl w:val="3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mg/L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0.1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表2</w:t>
      </w:r>
      <w:r>
        <w:rPr>
          <w:rFonts w:hint="eastAsia" w:ascii="宋体" w:hAnsi="宋体" w:cs="宋体"/>
          <w:b/>
          <w:bCs/>
          <w:sz w:val="24"/>
        </w:rPr>
        <w:t>设备名称、规格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数量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租赁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tbl>
      <w:tblPr>
        <w:tblStyle w:val="6"/>
        <w:tblW w:w="4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30"/>
        <w:gridCol w:w="159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垃圾渗滤液DTRO设备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100m³/d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</w:tr>
    </w:tbl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</w:p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三、服务期限</w:t>
      </w:r>
    </w:p>
    <w:p>
      <w:pPr>
        <w:pStyle w:val="4"/>
        <w:shd w:val="clear" w:color="auto" w:fill="auto"/>
        <w:spacing w:after="0"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服务期限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：2023年度和2024年度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，具体起止日期在签订合同时确定。</w:t>
      </w:r>
    </w:p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四、服务标准</w:t>
      </w:r>
    </w:p>
    <w:p>
      <w:pPr>
        <w:pStyle w:val="4"/>
        <w:shd w:val="clear" w:color="auto" w:fill="auto"/>
        <w:spacing w:after="0"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符合国家、行业和项目所在地政府有关法律法规、政策和标准规范要求。</w:t>
      </w:r>
    </w:p>
    <w:p>
      <w:pPr>
        <w:shd w:val="clear" w:color="auto" w:fill="auto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  <w:t>五、服务要求</w:t>
      </w:r>
    </w:p>
    <w:p>
      <w:pPr>
        <w:pStyle w:val="4"/>
        <w:shd w:val="clear" w:color="auto" w:fill="auto"/>
        <w:spacing w:after="0"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）机构设置和人员配备</w:t>
      </w:r>
    </w:p>
    <w:p>
      <w:pPr>
        <w:pStyle w:val="4"/>
        <w:shd w:val="clear" w:color="auto" w:fill="auto"/>
        <w:spacing w:after="0"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运营管理单位应组建运营管理机构，制订运营管理制度，落实运营管理人员职责，配备满足运营管理需要、具有经营管理经验和能力的人员，保证运营工作顺利进行。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及时、高效符合环保要求的处理渗滤液，根据实际情况和环境监测报告结果，及时采取措施，保证出水水质达到国家现行环保要求的标准，做好日常运行资料的记录。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保证渗滤液处理系统设备安全运行，保证硫酸等化学药品的保管使用安全，并负责做好渗滤液处理的设备、设施、加酸房、清水池、浓缩液池、提升泵、回灌泵及各类管道的安全保卫工作。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保证渗滤液处理系统完好，负责渗滤液处理设备内外配套的所有设备的维护维修，及时修复、更换损坏的部件。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负责与电力部门沟通提供设备正常运行所需的电源、电路等条件，并承担电费、输送电路维护等相应费用。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负责办理硫酸采购手续，并承担硫酸购置软件系统的维护费用。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负责采购、保管渗滤液处理系统需要的耗材，如硫酸、清洗剂、滤芯及其他化学药品等，并做好出入库记录。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定期对管道进行维护维修和检查，保证进水、出水管道畅通，及时将浓缩液回灌至甲方指定的区域。</w:t>
      </w:r>
    </w:p>
    <w:p>
      <w:pPr>
        <w:shd w:val="clear" w:color="auto" w:fill="auto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根据环境监测数据及标准要求及时对出水主要指标进行分析监测，并据实记录。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（10）滤液、尾水去向：处理后产生的清水排放至清水池，最终由罐车转运至志丹县城区污水处理厂进行处理；产生的浓液经回灌管路回灌于填埋作业区。</w:t>
      </w:r>
      <w:bookmarkEnd w:id="14"/>
      <w:bookmarkEnd w:id="1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zIwNWVkOWFkNDUxMDRlZjk3ZGNiMDJjZDM2ZjEifQ=="/>
  </w:docVars>
  <w:rsids>
    <w:rsidRoot w:val="00000000"/>
    <w:rsid w:val="0F7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宋体" w:cs="Times New Roman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iPriority w:val="0"/>
    <w:rPr>
      <w:rFonts w:ascii="宋体" w:hAnsi="宋体" w:eastAsia="宋体" w:cs="Times New Roman"/>
      <w:sz w:val="3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2023-04-07T08:35:32Z</dcterms:created>
  <dc:creator>Administrator</dc:creator>
  <cp:lastModifiedBy>畢竟我是南霸天</cp:lastModifiedBy>
  <dcterms:modified xsi:type="dcterms:W3CDTF">2023-04-07T08:35:43Z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0F08F92C160A461BA514960396229C8C_12</vt:lpwstr>
  </property>
</Properties>
</file>