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jc w:val="both"/>
        <w:rPr>
          <w:rFonts w:hint="eastAsia" w:ascii="宋体" w:hAnsi="宋体" w:eastAsia="宋体" w:cs="宋体"/>
          <w:b/>
          <w:bCs/>
          <w:color w:val="auto"/>
          <w:sz w:val="52"/>
          <w:szCs w:val="52"/>
          <w:lang w:val="en-US" w:eastAsia="zh-CN"/>
        </w:rPr>
      </w:pPr>
    </w:p>
    <w:p>
      <w:pPr>
        <w:pStyle w:val="30"/>
        <w:jc w:val="center"/>
        <w:rPr>
          <w:rFonts w:hint="eastAsia" w:ascii="宋体" w:hAnsi="宋体" w:eastAsia="宋体" w:cs="宋体"/>
          <w:b/>
          <w:bCs/>
          <w:color w:val="auto"/>
          <w:sz w:val="52"/>
          <w:szCs w:val="52"/>
          <w:lang w:val="en-US" w:eastAsia="zh-CN"/>
        </w:rPr>
      </w:pPr>
    </w:p>
    <w:p>
      <w:pPr>
        <w:pStyle w:val="3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吴起县五个乡镇清洁能源取暖监理服务</w:t>
      </w:r>
    </w:p>
    <w:p>
      <w:pPr>
        <w:pStyle w:val="30"/>
        <w:jc w:val="center"/>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72"/>
          <w:szCs w:val="72"/>
          <w:lang w:val="en-US" w:eastAsia="zh-CN"/>
        </w:rPr>
      </w:pPr>
    </w:p>
    <w:p>
      <w:pPr>
        <w:pStyle w:val="30"/>
        <w:jc w:val="both"/>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56"/>
          <w:szCs w:val="56"/>
          <w:lang w:val="en-US" w:eastAsia="zh-CN"/>
        </w:rPr>
      </w:pPr>
      <w:r>
        <w:rPr>
          <w:rFonts w:hint="eastAsia" w:ascii="黑体" w:hAnsi="黑体" w:eastAsia="黑体" w:cs="黑体"/>
          <w:b/>
          <w:bCs/>
          <w:color w:val="auto"/>
          <w:sz w:val="56"/>
          <w:szCs w:val="56"/>
          <w:lang w:val="en-US" w:eastAsia="zh-CN"/>
        </w:rPr>
        <w:t>竞争性磋商文件</w:t>
      </w:r>
    </w:p>
    <w:p>
      <w:pPr>
        <w:pStyle w:val="30"/>
        <w:jc w:val="center"/>
        <w:rPr>
          <w:rFonts w:hint="eastAsia" w:ascii="宋体" w:hAnsi="宋体" w:eastAsia="宋体" w:cs="宋体"/>
          <w:b/>
          <w:bCs w:val="0"/>
          <w:color w:val="auto"/>
          <w:sz w:val="32"/>
          <w:szCs w:val="32"/>
          <w:lang w:eastAsia="zh-CN"/>
        </w:rPr>
      </w:pPr>
    </w:p>
    <w:p>
      <w:pPr>
        <w:pStyle w:val="30"/>
        <w:jc w:val="center"/>
        <w:rPr>
          <w:rFonts w:hint="default"/>
          <w:color w:val="auto"/>
          <w:sz w:val="36"/>
          <w:szCs w:val="36"/>
          <w:lang w:val="en-US" w:eastAsia="zh-CN"/>
        </w:rPr>
      </w:pPr>
      <w:r>
        <w:rPr>
          <w:rFonts w:hint="eastAsia" w:ascii="宋体" w:hAnsi="宋体" w:eastAsia="宋体" w:cs="宋体"/>
          <w:b/>
          <w:bCs w:val="0"/>
          <w:color w:val="auto"/>
          <w:sz w:val="36"/>
          <w:szCs w:val="36"/>
          <w:lang w:eastAsia="zh-CN"/>
        </w:rPr>
        <w:t>项目编号：ZXLH-WQ-ZFCG-2023-008</w:t>
      </w:r>
    </w:p>
    <w:p>
      <w:pPr>
        <w:pStyle w:val="30"/>
        <w:rPr>
          <w:rFonts w:hint="eastAsia"/>
          <w:color w:val="auto"/>
          <w:lang w:eastAsia="zh-CN"/>
        </w:rPr>
      </w:pPr>
    </w:p>
    <w:p>
      <w:pPr>
        <w:pStyle w:val="30"/>
        <w:rPr>
          <w:rFonts w:hint="eastAsia"/>
          <w:color w:val="auto"/>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both"/>
        <w:rPr>
          <w:rFonts w:hint="eastAsia" w:ascii="宋体" w:hAnsi="宋体" w:eastAsia="宋体" w:cs="宋体"/>
          <w:b/>
          <w:bCs w:val="0"/>
          <w:color w:val="auto"/>
          <w:sz w:val="32"/>
          <w:szCs w:val="32"/>
          <w:lang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采购人：陕西省水务供水集团吴起县实业发展有限公司</w:t>
      </w:r>
    </w:p>
    <w:p>
      <w:pPr>
        <w:pStyle w:val="30"/>
        <w:rPr>
          <w:rFonts w:hint="eastAsia" w:ascii="宋体" w:hAnsi="宋体" w:eastAsia="宋体" w:cs="宋体"/>
          <w:b/>
          <w:bCs w:val="0"/>
          <w:color w:val="auto"/>
          <w:sz w:val="32"/>
          <w:szCs w:val="32"/>
          <w:lang w:eastAsia="zh-CN"/>
        </w:rPr>
      </w:pPr>
    </w:p>
    <w:p>
      <w:pPr>
        <w:pStyle w:val="30"/>
        <w:ind w:firstLine="1285" w:firstLineChars="400"/>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招标代理机构：陕西省中信蓝海工程项目管理有限公司</w:t>
      </w:r>
    </w:p>
    <w:p>
      <w:pPr>
        <w:pStyle w:val="30"/>
        <w:ind w:firstLine="1120" w:firstLineChars="400"/>
        <w:rPr>
          <w:rFonts w:hint="eastAsia" w:ascii="宋体" w:hAnsi="宋体" w:eastAsia="宋体" w:cs="宋体"/>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3935" w:firstLineChars="14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二〇二三年</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月</w:t>
      </w:r>
    </w:p>
    <w:p>
      <w:pPr>
        <w:pStyle w:val="30"/>
        <w:ind w:firstLine="3373" w:firstLineChars="1200"/>
        <w:rPr>
          <w:rFonts w:hint="eastAsia" w:ascii="宋体" w:hAnsi="宋体" w:eastAsia="宋体" w:cs="宋体"/>
          <w:b/>
          <w:bCs/>
          <w:color w:val="auto"/>
          <w:sz w:val="28"/>
          <w:szCs w:val="28"/>
          <w:lang w:eastAsia="zh-CN"/>
        </w:rPr>
      </w:pPr>
    </w:p>
    <w:p>
      <w:pPr>
        <w:pStyle w:val="30"/>
        <w:ind w:firstLine="3373" w:firstLineChars="1200"/>
        <w:rPr>
          <w:rFonts w:hint="eastAsia" w:ascii="宋体" w:hAnsi="宋体" w:eastAsia="宋体" w:cs="宋体"/>
          <w:b/>
          <w:bCs/>
          <w:color w:val="auto"/>
          <w:sz w:val="28"/>
          <w:szCs w:val="28"/>
          <w:lang w:eastAsia="zh-CN"/>
        </w:rPr>
      </w:pPr>
    </w:p>
    <w:p>
      <w:pPr>
        <w:autoSpaceDE w:val="0"/>
        <w:autoSpaceDN w:val="0"/>
        <w:adjustRightInd w:val="0"/>
        <w:spacing w:line="360" w:lineRule="auto"/>
        <w:ind w:left="210"/>
        <w:jc w:val="center"/>
        <w:rPr>
          <w:rFonts w:hint="eastAsia" w:ascii="宋体" w:hAnsi="宋体" w:eastAsia="宋体" w:cs="宋体"/>
          <w:b/>
          <w:bCs/>
          <w:color w:val="auto"/>
          <w:sz w:val="36"/>
          <w:szCs w:val="36"/>
          <w:highlight w:val="none"/>
          <w:lang w:val="zh-CN"/>
        </w:rPr>
      </w:pPr>
    </w:p>
    <w:p>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pPr>
        <w:pStyle w:val="18"/>
        <w:tabs>
          <w:tab w:val="right" w:leader="dot" w:pos="907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_Toc5592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zh-CN"/>
        </w:rPr>
        <w:t>第一章</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kern w:val="0"/>
          <w:sz w:val="28"/>
          <w:szCs w:val="28"/>
          <w:highlight w:val="none"/>
          <w:lang w:eastAsia="zh-CN"/>
        </w:rPr>
        <w:t>竞争性磋商</w:t>
      </w:r>
      <w:r>
        <w:rPr>
          <w:rFonts w:hint="eastAsia" w:ascii="宋体" w:hAnsi="宋体" w:eastAsia="宋体" w:cs="宋体"/>
          <w:color w:val="auto"/>
          <w:sz w:val="28"/>
          <w:szCs w:val="28"/>
          <w:lang w:val="zh-CN"/>
        </w:rPr>
        <w:t>公告</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highlight w:val="none"/>
        </w:rPr>
        <w:fldChar w:fldCharType="end"/>
      </w:r>
    </w:p>
    <w:p>
      <w:pPr>
        <w:pStyle w:val="18"/>
        <w:tabs>
          <w:tab w:val="right" w:leader="dot" w:pos="907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highlight w:val="none"/>
        </w:rPr>
        <w:fldChar w:fldCharType="end"/>
      </w:r>
    </w:p>
    <w:p>
      <w:pPr>
        <w:pStyle w:val="18"/>
        <w:tabs>
          <w:tab w:val="right" w:leader="dot" w:pos="9072"/>
        </w:tabs>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_Toc11300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zh-CN"/>
        </w:rPr>
        <w:t>第三章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lang w:val="zh-CN"/>
        </w:rPr>
        <w:t>采购</w:t>
      </w:r>
      <w:r>
        <w:rPr>
          <w:rFonts w:hint="eastAsia" w:ascii="宋体" w:hAnsi="宋体" w:eastAsia="宋体" w:cs="宋体"/>
          <w:color w:val="auto"/>
          <w:sz w:val="28"/>
          <w:szCs w:val="28"/>
          <w:lang w:val="en-US" w:eastAsia="zh-CN"/>
        </w:rPr>
        <w:t>清单及商务要求</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w:t>
      </w:r>
    </w:p>
    <w:p>
      <w:pPr>
        <w:pStyle w:val="18"/>
        <w:tabs>
          <w:tab w:val="right" w:leader="dot" w:pos="9072"/>
        </w:tabs>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_Toc15743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en-US" w:eastAsia="zh-CN"/>
        </w:rPr>
        <w:t>第四章  合同主要条款</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7</w:t>
      </w:r>
    </w:p>
    <w:p>
      <w:pPr>
        <w:pStyle w:val="18"/>
        <w:tabs>
          <w:tab w:val="right" w:leader="dot" w:pos="9072"/>
        </w:tabs>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_Toc16673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zh-CN"/>
        </w:rPr>
        <w:t>第五章</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zh-CN"/>
        </w:rPr>
        <w:t>磋商响应文件格式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0</w:t>
      </w:r>
    </w:p>
    <w:p>
      <w:pPr>
        <w:autoSpaceDE w:val="0"/>
        <w:autoSpaceDN w:val="0"/>
        <w:adjustRightInd w:val="0"/>
        <w:spacing w:line="480" w:lineRule="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rPr>
      </w:pPr>
      <w:r>
        <w:rPr>
          <w:rFonts w:hint="eastAsia" w:cs="宋体"/>
          <w:b/>
          <w:i w:val="0"/>
          <w:caps w:val="0"/>
          <w:color w:val="auto"/>
          <w:spacing w:val="0"/>
          <w:sz w:val="36"/>
          <w:szCs w:val="36"/>
          <w:shd w:val="clear" w:fill="FFFFFF"/>
          <w:lang w:val="en-US" w:eastAsia="zh-CN"/>
        </w:rPr>
        <w:t>第一章  竞争性磋商公告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ascii="微软雅黑" w:hAnsi="微软雅黑" w:eastAsia="微软雅黑" w:cs="微软雅黑"/>
          <w:b w:val="0"/>
          <w:bCs w:val="0"/>
          <w:i w:val="0"/>
          <w:iCs w:val="0"/>
          <w:caps w:val="0"/>
          <w:color w:val="auto"/>
          <w:spacing w:val="0"/>
          <w:sz w:val="36"/>
          <w:szCs w:val="36"/>
        </w:rPr>
      </w:pPr>
      <w:r>
        <w:rPr>
          <w:rFonts w:hint="eastAsia" w:ascii="微软雅黑" w:hAnsi="微软雅黑" w:eastAsia="微软雅黑" w:cs="微软雅黑"/>
          <w:b w:val="0"/>
          <w:bCs w:val="0"/>
          <w:i w:val="0"/>
          <w:iCs w:val="0"/>
          <w:caps w:val="0"/>
          <w:color w:val="auto"/>
          <w:spacing w:val="0"/>
          <w:kern w:val="0"/>
          <w:sz w:val="36"/>
          <w:szCs w:val="36"/>
          <w:shd w:val="clear" w:color="auto" w:fill="FFFFFF"/>
          <w:lang w:val="en-US" w:eastAsia="zh-CN" w:bidi="ar"/>
        </w:rPr>
        <w:t>吴起县五个乡镇清洁能源取暖监理服务竞争性磋商公告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b w:val="0"/>
          <w:bCs w:val="0"/>
          <w:color w:val="auto"/>
          <w:sz w:val="21"/>
          <w:szCs w:val="21"/>
        </w:rPr>
      </w:pPr>
      <w:r>
        <w:rPr>
          <w:rFonts w:ascii="微软雅黑" w:hAnsi="微软雅黑" w:eastAsia="微软雅黑" w:cs="微软雅黑"/>
          <w:b w:val="0"/>
          <w:bCs w:val="0"/>
          <w:i w:val="0"/>
          <w:iCs w:val="0"/>
          <w:caps w:val="0"/>
          <w:color w:val="auto"/>
          <w:spacing w:val="0"/>
          <w:sz w:val="21"/>
          <w:szCs w:val="21"/>
          <w:shd w:val="clear" w:color="auto" w:fill="FFFFFF"/>
        </w:rPr>
        <w:t>吴起县五个乡镇清洁能源取暖监理服务</w:t>
      </w:r>
      <w:r>
        <w:rPr>
          <w:rFonts w:hint="eastAsia" w:ascii="微软雅黑" w:hAnsi="微软雅黑" w:eastAsia="微软雅黑" w:cs="微软雅黑"/>
          <w:b w:val="0"/>
          <w:bCs w:val="0"/>
          <w:i w:val="0"/>
          <w:iCs w:val="0"/>
          <w:caps w:val="0"/>
          <w:color w:val="auto"/>
          <w:spacing w:val="0"/>
          <w:sz w:val="21"/>
          <w:szCs w:val="21"/>
          <w:shd w:val="clear" w:color="auto" w:fill="FFFFFF"/>
        </w:rPr>
        <w:t>采购项目的潜在供应商应在延安市吴起县豪利华酒店二楼获取采购文件，并于 2023年04月03日 09时00分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项目编号：ZXLH-WQ-ZFCG-2023-008</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项目名称：吴起县五个乡镇清洁能源取暖监理服务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预算金额：331,200.00元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合同包1(吴起县五个乡镇清洁能源取暖监理服务):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合同包预算金额：331,200.00元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合同包最高限价：331,200.00元</w:t>
      </w:r>
    </w:p>
    <w:tbl>
      <w:tblPr>
        <w:tblStyle w:val="22"/>
        <w:tblW w:w="95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0"/>
        <w:gridCol w:w="1862"/>
        <w:gridCol w:w="1862"/>
        <w:gridCol w:w="821"/>
        <w:gridCol w:w="1530"/>
        <w:gridCol w:w="1435"/>
        <w:gridCol w:w="14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2" w:hRule="atLeast"/>
          <w:tblHeader/>
        </w:trPr>
        <w:tc>
          <w:tcPr>
            <w:tcW w:w="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品目号</w:t>
            </w:r>
          </w:p>
        </w:tc>
        <w:tc>
          <w:tcPr>
            <w:tcW w:w="18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品目名称</w:t>
            </w:r>
          </w:p>
        </w:tc>
        <w:tc>
          <w:tcPr>
            <w:tcW w:w="18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采购标的</w:t>
            </w:r>
          </w:p>
        </w:tc>
        <w:tc>
          <w:tcPr>
            <w:tcW w:w="8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数量（单位）</w:t>
            </w:r>
          </w:p>
        </w:tc>
        <w:tc>
          <w:tcPr>
            <w:tcW w:w="15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技术规格、参数及要求</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品目预算(元)</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331200.00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b w:val="0"/>
                <w:bCs w:val="0"/>
                <w:color w:val="auto"/>
                <w:sz w:val="21"/>
                <w:szCs w:val="21"/>
              </w:rPr>
            </w:pPr>
            <w:r>
              <w:rPr>
                <w:rFonts w:ascii="宋体" w:hAnsi="宋体" w:eastAsia="宋体" w:cs="宋体"/>
                <w:b w:val="0"/>
                <w:bCs w:val="0"/>
                <w:color w:val="auto"/>
                <w:kern w:val="0"/>
                <w:sz w:val="21"/>
                <w:szCs w:val="21"/>
                <w:lang w:val="en-US" w:eastAsia="zh-CN" w:bidi="ar"/>
              </w:rPr>
              <w:t>331,200.00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b w:val="0"/>
                <w:bCs w:val="0"/>
                <w:color w:val="auto"/>
                <w:sz w:val="21"/>
                <w:szCs w:val="21"/>
              </w:rPr>
            </w:pPr>
            <w:r>
              <w:rPr>
                <w:rFonts w:ascii="宋体" w:hAnsi="宋体" w:eastAsia="宋体" w:cs="宋体"/>
                <w:b w:val="0"/>
                <w:bCs w:val="0"/>
                <w:color w:val="auto"/>
                <w:kern w:val="0"/>
                <w:sz w:val="21"/>
                <w:szCs w:val="21"/>
                <w:lang w:val="en-US" w:eastAsia="zh-CN" w:bidi="ar"/>
              </w:rPr>
              <w:t>331,200.00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合同履行期限：120天</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合同包1(吴起县五个乡镇清洁能源取暖监理服务)落实政府采购政策需满足的资格要求如下: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（1）《政府采购促进中小企业发展管理办法》（财库〔2020〕46号）；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（2）《财政部司法部关于政府采购支持监狱企业发展有关问题的通知》（财库〔2014〕68号）；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（3）《国务院办公厅关于建立政府强制采购节能产品制度的通知》（国办发〔2007〕51号）；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（4）《陕西省中小企业政府采购信用融资办法》（陕财办采〔2018〕23号）；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（5）《陕西省财政厅关于加快推进我省中小企业政府采购信用融资工作的通知》（陕财办采〔2020〕15号）；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（6）《关于促进残疾人就业政府采购政策的通知》财库〔2017〕141 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（7）《环保标志产品政府采购实施的意见》（财库〔2006〕90号）；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（8）《节能产品政府采购实施意见》（财库[2004]185号）。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合同包1(吴起县五个乡镇清洁能源取暖监理服务)特定资格要求如下: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（2）税收缴纳证明：提供报名日期前六个月内任意一个月的纳税证明或完税证明；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（3）社会保障资金缴纳证明：提供报名日期前六个月内任意一个月的社会保障资金缴存单据或社保机构开具的社会保险参保缴费情况证明；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（4）法定代表人参加磋商的，须出具法定代表人身份证明书及身份证复印件。法定代表人授权委托代理人参加磋商的，须出具法定代表人授权委托书及委托代理人身份证复印件；</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（5）提供2021年度财务审计报告或开户银行出具的资信证明；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（6）供应商须具备市政公用工程监理乙级及以上资质，项目总监须具备市政公用工程专业省及以上监理工程师</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（7）参加本次磋商前3年内，在经营活动中没有重大违法记录的书面声明；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（9）本项目不接受联合体磋商。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时间： 2023年03月21日 至 2023年03月27日 ，每天上午 08:00:00 至 12:00:00 ，下午 14:00:00 至 18:00:00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途径：延安市吴起县豪利华酒店二楼</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售价： 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截止时间： 2023年04月03日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地点：延安市吴起县豪利华酒店二楼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时间： 2023年04月03日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地点：延安市吴起县豪利华酒店二楼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kern w:val="0"/>
          <w:sz w:val="21"/>
          <w:szCs w:val="21"/>
          <w:shd w:val="clear" w:color="auto" w:fill="FFFFFF"/>
          <w:lang w:val="en-US" w:eastAsia="zh-CN" w:bidi="ar"/>
        </w:rPr>
        <w:t>1.领取竞争性磋商文件时，请携带本单位介绍信及法定代表人授权书（附法定代表人身份证复印件）及被授权人身份证（法定代表人直接参加只须提供法定代表人身份证）（加盖鲜章复印件一套），售后不退，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名称：陕西省水务供水集团吴起县实业发展有限公司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地址：吴起县北过境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联系方式：18691185015</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名称：陕西省中信蓝海工程项目管理有限公司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地址：陕西省西安市雁塔区西安曲江新区雁南五路1868号影视大厦写字楼第10层1001室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联系方式：15991636635</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项目联系人：中信蓝海延安</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rPr>
      </w:pPr>
      <w:r>
        <w:rPr>
          <w:rFonts w:hint="eastAsia" w:ascii="微软雅黑" w:hAnsi="微软雅黑" w:eastAsia="微软雅黑" w:cs="微软雅黑"/>
          <w:b w:val="0"/>
          <w:bCs w:val="0"/>
          <w:i w:val="0"/>
          <w:iCs w:val="0"/>
          <w:caps w:val="0"/>
          <w:color w:val="auto"/>
          <w:spacing w:val="0"/>
          <w:sz w:val="21"/>
          <w:szCs w:val="21"/>
          <w:shd w:val="clear" w:color="auto" w:fill="FFFFFF"/>
        </w:rPr>
        <w:t>电话：15319638480</w:t>
      </w:r>
    </w:p>
    <w:p>
      <w:pPr>
        <w:keepNext w:val="0"/>
        <w:keepLines w:val="0"/>
        <w:widowControl/>
        <w:suppressLineNumbers w:val="0"/>
        <w:shd w:val="clear" w:fill="FFFFFF"/>
        <w:wordWrap w:val="0"/>
        <w:spacing w:line="480" w:lineRule="atLeast"/>
        <w:ind w:left="0" w:firstLine="0"/>
        <w:jc w:val="both"/>
        <w:rPr>
          <w:rFonts w:hint="eastAsia" w:ascii="微软雅黑" w:hAnsi="微软雅黑" w:eastAsia="微软雅黑" w:cs="微软雅黑"/>
          <w:i w:val="0"/>
          <w:iCs w:val="0"/>
          <w:caps w:val="0"/>
          <w:color w:val="auto"/>
          <w:spacing w:val="0"/>
          <w:sz w:val="21"/>
          <w:szCs w:val="21"/>
        </w:rPr>
      </w:pPr>
    </w:p>
    <w:p>
      <w:pPr>
        <w:pStyle w:val="20"/>
        <w:keepNext w:val="0"/>
        <w:keepLines w:val="0"/>
        <w:pageBreakBefore w:val="0"/>
        <w:widowControl/>
        <w:suppressLineNumbers w:val="0"/>
        <w:kinsoku/>
        <w:wordWrap/>
        <w:overflowPunct/>
        <w:topLinePunct w:val="0"/>
        <w:autoSpaceDE/>
        <w:autoSpaceDN/>
        <w:bidi w:val="0"/>
        <w:adjustRightInd w:val="0"/>
        <w:snapToGrid w:val="0"/>
        <w:spacing w:before="210" w:beforeAutospacing="0" w:after="210" w:afterAutospacing="0" w:line="300" w:lineRule="auto"/>
        <w:ind w:left="0" w:right="0" w:firstLine="420"/>
        <w:jc w:val="center"/>
        <w:textAlignment w:val="auto"/>
        <w:outlineLvl w:val="9"/>
        <w:rPr>
          <w:rFonts w:hint="eastAsia" w:ascii="宋体" w:hAnsi="宋体" w:eastAsia="宋体" w:cs="宋体"/>
          <w:color w:val="auto"/>
          <w:sz w:val="28"/>
          <w:szCs w:val="28"/>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color w:val="auto"/>
          <w:lang w:eastAsia="zh-CN"/>
        </w:rPr>
      </w:pPr>
    </w:p>
    <w:p>
      <w:pPr>
        <w:rPr>
          <w:rFonts w:hint="eastAsia"/>
          <w:color w:val="auto"/>
        </w:rPr>
      </w:pPr>
      <w:bookmarkStart w:id="0" w:name="_Toc25499"/>
      <w:r>
        <w:rPr>
          <w:rFonts w:hint="eastAsia"/>
          <w:color w:val="auto"/>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r>
        <w:rPr>
          <w:rFonts w:hint="eastAsia"/>
          <w:color w:val="auto"/>
        </w:rPr>
        <w:t>第二章</w:t>
      </w:r>
      <w:r>
        <w:rPr>
          <w:rFonts w:hint="eastAsia"/>
          <w:color w:val="auto"/>
          <w:lang w:val="en-US" w:eastAsia="zh-CN"/>
        </w:rPr>
        <w:t xml:space="preserve">  </w:t>
      </w:r>
      <w:r>
        <w:rPr>
          <w:rFonts w:hint="eastAsia"/>
          <w:color w:val="auto"/>
        </w:rPr>
        <w:t>供应商须知</w:t>
      </w:r>
      <w:bookmarkEnd w:id="0"/>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2"/>
        <w:tblW w:w="9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6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采购人</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zh-CN"/>
              </w:rPr>
              <w:t>采购人：</w:t>
            </w:r>
            <w:r>
              <w:rPr>
                <w:rFonts w:hint="eastAsia" w:ascii="宋体" w:hAnsi="宋体" w:eastAsia="宋体" w:cs="宋体"/>
                <w:color w:val="auto"/>
                <w:kern w:val="0"/>
                <w:sz w:val="24"/>
                <w:szCs w:val="24"/>
                <w:highlight w:val="none"/>
                <w:u w:val="none"/>
                <w:lang w:val="zh-CN" w:eastAsia="zh-CN"/>
              </w:rPr>
              <w:t>陕西省水务供水集团吴起县实业发展有限公司</w:t>
            </w:r>
          </w:p>
          <w:p>
            <w:pPr>
              <w:pStyle w:val="30"/>
              <w:spacing w:line="360" w:lineRule="auto"/>
              <w:rPr>
                <w:rFonts w:hint="eastAsia" w:ascii="宋体" w:hAnsi="宋体" w:eastAsia="宋体" w:cs="宋体"/>
                <w:color w:val="auto"/>
                <w:lang w:eastAsia="zh-CN"/>
              </w:rPr>
            </w:pPr>
            <w:r>
              <w:rPr>
                <w:rFonts w:hint="eastAsia" w:ascii="宋体" w:hAnsi="宋体" w:eastAsia="宋体" w:cs="宋体"/>
                <w:color w:val="auto"/>
                <w:kern w:val="0"/>
                <w:sz w:val="24"/>
                <w:szCs w:val="24"/>
                <w:highlight w:val="none"/>
                <w:u w:val="none"/>
                <w:lang w:val="zh-CN"/>
              </w:rPr>
              <w:t>地</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lang w:val="zh-CN"/>
              </w:rPr>
              <w:t>址：吴起县北过境</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联系人：刘向荣</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u w:val="none"/>
                <w:lang w:val="zh-CN" w:eastAsia="zh-CN"/>
              </w:rPr>
              <w:t>电话：18691185015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名  称：陕西省中信蓝海工程项目管理有限公司</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地  址：西安曲江新区雁南五路1868号曲江影视大厦第10层</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王勇</w:t>
            </w:r>
          </w:p>
          <w:p>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电话：</w:t>
            </w:r>
            <w:r>
              <w:rPr>
                <w:rFonts w:hint="eastAsia" w:ascii="宋体" w:hAnsi="宋体" w:eastAsia="宋体" w:cs="宋体"/>
                <w:color w:val="auto"/>
                <w:kern w:val="0"/>
                <w:sz w:val="24"/>
                <w:szCs w:val="24"/>
                <w:highlight w:val="none"/>
                <w:u w:val="none"/>
                <w:lang w:val="en-US" w:eastAsia="zh-CN"/>
              </w:rPr>
              <w:t>15319638480</w:t>
            </w:r>
          </w:p>
          <w:p>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val="none"/>
                <w:lang w:val="zh-CN" w:eastAsia="zh-CN"/>
              </w:rPr>
              <w:t>电子邮件</w:t>
            </w:r>
            <w:r>
              <w:rPr>
                <w:rFonts w:hint="eastAsia" w:ascii="宋体" w:hAnsi="宋体" w:eastAsia="宋体" w:cs="宋体"/>
                <w:color w:val="auto"/>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资金来源</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资金落实情况</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采购预算</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331200.00</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采购内容</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详见磋商文件第三章服务内容及要求。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 xml:space="preserve">  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质量要求</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符合国家各项相关质量合格标准及磋商文件中的要求。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zh-CN"/>
              </w:rPr>
              <w:t>周期</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提交答疑截止时间</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答疑回复截止时间</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自收到异议之日起3日内</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答疑纪要为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具有同等法律效力。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递交磋商文件截止时间、地点</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2023年0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09</w:t>
            </w:r>
            <w:r>
              <w:rPr>
                <w:rFonts w:hint="eastAsia" w:ascii="宋体" w:hAnsi="宋体" w:eastAsia="宋体" w:cs="宋体"/>
                <w:color w:val="auto"/>
                <w:sz w:val="24"/>
                <w:szCs w:val="24"/>
                <w:highlight w:val="none"/>
                <w:u w:val="single"/>
              </w:rPr>
              <w:t>时00分00秒</w:t>
            </w:r>
            <w:r>
              <w:rPr>
                <w:rFonts w:hint="eastAsia" w:ascii="宋体" w:hAnsi="宋体" w:eastAsia="宋体" w:cs="宋体"/>
                <w:b w:val="0"/>
                <w:color w:val="auto"/>
                <w:sz w:val="24"/>
                <w:szCs w:val="24"/>
                <w:highlight w:val="none"/>
                <w:u w:val="none"/>
                <w:lang w:val="en-US" w:eastAsia="zh-CN"/>
              </w:rPr>
              <w:t>（北京时间）</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u w:val="none"/>
                <w:lang w:val="zh-CN" w:eastAsia="zh-CN" w:bidi="ar-SA"/>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13</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磋商时间、地点</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u w:val="single"/>
              </w:rPr>
              <w:t>2023年0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rPr>
              <w:t xml:space="preserve">日 </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时00分00秒</w:t>
            </w:r>
            <w:r>
              <w:rPr>
                <w:rFonts w:hint="eastAsia" w:ascii="宋体" w:hAnsi="宋体" w:eastAsia="宋体" w:cs="宋体"/>
                <w:color w:val="auto"/>
                <w:sz w:val="24"/>
                <w:szCs w:val="24"/>
                <w:highlight w:val="none"/>
                <w:lang w:val="en-US" w:eastAsia="zh-CN"/>
              </w:rPr>
              <w:t>（北京时间）</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磋商有效期</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评审办法</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本次竞争性磋商采用综合评分法（</w:t>
            </w:r>
            <w:r>
              <w:rPr>
                <w:rFonts w:hint="eastAsia" w:ascii="宋体" w:hAnsi="宋体" w:eastAsia="宋体" w:cs="宋体"/>
                <w:color w:val="auto"/>
                <w:kern w:val="0"/>
                <w:sz w:val="24"/>
                <w:szCs w:val="24"/>
                <w:highlight w:val="none"/>
                <w:lang w:val="en-US" w:eastAsia="zh-CN"/>
              </w:rPr>
              <w:t>详见评分细则</w:t>
            </w:r>
            <w:r>
              <w:rPr>
                <w:rFonts w:hint="eastAsia" w:ascii="宋体" w:hAnsi="宋体" w:eastAsia="宋体" w:cs="宋体"/>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资格审查</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本项目为资格后审，磋商</w:t>
            </w:r>
            <w:r>
              <w:rPr>
                <w:rFonts w:hint="eastAsia" w:ascii="宋体" w:hAnsi="宋体" w:eastAsia="宋体" w:cs="宋体"/>
                <w:color w:val="auto"/>
                <w:sz w:val="24"/>
                <w:szCs w:val="24"/>
                <w:highlight w:val="none"/>
                <w:lang w:eastAsia="zh-CN"/>
              </w:rPr>
              <w:t>现场各供应商代表须携带</w:t>
            </w:r>
            <w:r>
              <w:rPr>
                <w:rFonts w:hint="eastAsia" w:ascii="宋体" w:hAnsi="宋体" w:eastAsia="宋体" w:cs="宋体"/>
                <w:color w:val="auto"/>
                <w:sz w:val="24"/>
                <w:szCs w:val="24"/>
                <w:highlight w:val="none"/>
                <w:lang w:val="en-US" w:eastAsia="zh-CN"/>
              </w:rPr>
              <w:t>竞争性磋商公告及竞争性磋商</w:t>
            </w:r>
            <w:r>
              <w:rPr>
                <w:rFonts w:hint="eastAsia" w:ascii="宋体" w:hAnsi="宋体" w:eastAsia="宋体" w:cs="宋体"/>
                <w:color w:val="auto"/>
                <w:sz w:val="24"/>
                <w:szCs w:val="24"/>
                <w:highlight w:val="none"/>
                <w:lang w:eastAsia="zh-CN"/>
              </w:rPr>
              <w:t>文件中要求的资格证明文件原件以供评审委员会审查；未携带原件的供应商将作未实质性响应竞争性磋商文件资格性审查要求处理，采购人</w:t>
            </w:r>
            <w:r>
              <w:rPr>
                <w:rFonts w:hint="eastAsia" w:ascii="宋体" w:hAnsi="宋体" w:eastAsia="宋体" w:cs="宋体"/>
                <w:color w:val="auto"/>
                <w:sz w:val="24"/>
                <w:szCs w:val="24"/>
                <w:highlight w:val="none"/>
                <w:lang w:val="en-US" w:eastAsia="zh-CN"/>
              </w:rPr>
              <w:t>及评审委员会</w:t>
            </w:r>
            <w:r>
              <w:rPr>
                <w:rFonts w:hint="eastAsia" w:ascii="宋体" w:hAnsi="宋体" w:eastAsia="宋体" w:cs="宋体"/>
                <w:color w:val="auto"/>
                <w:sz w:val="24"/>
                <w:szCs w:val="24"/>
                <w:highlight w:val="none"/>
                <w:lang w:eastAsia="zh-CN"/>
              </w:rPr>
              <w:t>有权否决其投标。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磋商保证金</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金额：捌仟元整（8000.00元）</w:t>
            </w:r>
          </w:p>
          <w:p>
            <w:pPr>
              <w:autoSpaceDE w:val="0"/>
              <w:autoSpaceDN w:val="0"/>
              <w:adjustRightInd w:val="0"/>
              <w:spacing w:line="360" w:lineRule="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开户行：中国银行西安雁展路支行</w:t>
            </w:r>
          </w:p>
          <w:p>
            <w:pPr>
              <w:autoSpaceDE w:val="0"/>
              <w:autoSpaceDN w:val="0"/>
              <w:adjustRightInd w:val="0"/>
              <w:spacing w:line="360" w:lineRule="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用户名：陕西省中信蓝海工程项目管理有限公司 </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开户账号：103676950850</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交款方式：磋商保证金交纳以转帐或电汇缴纳，必须从供应商基本账户转出。</w:t>
            </w:r>
          </w:p>
          <w:p>
            <w:pPr>
              <w:pStyle w:val="40"/>
              <w:keepNext w:val="0"/>
              <w:keepLines w:val="0"/>
              <w:pageBreakBefore w:val="0"/>
              <w:widowControl/>
              <w:suppressLineNumbers w:val="0"/>
              <w:kinsoku/>
              <w:wordWrap/>
              <w:overflowPunct/>
              <w:topLinePunct w:val="0"/>
              <w:autoSpaceDE/>
              <w:autoSpaceDN/>
              <w:bidi w:val="0"/>
              <w:spacing w:line="360" w:lineRule="auto"/>
              <w:textAlignment w:val="auto"/>
              <w:rPr>
                <w:rFonts w:hint="eastAsia" w:ascii="宋体" w:hAnsi="宋体" w:eastAsia="宋体" w:cs="宋体"/>
                <w:b w:val="0"/>
                <w:bCs w:val="0"/>
                <w:color w:val="auto"/>
              </w:rPr>
            </w:pPr>
            <w:r>
              <w:rPr>
                <w:rFonts w:hint="eastAsia" w:ascii="宋体" w:hAnsi="宋体" w:eastAsia="宋体" w:cs="宋体"/>
                <w:b w:val="0"/>
                <w:bCs w:val="0"/>
                <w:color w:val="auto"/>
                <w:sz w:val="24"/>
                <w:szCs w:val="24"/>
                <w:highlight w:val="none"/>
                <w:lang w:eastAsia="zh-CN"/>
              </w:rPr>
              <w:t>转账时需在备注栏注明：吴起县五个乡镇清洁能源取暖监理服务保证金</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保证金应提前办理，一律于</w:t>
            </w:r>
            <w:r>
              <w:rPr>
                <w:rFonts w:hint="eastAsia" w:ascii="宋体" w:hAnsi="宋体" w:eastAsia="宋体" w:cs="宋体"/>
                <w:color w:val="auto"/>
                <w:sz w:val="24"/>
                <w:szCs w:val="24"/>
                <w:highlight w:val="none"/>
                <w:lang w:val="en-US" w:eastAsia="zh-CN"/>
              </w:rPr>
              <w:t>磋商文件递交截止时间</w:t>
            </w:r>
            <w:r>
              <w:rPr>
                <w:rFonts w:hint="eastAsia" w:ascii="宋体" w:hAnsi="宋体" w:eastAsia="宋体" w:cs="宋体"/>
                <w:color w:val="auto"/>
                <w:sz w:val="24"/>
                <w:szCs w:val="24"/>
                <w:highlight w:val="none"/>
              </w:rPr>
              <w:t>前一次性汇入采购代理机构指定的银行帐户，否则视为</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无效。若打款凭证未按上述要求备注，则视为对招标要求不响应，则投标文件为无效文件。</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zh-CN" w:eastAsia="zh-CN" w:bidi="ar-SA"/>
              </w:rPr>
              <w:t>有 效 期：</w:t>
            </w:r>
            <w:r>
              <w:rPr>
                <w:rFonts w:hint="eastAsia" w:ascii="宋体" w:hAnsi="宋体" w:eastAsia="宋体" w:cs="宋体"/>
                <w:b w:val="0"/>
                <w:color w:val="auto"/>
                <w:kern w:val="2"/>
                <w:sz w:val="24"/>
                <w:szCs w:val="24"/>
                <w:highlight w:val="none"/>
                <w:lang w:val="en-US" w:eastAsia="zh-CN" w:bidi="ar-SA"/>
              </w:rPr>
              <w:t>同磋商有效期</w:t>
            </w:r>
            <w:r>
              <w:rPr>
                <w:rFonts w:hint="eastAsia" w:ascii="宋体" w:hAnsi="宋体" w:eastAsia="宋体" w:cs="宋体"/>
                <w:b w:val="0"/>
                <w:color w:val="auto"/>
                <w:kern w:val="2"/>
                <w:sz w:val="24"/>
                <w:szCs w:val="24"/>
                <w:highlight w:val="none"/>
                <w:lang w:val="zh-CN" w:eastAsia="zh-CN" w:bidi="ar-SA"/>
              </w:rPr>
              <w:t>。</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kern w:val="2"/>
                <w:sz w:val="24"/>
                <w:szCs w:val="24"/>
                <w:highlight w:val="none"/>
                <w:lang w:val="en-US" w:eastAsia="zh-CN" w:bidi="ar-SA"/>
              </w:rPr>
              <w:t>注：未按要求提交磋商保证金的，采购代理</w:t>
            </w:r>
            <w:r>
              <w:rPr>
                <w:rFonts w:hint="eastAsia" w:ascii="宋体" w:hAnsi="宋体" w:eastAsia="宋体" w:cs="宋体"/>
                <w:b w:val="0"/>
                <w:color w:val="auto"/>
                <w:kern w:val="2"/>
                <w:sz w:val="24"/>
                <w:szCs w:val="24"/>
                <w:highlight w:val="none"/>
                <w:lang w:val="zh-CN" w:eastAsia="zh-CN" w:bidi="ar-SA"/>
              </w:rPr>
              <w:t>机构将拒绝接收供应商的磋商文件。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20"/>
                <w:kern w:val="0"/>
                <w:sz w:val="24"/>
                <w:szCs w:val="24"/>
                <w:highlight w:val="none"/>
                <w:lang w:eastAsia="zh-CN"/>
              </w:rPr>
              <w:t>磋商</w:t>
            </w:r>
            <w:r>
              <w:rPr>
                <w:rFonts w:hint="eastAsia" w:ascii="宋体" w:hAnsi="宋体" w:eastAsia="宋体" w:cs="宋体"/>
                <w:color w:val="auto"/>
                <w:spacing w:val="-20"/>
                <w:kern w:val="0"/>
                <w:sz w:val="24"/>
                <w:szCs w:val="24"/>
                <w:highlight w:val="none"/>
              </w:rPr>
              <w:t>文件份数</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正本一份，副本两份，电子版</w:t>
            </w:r>
            <w:r>
              <w:rPr>
                <w:rFonts w:hint="eastAsia" w:ascii="宋体" w:hAnsi="宋体" w:cs="宋体"/>
                <w:color w:val="auto"/>
                <w:sz w:val="24"/>
                <w:lang w:eastAsia="zh-CN"/>
              </w:rPr>
              <w:t>（</w:t>
            </w:r>
            <w:r>
              <w:rPr>
                <w:rFonts w:hint="eastAsia" w:ascii="宋体" w:hAnsi="宋体" w:cs="宋体"/>
                <w:color w:val="auto"/>
                <w:sz w:val="24"/>
                <w:lang w:val="en-US" w:eastAsia="zh-CN"/>
              </w:rPr>
              <w:t>优盘</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份</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密封</w:t>
            </w:r>
            <w:r>
              <w:rPr>
                <w:rFonts w:hint="eastAsia" w:ascii="宋体" w:hAnsi="宋体" w:eastAsia="宋体" w:cs="宋体"/>
                <w:color w:val="auto"/>
                <w:spacing w:val="-20"/>
                <w:kern w:val="0"/>
                <w:sz w:val="24"/>
                <w:szCs w:val="24"/>
                <w:highlight w:val="none"/>
              </w:rPr>
              <w:t>及装订要求</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磋商文件正本一份（需彩色打印）、副本两份、电子版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磋商文件按正、副本分别装订成册，</w:t>
            </w:r>
            <w:r>
              <w:rPr>
                <w:rFonts w:hint="eastAsia" w:ascii="宋体" w:hAnsi="宋体" w:eastAsia="宋体" w:cs="宋体"/>
                <w:color w:val="auto"/>
                <w:sz w:val="24"/>
                <w:szCs w:val="24"/>
                <w:highlight w:val="none"/>
              </w:rPr>
              <w:t>并编制连续页码</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逐页</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szCs w:val="24"/>
                <w:highlight w:val="none"/>
                <w:lang w:val="zh-CN"/>
              </w:rPr>
              <w:t>封面均应加盖单位公章和法定代表人或委托代理人签字或盖章。磋商文件必须胶装成册，</w:t>
            </w:r>
            <w:r>
              <w:rPr>
                <w:rFonts w:hint="eastAsia" w:ascii="宋体" w:hAnsi="宋体" w:eastAsia="宋体" w:cs="宋体"/>
                <w:color w:val="auto"/>
                <w:sz w:val="24"/>
                <w:szCs w:val="24"/>
                <w:highlight w:val="none"/>
                <w:lang w:val="en-US" w:eastAsia="zh-CN"/>
              </w:rPr>
              <w:t>目录需链接页码，</w:t>
            </w:r>
            <w:r>
              <w:rPr>
                <w:rFonts w:hint="eastAsia" w:ascii="宋体" w:hAnsi="宋体" w:eastAsia="宋体" w:cs="宋体"/>
                <w:color w:val="auto"/>
                <w:sz w:val="24"/>
                <w:szCs w:val="24"/>
                <w:highlight w:val="none"/>
                <w:lang w:val="zh-CN"/>
              </w:rPr>
              <w:t>未按竞争性磋商文件要求编制的或装订的磋商文件按废标处理。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档案袋</w:t>
            </w:r>
            <w:r>
              <w:rPr>
                <w:rFonts w:hint="eastAsia" w:ascii="宋体" w:hAnsi="宋体" w:eastAsia="宋体" w:cs="宋体"/>
                <w:color w:val="auto"/>
                <w:sz w:val="24"/>
                <w:szCs w:val="24"/>
                <w:highlight w:val="none"/>
              </w:rPr>
              <w:t>：统一使用</w:t>
            </w:r>
            <w:r>
              <w:rPr>
                <w:rFonts w:hint="eastAsia" w:ascii="宋体" w:hAnsi="宋体" w:eastAsia="宋体" w:cs="宋体"/>
                <w:color w:val="auto"/>
                <w:sz w:val="24"/>
                <w:szCs w:val="24"/>
                <w:highlight w:val="none"/>
                <w:lang w:eastAsia="zh-CN"/>
              </w:rPr>
              <w:t>档案袋密封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正本装一个</w:t>
            </w:r>
            <w:r>
              <w:rPr>
                <w:rFonts w:hint="eastAsia" w:ascii="宋体" w:hAnsi="宋体" w:eastAsia="宋体" w:cs="宋体"/>
                <w:color w:val="auto"/>
                <w:sz w:val="24"/>
                <w:szCs w:val="24"/>
                <w:highlight w:val="none"/>
                <w:lang w:eastAsia="zh-CN"/>
              </w:rPr>
              <w:t>档案</w:t>
            </w:r>
            <w:r>
              <w:rPr>
                <w:rFonts w:hint="eastAsia" w:ascii="宋体" w:hAnsi="宋体" w:eastAsia="宋体" w:cs="宋体"/>
                <w:color w:val="auto"/>
                <w:sz w:val="24"/>
                <w:szCs w:val="24"/>
                <w:highlight w:val="none"/>
              </w:rPr>
              <w:t>袋（含</w:t>
            </w:r>
            <w:r>
              <w:rPr>
                <w:rFonts w:hint="eastAsia" w:ascii="宋体" w:hAnsi="宋体" w:eastAsia="宋体" w:cs="宋体"/>
                <w:color w:val="auto"/>
                <w:sz w:val="24"/>
                <w:szCs w:val="24"/>
                <w:highlight w:val="none"/>
                <w:lang w:val="zh-CN"/>
              </w:rPr>
              <w:t>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装一个档案袋，</w:t>
            </w:r>
            <w:r>
              <w:rPr>
                <w:rFonts w:hint="eastAsia" w:ascii="宋体" w:hAnsi="宋体" w:eastAsia="宋体" w:cs="宋体"/>
                <w:color w:val="auto"/>
                <w:sz w:val="24"/>
                <w:szCs w:val="24"/>
                <w:highlight w:val="none"/>
                <w:lang w:val="zh-CN"/>
              </w:rPr>
              <w:t>资质证明原</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lang w:val="zh-CN"/>
              </w:rPr>
              <w:t>装一个档案袋（标明提供资质的明细表）</w:t>
            </w:r>
            <w:r>
              <w:rPr>
                <w:rFonts w:hint="eastAsia" w:ascii="宋体" w:hAnsi="宋体" w:eastAsia="宋体" w:cs="宋体"/>
                <w:color w:val="auto"/>
                <w:sz w:val="24"/>
                <w:szCs w:val="24"/>
                <w:highlight w:val="none"/>
              </w:rPr>
              <w:t>。档案袋加贴封条，且在</w:t>
            </w:r>
            <w:r>
              <w:rPr>
                <w:rFonts w:hint="eastAsia" w:ascii="宋体" w:hAnsi="宋体" w:eastAsia="宋体" w:cs="宋体"/>
                <w:color w:val="auto"/>
                <w:sz w:val="24"/>
                <w:szCs w:val="24"/>
                <w:highlight w:val="none"/>
                <w:lang w:eastAsia="zh-CN"/>
              </w:rPr>
              <w:t>封条和</w:t>
            </w:r>
            <w:r>
              <w:rPr>
                <w:rFonts w:hint="eastAsia" w:ascii="宋体" w:hAnsi="宋体" w:eastAsia="宋体" w:cs="宋体"/>
                <w:color w:val="auto"/>
                <w:sz w:val="24"/>
                <w:szCs w:val="24"/>
                <w:highlight w:val="none"/>
              </w:rPr>
              <w:t>封套的封口处加盖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并由法人签字并盖章。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）磋商文件或资质证明原件未按要求密封和加写标记的，</w:t>
            </w:r>
            <w:r>
              <w:rPr>
                <w:rFonts w:hint="eastAsia" w:ascii="宋体" w:hAnsi="宋体" w:eastAsia="宋体" w:cs="宋体"/>
                <w:color w:val="auto"/>
                <w:sz w:val="24"/>
                <w:szCs w:val="24"/>
                <w:highlight w:val="none"/>
                <w:lang w:eastAsia="zh-CN"/>
              </w:rPr>
              <w:t>采购代理机构不予接收，</w:t>
            </w:r>
            <w:r>
              <w:rPr>
                <w:rFonts w:hint="eastAsia" w:ascii="宋体" w:hAnsi="宋体" w:eastAsia="宋体" w:cs="宋体"/>
                <w:color w:val="auto"/>
                <w:sz w:val="24"/>
                <w:szCs w:val="24"/>
                <w:highlight w:val="none"/>
                <w:lang w:val="zh-CN"/>
              </w:rPr>
              <w:t>采购代理机构对误投或过早启封的磋商文件概不负责。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封套</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封套内容包含：采购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、供应商名称，并标明“磋商响应文件”正本或副本，“资质证明原件”，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文件在</w:t>
            </w:r>
            <w:r>
              <w:rPr>
                <w:rFonts w:hint="eastAsia" w:ascii="宋体" w:hAnsi="宋体" w:eastAsia="宋体" w:cs="宋体"/>
                <w:color w:val="auto"/>
                <w:sz w:val="24"/>
                <w:szCs w:val="24"/>
                <w:highlight w:val="none"/>
                <w:u w:val="none"/>
              </w:rPr>
              <w:t xml:space="preserve"> 2023年0</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 xml:space="preserve">日 </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rPr>
              <w:t>时00分00秒</w:t>
            </w:r>
            <w:r>
              <w:rPr>
                <w:rFonts w:hint="eastAsia" w:ascii="宋体" w:hAnsi="宋体" w:eastAsia="宋体" w:cs="宋体"/>
                <w:color w:val="auto"/>
                <w:sz w:val="24"/>
                <w:szCs w:val="24"/>
                <w:highlight w:val="none"/>
              </w:rPr>
              <w:t>前不得开启</w:t>
            </w:r>
            <w:r>
              <w:rPr>
                <w:rFonts w:hint="eastAsia" w:ascii="宋体" w:hAnsi="宋体" w:eastAsia="宋体" w:cs="宋体"/>
                <w:color w:val="auto"/>
                <w:sz w:val="24"/>
                <w:szCs w:val="24"/>
                <w:highlight w:val="none"/>
                <w:lang w:val="en-US" w:eastAsia="zh-CN"/>
              </w:rPr>
              <w:t>”。还须加盖供应商公章，并由法定代表人签字并盖章、委托代理人签字或盖章。否则其磋商文件采购代理机构将不予接收。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hint="eastAsia" w:ascii="宋体" w:hAnsi="宋体" w:eastAsia="宋体" w:cs="宋体"/>
                <w:color w:val="auto"/>
                <w:sz w:val="24"/>
                <w:szCs w:val="24"/>
                <w:highlight w:val="none"/>
                <w:lang w:val="zh-CN"/>
              </w:rPr>
            </w:pPr>
            <w:r>
              <w:rPr>
                <w:rFonts w:hint="eastAsia" w:hAnsi="宋体" w:eastAsia="宋体" w:cs="宋体"/>
                <w:color w:val="auto"/>
                <w:kern w:val="2"/>
                <w:sz w:val="24"/>
                <w:szCs w:val="24"/>
                <w:highlight w:val="none"/>
                <w:lang w:val="en-US" w:eastAsia="zh-CN"/>
              </w:rPr>
              <w:t>评委组成</w:t>
            </w:r>
          </w:p>
        </w:tc>
        <w:tc>
          <w:tcPr>
            <w:tcW w:w="6627"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评审专家确定方式：在陕西省政府采购专家库中随机抽取由采购人代表及有关专家组成，其中技术、经济等方面的专家不少于评委总数的三分之二，评审委员会构成: 3 人，其中专家2人，采购人代表1人。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zh-CN"/>
              </w:rPr>
              <w:t>招标代理服务费</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招标代理服务费依据《国家计委关于印发&lt;招标代理服务管理暂行办法&gt;的通知》（计价格发【2002】1980号）及（发改价格[2011]534号）规定。</w:t>
            </w:r>
            <w:r>
              <w:rPr>
                <w:rFonts w:hint="eastAsia" w:ascii="宋体" w:hAnsi="宋体" w:eastAsia="宋体" w:cs="宋体"/>
                <w:color w:val="auto"/>
                <w:sz w:val="24"/>
                <w:szCs w:val="24"/>
                <w:highlight w:val="none"/>
                <w:lang w:val="en-US" w:eastAsia="zh-CN"/>
              </w:rPr>
              <w:t>在发放成交通知书时由成交供应商向代理机构一次性付清。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w w:val="100"/>
                <w:sz w:val="24"/>
                <w:lang w:eastAsia="zh-CN"/>
              </w:rPr>
              <w:t>供应商信誉</w:t>
            </w:r>
          </w:p>
        </w:tc>
        <w:tc>
          <w:tcPr>
            <w:tcW w:w="6627"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tabs>
                <w:tab w:val="left" w:pos="946"/>
              </w:tabs>
              <w:wordWrap/>
              <w:overflowPunct w:val="0"/>
              <w:autoSpaceDE w:val="0"/>
              <w:autoSpaceDN w:val="0"/>
              <w:snapToGrid w:val="0"/>
              <w:spacing w:before="0" w:after="0" w:line="360" w:lineRule="auto"/>
              <w:ind w:left="0" w:firstLine="0"/>
              <w:jc w:val="both"/>
              <w:rPr>
                <w:rFonts w:hint="eastAsia" w:ascii="宋体" w:hAnsi="宋体" w:eastAsia="宋体" w:cs="宋体"/>
                <w:b w:val="0"/>
                <w:color w:val="auto"/>
                <w:w w:val="100"/>
                <w:sz w:val="24"/>
                <w:lang w:val="en-US" w:eastAsia="zh-CN"/>
              </w:rPr>
            </w:pPr>
            <w:r>
              <w:rPr>
                <w:rFonts w:hint="eastAsia" w:ascii="宋体" w:hAnsi="宋体" w:eastAsia="宋体" w:cs="宋体"/>
                <w:b w:val="0"/>
                <w:color w:val="auto"/>
                <w:w w:val="100"/>
                <w:sz w:val="24"/>
                <w:lang w:val="en-US" w:eastAsia="zh-CN"/>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pStyle w:val="29"/>
              <w:spacing w:line="360" w:lineRule="auto"/>
              <w:ind w:left="0" w:leftChars="0" w:firstLine="0" w:firstLineChars="0"/>
              <w:rPr>
                <w:rFonts w:hint="eastAsia" w:hAnsi="宋体" w:eastAsia="宋体" w:cs="宋体"/>
                <w:color w:val="auto"/>
                <w:sz w:val="24"/>
                <w:szCs w:val="22"/>
                <w:lang w:val="en-US" w:eastAsia="zh-CN"/>
              </w:rPr>
            </w:pPr>
            <w:r>
              <w:rPr>
                <w:rFonts w:hint="eastAsia" w:hAnsi="宋体" w:eastAsia="宋体" w:cs="宋体"/>
                <w:color w:val="auto"/>
                <w:sz w:val="24"/>
                <w:szCs w:val="22"/>
                <w:lang w:val="en-US" w:eastAsia="zh-CN"/>
              </w:rPr>
              <w:t>2.供应商出具无重大违法纪录证明文件。</w:t>
            </w:r>
          </w:p>
          <w:p>
            <w:pPr>
              <w:pStyle w:val="9"/>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w w:val="100"/>
                <w:sz w:val="24"/>
                <w:lang w:val="en-US" w:eastAsia="zh-CN"/>
              </w:rPr>
              <w:t>以上查询以网上截图为准，</w:t>
            </w:r>
            <w:r>
              <w:rPr>
                <w:rFonts w:hint="eastAsia" w:ascii="宋体" w:hAnsi="宋体" w:eastAsia="宋体" w:cs="宋体"/>
                <w:bCs/>
                <w:color w:val="auto"/>
                <w:sz w:val="24"/>
                <w:szCs w:val="24"/>
              </w:rPr>
              <w:t>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4"/>
                <w:highlight w:val="none"/>
                <w:lang w:eastAsia="zh-CN"/>
              </w:rPr>
            </w:pPr>
            <w:r>
              <w:rPr>
                <w:rFonts w:hint="eastAsia" w:ascii="宋体" w:hAnsi="宋体" w:eastAsia="宋体" w:cs="宋体"/>
                <w:b w:val="0"/>
                <w:color w:val="auto"/>
                <w:w w:val="100"/>
                <w:sz w:val="24"/>
                <w:highlight w:val="none"/>
                <w:lang w:eastAsia="zh-CN"/>
              </w:rPr>
              <w:t>其他要求</w:t>
            </w:r>
          </w:p>
        </w:tc>
        <w:tc>
          <w:tcPr>
            <w:tcW w:w="6627" w:type="dxa"/>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hint="eastAsia" w:ascii="宋体" w:hAnsi="宋体" w:eastAsia="宋体" w:cs="宋体"/>
                <w:b w:val="0"/>
                <w:color w:val="auto"/>
                <w:w w:val="100"/>
                <w:sz w:val="24"/>
                <w:highlight w:val="none"/>
                <w:lang w:val="en-US" w:eastAsia="zh-CN"/>
              </w:rPr>
            </w:pPr>
            <w:r>
              <w:rPr>
                <w:rFonts w:hint="eastAsia" w:ascii="宋体" w:hAnsi="宋体" w:eastAsia="宋体" w:cs="宋体"/>
                <w:b/>
                <w:bCs/>
                <w:color w:val="auto"/>
                <w:sz w:val="24"/>
                <w:szCs w:val="24"/>
                <w:highlight w:val="none"/>
                <w:lang w:val="en-US" w:eastAsia="zh-CN"/>
              </w:rPr>
              <w:t>成交供应商在领取成交通知书后30日内必须与采购人签订合同。在合同签订之日起七个工作日内，应当配合采购人将合同副本报吴起县财政局和有关部门备案。否则成交供应商此次磋商无效，并没收其磋商保证金。</w:t>
            </w:r>
          </w:p>
        </w:tc>
      </w:tr>
    </w:tbl>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eastAsia="zh-CN"/>
        </w:rPr>
        <w:t>陕西省水务供水集团吴起县实业发展有限公司</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kern w:val="0"/>
          <w:sz w:val="24"/>
          <w:szCs w:val="24"/>
          <w:highlight w:val="none"/>
          <w:u w:val="none"/>
          <w:lang w:val="zh-CN" w:eastAsia="zh-CN"/>
        </w:rPr>
        <w:t>吴起县</w:t>
      </w:r>
      <w:r>
        <w:rPr>
          <w:rFonts w:hint="eastAsia" w:ascii="宋体" w:hAnsi="宋体" w:eastAsia="宋体" w:cs="宋体"/>
          <w:color w:val="auto"/>
          <w:sz w:val="24"/>
          <w:szCs w:val="24"/>
          <w:highlight w:val="none"/>
        </w:rPr>
        <w:t>财政局</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采购代理机构：</w:t>
      </w:r>
      <w:r>
        <w:rPr>
          <w:rFonts w:hint="eastAsia" w:ascii="宋体" w:hAnsi="宋体" w:eastAsia="宋体" w:cs="宋体"/>
          <w:color w:val="auto"/>
          <w:sz w:val="24"/>
          <w:szCs w:val="24"/>
          <w:highlight w:val="none"/>
          <w:lang w:eastAsia="zh-CN"/>
        </w:rPr>
        <w:t>陕西省中信蓝海工程项目管理有限公司</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商：满足本次招标要求具有相应资质和完成项目能力的单位</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合同包1(吴起县五个乡镇清洁能源取暖监理服务)落实政府采购政策需满足的资格要求如下:</w:t>
      </w:r>
    </w:p>
    <w:p>
      <w:pPr>
        <w:spacing w:line="360" w:lineRule="auto"/>
        <w:ind w:left="479" w:leftChars="22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（2）《财政部司法部关于政府采购支持监狱企业发展有关问题的通知》（财库〔2014〕68号）；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（3）《国务院办公厅关于建立政府强制采购节能产品制度的通知》（国办发〔2007〕51号）；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（4）《陕西省中小企业政府采购信用融资办法》（陕财办采〔2018〕23号）；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（5）《陕西省财政厅关于加快推进我省中小企业政府采购信用融资工作的通知》（陕财办采〔2020〕15号）；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（6）《关于促进残疾人就业政府采购政策的通知》财库〔2017〕141 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（7）《环保标志产品政府采购实施的意见》（财库〔2006〕90号）；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（8）《节能产品政府采购实施意见》（财库[2004]185号）。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合同包1(吴起县五个乡镇清洁能源取暖监理服务)特定资格要求如下: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（2）税收缴纳证明：提供报名日期前六个月内任意一个月的纳税证明或完税证明；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（5）提供2021年度财务审计报告或开户银行出具的资信证明；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（6）供应商须具备市政公用工程监理乙级及以上资质，项目总监须具备市政公用工程专业省及以上监理工程师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（7）参加本次磋商前3年内，在经营活动中没有重大违法记录的书面声明；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（9）本项目不接受联合体磋商。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pPr>
        <w:pStyle w:val="20"/>
        <w:spacing w:before="0" w:beforeAutospacing="0" w:after="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进行澄清的供应商，均应在投标截止时间10日前按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投标截止时间10日前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pPr>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pPr>
        <w:spacing w:line="360" w:lineRule="auto"/>
        <w:ind w:left="239" w:leftChars="1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pPr>
        <w:spacing w:line="360" w:lineRule="auto"/>
        <w:ind w:firstLine="482" w:firstLine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的购买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一经售出，一律不退，仅作为本次招标使用。</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评审</w:t>
      </w:r>
      <w:r>
        <w:rPr>
          <w:rFonts w:hint="eastAsia" w:ascii="宋体" w:hAnsi="宋体" w:eastAsia="宋体" w:cs="宋体"/>
          <w:b/>
          <w:color w:val="auto"/>
          <w:sz w:val="24"/>
          <w:szCs w:val="24"/>
          <w:highlight w:val="none"/>
        </w:rPr>
        <w:t>的处理依据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委员会有权对在开标、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的条款，本着公开、公平、公正的原则进行处理。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pPr>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本次招标为</w:t>
      </w:r>
      <w:r>
        <w:rPr>
          <w:rFonts w:hint="eastAsia" w:ascii="宋体" w:hAnsi="宋体" w:eastAsia="宋体" w:cs="宋体"/>
          <w:color w:val="auto"/>
          <w:sz w:val="24"/>
          <w:szCs w:val="24"/>
          <w:highlight w:val="none"/>
          <w:lang w:val="en-US" w:eastAsia="zh-CN"/>
        </w:rPr>
        <w:t>吴起县五个乡镇清洁能源取暖监理服务</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pPr>
        <w:numPr>
          <w:ilvl w:val="0"/>
          <w:numId w:val="3"/>
        </w:num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供应商在开标现场需提供以下原件及复印件1份：</w:t>
      </w:r>
      <w:r>
        <w:rPr>
          <w:rFonts w:hint="eastAsia" w:ascii="宋体" w:hAnsi="宋体" w:eastAsia="宋体" w:cs="宋体"/>
          <w:b/>
          <w:bCs/>
          <w:color w:val="auto"/>
          <w:sz w:val="24"/>
          <w:szCs w:val="24"/>
          <w:highlight w:val="none"/>
        </w:rPr>
        <w:t xml:space="preserve"> </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①法定代表人身份证（指法定代表人参加）或法定代表人授权委托书、法定代表人身份证及被委托人的身份证（指委托人代理人参加）；</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②磋商保证金打款凭证、银行基本开户许可证或银行开户证明。</w:t>
      </w:r>
    </w:p>
    <w:p>
      <w:pPr>
        <w:kinsoku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资格审查（原件）：</w:t>
      </w:r>
    </w:p>
    <w:p>
      <w:pPr>
        <w:kinsoku w:val="0"/>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（2）税收缴纳证明：提供报名日期前六个月内任意一个月的纳税证明或完税证明；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（5）提供2021年度财务审计报告或开户银行出具的资信证明；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（6）供应商须具备市政公用工程监理乙级及以上资质，项目总监须具备市政公用工程专业省及以上监理工程师；</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（7）参加本次磋商前3年内，在经营活动中没有重大违法记录的书面声明；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（9）本项目不接受联合体磋商。</w:t>
      </w:r>
      <w:r>
        <w:rPr>
          <w:rFonts w:hint="eastAsia" w:ascii="宋体" w:hAnsi="宋体" w:eastAsia="宋体" w:cs="宋体"/>
          <w:color w:val="auto"/>
          <w:sz w:val="24"/>
          <w:szCs w:val="24"/>
          <w:highlight w:val="none"/>
          <w:lang w:val="zh-CN" w:eastAsia="zh-CN"/>
        </w:rPr>
        <w:br w:type="textWrapping"/>
      </w:r>
    </w:p>
    <w:p>
      <w:pPr>
        <w:kinsoku w:val="0"/>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pPr>
        <w:numPr>
          <w:ilvl w:val="0"/>
          <w:numId w:val="3"/>
        </w:numPr>
        <w:spacing w:line="360" w:lineRule="auto"/>
        <w:ind w:firstLine="241"/>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pPr>
        <w:spacing w:line="360" w:lineRule="auto"/>
        <w:ind w:left="240"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pPr>
        <w:spacing w:line="360" w:lineRule="auto"/>
        <w:ind w:firstLine="597" w:firstLineChars="24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pPr>
        <w:spacing w:line="360" w:lineRule="auto"/>
        <w:ind w:left="1"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pPr>
        <w:spacing w:line="360" w:lineRule="auto"/>
        <w:ind w:left="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pPr>
        <w:spacing w:line="360" w:lineRule="auto"/>
        <w:ind w:firstLine="720" w:firstLineChars="3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pPr>
        <w:pStyle w:val="41"/>
        <w:spacing w:line="360" w:lineRule="auto"/>
        <w:ind w:left="147" w:leftChars="70" w:firstLine="241" w:firstLineChars="100"/>
        <w:jc w:val="center"/>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七、商务偏离表</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八、业绩</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九、供应商主要股东或出资人信息</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一、技术服务</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二、进度安排</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三、服务方案</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四、售后服务</w:t>
      </w:r>
    </w:p>
    <w:p>
      <w:pPr>
        <w:pStyle w:val="41"/>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pPr>
        <w:suppressAutoHyphens/>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委员会认定该供应商以低于成本报价竞标，其投标作废标处理。</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磋商保证金</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（1）本次投标活动需交纳保证金为：</w:t>
      </w:r>
    </w:p>
    <w:p>
      <w:pPr>
        <w:shd w:val="clear" w:color="auto" w:fill="auto"/>
        <w:autoSpaceDE w:val="0"/>
        <w:autoSpaceDN w:val="0"/>
        <w:adjustRightInd w:val="0"/>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8000.00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大写：</w:t>
      </w:r>
      <w:r>
        <w:rPr>
          <w:rFonts w:hint="eastAsia" w:ascii="宋体" w:hAnsi="宋体" w:eastAsia="宋体" w:cs="宋体"/>
          <w:color w:val="auto"/>
          <w:sz w:val="24"/>
          <w:szCs w:val="24"/>
          <w:highlight w:val="none"/>
          <w:u w:val="none"/>
          <w:lang w:val="en-US" w:eastAsia="zh-CN"/>
        </w:rPr>
        <w:t>捌仟元整</w:t>
      </w:r>
      <w:r>
        <w:rPr>
          <w:rFonts w:hint="eastAsia" w:ascii="宋体" w:hAnsi="宋体" w:eastAsia="宋体" w:cs="宋体"/>
          <w:color w:val="auto"/>
          <w:sz w:val="24"/>
          <w:szCs w:val="24"/>
          <w:highlight w:val="none"/>
          <w:u w:val="none"/>
        </w:rPr>
        <w:t>）</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应为人民币，可采用下列任何一种形式支付：</w:t>
      </w:r>
    </w:p>
    <w:p>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A、银行转账；</w:t>
      </w:r>
    </w:p>
    <w:p>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B、电汇；</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磋商保证金必须在</w:t>
      </w:r>
      <w:r>
        <w:rPr>
          <w:rFonts w:hint="eastAsia" w:ascii="宋体" w:hAnsi="宋体" w:eastAsia="宋体" w:cs="宋体"/>
          <w:color w:val="auto"/>
          <w:sz w:val="24"/>
          <w:szCs w:val="24"/>
          <w:highlight w:val="none"/>
          <w:lang w:val="en-US" w:eastAsia="zh-CN"/>
        </w:rPr>
        <w:t>磋商文件递交截止时间</w:t>
      </w:r>
      <w:r>
        <w:rPr>
          <w:rFonts w:hint="eastAsia" w:ascii="宋体" w:hAnsi="宋体" w:eastAsia="宋体" w:cs="宋体"/>
          <w:color w:val="auto"/>
          <w:sz w:val="24"/>
          <w:szCs w:val="24"/>
          <w:highlight w:val="none"/>
          <w:u w:val="none"/>
          <w:lang w:val="en-US" w:eastAsia="zh-CN"/>
        </w:rPr>
        <w:t>前到达采购代理机构指定的账户。</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开户行：中国银行西安雁展路支行</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用户名：陕西省中信蓝海工程项目管理有限公司 </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开户账号：103676950850</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（转账时需在备注栏注明：吴起县五个乡镇清洁能源取暖监理服务</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lang w:eastAsia="zh-CN"/>
        </w:rPr>
        <w:t>）</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备注：1、</w:t>
      </w:r>
      <w:r>
        <w:rPr>
          <w:rFonts w:hint="eastAsia" w:ascii="宋体" w:hAnsi="宋体" w:eastAsia="宋体" w:cs="宋体"/>
          <w:b w:val="0"/>
          <w:bCs w:val="0"/>
          <w:color w:val="auto"/>
          <w:sz w:val="24"/>
          <w:szCs w:val="24"/>
          <w:highlight w:val="none"/>
          <w:lang w:eastAsia="zh-CN"/>
        </w:rPr>
        <w:t>磋商保证金</w:t>
      </w:r>
      <w:r>
        <w:rPr>
          <w:rFonts w:hint="eastAsia" w:ascii="宋体" w:hAnsi="宋体" w:eastAsia="宋体" w:cs="宋体"/>
          <w:b w:val="0"/>
          <w:bCs w:val="0"/>
          <w:color w:val="auto"/>
          <w:sz w:val="24"/>
          <w:szCs w:val="24"/>
          <w:highlight w:val="none"/>
        </w:rPr>
        <w:t>以供应商基本账户汇款。</w:t>
      </w:r>
    </w:p>
    <w:p>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2、银行转账或电汇凭证标明项目</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（3）供应商未交纳、未足额交纳或未按规定时间交纳保证金的，将被视为自动放弃投标权利。</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的交付单位和供应商的名称必须一致，否则将视为投标无效。</w:t>
      </w:r>
    </w:p>
    <w:p>
      <w:pPr>
        <w:shd w:val="clear" w:color="auto" w:fill="auto"/>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以非基本账户汇款或不能证明汇款账户为供应商基本账户，视为投标无效。</w:t>
      </w:r>
      <w:r>
        <w:rPr>
          <w:rFonts w:hint="eastAsia" w:ascii="宋体" w:hAnsi="宋体" w:eastAsia="宋体" w:cs="宋体"/>
          <w:color w:val="auto"/>
          <w:sz w:val="24"/>
          <w:szCs w:val="24"/>
          <w:highlight w:val="none"/>
          <w:lang w:eastAsia="zh-CN"/>
        </w:rPr>
        <w:t>供应商应在开标当天，请提供基本账户开户许可证由评审委员会核查，不能提供按废标处理。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退还：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rPr>
        <w:t>根据所提供的《</w:t>
      </w:r>
      <w:r>
        <w:rPr>
          <w:rFonts w:hint="eastAsia" w:ascii="宋体" w:hAnsi="宋体" w:eastAsia="宋体" w:cs="宋体"/>
          <w:color w:val="auto"/>
          <w:sz w:val="24"/>
          <w:lang w:eastAsia="zh-CN"/>
        </w:rPr>
        <w:t>磋商保证金</w:t>
      </w:r>
      <w:r>
        <w:rPr>
          <w:rFonts w:hint="eastAsia" w:ascii="宋体" w:hAnsi="宋体" w:eastAsia="宋体" w:cs="宋体"/>
          <w:color w:val="auto"/>
          <w:sz w:val="24"/>
        </w:rPr>
        <w:t>退还信息表》（见附件），</w:t>
      </w:r>
      <w:r>
        <w:rPr>
          <w:rFonts w:hint="eastAsia" w:ascii="宋体" w:hAnsi="宋体" w:eastAsia="宋体" w:cs="宋体"/>
          <w:color w:val="auto"/>
          <w:sz w:val="24"/>
          <w:szCs w:val="24"/>
          <w:highlight w:val="none"/>
        </w:rPr>
        <w:t xml:space="preserve">自中标通知书发出之日起5个工作日内退还，根据所提供信息退还各供应商保证金，无需亲自前来办理；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与采购人签订合同之日起5个工作日内退回</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（办理时需提供以下资料：单位账户信息、经办人身份证、合同原件及复印件各一份）；</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（7）发生下列情况之一，</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将被没收：</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A、开标后在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内，供应商撤回其所投</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在规定的时间内未能签订合同；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未按时缴付中标服务费；</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D、由于供应商的原因导致中标无效的</w:t>
      </w:r>
      <w:r>
        <w:rPr>
          <w:rFonts w:hint="eastAsia" w:ascii="宋体" w:hAnsi="宋体" w:eastAsia="宋体" w:cs="宋体"/>
          <w:color w:val="auto"/>
          <w:sz w:val="24"/>
          <w:szCs w:val="24"/>
          <w:highlight w:val="none"/>
          <w:lang w:eastAsia="zh-CN"/>
        </w:rPr>
        <w:t>；</w:t>
      </w:r>
    </w:p>
    <w:p>
      <w:pPr>
        <w:pStyle w:val="29"/>
        <w:rPr>
          <w:rFonts w:hint="eastAsia"/>
          <w:color w:val="auto"/>
          <w:lang w:val="en-US"/>
        </w:rPr>
      </w:pPr>
      <w:r>
        <w:rPr>
          <w:rFonts w:hint="eastAsia" w:ascii="宋体" w:hAnsi="宋体" w:eastAsia="宋体" w:cs="宋体"/>
          <w:color w:val="auto"/>
          <w:sz w:val="24"/>
          <w:szCs w:val="24"/>
          <w:highlight w:val="none"/>
          <w:lang w:val="en-US" w:eastAsia="zh-CN"/>
        </w:rPr>
        <w:t xml:space="preserve"> F、成交供应商未按磋商文件要求在规定时间内完成在吴起县相关管理部门备案手续的。</w:t>
      </w:r>
    </w:p>
    <w:p>
      <w:pPr>
        <w:pStyle w:val="29"/>
        <w:rPr>
          <w:rFonts w:hint="eastAsia"/>
          <w:color w:val="auto"/>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pPr>
        <w:spacing w:line="360" w:lineRule="auto"/>
        <w:ind w:firstLine="600" w:firstLineChars="2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w:t>
      </w:r>
      <w:r>
        <w:rPr>
          <w:rFonts w:hint="eastAsia" w:ascii="宋体" w:hAnsi="宋体" w:eastAsia="宋体" w:cs="宋体"/>
          <w:color w:val="auto"/>
          <w:sz w:val="24"/>
          <w:szCs w:val="24"/>
          <w:highlight w:val="none"/>
          <w:lang w:eastAsia="zh-CN"/>
        </w:rPr>
        <w:t>（正本需彩色打印）</w:t>
      </w:r>
      <w:r>
        <w:rPr>
          <w:rFonts w:hint="eastAsia" w:ascii="宋体" w:hAnsi="宋体" w:eastAsia="宋体" w:cs="宋体"/>
          <w:color w:val="auto"/>
          <w:sz w:val="24"/>
          <w:szCs w:val="24"/>
          <w:highlight w:val="none"/>
        </w:rPr>
        <w:t>，用不褪色的蓝（黑）墨水填写。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r>
        <w:rPr>
          <w:rFonts w:hint="eastAsia" w:ascii="宋体" w:hAnsi="宋体" w:eastAsia="宋体" w:cs="宋体"/>
          <w:color w:val="auto"/>
          <w:sz w:val="24"/>
          <w:szCs w:val="24"/>
          <w:highlight w:val="none"/>
          <w:shd w:val="clear" w:color="auto" w:fill="auto"/>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并在封面标明“正本”、“副本”及“电子版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”字样；</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val="en-US" w:eastAsia="zh-CN"/>
        </w:rPr>
        <w:t>按要求逐页签字并</w:t>
      </w:r>
      <w:r>
        <w:rPr>
          <w:rFonts w:hint="eastAsia" w:ascii="宋体" w:hAnsi="宋体" w:eastAsia="宋体" w:cs="宋体"/>
          <w:b w:val="0"/>
          <w:bCs w:val="0"/>
          <w:color w:val="auto"/>
          <w:sz w:val="24"/>
          <w:szCs w:val="24"/>
          <w:highlight w:val="none"/>
          <w:lang w:eastAsia="zh-CN"/>
        </w:rPr>
        <w:t>盖章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w:t>
      </w:r>
      <w:r>
        <w:rPr>
          <w:rFonts w:hint="eastAsia" w:ascii="宋体" w:hAnsi="宋体" w:eastAsia="宋体" w:cs="宋体"/>
          <w:b w:val="0"/>
          <w:bCs w:val="0"/>
          <w:color w:val="auto"/>
          <w:sz w:val="24"/>
          <w:szCs w:val="24"/>
          <w:highlight w:val="none"/>
          <w:shd w:val="clear" w:color="auto" w:fill="auto"/>
          <w:lang w:eastAsia="zh-CN"/>
        </w:rPr>
        <w:t>评审</w:t>
      </w:r>
      <w:r>
        <w:rPr>
          <w:rFonts w:hint="eastAsia" w:ascii="宋体" w:hAnsi="宋体" w:eastAsia="宋体" w:cs="宋体"/>
          <w:b w:val="0"/>
          <w:bCs w:val="0"/>
          <w:color w:val="auto"/>
          <w:sz w:val="24"/>
          <w:szCs w:val="24"/>
          <w:highlight w:val="none"/>
          <w:shd w:val="clear" w:color="auto" w:fill="auto"/>
        </w:rPr>
        <w:t>委员会认定为无效的授权书和证明及公章漏盖、漏签、任意修改文件格式和表格的均不予以通过；</w:t>
      </w:r>
    </w:p>
    <w:p>
      <w:pPr>
        <w:spacing w:line="360" w:lineRule="auto"/>
        <w:ind w:left="476" w:leftChars="172" w:hanging="115" w:hangingChars="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本次投标共</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个标袋：正本装一个标袋（含电子</w:t>
      </w:r>
      <w:r>
        <w:rPr>
          <w:rFonts w:hint="eastAsia" w:ascii="宋体" w:hAnsi="宋体" w:eastAsia="宋体" w:cs="宋体"/>
          <w:color w:val="auto"/>
          <w:sz w:val="24"/>
          <w:szCs w:val="24"/>
          <w:highlight w:val="none"/>
          <w:lang w:eastAsia="zh-CN"/>
        </w:rPr>
        <w:t>版三</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副本装一个标袋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磋商响应文件袋应在封口及相关部位加盖供应商单位公章、法定代表人签名并盖章、委托代理人签名或盖章，并在封口处加盖密封章。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w:t>
      </w:r>
      <w:r>
        <w:rPr>
          <w:rFonts w:hint="eastAsia" w:ascii="宋体" w:hAnsi="宋体" w:eastAsia="宋体" w:cs="宋体"/>
          <w:b/>
          <w:color w:val="auto"/>
          <w:sz w:val="24"/>
          <w:szCs w:val="24"/>
          <w:highlight w:val="none"/>
          <w:lang w:eastAsia="zh-CN"/>
        </w:rPr>
        <w:t>评审、定标</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（2）开标时由监标人审验供应商资料</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磋商保证金打款凭证、</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（3）由供应商的法定代表人或委托代理人检查各磋商响应文件的密封情况，并对密封情况签字确认；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（4）由采购代理机构工作人员按照顺序，开启各供应商的磋商响应文件，以公开唱标的形式公布磋商报价、质量标准、服务周期等，唱标结果由各供应商代表签字确认；</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pPr>
        <w:spacing w:line="360" w:lineRule="auto"/>
        <w:ind w:firstLine="315" w:firstLineChars="150"/>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印章或未经法定代表人或其委托代理人签字或盖章的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委员会进行评审。</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2、评审</w:t>
      </w:r>
    </w:p>
    <w:p>
      <w:pPr>
        <w:spacing w:line="360" w:lineRule="auto"/>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工作公开、公平、公正，依法成立</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委员会成员应当遵守并履行下列责任和义务：</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标准进行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，推荐中标候选人名单，对评审意见承担个人责任；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委员会评审结果为准；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也将被没收。</w:t>
      </w:r>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公开开标后，直到向中标的供应商授予合同为止，凡审查、澄清、评价和比较投标的有关资料及被授标意见等内容，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委员会成员均不得向供应商及与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 xml:space="preserve">无关的其他人透露。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询标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的依据，澄清、补正、说明的内容只作为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服务周期</w:t>
      </w:r>
      <w:r>
        <w:rPr>
          <w:rFonts w:hint="eastAsia" w:ascii="宋体" w:hAnsi="宋体" w:eastAsia="宋体" w:cs="宋体"/>
          <w:color w:val="auto"/>
          <w:sz w:val="24"/>
          <w:szCs w:val="24"/>
          <w:highlight w:val="none"/>
        </w:rPr>
        <w:t>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、必备资质的有效性和符合性不符合要求的；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t>
      </w:r>
      <w:r>
        <w:rPr>
          <w:rFonts w:hint="eastAsia" w:ascii="宋体" w:hAnsi="宋体" w:eastAsia="宋体" w:cs="宋体"/>
          <w:color w:val="auto"/>
          <w:sz w:val="24"/>
          <w:szCs w:val="24"/>
          <w:highlight w:val="none"/>
        </w:rPr>
        <w:t>、在政府采购或其它重大项目履约过程中有不良记录，未能按期履约的；</w:t>
      </w:r>
    </w:p>
    <w:p>
      <w:pPr>
        <w:topLinePunct/>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K</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将其作为无效投标处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pPr>
        <w:kinsoku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pPr>
        <w:kinsoku w:val="0"/>
        <w:spacing w:line="360" w:lineRule="auto"/>
        <w:ind w:firstLine="600"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N、对服务周期、质保期、付款方式、交货地点、费用组成、售后服务期等未明确响应磋商文件及合同条款要求或不完全响应磋商文件或合同条款要求的；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O、</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pPr>
        <w:numPr>
          <w:ilvl w:val="0"/>
          <w:numId w:val="4"/>
        </w:num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评审</w:t>
      </w:r>
    </w:p>
    <w:p>
      <w:pPr>
        <w:pStyle w:val="29"/>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审总得分最高的供应商作为中标候选人或者成交供应商的评审方法。得分相同的，按磋商报价由低到高顺序排列。得分且磋商报价相同的并列。磋商响应文件满足磋商文件全部实质性要求，且按照评审因素的量化指标评审得分最高的供应商为排名第一的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委员会根据以下内容进行综合比较，独立评审、自主打分，按最后得分由高到低汇总排序，推荐三名中标候选人；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出具评审</w:t>
      </w:r>
      <w:r>
        <w:rPr>
          <w:rFonts w:hint="eastAsia" w:ascii="宋体" w:hAnsi="宋体" w:eastAsia="宋体" w:cs="宋体"/>
          <w:color w:val="auto"/>
          <w:sz w:val="24"/>
          <w:szCs w:val="24"/>
          <w:highlight w:val="none"/>
        </w:rPr>
        <w:t>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商务部分：6分</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pPr>
        <w:spacing w:line="360" w:lineRule="auto"/>
        <w:ind w:firstLine="241" w:firstLineChars="100"/>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2"/>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08"/>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797"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08"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355"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408"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35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08" w:type="dxa"/>
            <w:vAlign w:val="center"/>
          </w:tcPr>
          <w:p>
            <w:pPr>
              <w:jc w:val="center"/>
              <w:rPr>
                <w:rFonts w:hint="eastAsia" w:ascii="宋体" w:hAnsi="宋体" w:cs="宋体" w:eastAsiaTheme="minorEastAsia"/>
                <w:color w:val="auto"/>
                <w:sz w:val="24"/>
                <w:szCs w:val="24"/>
                <w:lang w:val="en-US" w:eastAsia="zh-CN"/>
              </w:rPr>
            </w:pPr>
            <w:r>
              <w:rPr>
                <w:rFonts w:hint="eastAsia" w:hAnsi="宋体" w:cs="宋体"/>
                <w:color w:val="auto"/>
                <w:sz w:val="24"/>
                <w:lang w:eastAsia="zh-CN" w:bidi="ar"/>
              </w:rPr>
              <w:t>财务状况及基本账户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355"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提供2021年度财务审计报告或开户银行出具的资信证明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08"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无重大违法记录声明</w:t>
            </w:r>
          </w:p>
        </w:tc>
        <w:tc>
          <w:tcPr>
            <w:tcW w:w="535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参加本次磋商前3年内，在经营活动中没有重大违法记录的书面声明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08"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355"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提供报名日期前六个月内任意一个月的纳税证明或完税证明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2408"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社会保障资金缴纳证明</w:t>
            </w:r>
          </w:p>
        </w:tc>
        <w:tc>
          <w:tcPr>
            <w:tcW w:w="5355"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提供报名日期前六个月内任意一个月的社会保障资金缴存单据或社保机构开具的社会保险参保缴费情况证明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408"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资质等级及项目总监</w:t>
            </w:r>
          </w:p>
        </w:tc>
        <w:tc>
          <w:tcPr>
            <w:tcW w:w="5355"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具备市政公用工程监理乙级及以上资质，项目总监须具备市政公用工程专业省及以上监理工程师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2408" w:type="dxa"/>
            <w:vAlign w:val="center"/>
          </w:tcPr>
          <w:p>
            <w:pPr>
              <w:jc w:val="center"/>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信用记录</w:t>
            </w:r>
          </w:p>
        </w:tc>
        <w:tc>
          <w:tcPr>
            <w:tcW w:w="5355"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tc>
      </w:tr>
    </w:tbl>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39"/>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889"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489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磋商保证金</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是否按</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要求按时、足额、有效提交</w:t>
            </w:r>
            <w:r>
              <w:rPr>
                <w:rFonts w:hint="eastAsia" w:ascii="宋体" w:hAnsi="宋体" w:eastAsia="宋体" w:cs="宋体"/>
                <w:bCs/>
                <w:color w:val="auto"/>
                <w:sz w:val="24"/>
                <w:szCs w:val="24"/>
                <w:highlight w:val="none"/>
                <w:lang w:eastAsia="zh-CN"/>
              </w:rPr>
              <w:t>磋商保证金</w:t>
            </w:r>
            <w:r>
              <w:rPr>
                <w:rFonts w:hint="eastAsia" w:ascii="宋体" w:hAnsi="宋体" w:eastAsia="宋体" w:cs="宋体"/>
                <w:bCs/>
                <w:color w:val="auto"/>
                <w:sz w:val="24"/>
                <w:szCs w:val="24"/>
                <w:highlight w:val="none"/>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489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4892" w:type="dxa"/>
            <w:vAlign w:val="center"/>
          </w:tcPr>
          <w:p>
            <w:pPr>
              <w:spacing w:line="240" w:lineRule="auto"/>
              <w:ind w:firstLine="240" w:firstLineChars="100"/>
              <w:jc w:val="center"/>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4892" w:type="dxa"/>
            <w:vAlign w:val="center"/>
          </w:tcPr>
          <w:p>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是否满足</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要求，符合行业标准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服务</w:t>
            </w:r>
            <w:r>
              <w:rPr>
                <w:rFonts w:hint="eastAsia" w:ascii="宋体" w:hAnsi="宋体" w:eastAsia="宋体" w:cs="宋体"/>
                <w:bCs/>
                <w:color w:val="auto"/>
                <w:sz w:val="24"/>
                <w:szCs w:val="24"/>
                <w:highlight w:val="none"/>
              </w:rPr>
              <w:t>周期</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p>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各供应商的最终磋商报价得分按以下公式进行计算：最终磋商报价得分=(评审基准价/评审价)×30%×100</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说明：评审基准价为各供应商的最终最低报价，评审价为各供应商的最终磋商报价。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商务部分（6份）</w:t>
            </w:r>
          </w:p>
        </w:tc>
        <w:tc>
          <w:tcPr>
            <w:tcW w:w="20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提供近三年（2020年1月1日至今）类似业绩合同或中标通知书；每提供一份得3分，最高得6分。</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vMerge w:val="restart"/>
            <w:tcBorders>
              <w:left w:val="single" w:color="auto" w:sz="4" w:space="0"/>
              <w:right w:val="single" w:color="auto" w:sz="4" w:space="0"/>
            </w:tcBorders>
            <w:vAlign w:val="center"/>
          </w:tcPr>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部分</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w:t>
            </w:r>
            <w:r>
              <w:rPr>
                <w:rFonts w:hint="eastAsia" w:ascii="宋体" w:hAnsi="宋体" w:cstheme="minorBidi"/>
                <w:color w:val="auto"/>
                <w:kern w:val="2"/>
                <w:sz w:val="24"/>
                <w:szCs w:val="24"/>
                <w:highlight w:val="none"/>
                <w:lang w:val="en-US" w:eastAsia="zh-CN" w:bidi="ar-SA"/>
              </w:rPr>
              <w:t>34</w:t>
            </w:r>
            <w:r>
              <w:rPr>
                <w:rFonts w:hint="eastAsia" w:ascii="宋体" w:hAnsi="宋体" w:eastAsiaTheme="minorEastAsia" w:cstheme="minorBidi"/>
                <w:color w:val="auto"/>
                <w:kern w:val="2"/>
                <w:sz w:val="24"/>
                <w:szCs w:val="24"/>
                <w:highlight w:val="none"/>
                <w:lang w:val="en-US" w:eastAsia="zh-CN" w:bidi="ar-SA"/>
              </w:rPr>
              <w:t>分)</w:t>
            </w: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技术服务</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1.满足要求，能够保证服务流程简洁高效，能够保证及时的现场或远程技术支持，能够按要求制定、完成技术培训方案，并提供完整准确的技术资料，得6-10分；</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2.基本满足要求，得3-6分；</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3.部分满足或考虑不充分，得0-3分；</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进度安排</w:t>
            </w:r>
          </w:p>
        </w:tc>
        <w:tc>
          <w:tcPr>
            <w:tcW w:w="5016" w:type="dxa"/>
            <w:tcBorders>
              <w:top w:val="single" w:color="000000" w:sz="8" w:space="0"/>
              <w:left w:val="single" w:color="000000" w:sz="8" w:space="0"/>
              <w:bottom w:val="single" w:color="000000" w:sz="8" w:space="0"/>
              <w:right w:val="single" w:color="000000" w:sz="8" w:space="0"/>
            </w:tcBorders>
            <w:vAlign w:val="center"/>
          </w:tcPr>
          <w:p>
            <w:pPr>
              <w:pStyle w:val="29"/>
              <w:numPr>
                <w:ilvl w:val="0"/>
                <w:numId w:val="0"/>
              </w:numPr>
              <w:spacing w:line="24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1.按照文件的要求，进度安排合理，符合程序规定，保证进度落实的风险控制措施有效，得6-10分；</w:t>
            </w:r>
          </w:p>
          <w:p>
            <w:pPr>
              <w:pStyle w:val="29"/>
              <w:numPr>
                <w:ilvl w:val="0"/>
                <w:numId w:val="0"/>
              </w:num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2.基本满足要求，得3-6分；</w:t>
            </w:r>
          </w:p>
          <w:p>
            <w:pPr>
              <w:pStyle w:val="29"/>
              <w:numPr>
                <w:ilvl w:val="0"/>
                <w:numId w:val="0"/>
              </w:num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3.部分满足或考虑不充分，得0-3分；</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服务</w:t>
            </w:r>
            <w:r>
              <w:rPr>
                <w:rFonts w:hint="eastAsia" w:ascii="宋体" w:hAnsi="宋体" w:eastAsiaTheme="minorEastAsia" w:cstheme="minorBidi"/>
                <w:color w:val="auto"/>
                <w:kern w:val="2"/>
                <w:sz w:val="24"/>
                <w:szCs w:val="24"/>
                <w:highlight w:val="none"/>
                <w:lang w:val="en-US" w:eastAsia="zh-CN" w:bidi="ar-SA"/>
              </w:rPr>
              <w:t>方案</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科学合理、措施得当最高得9分，不合理得0分，由评委独立自主赋分。。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9分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2"/>
                <w:sz w:val="24"/>
                <w:szCs w:val="24"/>
                <w:highlight w:val="none"/>
                <w:lang w:val="en-US" w:eastAsia="zh-CN" w:bidi="ar-SA"/>
              </w:rPr>
              <w:t>售后服务方案完善、服务措施具体、能完全响应磋商文件的要求，由评审委员会赋分0-5分。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委员会认定该供应商以低于成本报价竞标，其投标作废标处理。</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无记名投票，得票高者为第一中标候选人。</w:t>
            </w:r>
          </w:p>
          <w:p>
            <w:pPr>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评审过程中，若出现提供相同品牌产品的不同供应商参加同一项下投标的情况，评审委员会依据《政府采购货物和服务招标投标管理办法（财政部</w:t>
            </w:r>
            <w:r>
              <w:rPr>
                <w:rFonts w:hint="eastAsia" w:ascii="宋体" w:hAnsi="宋体" w:eastAsia="宋体" w:cs="宋体"/>
                <w:bCs/>
                <w:color w:val="auto"/>
                <w:sz w:val="24"/>
                <w:szCs w:val="24"/>
                <w:highlight w:val="none"/>
                <w:lang w:val="en-US" w:eastAsia="zh-CN"/>
              </w:rPr>
              <w:t>87号令</w:t>
            </w:r>
            <w:r>
              <w:rPr>
                <w:rFonts w:hint="eastAsia" w:ascii="宋体" w:hAnsi="宋体" w:eastAsia="宋体" w:cs="宋体"/>
                <w:bCs/>
                <w:color w:val="auto"/>
                <w:sz w:val="24"/>
                <w:szCs w:val="24"/>
                <w:highlight w:val="none"/>
                <w:lang w:eastAsia="zh-CN"/>
              </w:rPr>
              <w:t>）》第三十一条的规定“</w:t>
            </w:r>
            <w:r>
              <w:rPr>
                <w:rFonts w:hint="eastAsia" w:ascii="宋体" w:hAnsi="宋体" w:eastAsia="宋体" w:cs="宋体"/>
                <w:bCs/>
                <w:color w:val="auto"/>
                <w:sz w:val="24"/>
                <w:szCs w:val="24"/>
                <w:highlight w:val="none"/>
              </w:rPr>
              <w:t>使用综合评分法的采购项目，提供相同品牌产品且通过资格审查、符合性审查的不同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参加同一合同项下投标的，按一家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计算，评审后得分最高的同品牌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获得中标人推荐资格；评审得分相同的，由采购人或者采购人委托</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规定的方式确定一个</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未规定的采取随机抽取方式确定，其他同品牌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不作为中标候选人。</w:t>
            </w:r>
            <w:r>
              <w:rPr>
                <w:rFonts w:hint="eastAsia" w:ascii="宋体" w:hAnsi="宋体" w:eastAsia="宋体" w:cs="宋体"/>
                <w:bCs/>
                <w:color w:val="auto"/>
                <w:sz w:val="24"/>
                <w:szCs w:val="24"/>
                <w:highlight w:val="none"/>
                <w:lang w:eastAsia="zh-CN"/>
              </w:rPr>
              <w:t>”执行。</w:t>
            </w:r>
          </w:p>
          <w:p>
            <w:pPr>
              <w:spacing w:line="240" w:lineRule="auto"/>
              <w:rPr>
                <w:rFonts w:hint="eastAsia"/>
                <w:color w:val="auto"/>
                <w:lang w:val="en-US"/>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评审过程中，若出现提供相同品牌产品的不同供应商参加同一项下投标，且</w:t>
            </w:r>
            <w:r>
              <w:rPr>
                <w:rFonts w:hint="eastAsia" w:ascii="宋体" w:hAnsi="宋体" w:eastAsia="宋体" w:cs="宋体"/>
                <w:bCs/>
                <w:color w:val="auto"/>
                <w:sz w:val="24"/>
                <w:szCs w:val="24"/>
                <w:highlight w:val="none"/>
              </w:rPr>
              <w:t>评审得分相同的</w:t>
            </w:r>
            <w:r>
              <w:rPr>
                <w:rFonts w:hint="eastAsia" w:ascii="宋体" w:hAnsi="宋体" w:eastAsia="宋体" w:cs="宋体"/>
                <w:bCs/>
                <w:color w:val="auto"/>
                <w:sz w:val="24"/>
                <w:szCs w:val="24"/>
                <w:highlight w:val="none"/>
                <w:lang w:eastAsia="zh-CN"/>
              </w:rPr>
              <w:t>情况时，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采购人不保证报价低者中标，对未中标的供应商不作任何解释。</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中保留小数点后两位，第三位四舍五入。</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.未尽事宜按有关规定执行。</w:t>
            </w:r>
          </w:p>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9..本文</w:t>
            </w:r>
            <w:r>
              <w:rPr>
                <w:rFonts w:hint="eastAsia" w:ascii="宋体" w:hAnsi="宋体" w:eastAsia="宋体" w:cs="宋体"/>
                <w:bCs/>
                <w:color w:val="auto"/>
                <w:sz w:val="24"/>
                <w:szCs w:val="24"/>
                <w:highlight w:val="none"/>
              </w:rPr>
              <w:t>件最终解释权为采购代理机构。</w:t>
            </w:r>
          </w:p>
        </w:tc>
      </w:tr>
    </w:tbl>
    <w:p>
      <w:pPr>
        <w:pStyle w:val="29"/>
        <w:spacing w:line="360" w:lineRule="auto"/>
        <w:ind w:left="0" w:leftChars="0" w:firstLine="0" w:firstLineChars="0"/>
        <w:rPr>
          <w:rFonts w:hint="eastAsia" w:ascii="宋体" w:hAnsi="宋体" w:eastAsia="宋体" w:cs="宋体"/>
          <w:color w:val="auto"/>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w:t>
      </w:r>
      <w:r>
        <w:rPr>
          <w:rFonts w:hint="eastAsia" w:ascii="宋体" w:hAnsi="宋体" w:eastAsia="宋体" w:cs="宋体"/>
          <w:b/>
          <w:color w:val="auto"/>
          <w:sz w:val="24"/>
          <w:szCs w:val="24"/>
          <w:highlight w:val="none"/>
        </w:rPr>
        <w:t>、定标</w:t>
      </w:r>
    </w:p>
    <w:p>
      <w:pPr>
        <w:spacing w:line="360" w:lineRule="auto"/>
        <w:ind w:firstLine="350" w:firstLineChars="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方法的规定对供应商进行评审排序，按评审后综合得分由高到底顺序排列，推荐1～3名中标候选人，作为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结果由全体评委签字确认。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个工作日内将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报告送采购人。采购人在收到</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报告后五个工作日内，按照</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pPr>
        <w:spacing w:line="360" w:lineRule="auto"/>
        <w:ind w:firstLine="360" w:firstLineChars="150"/>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在收到中标通知书后30日内，应按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的要求与采购人洽谈合同条款，并签订供货合同，同时送监督机构备案，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县财政局在合同履行期间以及履行期后，可以随时检查项目的执行情况，对采购标准、采购内容进行调查核实，并对发现的问题进行处理。</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）符合规定的小微企业、监狱企业优惠条件的供应商，价格给予6%的扣除（不重复优惠，最高为6%），用扣除后的价格参与评审。</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（4）投标供应商应如实提供以上证明文件，如存在虚假应标，将取消其投标资格。</w:t>
      </w:r>
    </w:p>
    <w:p>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p>
    <w:p>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w:t>
      </w:r>
      <w:r>
        <w:rPr>
          <w:rFonts w:hint="eastAsia" w:ascii="宋体" w:hAnsi="宋体" w:eastAsia="宋体" w:cs="宋体"/>
          <w:b/>
          <w:bCs/>
          <w:color w:val="auto"/>
          <w:sz w:val="24"/>
          <w:szCs w:val="24"/>
          <w:lang w:val="zh-CN"/>
        </w:rPr>
        <w:t>投标产品政府采购政策</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（1）节能产品根据《国务院办公厅关于建立政府强制采购节能产品制度的通知》（国办发〔２００７〕５１号）的规定，以中国政府采购网（http://www.ccgp.gov.cn/）公布的最新一期节能产品政府采购清单为准。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环境标志产品</w:t>
      </w:r>
      <w:r>
        <w:rPr>
          <w:rFonts w:hint="eastAsia" w:ascii="宋体" w:hAnsi="宋体" w:eastAsia="宋体" w:cs="宋体"/>
          <w:color w:val="auto"/>
          <w:sz w:val="24"/>
          <w:szCs w:val="24"/>
          <w:lang w:val="zh-CN"/>
        </w:rPr>
        <w:t>根据《环境标志产品政府采购实施的意见》</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财库</w:t>
      </w:r>
      <w:r>
        <w:rPr>
          <w:rFonts w:hint="eastAsia" w:ascii="宋体" w:hAnsi="宋体" w:eastAsia="宋体" w:cs="宋体"/>
          <w:color w:val="auto"/>
          <w:sz w:val="24"/>
          <w:szCs w:val="24"/>
        </w:rPr>
        <w:t>[2006]90</w:t>
      </w:r>
      <w:r>
        <w:rPr>
          <w:rFonts w:hint="eastAsia" w:ascii="宋体" w:hAnsi="宋体" w:eastAsia="宋体" w:cs="宋体"/>
          <w:color w:val="auto"/>
          <w:sz w:val="24"/>
          <w:szCs w:val="24"/>
          <w:lang w:val="zh-CN"/>
        </w:rPr>
        <w:t>号</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的规定</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以中国政府采购网</w:t>
      </w:r>
      <w:r>
        <w:rPr>
          <w:rFonts w:hint="eastAsia" w:ascii="宋体" w:hAnsi="宋体" w:eastAsia="宋体" w:cs="宋体"/>
          <w:color w:val="auto"/>
          <w:sz w:val="24"/>
          <w:szCs w:val="24"/>
        </w:rPr>
        <w:t>（http://www.ccgp.gov.cn/）</w:t>
      </w:r>
      <w:r>
        <w:rPr>
          <w:rFonts w:hint="eastAsia" w:ascii="宋体" w:hAnsi="宋体" w:eastAsia="宋体" w:cs="宋体"/>
          <w:color w:val="auto"/>
          <w:sz w:val="24"/>
          <w:szCs w:val="24"/>
          <w:lang w:val="zh-CN"/>
        </w:rPr>
        <w:t>公布的最新一期环境标志产品政府采购清单为准。</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若节</w:t>
      </w:r>
      <w:bookmarkStart w:id="36" w:name="_GoBack"/>
      <w:bookmarkEnd w:id="36"/>
      <w:r>
        <w:rPr>
          <w:rFonts w:hint="eastAsia" w:ascii="宋体" w:hAnsi="宋体" w:eastAsia="宋体" w:cs="宋体"/>
          <w:color w:val="auto"/>
          <w:sz w:val="24"/>
          <w:szCs w:val="24"/>
          <w:lang w:val="zh-CN"/>
        </w:rPr>
        <w:t>能、环保、环境标志清单内的产品仅是构成投标产品的部件、组件或零件的，则该投标产品不享受鼓励优惠政策。</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同一标段的节能、环保、环境标志产品部分计分只对属于清单内的非强制类产品进行计分，强制类产品不给予计分。 </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（6 ）</w:t>
      </w:r>
      <w:r>
        <w:rPr>
          <w:rFonts w:hint="eastAsia" w:ascii="宋体" w:hAnsi="宋体" w:eastAsia="宋体" w:cs="宋体"/>
          <w:color w:val="auto"/>
          <w:sz w:val="24"/>
          <w:szCs w:val="24"/>
          <w:lang w:val="zh-CN"/>
        </w:rPr>
        <w:t>节能、环保、环境标志产品不重复计分；同时列入国家级清单和省级清单的产品不重复计分。 </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获得上述认证的产品在投标时应提供有效证明材料。以上所有证明文件复印件须加盖投标供应商公章并注明“与原件一致”，否则不予计分。</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其它事项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县财政局批准后，重新招标、变更为竞争性谈判的方式组织采购或者废标；</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2、转为竞争性谈判方式相关规定：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委员会自行转为竞争性谈判小组，谈判文件以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为基础，若有重大变动，以书面形式通知参加谈判的全体谈判响应单位；</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谈判过程中采取二次报价的形式，即各供应商的开标报价为第一次报价，谈判后参与竞争性谈判的各单位进行第二次报价或多次报价，如采购需求没有实质性变化，各供应商报价应逐次降低，本次报价超过上次报价为无效报价，出现相同报价的，可再次报价，直至产生唯一最低报价。</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（3）成交单位确定后，成交单位无正当理由拖延或拒签合同的，采购人有权取消其成交资格，并按评审顺序重新确定成交单位。同时报请监督机构予以通报，将其列入不良行为记录名单，并没收其保证金。</w:t>
      </w: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3"/>
        <w:numPr>
          <w:ilvl w:val="0"/>
          <w:numId w:val="5"/>
        </w:numPr>
        <w:jc w:val="center"/>
        <w:rPr>
          <w:rFonts w:hint="eastAsia"/>
          <w:color w:val="auto"/>
          <w:lang w:val="en-US"/>
        </w:rPr>
      </w:pPr>
      <w:r>
        <w:rPr>
          <w:rFonts w:hint="eastAsia"/>
          <w:color w:val="auto"/>
          <w:lang w:val="zh-CN"/>
        </w:rPr>
        <w:t>采购清单</w:t>
      </w:r>
      <w:r>
        <w:rPr>
          <w:rFonts w:hint="eastAsia"/>
          <w:color w:val="auto"/>
          <w:lang w:val="en-US" w:eastAsia="zh-CN"/>
        </w:rPr>
        <w:t>及商务要求</w:t>
      </w:r>
    </w:p>
    <w:p>
      <w:pPr>
        <w:pStyle w:val="29"/>
        <w:rPr>
          <w:rFonts w:hint="eastAsia"/>
          <w:color w:val="auto"/>
          <w:lang w:val="zh-CN"/>
        </w:rPr>
      </w:pPr>
      <w:bookmarkStart w:id="1" w:name="_Toc15743"/>
      <w:bookmarkStart w:id="2" w:name="_Toc255573137"/>
      <w:bookmarkStart w:id="3" w:name="_Toc16998"/>
      <w:bookmarkStart w:id="4" w:name="_Toc27404"/>
      <w:bookmarkStart w:id="5" w:name="_Toc25179"/>
      <w:bookmarkStart w:id="6" w:name="_Toc24816"/>
      <w:bookmarkStart w:id="7" w:name="_Toc30864"/>
      <w:bookmarkStart w:id="8" w:name="_Toc30180"/>
      <w:r>
        <w:rPr>
          <w:rFonts w:hint="eastAsia"/>
          <w:color w:val="auto"/>
          <w:lang w:val="zh-CN" w:eastAsia="zh-CN"/>
        </w:rPr>
        <w:t>吴起县五个乡镇清洁能源取暖监理服务</w:t>
      </w:r>
    </w:p>
    <w:p>
      <w:pPr>
        <w:rPr>
          <w:rFonts w:hint="eastAsia"/>
          <w:color w:val="auto"/>
          <w:lang w:val="zh-CN"/>
        </w:rPr>
      </w:pPr>
    </w:p>
    <w:bookmarkEnd w:id="1"/>
    <w:p>
      <w:pPr>
        <w:rPr>
          <w:rFonts w:hint="eastAsia"/>
          <w:color w:val="auto"/>
          <w:lang w:val="zh-CN" w:eastAsia="zh-CN"/>
        </w:rPr>
      </w:pPr>
      <w:bookmarkStart w:id="9" w:name="_Toc1848"/>
      <w:r>
        <w:rPr>
          <w:rFonts w:hint="eastAsia"/>
          <w:color w:val="auto"/>
          <w:lang w:val="zh-CN" w:eastAsia="zh-CN"/>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lang w:val="zh-CN" w:eastAsia="zh-CN"/>
        </w:rPr>
      </w:pPr>
      <w:r>
        <w:rPr>
          <w:rFonts w:hint="eastAsia"/>
          <w:color w:val="auto"/>
          <w:lang w:val="zh-CN" w:eastAsia="zh-CN"/>
        </w:rPr>
        <w:t>第四章</w:t>
      </w:r>
      <w:r>
        <w:rPr>
          <w:rFonts w:hint="eastAsia"/>
          <w:color w:val="auto"/>
          <w:lang w:val="en-US" w:eastAsia="zh-CN"/>
        </w:rPr>
        <w:t xml:space="preserve">  </w:t>
      </w:r>
      <w:r>
        <w:rPr>
          <w:rFonts w:hint="eastAsia"/>
          <w:color w:val="auto"/>
          <w:lang w:val="zh-CN" w:eastAsia="zh-CN"/>
        </w:rPr>
        <w:t>合同主要条款</w:t>
      </w:r>
      <w:bookmarkEnd w:id="2"/>
      <w:bookmarkEnd w:id="3"/>
      <w:bookmarkEnd w:id="4"/>
      <w:bookmarkEnd w:id="5"/>
      <w:bookmarkEnd w:id="6"/>
      <w:bookmarkEnd w:id="7"/>
      <w:bookmarkEnd w:id="8"/>
      <w:bookmarkEnd w:id="9"/>
    </w:p>
    <w:p>
      <w:pPr>
        <w:tabs>
          <w:tab w:val="left" w:pos="487"/>
        </w:tabs>
        <w:spacing w:line="360" w:lineRule="auto"/>
        <w:jc w:val="center"/>
        <w:rPr>
          <w:rFonts w:hint="eastAsia" w:ascii="宋体" w:hAnsi="宋体" w:eastAsia="宋体" w:cs="宋体"/>
          <w:b w:val="0"/>
          <w:bCs/>
          <w:color w:val="auto"/>
          <w:sz w:val="28"/>
          <w:szCs w:val="28"/>
          <w:highlight w:val="none"/>
          <w:lang w:val="en-US" w:eastAsia="zh-CN"/>
        </w:rPr>
      </w:pPr>
      <w:bookmarkStart w:id="10" w:name="_Toc31452"/>
      <w:bookmarkStart w:id="11" w:name="_Toc5971"/>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仅供参考，以实际签订为准）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采购人（全称）：</w:t>
      </w:r>
      <w:r>
        <w:rPr>
          <w:rFonts w:hint="eastAsia" w:ascii="宋体" w:hAnsi="宋体" w:eastAsia="宋体" w:cs="宋体"/>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（全称）：</w:t>
      </w:r>
      <w:r>
        <w:rPr>
          <w:rFonts w:hint="eastAsia" w:ascii="宋体" w:hAnsi="宋体" w:eastAsia="宋体" w:cs="宋体"/>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法》及其他有关法律、法规，遵循平等、自愿、公平和诚信的原则，双方就下述项目范围与相关服务事项协商一致，订立本合同。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项目名称：</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甲方指定地点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项目规模：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w:t>
      </w:r>
      <w:r>
        <w:rPr>
          <w:rFonts w:hint="eastAsia" w:ascii="宋体" w:hAnsi="宋体" w:eastAsia="宋体" w:cs="宋体"/>
          <w:color w:val="auto"/>
          <w:kern w:val="0"/>
          <w:sz w:val="28"/>
          <w:szCs w:val="28"/>
        </w:rPr>
        <w:t>内容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48" w:firstLineChars="196"/>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服务周</w:t>
      </w:r>
      <w:r>
        <w:rPr>
          <w:rFonts w:hint="eastAsia" w:ascii="宋体" w:hAnsi="宋体" w:eastAsia="宋体" w:cs="宋体"/>
          <w:color w:val="auto"/>
          <w:sz w:val="28"/>
          <w:szCs w:val="28"/>
        </w:rPr>
        <w:t>期：</w:t>
      </w:r>
      <w:r>
        <w:rPr>
          <w:rFonts w:hint="eastAsia" w:ascii="宋体" w:hAnsi="宋体" w:eastAsia="宋体" w:cs="宋体"/>
          <w:color w:val="auto"/>
          <w:sz w:val="28"/>
          <w:szCs w:val="28"/>
          <w:lang w:val="en-US" w:eastAsia="zh-CN"/>
        </w:rPr>
        <w:t>120天</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二、合同价款</w:t>
      </w:r>
    </w:p>
    <w:p>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）合同总价一次性包死，不受市场价格变化因素的影响。</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三、款项结算</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（一）付款：监理完成后，根据财政能力支付。</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（二）履约保证金：签订合同之日起，留合同总价的10%，作为保证金。</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四、质量保证及承诺服务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货物</w:t>
      </w:r>
      <w:r>
        <w:rPr>
          <w:rFonts w:hint="eastAsia" w:ascii="宋体" w:hAnsi="宋体" w:eastAsia="宋体" w:cs="宋体"/>
          <w:color w:val="auto"/>
          <w:sz w:val="28"/>
          <w:szCs w:val="28"/>
        </w:rPr>
        <w:t>科学、可行，人员配置合理，全面满足招标要求。</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（二）符合国家有关设备要求。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（三）供应商提供的方案，若发生侵权而产生的一切后果，由供应商负责。采购人保留索赔权力。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五、技术与服务</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（一）技术资料</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1、提供设备具体措施。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2、其它资料。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（二）服务承诺：以</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、澄清表（函）、合同和随设备的相关文件为准。</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六、验收</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（一）采购人与招标组织机构根据合同要求，组织供应商（必要时可请有关专家）进行验收，验收合格后，填写</w:t>
      </w:r>
      <w:r>
        <w:rPr>
          <w:rFonts w:hint="eastAsia" w:ascii="宋体" w:hAnsi="宋体" w:eastAsia="宋体" w:cs="宋体"/>
          <w:bCs/>
          <w:color w:val="auto"/>
          <w:sz w:val="28"/>
          <w:szCs w:val="28"/>
        </w:rPr>
        <w:t>政府采购项目验收单（一式四份）</w:t>
      </w:r>
      <w:r>
        <w:rPr>
          <w:rFonts w:hint="eastAsia" w:ascii="宋体" w:hAnsi="宋体" w:eastAsia="宋体" w:cs="宋体"/>
          <w:color w:val="auto"/>
          <w:sz w:val="28"/>
          <w:szCs w:val="28"/>
        </w:rPr>
        <w:t>作为对</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的最终认可。</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（二）验收依据</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磋商响应文件</w:t>
      </w:r>
      <w:r>
        <w:rPr>
          <w:rFonts w:hint="eastAsia" w:ascii="宋体" w:hAnsi="宋体" w:eastAsia="宋体" w:cs="宋体"/>
          <w:color w:val="auto"/>
          <w:sz w:val="28"/>
          <w:szCs w:val="28"/>
        </w:rPr>
        <w:t>、澄清表（函）；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2、本合同及附件文本；</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3、国家相应的标准、规范。</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（一）按《合同法》中的相关条款执行。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color w:val="auto"/>
          <w:sz w:val="28"/>
          <w:szCs w:val="28"/>
        </w:rPr>
        <w:t>（二）未按合同要求提供设备或设备质量不能满足合同技术要求，采购人会同招标组织机构有权终止合同和对供应商的违约行为进行追究，同时按《政府采购法》有关处罚条款报监管机构进行相应的处罚。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八、</w:t>
      </w:r>
      <w:r>
        <w:rPr>
          <w:rFonts w:hint="eastAsia" w:ascii="宋体" w:hAnsi="宋体" w:eastAsia="宋体" w:cs="宋体"/>
          <w:color w:val="auto"/>
          <w:sz w:val="28"/>
          <w:szCs w:val="28"/>
        </w:rPr>
        <w:t>合同一式4份，采购人、</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、招标组织机构各执1份，财政局备案1份。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九、</w:t>
      </w:r>
      <w:r>
        <w:rPr>
          <w:rFonts w:hint="eastAsia" w:ascii="宋体" w:hAnsi="宋体" w:eastAsia="宋体" w:cs="宋体"/>
          <w:color w:val="auto"/>
          <w:sz w:val="28"/>
          <w:szCs w:val="28"/>
        </w:rPr>
        <w:t>其他（在合同中具体明确）</w:t>
      </w:r>
    </w:p>
    <w:tbl>
      <w:tblPr>
        <w:tblStyle w:val="22"/>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甲  方</w:t>
            </w:r>
          </w:p>
        </w:tc>
        <w:tc>
          <w:tcPr>
            <w:tcW w:w="4836"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采购人全称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c>
          <w:tcPr>
            <w:tcW w:w="4836"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地址：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pPr>
        <w:pStyle w:val="3"/>
        <w:jc w:val="both"/>
        <w:rPr>
          <w:rFonts w:hint="eastAsia" w:eastAsiaTheme="minorEastAsia"/>
          <w:color w:val="auto"/>
          <w:lang w:val="en-US" w:eastAsia="zh-CN"/>
        </w:rPr>
      </w:pPr>
      <w:bookmarkStart w:id="12" w:name="_Toc20285"/>
      <w:bookmarkStart w:id="13" w:name="_Toc26448"/>
      <w:bookmarkStart w:id="14" w:name="_Toc16673"/>
      <w:bookmarkStart w:id="15" w:name="_Toc7339"/>
      <w:bookmarkStart w:id="16" w:name="_Toc17776"/>
    </w:p>
    <w:p>
      <w:pPr>
        <w:pStyle w:val="3"/>
        <w:jc w:val="both"/>
        <w:rPr>
          <w:rFonts w:hint="eastAsia"/>
          <w:color w:val="auto"/>
          <w:lang w:val="zh-CN"/>
        </w:rPr>
      </w:pPr>
    </w:p>
    <w:p>
      <w:pPr>
        <w:rPr>
          <w:rFonts w:hint="eastAsia"/>
          <w:color w:val="auto"/>
          <w:lang w:val="zh-CN"/>
        </w:rPr>
      </w:pPr>
    </w:p>
    <w:p>
      <w:pPr>
        <w:pStyle w:val="2"/>
        <w:rPr>
          <w:rFonts w:hint="eastAsia"/>
          <w:color w:val="auto"/>
          <w:lang w:val="zh-CN"/>
        </w:rPr>
      </w:pPr>
    </w:p>
    <w:p>
      <w:pPr>
        <w:pStyle w:val="2"/>
        <w:rPr>
          <w:rFonts w:hint="eastAsia"/>
          <w:color w:val="auto"/>
          <w:lang w:val="zh-CN"/>
        </w:rPr>
      </w:pPr>
    </w:p>
    <w:p>
      <w:pPr>
        <w:pStyle w:val="2"/>
        <w:rPr>
          <w:rFonts w:hint="eastAsia"/>
          <w:color w:val="auto"/>
          <w:lang w:val="zh-CN"/>
        </w:rPr>
      </w:pPr>
    </w:p>
    <w:p>
      <w:pPr>
        <w:pStyle w:val="3"/>
        <w:jc w:val="center"/>
        <w:rPr>
          <w:rFonts w:hint="eastAsia"/>
          <w:color w:val="auto"/>
          <w:lang w:val="zh-CN"/>
        </w:rPr>
      </w:pPr>
      <w:r>
        <w:rPr>
          <w:rFonts w:hint="eastAsia"/>
          <w:color w:val="auto"/>
          <w:lang w:val="zh-CN"/>
        </w:rPr>
        <w:t>第五章</w:t>
      </w:r>
      <w:r>
        <w:rPr>
          <w:rFonts w:hint="eastAsia"/>
          <w:color w:val="auto"/>
        </w:rPr>
        <w:t xml:space="preserve">  </w:t>
      </w:r>
      <w:r>
        <w:rPr>
          <w:rFonts w:hint="eastAsia"/>
          <w:color w:val="auto"/>
          <w:lang w:val="zh-CN"/>
        </w:rPr>
        <w:t>磋商响应文件格式</w:t>
      </w:r>
      <w:bookmarkEnd w:id="10"/>
      <w:bookmarkEnd w:id="11"/>
      <w:bookmarkEnd w:id="12"/>
      <w:bookmarkEnd w:id="13"/>
      <w:bookmarkEnd w:id="14"/>
      <w:bookmarkEnd w:id="15"/>
      <w:bookmarkEnd w:id="16"/>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spacing w:line="360" w:lineRule="auto"/>
        <w:outlineLvl w:val="0"/>
        <w:rPr>
          <w:rFonts w:hint="eastAsia" w:ascii="宋体" w:hAnsi="宋体" w:eastAsia="宋体" w:cs="宋体"/>
          <w:b/>
          <w:bCs/>
          <w:color w:val="auto"/>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pStyle w:val="29"/>
        <w:rPr>
          <w:rFonts w:hint="eastAsia" w:eastAsia="宋体"/>
          <w:color w:val="auto"/>
          <w:lang w:eastAsia="zh-CN"/>
        </w:rPr>
      </w:pPr>
    </w:p>
    <w:p>
      <w:pPr>
        <w:pStyle w:val="29"/>
        <w:rPr>
          <w:rFonts w:hint="eastAsia" w:eastAsia="宋体"/>
          <w:color w:val="auto"/>
          <w:lang w:eastAsia="zh-CN"/>
        </w:rPr>
      </w:pPr>
    </w:p>
    <w:p>
      <w:pPr>
        <w:pStyle w:val="29"/>
        <w:ind w:left="0" w:leftChars="0" w:firstLine="0" w:firstLineChars="0"/>
        <w:rPr>
          <w:rFonts w:hint="eastAsia" w:eastAsia="宋体"/>
          <w:color w:val="auto"/>
          <w:lang w:eastAsia="zh-CN"/>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spacing w:line="360" w:lineRule="auto"/>
        <w:ind w:firstLine="6425" w:firstLineChars="200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（正本／副本）</w:t>
      </w:r>
    </w:p>
    <w:p>
      <w:pPr>
        <w:pStyle w:val="29"/>
        <w:ind w:left="0" w:leftChars="0" w:firstLine="0" w:firstLineChars="0"/>
        <w:jc w:val="center"/>
        <w:rPr>
          <w:rFonts w:hint="eastAsia" w:ascii="宋体" w:hAnsi="宋体" w:eastAsia="宋体" w:cs="宋体"/>
          <w:b/>
          <w:bCs/>
          <w:color w:val="auto"/>
          <w:sz w:val="48"/>
          <w:szCs w:val="48"/>
          <w:highlight w:val="none"/>
          <w:lang w:val="en-US" w:eastAsia="zh-CN"/>
        </w:rPr>
      </w:pPr>
    </w:p>
    <w:p>
      <w:pPr>
        <w:spacing w:line="360" w:lineRule="auto"/>
        <w:jc w:val="center"/>
        <w:rPr>
          <w:rFonts w:hint="eastAsia" w:ascii="微软雅黑" w:hAnsi="微软雅黑" w:eastAsia="微软雅黑" w:cs="微软雅黑"/>
          <w:b w:val="0"/>
          <w:bCs/>
          <w:color w:val="auto"/>
          <w:sz w:val="48"/>
          <w:szCs w:val="48"/>
          <w:highlight w:val="none"/>
        </w:rPr>
      </w:pPr>
      <w:r>
        <w:rPr>
          <w:rFonts w:hint="eastAsia" w:ascii="微软雅黑" w:hAnsi="微软雅黑" w:eastAsia="微软雅黑" w:cs="微软雅黑"/>
          <w:b w:val="0"/>
          <w:bCs/>
          <w:color w:val="auto"/>
          <w:sz w:val="48"/>
          <w:szCs w:val="48"/>
          <w:highlight w:val="none"/>
        </w:rPr>
        <w:t>吴起县五个乡镇清洁能源取暖监理服务</w:t>
      </w:r>
    </w:p>
    <w:p>
      <w:pPr>
        <w:spacing w:line="360" w:lineRule="auto"/>
        <w:jc w:val="both"/>
        <w:rPr>
          <w:rFonts w:hint="eastAsia" w:ascii="宋体" w:hAnsi="宋体" w:eastAsia="宋体" w:cs="宋体"/>
          <w:b/>
          <w:bCs w:val="0"/>
          <w:color w:val="auto"/>
          <w:spacing w:val="4"/>
          <w:sz w:val="52"/>
          <w:szCs w:val="52"/>
          <w:highlight w:val="none"/>
          <w:lang w:val="en-US" w:eastAsia="zh-CN"/>
        </w:rPr>
      </w:pPr>
    </w:p>
    <w:p>
      <w:pPr>
        <w:spacing w:line="360" w:lineRule="auto"/>
        <w:jc w:val="center"/>
        <w:rPr>
          <w:rFonts w:hint="eastAsia" w:ascii="宋体" w:hAnsi="宋体" w:eastAsia="宋体" w:cs="宋体"/>
          <w:b/>
          <w:bCs w:val="0"/>
          <w:color w:val="auto"/>
          <w:spacing w:val="4"/>
          <w:sz w:val="52"/>
          <w:szCs w:val="52"/>
          <w:highlight w:val="none"/>
          <w:lang w:val="en-US" w:eastAsia="zh-CN"/>
        </w:rPr>
      </w:pPr>
    </w:p>
    <w:p>
      <w:pPr>
        <w:spacing w:line="360" w:lineRule="auto"/>
        <w:jc w:val="center"/>
        <w:rPr>
          <w:rFonts w:hint="eastAsia" w:ascii="宋体" w:hAnsi="宋体" w:eastAsia="宋体" w:cs="宋体"/>
          <w:b/>
          <w:bCs w:val="0"/>
          <w:color w:val="auto"/>
          <w:spacing w:val="4"/>
          <w:sz w:val="52"/>
          <w:szCs w:val="52"/>
          <w:highlight w:val="none"/>
          <w:lang w:val="en-US" w:eastAsia="zh-CN"/>
        </w:rPr>
      </w:pPr>
      <w:r>
        <w:rPr>
          <w:rFonts w:hint="eastAsia" w:ascii="宋体" w:hAnsi="宋体" w:eastAsia="宋体" w:cs="宋体"/>
          <w:b/>
          <w:bCs w:val="0"/>
          <w:color w:val="auto"/>
          <w:spacing w:val="4"/>
          <w:sz w:val="52"/>
          <w:szCs w:val="52"/>
          <w:highlight w:val="none"/>
          <w:lang w:val="en-US" w:eastAsia="zh-CN"/>
        </w:rPr>
        <w:t>磋商响应文件</w:t>
      </w:r>
    </w:p>
    <w:p>
      <w:pPr>
        <w:spacing w:line="360" w:lineRule="auto"/>
        <w:jc w:val="center"/>
        <w:rPr>
          <w:rFonts w:hint="eastAsia" w:ascii="宋体" w:hAnsi="宋体" w:eastAsia="宋体" w:cs="宋体"/>
          <w:b/>
          <w:color w:val="auto"/>
          <w:spacing w:val="4"/>
          <w:sz w:val="24"/>
          <w:szCs w:val="24"/>
          <w:highlight w:val="none"/>
        </w:rPr>
      </w:pPr>
    </w:p>
    <w:p>
      <w:pPr>
        <w:tabs>
          <w:tab w:val="center" w:pos="4819"/>
          <w:tab w:val="left" w:pos="8100"/>
        </w:tabs>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采购编号:ZXLH-WQ-ZFCG-2023-008</w:t>
      </w:r>
    </w:p>
    <w:p>
      <w:pPr>
        <w:tabs>
          <w:tab w:val="center" w:pos="4819"/>
          <w:tab w:val="left" w:pos="8100"/>
        </w:tabs>
        <w:spacing w:line="360" w:lineRule="auto"/>
        <w:jc w:val="center"/>
        <w:rPr>
          <w:rFonts w:hint="eastAsia" w:ascii="宋体" w:hAnsi="宋体" w:eastAsia="宋体" w:cs="宋体"/>
          <w:b/>
          <w:bCs/>
          <w:color w:val="auto"/>
          <w:sz w:val="32"/>
          <w:szCs w:val="32"/>
          <w:highlight w:val="none"/>
        </w:rPr>
      </w:pPr>
    </w:p>
    <w:p>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pPr>
        <w:spacing w:line="360" w:lineRule="auto"/>
        <w:rPr>
          <w:rFonts w:hint="eastAsia" w:ascii="宋体" w:hAnsi="宋体" w:eastAsia="宋体" w:cs="宋体"/>
          <w:b/>
          <w:bCs/>
          <w:color w:val="auto"/>
          <w:spacing w:val="20"/>
          <w:sz w:val="24"/>
          <w:szCs w:val="24"/>
          <w:highlight w:val="none"/>
        </w:rPr>
      </w:pP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pPr>
        <w:spacing w:line="480" w:lineRule="auto"/>
        <w:ind w:firstLine="177" w:firstLineChars="49"/>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17" w:name="_Toc5551"/>
      <w:bookmarkStart w:id="18" w:name="_Toc28393"/>
      <w:bookmarkStart w:id="19" w:name="_Toc255573139"/>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bookmarkEnd w:id="17"/>
      <w:bookmarkEnd w:id="18"/>
    </w:p>
    <w:p>
      <w:pPr>
        <w:pStyle w:val="33"/>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七、商务偏离表</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八、业绩</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九、供应商主要股东或出资人信息</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pStyle w:val="41"/>
        <w:numPr>
          <w:ilvl w:val="0"/>
          <w:numId w:val="0"/>
        </w:numPr>
        <w:spacing w:line="360" w:lineRule="auto"/>
        <w:ind w:firstLine="480" w:firstLineChars="200"/>
        <w:rPr>
          <w:rFonts w:hint="eastAsia" w:eastAsia="宋体" w:cs="宋体"/>
          <w:b w:val="0"/>
          <w:bCs w:val="0"/>
          <w:color w:val="auto"/>
          <w:sz w:val="24"/>
          <w:szCs w:val="24"/>
          <w:highlight w:val="none"/>
          <w:lang w:val="zh-CN" w:eastAsia="zh-CN"/>
        </w:rPr>
      </w:pPr>
      <w:r>
        <w:rPr>
          <w:rFonts w:hint="eastAsia" w:eastAsia="宋体" w:cs="宋体"/>
          <w:b w:val="0"/>
          <w:bCs w:val="0"/>
          <w:color w:val="auto"/>
          <w:sz w:val="24"/>
          <w:szCs w:val="24"/>
          <w:highlight w:val="none"/>
          <w:lang w:val="en-US" w:eastAsia="zh-CN"/>
        </w:rPr>
        <w:t>一、技术服务</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pPr>
        <w:pStyle w:val="41"/>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pStyle w:val="41"/>
        <w:spacing w:line="360" w:lineRule="auto"/>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pStyle w:val="2"/>
        <w:rPr>
          <w:rFonts w:hint="eastAsia"/>
        </w:rPr>
      </w:pPr>
    </w:p>
    <w:p>
      <w:pPr>
        <w:pStyle w:val="2"/>
        <w:rPr>
          <w:rFonts w:hint="eastAsia"/>
        </w:rPr>
      </w:pPr>
    </w:p>
    <w:p>
      <w:pPr>
        <w:pStyle w:val="33"/>
        <w:spacing w:line="480" w:lineRule="auto"/>
        <w:jc w:val="both"/>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eastAsia="zh-CN"/>
        </w:rPr>
        <w:t>商务部分</w:t>
      </w:r>
      <w:r>
        <w:rPr>
          <w:rFonts w:hint="eastAsia" w:hAnsi="宋体" w:eastAsia="宋体" w:cs="宋体"/>
          <w:b/>
          <w:bCs w:val="0"/>
          <w:color w:val="auto"/>
          <w:sz w:val="32"/>
          <w:szCs w:val="32"/>
          <w:highlight w:val="none"/>
          <w:lang w:val="en-US" w:eastAsia="zh-CN"/>
        </w:rPr>
        <w:t>格式：</w:t>
      </w:r>
    </w:p>
    <w:p>
      <w:pPr>
        <w:pStyle w:val="33"/>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一、法定代表人身份证明书</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pacing w:line="360" w:lineRule="auto"/>
        <w:ind w:firstLine="1267" w:firstLineChars="5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644"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反</w:t>
            </w:r>
            <w:r>
              <w:rPr>
                <w:rFonts w:hint="eastAsia" w:ascii="宋体" w:hAnsi="宋体" w:eastAsia="宋体" w:cs="宋体"/>
                <w:color w:val="auto"/>
                <w:sz w:val="24"/>
              </w:rPr>
              <w:t>面）</w:t>
            </w:r>
          </w:p>
        </w:tc>
      </w:tr>
    </w:tbl>
    <w:p>
      <w:pPr>
        <w:pStyle w:val="29"/>
        <w:spacing w:line="360" w:lineRule="auto"/>
        <w:ind w:left="0" w:leftChars="0" w:firstLine="0" w:firstLineChars="0"/>
        <w:rPr>
          <w:rFonts w:hint="eastAsia" w:ascii="宋体" w:hAnsi="宋体" w:eastAsia="宋体" w:cs="宋体"/>
          <w:color w:val="auto"/>
          <w:lang w:eastAsia="zh-CN"/>
        </w:rPr>
      </w:pPr>
    </w:p>
    <w:p>
      <w:pPr>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none"/>
          <w:lang w:val="zh-CN"/>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（盖章）  </w:t>
      </w:r>
    </w:p>
    <w:p>
      <w:pPr>
        <w:autoSpaceDE w:val="0"/>
        <w:autoSpaceDN w:val="0"/>
        <w:adjustRightInd w:val="0"/>
        <w:spacing w:line="360" w:lineRule="auto"/>
        <w:rPr>
          <w:rFonts w:hint="eastAsia" w:ascii="宋体" w:hAnsi="宋体" w:eastAsia="宋体" w:cs="宋体"/>
          <w:color w:val="auto"/>
          <w:sz w:val="24"/>
          <w:szCs w:val="24"/>
          <w:highlight w:val="none"/>
          <w:u w:val="single"/>
          <w:lang w:val="zh-CN"/>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（签字或盖章）</w:t>
      </w:r>
      <w:r>
        <w:rPr>
          <w:rFonts w:hint="eastAsia" w:ascii="宋体" w:hAnsi="宋体" w:eastAsia="宋体" w:cs="宋体"/>
          <w:color w:val="auto"/>
          <w:sz w:val="24"/>
          <w:szCs w:val="24"/>
          <w:highlight w:val="none"/>
          <w:u w:val="none"/>
          <w:lang w:val="zh-CN"/>
        </w:rPr>
        <w:t xml:space="preserve">  </w:t>
      </w:r>
    </w:p>
    <w:p>
      <w:pPr>
        <w:autoSpaceDE w:val="0"/>
        <w:autoSpaceDN w:val="0"/>
        <w:adjustRightInd w:val="0"/>
        <w:spacing w:line="360" w:lineRule="auto"/>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pPr>
        <w:pStyle w:val="33"/>
        <w:spacing w:line="360" w:lineRule="auto"/>
        <w:jc w:val="both"/>
        <w:rPr>
          <w:rFonts w:hint="eastAsia" w:ascii="宋体" w:hAnsi="宋体" w:eastAsia="宋体" w:cs="宋体"/>
          <w:b w:val="0"/>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二、授权委托书</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为我公司签署本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的法定代表人授权委托代理人，我承认代理人全权代表我所签署的本工程的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的内容。</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其授权期限：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日历天</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附：法定代表人和委托人身份证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扫描件或复印件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20" w:name="_Toc201637983"/>
            <w:bookmarkStart w:id="21" w:name="_Toc214090951"/>
            <w:r>
              <w:rPr>
                <w:rFonts w:hint="eastAsia" w:ascii="宋体" w:hAnsi="宋体" w:eastAsia="宋体" w:cs="宋体"/>
                <w:color w:val="auto"/>
                <w:sz w:val="24"/>
              </w:rPr>
              <w:t>法定代表人身份证复印件</w:t>
            </w:r>
            <w:bookmarkEnd w:id="20"/>
            <w:bookmarkEnd w:id="21"/>
          </w:p>
          <w:p>
            <w:pPr>
              <w:spacing w:line="640" w:lineRule="exact"/>
              <w:ind w:firstLine="480" w:firstLineChars="200"/>
              <w:jc w:val="center"/>
              <w:rPr>
                <w:rFonts w:hint="eastAsia" w:ascii="宋体" w:hAnsi="宋体" w:eastAsia="宋体" w:cs="宋体"/>
                <w:color w:val="auto"/>
                <w:sz w:val="24"/>
              </w:rPr>
            </w:pPr>
            <w:bookmarkStart w:id="22" w:name="_Toc201637984"/>
            <w:bookmarkStart w:id="23" w:name="_Toc214090952"/>
            <w:r>
              <w:rPr>
                <w:rFonts w:hint="eastAsia" w:ascii="宋体" w:hAnsi="宋体" w:eastAsia="宋体" w:cs="宋体"/>
                <w:color w:val="auto"/>
                <w:sz w:val="24"/>
              </w:rPr>
              <w:t>（正面）</w:t>
            </w:r>
            <w:bookmarkEnd w:id="22"/>
            <w:bookmarkEnd w:id="23"/>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24" w:name="_Toc214090953"/>
            <w:bookmarkStart w:id="25" w:name="_Toc201637985"/>
            <w:r>
              <w:rPr>
                <w:rFonts w:hint="eastAsia" w:ascii="宋体" w:hAnsi="宋体" w:eastAsia="宋体" w:cs="宋体"/>
                <w:color w:val="auto"/>
                <w:sz w:val="24"/>
              </w:rPr>
              <w:t>委托代理人身份证复印件</w:t>
            </w:r>
            <w:bookmarkEnd w:id="24"/>
            <w:bookmarkEnd w:id="25"/>
          </w:p>
          <w:p>
            <w:pPr>
              <w:spacing w:line="640" w:lineRule="exact"/>
              <w:ind w:firstLine="480" w:firstLineChars="200"/>
              <w:jc w:val="center"/>
              <w:rPr>
                <w:rFonts w:hint="eastAsia" w:ascii="宋体" w:hAnsi="宋体" w:eastAsia="宋体" w:cs="宋体"/>
                <w:color w:val="auto"/>
                <w:sz w:val="24"/>
              </w:rPr>
            </w:pPr>
            <w:bookmarkStart w:id="26" w:name="_Toc214090954"/>
            <w:bookmarkStart w:id="27" w:name="_Toc201637986"/>
            <w:r>
              <w:rPr>
                <w:rFonts w:hint="eastAsia" w:ascii="宋体" w:hAnsi="宋体" w:eastAsia="宋体" w:cs="宋体"/>
                <w:color w:val="auto"/>
                <w:sz w:val="24"/>
              </w:rPr>
              <w:t>（正面）</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28" w:name="_Toc214090955"/>
            <w:bookmarkStart w:id="29" w:name="_Toc201637987"/>
            <w:r>
              <w:rPr>
                <w:rFonts w:hint="eastAsia" w:ascii="宋体" w:hAnsi="宋体" w:eastAsia="宋体" w:cs="宋体"/>
                <w:color w:val="auto"/>
                <w:sz w:val="24"/>
              </w:rPr>
              <w:t>法定代表人身份证复印件</w:t>
            </w:r>
            <w:bookmarkEnd w:id="28"/>
            <w:bookmarkEnd w:id="29"/>
          </w:p>
          <w:p>
            <w:pPr>
              <w:spacing w:line="640" w:lineRule="exact"/>
              <w:ind w:firstLine="480" w:firstLineChars="200"/>
              <w:jc w:val="center"/>
              <w:rPr>
                <w:rFonts w:hint="eastAsia" w:ascii="宋体" w:hAnsi="宋体" w:eastAsia="宋体" w:cs="宋体"/>
                <w:color w:val="auto"/>
                <w:sz w:val="24"/>
              </w:rPr>
            </w:pPr>
            <w:bookmarkStart w:id="30" w:name="_Toc201637988"/>
            <w:bookmarkStart w:id="31" w:name="_Toc214090956"/>
            <w:r>
              <w:rPr>
                <w:rFonts w:hint="eastAsia" w:ascii="宋体" w:hAnsi="宋体" w:eastAsia="宋体" w:cs="宋体"/>
                <w:color w:val="auto"/>
                <w:sz w:val="24"/>
              </w:rPr>
              <w:t>（反面）</w:t>
            </w:r>
            <w:bookmarkEnd w:id="30"/>
            <w:bookmarkEnd w:id="31"/>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32" w:name="_Toc201637989"/>
            <w:bookmarkStart w:id="33" w:name="_Toc214090957"/>
            <w:r>
              <w:rPr>
                <w:rFonts w:hint="eastAsia" w:ascii="宋体" w:hAnsi="宋体" w:eastAsia="宋体" w:cs="宋体"/>
                <w:color w:val="auto"/>
                <w:sz w:val="24"/>
              </w:rPr>
              <w:t>委托代理人身份证复印件</w:t>
            </w:r>
            <w:bookmarkEnd w:id="32"/>
            <w:bookmarkEnd w:id="33"/>
          </w:p>
          <w:p>
            <w:pPr>
              <w:spacing w:line="640" w:lineRule="exact"/>
              <w:ind w:firstLine="480" w:firstLineChars="200"/>
              <w:jc w:val="center"/>
              <w:rPr>
                <w:rFonts w:hint="eastAsia" w:ascii="宋体" w:hAnsi="宋体" w:eastAsia="宋体" w:cs="宋体"/>
                <w:color w:val="auto"/>
                <w:sz w:val="24"/>
              </w:rPr>
            </w:pPr>
            <w:bookmarkStart w:id="34" w:name="_Toc214090958"/>
            <w:bookmarkStart w:id="35" w:name="_Toc201637990"/>
            <w:r>
              <w:rPr>
                <w:rFonts w:hint="eastAsia" w:ascii="宋体" w:hAnsi="宋体" w:eastAsia="宋体" w:cs="宋体"/>
                <w:color w:val="auto"/>
                <w:sz w:val="24"/>
              </w:rPr>
              <w:t>（反面）</w:t>
            </w:r>
            <w:bookmarkEnd w:id="34"/>
            <w:bookmarkEnd w:id="35"/>
          </w:p>
        </w:tc>
      </w:tr>
    </w:tbl>
    <w:p>
      <w:pPr>
        <w:spacing w:line="360" w:lineRule="auto"/>
        <w:rPr>
          <w:rFonts w:hint="eastAsia" w:ascii="宋体" w:hAnsi="宋体" w:eastAsia="宋体" w:cs="宋体"/>
          <w:color w:val="auto"/>
          <w:sz w:val="24"/>
          <w:szCs w:val="24"/>
          <w:highlight w:val="none"/>
        </w:rPr>
      </w:pPr>
    </w:p>
    <w:p>
      <w:pPr>
        <w:spacing w:line="600" w:lineRule="auto"/>
        <w:ind w:righ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 理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（盖章）</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rPr>
        <w:t xml:space="preserve">  </w:t>
      </w:r>
    </w:p>
    <w:p>
      <w:pPr>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三、投 标 函</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致：陕西省水务供水集团吴起县实业发展有限公司</w:t>
      </w:r>
    </w:p>
    <w:p>
      <w:pPr>
        <w:pStyle w:val="29"/>
        <w:rPr>
          <w:rFonts w:hint="eastAsia"/>
          <w:color w:val="auto"/>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rPr>
        <w:t xml:space="preserve"> 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为全权代表，参加贵方组织</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highlight w:val="none"/>
        </w:rPr>
        <w:t>的投标，为此：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，电子版</w:t>
      </w:r>
      <w:r>
        <w:rPr>
          <w:rFonts w:hint="eastAsia" w:ascii="宋体" w:hAnsi="宋体" w:eastAsia="宋体" w:cs="宋体"/>
          <w:color w:val="auto"/>
          <w:sz w:val="24"/>
          <w:szCs w:val="24"/>
          <w:highlight w:val="none"/>
          <w:lang w:val="en-US" w:eastAsia="zh-CN"/>
        </w:rPr>
        <w:t>3份</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2、我方愿以 (大写)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（含税）</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承包上述所投</w:t>
      </w:r>
      <w:r>
        <w:rPr>
          <w:rFonts w:hint="eastAsia" w:ascii="宋体" w:hAnsi="宋体" w:eastAsia="宋体" w:cs="宋体"/>
          <w:color w:val="auto"/>
          <w:sz w:val="24"/>
          <w:szCs w:val="24"/>
          <w:highlight w:val="none"/>
          <w:lang w:eastAsia="zh-CN"/>
        </w:rPr>
        <w:t>项目磋商文件</w:t>
      </w:r>
      <w:r>
        <w:rPr>
          <w:rFonts w:hint="eastAsia" w:ascii="宋体" w:hAnsi="宋体" w:eastAsia="宋体" w:cs="宋体"/>
          <w:color w:val="auto"/>
          <w:sz w:val="24"/>
          <w:szCs w:val="24"/>
          <w:highlight w:val="none"/>
        </w:rPr>
        <w:t>中规定的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的全部内容，并承担任何质量缺陷保修责任。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3、我方保证上述</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不低于我单位对上述承包的成本价。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4、若我方中标，我保证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（服务周期）</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5、若我方中标，我方保证</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标准</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6、在合同协议书正式签署生效之前，你方的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、中标通知书和本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将构成我们约束双方之间共同遵守的文件，对双方具有约束力。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天</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8、我方愿意向贵方提供任何与该项投标有关的数据、情况和技术资料。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9、我方理解你方不负担我们的任何投标费用，我方不要求你方对未中标原因作任何解释，也不退回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单 位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eastAsia="zh-CN"/>
        </w:rPr>
        <w:t>或</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3"/>
        <w:spacing w:line="360" w:lineRule="auto"/>
        <w:rPr>
          <w:rFonts w:hint="eastAsia" w:ascii="宋体" w:hAnsi="宋体" w:eastAsia="宋体" w:cs="宋体"/>
          <w:color w:val="auto"/>
          <w:sz w:val="24"/>
          <w:szCs w:val="24"/>
          <w:highlight w:val="none"/>
          <w:shd w:val="clear" w:color="auto" w:fill="00B0F0"/>
        </w:rPr>
      </w:pPr>
      <w:r>
        <w:rPr>
          <w:rFonts w:hint="eastAsia" w:ascii="宋体" w:hAnsi="宋体" w:eastAsia="宋体" w:cs="宋体"/>
          <w:b w:val="0"/>
          <w:color w:val="auto"/>
          <w:sz w:val="24"/>
          <w:szCs w:val="24"/>
          <w:highlight w:val="none"/>
        </w:rPr>
        <w:br w:type="page"/>
      </w:r>
      <w:r>
        <w:rPr>
          <w:rFonts w:hint="eastAsia" w:ascii="宋体" w:hAnsi="宋体" w:eastAsia="宋体" w:cs="宋体"/>
          <w:b/>
          <w:bCs w:val="0"/>
          <w:color w:val="auto"/>
          <w:sz w:val="24"/>
          <w:szCs w:val="24"/>
          <w:highlight w:val="none"/>
        </w:rPr>
        <w:t>四、</w:t>
      </w:r>
      <w:r>
        <w:rPr>
          <w:rFonts w:hint="eastAsia" w:ascii="宋体" w:hAnsi="宋体" w:eastAsia="宋体" w:cs="宋体"/>
          <w:color w:val="auto"/>
          <w:sz w:val="24"/>
          <w:szCs w:val="24"/>
          <w:highlight w:val="none"/>
        </w:rPr>
        <w:t>开标一览表（报价表）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99" w:type="dxa"/>
            <w:vAlign w:val="center"/>
          </w:tcPr>
          <w:p>
            <w:pPr>
              <w:kinsoku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磋商报价（含税）</w:t>
            </w: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（保留小数点后两位）</w:t>
            </w:r>
          </w:p>
        </w:tc>
        <w:tc>
          <w:tcPr>
            <w:tcW w:w="6499" w:type="dxa"/>
            <w:vAlign w:val="top"/>
          </w:tcPr>
          <w:p>
            <w:pPr>
              <w:kinsoku w:val="0"/>
              <w:spacing w:line="360" w:lineRule="auto"/>
              <w:rPr>
                <w:rFonts w:hint="eastAsia" w:ascii="宋体" w:hAnsi="宋体" w:eastAsia="宋体" w:cs="宋体"/>
                <w:color w:val="auto"/>
                <w:sz w:val="24"/>
                <w:szCs w:val="24"/>
                <w:highlight w:val="none"/>
              </w:rPr>
            </w:pP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服务周期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和合同主要条款内容</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pPr>
              <w:kinsoku w:val="0"/>
              <w:spacing w:line="360" w:lineRule="auto"/>
              <w:jc w:val="center"/>
              <w:rPr>
                <w:rFonts w:hint="eastAsia" w:ascii="宋体" w:hAnsi="宋体" w:eastAsia="宋体" w:cs="宋体"/>
                <w:bCs/>
                <w:color w:val="auto"/>
                <w:sz w:val="24"/>
                <w:szCs w:val="24"/>
                <w:highlight w:val="none"/>
              </w:rPr>
            </w:pPr>
          </w:p>
          <w:p>
            <w:pPr>
              <w:kinsoku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bl>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
        <w:spacing w:line="360" w:lineRule="auto"/>
        <w:ind w:firstLine="2400" w:firstLineChars="1000"/>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360" w:lineRule="auto"/>
        <w:ind w:firstLine="964" w:firstLineChars="400"/>
        <w:jc w:val="center"/>
        <w:rPr>
          <w:rFonts w:hint="eastAsia" w:ascii="宋体" w:hAnsi="宋体" w:eastAsia="宋体" w:cs="宋体"/>
          <w:b/>
          <w:bCs/>
          <w:color w:val="auto"/>
          <w:sz w:val="24"/>
          <w:szCs w:val="24"/>
          <w:highlight w:val="none"/>
          <w:lang w:eastAsia="zh-CN"/>
        </w:rPr>
      </w:pPr>
    </w:p>
    <w:p>
      <w:pPr>
        <w:spacing w:line="360" w:lineRule="auto"/>
        <w:ind w:firstLine="964" w:firstLineChars="400"/>
        <w:jc w:val="center"/>
        <w:rPr>
          <w:rFonts w:hint="eastAsia" w:ascii="宋体" w:hAnsi="宋体" w:eastAsia="宋体" w:cs="宋体"/>
          <w:b/>
          <w:bCs/>
          <w:color w:val="auto"/>
          <w:sz w:val="24"/>
          <w:szCs w:val="24"/>
          <w:highlight w:val="none"/>
          <w:lang w:eastAsia="zh-CN"/>
        </w:rPr>
      </w:pPr>
    </w:p>
    <w:p>
      <w:pPr>
        <w:spacing w:line="360" w:lineRule="auto"/>
        <w:ind w:firstLine="964" w:firstLineChars="4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五、磋商保证金</w:t>
      </w:r>
      <w:r>
        <w:rPr>
          <w:rFonts w:hint="eastAsia" w:ascii="宋体" w:hAnsi="宋体" w:eastAsia="宋体" w:cs="宋体"/>
          <w:b/>
          <w:bCs/>
          <w:color w:val="auto"/>
          <w:sz w:val="24"/>
          <w:szCs w:val="24"/>
          <w:highlight w:val="none"/>
        </w:rPr>
        <w:t>缴存凭证</w:t>
      </w:r>
      <w:r>
        <w:rPr>
          <w:rFonts w:hint="eastAsia" w:ascii="宋体" w:hAnsi="宋体" w:eastAsia="宋体" w:cs="宋体"/>
          <w:b/>
          <w:bCs/>
          <w:color w:val="auto"/>
          <w:sz w:val="24"/>
          <w:szCs w:val="24"/>
          <w:highlight w:val="none"/>
          <w:lang w:eastAsia="zh-CN"/>
        </w:rPr>
        <w:t>及开户许可证</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打款凭证</w:t>
      </w:r>
      <w:r>
        <w:rPr>
          <w:rFonts w:hint="eastAsia" w:ascii="宋体" w:hAnsi="宋体" w:eastAsia="宋体" w:cs="宋体"/>
          <w:color w:val="auto"/>
          <w:sz w:val="24"/>
          <w:szCs w:val="24"/>
          <w:highlight w:val="none"/>
          <w:lang w:eastAsia="zh-CN"/>
        </w:rPr>
        <w:t>、供应商基本开户许可证</w:t>
      </w:r>
      <w:r>
        <w:rPr>
          <w:rFonts w:hint="eastAsia" w:ascii="宋体" w:hAnsi="宋体" w:eastAsia="宋体" w:cs="宋体"/>
          <w:color w:val="auto"/>
          <w:sz w:val="24"/>
          <w:szCs w:val="24"/>
          <w:highlight w:val="none"/>
          <w:lang w:val="en-US" w:eastAsia="zh-CN"/>
        </w:rPr>
        <w:t>或开户证明</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9"/>
        <w:rPr>
          <w:rFonts w:hint="eastAsia" w:ascii="宋体" w:hAnsi="宋体" w:eastAsia="宋体" w:cs="宋体"/>
          <w:color w:val="auto"/>
        </w:rPr>
      </w:pPr>
    </w:p>
    <w:p>
      <w:pPr>
        <w:spacing w:line="360" w:lineRule="auto"/>
        <w:rPr>
          <w:rFonts w:hint="eastAsia" w:ascii="宋体" w:hAnsi="宋体" w:eastAsia="宋体" w:cs="宋体"/>
          <w:color w:val="auto"/>
          <w:sz w:val="24"/>
          <w:szCs w:val="24"/>
          <w:highlight w:val="none"/>
        </w:rPr>
      </w:pPr>
    </w:p>
    <w:p>
      <w:pPr>
        <w:pStyle w:val="33"/>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 w:val="0"/>
          <w:color w:val="auto"/>
          <w:sz w:val="24"/>
          <w:szCs w:val="24"/>
          <w:highlight w:val="none"/>
        </w:rPr>
        <w:br w:type="page"/>
      </w:r>
      <w:r>
        <w:rPr>
          <w:rFonts w:hint="eastAsia"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、资格证明材料</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44"/>
          <w:position w:val="6"/>
          <w:sz w:val="24"/>
          <w:szCs w:val="24"/>
          <w:highlight w:val="none"/>
        </w:rPr>
        <w:t xml:space="preserve">   供应商基本情况表</w:t>
      </w:r>
    </w:p>
    <w:tbl>
      <w:tblPr>
        <w:tblStyle w:val="2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4205" w:type="dxa"/>
            <w:gridSpan w:val="3"/>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邮箱</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供应商后附：</w:t>
      </w:r>
    </w:p>
    <w:p>
      <w:pPr>
        <w:pStyle w:val="2"/>
        <w:widowControl w:val="0"/>
        <w:numPr>
          <w:ilvl w:val="0"/>
          <w:numId w:val="0"/>
        </w:numPr>
        <w:spacing w:after="120" w:afterLines="0" w:line="480" w:lineRule="auto"/>
        <w:ind w:firstLine="420" w:firstLineChars="200"/>
        <w:jc w:val="both"/>
        <w:rPr>
          <w:rFonts w:hint="eastAsia"/>
          <w:lang w:val="en-US" w:eastAsia="zh-CN"/>
        </w:rPr>
      </w:pPr>
      <w:r>
        <w:rPr>
          <w:rFonts w:hint="eastAsia"/>
          <w:lang w:val="en-US" w:eastAsia="zh-CN"/>
        </w:rPr>
        <w:t>（1）具有独立承担民事责任能力的法人、其他组织或自然人，并出具合法有效的营业执照或事业单位法人证书等国家规定的相关证明，自然人参与的提供其身份证明；</w:t>
      </w:r>
      <w:r>
        <w:rPr>
          <w:rFonts w:hint="eastAsia"/>
          <w:lang w:val="en-US" w:eastAsia="zh-CN"/>
        </w:rPr>
        <w:br w:type="textWrapping"/>
      </w:r>
      <w:r>
        <w:rPr>
          <w:rFonts w:hint="eastAsia"/>
          <w:lang w:val="en-US" w:eastAsia="zh-CN"/>
        </w:rPr>
        <w:t xml:space="preserve">    （2）税收缴纳证明：提供报名日期前六个月内任意一个月的纳税证明或完税证明；</w:t>
      </w:r>
      <w:r>
        <w:rPr>
          <w:rFonts w:hint="eastAsia"/>
          <w:lang w:val="en-US" w:eastAsia="zh-CN"/>
        </w:rPr>
        <w:br w:type="textWrapping"/>
      </w:r>
      <w:r>
        <w:rPr>
          <w:rFonts w:hint="eastAsia"/>
          <w:lang w:val="en-US" w:eastAsia="zh-CN"/>
        </w:rPr>
        <w:t xml:space="preserve">    （3）社会保障资金缴纳证明：提供报名日期前六个月内任意一个月的社会保障资金缴存单据或社保机构开具的社会保险参保缴费情况证明；</w:t>
      </w:r>
      <w:r>
        <w:rPr>
          <w:rFonts w:hint="eastAsia"/>
          <w:lang w:val="en-US" w:eastAsia="zh-CN"/>
        </w:rPr>
        <w:br w:type="textWrapping"/>
      </w:r>
      <w:r>
        <w:rPr>
          <w:rFonts w:hint="eastAsia"/>
          <w:lang w:val="en-US" w:eastAsia="zh-CN"/>
        </w:rPr>
        <w:t xml:space="preserve">    （4）法定代表人参加磋商的，须出具法定代表人身份证明书及身份证复印件。法定代表人授权委托代理人参加磋商的，须出具法定代表人授权委托书及委托代理人身份证复印件；</w:t>
      </w:r>
      <w:r>
        <w:rPr>
          <w:rFonts w:hint="eastAsia"/>
          <w:lang w:val="en-US" w:eastAsia="zh-CN"/>
        </w:rPr>
        <w:br w:type="textWrapping"/>
      </w:r>
      <w:r>
        <w:rPr>
          <w:rFonts w:hint="eastAsia"/>
          <w:lang w:val="en-US" w:eastAsia="zh-CN"/>
        </w:rPr>
        <w:t xml:space="preserve">    （5）提供2021年度财务审计报告或开户银行出具的资信证明；</w:t>
      </w:r>
      <w:r>
        <w:rPr>
          <w:rFonts w:hint="eastAsia"/>
          <w:lang w:val="en-US" w:eastAsia="zh-CN"/>
        </w:rPr>
        <w:br w:type="textWrapping"/>
      </w:r>
      <w:r>
        <w:rPr>
          <w:rFonts w:hint="eastAsia"/>
          <w:lang w:val="en-US" w:eastAsia="zh-CN"/>
        </w:rPr>
        <w:t xml:space="preserve">    （6）供应商须具备市政公用工程监理乙级及以上资质，项目总监须具备市政公用工程专业省及以上监理工程师</w:t>
      </w:r>
      <w:r>
        <w:rPr>
          <w:rFonts w:hint="eastAsia"/>
          <w:lang w:val="en-US" w:eastAsia="zh-CN"/>
        </w:rPr>
        <w:br w:type="textWrapping"/>
      </w:r>
      <w:r>
        <w:rPr>
          <w:rFonts w:hint="eastAsia"/>
          <w:lang w:val="en-US" w:eastAsia="zh-CN"/>
        </w:rPr>
        <w:t xml:space="preserve">    （7）参加本次磋商前3年内，在经营活动中没有重大违法记录的书面声明；</w:t>
      </w:r>
      <w:r>
        <w:rPr>
          <w:rFonts w:hint="eastAsia"/>
          <w:lang w:val="en-US" w:eastAsia="zh-CN"/>
        </w:rPr>
        <w:br w:type="textWrapping"/>
      </w:r>
      <w:r>
        <w:rPr>
          <w:rFonts w:hint="eastAsia"/>
          <w:lang w:val="en-US" w:eastAsia="zh-CN"/>
        </w:rPr>
        <w:t xml:space="preserve">    （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lang w:val="en-US" w:eastAsia="zh-CN"/>
        </w:rPr>
        <w:br w:type="textWrapping"/>
      </w:r>
      <w:r>
        <w:rPr>
          <w:rFonts w:hint="eastAsia"/>
          <w:lang w:val="en-US" w:eastAsia="zh-CN"/>
        </w:rPr>
        <w:t xml:space="preserve">    （9）本项目不接受联合体磋商。</w:t>
      </w: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spacing w:line="360" w:lineRule="auto"/>
        <w:jc w:val="both"/>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3614" w:firstLineChars="15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七、商务偏离表</w:t>
      </w:r>
    </w:p>
    <w:p>
      <w:pPr>
        <w:spacing w:line="360" w:lineRule="auto"/>
        <w:jc w:val="both"/>
        <w:rPr>
          <w:rFonts w:hint="eastAsia" w:ascii="宋体" w:hAnsi="宋体" w:eastAsia="宋体" w:cs="宋体"/>
          <w:b/>
          <w:bCs/>
          <w:color w:val="auto"/>
          <w:sz w:val="24"/>
          <w:szCs w:val="24"/>
          <w:highlight w:val="none"/>
        </w:rPr>
      </w:pP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866"/>
        <w:gridCol w:w="2627"/>
        <w:gridCol w:w="1657"/>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blHeader/>
        </w:trPr>
        <w:tc>
          <w:tcPr>
            <w:tcW w:w="592"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2866"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w:t>
            </w:r>
          </w:p>
        </w:tc>
        <w:tc>
          <w:tcPr>
            <w:tcW w:w="2627"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投标响应</w:t>
            </w:r>
          </w:p>
        </w:tc>
        <w:tc>
          <w:tcPr>
            <w:tcW w:w="1657" w:type="dxa"/>
            <w:vAlign w:val="center"/>
          </w:tcPr>
          <w:p>
            <w:pPr>
              <w:spacing w:beforeLines="20" w:afterLines="20" w:line="240" w:lineRule="exact"/>
              <w:jc w:val="center"/>
              <w:rPr>
                <w:rFonts w:hint="eastAsia" w:ascii="宋体" w:hAnsi="宋体" w:eastAsia="宋体" w:cs="宋体"/>
                <w:sz w:val="28"/>
                <w:szCs w:val="28"/>
              </w:rPr>
            </w:pPr>
            <w:r>
              <w:rPr>
                <w:rFonts w:hint="eastAsia" w:ascii="宋体" w:hAnsi="宋体" w:eastAsia="宋体" w:cs="宋体"/>
                <w:sz w:val="28"/>
                <w:szCs w:val="28"/>
              </w:rPr>
              <w:t>偏离情况</w:t>
            </w:r>
          </w:p>
        </w:tc>
        <w:tc>
          <w:tcPr>
            <w:tcW w:w="1198" w:type="dxa"/>
            <w:vAlign w:val="center"/>
          </w:tcPr>
          <w:p>
            <w:pPr>
              <w:spacing w:beforeLines="20" w:afterLines="20" w:line="240" w:lineRule="exact"/>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numPr>
                <w:ilvl w:val="0"/>
                <w:numId w:val="6"/>
              </w:numPr>
              <w:spacing w:line="300" w:lineRule="exact"/>
              <w:jc w:val="center"/>
              <w:rPr>
                <w:rFonts w:hint="eastAsia" w:ascii="宋体" w:hAnsi="宋体" w:eastAsia="宋体" w:cs="宋体"/>
                <w:sz w:val="28"/>
                <w:szCs w:val="28"/>
              </w:rPr>
            </w:pPr>
          </w:p>
        </w:tc>
        <w:tc>
          <w:tcPr>
            <w:tcW w:w="2866" w:type="dxa"/>
            <w:vAlign w:val="center"/>
          </w:tcPr>
          <w:p>
            <w:pPr>
              <w:spacing w:line="300" w:lineRule="exact"/>
              <w:jc w:val="center"/>
              <w:rPr>
                <w:rFonts w:hint="eastAsia" w:ascii="宋体" w:hAnsi="宋体" w:eastAsia="宋体" w:cs="宋体"/>
                <w:b/>
                <w:sz w:val="28"/>
                <w:szCs w:val="28"/>
              </w:rPr>
            </w:pPr>
          </w:p>
        </w:tc>
        <w:tc>
          <w:tcPr>
            <w:tcW w:w="2627" w:type="dxa"/>
            <w:vAlign w:val="center"/>
          </w:tcPr>
          <w:p>
            <w:pPr>
              <w:spacing w:line="300" w:lineRule="exact"/>
              <w:jc w:val="center"/>
              <w:rPr>
                <w:rFonts w:hint="eastAsia" w:ascii="宋体" w:hAnsi="宋体" w:eastAsia="宋体" w:cs="宋体"/>
                <w:b/>
                <w:sz w:val="28"/>
                <w:szCs w:val="28"/>
              </w:rPr>
            </w:pPr>
          </w:p>
        </w:tc>
        <w:tc>
          <w:tcPr>
            <w:tcW w:w="1657" w:type="dxa"/>
            <w:vAlign w:val="center"/>
          </w:tcPr>
          <w:p>
            <w:pPr>
              <w:widowControl/>
              <w:spacing w:line="300" w:lineRule="exact"/>
              <w:jc w:val="center"/>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bl>
    <w:p>
      <w:pPr>
        <w:spacing w:line="360" w:lineRule="auto"/>
        <w:ind w:firstLine="964" w:firstLineChars="400"/>
        <w:jc w:val="center"/>
        <w:rPr>
          <w:rFonts w:hint="eastAsia" w:ascii="宋体" w:hAnsi="宋体" w:eastAsia="宋体" w:cs="宋体"/>
          <w:b/>
          <w:bCs/>
          <w:color w:val="auto"/>
          <w:sz w:val="24"/>
          <w:szCs w:val="24"/>
          <w:highlight w:val="none"/>
        </w:rPr>
      </w:pPr>
    </w:p>
    <w:p>
      <w:pPr>
        <w:spacing w:line="360" w:lineRule="exact"/>
        <w:jc w:val="left"/>
        <w:rPr>
          <w:rFonts w:hint="eastAsia" w:ascii="宋体" w:hAnsi="宋体" w:eastAsia="宋体" w:cs="宋体"/>
          <w:b w:val="0"/>
          <w:bCs w:val="0"/>
          <w:color w:val="auto"/>
          <w:sz w:val="24"/>
          <w:szCs w:val="24"/>
          <w:lang w:val="zh-CN"/>
        </w:rPr>
      </w:pPr>
      <w:r>
        <w:rPr>
          <w:rFonts w:hint="eastAsia" w:ascii="宋体" w:hAnsi="宋体" w:eastAsia="宋体" w:cs="宋体"/>
          <w:color w:val="auto"/>
          <w:sz w:val="24"/>
          <w:szCs w:val="24"/>
          <w:lang w:val="zh-CN"/>
        </w:rPr>
        <w:t>说</w:t>
      </w:r>
      <w:r>
        <w:rPr>
          <w:rFonts w:hint="eastAsia" w:ascii="宋体" w:hAnsi="宋体" w:eastAsia="宋体" w:cs="宋体"/>
          <w:b w:val="0"/>
          <w:bCs w:val="0"/>
          <w:color w:val="auto"/>
          <w:sz w:val="24"/>
          <w:szCs w:val="24"/>
          <w:lang w:val="zh-CN"/>
        </w:rPr>
        <w:t>明：1.表格中的“《竞争性磋商文件》要求”栏，要按照《竞争性磋商文件》“</w:t>
      </w:r>
      <w:r>
        <w:rPr>
          <w:rFonts w:hint="eastAsia" w:ascii="宋体" w:hAnsi="宋体" w:eastAsia="宋体" w:cs="宋体"/>
          <w:b w:val="0"/>
          <w:bCs w:val="0"/>
          <w:color w:val="auto"/>
          <w:sz w:val="24"/>
          <w:szCs w:val="24"/>
          <w:lang w:val="en-US" w:eastAsia="zh-CN"/>
        </w:rPr>
        <w:t xml:space="preserve">第三章 </w:t>
      </w:r>
      <w:r>
        <w:rPr>
          <w:rFonts w:hint="eastAsia" w:ascii="宋体" w:hAnsi="宋体" w:eastAsia="宋体" w:cs="宋体"/>
          <w:b w:val="0"/>
          <w:bCs w:val="0"/>
          <w:color w:val="auto"/>
          <w:sz w:val="24"/>
          <w:szCs w:val="24"/>
          <w:highlight w:val="none"/>
          <w:lang w:val="zh-CN"/>
        </w:rPr>
        <w:t>采购</w:t>
      </w:r>
      <w:r>
        <w:rPr>
          <w:rFonts w:hint="eastAsia" w:ascii="宋体" w:hAnsi="宋体" w:eastAsia="宋体" w:cs="宋体"/>
          <w:b w:val="0"/>
          <w:bCs w:val="0"/>
          <w:color w:val="auto"/>
          <w:sz w:val="24"/>
          <w:szCs w:val="24"/>
          <w:highlight w:val="none"/>
          <w:lang w:val="en-US" w:eastAsia="zh-CN"/>
        </w:rPr>
        <w:t>清单及商务要求/二、商务要求</w:t>
      </w:r>
      <w:r>
        <w:rPr>
          <w:rFonts w:hint="eastAsia" w:ascii="宋体" w:hAnsi="宋体" w:eastAsia="宋体" w:cs="宋体"/>
          <w:b w:val="0"/>
          <w:bCs w:val="0"/>
          <w:color w:val="auto"/>
          <w:sz w:val="24"/>
          <w:szCs w:val="24"/>
          <w:lang w:val="zh-CN"/>
        </w:rPr>
        <w:t>”中的内容，需逐条按顺序填写，逐条应答。</w:t>
      </w:r>
    </w:p>
    <w:p>
      <w:pPr>
        <w:spacing w:line="360" w:lineRule="exact"/>
        <w:ind w:firstLine="720" w:firstLineChars="3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2.表格中“投标响应”栏，</w:t>
      </w:r>
      <w:r>
        <w:rPr>
          <w:rFonts w:hint="eastAsia" w:ascii="宋体" w:hAnsi="宋体" w:eastAsia="宋体" w:cs="宋体"/>
          <w:b w:val="0"/>
          <w:bCs w:val="0"/>
          <w:color w:val="auto"/>
          <w:sz w:val="24"/>
          <w:szCs w:val="24"/>
          <w:lang w:val="en-US" w:eastAsia="zh-CN"/>
        </w:rPr>
        <w:t>对</w:t>
      </w:r>
      <w:r>
        <w:rPr>
          <w:rFonts w:hint="eastAsia" w:ascii="宋体" w:hAnsi="宋体" w:eastAsia="宋体" w:cs="宋体"/>
          <w:b w:val="0"/>
          <w:bCs w:val="0"/>
          <w:color w:val="auto"/>
          <w:sz w:val="24"/>
          <w:szCs w:val="24"/>
          <w:lang w:val="zh-CN"/>
        </w:rPr>
        <w:t>应</w:t>
      </w:r>
      <w:r>
        <w:rPr>
          <w:rFonts w:hint="eastAsia" w:ascii="宋体" w:hAnsi="宋体" w:eastAsia="宋体" w:cs="宋体"/>
          <w:b w:val="0"/>
          <w:bCs w:val="0"/>
          <w:color w:val="auto"/>
          <w:sz w:val="24"/>
          <w:szCs w:val="24"/>
          <w:lang w:val="en-US" w:eastAsia="zh-CN"/>
        </w:rPr>
        <w:t>商务要求进行响应</w:t>
      </w:r>
      <w:r>
        <w:rPr>
          <w:rFonts w:hint="eastAsia" w:ascii="宋体" w:hAnsi="宋体" w:eastAsia="宋体" w:cs="宋体"/>
          <w:b w:val="0"/>
          <w:bCs w:val="0"/>
          <w:color w:val="auto"/>
          <w:sz w:val="24"/>
          <w:szCs w:val="24"/>
          <w:lang w:val="zh-CN"/>
        </w:rPr>
        <w:t>，“偏离情况”</w:t>
      </w:r>
      <w:r>
        <w:rPr>
          <w:rFonts w:hint="eastAsia" w:ascii="宋体" w:hAnsi="宋体" w:eastAsia="宋体" w:cs="宋体"/>
          <w:b w:val="0"/>
          <w:bCs w:val="0"/>
          <w:color w:val="auto"/>
          <w:sz w:val="24"/>
          <w:szCs w:val="24"/>
          <w:lang w:val="en-US" w:eastAsia="zh-CN"/>
        </w:rPr>
        <w:t>根据响应</w:t>
      </w:r>
      <w:r>
        <w:rPr>
          <w:rFonts w:hint="eastAsia" w:ascii="宋体" w:hAnsi="宋体" w:eastAsia="宋体" w:cs="宋体"/>
          <w:b w:val="0"/>
          <w:bCs w:val="0"/>
          <w:color w:val="auto"/>
          <w:sz w:val="24"/>
          <w:szCs w:val="24"/>
          <w:lang w:val="zh-CN"/>
        </w:rPr>
        <w:t>情况则填“</w:t>
      </w:r>
      <w:r>
        <w:rPr>
          <w:rFonts w:hint="eastAsia" w:ascii="宋体" w:hAnsi="宋体" w:eastAsia="宋体" w:cs="宋体"/>
          <w:b w:val="0"/>
          <w:bCs w:val="0"/>
          <w:color w:val="auto"/>
          <w:sz w:val="24"/>
          <w:szCs w:val="24"/>
          <w:lang w:val="en-US" w:eastAsia="zh-CN"/>
        </w:rPr>
        <w:t>正偏离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负偏离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无偏离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优于商务要求则填正偏离，达到商务要求则填无偏离，未达到商务要求则填负偏离。</w:t>
      </w:r>
    </w:p>
    <w:p>
      <w:pPr>
        <w:spacing w:line="360" w:lineRule="auto"/>
        <w:ind w:firstLine="720" w:firstLineChars="3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.若出现负偏离或对商务要求不响应，则视为不合格供应商。</w:t>
      </w:r>
    </w:p>
    <w:p>
      <w:pPr>
        <w:pStyle w:val="2"/>
        <w:ind w:firstLine="240" w:firstLineChars="100"/>
        <w:rPr>
          <w:rFonts w:hint="eastAsia"/>
        </w:rPr>
      </w:pPr>
      <w:r>
        <w:rPr>
          <w:rFonts w:hint="eastAsia" w:ascii="宋体" w:hAnsi="宋体" w:eastAsia="宋体" w:cs="宋体"/>
          <w:b w:val="0"/>
          <w:bCs w:val="0"/>
          <w:color w:val="auto"/>
          <w:sz w:val="24"/>
          <w:szCs w:val="24"/>
          <w:lang w:val="en-US" w:eastAsia="zh-CN"/>
        </w:rPr>
        <w:t>4.若不填写，则视为无偏离。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964" w:firstLineChars="400"/>
        <w:jc w:val="center"/>
        <w:rPr>
          <w:rFonts w:hint="eastAsia" w:ascii="宋体" w:hAnsi="宋体" w:eastAsia="宋体" w:cs="宋体"/>
          <w:b/>
          <w:bCs/>
          <w:color w:val="auto"/>
          <w:sz w:val="24"/>
          <w:szCs w:val="24"/>
          <w:highlight w:val="none"/>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en-US" w:eastAsia="zh-CN" w:bidi="ar-SA"/>
        </w:rPr>
        <w:t>、业绩</w:t>
      </w:r>
    </w:p>
    <w:p>
      <w:pPr>
        <w:rPr>
          <w:rFonts w:ascii="宋体" w:hAnsi="宋体" w:cs="宋体"/>
          <w:color w:val="auto"/>
          <w:sz w:val="28"/>
          <w:szCs w:val="28"/>
        </w:rPr>
      </w:pPr>
      <w:r>
        <w:rPr>
          <w:rFonts w:hint="eastAsia" w:ascii="宋体" w:hAnsi="宋体" w:cs="宋体"/>
          <w:color w:val="auto"/>
          <w:sz w:val="28"/>
          <w:szCs w:val="28"/>
        </w:rPr>
        <w:t xml:space="preserve">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序号</w:t>
            </w:r>
          </w:p>
        </w:tc>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w:t>
            </w:r>
          </w:p>
          <w:p>
            <w:pPr>
              <w:jc w:val="center"/>
              <w:rPr>
                <w:rFonts w:ascii="宋体" w:hAnsi="宋体"/>
                <w:color w:val="auto"/>
                <w:sz w:val="28"/>
                <w:szCs w:val="28"/>
              </w:rPr>
            </w:pPr>
            <w:r>
              <w:rPr>
                <w:rFonts w:hint="eastAsia" w:ascii="宋体" w:hAnsi="宋体"/>
                <w:color w:val="auto"/>
                <w:sz w:val="28"/>
                <w:szCs w:val="28"/>
              </w:rPr>
              <w:t>名称</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项目</w:t>
            </w:r>
          </w:p>
          <w:p>
            <w:pPr>
              <w:jc w:val="center"/>
              <w:rPr>
                <w:rFonts w:ascii="宋体" w:hAnsi="宋体"/>
                <w:color w:val="auto"/>
                <w:sz w:val="28"/>
                <w:szCs w:val="28"/>
              </w:rPr>
            </w:pPr>
            <w:r>
              <w:rPr>
                <w:rFonts w:hint="eastAsia" w:ascii="宋体" w:hAnsi="宋体"/>
                <w:color w:val="auto"/>
                <w:sz w:val="28"/>
                <w:szCs w:val="28"/>
              </w:rPr>
              <w:t>名称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bl>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sz w:val="24"/>
          <w:szCs w:val="32"/>
          <w:lang w:val="zh-CN"/>
        </w:rPr>
      </w:pPr>
      <w:r>
        <w:rPr>
          <w:rFonts w:hint="eastAsia" w:ascii="宋体" w:hAnsi="宋体" w:eastAsia="宋体" w:cs="宋体"/>
          <w:color w:val="auto"/>
          <w:kern w:val="2"/>
          <w:sz w:val="24"/>
          <w:szCs w:val="24"/>
          <w:highlight w:val="none"/>
          <w:lang w:val="en-US" w:eastAsia="zh-CN" w:bidi="ar-SA"/>
        </w:rPr>
        <w:t>1.供应商需附2020年1月1日至今业绩合同或合同中通知书。按合同有效业绩金额由高到低顺序填报与装订。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2.供应商提供虚假合同的，按虚假投标处理</w:t>
      </w:r>
      <w:r>
        <w:rPr>
          <w:rFonts w:hint="eastAsia" w:ascii="宋体" w:hAnsi="宋体" w:eastAsia="宋体" w:cs="宋体"/>
          <w:color w:val="auto"/>
          <w:kern w:val="2"/>
          <w:sz w:val="24"/>
          <w:szCs w:val="24"/>
          <w:highlight w:val="none"/>
          <w:lang w:val="zh-CN" w:eastAsia="zh-CN" w:bidi="ar-SA"/>
        </w:rPr>
        <w:t>，投标保证金不予退还。</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sz w:val="24"/>
          <w:szCs w:val="32"/>
          <w:lang w:val="zh-CN"/>
        </w:rPr>
      </w:pPr>
    </w:p>
    <w:p>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8"/>
          <w:szCs w:val="28"/>
          <w:u w:val="none"/>
          <w:lang w:val="en-US" w:eastAsia="zh-CN"/>
        </w:rPr>
      </w:pPr>
      <w:r>
        <w:rPr>
          <w:rFonts w:hint="eastAsia" w:ascii="宋体" w:hAnsi="宋体" w:eastAsia="宋体" w:cs="宋体"/>
          <w:sz w:val="28"/>
          <w:szCs w:val="28"/>
        </w:rPr>
        <w:t>供应商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（盖单位公章）</w:t>
      </w:r>
    </w:p>
    <w:p>
      <w:pPr>
        <w:tabs>
          <w:tab w:val="left" w:pos="3614"/>
        </w:tabs>
        <w:spacing w:line="480" w:lineRule="auto"/>
        <w:rPr>
          <w:rFonts w:hint="eastAsia" w:ascii="宋体" w:hAnsi="宋体" w:eastAsia="宋体" w:cs="宋体"/>
          <w:sz w:val="28"/>
          <w:szCs w:val="28"/>
        </w:rPr>
      </w:pPr>
      <w:r>
        <w:rPr>
          <w:rFonts w:hint="eastAsia" w:ascii="宋体" w:hAnsi="宋体" w:eastAsia="宋体" w:cs="宋体"/>
          <w:sz w:val="28"/>
          <w:szCs w:val="28"/>
        </w:rPr>
        <w:t xml:space="preserve">                           </w:t>
      </w:r>
    </w:p>
    <w:p>
      <w:pPr>
        <w:tabs>
          <w:tab w:val="left" w:pos="3614"/>
        </w:tabs>
        <w:spacing w:line="480" w:lineRule="auto"/>
        <w:rPr>
          <w:rFonts w:hint="eastAsia" w:ascii="宋体" w:hAnsi="宋体" w:eastAsia="宋体" w:cs="宋体"/>
          <w:b/>
          <w:bCs/>
          <w:color w:val="auto"/>
          <w:sz w:val="24"/>
          <w:szCs w:val="24"/>
          <w:highlight w:val="none"/>
        </w:rPr>
      </w:pPr>
      <w:r>
        <w:rPr>
          <w:rFonts w:hint="eastAsia" w:ascii="宋体" w:hAnsi="宋体" w:eastAsia="宋体" w:cs="宋体"/>
          <w:sz w:val="28"/>
          <w:szCs w:val="28"/>
        </w:rPr>
        <w:t>法定代表人或授权代表</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签字或盖章）</w:t>
      </w:r>
    </w:p>
    <w:p>
      <w:pPr>
        <w:pStyle w:val="29"/>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8"/>
          <w:szCs w:val="28"/>
          <w:highlight w:val="none"/>
          <w:lang w:eastAsia="zh-CN"/>
        </w:rPr>
        <w:t>日        期：</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月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日</w:t>
      </w:r>
    </w:p>
    <w:p>
      <w:pPr>
        <w:spacing w:line="360" w:lineRule="auto"/>
        <w:ind w:firstLine="964" w:firstLineChars="400"/>
        <w:jc w:val="center"/>
        <w:rPr>
          <w:rFonts w:hint="eastAsia" w:ascii="宋体" w:hAnsi="宋体" w:eastAsia="宋体" w:cs="宋体"/>
          <w:b/>
          <w:bCs/>
          <w:color w:val="auto"/>
          <w:sz w:val="24"/>
          <w:szCs w:val="24"/>
          <w:highlight w:val="none"/>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九、供应商主要股东或出资人信息</w:t>
      </w:r>
    </w:p>
    <w:tbl>
      <w:tblPr>
        <w:tblStyle w:val="2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8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3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统一社会信用代码</w:t>
            </w:r>
          </w:p>
          <w:p>
            <w:pPr>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140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出资方式</w:t>
            </w:r>
          </w:p>
        </w:tc>
        <w:tc>
          <w:tcPr>
            <w:tcW w:w="14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出资金额</w:t>
            </w:r>
          </w:p>
          <w:p>
            <w:pPr>
              <w:jc w:val="center"/>
              <w:rPr>
                <w:rFonts w:hint="eastAsia" w:ascii="宋体" w:hAnsi="宋体" w:eastAsia="宋体" w:cs="宋体"/>
                <w:sz w:val="24"/>
                <w:szCs w:val="24"/>
              </w:rPr>
            </w:pPr>
            <w:r>
              <w:rPr>
                <w:rFonts w:hint="eastAsia" w:ascii="宋体" w:hAnsi="宋体" w:eastAsia="宋体" w:cs="宋体"/>
                <w:sz w:val="24"/>
                <w:szCs w:val="24"/>
              </w:rPr>
              <w:t>（万元）</w:t>
            </w:r>
          </w:p>
        </w:tc>
        <w:tc>
          <w:tcPr>
            <w:tcW w:w="131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占全部股份比例</w:t>
            </w:r>
          </w:p>
        </w:tc>
        <w:tc>
          <w:tcPr>
            <w:tcW w:w="9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bl>
    <w:p>
      <w:pPr>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我方承诺，以上信息真实可靠；如填报的股东出资额、出资比例等与实际不符，视为提供虚假资料。</w:t>
      </w:r>
    </w:p>
    <w:p>
      <w:pPr>
        <w:snapToGrid w:val="0"/>
        <w:ind w:firstLine="482" w:firstLineChars="200"/>
        <w:rPr>
          <w:rFonts w:hint="eastAsia" w:ascii="宋体" w:hAnsi="宋体" w:eastAsia="宋体" w:cs="宋体"/>
          <w:b/>
          <w:bCs/>
          <w:color w:val="auto"/>
          <w:sz w:val="24"/>
          <w:szCs w:val="24"/>
        </w:rPr>
      </w:pP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numPr>
          <w:ilvl w:val="3"/>
          <w:numId w:val="7"/>
        </w:numPr>
        <w:snapToGrid w:val="0"/>
        <w:ind w:left="918" w:leftChars="300" w:hanging="288" w:hangingChars="120"/>
        <w:rPr>
          <w:rFonts w:hint="eastAsia" w:ascii="宋体" w:hAnsi="宋体" w:eastAsia="宋体" w:cs="宋体"/>
          <w:sz w:val="24"/>
          <w:szCs w:val="24"/>
        </w:rPr>
      </w:pPr>
      <w:r>
        <w:rPr>
          <w:rFonts w:hint="eastAsia" w:ascii="宋体" w:hAnsi="宋体" w:eastAsia="宋体" w:cs="宋体"/>
          <w:sz w:val="24"/>
          <w:szCs w:val="24"/>
        </w:rPr>
        <w:t>主要股东或出资人为法人的，填写法人全称及统一社会信用代码（尚未办理三证合一的填写组织机构代码）；为自然人的，填写自然人姓名和身份证号。</w:t>
      </w:r>
    </w:p>
    <w:p>
      <w:pPr>
        <w:numPr>
          <w:ilvl w:val="3"/>
          <w:numId w:val="7"/>
        </w:numPr>
        <w:snapToGrid w:val="0"/>
        <w:ind w:left="918" w:leftChars="300" w:hanging="288" w:hangingChars="120"/>
        <w:rPr>
          <w:rFonts w:hint="eastAsia" w:ascii="宋体" w:hAnsi="宋体" w:eastAsia="宋体" w:cs="宋体"/>
          <w:sz w:val="24"/>
          <w:szCs w:val="24"/>
        </w:rPr>
      </w:pPr>
      <w:r>
        <w:rPr>
          <w:rFonts w:hint="eastAsia" w:ascii="宋体" w:hAnsi="宋体" w:eastAsia="宋体" w:cs="宋体"/>
          <w:sz w:val="24"/>
          <w:szCs w:val="24"/>
        </w:rPr>
        <w:t>出资方式填写货币、实物、工艺产权和非专利技术、土地使用权等。</w:t>
      </w:r>
    </w:p>
    <w:p>
      <w:pPr>
        <w:numPr>
          <w:ilvl w:val="3"/>
          <w:numId w:val="7"/>
        </w:numPr>
        <w:snapToGrid w:val="0"/>
        <w:ind w:left="918" w:leftChars="300" w:hanging="288" w:hangingChars="120"/>
        <w:rPr>
          <w:rFonts w:hint="eastAsia" w:ascii="宋体" w:hAnsi="宋体" w:eastAsia="宋体" w:cs="宋体"/>
          <w:sz w:val="28"/>
          <w:szCs w:val="28"/>
        </w:rPr>
      </w:pPr>
      <w:r>
        <w:rPr>
          <w:rFonts w:hint="eastAsia" w:ascii="宋体" w:hAnsi="宋体" w:eastAsia="宋体" w:cs="宋体"/>
          <w:sz w:val="24"/>
          <w:szCs w:val="24"/>
          <w:lang w:eastAsia="zh-CN"/>
        </w:rPr>
        <w:t>供应商</w:t>
      </w:r>
      <w:r>
        <w:rPr>
          <w:rFonts w:hint="eastAsia" w:ascii="宋体" w:hAnsi="宋体" w:eastAsia="宋体" w:cs="宋体"/>
          <w:sz w:val="24"/>
          <w:szCs w:val="24"/>
        </w:rPr>
        <w:t>应按照占全部股份比例从大到小依次逐个股东填写，股东数量多于10个的，填写前10名，不足10个的全部填写。</w:t>
      </w:r>
    </w:p>
    <w:p>
      <w:pPr>
        <w:pStyle w:val="29"/>
        <w:spacing w:line="360" w:lineRule="auto"/>
        <w:ind w:left="0" w:leftChars="0" w:firstLine="0" w:firstLineChars="0"/>
        <w:jc w:val="center"/>
        <w:rPr>
          <w:rFonts w:hint="eastAsia" w:ascii="宋体" w:hAnsi="宋体" w:eastAsia="宋体" w:cs="宋体"/>
          <w:b/>
          <w:bCs/>
          <w:sz w:val="28"/>
          <w:szCs w:val="28"/>
          <w:lang w:val="zh-CN"/>
        </w:rPr>
      </w:pPr>
    </w:p>
    <w:p>
      <w:pPr>
        <w:pStyle w:val="29"/>
        <w:spacing w:line="360" w:lineRule="auto"/>
        <w:ind w:left="0" w:leftChars="0" w:firstLine="0" w:firstLineChars="0"/>
        <w:jc w:val="center"/>
        <w:rPr>
          <w:rFonts w:hint="eastAsia" w:ascii="宋体" w:hAnsi="宋体" w:eastAsia="宋体" w:cs="宋体"/>
          <w:b/>
          <w:bCs/>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en-US" w:eastAsia="zh-CN"/>
        </w:rPr>
        <w:t>十</w:t>
      </w:r>
      <w:r>
        <w:rPr>
          <w:rFonts w:hint="eastAsia" w:ascii="宋体" w:hAnsi="宋体" w:eastAsia="宋体" w:cs="宋体"/>
          <w:b/>
          <w:bCs/>
          <w:color w:val="auto"/>
          <w:sz w:val="24"/>
          <w:szCs w:val="32"/>
          <w:lang w:val="zh-CN"/>
        </w:rPr>
        <w:t>、其他</w:t>
      </w:r>
    </w:p>
    <w:p>
      <w:pPr>
        <w:pStyle w:val="29"/>
        <w:shd w:val="clear" w:color="auto" w:fill="auto"/>
        <w:spacing w:line="600" w:lineRule="auto"/>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供应商认为需要提供的其他资料。</w:t>
      </w: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spacing w:line="360" w:lineRule="auto"/>
        <w:jc w:val="both"/>
        <w:rPr>
          <w:rFonts w:hint="eastAsia" w:eastAsia="宋体" w:cs="宋体"/>
          <w:color w:val="auto"/>
          <w:sz w:val="24"/>
          <w:szCs w:val="24"/>
          <w:highlight w:val="none"/>
          <w:lang w:val="zh-CN"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技术部分：</w:t>
      </w:r>
      <w:r>
        <w:rPr>
          <w:rFonts w:hint="eastAsia" w:ascii="宋体" w:hAnsi="宋体" w:eastAsia="宋体" w:cs="宋体"/>
          <w:b/>
          <w:bCs/>
          <w:color w:val="auto"/>
          <w:sz w:val="28"/>
          <w:szCs w:val="28"/>
          <w:highlight w:val="none"/>
          <w:lang w:val="en-US" w:eastAsia="zh-CN"/>
        </w:rPr>
        <w:t>格式</w:t>
      </w:r>
    </w:p>
    <w:p>
      <w:pPr>
        <w:pStyle w:val="41"/>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b w:val="0"/>
          <w:bCs w:val="0"/>
          <w:color w:val="auto"/>
          <w:sz w:val="24"/>
          <w:szCs w:val="24"/>
          <w:highlight w:val="none"/>
          <w:lang w:val="zh-CN" w:eastAsia="zh-CN"/>
        </w:rPr>
        <w:t>一、技术服务</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pPr>
        <w:pStyle w:val="41"/>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tabs>
          <w:tab w:val="left" w:pos="5412"/>
        </w:tabs>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spacing w:line="360" w:lineRule="auto"/>
        <w:rPr>
          <w:rFonts w:hint="eastAsia" w:ascii="宋体" w:hAnsi="宋体" w:eastAsia="宋体" w:cs="宋体"/>
          <w:b/>
          <w:bCs/>
          <w:color w:val="auto"/>
          <w:spacing w:val="20"/>
          <w:sz w:val="24"/>
          <w:szCs w:val="24"/>
          <w:highlight w:val="none"/>
        </w:rPr>
      </w:pPr>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bookmarkEnd w:id="19"/>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格式：二次磋商报价表</w:t>
      </w:r>
    </w:p>
    <w:tbl>
      <w:tblPr>
        <w:tblStyle w:val="22"/>
        <w:tblW w:w="9420" w:type="dxa"/>
        <w:tblInd w:w="0" w:type="dxa"/>
        <w:shd w:val="clear" w:color="auto" w:fill="auto"/>
        <w:tblLayout w:type="fixed"/>
        <w:tblCellMar>
          <w:top w:w="0" w:type="dxa"/>
          <w:left w:w="0" w:type="dxa"/>
          <w:bottom w:w="0" w:type="dxa"/>
          <w:right w:w="0" w:type="dxa"/>
        </w:tblCellMar>
      </w:tblPr>
      <w:tblGrid>
        <w:gridCol w:w="2941"/>
        <w:gridCol w:w="2224"/>
        <w:gridCol w:w="4255"/>
      </w:tblGrid>
      <w:tr>
        <w:tblPrEx>
          <w:shd w:val="clear" w:color="auto" w:fill="auto"/>
          <w:tblCellMar>
            <w:top w:w="0" w:type="dxa"/>
            <w:left w:w="0" w:type="dxa"/>
            <w:bottom w:w="0" w:type="dxa"/>
            <w:right w:w="0" w:type="dxa"/>
          </w:tblCellMar>
        </w:tblPrEx>
        <w:trPr>
          <w:trHeight w:val="649" w:hRule="atLeast"/>
        </w:trPr>
        <w:tc>
          <w:tcPr>
            <w:tcW w:w="9420"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二次磋商报价表</w:t>
            </w:r>
          </w:p>
        </w:tc>
      </w:tr>
      <w:tr>
        <w:tblPrEx>
          <w:shd w:val="clear" w:color="auto" w:fill="auto"/>
          <w:tblCellMar>
            <w:top w:w="0" w:type="dxa"/>
            <w:left w:w="0" w:type="dxa"/>
            <w:bottom w:w="0" w:type="dxa"/>
            <w:right w:w="0" w:type="dxa"/>
          </w:tblCellMar>
        </w:tblPrEx>
        <w:trPr>
          <w:trHeight w:val="769"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731"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磋商地点：</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565"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w:t>
            </w:r>
            <w:r>
              <w:rPr>
                <w:rFonts w:hint="eastAsia" w:ascii="宋体" w:hAnsi="宋体" w:eastAsia="宋体" w:cs="宋体"/>
                <w:i w:val="0"/>
                <w:color w:val="auto"/>
                <w:kern w:val="0"/>
                <w:sz w:val="24"/>
                <w:szCs w:val="24"/>
                <w:highlight w:val="none"/>
                <w:u w:val="none"/>
                <w:shd w:val="clear"/>
                <w:lang w:val="en-US" w:eastAsia="zh-CN" w:bidi="ar"/>
              </w:rPr>
              <w:t>时间：</w:t>
            </w:r>
            <w:r>
              <w:rPr>
                <w:rFonts w:hint="eastAsia" w:ascii="宋体" w:hAnsi="宋体" w:eastAsia="宋体" w:cs="宋体"/>
                <w:i w:val="0"/>
                <w:color w:val="auto"/>
                <w:kern w:val="0"/>
                <w:sz w:val="24"/>
                <w:szCs w:val="24"/>
                <w:highlight w:val="none"/>
                <w:u w:val="single"/>
                <w:shd w:val="clear"/>
                <w:lang w:val="en-US" w:eastAsia="zh-CN" w:bidi="ar"/>
              </w:rPr>
              <w:t xml:space="preserve">                                       </w:t>
            </w:r>
          </w:p>
        </w:tc>
      </w:tr>
      <w:tr>
        <w:tblPrEx>
          <w:shd w:val="clear" w:color="auto" w:fill="auto"/>
          <w:tblCellMar>
            <w:top w:w="0" w:type="dxa"/>
            <w:left w:w="0" w:type="dxa"/>
            <w:bottom w:w="0" w:type="dxa"/>
            <w:right w:w="0" w:type="dxa"/>
          </w:tblCellMar>
        </w:tblPrEx>
        <w:trPr>
          <w:trHeight w:val="936" w:hRule="atLeast"/>
        </w:trPr>
        <w:tc>
          <w:tcPr>
            <w:tcW w:w="9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供应商</w:t>
            </w:r>
            <w:r>
              <w:rPr>
                <w:rFonts w:hint="eastAsia" w:ascii="宋体" w:hAnsi="宋体" w:eastAsia="宋体" w:cs="宋体"/>
                <w:b/>
                <w:i w:val="0"/>
                <w:color w:val="000000"/>
                <w:sz w:val="24"/>
                <w:szCs w:val="24"/>
                <w:u w:val="none"/>
                <w:lang w:eastAsia="zh-CN"/>
              </w:rPr>
              <w:t>名称：</w:t>
            </w:r>
            <w:r>
              <w:rPr>
                <w:rFonts w:hint="eastAsia" w:ascii="宋体" w:hAnsi="宋体" w:eastAsia="宋体" w:cs="宋体"/>
                <w:b/>
                <w:i w:val="0"/>
                <w:color w:val="000000"/>
                <w:sz w:val="24"/>
                <w:szCs w:val="24"/>
                <w:u w:val="single"/>
                <w:lang w:val="en-US" w:eastAsia="zh-CN"/>
              </w:rPr>
              <w:t xml:space="preserve">                                     </w:t>
            </w:r>
          </w:p>
        </w:tc>
      </w:tr>
      <w:tr>
        <w:tblPrEx>
          <w:shd w:val="clear" w:color="auto" w:fill="auto"/>
          <w:tblCellMar>
            <w:top w:w="0" w:type="dxa"/>
            <w:left w:w="0" w:type="dxa"/>
            <w:bottom w:w="0" w:type="dxa"/>
            <w:right w:w="0" w:type="dxa"/>
          </w:tblCellMar>
        </w:tblPrEx>
        <w:trPr>
          <w:trHeight w:val="1148"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项目名称：</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205" w:hanging="1205" w:hangingChars="500"/>
              <w:jc w:val="left"/>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1163" w:hRule="atLeast"/>
        </w:trPr>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二次报价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人民币小写(元)：</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1151" w:hRule="atLeast"/>
        </w:trPr>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人民币大写：</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944"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是否最终报价</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  □           否  □</w:t>
            </w:r>
          </w:p>
        </w:tc>
      </w:tr>
      <w:tr>
        <w:tblPrEx>
          <w:shd w:val="clear" w:color="auto" w:fill="auto"/>
          <w:tblCellMar>
            <w:top w:w="0" w:type="dxa"/>
            <w:left w:w="0" w:type="dxa"/>
            <w:bottom w:w="0" w:type="dxa"/>
            <w:right w:w="0" w:type="dxa"/>
          </w:tblCellMar>
        </w:tblPrEx>
        <w:trPr>
          <w:trHeight w:val="786"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服务周期</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质量标准</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11"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供应商签字</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97"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备注</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bCs/>
          <w:i w:val="0"/>
          <w:caps w:val="0"/>
          <w:color w:val="auto"/>
          <w:spacing w:val="0"/>
          <w:sz w:val="28"/>
          <w:szCs w:val="28"/>
          <w:shd w:val="clear" w:color="auto" w:fill="FFFFFF"/>
          <w:lang w:val="en-US" w:eastAsia="zh-CN"/>
        </w:rPr>
        <w:t>（注：供应商打印若干张并盖公章，现场进行二次磋商报价）</w:t>
      </w:r>
    </w:p>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仿宋_GB2312"/>
        <w:sz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ascii="黑体" w:hAnsi="黑体" w:eastAsia="黑体"/>
        <w:b/>
        <w:bCs/>
        <w:color w:val="FF0000"/>
        <w:sz w:val="21"/>
        <w:szCs w:val="21"/>
        <w:u w:val="none" w:color="auto"/>
        <w:lang w:val="en-US" w:eastAsia="zh-CN"/>
      </w:rPr>
      <w:t xml:space="preserve"> </w:t>
    </w:r>
    <w:r>
      <w:rPr>
        <w:rFonts w:hint="eastAsia" w:ascii="黑体" w:hAnsi="黑体" w:eastAsia="黑体"/>
        <w:b/>
        <w:bCs/>
        <w:sz w:val="21"/>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62C0905"/>
    <w:multiLevelType w:val="multilevel"/>
    <w:tmpl w:val="062C0905"/>
    <w:lvl w:ilvl="0" w:tentative="0">
      <w:start w:val="1"/>
      <w:numFmt w:val="decimal"/>
      <w:suff w:val="nothing"/>
      <w:lvlText w:val="%1. "/>
      <w:lvlJc w:val="left"/>
      <w:pPr>
        <w:ind w:left="456" w:firstLine="0"/>
      </w:pPr>
      <w:rPr>
        <w:rFonts w:hint="default" w:ascii="Times New Roman" w:hAnsi="Times New Roman" w:cs="Times New Roman"/>
        <w:b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suff w:val="nothing"/>
      <w:lvlText w:val="%4. "/>
      <w:lvlJc w:val="left"/>
      <w:pPr>
        <w:ind w:left="2195"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3B6C7C"/>
    <w:multiLevelType w:val="singleLevel"/>
    <w:tmpl w:val="593B6C7C"/>
    <w:lvl w:ilvl="0" w:tentative="0">
      <w:start w:val="2"/>
      <w:numFmt w:val="decimal"/>
      <w:suff w:val="nothing"/>
      <w:lvlText w:val="%1、"/>
      <w:lvlJc w:val="left"/>
      <w:rPr>
        <w:color w:val="000000"/>
      </w:rPr>
    </w:lvl>
  </w:abstractNum>
  <w:abstractNum w:abstractNumId="3">
    <w:nsid w:val="599FEFCE"/>
    <w:multiLevelType w:val="singleLevel"/>
    <w:tmpl w:val="599FEFCE"/>
    <w:lvl w:ilvl="0" w:tentative="0">
      <w:start w:val="5"/>
      <w:numFmt w:val="decimal"/>
      <w:suff w:val="nothing"/>
      <w:lvlText w:val="%1）"/>
      <w:lvlJc w:val="left"/>
    </w:lvl>
  </w:abstractNum>
  <w:abstractNum w:abstractNumId="4">
    <w:nsid w:val="59DC6235"/>
    <w:multiLevelType w:val="singleLevel"/>
    <w:tmpl w:val="59DC6235"/>
    <w:lvl w:ilvl="0" w:tentative="0">
      <w:start w:val="1"/>
      <w:numFmt w:val="decimal"/>
      <w:suff w:val="nothing"/>
      <w:lvlText w:val="%1、"/>
      <w:lvlJc w:val="left"/>
    </w:lvl>
  </w:abstractNum>
  <w:abstractNum w:abstractNumId="5">
    <w:nsid w:val="71B9093F"/>
    <w:multiLevelType w:val="multilevel"/>
    <w:tmpl w:val="71B9093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28FA98"/>
    <w:multiLevelType w:val="singleLevel"/>
    <w:tmpl w:val="7D28FA98"/>
    <w:lvl w:ilvl="0" w:tentative="0">
      <w:start w:val="3"/>
      <w:numFmt w:val="chineseCounting"/>
      <w:suff w:val="space"/>
      <w:lvlText w:val="第%1章"/>
      <w:lvlJc w:val="left"/>
      <w:rPr>
        <w:rFonts w:hint="eastAsia"/>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YxZWNjNDNhYWQzZTRjNDc3OTU3MjVkZjczMWEifQ=="/>
    <w:docVar w:name="KSO_WPS_MARK_KEY" w:val="384e6231-588e-460b-b9e7-4751ed959ac5"/>
  </w:docVars>
  <w:rsids>
    <w:rsidRoot w:val="17502146"/>
    <w:rsid w:val="00295B55"/>
    <w:rsid w:val="002F4DDD"/>
    <w:rsid w:val="00301781"/>
    <w:rsid w:val="00440E18"/>
    <w:rsid w:val="005B1A19"/>
    <w:rsid w:val="0064511B"/>
    <w:rsid w:val="006943BD"/>
    <w:rsid w:val="00714CAF"/>
    <w:rsid w:val="008324D6"/>
    <w:rsid w:val="008B5D31"/>
    <w:rsid w:val="008F1208"/>
    <w:rsid w:val="009B558A"/>
    <w:rsid w:val="00BD7AEE"/>
    <w:rsid w:val="00CA3410"/>
    <w:rsid w:val="00E86C78"/>
    <w:rsid w:val="01281239"/>
    <w:rsid w:val="01446E2A"/>
    <w:rsid w:val="017C4707"/>
    <w:rsid w:val="01971931"/>
    <w:rsid w:val="01A11DED"/>
    <w:rsid w:val="01A15D8F"/>
    <w:rsid w:val="01BA560D"/>
    <w:rsid w:val="01C41175"/>
    <w:rsid w:val="01E46C4E"/>
    <w:rsid w:val="01E91065"/>
    <w:rsid w:val="01F25CBE"/>
    <w:rsid w:val="01F30554"/>
    <w:rsid w:val="01F53CDE"/>
    <w:rsid w:val="020359AB"/>
    <w:rsid w:val="020A2804"/>
    <w:rsid w:val="02126C2D"/>
    <w:rsid w:val="02167002"/>
    <w:rsid w:val="02205B16"/>
    <w:rsid w:val="023A296D"/>
    <w:rsid w:val="024437B7"/>
    <w:rsid w:val="02620434"/>
    <w:rsid w:val="028D7FBB"/>
    <w:rsid w:val="02943915"/>
    <w:rsid w:val="02BB1F91"/>
    <w:rsid w:val="02BE1EA1"/>
    <w:rsid w:val="02BF7104"/>
    <w:rsid w:val="02C50A5F"/>
    <w:rsid w:val="02D507A8"/>
    <w:rsid w:val="02EE41D0"/>
    <w:rsid w:val="02F14D1D"/>
    <w:rsid w:val="03196D1E"/>
    <w:rsid w:val="03260F65"/>
    <w:rsid w:val="032A467A"/>
    <w:rsid w:val="03386BA8"/>
    <w:rsid w:val="033D3421"/>
    <w:rsid w:val="03656616"/>
    <w:rsid w:val="03A7446C"/>
    <w:rsid w:val="03C14FC3"/>
    <w:rsid w:val="03D33AD7"/>
    <w:rsid w:val="03DB566D"/>
    <w:rsid w:val="03ED6666"/>
    <w:rsid w:val="03EF772C"/>
    <w:rsid w:val="04083D65"/>
    <w:rsid w:val="042A11AF"/>
    <w:rsid w:val="042E3E91"/>
    <w:rsid w:val="042F0D90"/>
    <w:rsid w:val="043B1186"/>
    <w:rsid w:val="04421F0F"/>
    <w:rsid w:val="04512F8C"/>
    <w:rsid w:val="0457167D"/>
    <w:rsid w:val="046305B7"/>
    <w:rsid w:val="0476141D"/>
    <w:rsid w:val="04872BF9"/>
    <w:rsid w:val="04AE13D2"/>
    <w:rsid w:val="04C75C30"/>
    <w:rsid w:val="04D42230"/>
    <w:rsid w:val="04D859D7"/>
    <w:rsid w:val="04E02C97"/>
    <w:rsid w:val="04ED6A73"/>
    <w:rsid w:val="04F70AD0"/>
    <w:rsid w:val="04FC14C7"/>
    <w:rsid w:val="05115DBF"/>
    <w:rsid w:val="0519086C"/>
    <w:rsid w:val="0520325D"/>
    <w:rsid w:val="05373812"/>
    <w:rsid w:val="053774CF"/>
    <w:rsid w:val="05557703"/>
    <w:rsid w:val="05567D9D"/>
    <w:rsid w:val="055C06F8"/>
    <w:rsid w:val="056878F7"/>
    <w:rsid w:val="056A499F"/>
    <w:rsid w:val="05BC6120"/>
    <w:rsid w:val="05C15BF3"/>
    <w:rsid w:val="05CC5962"/>
    <w:rsid w:val="05D24998"/>
    <w:rsid w:val="060A3161"/>
    <w:rsid w:val="061A55BE"/>
    <w:rsid w:val="061E0C79"/>
    <w:rsid w:val="0673581F"/>
    <w:rsid w:val="06A31F2B"/>
    <w:rsid w:val="06D66C6E"/>
    <w:rsid w:val="070122BB"/>
    <w:rsid w:val="071766CA"/>
    <w:rsid w:val="071C1455"/>
    <w:rsid w:val="07247632"/>
    <w:rsid w:val="0739253B"/>
    <w:rsid w:val="073E2B9B"/>
    <w:rsid w:val="07456C8B"/>
    <w:rsid w:val="07491347"/>
    <w:rsid w:val="075375CF"/>
    <w:rsid w:val="075E424F"/>
    <w:rsid w:val="076A2E8B"/>
    <w:rsid w:val="07711105"/>
    <w:rsid w:val="078B7BCA"/>
    <w:rsid w:val="078E72E5"/>
    <w:rsid w:val="07910E2F"/>
    <w:rsid w:val="079270BA"/>
    <w:rsid w:val="07970EFC"/>
    <w:rsid w:val="079A002B"/>
    <w:rsid w:val="079E49DF"/>
    <w:rsid w:val="07E17EDB"/>
    <w:rsid w:val="07EC3392"/>
    <w:rsid w:val="07F32AD8"/>
    <w:rsid w:val="07F33CDF"/>
    <w:rsid w:val="07F64550"/>
    <w:rsid w:val="08014CF2"/>
    <w:rsid w:val="0809454A"/>
    <w:rsid w:val="083D2489"/>
    <w:rsid w:val="085B38C5"/>
    <w:rsid w:val="087979A7"/>
    <w:rsid w:val="087C6588"/>
    <w:rsid w:val="08916DDA"/>
    <w:rsid w:val="089A5F1B"/>
    <w:rsid w:val="08A45105"/>
    <w:rsid w:val="08B451A1"/>
    <w:rsid w:val="08B86DC0"/>
    <w:rsid w:val="08B97A70"/>
    <w:rsid w:val="08CF13AC"/>
    <w:rsid w:val="08D45077"/>
    <w:rsid w:val="08E53D73"/>
    <w:rsid w:val="08F07DB7"/>
    <w:rsid w:val="09195041"/>
    <w:rsid w:val="09265D10"/>
    <w:rsid w:val="093F1396"/>
    <w:rsid w:val="09452CD9"/>
    <w:rsid w:val="0950651F"/>
    <w:rsid w:val="09661384"/>
    <w:rsid w:val="09957ABD"/>
    <w:rsid w:val="09A07855"/>
    <w:rsid w:val="09A453E0"/>
    <w:rsid w:val="09C83501"/>
    <w:rsid w:val="09F07E4F"/>
    <w:rsid w:val="0A147887"/>
    <w:rsid w:val="0A1C2837"/>
    <w:rsid w:val="0A2A1C4F"/>
    <w:rsid w:val="0A383BA6"/>
    <w:rsid w:val="0A435709"/>
    <w:rsid w:val="0A5926E3"/>
    <w:rsid w:val="0A6939E6"/>
    <w:rsid w:val="0A83697D"/>
    <w:rsid w:val="0A840DB1"/>
    <w:rsid w:val="0A977C7C"/>
    <w:rsid w:val="0AA7501D"/>
    <w:rsid w:val="0ADF062C"/>
    <w:rsid w:val="0ADF359E"/>
    <w:rsid w:val="0AE00BED"/>
    <w:rsid w:val="0B2B0D30"/>
    <w:rsid w:val="0B2C053A"/>
    <w:rsid w:val="0B594D07"/>
    <w:rsid w:val="0B916559"/>
    <w:rsid w:val="0B9B1FFE"/>
    <w:rsid w:val="0BA2404A"/>
    <w:rsid w:val="0BB94BF6"/>
    <w:rsid w:val="0BBA1C81"/>
    <w:rsid w:val="0BC009A0"/>
    <w:rsid w:val="0BE41966"/>
    <w:rsid w:val="0BF45421"/>
    <w:rsid w:val="0C155E50"/>
    <w:rsid w:val="0C167FC6"/>
    <w:rsid w:val="0C170325"/>
    <w:rsid w:val="0C182909"/>
    <w:rsid w:val="0C200404"/>
    <w:rsid w:val="0C580955"/>
    <w:rsid w:val="0C5F6B03"/>
    <w:rsid w:val="0C601CED"/>
    <w:rsid w:val="0C6B0431"/>
    <w:rsid w:val="0C712569"/>
    <w:rsid w:val="0C7C2F75"/>
    <w:rsid w:val="0C8308E9"/>
    <w:rsid w:val="0C8A40E5"/>
    <w:rsid w:val="0C8F4956"/>
    <w:rsid w:val="0CB33B22"/>
    <w:rsid w:val="0CEC7EC4"/>
    <w:rsid w:val="0CFF6B72"/>
    <w:rsid w:val="0D2B4ADC"/>
    <w:rsid w:val="0D3730C0"/>
    <w:rsid w:val="0D3F4315"/>
    <w:rsid w:val="0D405FC5"/>
    <w:rsid w:val="0D410878"/>
    <w:rsid w:val="0D575A90"/>
    <w:rsid w:val="0D993DCF"/>
    <w:rsid w:val="0DAE5628"/>
    <w:rsid w:val="0DCE34C6"/>
    <w:rsid w:val="0DEE13D4"/>
    <w:rsid w:val="0E0B69DA"/>
    <w:rsid w:val="0E291356"/>
    <w:rsid w:val="0E31668C"/>
    <w:rsid w:val="0E420D84"/>
    <w:rsid w:val="0E52733C"/>
    <w:rsid w:val="0E604A6F"/>
    <w:rsid w:val="0E743671"/>
    <w:rsid w:val="0E7A044C"/>
    <w:rsid w:val="0E822C50"/>
    <w:rsid w:val="0E8B5EE5"/>
    <w:rsid w:val="0EA0234D"/>
    <w:rsid w:val="0EA945FB"/>
    <w:rsid w:val="0EC949A6"/>
    <w:rsid w:val="0ECB1E28"/>
    <w:rsid w:val="0EDF71B2"/>
    <w:rsid w:val="0EF2111F"/>
    <w:rsid w:val="0EF30461"/>
    <w:rsid w:val="0F0A48D4"/>
    <w:rsid w:val="0F0F3732"/>
    <w:rsid w:val="0F21493D"/>
    <w:rsid w:val="0F3C203D"/>
    <w:rsid w:val="0F43220A"/>
    <w:rsid w:val="0F46589B"/>
    <w:rsid w:val="0F4A54C8"/>
    <w:rsid w:val="0F6A3D3D"/>
    <w:rsid w:val="0F6D0241"/>
    <w:rsid w:val="0F946390"/>
    <w:rsid w:val="0FB858C8"/>
    <w:rsid w:val="0FBA4091"/>
    <w:rsid w:val="0FBE36C9"/>
    <w:rsid w:val="0FE64C8F"/>
    <w:rsid w:val="10016D17"/>
    <w:rsid w:val="101624C0"/>
    <w:rsid w:val="1021719C"/>
    <w:rsid w:val="102F2F44"/>
    <w:rsid w:val="104426FD"/>
    <w:rsid w:val="104A4A16"/>
    <w:rsid w:val="105D109B"/>
    <w:rsid w:val="106A3D90"/>
    <w:rsid w:val="107714E3"/>
    <w:rsid w:val="107800F5"/>
    <w:rsid w:val="10881C97"/>
    <w:rsid w:val="10920F85"/>
    <w:rsid w:val="10AC4987"/>
    <w:rsid w:val="10C53B45"/>
    <w:rsid w:val="10CE2558"/>
    <w:rsid w:val="10D2071E"/>
    <w:rsid w:val="10DF14ED"/>
    <w:rsid w:val="111972BD"/>
    <w:rsid w:val="112E0A2D"/>
    <w:rsid w:val="114F7405"/>
    <w:rsid w:val="116D6F79"/>
    <w:rsid w:val="11721369"/>
    <w:rsid w:val="11993E42"/>
    <w:rsid w:val="119B4EF8"/>
    <w:rsid w:val="11A27177"/>
    <w:rsid w:val="11E04DD3"/>
    <w:rsid w:val="11E1260F"/>
    <w:rsid w:val="12056952"/>
    <w:rsid w:val="121372E2"/>
    <w:rsid w:val="121D284E"/>
    <w:rsid w:val="122A0BA4"/>
    <w:rsid w:val="1247616E"/>
    <w:rsid w:val="12533D10"/>
    <w:rsid w:val="127B6CDC"/>
    <w:rsid w:val="128B4BC5"/>
    <w:rsid w:val="12A712E9"/>
    <w:rsid w:val="12AB75FE"/>
    <w:rsid w:val="12B0665D"/>
    <w:rsid w:val="12B4283F"/>
    <w:rsid w:val="12C84F99"/>
    <w:rsid w:val="12CE4635"/>
    <w:rsid w:val="12D212BC"/>
    <w:rsid w:val="12E01A6C"/>
    <w:rsid w:val="12F101AA"/>
    <w:rsid w:val="12F37572"/>
    <w:rsid w:val="12F5439B"/>
    <w:rsid w:val="130228E3"/>
    <w:rsid w:val="130668DE"/>
    <w:rsid w:val="131C0B2B"/>
    <w:rsid w:val="132479AC"/>
    <w:rsid w:val="13406977"/>
    <w:rsid w:val="13444D1C"/>
    <w:rsid w:val="136356F7"/>
    <w:rsid w:val="136D262A"/>
    <w:rsid w:val="13721896"/>
    <w:rsid w:val="137A2315"/>
    <w:rsid w:val="139B365E"/>
    <w:rsid w:val="13A44D5C"/>
    <w:rsid w:val="13AC1CC6"/>
    <w:rsid w:val="13AD1CA1"/>
    <w:rsid w:val="13BE7A13"/>
    <w:rsid w:val="13C9020F"/>
    <w:rsid w:val="13CF0E39"/>
    <w:rsid w:val="140425B3"/>
    <w:rsid w:val="14240A5C"/>
    <w:rsid w:val="142E7B14"/>
    <w:rsid w:val="145C24D3"/>
    <w:rsid w:val="146E2217"/>
    <w:rsid w:val="14715468"/>
    <w:rsid w:val="1484189F"/>
    <w:rsid w:val="14C667BF"/>
    <w:rsid w:val="14E77A2F"/>
    <w:rsid w:val="14FC065C"/>
    <w:rsid w:val="15072306"/>
    <w:rsid w:val="150A2E10"/>
    <w:rsid w:val="150B4B8D"/>
    <w:rsid w:val="150E2F72"/>
    <w:rsid w:val="151311F4"/>
    <w:rsid w:val="15355489"/>
    <w:rsid w:val="156165C6"/>
    <w:rsid w:val="15646BD3"/>
    <w:rsid w:val="15655F42"/>
    <w:rsid w:val="156D4F7F"/>
    <w:rsid w:val="156F64E7"/>
    <w:rsid w:val="157570F9"/>
    <w:rsid w:val="158E5125"/>
    <w:rsid w:val="15990FD3"/>
    <w:rsid w:val="15A1107A"/>
    <w:rsid w:val="15AF32BE"/>
    <w:rsid w:val="15DF7339"/>
    <w:rsid w:val="15FF5CD7"/>
    <w:rsid w:val="1601666E"/>
    <w:rsid w:val="1603125D"/>
    <w:rsid w:val="161D6766"/>
    <w:rsid w:val="16223B9F"/>
    <w:rsid w:val="16486BCB"/>
    <w:rsid w:val="165D3B5E"/>
    <w:rsid w:val="16667966"/>
    <w:rsid w:val="169B2EDC"/>
    <w:rsid w:val="16A621F0"/>
    <w:rsid w:val="16BD3FAE"/>
    <w:rsid w:val="16C25C7B"/>
    <w:rsid w:val="16C43D79"/>
    <w:rsid w:val="16DA6439"/>
    <w:rsid w:val="16E87061"/>
    <w:rsid w:val="16EA6DC6"/>
    <w:rsid w:val="16F07E16"/>
    <w:rsid w:val="16F90B3C"/>
    <w:rsid w:val="16F91CB9"/>
    <w:rsid w:val="16FC213A"/>
    <w:rsid w:val="16FF7B7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300D"/>
    <w:rsid w:val="18594FE7"/>
    <w:rsid w:val="18672518"/>
    <w:rsid w:val="1871047B"/>
    <w:rsid w:val="18744FA7"/>
    <w:rsid w:val="188B060A"/>
    <w:rsid w:val="18935D50"/>
    <w:rsid w:val="18C53C53"/>
    <w:rsid w:val="18D16AC0"/>
    <w:rsid w:val="18DC33E1"/>
    <w:rsid w:val="18E77301"/>
    <w:rsid w:val="190424EE"/>
    <w:rsid w:val="19132D24"/>
    <w:rsid w:val="19260FB8"/>
    <w:rsid w:val="1950635A"/>
    <w:rsid w:val="195F45F3"/>
    <w:rsid w:val="19707EE8"/>
    <w:rsid w:val="19AD51F1"/>
    <w:rsid w:val="19B24788"/>
    <w:rsid w:val="19CB64CD"/>
    <w:rsid w:val="19D70B93"/>
    <w:rsid w:val="19E04D7C"/>
    <w:rsid w:val="19F65040"/>
    <w:rsid w:val="1A0B0C2E"/>
    <w:rsid w:val="1A2877CB"/>
    <w:rsid w:val="1A294B55"/>
    <w:rsid w:val="1A4E6DD6"/>
    <w:rsid w:val="1A924A34"/>
    <w:rsid w:val="1A940A47"/>
    <w:rsid w:val="1AAE7186"/>
    <w:rsid w:val="1AB15FFE"/>
    <w:rsid w:val="1ABD5B51"/>
    <w:rsid w:val="1AC54001"/>
    <w:rsid w:val="1AFB42EB"/>
    <w:rsid w:val="1B0A547D"/>
    <w:rsid w:val="1B183B85"/>
    <w:rsid w:val="1B352DCD"/>
    <w:rsid w:val="1B4061A6"/>
    <w:rsid w:val="1B41554C"/>
    <w:rsid w:val="1B4A1256"/>
    <w:rsid w:val="1B522D47"/>
    <w:rsid w:val="1B6F4FBB"/>
    <w:rsid w:val="1B9F3D2A"/>
    <w:rsid w:val="1BA921EB"/>
    <w:rsid w:val="1BD678EC"/>
    <w:rsid w:val="1BE734E4"/>
    <w:rsid w:val="1BFA67BE"/>
    <w:rsid w:val="1C015C39"/>
    <w:rsid w:val="1C045C3C"/>
    <w:rsid w:val="1C0F0D97"/>
    <w:rsid w:val="1C0F6BC4"/>
    <w:rsid w:val="1C402B07"/>
    <w:rsid w:val="1C542F0F"/>
    <w:rsid w:val="1C8A7A9E"/>
    <w:rsid w:val="1C8E4871"/>
    <w:rsid w:val="1CBB3479"/>
    <w:rsid w:val="1CC46351"/>
    <w:rsid w:val="1CCA10D5"/>
    <w:rsid w:val="1CD25B70"/>
    <w:rsid w:val="1CF229AF"/>
    <w:rsid w:val="1CFE49DC"/>
    <w:rsid w:val="1D0966D5"/>
    <w:rsid w:val="1D5D0569"/>
    <w:rsid w:val="1D5E140A"/>
    <w:rsid w:val="1D617506"/>
    <w:rsid w:val="1D6F51A5"/>
    <w:rsid w:val="1D706D25"/>
    <w:rsid w:val="1D8829C7"/>
    <w:rsid w:val="1DB3426C"/>
    <w:rsid w:val="1DC9281E"/>
    <w:rsid w:val="1DE75147"/>
    <w:rsid w:val="1DF12153"/>
    <w:rsid w:val="1E040E4E"/>
    <w:rsid w:val="1E081153"/>
    <w:rsid w:val="1E387D1F"/>
    <w:rsid w:val="1E402A33"/>
    <w:rsid w:val="1E56267D"/>
    <w:rsid w:val="1E612839"/>
    <w:rsid w:val="1E667319"/>
    <w:rsid w:val="1E6A2E29"/>
    <w:rsid w:val="1E843552"/>
    <w:rsid w:val="1E9C6A09"/>
    <w:rsid w:val="1E9E03EC"/>
    <w:rsid w:val="1EE37257"/>
    <w:rsid w:val="1EF50CA4"/>
    <w:rsid w:val="1F27421A"/>
    <w:rsid w:val="1F2D2E2F"/>
    <w:rsid w:val="1F341A2D"/>
    <w:rsid w:val="1F363F9F"/>
    <w:rsid w:val="1F370ABD"/>
    <w:rsid w:val="1F5432C0"/>
    <w:rsid w:val="1F5E7FE3"/>
    <w:rsid w:val="1F6A6632"/>
    <w:rsid w:val="1F716542"/>
    <w:rsid w:val="1F967C79"/>
    <w:rsid w:val="1F9F5202"/>
    <w:rsid w:val="1FD416AD"/>
    <w:rsid w:val="1FD57D09"/>
    <w:rsid w:val="1FE71701"/>
    <w:rsid w:val="1FEB11A6"/>
    <w:rsid w:val="2016438F"/>
    <w:rsid w:val="2021663E"/>
    <w:rsid w:val="202F0B25"/>
    <w:rsid w:val="2035132E"/>
    <w:rsid w:val="2043200A"/>
    <w:rsid w:val="20500A19"/>
    <w:rsid w:val="205746F3"/>
    <w:rsid w:val="20740FED"/>
    <w:rsid w:val="20AD4915"/>
    <w:rsid w:val="20BE138C"/>
    <w:rsid w:val="20CF14A7"/>
    <w:rsid w:val="20D75089"/>
    <w:rsid w:val="20EB3BE9"/>
    <w:rsid w:val="20EC04E3"/>
    <w:rsid w:val="2106076B"/>
    <w:rsid w:val="210650D6"/>
    <w:rsid w:val="21185369"/>
    <w:rsid w:val="213756FF"/>
    <w:rsid w:val="21494614"/>
    <w:rsid w:val="214C6CCB"/>
    <w:rsid w:val="21725B79"/>
    <w:rsid w:val="21781F14"/>
    <w:rsid w:val="21801E07"/>
    <w:rsid w:val="218F7F9B"/>
    <w:rsid w:val="21950E99"/>
    <w:rsid w:val="21966725"/>
    <w:rsid w:val="219914E7"/>
    <w:rsid w:val="21A1645C"/>
    <w:rsid w:val="21DA3A7D"/>
    <w:rsid w:val="21FD7594"/>
    <w:rsid w:val="22016EA8"/>
    <w:rsid w:val="222B76E0"/>
    <w:rsid w:val="222D4B41"/>
    <w:rsid w:val="2251034D"/>
    <w:rsid w:val="227259E5"/>
    <w:rsid w:val="227B495F"/>
    <w:rsid w:val="227D21E9"/>
    <w:rsid w:val="22992831"/>
    <w:rsid w:val="22AB0534"/>
    <w:rsid w:val="22AC4F27"/>
    <w:rsid w:val="22B938F2"/>
    <w:rsid w:val="22ED5FC6"/>
    <w:rsid w:val="23024253"/>
    <w:rsid w:val="230F0D6A"/>
    <w:rsid w:val="2310230E"/>
    <w:rsid w:val="231174D9"/>
    <w:rsid w:val="23213486"/>
    <w:rsid w:val="2328428A"/>
    <w:rsid w:val="234B598D"/>
    <w:rsid w:val="238F7B28"/>
    <w:rsid w:val="23AA311E"/>
    <w:rsid w:val="23B4267E"/>
    <w:rsid w:val="23F90A59"/>
    <w:rsid w:val="23FB2F6A"/>
    <w:rsid w:val="240204F5"/>
    <w:rsid w:val="240A16F0"/>
    <w:rsid w:val="241E4A7B"/>
    <w:rsid w:val="241F128D"/>
    <w:rsid w:val="24247210"/>
    <w:rsid w:val="243850AF"/>
    <w:rsid w:val="24405B9E"/>
    <w:rsid w:val="24434EAD"/>
    <w:rsid w:val="2448179B"/>
    <w:rsid w:val="24820493"/>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4938"/>
    <w:rsid w:val="250C7CAB"/>
    <w:rsid w:val="251B5F8A"/>
    <w:rsid w:val="251F03B8"/>
    <w:rsid w:val="25267D60"/>
    <w:rsid w:val="25307BEA"/>
    <w:rsid w:val="253C0954"/>
    <w:rsid w:val="25562B05"/>
    <w:rsid w:val="256B5994"/>
    <w:rsid w:val="25797443"/>
    <w:rsid w:val="25A00E3D"/>
    <w:rsid w:val="25A43899"/>
    <w:rsid w:val="25CA315B"/>
    <w:rsid w:val="25D54E95"/>
    <w:rsid w:val="25E249A9"/>
    <w:rsid w:val="26080F89"/>
    <w:rsid w:val="260F74EA"/>
    <w:rsid w:val="26176D6A"/>
    <w:rsid w:val="263D71B5"/>
    <w:rsid w:val="264C410D"/>
    <w:rsid w:val="264D0FC3"/>
    <w:rsid w:val="268F4D1D"/>
    <w:rsid w:val="26972392"/>
    <w:rsid w:val="26977DD3"/>
    <w:rsid w:val="26A15BC7"/>
    <w:rsid w:val="26A268E4"/>
    <w:rsid w:val="26A64C70"/>
    <w:rsid w:val="26A8468D"/>
    <w:rsid w:val="26BB7D68"/>
    <w:rsid w:val="26C62455"/>
    <w:rsid w:val="26E46819"/>
    <w:rsid w:val="27016BBE"/>
    <w:rsid w:val="27262F9E"/>
    <w:rsid w:val="273416EA"/>
    <w:rsid w:val="273B485F"/>
    <w:rsid w:val="274B5D4A"/>
    <w:rsid w:val="27534086"/>
    <w:rsid w:val="27680B7C"/>
    <w:rsid w:val="277F1CDB"/>
    <w:rsid w:val="27887815"/>
    <w:rsid w:val="27967C4F"/>
    <w:rsid w:val="27987FE7"/>
    <w:rsid w:val="2799036A"/>
    <w:rsid w:val="279C6DC6"/>
    <w:rsid w:val="27C65B24"/>
    <w:rsid w:val="27CC6373"/>
    <w:rsid w:val="27D3290E"/>
    <w:rsid w:val="28042CBF"/>
    <w:rsid w:val="281D080D"/>
    <w:rsid w:val="281D180B"/>
    <w:rsid w:val="282B5699"/>
    <w:rsid w:val="28433D32"/>
    <w:rsid w:val="2846779C"/>
    <w:rsid w:val="2859070A"/>
    <w:rsid w:val="28656678"/>
    <w:rsid w:val="28994801"/>
    <w:rsid w:val="28B37E14"/>
    <w:rsid w:val="28C909B3"/>
    <w:rsid w:val="28D1625C"/>
    <w:rsid w:val="29257B53"/>
    <w:rsid w:val="293731E3"/>
    <w:rsid w:val="293B4EAF"/>
    <w:rsid w:val="29563CA8"/>
    <w:rsid w:val="29604BAD"/>
    <w:rsid w:val="297066FF"/>
    <w:rsid w:val="2976387B"/>
    <w:rsid w:val="299D6940"/>
    <w:rsid w:val="29BB2D6D"/>
    <w:rsid w:val="29C979F0"/>
    <w:rsid w:val="29D06AD7"/>
    <w:rsid w:val="2A172A03"/>
    <w:rsid w:val="2A2907CA"/>
    <w:rsid w:val="2A2C340F"/>
    <w:rsid w:val="2AC670C5"/>
    <w:rsid w:val="2AC76180"/>
    <w:rsid w:val="2AC86245"/>
    <w:rsid w:val="2AEB10DE"/>
    <w:rsid w:val="2AF55A59"/>
    <w:rsid w:val="2AFE6893"/>
    <w:rsid w:val="2AFE6D6A"/>
    <w:rsid w:val="2B0566C5"/>
    <w:rsid w:val="2B0E4037"/>
    <w:rsid w:val="2B105E28"/>
    <w:rsid w:val="2B164D72"/>
    <w:rsid w:val="2B357FDB"/>
    <w:rsid w:val="2B4A02AC"/>
    <w:rsid w:val="2B607A81"/>
    <w:rsid w:val="2B67344C"/>
    <w:rsid w:val="2B6A4746"/>
    <w:rsid w:val="2BDE1E8D"/>
    <w:rsid w:val="2BED5720"/>
    <w:rsid w:val="2BF01ACE"/>
    <w:rsid w:val="2BF80FB4"/>
    <w:rsid w:val="2C1C0AAC"/>
    <w:rsid w:val="2C46418A"/>
    <w:rsid w:val="2C473039"/>
    <w:rsid w:val="2C485384"/>
    <w:rsid w:val="2C4C1C05"/>
    <w:rsid w:val="2C4D3C0E"/>
    <w:rsid w:val="2C533D2B"/>
    <w:rsid w:val="2C551A6B"/>
    <w:rsid w:val="2C6A3044"/>
    <w:rsid w:val="2C710C50"/>
    <w:rsid w:val="2C832144"/>
    <w:rsid w:val="2C8C7DB2"/>
    <w:rsid w:val="2C97577C"/>
    <w:rsid w:val="2C9D599C"/>
    <w:rsid w:val="2CAA0028"/>
    <w:rsid w:val="2CB75F99"/>
    <w:rsid w:val="2CB922D1"/>
    <w:rsid w:val="2CCF56F7"/>
    <w:rsid w:val="2CD60B81"/>
    <w:rsid w:val="2CF1358A"/>
    <w:rsid w:val="2CF77371"/>
    <w:rsid w:val="2D212FE7"/>
    <w:rsid w:val="2D352E6E"/>
    <w:rsid w:val="2D6A2627"/>
    <w:rsid w:val="2D6D4AFB"/>
    <w:rsid w:val="2D7C44BD"/>
    <w:rsid w:val="2D9659DD"/>
    <w:rsid w:val="2DA4424D"/>
    <w:rsid w:val="2DB56B37"/>
    <w:rsid w:val="2DDB5A69"/>
    <w:rsid w:val="2DF2580E"/>
    <w:rsid w:val="2E0363BA"/>
    <w:rsid w:val="2E0E3C0F"/>
    <w:rsid w:val="2E760467"/>
    <w:rsid w:val="2E775BCE"/>
    <w:rsid w:val="2E834BA5"/>
    <w:rsid w:val="2E8D1CFC"/>
    <w:rsid w:val="2EB94C49"/>
    <w:rsid w:val="2EC07862"/>
    <w:rsid w:val="2ED2016C"/>
    <w:rsid w:val="2ED353FE"/>
    <w:rsid w:val="2EED309C"/>
    <w:rsid w:val="2EFF4098"/>
    <w:rsid w:val="2F3B28A7"/>
    <w:rsid w:val="2F4759D3"/>
    <w:rsid w:val="2F864F23"/>
    <w:rsid w:val="2F953429"/>
    <w:rsid w:val="2FA40EF3"/>
    <w:rsid w:val="2FC65089"/>
    <w:rsid w:val="2FCE4BD9"/>
    <w:rsid w:val="2FD84575"/>
    <w:rsid w:val="2FD86488"/>
    <w:rsid w:val="2FEB15BA"/>
    <w:rsid w:val="2FF90D7B"/>
    <w:rsid w:val="2FFB30ED"/>
    <w:rsid w:val="301B367D"/>
    <w:rsid w:val="30504F33"/>
    <w:rsid w:val="30512F78"/>
    <w:rsid w:val="305A1F5F"/>
    <w:rsid w:val="308C75C9"/>
    <w:rsid w:val="30A35BC2"/>
    <w:rsid w:val="30A74283"/>
    <w:rsid w:val="30A91DCE"/>
    <w:rsid w:val="30BD411A"/>
    <w:rsid w:val="30C600E1"/>
    <w:rsid w:val="30CD58A9"/>
    <w:rsid w:val="30D51C07"/>
    <w:rsid w:val="30E323C6"/>
    <w:rsid w:val="30E35712"/>
    <w:rsid w:val="30EA7743"/>
    <w:rsid w:val="312C0D1F"/>
    <w:rsid w:val="31334D37"/>
    <w:rsid w:val="313E4135"/>
    <w:rsid w:val="314235A5"/>
    <w:rsid w:val="31524DD6"/>
    <w:rsid w:val="31596BBA"/>
    <w:rsid w:val="31604024"/>
    <w:rsid w:val="31754705"/>
    <w:rsid w:val="317A5963"/>
    <w:rsid w:val="317D40A6"/>
    <w:rsid w:val="31831FC2"/>
    <w:rsid w:val="31931634"/>
    <w:rsid w:val="31935037"/>
    <w:rsid w:val="319418E4"/>
    <w:rsid w:val="31A9705F"/>
    <w:rsid w:val="31AE1962"/>
    <w:rsid w:val="31B468C6"/>
    <w:rsid w:val="31FD1E57"/>
    <w:rsid w:val="31FF384B"/>
    <w:rsid w:val="3216444C"/>
    <w:rsid w:val="32191185"/>
    <w:rsid w:val="3226788E"/>
    <w:rsid w:val="32473B5F"/>
    <w:rsid w:val="325925E1"/>
    <w:rsid w:val="32647D9A"/>
    <w:rsid w:val="326C274A"/>
    <w:rsid w:val="326D2418"/>
    <w:rsid w:val="32A66F3C"/>
    <w:rsid w:val="32B52902"/>
    <w:rsid w:val="330C6534"/>
    <w:rsid w:val="332031F7"/>
    <w:rsid w:val="332C0B28"/>
    <w:rsid w:val="33330F56"/>
    <w:rsid w:val="33347C88"/>
    <w:rsid w:val="333C7FB5"/>
    <w:rsid w:val="3340469B"/>
    <w:rsid w:val="33622186"/>
    <w:rsid w:val="33625A1B"/>
    <w:rsid w:val="3371329F"/>
    <w:rsid w:val="33956E16"/>
    <w:rsid w:val="339B3694"/>
    <w:rsid w:val="339D1B0B"/>
    <w:rsid w:val="339D3986"/>
    <w:rsid w:val="33B60941"/>
    <w:rsid w:val="341544D6"/>
    <w:rsid w:val="342B32CC"/>
    <w:rsid w:val="344935AC"/>
    <w:rsid w:val="344D357D"/>
    <w:rsid w:val="344D39CA"/>
    <w:rsid w:val="345375AD"/>
    <w:rsid w:val="347A6432"/>
    <w:rsid w:val="34AF582A"/>
    <w:rsid w:val="34CC6944"/>
    <w:rsid w:val="34D97EAA"/>
    <w:rsid w:val="35065A84"/>
    <w:rsid w:val="3513107C"/>
    <w:rsid w:val="352712E3"/>
    <w:rsid w:val="352C2AB0"/>
    <w:rsid w:val="35381745"/>
    <w:rsid w:val="353B1426"/>
    <w:rsid w:val="356A66FE"/>
    <w:rsid w:val="357E30DC"/>
    <w:rsid w:val="358A5A90"/>
    <w:rsid w:val="358A6DE5"/>
    <w:rsid w:val="358C3566"/>
    <w:rsid w:val="35964EE6"/>
    <w:rsid w:val="359A7508"/>
    <w:rsid w:val="359E1B30"/>
    <w:rsid w:val="35AF4063"/>
    <w:rsid w:val="35B00398"/>
    <w:rsid w:val="35B10C42"/>
    <w:rsid w:val="35C93539"/>
    <w:rsid w:val="35D77402"/>
    <w:rsid w:val="36142FC8"/>
    <w:rsid w:val="361C2924"/>
    <w:rsid w:val="36214A80"/>
    <w:rsid w:val="36361A8D"/>
    <w:rsid w:val="363F312C"/>
    <w:rsid w:val="365460EF"/>
    <w:rsid w:val="36546244"/>
    <w:rsid w:val="366472A0"/>
    <w:rsid w:val="36737124"/>
    <w:rsid w:val="368A44C6"/>
    <w:rsid w:val="368D0C41"/>
    <w:rsid w:val="369E3F47"/>
    <w:rsid w:val="36AE3AEA"/>
    <w:rsid w:val="36DA7E32"/>
    <w:rsid w:val="371829AC"/>
    <w:rsid w:val="37211AFF"/>
    <w:rsid w:val="372A3B36"/>
    <w:rsid w:val="37486DF3"/>
    <w:rsid w:val="375E56D1"/>
    <w:rsid w:val="37737370"/>
    <w:rsid w:val="37745BB0"/>
    <w:rsid w:val="37766B7D"/>
    <w:rsid w:val="37777F84"/>
    <w:rsid w:val="377F6104"/>
    <w:rsid w:val="37824404"/>
    <w:rsid w:val="37985FA9"/>
    <w:rsid w:val="37A9358C"/>
    <w:rsid w:val="37E25B44"/>
    <w:rsid w:val="37E66BE4"/>
    <w:rsid w:val="37E936DD"/>
    <w:rsid w:val="37F5309F"/>
    <w:rsid w:val="37F546F7"/>
    <w:rsid w:val="37F96B8D"/>
    <w:rsid w:val="3803659C"/>
    <w:rsid w:val="38086AA3"/>
    <w:rsid w:val="381303D6"/>
    <w:rsid w:val="3828036F"/>
    <w:rsid w:val="383713D0"/>
    <w:rsid w:val="386E006E"/>
    <w:rsid w:val="387F0374"/>
    <w:rsid w:val="3883095F"/>
    <w:rsid w:val="38A126DE"/>
    <w:rsid w:val="38BE7956"/>
    <w:rsid w:val="38CC08BD"/>
    <w:rsid w:val="38CE34D4"/>
    <w:rsid w:val="38CE3885"/>
    <w:rsid w:val="38D92A1D"/>
    <w:rsid w:val="38EB5BB5"/>
    <w:rsid w:val="390376A8"/>
    <w:rsid w:val="39087D4F"/>
    <w:rsid w:val="391B0B6B"/>
    <w:rsid w:val="393E4A03"/>
    <w:rsid w:val="3942297E"/>
    <w:rsid w:val="396E4430"/>
    <w:rsid w:val="39AC47FC"/>
    <w:rsid w:val="39BF4A67"/>
    <w:rsid w:val="39DA670C"/>
    <w:rsid w:val="39DD18FE"/>
    <w:rsid w:val="39EC37CF"/>
    <w:rsid w:val="39F71341"/>
    <w:rsid w:val="3A0240D3"/>
    <w:rsid w:val="3A174CBC"/>
    <w:rsid w:val="3A3364CB"/>
    <w:rsid w:val="3A3C4222"/>
    <w:rsid w:val="3A471C42"/>
    <w:rsid w:val="3A472973"/>
    <w:rsid w:val="3A882D50"/>
    <w:rsid w:val="3AAF2712"/>
    <w:rsid w:val="3ABF5BF5"/>
    <w:rsid w:val="3ADB5D7A"/>
    <w:rsid w:val="3B095FB1"/>
    <w:rsid w:val="3B1324AA"/>
    <w:rsid w:val="3B144EF0"/>
    <w:rsid w:val="3B3836A3"/>
    <w:rsid w:val="3B3E7C68"/>
    <w:rsid w:val="3B432E7E"/>
    <w:rsid w:val="3B4E3F0F"/>
    <w:rsid w:val="3B585585"/>
    <w:rsid w:val="3B646AC3"/>
    <w:rsid w:val="3B7C78E6"/>
    <w:rsid w:val="3BA749C9"/>
    <w:rsid w:val="3BBE2E21"/>
    <w:rsid w:val="3C044BEB"/>
    <w:rsid w:val="3C045C36"/>
    <w:rsid w:val="3C162D28"/>
    <w:rsid w:val="3C2A56E5"/>
    <w:rsid w:val="3C3779FE"/>
    <w:rsid w:val="3C39163F"/>
    <w:rsid w:val="3C534224"/>
    <w:rsid w:val="3C562A55"/>
    <w:rsid w:val="3C606AD3"/>
    <w:rsid w:val="3C607C93"/>
    <w:rsid w:val="3C6678B7"/>
    <w:rsid w:val="3C676213"/>
    <w:rsid w:val="3C6E35D6"/>
    <w:rsid w:val="3C701ECB"/>
    <w:rsid w:val="3C8C371B"/>
    <w:rsid w:val="3CB25496"/>
    <w:rsid w:val="3CD370DC"/>
    <w:rsid w:val="3CD96659"/>
    <w:rsid w:val="3CDD5D10"/>
    <w:rsid w:val="3CE70ADC"/>
    <w:rsid w:val="3CFD5704"/>
    <w:rsid w:val="3D0E4C32"/>
    <w:rsid w:val="3D1268EA"/>
    <w:rsid w:val="3D143170"/>
    <w:rsid w:val="3D271546"/>
    <w:rsid w:val="3D2853C2"/>
    <w:rsid w:val="3D2F1B1B"/>
    <w:rsid w:val="3D4206F2"/>
    <w:rsid w:val="3D454DB2"/>
    <w:rsid w:val="3D470DB6"/>
    <w:rsid w:val="3D4B249B"/>
    <w:rsid w:val="3D61709A"/>
    <w:rsid w:val="3DC20973"/>
    <w:rsid w:val="3DD25F50"/>
    <w:rsid w:val="3DE67311"/>
    <w:rsid w:val="3DFA5AB0"/>
    <w:rsid w:val="3DFE39C5"/>
    <w:rsid w:val="3E061199"/>
    <w:rsid w:val="3E11321C"/>
    <w:rsid w:val="3E114336"/>
    <w:rsid w:val="3E1E73BD"/>
    <w:rsid w:val="3E235B26"/>
    <w:rsid w:val="3E315169"/>
    <w:rsid w:val="3E364629"/>
    <w:rsid w:val="3E4D651D"/>
    <w:rsid w:val="3E515FB7"/>
    <w:rsid w:val="3E557204"/>
    <w:rsid w:val="3E635B6D"/>
    <w:rsid w:val="3E795F65"/>
    <w:rsid w:val="3E7B59E9"/>
    <w:rsid w:val="3E7D020B"/>
    <w:rsid w:val="3E8F25E1"/>
    <w:rsid w:val="3EBA166D"/>
    <w:rsid w:val="3EC52B28"/>
    <w:rsid w:val="3EDC0AAA"/>
    <w:rsid w:val="3F057B0A"/>
    <w:rsid w:val="3F092A93"/>
    <w:rsid w:val="3F1318D2"/>
    <w:rsid w:val="3F1923CA"/>
    <w:rsid w:val="3F1B68E3"/>
    <w:rsid w:val="3F2F3A35"/>
    <w:rsid w:val="3F3E31D4"/>
    <w:rsid w:val="3F644473"/>
    <w:rsid w:val="3F6C60B5"/>
    <w:rsid w:val="3F7B371B"/>
    <w:rsid w:val="3F7C021E"/>
    <w:rsid w:val="3F814ED2"/>
    <w:rsid w:val="3F944056"/>
    <w:rsid w:val="3F990E2B"/>
    <w:rsid w:val="3FAE33EF"/>
    <w:rsid w:val="3FB5294B"/>
    <w:rsid w:val="3FC81053"/>
    <w:rsid w:val="3FD05429"/>
    <w:rsid w:val="3FE413C4"/>
    <w:rsid w:val="3FEE67B5"/>
    <w:rsid w:val="3FF37C84"/>
    <w:rsid w:val="3FF83A8E"/>
    <w:rsid w:val="400012AF"/>
    <w:rsid w:val="401C2A17"/>
    <w:rsid w:val="403C61D7"/>
    <w:rsid w:val="405E2B4D"/>
    <w:rsid w:val="4074527F"/>
    <w:rsid w:val="40812815"/>
    <w:rsid w:val="40817A77"/>
    <w:rsid w:val="4096292C"/>
    <w:rsid w:val="409C3B50"/>
    <w:rsid w:val="409E07C7"/>
    <w:rsid w:val="40A069FC"/>
    <w:rsid w:val="40B76CE7"/>
    <w:rsid w:val="40BE0D94"/>
    <w:rsid w:val="40CC1762"/>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A07277"/>
    <w:rsid w:val="41C079FC"/>
    <w:rsid w:val="41D61C02"/>
    <w:rsid w:val="41DE1696"/>
    <w:rsid w:val="41E438CA"/>
    <w:rsid w:val="41F65B46"/>
    <w:rsid w:val="41FE05F5"/>
    <w:rsid w:val="42075B0B"/>
    <w:rsid w:val="42583C31"/>
    <w:rsid w:val="42D472F8"/>
    <w:rsid w:val="42DC0CD0"/>
    <w:rsid w:val="42EF6A1D"/>
    <w:rsid w:val="4312340F"/>
    <w:rsid w:val="43330042"/>
    <w:rsid w:val="433F6461"/>
    <w:rsid w:val="435B226C"/>
    <w:rsid w:val="43640163"/>
    <w:rsid w:val="4366700A"/>
    <w:rsid w:val="439252C2"/>
    <w:rsid w:val="43965E83"/>
    <w:rsid w:val="43B43450"/>
    <w:rsid w:val="43B459EC"/>
    <w:rsid w:val="43D5396E"/>
    <w:rsid w:val="43D63E23"/>
    <w:rsid w:val="43D74A9B"/>
    <w:rsid w:val="43E907C3"/>
    <w:rsid w:val="43E90B1C"/>
    <w:rsid w:val="43EE429A"/>
    <w:rsid w:val="43FC443C"/>
    <w:rsid w:val="440378D2"/>
    <w:rsid w:val="442E1E47"/>
    <w:rsid w:val="44365AA6"/>
    <w:rsid w:val="44481B3D"/>
    <w:rsid w:val="444A3F58"/>
    <w:rsid w:val="444E5F9E"/>
    <w:rsid w:val="44517104"/>
    <w:rsid w:val="4456392A"/>
    <w:rsid w:val="44597EBE"/>
    <w:rsid w:val="44725ACB"/>
    <w:rsid w:val="44A12CDE"/>
    <w:rsid w:val="44AC7029"/>
    <w:rsid w:val="44AF77B3"/>
    <w:rsid w:val="44B6570C"/>
    <w:rsid w:val="44C62E73"/>
    <w:rsid w:val="44EA12D9"/>
    <w:rsid w:val="44EF1C8D"/>
    <w:rsid w:val="45226951"/>
    <w:rsid w:val="455D2D31"/>
    <w:rsid w:val="4585752A"/>
    <w:rsid w:val="45860579"/>
    <w:rsid w:val="4596197C"/>
    <w:rsid w:val="45B55FF9"/>
    <w:rsid w:val="45B7653F"/>
    <w:rsid w:val="45D35DC6"/>
    <w:rsid w:val="45F04155"/>
    <w:rsid w:val="45F8582F"/>
    <w:rsid w:val="46095A54"/>
    <w:rsid w:val="46115B46"/>
    <w:rsid w:val="4617407D"/>
    <w:rsid w:val="46195744"/>
    <w:rsid w:val="46262933"/>
    <w:rsid w:val="462651F6"/>
    <w:rsid w:val="4656661F"/>
    <w:rsid w:val="46670A41"/>
    <w:rsid w:val="46687B30"/>
    <w:rsid w:val="466A36E1"/>
    <w:rsid w:val="46A52539"/>
    <w:rsid w:val="46C34C65"/>
    <w:rsid w:val="46D6544A"/>
    <w:rsid w:val="46EF1BD9"/>
    <w:rsid w:val="471371D7"/>
    <w:rsid w:val="47203D9F"/>
    <w:rsid w:val="47274C66"/>
    <w:rsid w:val="472B604E"/>
    <w:rsid w:val="47355363"/>
    <w:rsid w:val="473A62C4"/>
    <w:rsid w:val="473C6413"/>
    <w:rsid w:val="476358FB"/>
    <w:rsid w:val="47781D72"/>
    <w:rsid w:val="477F319E"/>
    <w:rsid w:val="4783716F"/>
    <w:rsid w:val="47B4783F"/>
    <w:rsid w:val="47B537C0"/>
    <w:rsid w:val="47B85DF7"/>
    <w:rsid w:val="47CF651F"/>
    <w:rsid w:val="47F53CC3"/>
    <w:rsid w:val="480D3BF9"/>
    <w:rsid w:val="48247697"/>
    <w:rsid w:val="482D4F8A"/>
    <w:rsid w:val="4830022C"/>
    <w:rsid w:val="4835160C"/>
    <w:rsid w:val="484718D1"/>
    <w:rsid w:val="48497C30"/>
    <w:rsid w:val="48632465"/>
    <w:rsid w:val="48CE71A8"/>
    <w:rsid w:val="48CF574C"/>
    <w:rsid w:val="48D57233"/>
    <w:rsid w:val="48E23EAD"/>
    <w:rsid w:val="48E2729A"/>
    <w:rsid w:val="48F85C27"/>
    <w:rsid w:val="4903364E"/>
    <w:rsid w:val="490F4515"/>
    <w:rsid w:val="49183B0B"/>
    <w:rsid w:val="494107F1"/>
    <w:rsid w:val="494F2BC7"/>
    <w:rsid w:val="4950243E"/>
    <w:rsid w:val="496C038F"/>
    <w:rsid w:val="496F0621"/>
    <w:rsid w:val="498F29E6"/>
    <w:rsid w:val="498F3B6F"/>
    <w:rsid w:val="499727C8"/>
    <w:rsid w:val="49C030A4"/>
    <w:rsid w:val="49C47B16"/>
    <w:rsid w:val="49C91C9A"/>
    <w:rsid w:val="49D510B3"/>
    <w:rsid w:val="49DF6133"/>
    <w:rsid w:val="49E80692"/>
    <w:rsid w:val="49FC0763"/>
    <w:rsid w:val="4A1748E1"/>
    <w:rsid w:val="4A21418B"/>
    <w:rsid w:val="4A3979A4"/>
    <w:rsid w:val="4A5F274E"/>
    <w:rsid w:val="4A7E49D9"/>
    <w:rsid w:val="4A7F5A49"/>
    <w:rsid w:val="4A853650"/>
    <w:rsid w:val="4AC0230D"/>
    <w:rsid w:val="4AF2317C"/>
    <w:rsid w:val="4AF463FA"/>
    <w:rsid w:val="4AF46867"/>
    <w:rsid w:val="4AF81923"/>
    <w:rsid w:val="4B1148B8"/>
    <w:rsid w:val="4B1725C2"/>
    <w:rsid w:val="4B280C2C"/>
    <w:rsid w:val="4B4D5559"/>
    <w:rsid w:val="4B546B8E"/>
    <w:rsid w:val="4B7A57B5"/>
    <w:rsid w:val="4B817F8D"/>
    <w:rsid w:val="4B9C06A4"/>
    <w:rsid w:val="4B9C7682"/>
    <w:rsid w:val="4BC67E3C"/>
    <w:rsid w:val="4BC81A2A"/>
    <w:rsid w:val="4BD06751"/>
    <w:rsid w:val="4BD07BDF"/>
    <w:rsid w:val="4C09588D"/>
    <w:rsid w:val="4C174AAE"/>
    <w:rsid w:val="4C1B3371"/>
    <w:rsid w:val="4C311152"/>
    <w:rsid w:val="4C39003B"/>
    <w:rsid w:val="4C654CEC"/>
    <w:rsid w:val="4C6D62BC"/>
    <w:rsid w:val="4C820316"/>
    <w:rsid w:val="4C826D53"/>
    <w:rsid w:val="4C8A590E"/>
    <w:rsid w:val="4C8B5521"/>
    <w:rsid w:val="4C957171"/>
    <w:rsid w:val="4CC25B52"/>
    <w:rsid w:val="4CCC24E1"/>
    <w:rsid w:val="4CD30C3D"/>
    <w:rsid w:val="4CD5172C"/>
    <w:rsid w:val="4CE133E8"/>
    <w:rsid w:val="4CE623F9"/>
    <w:rsid w:val="4CEF3415"/>
    <w:rsid w:val="4CF06DE6"/>
    <w:rsid w:val="4D047277"/>
    <w:rsid w:val="4D0F733E"/>
    <w:rsid w:val="4D144862"/>
    <w:rsid w:val="4D2B1990"/>
    <w:rsid w:val="4D3E2255"/>
    <w:rsid w:val="4D75209F"/>
    <w:rsid w:val="4D7C7AFF"/>
    <w:rsid w:val="4D9033A7"/>
    <w:rsid w:val="4DA61637"/>
    <w:rsid w:val="4DB954BF"/>
    <w:rsid w:val="4DC462EF"/>
    <w:rsid w:val="4DC970E7"/>
    <w:rsid w:val="4DD84595"/>
    <w:rsid w:val="4E0F620B"/>
    <w:rsid w:val="4E11052B"/>
    <w:rsid w:val="4E1A62FE"/>
    <w:rsid w:val="4E3B14F0"/>
    <w:rsid w:val="4E582D3B"/>
    <w:rsid w:val="4E813B50"/>
    <w:rsid w:val="4E97543C"/>
    <w:rsid w:val="4E9A753C"/>
    <w:rsid w:val="4EDB5DD9"/>
    <w:rsid w:val="4F0A5FEE"/>
    <w:rsid w:val="4F122F21"/>
    <w:rsid w:val="4F1C054F"/>
    <w:rsid w:val="4F3069F9"/>
    <w:rsid w:val="4F3328AF"/>
    <w:rsid w:val="4F4B23DB"/>
    <w:rsid w:val="4F643969"/>
    <w:rsid w:val="4F7554DF"/>
    <w:rsid w:val="4F982427"/>
    <w:rsid w:val="4FCC4486"/>
    <w:rsid w:val="4FE4163D"/>
    <w:rsid w:val="4FE56AA7"/>
    <w:rsid w:val="4FE6192D"/>
    <w:rsid w:val="4FFC47A3"/>
    <w:rsid w:val="50045B9E"/>
    <w:rsid w:val="5014437E"/>
    <w:rsid w:val="501E6A12"/>
    <w:rsid w:val="50415E5D"/>
    <w:rsid w:val="5045630D"/>
    <w:rsid w:val="5049708A"/>
    <w:rsid w:val="50507BC9"/>
    <w:rsid w:val="50623A17"/>
    <w:rsid w:val="506401F6"/>
    <w:rsid w:val="50C569B8"/>
    <w:rsid w:val="50E26696"/>
    <w:rsid w:val="50F31AA1"/>
    <w:rsid w:val="510C120F"/>
    <w:rsid w:val="512123E2"/>
    <w:rsid w:val="513063ED"/>
    <w:rsid w:val="513852E8"/>
    <w:rsid w:val="513C5030"/>
    <w:rsid w:val="514463FF"/>
    <w:rsid w:val="514864B4"/>
    <w:rsid w:val="515425B8"/>
    <w:rsid w:val="51780050"/>
    <w:rsid w:val="518F687A"/>
    <w:rsid w:val="51931E24"/>
    <w:rsid w:val="5195705C"/>
    <w:rsid w:val="51964EA7"/>
    <w:rsid w:val="519C4026"/>
    <w:rsid w:val="519D1DD0"/>
    <w:rsid w:val="51B76329"/>
    <w:rsid w:val="51BD11B5"/>
    <w:rsid w:val="51BD5FFE"/>
    <w:rsid w:val="51CF2573"/>
    <w:rsid w:val="51F33D14"/>
    <w:rsid w:val="51FD14FB"/>
    <w:rsid w:val="52210CE7"/>
    <w:rsid w:val="523439BC"/>
    <w:rsid w:val="523A4BD6"/>
    <w:rsid w:val="525063E1"/>
    <w:rsid w:val="525B4E9C"/>
    <w:rsid w:val="527B4608"/>
    <w:rsid w:val="52800C33"/>
    <w:rsid w:val="529370A0"/>
    <w:rsid w:val="52A44194"/>
    <w:rsid w:val="52B52348"/>
    <w:rsid w:val="52EB48AB"/>
    <w:rsid w:val="52FB3D2C"/>
    <w:rsid w:val="53014D17"/>
    <w:rsid w:val="532356F9"/>
    <w:rsid w:val="53486A73"/>
    <w:rsid w:val="53592529"/>
    <w:rsid w:val="53781E9E"/>
    <w:rsid w:val="538002D5"/>
    <w:rsid w:val="53AE1909"/>
    <w:rsid w:val="53BC0350"/>
    <w:rsid w:val="53C82EE0"/>
    <w:rsid w:val="53C97D56"/>
    <w:rsid w:val="53D01E5F"/>
    <w:rsid w:val="53D43994"/>
    <w:rsid w:val="53E236E5"/>
    <w:rsid w:val="53F55A21"/>
    <w:rsid w:val="53F93E0D"/>
    <w:rsid w:val="54187F68"/>
    <w:rsid w:val="541B580F"/>
    <w:rsid w:val="54371D93"/>
    <w:rsid w:val="544B1F76"/>
    <w:rsid w:val="54551A39"/>
    <w:rsid w:val="5458578E"/>
    <w:rsid w:val="545E3D92"/>
    <w:rsid w:val="548052BA"/>
    <w:rsid w:val="54817193"/>
    <w:rsid w:val="54905111"/>
    <w:rsid w:val="5493761D"/>
    <w:rsid w:val="54963983"/>
    <w:rsid w:val="54970A34"/>
    <w:rsid w:val="54A758D7"/>
    <w:rsid w:val="54AA7F0B"/>
    <w:rsid w:val="54B02877"/>
    <w:rsid w:val="54BE68D5"/>
    <w:rsid w:val="54CA4CBB"/>
    <w:rsid w:val="54D25D1D"/>
    <w:rsid w:val="54E52662"/>
    <w:rsid w:val="54EF5473"/>
    <w:rsid w:val="54FB7E9F"/>
    <w:rsid w:val="553857C1"/>
    <w:rsid w:val="553F6B86"/>
    <w:rsid w:val="554366E9"/>
    <w:rsid w:val="555361F6"/>
    <w:rsid w:val="55815256"/>
    <w:rsid w:val="5588557C"/>
    <w:rsid w:val="558E2BF2"/>
    <w:rsid w:val="559C4706"/>
    <w:rsid w:val="55AF55E1"/>
    <w:rsid w:val="55B736B0"/>
    <w:rsid w:val="55D0230E"/>
    <w:rsid w:val="55D47506"/>
    <w:rsid w:val="55DF4999"/>
    <w:rsid w:val="56267A31"/>
    <w:rsid w:val="563B4708"/>
    <w:rsid w:val="56546B5F"/>
    <w:rsid w:val="56644C55"/>
    <w:rsid w:val="567D54B5"/>
    <w:rsid w:val="56862AD0"/>
    <w:rsid w:val="56C201F1"/>
    <w:rsid w:val="56D6585E"/>
    <w:rsid w:val="56F54C88"/>
    <w:rsid w:val="56FC71DE"/>
    <w:rsid w:val="57037BFB"/>
    <w:rsid w:val="57340D55"/>
    <w:rsid w:val="573C489A"/>
    <w:rsid w:val="57491C32"/>
    <w:rsid w:val="575757B0"/>
    <w:rsid w:val="578F1171"/>
    <w:rsid w:val="57A0754F"/>
    <w:rsid w:val="57AD611F"/>
    <w:rsid w:val="57EA4FB9"/>
    <w:rsid w:val="57EB3448"/>
    <w:rsid w:val="57EC24F6"/>
    <w:rsid w:val="57EE77FD"/>
    <w:rsid w:val="58033931"/>
    <w:rsid w:val="5824719E"/>
    <w:rsid w:val="58304FB2"/>
    <w:rsid w:val="58313AF2"/>
    <w:rsid w:val="58487DD1"/>
    <w:rsid w:val="58753117"/>
    <w:rsid w:val="587D2B3B"/>
    <w:rsid w:val="588457CB"/>
    <w:rsid w:val="588943E1"/>
    <w:rsid w:val="58AC244B"/>
    <w:rsid w:val="58BF4F43"/>
    <w:rsid w:val="58C20BC4"/>
    <w:rsid w:val="58C550C4"/>
    <w:rsid w:val="58CD3DC3"/>
    <w:rsid w:val="58D86981"/>
    <w:rsid w:val="58E4252C"/>
    <w:rsid w:val="58F63D6F"/>
    <w:rsid w:val="59082524"/>
    <w:rsid w:val="593620D4"/>
    <w:rsid w:val="59485554"/>
    <w:rsid w:val="59562C1E"/>
    <w:rsid w:val="596D4EFA"/>
    <w:rsid w:val="596E5B27"/>
    <w:rsid w:val="59890FB5"/>
    <w:rsid w:val="599F22FD"/>
    <w:rsid w:val="59A5369E"/>
    <w:rsid w:val="59AD53EF"/>
    <w:rsid w:val="59DB3039"/>
    <w:rsid w:val="59DD6FF1"/>
    <w:rsid w:val="59E97454"/>
    <w:rsid w:val="5A0B0765"/>
    <w:rsid w:val="5A311F54"/>
    <w:rsid w:val="5A3419C8"/>
    <w:rsid w:val="5A360FD6"/>
    <w:rsid w:val="5A477290"/>
    <w:rsid w:val="5A4C32C0"/>
    <w:rsid w:val="5A522628"/>
    <w:rsid w:val="5A570957"/>
    <w:rsid w:val="5A591E2F"/>
    <w:rsid w:val="5A6645B4"/>
    <w:rsid w:val="5AC3371C"/>
    <w:rsid w:val="5AC421AF"/>
    <w:rsid w:val="5AD26080"/>
    <w:rsid w:val="5AF4329A"/>
    <w:rsid w:val="5AFB18F2"/>
    <w:rsid w:val="5AFD073D"/>
    <w:rsid w:val="5AFF6AB6"/>
    <w:rsid w:val="5B160485"/>
    <w:rsid w:val="5B2C7E07"/>
    <w:rsid w:val="5B666061"/>
    <w:rsid w:val="5B6B4BB8"/>
    <w:rsid w:val="5B875D0E"/>
    <w:rsid w:val="5B890DBB"/>
    <w:rsid w:val="5BAC0256"/>
    <w:rsid w:val="5BAC496B"/>
    <w:rsid w:val="5BB41692"/>
    <w:rsid w:val="5BDE2DD0"/>
    <w:rsid w:val="5BF07A75"/>
    <w:rsid w:val="5BF236AA"/>
    <w:rsid w:val="5BF9362C"/>
    <w:rsid w:val="5C0045BE"/>
    <w:rsid w:val="5C0738F8"/>
    <w:rsid w:val="5C1A3210"/>
    <w:rsid w:val="5C267FB2"/>
    <w:rsid w:val="5C321395"/>
    <w:rsid w:val="5C513DE3"/>
    <w:rsid w:val="5C6F7C3B"/>
    <w:rsid w:val="5C7D7864"/>
    <w:rsid w:val="5C812C3D"/>
    <w:rsid w:val="5C872794"/>
    <w:rsid w:val="5CA236DB"/>
    <w:rsid w:val="5CBB5686"/>
    <w:rsid w:val="5CC47375"/>
    <w:rsid w:val="5CC910DF"/>
    <w:rsid w:val="5CF027BF"/>
    <w:rsid w:val="5D151842"/>
    <w:rsid w:val="5D3918C1"/>
    <w:rsid w:val="5D3A53A6"/>
    <w:rsid w:val="5D483535"/>
    <w:rsid w:val="5D4D67BC"/>
    <w:rsid w:val="5D66634D"/>
    <w:rsid w:val="5D67598E"/>
    <w:rsid w:val="5D72590D"/>
    <w:rsid w:val="5D77676D"/>
    <w:rsid w:val="5DA23DEE"/>
    <w:rsid w:val="5DA60B89"/>
    <w:rsid w:val="5DC44C0A"/>
    <w:rsid w:val="5DE11919"/>
    <w:rsid w:val="5DF2559E"/>
    <w:rsid w:val="5DFA7EFF"/>
    <w:rsid w:val="5E002A48"/>
    <w:rsid w:val="5E034940"/>
    <w:rsid w:val="5E1848DC"/>
    <w:rsid w:val="5E1C3E64"/>
    <w:rsid w:val="5E3B30C1"/>
    <w:rsid w:val="5E431164"/>
    <w:rsid w:val="5E860D58"/>
    <w:rsid w:val="5E926372"/>
    <w:rsid w:val="5EB21722"/>
    <w:rsid w:val="5EB302A5"/>
    <w:rsid w:val="5EB87BDE"/>
    <w:rsid w:val="5EC05C52"/>
    <w:rsid w:val="5EC45AEF"/>
    <w:rsid w:val="5EE4490A"/>
    <w:rsid w:val="5F053393"/>
    <w:rsid w:val="5F154B3C"/>
    <w:rsid w:val="5F2F41BB"/>
    <w:rsid w:val="5F5D09A7"/>
    <w:rsid w:val="5F6C1492"/>
    <w:rsid w:val="5F7670D9"/>
    <w:rsid w:val="5F81527E"/>
    <w:rsid w:val="5F965E34"/>
    <w:rsid w:val="5FA014EA"/>
    <w:rsid w:val="5FBE4EE6"/>
    <w:rsid w:val="5FC2244B"/>
    <w:rsid w:val="600B291D"/>
    <w:rsid w:val="60136DEB"/>
    <w:rsid w:val="60214C21"/>
    <w:rsid w:val="6042521A"/>
    <w:rsid w:val="60433B12"/>
    <w:rsid w:val="60523F33"/>
    <w:rsid w:val="60635B90"/>
    <w:rsid w:val="60720ABE"/>
    <w:rsid w:val="609B03E5"/>
    <w:rsid w:val="60A305A1"/>
    <w:rsid w:val="60B928D9"/>
    <w:rsid w:val="60BE6FCF"/>
    <w:rsid w:val="60C30015"/>
    <w:rsid w:val="60CE520A"/>
    <w:rsid w:val="60FD3B19"/>
    <w:rsid w:val="610A04DD"/>
    <w:rsid w:val="612B7BDB"/>
    <w:rsid w:val="613949D7"/>
    <w:rsid w:val="614D132F"/>
    <w:rsid w:val="614D4FC3"/>
    <w:rsid w:val="61894CE8"/>
    <w:rsid w:val="618F48F9"/>
    <w:rsid w:val="61E64E8A"/>
    <w:rsid w:val="61F3624F"/>
    <w:rsid w:val="620F584C"/>
    <w:rsid w:val="62213786"/>
    <w:rsid w:val="6227425D"/>
    <w:rsid w:val="623833A9"/>
    <w:rsid w:val="62422B49"/>
    <w:rsid w:val="625A33F5"/>
    <w:rsid w:val="62785950"/>
    <w:rsid w:val="629537A3"/>
    <w:rsid w:val="62C718C2"/>
    <w:rsid w:val="62CA25C6"/>
    <w:rsid w:val="62CA754F"/>
    <w:rsid w:val="62D56926"/>
    <w:rsid w:val="63136AB4"/>
    <w:rsid w:val="631462C7"/>
    <w:rsid w:val="634701C5"/>
    <w:rsid w:val="63484FF6"/>
    <w:rsid w:val="637C7C98"/>
    <w:rsid w:val="63911287"/>
    <w:rsid w:val="639A1CA3"/>
    <w:rsid w:val="63A62306"/>
    <w:rsid w:val="63AD270E"/>
    <w:rsid w:val="63D34241"/>
    <w:rsid w:val="64091234"/>
    <w:rsid w:val="641524A0"/>
    <w:rsid w:val="641B0C00"/>
    <w:rsid w:val="641B1A3B"/>
    <w:rsid w:val="643674AE"/>
    <w:rsid w:val="644021EE"/>
    <w:rsid w:val="64446449"/>
    <w:rsid w:val="644A3A0C"/>
    <w:rsid w:val="645C5359"/>
    <w:rsid w:val="64823005"/>
    <w:rsid w:val="64912081"/>
    <w:rsid w:val="64A07095"/>
    <w:rsid w:val="64A53263"/>
    <w:rsid w:val="64AF44C5"/>
    <w:rsid w:val="64BD3B10"/>
    <w:rsid w:val="64E41572"/>
    <w:rsid w:val="650723C1"/>
    <w:rsid w:val="650D1F0F"/>
    <w:rsid w:val="650E1A27"/>
    <w:rsid w:val="65451656"/>
    <w:rsid w:val="65475182"/>
    <w:rsid w:val="657F7802"/>
    <w:rsid w:val="658C6977"/>
    <w:rsid w:val="65A35790"/>
    <w:rsid w:val="65C61186"/>
    <w:rsid w:val="65E954DE"/>
    <w:rsid w:val="65F878CC"/>
    <w:rsid w:val="663B7352"/>
    <w:rsid w:val="66482FAA"/>
    <w:rsid w:val="66587100"/>
    <w:rsid w:val="66717F89"/>
    <w:rsid w:val="66787C2F"/>
    <w:rsid w:val="669F7DF2"/>
    <w:rsid w:val="66B01F77"/>
    <w:rsid w:val="66B026A6"/>
    <w:rsid w:val="66B11924"/>
    <w:rsid w:val="67146D86"/>
    <w:rsid w:val="671642B8"/>
    <w:rsid w:val="671D0BB3"/>
    <w:rsid w:val="671D5910"/>
    <w:rsid w:val="6764055E"/>
    <w:rsid w:val="677E46A4"/>
    <w:rsid w:val="678014D0"/>
    <w:rsid w:val="678B0033"/>
    <w:rsid w:val="678E07DF"/>
    <w:rsid w:val="679E78A5"/>
    <w:rsid w:val="67B7618C"/>
    <w:rsid w:val="67D373E4"/>
    <w:rsid w:val="67D51EEF"/>
    <w:rsid w:val="67E2301F"/>
    <w:rsid w:val="68046D8B"/>
    <w:rsid w:val="680D03AD"/>
    <w:rsid w:val="681D7390"/>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F3EEC"/>
    <w:rsid w:val="6921381C"/>
    <w:rsid w:val="694D6EDB"/>
    <w:rsid w:val="69612894"/>
    <w:rsid w:val="69871C9F"/>
    <w:rsid w:val="698845C8"/>
    <w:rsid w:val="69911111"/>
    <w:rsid w:val="699C34B3"/>
    <w:rsid w:val="69A60C0D"/>
    <w:rsid w:val="69A853E7"/>
    <w:rsid w:val="69B97867"/>
    <w:rsid w:val="69BD0FA2"/>
    <w:rsid w:val="69E36D1E"/>
    <w:rsid w:val="69E46BB1"/>
    <w:rsid w:val="69EA1A6C"/>
    <w:rsid w:val="69EB65FE"/>
    <w:rsid w:val="69FF5C39"/>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D42F2"/>
    <w:rsid w:val="6BAA2207"/>
    <w:rsid w:val="6BB45E4D"/>
    <w:rsid w:val="6BD54341"/>
    <w:rsid w:val="6BD709DF"/>
    <w:rsid w:val="6BF5485E"/>
    <w:rsid w:val="6C122336"/>
    <w:rsid w:val="6C161376"/>
    <w:rsid w:val="6C1C06C2"/>
    <w:rsid w:val="6C1D4C0E"/>
    <w:rsid w:val="6C5C487E"/>
    <w:rsid w:val="6C6D5DCF"/>
    <w:rsid w:val="6C7514F6"/>
    <w:rsid w:val="6C7918E8"/>
    <w:rsid w:val="6C7B1A56"/>
    <w:rsid w:val="6C806490"/>
    <w:rsid w:val="6C9009CE"/>
    <w:rsid w:val="6C9340D3"/>
    <w:rsid w:val="6CB44DE5"/>
    <w:rsid w:val="6CBE7CBA"/>
    <w:rsid w:val="6CD45D32"/>
    <w:rsid w:val="6CFC7083"/>
    <w:rsid w:val="6D092376"/>
    <w:rsid w:val="6D114938"/>
    <w:rsid w:val="6D2E0C3B"/>
    <w:rsid w:val="6D3C3844"/>
    <w:rsid w:val="6D553B05"/>
    <w:rsid w:val="6D7477B9"/>
    <w:rsid w:val="6D8776AE"/>
    <w:rsid w:val="6D99563A"/>
    <w:rsid w:val="6DCD5FD5"/>
    <w:rsid w:val="6DDA3700"/>
    <w:rsid w:val="6E17684D"/>
    <w:rsid w:val="6E1D04E4"/>
    <w:rsid w:val="6E2C1F36"/>
    <w:rsid w:val="6E453381"/>
    <w:rsid w:val="6E52137C"/>
    <w:rsid w:val="6E6118F9"/>
    <w:rsid w:val="6E67519B"/>
    <w:rsid w:val="6E6B4150"/>
    <w:rsid w:val="6E862B02"/>
    <w:rsid w:val="6E871A0B"/>
    <w:rsid w:val="6E996BED"/>
    <w:rsid w:val="6EAD28DA"/>
    <w:rsid w:val="6EB1452C"/>
    <w:rsid w:val="6ED72E47"/>
    <w:rsid w:val="6EDB1338"/>
    <w:rsid w:val="6EFE3F62"/>
    <w:rsid w:val="6F1A5EBA"/>
    <w:rsid w:val="6F327CAC"/>
    <w:rsid w:val="6F497A80"/>
    <w:rsid w:val="6F4E5CCB"/>
    <w:rsid w:val="6F590826"/>
    <w:rsid w:val="6F762ED3"/>
    <w:rsid w:val="6F7D0A93"/>
    <w:rsid w:val="6F8B1A29"/>
    <w:rsid w:val="6F9A564A"/>
    <w:rsid w:val="6FA76045"/>
    <w:rsid w:val="6FD75D84"/>
    <w:rsid w:val="6FDE1965"/>
    <w:rsid w:val="6FE65703"/>
    <w:rsid w:val="6FFB0ABF"/>
    <w:rsid w:val="6FFB31C2"/>
    <w:rsid w:val="700B2F5A"/>
    <w:rsid w:val="7012016D"/>
    <w:rsid w:val="701A2725"/>
    <w:rsid w:val="70220233"/>
    <w:rsid w:val="702757CA"/>
    <w:rsid w:val="702F4A80"/>
    <w:rsid w:val="703337D7"/>
    <w:rsid w:val="705737F6"/>
    <w:rsid w:val="70636C23"/>
    <w:rsid w:val="707571C6"/>
    <w:rsid w:val="708679C8"/>
    <w:rsid w:val="708E717A"/>
    <w:rsid w:val="709A5BD8"/>
    <w:rsid w:val="709D5D05"/>
    <w:rsid w:val="70A133A6"/>
    <w:rsid w:val="70A51A95"/>
    <w:rsid w:val="70BF2C32"/>
    <w:rsid w:val="70C84601"/>
    <w:rsid w:val="70CE5F41"/>
    <w:rsid w:val="70D818B8"/>
    <w:rsid w:val="70D907EF"/>
    <w:rsid w:val="70E91EC5"/>
    <w:rsid w:val="711F50D6"/>
    <w:rsid w:val="712316DB"/>
    <w:rsid w:val="71282A2F"/>
    <w:rsid w:val="713221CC"/>
    <w:rsid w:val="71344A7E"/>
    <w:rsid w:val="713D175F"/>
    <w:rsid w:val="716F72F0"/>
    <w:rsid w:val="717E3626"/>
    <w:rsid w:val="718C1A41"/>
    <w:rsid w:val="7190150E"/>
    <w:rsid w:val="71B4730C"/>
    <w:rsid w:val="71BE2187"/>
    <w:rsid w:val="71E2180B"/>
    <w:rsid w:val="71E441C9"/>
    <w:rsid w:val="71E45164"/>
    <w:rsid w:val="71EA7ED3"/>
    <w:rsid w:val="71FD54DA"/>
    <w:rsid w:val="720716CC"/>
    <w:rsid w:val="72072B3A"/>
    <w:rsid w:val="72095E18"/>
    <w:rsid w:val="720E5E10"/>
    <w:rsid w:val="721156AA"/>
    <w:rsid w:val="721B380C"/>
    <w:rsid w:val="72351377"/>
    <w:rsid w:val="72405C7A"/>
    <w:rsid w:val="72435BCF"/>
    <w:rsid w:val="724F7A63"/>
    <w:rsid w:val="7256255B"/>
    <w:rsid w:val="728519D4"/>
    <w:rsid w:val="728B685C"/>
    <w:rsid w:val="728F4C70"/>
    <w:rsid w:val="72AD248D"/>
    <w:rsid w:val="72CA554B"/>
    <w:rsid w:val="72D34DE7"/>
    <w:rsid w:val="72D56857"/>
    <w:rsid w:val="72D62221"/>
    <w:rsid w:val="72E40F99"/>
    <w:rsid w:val="7302197B"/>
    <w:rsid w:val="730518B1"/>
    <w:rsid w:val="730A3C87"/>
    <w:rsid w:val="73155511"/>
    <w:rsid w:val="732102DF"/>
    <w:rsid w:val="73212E31"/>
    <w:rsid w:val="73316518"/>
    <w:rsid w:val="733303C0"/>
    <w:rsid w:val="733B1AB9"/>
    <w:rsid w:val="73674E9D"/>
    <w:rsid w:val="736E2BE7"/>
    <w:rsid w:val="737A3494"/>
    <w:rsid w:val="737B479C"/>
    <w:rsid w:val="737C2B4A"/>
    <w:rsid w:val="737F0A7E"/>
    <w:rsid w:val="73844096"/>
    <w:rsid w:val="73AB6140"/>
    <w:rsid w:val="73B108E4"/>
    <w:rsid w:val="73B67A2C"/>
    <w:rsid w:val="73BB74FB"/>
    <w:rsid w:val="73BF1E94"/>
    <w:rsid w:val="73DD78C7"/>
    <w:rsid w:val="740215BE"/>
    <w:rsid w:val="741108EE"/>
    <w:rsid w:val="74202D3B"/>
    <w:rsid w:val="74456002"/>
    <w:rsid w:val="745820C3"/>
    <w:rsid w:val="7461259B"/>
    <w:rsid w:val="7477012B"/>
    <w:rsid w:val="749138BF"/>
    <w:rsid w:val="74997DC3"/>
    <w:rsid w:val="74C24B01"/>
    <w:rsid w:val="74CF7DA1"/>
    <w:rsid w:val="74EE40B4"/>
    <w:rsid w:val="74FD3CC7"/>
    <w:rsid w:val="750F6C95"/>
    <w:rsid w:val="7513304E"/>
    <w:rsid w:val="7521343A"/>
    <w:rsid w:val="75262998"/>
    <w:rsid w:val="753A6048"/>
    <w:rsid w:val="75462296"/>
    <w:rsid w:val="75515C25"/>
    <w:rsid w:val="75770B0E"/>
    <w:rsid w:val="757861E8"/>
    <w:rsid w:val="75894543"/>
    <w:rsid w:val="758F103F"/>
    <w:rsid w:val="759D3004"/>
    <w:rsid w:val="75B81797"/>
    <w:rsid w:val="75BA35DF"/>
    <w:rsid w:val="75CC0414"/>
    <w:rsid w:val="75D3060E"/>
    <w:rsid w:val="75D326AA"/>
    <w:rsid w:val="75D508BA"/>
    <w:rsid w:val="75E4600D"/>
    <w:rsid w:val="75E7629E"/>
    <w:rsid w:val="75F02FC5"/>
    <w:rsid w:val="761A35C7"/>
    <w:rsid w:val="761B4DF7"/>
    <w:rsid w:val="76213B3B"/>
    <w:rsid w:val="76216163"/>
    <w:rsid w:val="764F2F0A"/>
    <w:rsid w:val="765571EA"/>
    <w:rsid w:val="76A461D4"/>
    <w:rsid w:val="76A73B1A"/>
    <w:rsid w:val="76AB0CA2"/>
    <w:rsid w:val="76BA1192"/>
    <w:rsid w:val="76C63DCF"/>
    <w:rsid w:val="76F17781"/>
    <w:rsid w:val="76FB3C12"/>
    <w:rsid w:val="76FE20D9"/>
    <w:rsid w:val="77162903"/>
    <w:rsid w:val="77226778"/>
    <w:rsid w:val="77263DBD"/>
    <w:rsid w:val="77336895"/>
    <w:rsid w:val="77445CF8"/>
    <w:rsid w:val="77484441"/>
    <w:rsid w:val="77754523"/>
    <w:rsid w:val="77972AD8"/>
    <w:rsid w:val="77A61E98"/>
    <w:rsid w:val="77A9027B"/>
    <w:rsid w:val="77B13D57"/>
    <w:rsid w:val="77BF451D"/>
    <w:rsid w:val="77C01959"/>
    <w:rsid w:val="77CD7716"/>
    <w:rsid w:val="77E97520"/>
    <w:rsid w:val="77EC02E0"/>
    <w:rsid w:val="780157AF"/>
    <w:rsid w:val="781E7A21"/>
    <w:rsid w:val="78451E59"/>
    <w:rsid w:val="78716DFB"/>
    <w:rsid w:val="787E4B41"/>
    <w:rsid w:val="78800FB6"/>
    <w:rsid w:val="788730B2"/>
    <w:rsid w:val="789557C8"/>
    <w:rsid w:val="78A40CC0"/>
    <w:rsid w:val="78BD7672"/>
    <w:rsid w:val="78DB40D7"/>
    <w:rsid w:val="78E9759C"/>
    <w:rsid w:val="79044F2B"/>
    <w:rsid w:val="79093028"/>
    <w:rsid w:val="790B1A65"/>
    <w:rsid w:val="791A76E1"/>
    <w:rsid w:val="792F7901"/>
    <w:rsid w:val="798F1FF0"/>
    <w:rsid w:val="79956BFA"/>
    <w:rsid w:val="79D32708"/>
    <w:rsid w:val="79E53B1C"/>
    <w:rsid w:val="79E62824"/>
    <w:rsid w:val="79EB6C4C"/>
    <w:rsid w:val="7A003903"/>
    <w:rsid w:val="7A0637E3"/>
    <w:rsid w:val="7A0E5C31"/>
    <w:rsid w:val="7A1B4AA5"/>
    <w:rsid w:val="7A292684"/>
    <w:rsid w:val="7A2B63F4"/>
    <w:rsid w:val="7A6F1147"/>
    <w:rsid w:val="7A7A30F9"/>
    <w:rsid w:val="7A7B6B4B"/>
    <w:rsid w:val="7AC9227A"/>
    <w:rsid w:val="7AD16ED6"/>
    <w:rsid w:val="7AE967F4"/>
    <w:rsid w:val="7AEE2FC9"/>
    <w:rsid w:val="7AF53B71"/>
    <w:rsid w:val="7B1974CA"/>
    <w:rsid w:val="7B283BF5"/>
    <w:rsid w:val="7B2E02AC"/>
    <w:rsid w:val="7B2E3D5F"/>
    <w:rsid w:val="7B522D97"/>
    <w:rsid w:val="7B5718DE"/>
    <w:rsid w:val="7B697148"/>
    <w:rsid w:val="7B717275"/>
    <w:rsid w:val="7B846B6C"/>
    <w:rsid w:val="7B921FEC"/>
    <w:rsid w:val="7BA45E42"/>
    <w:rsid w:val="7BA833D0"/>
    <w:rsid w:val="7BAE201C"/>
    <w:rsid w:val="7BB64DEA"/>
    <w:rsid w:val="7BB66C83"/>
    <w:rsid w:val="7BCB09F4"/>
    <w:rsid w:val="7BD41794"/>
    <w:rsid w:val="7BE9134E"/>
    <w:rsid w:val="7BF32188"/>
    <w:rsid w:val="7C0D51F2"/>
    <w:rsid w:val="7C1C4BB8"/>
    <w:rsid w:val="7C4D5EFF"/>
    <w:rsid w:val="7C5D0A9A"/>
    <w:rsid w:val="7C7A5EFF"/>
    <w:rsid w:val="7C8860F5"/>
    <w:rsid w:val="7CAF363A"/>
    <w:rsid w:val="7CB16849"/>
    <w:rsid w:val="7CBC2A38"/>
    <w:rsid w:val="7CC60D44"/>
    <w:rsid w:val="7CC81B98"/>
    <w:rsid w:val="7CCB79C4"/>
    <w:rsid w:val="7CD77022"/>
    <w:rsid w:val="7CDA2BFA"/>
    <w:rsid w:val="7CF05D00"/>
    <w:rsid w:val="7D0B0248"/>
    <w:rsid w:val="7D252A40"/>
    <w:rsid w:val="7D256BEE"/>
    <w:rsid w:val="7D2B3485"/>
    <w:rsid w:val="7D464E50"/>
    <w:rsid w:val="7D5745A2"/>
    <w:rsid w:val="7D784C86"/>
    <w:rsid w:val="7D9A2284"/>
    <w:rsid w:val="7DBD11CE"/>
    <w:rsid w:val="7DC42EDA"/>
    <w:rsid w:val="7DE32D8C"/>
    <w:rsid w:val="7DE82687"/>
    <w:rsid w:val="7E017023"/>
    <w:rsid w:val="7E215663"/>
    <w:rsid w:val="7E5A1D97"/>
    <w:rsid w:val="7E6E01A1"/>
    <w:rsid w:val="7E8B2513"/>
    <w:rsid w:val="7E972E1C"/>
    <w:rsid w:val="7E9C4E52"/>
    <w:rsid w:val="7E9C730C"/>
    <w:rsid w:val="7EAA248B"/>
    <w:rsid w:val="7EB4234B"/>
    <w:rsid w:val="7EB7078A"/>
    <w:rsid w:val="7EDE60C9"/>
    <w:rsid w:val="7EE824AA"/>
    <w:rsid w:val="7EFE7867"/>
    <w:rsid w:val="7F0567BE"/>
    <w:rsid w:val="7F1259E3"/>
    <w:rsid w:val="7F1504E8"/>
    <w:rsid w:val="7F15186B"/>
    <w:rsid w:val="7F1D7E22"/>
    <w:rsid w:val="7F253871"/>
    <w:rsid w:val="7F254C40"/>
    <w:rsid w:val="7F3347DA"/>
    <w:rsid w:val="7F456B00"/>
    <w:rsid w:val="7F4F28CC"/>
    <w:rsid w:val="7F504110"/>
    <w:rsid w:val="7F52321E"/>
    <w:rsid w:val="7F6A6A28"/>
    <w:rsid w:val="7F771227"/>
    <w:rsid w:val="7FA40286"/>
    <w:rsid w:val="7FA70191"/>
    <w:rsid w:val="7FC06FDB"/>
    <w:rsid w:val="7FE90BE5"/>
    <w:rsid w:val="7FEA7A6C"/>
    <w:rsid w:val="7FF00271"/>
    <w:rsid w:val="7FF14126"/>
    <w:rsid w:val="7FF36FE0"/>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6">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link w:val="25"/>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8">
    <w:name w:val="Normal Indent"/>
    <w:basedOn w:val="1"/>
    <w:qFormat/>
    <w:uiPriority w:val="0"/>
    <w:pPr>
      <w:ind w:firstLine="420"/>
    </w:pPr>
    <w:rPr>
      <w:szCs w:val="20"/>
    </w:rPr>
  </w:style>
  <w:style w:type="paragraph" w:styleId="9">
    <w:name w:val="annotation text"/>
    <w:basedOn w:val="1"/>
    <w:qFormat/>
    <w:uiPriority w:val="0"/>
    <w:pPr>
      <w:widowControl w:val="0"/>
      <w:adjustRightInd w:val="0"/>
      <w:spacing w:line="360" w:lineRule="atLeast"/>
    </w:pPr>
    <w:rPr>
      <w:sz w:val="24"/>
    </w:rPr>
  </w:style>
  <w:style w:type="paragraph" w:styleId="10">
    <w:name w:val="Salutation"/>
    <w:basedOn w:val="1"/>
    <w:next w:val="1"/>
    <w:qFormat/>
    <w:uiPriority w:val="0"/>
    <w:rPr>
      <w:sz w:val="24"/>
      <w:szCs w:val="20"/>
    </w:rPr>
  </w:style>
  <w:style w:type="paragraph" w:styleId="11">
    <w:name w:val="Body Text 3"/>
    <w:basedOn w:val="1"/>
    <w:qFormat/>
    <w:uiPriority w:val="0"/>
    <w:pPr>
      <w:widowControl/>
      <w:jc w:val="left"/>
    </w:pPr>
    <w:rPr>
      <w:rFonts w:ascii="宋体" w:eastAsia="宋体"/>
      <w:kern w:val="2"/>
      <w:sz w:val="28"/>
      <w:lang w:val="en-US" w:eastAsia="zh-CN" w:bidi="ar-SA"/>
    </w:rPr>
  </w:style>
  <w:style w:type="paragraph" w:styleId="12">
    <w:name w:val="Body Text"/>
    <w:basedOn w:val="1"/>
    <w:qFormat/>
    <w:uiPriority w:val="0"/>
    <w:pPr>
      <w:spacing w:after="120" w:afterLines="0"/>
    </w:pPr>
  </w:style>
  <w:style w:type="paragraph" w:styleId="13">
    <w:name w:val="Body Text Indent"/>
    <w:basedOn w:val="1"/>
    <w:qFormat/>
    <w:uiPriority w:val="0"/>
    <w:pPr>
      <w:adjustRightInd w:val="0"/>
      <w:snapToGrid w:val="0"/>
      <w:spacing w:line="360" w:lineRule="auto"/>
      <w:ind w:firstLine="420" w:firstLineChars="200"/>
    </w:pPr>
    <w:rPr>
      <w:rFonts w:ascii="Calibri" w:hAnsi="Calibri"/>
      <w:kern w:val="0"/>
      <w:sz w:val="20"/>
    </w:rPr>
  </w:style>
  <w:style w:type="paragraph" w:styleId="14">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qFormat/>
    <w:uiPriority w:val="0"/>
    <w:rPr>
      <w:sz w:val="44"/>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Continue 2"/>
    <w:basedOn w:val="1"/>
    <w:qFormat/>
    <w:uiPriority w:val="0"/>
    <w:pPr>
      <w:spacing w:after="120" w:afterLines="0"/>
      <w:ind w:left="840" w:leftChars="400"/>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2"/>
    <w:qFormat/>
    <w:uiPriority w:val="0"/>
    <w:pPr>
      <w:spacing w:after="120"/>
      <w:ind w:firstLine="420" w:firstLineChars="100"/>
      <w:jc w:val="both"/>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默认段落字体 Para Char"/>
    <w:basedOn w:val="1"/>
    <w:link w:val="24"/>
    <w:qFormat/>
    <w:uiPriority w:val="0"/>
    <w:pPr>
      <w:tabs>
        <w:tab w:val="left" w:pos="720"/>
      </w:tabs>
      <w:ind w:left="720" w:hanging="720"/>
    </w:pPr>
  </w:style>
  <w:style w:type="character" w:styleId="26">
    <w:name w:val="Strong"/>
    <w:basedOn w:val="24"/>
    <w:qFormat/>
    <w:uiPriority w:val="0"/>
    <w:rPr>
      <w:b/>
    </w:rPr>
  </w:style>
  <w:style w:type="character" w:styleId="27">
    <w:name w:val="FollowedHyperlink"/>
    <w:basedOn w:val="24"/>
    <w:qFormat/>
    <w:uiPriority w:val="0"/>
    <w:rPr>
      <w:color w:val="800080"/>
      <w:u w:val="single"/>
    </w:rPr>
  </w:style>
  <w:style w:type="character" w:styleId="28">
    <w:name w:val="Hyperlink"/>
    <w:basedOn w:val="24"/>
    <w:qFormat/>
    <w:uiPriority w:val="0"/>
    <w:rPr>
      <w:color w:val="0000FF"/>
      <w:u w:val="single"/>
    </w:rPr>
  </w:style>
  <w:style w:type="paragraph" w:customStyle="1" w:styleId="29">
    <w:name w:val="正文缩进1"/>
    <w:basedOn w:val="1"/>
    <w:qFormat/>
    <w:uiPriority w:val="0"/>
    <w:pPr>
      <w:ind w:firstLine="420" w:firstLineChars="200"/>
    </w:pPr>
  </w:style>
  <w:style w:type="paragraph" w:customStyle="1" w:styleId="30">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1">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3">
    <w:name w:val="目录"/>
    <w:basedOn w:val="1"/>
    <w:qFormat/>
    <w:uiPriority w:val="0"/>
    <w:pPr>
      <w:jc w:val="center"/>
    </w:pPr>
    <w:rPr>
      <w:rFonts w:ascii="宋体"/>
      <w:b/>
      <w:sz w:val="36"/>
    </w:rPr>
  </w:style>
  <w:style w:type="character" w:customStyle="1" w:styleId="34">
    <w:name w:val="page number"/>
    <w:basedOn w:val="24"/>
    <w:qFormat/>
    <w:uiPriority w:val="0"/>
  </w:style>
  <w:style w:type="paragraph" w:customStyle="1" w:styleId="35">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6">
    <w:name w:val="标题 3_0"/>
    <w:basedOn w:val="35"/>
    <w:next w:val="35"/>
    <w:unhideWhenUsed/>
    <w:qFormat/>
    <w:uiPriority w:val="0"/>
    <w:pPr>
      <w:keepNext/>
      <w:keepLines/>
      <w:spacing w:before="260" w:after="260" w:line="416" w:lineRule="auto"/>
      <w:outlineLvl w:val="2"/>
    </w:pPr>
    <w:rPr>
      <w:rFonts w:ascii="Calibri" w:hAnsi="Calibri"/>
      <w:b/>
      <w:bCs/>
      <w:sz w:val="32"/>
      <w:szCs w:val="32"/>
    </w:rPr>
  </w:style>
  <w:style w:type="paragraph" w:customStyle="1" w:styleId="37">
    <w:name w:val="标题 4_0"/>
    <w:basedOn w:val="35"/>
    <w:next w:val="35"/>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38">
    <w:name w:val="List Paragraph"/>
    <w:basedOn w:val="1"/>
    <w:qFormat/>
    <w:uiPriority w:val="0"/>
    <w:pPr>
      <w:widowControl/>
      <w:ind w:left="720" w:firstLine="360"/>
      <w:jc w:val="left"/>
    </w:pPr>
    <w:rPr>
      <w:kern w:val="0"/>
      <w:sz w:val="22"/>
      <w:lang w:eastAsia="en-US"/>
    </w:rPr>
  </w:style>
  <w:style w:type="paragraph" w:customStyle="1" w:styleId="39">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0">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1">
    <w:name w:val="目录文字"/>
    <w:basedOn w:val="1"/>
    <w:qFormat/>
    <w:uiPriority w:val="0"/>
    <w:pPr>
      <w:spacing w:line="480" w:lineRule="auto"/>
    </w:pPr>
    <w:rPr>
      <w:rFonts w:ascii="宋体" w:hAnsi="宋体"/>
      <w:sz w:val="24"/>
    </w:rPr>
  </w:style>
  <w:style w:type="paragraph" w:customStyle="1" w:styleId="4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19661</Words>
  <Characters>20277</Characters>
  <Lines>0</Lines>
  <Paragraphs>0</Paragraphs>
  <TotalTime>45</TotalTime>
  <ScaleCrop>false</ScaleCrop>
  <LinksUpToDate>false</LinksUpToDate>
  <CharactersWithSpaces>22092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随风</cp:lastModifiedBy>
  <cp:lastPrinted>2019-10-16T06:28:00Z</cp:lastPrinted>
  <dcterms:modified xsi:type="dcterms:W3CDTF">2023-03-23T06:11:41Z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1F96AD3E18B943B09BBA823788F0618C</vt:lpwstr>
  </property>
</Properties>
</file>