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shd w:val="clear" w:fill="FFFFFF"/>
          <w:lang w:val="en-US" w:eastAsia="zh-CN" w:bidi="ar"/>
        </w:rPr>
        <w:t>富县牛武镇人民政府环卫一体化运营项目竞争性谈判公告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环卫一体化运营项目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2023年04月25日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项目编号：ZXZC2023-014</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项目名称：环卫一体化运营项目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预算金额：1,847,970.00元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合同包1(环卫一体化运营项目):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合同包预算金额：1,847,970.00元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合同包最高限价：1,847,970.00元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62"/>
        <w:gridCol w:w="1740"/>
        <w:gridCol w:w="662"/>
        <w:gridCol w:w="1027"/>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7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其他服务</w:t>
            </w:r>
          </w:p>
        </w:tc>
        <w:tc>
          <w:tcPr>
            <w:tcW w:w="11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1847970.00</w:t>
            </w:r>
          </w:p>
        </w:tc>
        <w:tc>
          <w:tcPr>
            <w:tcW w:w="4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79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1,847,970.00</w:t>
            </w:r>
          </w:p>
        </w:tc>
        <w:tc>
          <w:tcPr>
            <w:tcW w:w="58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1,847,970.00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二、申请人的资格要求：</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合同包1(环卫一体化运营项目)落实政府采购政策需满足的资格要求如下: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合同包1(环卫一体化运营项目)特定资格要求如下: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3.2法定代表人授权书（附法定代表人身份证复印件）及被授权人身份证（法定代表人直接参加开标只须提供法定代表人身份证）；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3.3税收缴纳证明：提供2022年至今任意1个月依法缴纳税收证明，依法免税的单位应提供相关证明材料。（复印件加盖投标人公章）；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投标人应在投标截止日前未被列入失信被执行人、重大税收违法案件当事人名单、政府采购严重违法失信行为记录名单（处罚期限届满的除外）（以“信用中国”网站（www.creditchina.gov.cn）及中国政府采购网（www.ccgp.gov.cn）查询结果为准，提供网站截图（查询日期为从招标文件发售之日起至投标截止日前）并加盖供应商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2023年04月18日 至 2023年04月20日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2023年04月25日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2023年04月25日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注：1.领取谈判文件时请于发售时间内(上午9:00-12:00,下午14:00-17:00）携带单位介绍信及本人有效身份证原件加盖公章（鲜章）复印件一份（谢绝邮寄）。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      2.【请供应商按照陕西省财政厅关于政府采购供应商注册登记有关事项的通知中的要求，通过陕西省政府采购网注册登记加入陕西省政府采购供应商库。】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bdr w:val="none" w:color="auto" w:sz="0" w:space="0"/>
          <w:shd w:val="clear" w:fill="FFFFFF"/>
        </w:rPr>
        <w:t>      3.  本项目专门面向中小企业。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富县牛武镇人民政府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富县牛武镇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18220141983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0911-8892737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0911-8892737</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陕西泽信项目管理有限公司</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1DA5166B"/>
    <w:rsid w:val="2A79500A"/>
    <w:rsid w:val="6CE6449B"/>
    <w:rsid w:val="6FD9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430</Characters>
  <Lines>0</Lines>
  <Paragraphs>0</Paragraphs>
  <TotalTime>7</TotalTime>
  <ScaleCrop>false</ScaleCrop>
  <LinksUpToDate>false</LinksUpToDate>
  <CharactersWithSpaces>432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2023-04-14T08:06:32Z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166C870C9E0243DEB7A3E4350AA09DE1</vt:lpwstr>
  </property>
</Properties>
</file>