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D83E" w14:textId="12BF903F" w:rsidR="00077FC4" w:rsidRDefault="00077FC4">
      <w:pPr>
        <w:spacing w:line="640" w:lineRule="exact"/>
        <w:jc w:val="center"/>
        <w:outlineLvl w:val="0"/>
        <w:rPr>
          <w:rFonts w:ascii="仿宋" w:eastAsia="仿宋" w:hAnsi="仿宋" w:cs="仿宋"/>
          <w:b/>
          <w:bCs/>
          <w:sz w:val="44"/>
          <w:szCs w:val="44"/>
        </w:rPr>
      </w:pPr>
      <w:r w:rsidRPr="00077FC4">
        <w:rPr>
          <w:rFonts w:ascii="仿宋" w:eastAsia="仿宋" w:hAnsi="仿宋" w:cs="仿宋" w:hint="eastAsia"/>
          <w:b/>
          <w:bCs/>
          <w:sz w:val="44"/>
          <w:szCs w:val="44"/>
        </w:rPr>
        <w:t>黄陵县2023年全域公路沿线绿化花草种子采购项目</w:t>
      </w:r>
    </w:p>
    <w:p w14:paraId="789ADC9D" w14:textId="0A03A9D6" w:rsidR="00184A5D" w:rsidRDefault="00B641C9">
      <w:pPr>
        <w:spacing w:line="640" w:lineRule="exact"/>
        <w:jc w:val="center"/>
        <w:outlineLvl w:val="0"/>
        <w:rPr>
          <w:rFonts w:ascii="仿宋" w:eastAsia="仿宋" w:hAnsi="仿宋" w:cs="仿宋"/>
          <w:b/>
          <w:bCs/>
        </w:rPr>
      </w:pPr>
      <w:r>
        <w:rPr>
          <w:rFonts w:ascii="仿宋" w:eastAsia="仿宋" w:hAnsi="仿宋" w:cs="仿宋" w:hint="eastAsia"/>
          <w:b/>
          <w:bCs/>
          <w:sz w:val="44"/>
          <w:szCs w:val="44"/>
        </w:rPr>
        <w:t xml:space="preserve">采购需求 </w:t>
      </w:r>
    </w:p>
    <w:p w14:paraId="680E7C3A" w14:textId="77777777" w:rsidR="00184A5D" w:rsidRDefault="00B641C9">
      <w:pPr>
        <w:spacing w:line="480" w:lineRule="auto"/>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一、基本要求</w:t>
      </w:r>
    </w:p>
    <w:p w14:paraId="0EC0AD64" w14:textId="16308AF0"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1、功能要求：采购花籽4</w:t>
      </w:r>
      <w:r w:rsidR="00077FC4">
        <w:rPr>
          <w:rFonts w:ascii="仿宋" w:eastAsia="仿宋" w:hAnsi="仿宋" w:cs="仿宋"/>
          <w:sz w:val="28"/>
          <w:szCs w:val="28"/>
        </w:rPr>
        <w:t>400</w:t>
      </w:r>
      <w:r>
        <w:rPr>
          <w:rFonts w:ascii="仿宋" w:eastAsia="仿宋" w:hAnsi="仿宋" w:cs="仿宋" w:hint="eastAsia"/>
          <w:sz w:val="28"/>
          <w:szCs w:val="28"/>
        </w:rPr>
        <w:t>公斤。</w:t>
      </w:r>
    </w:p>
    <w:p w14:paraId="10C89386"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2、采购项目需要落实的政府采购政策：（1）、《政府采购促进中小企业发展管理办法》的</w:t>
      </w:r>
      <w:proofErr w:type="gramStart"/>
      <w:r>
        <w:rPr>
          <w:rFonts w:ascii="仿宋" w:eastAsia="仿宋" w:hAnsi="仿宋" w:cs="仿宋" w:hint="eastAsia"/>
          <w:sz w:val="28"/>
          <w:szCs w:val="28"/>
        </w:rPr>
        <w:t>通知—财库</w:t>
      </w:r>
      <w:proofErr w:type="gramEnd"/>
      <w:r>
        <w:rPr>
          <w:rFonts w:ascii="仿宋" w:eastAsia="仿宋" w:hAnsi="仿宋" w:cs="仿宋" w:hint="eastAsia"/>
          <w:sz w:val="28"/>
          <w:szCs w:val="28"/>
        </w:rPr>
        <w:t xml:space="preserve">[2020]46号） （2）、陕西省财政厅关于印发《陕西省中小企业政府采购信用融资办法》--(陕财办采[2018]23号)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 （7）、《财政部发展改革委生态环境部市场监督总局关于调整优化节能产品、环境标志产品政府采购执行机制的通知》--（财库[2019]9号） （8）、《市场监督总局关于发布参与实施政府采购节能产品、环境标志产品认证机构名录的公告》—2019年第16号 （9）、《财政部民政部中国残疾人联合会关于促进残疾人就业政府采购政策的通知》--（财库〔2017〕141号） (10）、《财政部国务院扶贫办关于运用政府采购政策支持脱贫攻坚的通知》（财库〔2019〕27号）（11）、 《关于运用政府采购政策支持乡村产业振兴的通知》（财库〔2021〕19 号）（12）、其他需要落实的政府采购政策。 </w:t>
      </w:r>
    </w:p>
    <w:p w14:paraId="79D02603"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3、交货期要求：自合同签订后15个日历日内。</w:t>
      </w:r>
    </w:p>
    <w:p w14:paraId="414F32FB"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4、交货地点：采购人指定地点。</w:t>
      </w:r>
    </w:p>
    <w:p w14:paraId="1663A49F" w14:textId="77777777" w:rsidR="00184A5D" w:rsidRDefault="00B641C9">
      <w:pPr>
        <w:spacing w:line="480" w:lineRule="auto"/>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二、需执行的国家相关标准、行业标准、地方标准或者其他标准、规范</w:t>
      </w:r>
    </w:p>
    <w:p w14:paraId="07AF2EA6"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1、国家现行和相关技术规程；</w:t>
      </w:r>
    </w:p>
    <w:p w14:paraId="669D4356"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2、行业标准、规范；</w:t>
      </w:r>
    </w:p>
    <w:p w14:paraId="3A2D1A73" w14:textId="77777777" w:rsidR="00184A5D" w:rsidRDefault="00B641C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3、项目所在地行业的标准、规范；</w:t>
      </w:r>
    </w:p>
    <w:p w14:paraId="6F5C904E" w14:textId="77777777" w:rsidR="00184A5D" w:rsidRDefault="00B641C9">
      <w:pPr>
        <w:spacing w:afterLines="100" w:after="312" w:line="480" w:lineRule="auto"/>
        <w:ind w:firstLineChars="200" w:firstLine="560"/>
        <w:outlineLvl w:val="0"/>
        <w:rPr>
          <w:rFonts w:ascii="仿宋" w:eastAsia="仿宋" w:hAnsi="仿宋" w:cs="仿宋"/>
          <w:sz w:val="28"/>
          <w:szCs w:val="28"/>
        </w:rPr>
      </w:pPr>
      <w:r>
        <w:rPr>
          <w:rFonts w:ascii="仿宋" w:eastAsia="仿宋" w:hAnsi="仿宋" w:cs="仿宋" w:hint="eastAsia"/>
          <w:sz w:val="28"/>
          <w:szCs w:val="28"/>
        </w:rPr>
        <w:t>4、采购人的具体要求。</w:t>
      </w:r>
    </w:p>
    <w:p w14:paraId="4D18FB11" w14:textId="77777777" w:rsidR="00184A5D" w:rsidRDefault="00B641C9">
      <w:pPr>
        <w:spacing w:afterLines="100" w:after="312" w:line="480" w:lineRule="auto"/>
        <w:ind w:firstLineChars="200" w:firstLine="562"/>
        <w:outlineLvl w:val="0"/>
        <w:rPr>
          <w:rFonts w:ascii="仿宋" w:eastAsia="仿宋" w:hAnsi="仿宋" w:cs="仿宋"/>
          <w:sz w:val="28"/>
          <w:szCs w:val="28"/>
        </w:rPr>
      </w:pPr>
      <w:r>
        <w:rPr>
          <w:rFonts w:ascii="仿宋" w:eastAsia="仿宋" w:hAnsi="仿宋" w:cs="仿宋" w:hint="eastAsia"/>
          <w:b/>
          <w:bCs/>
          <w:sz w:val="28"/>
          <w:szCs w:val="28"/>
        </w:rPr>
        <w:t>三、采购标的</w:t>
      </w:r>
      <w:proofErr w:type="gramStart"/>
      <w:r>
        <w:rPr>
          <w:rFonts w:ascii="仿宋" w:eastAsia="仿宋" w:hAnsi="仿宋" w:cs="仿宋" w:hint="eastAsia"/>
          <w:b/>
          <w:bCs/>
          <w:sz w:val="28"/>
          <w:szCs w:val="28"/>
        </w:rPr>
        <w:t>物内容</w:t>
      </w:r>
      <w:proofErr w:type="gramEnd"/>
      <w:r>
        <w:rPr>
          <w:rFonts w:ascii="仿宋" w:eastAsia="仿宋" w:hAnsi="仿宋" w:cs="仿宋" w:hint="eastAsia"/>
          <w:b/>
          <w:bCs/>
          <w:sz w:val="28"/>
          <w:szCs w:val="28"/>
        </w:rPr>
        <w:t>及数量</w:t>
      </w:r>
    </w:p>
    <w:tbl>
      <w:tblPr>
        <w:tblW w:w="8946" w:type="dxa"/>
        <w:tblCellMar>
          <w:left w:w="0" w:type="dxa"/>
          <w:right w:w="0" w:type="dxa"/>
        </w:tblCellMar>
        <w:tblLook w:val="04A0" w:firstRow="1" w:lastRow="0" w:firstColumn="1" w:lastColumn="0" w:noHBand="0" w:noVBand="1"/>
      </w:tblPr>
      <w:tblGrid>
        <w:gridCol w:w="724"/>
        <w:gridCol w:w="2268"/>
        <w:gridCol w:w="1418"/>
        <w:gridCol w:w="1984"/>
        <w:gridCol w:w="1559"/>
        <w:gridCol w:w="993"/>
      </w:tblGrid>
      <w:tr w:rsidR="00184A5D" w14:paraId="55254FDA" w14:textId="77777777" w:rsidTr="00A86CD7">
        <w:trPr>
          <w:trHeight w:val="1555"/>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4A965" w14:textId="77777777" w:rsidR="00184A5D" w:rsidRPr="00A86CD7" w:rsidRDefault="00B641C9">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序号</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AC368F2" w14:textId="77777777" w:rsidR="00184A5D" w:rsidRPr="00A86CD7" w:rsidRDefault="00B641C9">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产品名称</w:t>
            </w:r>
          </w:p>
        </w:tc>
        <w:tc>
          <w:tcPr>
            <w:tcW w:w="1418"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59E0347" w14:textId="1438495F" w:rsidR="00184A5D" w:rsidRPr="00A86CD7" w:rsidRDefault="00077FC4">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规格</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9F07BE9" w14:textId="26E9CFCD" w:rsidR="00184A5D" w:rsidRPr="00A86CD7" w:rsidRDefault="00077FC4">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净度/牙率(%)</w:t>
            </w:r>
          </w:p>
        </w:tc>
        <w:tc>
          <w:tcPr>
            <w:tcW w:w="1559" w:type="dxa"/>
            <w:tcBorders>
              <w:top w:val="single" w:sz="4" w:space="0" w:color="auto"/>
              <w:left w:val="nil"/>
              <w:bottom w:val="single" w:sz="4" w:space="0" w:color="auto"/>
              <w:right w:val="single" w:sz="4" w:space="0" w:color="auto"/>
            </w:tcBorders>
            <w:vAlign w:val="center"/>
          </w:tcPr>
          <w:p w14:paraId="69CE4733" w14:textId="77777777" w:rsidR="00184A5D" w:rsidRPr="00A86CD7" w:rsidRDefault="00B641C9">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数量（公斤）</w:t>
            </w:r>
          </w:p>
        </w:tc>
        <w:tc>
          <w:tcPr>
            <w:tcW w:w="993" w:type="dxa"/>
            <w:tcBorders>
              <w:top w:val="single" w:sz="4" w:space="0" w:color="auto"/>
              <w:left w:val="nil"/>
              <w:bottom w:val="single" w:sz="4" w:space="0" w:color="auto"/>
              <w:right w:val="single" w:sz="4" w:space="0" w:color="auto"/>
            </w:tcBorders>
            <w:vAlign w:val="center"/>
          </w:tcPr>
          <w:p w14:paraId="298E5A27" w14:textId="77777777" w:rsidR="00184A5D" w:rsidRPr="00A86CD7" w:rsidRDefault="00B641C9">
            <w:pPr>
              <w:widowControl/>
              <w:spacing w:line="480" w:lineRule="auto"/>
              <w:jc w:val="center"/>
              <w:textAlignment w:val="center"/>
              <w:rPr>
                <w:rFonts w:ascii="仿宋" w:eastAsia="仿宋" w:hAnsi="仿宋" w:cs="仿宋"/>
                <w:b/>
                <w:bCs/>
                <w:sz w:val="28"/>
                <w:szCs w:val="28"/>
              </w:rPr>
            </w:pPr>
            <w:r w:rsidRPr="00A86CD7">
              <w:rPr>
                <w:rFonts w:ascii="仿宋" w:eastAsia="仿宋" w:hAnsi="仿宋" w:cs="仿宋" w:hint="eastAsia"/>
                <w:b/>
                <w:bCs/>
                <w:sz w:val="28"/>
                <w:szCs w:val="28"/>
              </w:rPr>
              <w:t>备注</w:t>
            </w:r>
          </w:p>
        </w:tc>
      </w:tr>
      <w:tr w:rsidR="00077FC4" w14:paraId="53654B41"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753531"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1</w:t>
            </w:r>
          </w:p>
        </w:tc>
        <w:tc>
          <w:tcPr>
            <w:tcW w:w="22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8647DC" w14:textId="079B3DFC" w:rsidR="00077FC4" w:rsidRPr="00A86CD7" w:rsidRDefault="00077FC4" w:rsidP="00077FC4">
            <w:pPr>
              <w:widowControl/>
              <w:spacing w:line="480" w:lineRule="auto"/>
              <w:jc w:val="center"/>
              <w:textAlignment w:val="center"/>
              <w:rPr>
                <w:rFonts w:ascii="仿宋" w:eastAsia="仿宋" w:hAnsi="仿宋" w:cs="仿宋"/>
                <w:sz w:val="28"/>
                <w:szCs w:val="28"/>
              </w:rPr>
            </w:pPr>
            <w:proofErr w:type="gramStart"/>
            <w:r w:rsidRPr="00A86CD7">
              <w:rPr>
                <w:rFonts w:ascii="仿宋" w:eastAsia="仿宋" w:hAnsi="仿宋" w:cs="仿宋" w:hint="eastAsia"/>
                <w:sz w:val="28"/>
                <w:szCs w:val="28"/>
              </w:rPr>
              <w:t>硫化菊</w:t>
            </w:r>
            <w:proofErr w:type="gramEnd"/>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F7918" w14:textId="5F300C94"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557412" w14:textId="490022F5"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0E52B507" w14:textId="4F4B8BB9"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700</w:t>
            </w:r>
          </w:p>
        </w:tc>
        <w:tc>
          <w:tcPr>
            <w:tcW w:w="993" w:type="dxa"/>
            <w:tcBorders>
              <w:top w:val="single" w:sz="4" w:space="0" w:color="auto"/>
              <w:left w:val="single" w:sz="4" w:space="0" w:color="auto"/>
              <w:bottom w:val="single" w:sz="4" w:space="0" w:color="auto"/>
              <w:right w:val="single" w:sz="4" w:space="0" w:color="auto"/>
            </w:tcBorders>
            <w:vAlign w:val="center"/>
          </w:tcPr>
          <w:p w14:paraId="15F782E5"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r w:rsidR="00077FC4" w14:paraId="710248C0"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04E210"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2</w:t>
            </w:r>
          </w:p>
        </w:tc>
        <w:tc>
          <w:tcPr>
            <w:tcW w:w="2268" w:type="dxa"/>
            <w:tcBorders>
              <w:top w:val="single" w:sz="4" w:space="0" w:color="auto"/>
              <w:left w:val="nil"/>
              <w:bottom w:val="single" w:sz="4" w:space="0" w:color="auto"/>
              <w:right w:val="nil"/>
            </w:tcBorders>
            <w:tcMar>
              <w:top w:w="15" w:type="dxa"/>
              <w:left w:w="15" w:type="dxa"/>
              <w:right w:w="15" w:type="dxa"/>
            </w:tcMar>
            <w:vAlign w:val="center"/>
          </w:tcPr>
          <w:p w14:paraId="06617DC5" w14:textId="11C5288F"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万寿菊</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22AF14" w14:textId="53186782" w:rsidR="00077FC4" w:rsidRPr="00A86CD7" w:rsidRDefault="00077FC4" w:rsidP="00077FC4">
            <w:pPr>
              <w:jc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EA37B29" w14:textId="1E5342B2"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nil"/>
              <w:bottom w:val="single" w:sz="4" w:space="0" w:color="auto"/>
              <w:right w:val="single" w:sz="4" w:space="0" w:color="auto"/>
            </w:tcBorders>
            <w:vAlign w:val="center"/>
          </w:tcPr>
          <w:p w14:paraId="60B8DF7C" w14:textId="3D2275CC"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600</w:t>
            </w:r>
          </w:p>
        </w:tc>
        <w:tc>
          <w:tcPr>
            <w:tcW w:w="993" w:type="dxa"/>
            <w:tcBorders>
              <w:top w:val="single" w:sz="4" w:space="0" w:color="auto"/>
              <w:left w:val="nil"/>
              <w:bottom w:val="single" w:sz="4" w:space="0" w:color="auto"/>
              <w:right w:val="single" w:sz="4" w:space="0" w:color="auto"/>
            </w:tcBorders>
            <w:vAlign w:val="center"/>
          </w:tcPr>
          <w:p w14:paraId="2F62812C"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r w:rsidR="00077FC4" w14:paraId="19052539"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ADF0CC"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3</w:t>
            </w:r>
          </w:p>
        </w:tc>
        <w:tc>
          <w:tcPr>
            <w:tcW w:w="2268" w:type="dxa"/>
            <w:tcBorders>
              <w:top w:val="single" w:sz="4" w:space="0" w:color="auto"/>
              <w:left w:val="nil"/>
              <w:bottom w:val="single" w:sz="4" w:space="0" w:color="auto"/>
              <w:right w:val="nil"/>
            </w:tcBorders>
            <w:tcMar>
              <w:top w:w="15" w:type="dxa"/>
              <w:left w:w="15" w:type="dxa"/>
              <w:right w:w="15" w:type="dxa"/>
            </w:tcMar>
            <w:vAlign w:val="center"/>
          </w:tcPr>
          <w:p w14:paraId="4EFBB679" w14:textId="6407F1E3"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百日草（杂色）</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941D3F" w14:textId="5C2D4E87" w:rsidR="00077FC4" w:rsidRPr="00A86CD7" w:rsidRDefault="00077FC4" w:rsidP="00077FC4">
            <w:pPr>
              <w:jc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232B2D5" w14:textId="59F777DD"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nil"/>
              <w:bottom w:val="single" w:sz="4" w:space="0" w:color="auto"/>
              <w:right w:val="single" w:sz="4" w:space="0" w:color="auto"/>
            </w:tcBorders>
            <w:vAlign w:val="center"/>
          </w:tcPr>
          <w:p w14:paraId="5E037104" w14:textId="265F226D"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2000</w:t>
            </w:r>
          </w:p>
        </w:tc>
        <w:tc>
          <w:tcPr>
            <w:tcW w:w="993" w:type="dxa"/>
            <w:tcBorders>
              <w:top w:val="single" w:sz="4" w:space="0" w:color="auto"/>
              <w:left w:val="nil"/>
              <w:bottom w:val="single" w:sz="4" w:space="0" w:color="auto"/>
              <w:right w:val="single" w:sz="4" w:space="0" w:color="auto"/>
            </w:tcBorders>
            <w:vAlign w:val="center"/>
          </w:tcPr>
          <w:p w14:paraId="451385E9"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r w:rsidR="00077FC4" w14:paraId="2C78E5CD"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71AC8F"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4</w:t>
            </w:r>
          </w:p>
        </w:tc>
        <w:tc>
          <w:tcPr>
            <w:tcW w:w="2268" w:type="dxa"/>
            <w:tcBorders>
              <w:top w:val="single" w:sz="4" w:space="0" w:color="auto"/>
              <w:left w:val="nil"/>
              <w:bottom w:val="single" w:sz="4" w:space="0" w:color="auto"/>
              <w:right w:val="nil"/>
            </w:tcBorders>
            <w:tcMar>
              <w:top w:w="15" w:type="dxa"/>
              <w:left w:w="15" w:type="dxa"/>
              <w:right w:w="15" w:type="dxa"/>
            </w:tcMar>
            <w:vAlign w:val="center"/>
          </w:tcPr>
          <w:p w14:paraId="24F5D446" w14:textId="26A99C18"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百日草（红色）</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DD51AF" w14:textId="682FD9C6" w:rsidR="00077FC4" w:rsidRPr="00A86CD7" w:rsidRDefault="00077FC4" w:rsidP="00077FC4">
            <w:pPr>
              <w:jc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693484B" w14:textId="6EEF8AF2"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nil"/>
              <w:bottom w:val="single" w:sz="4" w:space="0" w:color="auto"/>
              <w:right w:val="single" w:sz="4" w:space="0" w:color="auto"/>
            </w:tcBorders>
            <w:vAlign w:val="center"/>
          </w:tcPr>
          <w:p w14:paraId="2B49350C" w14:textId="02B733CC"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500</w:t>
            </w:r>
          </w:p>
        </w:tc>
        <w:tc>
          <w:tcPr>
            <w:tcW w:w="993" w:type="dxa"/>
            <w:tcBorders>
              <w:top w:val="single" w:sz="4" w:space="0" w:color="auto"/>
              <w:left w:val="nil"/>
              <w:bottom w:val="single" w:sz="4" w:space="0" w:color="auto"/>
              <w:right w:val="single" w:sz="4" w:space="0" w:color="auto"/>
            </w:tcBorders>
            <w:vAlign w:val="center"/>
          </w:tcPr>
          <w:p w14:paraId="3284D1FF"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r w:rsidR="00077FC4" w14:paraId="75BC2AB6"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14ABDC"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5</w:t>
            </w:r>
          </w:p>
        </w:tc>
        <w:tc>
          <w:tcPr>
            <w:tcW w:w="2268" w:type="dxa"/>
            <w:tcBorders>
              <w:top w:val="single" w:sz="4" w:space="0" w:color="auto"/>
              <w:left w:val="nil"/>
              <w:bottom w:val="single" w:sz="4" w:space="0" w:color="auto"/>
              <w:right w:val="nil"/>
            </w:tcBorders>
            <w:tcMar>
              <w:top w:w="15" w:type="dxa"/>
              <w:left w:w="15" w:type="dxa"/>
              <w:right w:w="15" w:type="dxa"/>
            </w:tcMar>
            <w:vAlign w:val="center"/>
          </w:tcPr>
          <w:p w14:paraId="7511EE36" w14:textId="57D52BD4"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百日草（橙色）</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EC7EE9" w14:textId="53DB89D0" w:rsidR="00077FC4" w:rsidRPr="00A86CD7" w:rsidRDefault="00077FC4" w:rsidP="00077FC4">
            <w:pPr>
              <w:jc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ACD7CB2" w14:textId="34A2A30B"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nil"/>
              <w:bottom w:val="single" w:sz="4" w:space="0" w:color="auto"/>
              <w:right w:val="single" w:sz="4" w:space="0" w:color="auto"/>
            </w:tcBorders>
            <w:vAlign w:val="center"/>
          </w:tcPr>
          <w:p w14:paraId="4835A084" w14:textId="555DEAC0"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300</w:t>
            </w:r>
          </w:p>
        </w:tc>
        <w:tc>
          <w:tcPr>
            <w:tcW w:w="993" w:type="dxa"/>
            <w:tcBorders>
              <w:top w:val="single" w:sz="4" w:space="0" w:color="auto"/>
              <w:left w:val="nil"/>
              <w:bottom w:val="single" w:sz="4" w:space="0" w:color="auto"/>
              <w:right w:val="single" w:sz="4" w:space="0" w:color="auto"/>
            </w:tcBorders>
            <w:vAlign w:val="center"/>
          </w:tcPr>
          <w:p w14:paraId="4C5BB85A"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r w:rsidR="00077FC4" w14:paraId="1E83157A" w14:textId="77777777" w:rsidTr="00A86CD7">
        <w:trPr>
          <w:trHeight w:val="793"/>
        </w:trPr>
        <w:tc>
          <w:tcPr>
            <w:tcW w:w="7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BF7609"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6</w:t>
            </w:r>
          </w:p>
        </w:tc>
        <w:tc>
          <w:tcPr>
            <w:tcW w:w="2268" w:type="dxa"/>
            <w:tcBorders>
              <w:top w:val="single" w:sz="4" w:space="0" w:color="auto"/>
              <w:left w:val="nil"/>
              <w:bottom w:val="single" w:sz="4" w:space="0" w:color="auto"/>
              <w:right w:val="nil"/>
            </w:tcBorders>
            <w:tcMar>
              <w:top w:w="15" w:type="dxa"/>
              <w:left w:w="15" w:type="dxa"/>
              <w:right w:w="15" w:type="dxa"/>
            </w:tcMar>
            <w:vAlign w:val="center"/>
          </w:tcPr>
          <w:p w14:paraId="22202318" w14:textId="06C982AA"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百日草（紫色）</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EF11CE" w14:textId="24B20AB9" w:rsidR="00077FC4" w:rsidRPr="00A86CD7" w:rsidRDefault="00077FC4" w:rsidP="00077FC4">
            <w:pPr>
              <w:jc w:val="center"/>
              <w:rPr>
                <w:rFonts w:ascii="仿宋" w:eastAsia="仿宋" w:hAnsi="仿宋" w:cs="仿宋"/>
                <w:sz w:val="28"/>
                <w:szCs w:val="28"/>
              </w:rPr>
            </w:pPr>
            <w:r w:rsidRPr="00A86CD7">
              <w:rPr>
                <w:rFonts w:ascii="仿宋" w:eastAsia="仿宋" w:hAnsi="仿宋" w:cs="仿宋" w:hint="eastAsia"/>
                <w:sz w:val="28"/>
                <w:szCs w:val="28"/>
              </w:rPr>
              <w:t>Ⅰ级</w:t>
            </w:r>
          </w:p>
        </w:tc>
        <w:tc>
          <w:tcPr>
            <w:tcW w:w="1984"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F8AED9D" w14:textId="18514D0E"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95%/8</w:t>
            </w:r>
            <w:r w:rsidRPr="00A86CD7">
              <w:rPr>
                <w:rFonts w:ascii="仿宋" w:eastAsia="仿宋" w:hAnsi="仿宋" w:cs="仿宋"/>
                <w:sz w:val="28"/>
                <w:szCs w:val="28"/>
              </w:rPr>
              <w:t>5</w:t>
            </w:r>
            <w:r w:rsidRPr="00A86CD7">
              <w:rPr>
                <w:rFonts w:ascii="仿宋" w:eastAsia="仿宋" w:hAnsi="仿宋" w:cs="仿宋" w:hint="eastAsia"/>
                <w:sz w:val="28"/>
                <w:szCs w:val="28"/>
              </w:rPr>
              <w:t>%</w:t>
            </w:r>
          </w:p>
        </w:tc>
        <w:tc>
          <w:tcPr>
            <w:tcW w:w="1559" w:type="dxa"/>
            <w:tcBorders>
              <w:top w:val="single" w:sz="4" w:space="0" w:color="auto"/>
              <w:left w:val="nil"/>
              <w:bottom w:val="single" w:sz="4" w:space="0" w:color="auto"/>
              <w:right w:val="single" w:sz="4" w:space="0" w:color="auto"/>
            </w:tcBorders>
            <w:vAlign w:val="center"/>
          </w:tcPr>
          <w:p w14:paraId="0FCAA1D0" w14:textId="1D969EC6" w:rsidR="00077FC4" w:rsidRPr="00A86CD7" w:rsidRDefault="00077FC4" w:rsidP="00077FC4">
            <w:pPr>
              <w:widowControl/>
              <w:spacing w:line="480" w:lineRule="auto"/>
              <w:jc w:val="center"/>
              <w:textAlignment w:val="center"/>
              <w:rPr>
                <w:rFonts w:ascii="仿宋" w:eastAsia="仿宋" w:hAnsi="仿宋" w:cs="仿宋"/>
                <w:sz w:val="28"/>
                <w:szCs w:val="28"/>
              </w:rPr>
            </w:pPr>
            <w:r w:rsidRPr="00A86CD7">
              <w:rPr>
                <w:rFonts w:ascii="仿宋" w:eastAsia="仿宋" w:hAnsi="仿宋" w:cs="仿宋" w:hint="eastAsia"/>
                <w:sz w:val="28"/>
                <w:szCs w:val="28"/>
              </w:rPr>
              <w:t>300</w:t>
            </w:r>
          </w:p>
        </w:tc>
        <w:tc>
          <w:tcPr>
            <w:tcW w:w="993" w:type="dxa"/>
            <w:tcBorders>
              <w:top w:val="single" w:sz="4" w:space="0" w:color="auto"/>
              <w:left w:val="nil"/>
              <w:bottom w:val="single" w:sz="4" w:space="0" w:color="auto"/>
              <w:right w:val="single" w:sz="4" w:space="0" w:color="auto"/>
            </w:tcBorders>
            <w:vAlign w:val="center"/>
          </w:tcPr>
          <w:p w14:paraId="6BAE731D" w14:textId="77777777" w:rsidR="00077FC4" w:rsidRPr="00A86CD7" w:rsidRDefault="00077FC4" w:rsidP="00077FC4">
            <w:pPr>
              <w:widowControl/>
              <w:spacing w:line="480" w:lineRule="auto"/>
              <w:jc w:val="center"/>
              <w:textAlignment w:val="center"/>
              <w:rPr>
                <w:rFonts w:ascii="仿宋" w:eastAsia="仿宋" w:hAnsi="仿宋" w:cs="仿宋"/>
                <w:sz w:val="28"/>
                <w:szCs w:val="28"/>
              </w:rPr>
            </w:pPr>
          </w:p>
        </w:tc>
      </w:tr>
    </w:tbl>
    <w:p w14:paraId="44A2AB26" w14:textId="77777777" w:rsidR="00184A5D" w:rsidRDefault="00B641C9">
      <w:pPr>
        <w:spacing w:line="480" w:lineRule="auto"/>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四、质量保证</w:t>
      </w:r>
    </w:p>
    <w:p w14:paraId="5BB5C888" w14:textId="77777777" w:rsidR="00B641C9" w:rsidRPr="00B641C9" w:rsidRDefault="00B641C9" w:rsidP="00B641C9">
      <w:pPr>
        <w:spacing w:line="480" w:lineRule="auto"/>
        <w:ind w:firstLineChars="200" w:firstLine="560"/>
        <w:outlineLvl w:val="0"/>
        <w:rPr>
          <w:rFonts w:ascii="仿宋" w:eastAsia="仿宋" w:hAnsi="仿宋" w:cs="仿宋"/>
          <w:sz w:val="28"/>
          <w:szCs w:val="28"/>
        </w:rPr>
      </w:pPr>
      <w:r w:rsidRPr="00B641C9">
        <w:rPr>
          <w:rFonts w:ascii="仿宋" w:eastAsia="仿宋" w:hAnsi="仿宋" w:cs="仿宋" w:hint="eastAsia"/>
          <w:sz w:val="28"/>
          <w:szCs w:val="28"/>
        </w:rPr>
        <w:t>乙方所供货物必须执行下列条款：</w:t>
      </w:r>
    </w:p>
    <w:p w14:paraId="67DAE245" w14:textId="77777777" w:rsidR="00B641C9" w:rsidRPr="00B641C9" w:rsidRDefault="00B641C9" w:rsidP="00B641C9">
      <w:pPr>
        <w:spacing w:line="480" w:lineRule="auto"/>
        <w:ind w:firstLineChars="200" w:firstLine="560"/>
        <w:outlineLvl w:val="0"/>
        <w:rPr>
          <w:rFonts w:ascii="仿宋" w:eastAsia="仿宋" w:hAnsi="仿宋" w:cs="仿宋"/>
          <w:sz w:val="28"/>
          <w:szCs w:val="28"/>
        </w:rPr>
      </w:pPr>
      <w:r w:rsidRPr="00B641C9">
        <w:rPr>
          <w:rFonts w:ascii="仿宋" w:eastAsia="仿宋" w:hAnsi="仿宋" w:cs="仿宋" w:hint="eastAsia"/>
          <w:sz w:val="28"/>
          <w:szCs w:val="28"/>
        </w:rPr>
        <w:lastRenderedPageBreak/>
        <w:t>（一）提供的产品及材料必须保证质量可靠，进货渠道正常，应全面满足谈判文件内容的要求。</w:t>
      </w:r>
    </w:p>
    <w:p w14:paraId="7509D131" w14:textId="77777777" w:rsidR="00B641C9" w:rsidRDefault="00B641C9" w:rsidP="00B641C9">
      <w:pPr>
        <w:spacing w:line="480" w:lineRule="auto"/>
        <w:ind w:firstLineChars="200" w:firstLine="560"/>
        <w:outlineLvl w:val="0"/>
        <w:rPr>
          <w:rFonts w:ascii="仿宋" w:eastAsia="仿宋" w:hAnsi="仿宋" w:cs="仿宋"/>
          <w:sz w:val="28"/>
          <w:szCs w:val="28"/>
        </w:rPr>
      </w:pPr>
      <w:r w:rsidRPr="00B641C9">
        <w:rPr>
          <w:rFonts w:ascii="仿宋" w:eastAsia="仿宋" w:hAnsi="仿宋" w:cs="仿宋" w:hint="eastAsia"/>
          <w:sz w:val="28"/>
          <w:szCs w:val="28"/>
        </w:rPr>
        <w:t>（二）符合国家有关规范要求，确保达到最佳状态。</w:t>
      </w:r>
    </w:p>
    <w:p w14:paraId="1CFA79A8" w14:textId="27E41BC3" w:rsidR="00184A5D" w:rsidRDefault="00B641C9" w:rsidP="00B641C9">
      <w:pPr>
        <w:spacing w:line="480" w:lineRule="auto"/>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五、售后服务要求</w:t>
      </w:r>
    </w:p>
    <w:p w14:paraId="5019D608" w14:textId="77777777" w:rsidR="00184A5D" w:rsidRDefault="00B641C9">
      <w:pPr>
        <w:spacing w:line="480" w:lineRule="auto"/>
        <w:ind w:firstLineChars="200" w:firstLine="560"/>
        <w:outlineLvl w:val="0"/>
        <w:rPr>
          <w:rFonts w:ascii="仿宋" w:eastAsia="仿宋" w:hAnsi="仿宋" w:cs="仿宋"/>
          <w:sz w:val="28"/>
          <w:szCs w:val="28"/>
        </w:rPr>
      </w:pPr>
      <w:r>
        <w:rPr>
          <w:rFonts w:ascii="仿宋" w:eastAsia="仿宋" w:hAnsi="仿宋" w:cs="仿宋" w:hint="eastAsia"/>
          <w:sz w:val="28"/>
          <w:szCs w:val="28"/>
        </w:rPr>
        <w:t>乙方所供货</w:t>
      </w:r>
      <w:proofErr w:type="gramStart"/>
      <w:r>
        <w:rPr>
          <w:rFonts w:ascii="仿宋" w:eastAsia="仿宋" w:hAnsi="仿宋" w:cs="仿宋" w:hint="eastAsia"/>
          <w:sz w:val="28"/>
          <w:szCs w:val="28"/>
        </w:rPr>
        <w:t>物提供</w:t>
      </w:r>
      <w:proofErr w:type="gramEnd"/>
      <w:r>
        <w:rPr>
          <w:rFonts w:ascii="仿宋" w:eastAsia="仿宋" w:hAnsi="仿宋" w:cs="仿宋" w:hint="eastAsia"/>
          <w:sz w:val="28"/>
          <w:szCs w:val="28"/>
        </w:rPr>
        <w:t>以下售后服务：</w:t>
      </w:r>
    </w:p>
    <w:p w14:paraId="0A34CCFF" w14:textId="77777777" w:rsidR="00184A5D" w:rsidRDefault="00B641C9">
      <w:pPr>
        <w:spacing w:line="480" w:lineRule="auto"/>
        <w:ind w:firstLineChars="200" w:firstLine="560"/>
        <w:outlineLvl w:val="0"/>
        <w:rPr>
          <w:rFonts w:ascii="仿宋" w:eastAsia="仿宋" w:hAnsi="仿宋" w:cs="仿宋"/>
          <w:sz w:val="28"/>
          <w:szCs w:val="28"/>
        </w:rPr>
      </w:pPr>
      <w:r>
        <w:rPr>
          <w:rFonts w:ascii="仿宋" w:eastAsia="仿宋" w:hAnsi="仿宋" w:cs="仿宋" w:hint="eastAsia"/>
          <w:sz w:val="28"/>
          <w:szCs w:val="28"/>
        </w:rPr>
        <w:t>乙方提供专业技术人员对产品的操作知识进行专业指导培训。</w:t>
      </w:r>
    </w:p>
    <w:p w14:paraId="26A90F2E" w14:textId="77777777" w:rsidR="00184A5D" w:rsidRDefault="00B641C9">
      <w:pPr>
        <w:spacing w:line="480" w:lineRule="auto"/>
        <w:ind w:leftChars="100" w:left="210" w:firstLineChars="100" w:firstLine="280"/>
        <w:outlineLvl w:val="0"/>
        <w:rPr>
          <w:rFonts w:ascii="仿宋" w:eastAsia="仿宋" w:hAnsi="仿宋" w:cs="仿宋"/>
          <w:sz w:val="28"/>
          <w:szCs w:val="28"/>
        </w:rPr>
      </w:pPr>
      <w:r>
        <w:rPr>
          <w:rFonts w:ascii="仿宋" w:eastAsia="仿宋" w:hAnsi="仿宋" w:cs="仿宋" w:hint="eastAsia"/>
          <w:sz w:val="28"/>
          <w:szCs w:val="28"/>
        </w:rPr>
        <w:t>提供技术联系人及联系电话（服务热线），随时解答各种疑问</w:t>
      </w:r>
    </w:p>
    <w:p w14:paraId="3EB8288F" w14:textId="77777777" w:rsidR="00184A5D" w:rsidRDefault="00B641C9">
      <w:pPr>
        <w:spacing w:line="480" w:lineRule="auto"/>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六、验收标准</w:t>
      </w:r>
    </w:p>
    <w:p w14:paraId="3E09A2C6" w14:textId="77777777" w:rsidR="00B641C9" w:rsidRPr="00B641C9" w:rsidRDefault="00B641C9" w:rsidP="00B641C9">
      <w:pPr>
        <w:tabs>
          <w:tab w:val="left" w:pos="480"/>
        </w:tabs>
        <w:spacing w:line="480" w:lineRule="auto"/>
        <w:ind w:firstLineChars="300" w:firstLine="840"/>
        <w:rPr>
          <w:rFonts w:ascii="仿宋" w:eastAsia="仿宋" w:hAnsi="仿宋" w:cs="仿宋"/>
          <w:sz w:val="28"/>
          <w:szCs w:val="28"/>
        </w:rPr>
      </w:pPr>
      <w:r w:rsidRPr="00B641C9">
        <w:rPr>
          <w:rFonts w:ascii="仿宋" w:eastAsia="仿宋" w:hAnsi="仿宋" w:cs="仿宋" w:hint="eastAsia"/>
          <w:sz w:val="28"/>
          <w:szCs w:val="28"/>
        </w:rPr>
        <w:t>采购人和供货单位共同对产品进行验收。其内容包括确认产品的准确产地、规格和数量，对其产品技术指标、性能参数进行逐项检查。</w:t>
      </w:r>
    </w:p>
    <w:p w14:paraId="12B65941"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1.所验产品的指标、性能参数通过验收达不到文件要求和谈判响应文件承诺，或在使用中发现采购方不能容忍的缺陷等，将视为产品验收不合格，成交供应商应免费更换或退货。</w:t>
      </w:r>
    </w:p>
    <w:p w14:paraId="788AC57D"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2.若发现成交供应商有弄虚作假的，故意或随意夸大产品技术性能，采购方除要求退货外，有权要求成交供应商赔偿采购人相应的损失。</w:t>
      </w:r>
    </w:p>
    <w:p w14:paraId="7EC7330F"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3.验收标准：按谈判文件、谈判响应文件及澄清函等技术指标进行验收。产品质量及各项指标均应符合验收标准及要求。</w:t>
      </w:r>
    </w:p>
    <w:p w14:paraId="3AFEC0F5"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4.验收合格后，填写政府采购项目验收报告单，双方签字生效。</w:t>
      </w:r>
    </w:p>
    <w:p w14:paraId="5A3D503E"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5.验收依据：</w:t>
      </w:r>
    </w:p>
    <w:p w14:paraId="7D3C412C"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（1）本合同文本；</w:t>
      </w:r>
    </w:p>
    <w:p w14:paraId="0B9D2F59"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（2）谈判文件、谈判响应文件及澄清函；</w:t>
      </w:r>
    </w:p>
    <w:p w14:paraId="282E0E46" w14:textId="77777777" w:rsidR="00B641C9" w:rsidRP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lastRenderedPageBreak/>
        <w:t>（3）国家和行业制定的相应的标准和规范。</w:t>
      </w:r>
    </w:p>
    <w:p w14:paraId="4D1F2CFB" w14:textId="77777777" w:rsidR="00B641C9"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仿宋" w:hint="eastAsia"/>
          <w:sz w:val="28"/>
          <w:szCs w:val="28"/>
        </w:rPr>
        <w:t>（4）产品验收清单（注明各产品的名称、数量、价格、规格和净度/牙率(%)）</w:t>
      </w:r>
    </w:p>
    <w:p w14:paraId="564EFDF4" w14:textId="7A814ACA" w:rsidR="00184A5D" w:rsidRDefault="00B641C9" w:rsidP="00B641C9">
      <w:pPr>
        <w:tabs>
          <w:tab w:val="left" w:pos="480"/>
        </w:tabs>
        <w:spacing w:line="480" w:lineRule="auto"/>
        <w:ind w:firstLineChars="100" w:firstLine="281"/>
        <w:rPr>
          <w:rFonts w:ascii="仿宋" w:eastAsia="仿宋" w:hAnsi="仿宋" w:cs="仿宋"/>
          <w:sz w:val="28"/>
          <w:szCs w:val="28"/>
        </w:rPr>
      </w:pPr>
      <w:r>
        <w:rPr>
          <w:rFonts w:ascii="仿宋" w:eastAsia="仿宋" w:hAnsi="仿宋" w:cs="仿宋" w:hint="eastAsia"/>
          <w:b/>
          <w:bCs/>
          <w:sz w:val="28"/>
          <w:szCs w:val="28"/>
        </w:rPr>
        <w:t>七</w:t>
      </w:r>
      <w:bookmarkStart w:id="0" w:name="_Hlk101369551"/>
      <w:r>
        <w:rPr>
          <w:rFonts w:ascii="仿宋" w:eastAsia="仿宋" w:hAnsi="仿宋" w:cs="仿宋" w:hint="eastAsia"/>
          <w:b/>
          <w:bCs/>
          <w:sz w:val="28"/>
          <w:szCs w:val="28"/>
        </w:rPr>
        <w:t>、</w:t>
      </w:r>
      <w:bookmarkEnd w:id="0"/>
      <w:r>
        <w:rPr>
          <w:rFonts w:ascii="仿宋" w:eastAsia="仿宋" w:hAnsi="仿宋" w:cs="宋体" w:hint="eastAsia"/>
          <w:b/>
          <w:sz w:val="28"/>
          <w:szCs w:val="28"/>
        </w:rPr>
        <w:t>违约责任</w:t>
      </w:r>
    </w:p>
    <w:p w14:paraId="2F0E7A68" w14:textId="77777777" w:rsidR="00B641C9" w:rsidRPr="00B641C9" w:rsidRDefault="00B641C9" w:rsidP="00B641C9">
      <w:pPr>
        <w:tabs>
          <w:tab w:val="left" w:pos="480"/>
        </w:tabs>
        <w:spacing w:line="480" w:lineRule="auto"/>
        <w:ind w:firstLineChars="100" w:firstLine="280"/>
        <w:rPr>
          <w:rFonts w:ascii="仿宋" w:eastAsia="仿宋" w:hAnsi="仿宋" w:cs="宋体"/>
          <w:sz w:val="28"/>
          <w:szCs w:val="28"/>
        </w:rPr>
      </w:pPr>
      <w:r w:rsidRPr="00B641C9">
        <w:rPr>
          <w:rFonts w:ascii="仿宋" w:eastAsia="仿宋" w:hAnsi="仿宋" w:cs="宋体" w:hint="eastAsia"/>
          <w:sz w:val="28"/>
          <w:szCs w:val="28"/>
        </w:rPr>
        <w:t>（一）按《政府采购法》、《民法典》中的相关条款执行。</w:t>
      </w:r>
    </w:p>
    <w:p w14:paraId="597AA346" w14:textId="77777777" w:rsidR="00B641C9" w:rsidRPr="00B641C9" w:rsidRDefault="00B641C9" w:rsidP="00B641C9">
      <w:pPr>
        <w:tabs>
          <w:tab w:val="left" w:pos="480"/>
        </w:tabs>
        <w:spacing w:line="480" w:lineRule="auto"/>
        <w:ind w:firstLineChars="100" w:firstLine="280"/>
        <w:rPr>
          <w:rFonts w:ascii="仿宋" w:eastAsia="仿宋" w:hAnsi="仿宋" w:cs="宋体"/>
          <w:sz w:val="28"/>
          <w:szCs w:val="28"/>
        </w:rPr>
      </w:pPr>
      <w:r w:rsidRPr="00B641C9">
        <w:rPr>
          <w:rFonts w:ascii="仿宋" w:eastAsia="仿宋" w:hAnsi="仿宋" w:cs="宋体" w:hint="eastAsia"/>
          <w:sz w:val="28"/>
          <w:szCs w:val="28"/>
        </w:rPr>
        <w:t>（二）未按合同要求提供货物或质量不能满足技术要求，乙方必须无条件更换，提高技术，完善质量，否则，甲方会同确认方有权终止合同，并对乙方的违约行为报监管机构进行相应的处罚。</w:t>
      </w:r>
    </w:p>
    <w:p w14:paraId="50D696CF" w14:textId="77777777" w:rsidR="00B641C9" w:rsidRPr="00B641C9" w:rsidRDefault="00B641C9" w:rsidP="00B641C9">
      <w:pPr>
        <w:tabs>
          <w:tab w:val="left" w:pos="480"/>
        </w:tabs>
        <w:spacing w:line="480" w:lineRule="auto"/>
        <w:ind w:firstLineChars="100" w:firstLine="280"/>
        <w:rPr>
          <w:rFonts w:ascii="仿宋" w:eastAsia="仿宋" w:hAnsi="仿宋" w:cs="宋体"/>
          <w:sz w:val="28"/>
          <w:szCs w:val="28"/>
        </w:rPr>
      </w:pPr>
      <w:r w:rsidRPr="00B641C9">
        <w:rPr>
          <w:rFonts w:ascii="仿宋" w:eastAsia="仿宋" w:hAnsi="仿宋" w:cs="宋体" w:hint="eastAsia"/>
          <w:sz w:val="28"/>
          <w:szCs w:val="28"/>
        </w:rPr>
        <w:t>（三）若乙方遇到妨碍按时交货和提供服务的情况时，应以书面形式及时通知甲方，并征得甲方同意。否则，将按违约终止合同。</w:t>
      </w:r>
    </w:p>
    <w:p w14:paraId="4735B6DC" w14:textId="53646FFF" w:rsidR="00184A5D" w:rsidRDefault="00B641C9" w:rsidP="00B641C9">
      <w:pPr>
        <w:tabs>
          <w:tab w:val="left" w:pos="480"/>
        </w:tabs>
        <w:spacing w:line="480" w:lineRule="auto"/>
        <w:ind w:firstLineChars="100" w:firstLine="280"/>
        <w:rPr>
          <w:rFonts w:ascii="仿宋" w:eastAsia="仿宋" w:hAnsi="仿宋" w:cs="仿宋"/>
          <w:sz w:val="28"/>
          <w:szCs w:val="28"/>
        </w:rPr>
      </w:pPr>
      <w:r w:rsidRPr="00B641C9">
        <w:rPr>
          <w:rFonts w:ascii="仿宋" w:eastAsia="仿宋" w:hAnsi="仿宋" w:cs="宋体" w:hint="eastAsia"/>
          <w:sz w:val="28"/>
          <w:szCs w:val="28"/>
        </w:rPr>
        <w:t>（四）若乙方没有按照合同规定的时间交货和提供服务，甲方可收取误期赔偿费，</w:t>
      </w:r>
      <w:proofErr w:type="gramStart"/>
      <w:r w:rsidRPr="00B641C9">
        <w:rPr>
          <w:rFonts w:ascii="仿宋" w:eastAsia="仿宋" w:hAnsi="仿宋" w:cs="宋体" w:hint="eastAsia"/>
          <w:sz w:val="28"/>
          <w:szCs w:val="28"/>
        </w:rPr>
        <w:t>以每延一周</w:t>
      </w:r>
      <w:proofErr w:type="gramEnd"/>
      <w:r w:rsidRPr="00B641C9">
        <w:rPr>
          <w:rFonts w:ascii="仿宋" w:eastAsia="仿宋" w:hAnsi="仿宋" w:cs="宋体" w:hint="eastAsia"/>
          <w:sz w:val="28"/>
          <w:szCs w:val="28"/>
        </w:rPr>
        <w:t>按合同总价款的0.5%计收，最高赔偿费为合同总价款的5%。一旦达到最高赔偿费，甲方可终止合同。</w:t>
      </w:r>
      <w:r>
        <w:rPr>
          <w:rFonts w:ascii="仿宋" w:eastAsia="仿宋" w:hAnsi="仿宋" w:cs="宋体" w:hint="eastAsia"/>
          <w:b/>
          <w:sz w:val="28"/>
          <w:szCs w:val="28"/>
        </w:rPr>
        <w:t>八、合同争议解决的方式</w:t>
      </w:r>
    </w:p>
    <w:p w14:paraId="72B4FFF1" w14:textId="77777777" w:rsidR="00184A5D" w:rsidRDefault="00B641C9">
      <w:pPr>
        <w:tabs>
          <w:tab w:val="left" w:pos="480"/>
        </w:tabs>
        <w:spacing w:line="480" w:lineRule="auto"/>
        <w:ind w:firstLineChars="100" w:firstLine="280"/>
        <w:rPr>
          <w:rFonts w:ascii="仿宋" w:eastAsia="仿宋" w:hAnsi="仿宋" w:cs="仿宋"/>
          <w:sz w:val="28"/>
          <w:szCs w:val="28"/>
        </w:rPr>
      </w:pPr>
      <w:r>
        <w:rPr>
          <w:rFonts w:ascii="仿宋" w:eastAsia="仿宋" w:hAnsi="仿宋" w:cs="宋体" w:hint="eastAsia"/>
          <w:sz w:val="28"/>
          <w:szCs w:val="28"/>
        </w:rPr>
        <w:t>1、因货物质量问题发生争议，由质量鉴定单位进行质量鉴定。货物符合标准的，鉴定费由甲方承担；货物不符合质量标准的，鉴定费由乙方承担。</w:t>
      </w:r>
    </w:p>
    <w:p w14:paraId="24CBC194" w14:textId="77777777" w:rsidR="00184A5D" w:rsidRDefault="00B641C9">
      <w:pPr>
        <w:tabs>
          <w:tab w:val="left" w:pos="480"/>
        </w:tabs>
        <w:spacing w:line="480" w:lineRule="auto"/>
        <w:ind w:firstLineChars="100" w:firstLine="280"/>
        <w:rPr>
          <w:rFonts w:ascii="仿宋" w:eastAsia="仿宋" w:hAnsi="仿宋" w:cs="仿宋"/>
          <w:sz w:val="28"/>
          <w:szCs w:val="28"/>
        </w:rPr>
      </w:pPr>
      <w:r>
        <w:rPr>
          <w:rFonts w:ascii="仿宋" w:eastAsia="仿宋" w:hAnsi="仿宋" w:cs="宋体"/>
          <w:sz w:val="28"/>
          <w:szCs w:val="28"/>
        </w:rPr>
        <w:t>2</w:t>
      </w:r>
      <w:r>
        <w:rPr>
          <w:rFonts w:ascii="仿宋" w:eastAsia="仿宋" w:hAnsi="仿宋" w:cs="宋体" w:hint="eastAsia"/>
          <w:sz w:val="28"/>
          <w:szCs w:val="28"/>
        </w:rPr>
        <w:t>、本合同在履行过程中发生的争议，由甲、乙双方当事人友好协商解决，协商不成的按下列 一种方式解决：</w:t>
      </w:r>
    </w:p>
    <w:p w14:paraId="37CE1C83"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提交当地仲裁委员会仲裁；</w:t>
      </w:r>
    </w:p>
    <w:p w14:paraId="7928ADF2"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依法向当地人民法院起诉。</w:t>
      </w:r>
    </w:p>
    <w:p w14:paraId="28A60D62" w14:textId="77777777" w:rsidR="00184A5D" w:rsidRDefault="00B641C9">
      <w:pPr>
        <w:tabs>
          <w:tab w:val="left" w:pos="480"/>
        </w:tabs>
        <w:spacing w:line="480" w:lineRule="auto"/>
        <w:ind w:firstLineChars="100" w:firstLine="281"/>
        <w:rPr>
          <w:rFonts w:ascii="仿宋" w:eastAsia="仿宋" w:hAnsi="仿宋" w:cs="宋体"/>
          <w:sz w:val="28"/>
          <w:szCs w:val="28"/>
        </w:rPr>
      </w:pPr>
      <w:r>
        <w:rPr>
          <w:rFonts w:ascii="仿宋" w:eastAsia="仿宋" w:hAnsi="仿宋" w:cs="宋体" w:hint="eastAsia"/>
          <w:b/>
          <w:sz w:val="28"/>
          <w:szCs w:val="28"/>
        </w:rPr>
        <w:t>九、合同生效</w:t>
      </w:r>
    </w:p>
    <w:p w14:paraId="055C34CF" w14:textId="5C7518B8" w:rsidR="00184A5D" w:rsidRDefault="00B641C9">
      <w:pPr>
        <w:tabs>
          <w:tab w:val="left" w:pos="480"/>
        </w:tabs>
        <w:spacing w:line="480" w:lineRule="auto"/>
        <w:ind w:firstLineChars="100" w:firstLine="280"/>
        <w:rPr>
          <w:rFonts w:ascii="仿宋" w:eastAsia="仿宋" w:hAnsi="仿宋" w:cs="宋体"/>
          <w:sz w:val="28"/>
          <w:szCs w:val="28"/>
        </w:rPr>
      </w:pPr>
      <w:r w:rsidRPr="00B641C9">
        <w:rPr>
          <w:rFonts w:ascii="仿宋" w:eastAsia="仿宋" w:hAnsi="仿宋" w:cs="宋体" w:hint="eastAsia"/>
          <w:sz w:val="28"/>
          <w:szCs w:val="28"/>
        </w:rPr>
        <w:lastRenderedPageBreak/>
        <w:t>本合同一式陆份，甲方执贰份，乙方、确认方各执壹份，财政部</w:t>
      </w:r>
      <w:proofErr w:type="gramStart"/>
      <w:r w:rsidRPr="00B641C9">
        <w:rPr>
          <w:rFonts w:ascii="仿宋" w:eastAsia="仿宋" w:hAnsi="仿宋" w:cs="宋体" w:hint="eastAsia"/>
          <w:sz w:val="28"/>
          <w:szCs w:val="28"/>
        </w:rPr>
        <w:t>门政府</w:t>
      </w:r>
      <w:proofErr w:type="gramEnd"/>
      <w:r w:rsidRPr="00B641C9">
        <w:rPr>
          <w:rFonts w:ascii="仿宋" w:eastAsia="仿宋" w:hAnsi="仿宋" w:cs="宋体" w:hint="eastAsia"/>
          <w:sz w:val="28"/>
          <w:szCs w:val="28"/>
        </w:rPr>
        <w:t>采购管理处备案贰份，本合同甲、乙、确认各方签字盖章，合同执行完毕后，自动失效（合同的服务承诺则长期有效）</w:t>
      </w:r>
      <w:r>
        <w:rPr>
          <w:rFonts w:ascii="仿宋" w:eastAsia="仿宋" w:hAnsi="仿宋" w:cs="宋体" w:hint="eastAsia"/>
          <w:sz w:val="28"/>
          <w:szCs w:val="28"/>
        </w:rPr>
        <w:t>。</w:t>
      </w:r>
    </w:p>
    <w:p w14:paraId="3D629243" w14:textId="77777777" w:rsidR="00184A5D" w:rsidRDefault="00B641C9">
      <w:pPr>
        <w:tabs>
          <w:tab w:val="left" w:pos="480"/>
        </w:tabs>
        <w:spacing w:line="480" w:lineRule="auto"/>
        <w:ind w:firstLineChars="100" w:firstLine="281"/>
        <w:rPr>
          <w:rFonts w:ascii="仿宋" w:eastAsia="仿宋" w:hAnsi="仿宋" w:cs="宋体"/>
          <w:sz w:val="28"/>
          <w:szCs w:val="28"/>
        </w:rPr>
      </w:pPr>
      <w:r>
        <w:rPr>
          <w:rFonts w:ascii="仿宋" w:eastAsia="仿宋" w:hAnsi="仿宋" w:cs="宋体" w:hint="eastAsia"/>
          <w:b/>
          <w:sz w:val="28"/>
          <w:szCs w:val="28"/>
        </w:rPr>
        <w:t>十、其他事项</w:t>
      </w:r>
    </w:p>
    <w:p w14:paraId="0991DC80" w14:textId="3D5584C5"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1、</w:t>
      </w:r>
      <w:r w:rsidRPr="00B641C9">
        <w:rPr>
          <w:rFonts w:ascii="仿宋" w:eastAsia="仿宋" w:hAnsi="仿宋" w:cs="宋体" w:hint="eastAsia"/>
          <w:sz w:val="28"/>
          <w:szCs w:val="28"/>
        </w:rPr>
        <w:t>确认方作为政府集中采购代理机构对合同进行确认。</w:t>
      </w:r>
      <w:r>
        <w:rPr>
          <w:rFonts w:ascii="仿宋" w:eastAsia="仿宋" w:hAnsi="仿宋" w:cs="宋体" w:hint="eastAsia"/>
          <w:sz w:val="28"/>
          <w:szCs w:val="28"/>
        </w:rPr>
        <w:t>。</w:t>
      </w:r>
    </w:p>
    <w:p w14:paraId="3BC4CAE7" w14:textId="15F70C7F" w:rsidR="00184A5D" w:rsidRPr="00B641C9"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w:t>
      </w:r>
      <w:r w:rsidRPr="00B641C9">
        <w:rPr>
          <w:rFonts w:ascii="仿宋" w:eastAsia="仿宋" w:hAnsi="仿宋" w:cs="宋体" w:hint="eastAsia"/>
          <w:sz w:val="28"/>
          <w:szCs w:val="28"/>
        </w:rPr>
        <w:t>财政部</w:t>
      </w:r>
      <w:proofErr w:type="gramStart"/>
      <w:r w:rsidRPr="00B641C9">
        <w:rPr>
          <w:rFonts w:ascii="仿宋" w:eastAsia="仿宋" w:hAnsi="仿宋" w:cs="宋体" w:hint="eastAsia"/>
          <w:sz w:val="28"/>
          <w:szCs w:val="28"/>
        </w:rPr>
        <w:t>门政府</w:t>
      </w:r>
      <w:proofErr w:type="gramEnd"/>
      <w:r w:rsidRPr="00B641C9">
        <w:rPr>
          <w:rFonts w:ascii="仿宋" w:eastAsia="仿宋" w:hAnsi="仿宋" w:cs="宋体" w:hint="eastAsia"/>
          <w:sz w:val="28"/>
          <w:szCs w:val="28"/>
        </w:rPr>
        <w:t>采购管理处在合同的履行期间以及履行期后，可以随时检查项目的执行情况，对采购内容、标准进行调查核实，并对发现的问题进行处理。</w:t>
      </w:r>
    </w:p>
    <w:p w14:paraId="07A8E6CC" w14:textId="5C1F2B8A"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w:t>
      </w:r>
      <w:r w:rsidRPr="00B641C9">
        <w:rPr>
          <w:rFonts w:ascii="仿宋" w:eastAsia="仿宋" w:hAnsi="仿宋" w:cs="宋体" w:hint="eastAsia"/>
          <w:sz w:val="28"/>
          <w:szCs w:val="28"/>
        </w:rPr>
        <w:t>下列文件是本合同的一部分，并与本合同一起阅读和解释，如有冲突，以排列序号小的优先：</w:t>
      </w:r>
    </w:p>
    <w:p w14:paraId="75AAE2A5"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（1）合同附件；</w:t>
      </w:r>
    </w:p>
    <w:p w14:paraId="37C5B92C"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（2）合同技术参数；</w:t>
      </w:r>
    </w:p>
    <w:p w14:paraId="375D8FBF"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（3）合同条款；</w:t>
      </w:r>
    </w:p>
    <w:p w14:paraId="1B606629"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（4）成交通知书；</w:t>
      </w:r>
    </w:p>
    <w:p w14:paraId="5C3BE937" w14:textId="1A4E0ED1"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（5）谈判响应文件；</w:t>
      </w:r>
    </w:p>
    <w:p w14:paraId="016ED746" w14:textId="7FE6E6B1"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hint="eastAsia"/>
          <w:sz w:val="28"/>
          <w:szCs w:val="28"/>
        </w:rPr>
        <w:t>（6）谈判文件。</w:t>
      </w:r>
    </w:p>
    <w:p w14:paraId="14454850"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、合同未尽事宜，由甲、乙双方协商，经确认方确认后，作为合同补充，与原合同具有同等法律效力。</w:t>
      </w:r>
    </w:p>
    <w:p w14:paraId="40F3DB2A"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sz w:val="28"/>
          <w:szCs w:val="28"/>
        </w:rPr>
        <w:t>5</w:t>
      </w:r>
      <w:r>
        <w:rPr>
          <w:rFonts w:ascii="仿宋" w:eastAsia="仿宋" w:hAnsi="仿宋" w:cs="宋体" w:hint="eastAsia"/>
          <w:sz w:val="28"/>
          <w:szCs w:val="28"/>
        </w:rPr>
        <w:t>、合同一经签订，不得擅自变更、中止或终止合同。对确需变更、调整或中止、终止合同的，应按规定履行相应的手续。</w:t>
      </w:r>
    </w:p>
    <w:p w14:paraId="662B9EC7" w14:textId="77777777" w:rsidR="00184A5D" w:rsidRDefault="00B641C9">
      <w:pPr>
        <w:tabs>
          <w:tab w:val="left" w:pos="480"/>
        </w:tabs>
        <w:spacing w:line="480" w:lineRule="auto"/>
        <w:ind w:firstLineChars="100" w:firstLine="280"/>
        <w:rPr>
          <w:rFonts w:ascii="仿宋" w:eastAsia="仿宋" w:hAnsi="仿宋" w:cs="宋体"/>
          <w:sz w:val="28"/>
          <w:szCs w:val="28"/>
        </w:rPr>
      </w:pPr>
      <w:r>
        <w:rPr>
          <w:rFonts w:ascii="仿宋" w:eastAsia="仿宋" w:hAnsi="仿宋" w:cs="宋体"/>
          <w:sz w:val="28"/>
          <w:szCs w:val="28"/>
        </w:rPr>
        <w:t>6</w:t>
      </w:r>
      <w:r>
        <w:rPr>
          <w:rFonts w:ascii="仿宋" w:eastAsia="仿宋" w:hAnsi="仿宋" w:cs="宋体" w:hint="eastAsia"/>
          <w:sz w:val="28"/>
          <w:szCs w:val="28"/>
        </w:rPr>
        <w:t xml:space="preserve">、本合同按照中华人民共和国的现行法律进行解释。 </w:t>
      </w:r>
    </w:p>
    <w:p w14:paraId="32772996" w14:textId="77777777" w:rsidR="00184A5D" w:rsidRDefault="00184A5D">
      <w:pPr>
        <w:snapToGrid w:val="0"/>
        <w:spacing w:line="480" w:lineRule="auto"/>
        <w:jc w:val="right"/>
        <w:rPr>
          <w:rFonts w:ascii="仿宋" w:eastAsia="仿宋" w:hAnsi="仿宋" w:cs="仿宋"/>
          <w:sz w:val="28"/>
          <w:szCs w:val="28"/>
        </w:rPr>
      </w:pPr>
    </w:p>
    <w:p w14:paraId="20832B8C" w14:textId="77777777" w:rsidR="00184A5D" w:rsidRDefault="00184A5D">
      <w:pPr>
        <w:snapToGrid w:val="0"/>
        <w:spacing w:line="480" w:lineRule="auto"/>
        <w:jc w:val="right"/>
        <w:rPr>
          <w:rFonts w:ascii="仿宋" w:eastAsia="仿宋" w:hAnsi="仿宋" w:cs="仿宋"/>
          <w:sz w:val="28"/>
          <w:szCs w:val="28"/>
        </w:rPr>
      </w:pPr>
    </w:p>
    <w:p w14:paraId="632A5B58" w14:textId="77777777" w:rsidR="00184A5D" w:rsidRDefault="00B641C9">
      <w:pPr>
        <w:snapToGrid w:val="0"/>
        <w:spacing w:line="480" w:lineRule="auto"/>
        <w:jc w:val="right"/>
        <w:rPr>
          <w:rFonts w:ascii="仿宋" w:eastAsia="仿宋" w:hAnsi="仿宋" w:cs="仿宋"/>
          <w:sz w:val="28"/>
          <w:szCs w:val="28"/>
        </w:rPr>
      </w:pPr>
      <w:r>
        <w:rPr>
          <w:rFonts w:ascii="仿宋" w:eastAsia="仿宋" w:hAnsi="仿宋" w:cs="仿宋" w:hint="eastAsia"/>
          <w:sz w:val="28"/>
          <w:szCs w:val="28"/>
        </w:rPr>
        <w:t>黄陵县农业农村局</w:t>
      </w:r>
    </w:p>
    <w:p w14:paraId="6AFF35BA" w14:textId="292FD88C" w:rsidR="00184A5D" w:rsidRDefault="00B641C9">
      <w:pPr>
        <w:snapToGrid w:val="0"/>
        <w:spacing w:line="480" w:lineRule="auto"/>
        <w:ind w:firstLineChars="150" w:firstLine="420"/>
        <w:jc w:val="center"/>
        <w:rPr>
          <w:rFonts w:ascii="仿宋" w:eastAsia="仿宋" w:hAnsi="仿宋" w:cs="仿宋"/>
          <w:sz w:val="28"/>
          <w:szCs w:val="28"/>
        </w:rPr>
      </w:pPr>
      <w:r>
        <w:rPr>
          <w:rFonts w:ascii="仿宋" w:eastAsia="仿宋" w:hAnsi="仿宋" w:cs="仿宋" w:hint="eastAsia"/>
          <w:sz w:val="28"/>
          <w:szCs w:val="28"/>
        </w:rPr>
        <w:t xml:space="preserve">                                        202</w:t>
      </w:r>
      <w:r>
        <w:rPr>
          <w:rFonts w:ascii="仿宋" w:eastAsia="仿宋" w:hAnsi="仿宋" w:cs="仿宋"/>
          <w:sz w:val="28"/>
          <w:szCs w:val="28"/>
        </w:rPr>
        <w:t>3</w:t>
      </w:r>
      <w:r>
        <w:rPr>
          <w:rFonts w:ascii="仿宋" w:eastAsia="仿宋" w:hAnsi="仿宋" w:cs="仿宋" w:hint="eastAsia"/>
          <w:sz w:val="28"/>
          <w:szCs w:val="28"/>
        </w:rPr>
        <w:t>年0</w:t>
      </w:r>
      <w:r>
        <w:rPr>
          <w:rFonts w:ascii="仿宋" w:eastAsia="仿宋" w:hAnsi="仿宋" w:cs="仿宋"/>
          <w:sz w:val="28"/>
          <w:szCs w:val="28"/>
        </w:rPr>
        <w:t>4</w:t>
      </w:r>
      <w:r>
        <w:rPr>
          <w:rFonts w:ascii="仿宋" w:eastAsia="仿宋" w:hAnsi="仿宋" w:cs="仿宋" w:hint="eastAsia"/>
          <w:sz w:val="28"/>
          <w:szCs w:val="28"/>
        </w:rPr>
        <w:t>月</w:t>
      </w:r>
      <w:r>
        <w:rPr>
          <w:rFonts w:ascii="仿宋" w:eastAsia="仿宋" w:hAnsi="仿宋" w:cs="仿宋"/>
          <w:sz w:val="28"/>
          <w:szCs w:val="28"/>
        </w:rPr>
        <w:t>13</w:t>
      </w:r>
      <w:r>
        <w:rPr>
          <w:rFonts w:ascii="仿宋" w:eastAsia="仿宋" w:hAnsi="仿宋" w:cs="仿宋" w:hint="eastAsia"/>
          <w:sz w:val="28"/>
          <w:szCs w:val="28"/>
        </w:rPr>
        <w:t>日</w:t>
      </w:r>
    </w:p>
    <w:p w14:paraId="5BBD1CF3" w14:textId="77777777" w:rsidR="00184A5D" w:rsidRDefault="00184A5D">
      <w:pPr>
        <w:spacing w:line="480" w:lineRule="auto"/>
        <w:rPr>
          <w:rFonts w:ascii="仿宋" w:eastAsia="仿宋" w:hAnsi="仿宋" w:cs="仿宋"/>
        </w:rPr>
      </w:pPr>
    </w:p>
    <w:p w14:paraId="010C8434" w14:textId="77777777" w:rsidR="00184A5D" w:rsidRDefault="00184A5D">
      <w:pPr>
        <w:spacing w:line="480" w:lineRule="auto"/>
      </w:pPr>
    </w:p>
    <w:sectPr w:rsidR="00184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Q0YTI2NDQyMTgyODQ5MzIxMDU0YTNhMTEzNDUzYTYifQ=="/>
  </w:docVars>
  <w:rsids>
    <w:rsidRoot w:val="00DB1184"/>
    <w:rsid w:val="00077FC4"/>
    <w:rsid w:val="00184A5D"/>
    <w:rsid w:val="002777AF"/>
    <w:rsid w:val="00356F69"/>
    <w:rsid w:val="003912DB"/>
    <w:rsid w:val="00544F7F"/>
    <w:rsid w:val="007D7C63"/>
    <w:rsid w:val="00A474E6"/>
    <w:rsid w:val="00A86CD7"/>
    <w:rsid w:val="00B641C9"/>
    <w:rsid w:val="00D63788"/>
    <w:rsid w:val="00D71802"/>
    <w:rsid w:val="00DB1184"/>
    <w:rsid w:val="00EF6ED1"/>
    <w:rsid w:val="124D5065"/>
    <w:rsid w:val="42D435B3"/>
    <w:rsid w:val="467704E6"/>
    <w:rsid w:val="47441924"/>
    <w:rsid w:val="5358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79522"/>
  <w15:docId w15:val="{3BC14950-E4B5-4E49-B725-DA2BFE4D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3">
    <w:name w:val="heading 3"/>
    <w:basedOn w:val="a"/>
    <w:next w:val="a"/>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300" w:lineRule="auto"/>
      <w:ind w:firstLineChars="200" w:firstLine="420"/>
    </w:pPr>
  </w:style>
  <w:style w:type="paragraph" w:styleId="a4">
    <w:name w:val="Body Text"/>
    <w:basedOn w:val="a"/>
    <w:next w:val="a"/>
    <w:qFormat/>
    <w:pPr>
      <w:spacing w:after="120"/>
    </w:pPr>
    <w:rPr>
      <w:rFonts w:ascii="Calibri" w:hAnsi="Calibri"/>
      <w:kern w:val="0"/>
      <w:sz w:val="20"/>
      <w:szCs w:val="20"/>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uiPriority w:val="99"/>
    <w:qFormat/>
    <w:pPr>
      <w:ind w:firstLineChars="100" w:firstLine="420"/>
    </w:p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jzzb008</dc:creator>
  <cp:lastModifiedBy>Administrator</cp:lastModifiedBy>
  <cp:revision>13</cp:revision>
  <dcterms:created xsi:type="dcterms:W3CDTF">2022-04-20T05:51:00Z</dcterms:created>
  <dcterms:modified xsi:type="dcterms:W3CDTF">2023-04-18T09:49:00Z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2E2D9503F4E24C699B1FC43F7FC2BA52</vt:lpwstr>
  </property>
</Properties>
</file>