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500" w:lineRule="exact"/>
        <w:jc w:val="both"/>
        <w:rPr>
          <w:rFonts w:hint="eastAsia" w:ascii="宋体" w:hAnsi="宋体" w:eastAsia="宋体" w:cs="宋体"/>
          <w:b/>
          <w:color w:val="0000FF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0000FF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color w:val="0000FF"/>
          <w:sz w:val="36"/>
          <w:szCs w:val="36"/>
          <w:lang w:val="en-US" w:eastAsia="zh-CN"/>
        </w:rPr>
        <w:t xml:space="preserve">              </w:t>
      </w:r>
      <w:bookmarkStart w:id="3" w:name="_GoBack"/>
      <w:bookmarkEnd w:id="3"/>
      <w:r>
        <w:rPr>
          <w:rFonts w:hint="eastAsia" w:ascii="宋体" w:hAnsi="宋体" w:eastAsia="宋体" w:cs="宋体"/>
          <w:b/>
          <w:color w:val="0000FF"/>
          <w:sz w:val="36"/>
          <w:szCs w:val="36"/>
        </w:rPr>
        <w:t>采购内容</w:t>
      </w:r>
      <w:r>
        <w:rPr>
          <w:rFonts w:hint="eastAsia" w:ascii="宋体" w:hAnsi="宋体" w:eastAsia="宋体" w:cs="宋体"/>
          <w:b/>
          <w:color w:val="0000FF"/>
          <w:sz w:val="36"/>
          <w:szCs w:val="36"/>
          <w:lang w:eastAsia="zh-CN"/>
        </w:rPr>
        <w:t>及要求</w:t>
      </w:r>
      <w:r>
        <w:rPr>
          <w:rFonts w:hint="eastAsia" w:ascii="宋体" w:hAnsi="宋体" w:eastAsia="宋体" w:cs="宋体"/>
          <w:b/>
          <w:color w:val="0000FF"/>
          <w:sz w:val="36"/>
          <w:szCs w:val="36"/>
          <w:lang w:val="en-US" w:eastAsia="zh-CN"/>
        </w:rPr>
        <w:t xml:space="preserve"> </w:t>
      </w:r>
    </w:p>
    <w:p>
      <w:pPr>
        <w:pStyle w:val="1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3"/>
          <w:rFonts w:ascii="Times New Roman" w:hAnsi="Times New Roman" w:cs="Times New Roman"/>
          <w:b/>
          <w:color w:val="000000"/>
          <w:sz w:val="24"/>
          <w:szCs w:val="24"/>
        </w:rPr>
        <w:t>一、应用领域：</w:t>
      </w:r>
    </w:p>
    <w:p>
      <w:pPr>
        <w:pStyle w:val="1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自动完成淋巴细胞亚群、免疫分型等项目的样本制备、测试、分析和报告</w:t>
      </w:r>
    </w:p>
    <w:p>
      <w:pPr>
        <w:pStyle w:val="10"/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Style w:val="13"/>
          <w:rFonts w:hint="eastAsia" w:ascii="Times New Roman" w:hAnsi="Times New Roman" w:cs="Times New Roman"/>
          <w:b/>
          <w:color w:val="000000"/>
          <w:sz w:val="24"/>
          <w:szCs w:val="24"/>
          <w:lang w:eastAsia="zh-CN"/>
        </w:rPr>
        <w:t>二</w:t>
      </w:r>
      <w:r>
        <w:rPr>
          <w:rStyle w:val="13"/>
          <w:rFonts w:ascii="Times New Roman" w:hAnsi="Times New Roman" w:cs="Times New Roman"/>
          <w:b/>
          <w:color w:val="000000"/>
          <w:sz w:val="24"/>
          <w:szCs w:val="24"/>
        </w:rPr>
        <w:t>、仪器性能</w:t>
      </w:r>
      <w:r>
        <w:rPr>
          <w:rStyle w:val="13"/>
          <w:rFonts w:hint="eastAsia" w:ascii="Times New Roman" w:hAnsi="Times New Roman" w:cs="Times New Roman"/>
          <w:b/>
          <w:color w:val="000000"/>
          <w:sz w:val="24"/>
          <w:szCs w:val="24"/>
          <w:lang w:eastAsia="zh-CN"/>
        </w:rPr>
        <w:t>：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光学系统</w:t>
      </w: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激光光源：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双</w:t>
      </w:r>
      <w:r>
        <w:rPr>
          <w:rFonts w:ascii="Times New Roman" w:hAnsi="Times New Roman" w:cs="Times New Roman"/>
          <w:color w:val="000000"/>
          <w:sz w:val="24"/>
          <w:szCs w:val="24"/>
        </w:rPr>
        <w:t>激光，488nm蓝色激光器，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638nm红色激光器，</w:t>
      </w:r>
      <w:r>
        <w:rPr>
          <w:rFonts w:ascii="Times New Roman" w:hAnsi="Times New Roman" w:cs="Times New Roman"/>
          <w:color w:val="000000"/>
          <w:sz w:val="24"/>
          <w:szCs w:val="24"/>
        </w:rPr>
        <w:t>功率≥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0mW</w:t>
      </w: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荧光检测通道：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可至少完成</w:t>
      </w:r>
      <w:r>
        <w:rPr>
          <w:rFonts w:ascii="Times New Roman" w:hAnsi="Times New Roman" w:cs="Times New Roman"/>
          <w:color w:val="000000"/>
          <w:sz w:val="24"/>
          <w:szCs w:val="24"/>
        </w:rPr>
        <w:t>FL1（FITC），FL2（PE），FL3（PerCP），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FL4（APC），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色荧光检测</w:t>
      </w: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荧光分辨率：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FITC、PE通道的</w:t>
      </w:r>
      <w:r>
        <w:rPr>
          <w:rFonts w:ascii="Times New Roman" w:hAnsi="Times New Roman" w:cs="Times New Roman"/>
          <w:color w:val="000000"/>
          <w:sz w:val="24"/>
          <w:szCs w:val="24"/>
        </w:rPr>
        <w:t>CV≤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2.0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荧光检测灵敏度(MESF)：FITC ≤100，PE≤50，能够检测弱光信号</w:t>
      </w: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侧向散射光灵敏度：488nm蓝色激光器 ≤0.2μm，能够检测微小粒子</w:t>
      </w: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散射光分辨率：可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分辨</w:t>
      </w:r>
      <w:r>
        <w:rPr>
          <w:rFonts w:ascii="Times New Roman" w:hAnsi="Times New Roman" w:cs="Times New Roman"/>
          <w:color w:val="000000"/>
          <w:sz w:val="24"/>
          <w:szCs w:val="24"/>
        </w:rPr>
        <w:t>人外周血中的粒细胞、单核细胞和淋巴细胞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液流系统</w:t>
      </w:r>
    </w:p>
    <w:p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液流动力系统：能够连续上样，减少上样时间</w:t>
      </w:r>
    </w:p>
    <w:p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携带污染率：≤0.1%，减少样本间污染</w:t>
      </w:r>
    </w:p>
    <w:p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流速调节：至少具低速、中速、快速流速调节，用户可根据实验需要调节流速</w:t>
      </w:r>
    </w:p>
    <w:p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绝对计数：使用注射泵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技术</w:t>
      </w:r>
      <w:r>
        <w:rPr>
          <w:rFonts w:ascii="Times New Roman" w:hAnsi="Times New Roman" w:cs="Times New Roman"/>
          <w:color w:val="000000"/>
          <w:sz w:val="24"/>
          <w:szCs w:val="24"/>
        </w:rPr>
        <w:t>，无需计数微球即可实现准确绝对计数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信号处理系统</w:t>
      </w:r>
    </w:p>
    <w:p>
      <w:pPr>
        <w:pStyle w:val="10"/>
        <w:numPr>
          <w:ilvl w:val="0"/>
          <w:numId w:val="4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数据数字采集：≥7.0个数量的数据动态范围</w:t>
      </w:r>
    </w:p>
    <w:p>
      <w:pPr>
        <w:pStyle w:val="10"/>
        <w:numPr>
          <w:ilvl w:val="0"/>
          <w:numId w:val="4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样本分析速度：≥</w:t>
      </w:r>
      <w:r>
        <w:rPr>
          <w:rFonts w:hint="eastAsia"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000事件/秒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上样</w:t>
      </w:r>
    </w:p>
    <w:p>
      <w:pPr>
        <w:pStyle w:val="10"/>
        <w:numPr>
          <w:ilvl w:val="0"/>
          <w:numId w:val="5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试管位</w:t>
      </w:r>
      <w:r>
        <w:rPr>
          <w:rFonts w:ascii="Times New Roman" w:hAnsi="Times New Roman" w:cs="Times New Roman"/>
          <w:color w:val="auto"/>
          <w:sz w:val="24"/>
          <w:szCs w:val="24"/>
        </w:rPr>
        <w:t>：</w:t>
      </w:r>
      <w:bookmarkStart w:id="0" w:name="OLE_LINK1"/>
      <w:r>
        <w:rPr>
          <w:rFonts w:ascii="Times New Roman" w:hAnsi="Times New Roman" w:cs="Times New Roman"/>
          <w:color w:val="auto"/>
          <w:sz w:val="24"/>
          <w:szCs w:val="24"/>
        </w:rPr>
        <w:t>≥</w:t>
      </w:r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40管，单试管混匀方式</w:t>
      </w:r>
    </w:p>
    <w:p>
      <w:pPr>
        <w:pStyle w:val="10"/>
        <w:numPr>
          <w:ilvl w:val="0"/>
          <w:numId w:val="5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样品管类型：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满足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多种</w:t>
      </w:r>
      <w:r>
        <w:rPr>
          <w:rFonts w:ascii="Times New Roman" w:hAnsi="Times New Roman" w:cs="Times New Roman"/>
          <w:color w:val="auto"/>
          <w:sz w:val="24"/>
          <w:szCs w:val="24"/>
        </w:rPr>
        <w:t>实验室常见类型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试管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样本制备功能</w:t>
      </w:r>
    </w:p>
    <w:p>
      <w:pPr>
        <w:pStyle w:val="10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结构组成：包括裂解模块、采集模块、分析模块，可全自动完成样本制备（裂解）、信号采集和数据分析，无需搭配使用其他裂解仪或样本制备设备</w:t>
      </w:r>
    </w:p>
    <w:p>
      <w:pPr>
        <w:pStyle w:val="10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Segoe UI Symbol" w:hAnsi="Segoe UI Symbol" w:cs="Segoe UI Symbol"/>
          <w:color w:val="auto"/>
          <w:sz w:val="24"/>
          <w:szCs w:val="24"/>
        </w:rPr>
        <w:t>采血管位：</w:t>
      </w:r>
      <w:bookmarkStart w:id="1" w:name="OLE_LINK2"/>
      <w:r>
        <w:rPr>
          <w:rFonts w:ascii="Times New Roman" w:hAnsi="Times New Roman" w:cs="Times New Roman"/>
          <w:color w:val="auto"/>
          <w:sz w:val="24"/>
          <w:szCs w:val="24"/>
        </w:rPr>
        <w:t>≥40</w:t>
      </w:r>
      <w:bookmarkEnd w:id="1"/>
      <w:r>
        <w:rPr>
          <w:rFonts w:hint="eastAsia" w:ascii="Times New Roman" w:hAnsi="Times New Roman" w:cs="Times New Roman"/>
          <w:color w:val="auto"/>
          <w:sz w:val="24"/>
          <w:szCs w:val="24"/>
        </w:rPr>
        <w:t>个</w:t>
      </w:r>
    </w:p>
    <w:p>
      <w:pPr>
        <w:pStyle w:val="10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试剂位：</w:t>
      </w:r>
      <w:bookmarkStart w:id="2" w:name="OLE_LINK3"/>
      <w:r>
        <w:rPr>
          <w:rFonts w:ascii="Times New Roman" w:hAnsi="Times New Roman" w:cs="Times New Roman"/>
          <w:color w:val="auto"/>
          <w:sz w:val="24"/>
          <w:szCs w:val="24"/>
        </w:rPr>
        <w:t>≥</w:t>
      </w:r>
      <w:bookmarkEnd w:id="2"/>
      <w:r>
        <w:rPr>
          <w:rFonts w:hint="eastAsia" w:ascii="Times New Roman" w:hAnsi="Times New Roman" w:cs="Times New Roman"/>
          <w:color w:val="auto"/>
          <w:sz w:val="24"/>
          <w:szCs w:val="24"/>
        </w:rPr>
        <w:t>8个</w:t>
      </w:r>
    </w:p>
    <w:p>
      <w:pPr>
        <w:pStyle w:val="10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样本制备试管位：</w:t>
      </w:r>
      <w:r>
        <w:rPr>
          <w:rFonts w:ascii="Times New Roman" w:hAnsi="Times New Roman" w:cs="Times New Roman"/>
          <w:color w:val="auto"/>
          <w:sz w:val="24"/>
          <w:szCs w:val="24"/>
        </w:rPr>
        <w:t>≥40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管/盘</w:t>
      </w:r>
    </w:p>
    <w:p>
      <w:pPr>
        <w:pStyle w:val="10"/>
        <w:numPr>
          <w:ilvl w:val="0"/>
          <w:numId w:val="6"/>
        </w:numPr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加样体积：抗体</w:t>
      </w:r>
      <w:r>
        <w:rPr>
          <w:rFonts w:ascii="Times New Roman" w:hAnsi="Times New Roman" w:cs="Times New Roman"/>
          <w:color w:val="auto"/>
          <w:sz w:val="24"/>
          <w:szCs w:val="24"/>
        </w:rPr>
        <w:t>≥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10μL，样本</w:t>
      </w:r>
      <w:r>
        <w:rPr>
          <w:rFonts w:ascii="Times New Roman" w:hAnsi="Times New Roman" w:cs="Times New Roman"/>
          <w:color w:val="auto"/>
          <w:sz w:val="24"/>
          <w:szCs w:val="24"/>
        </w:rPr>
        <w:t>≥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50μL</w:t>
      </w:r>
    </w:p>
    <w:p>
      <w:pPr>
        <w:pStyle w:val="10"/>
        <w:numPr>
          <w:ilvl w:val="0"/>
          <w:numId w:val="6"/>
        </w:numPr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可自动完成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样本</w:t>
      </w:r>
      <w:r>
        <w:rPr>
          <w:rFonts w:ascii="Times New Roman" w:hAnsi="Times New Roman" w:cs="Times New Roman"/>
          <w:color w:val="auto"/>
          <w:sz w:val="24"/>
          <w:szCs w:val="24"/>
        </w:rPr>
        <w:t>/检测试剂/溶血剂的加样、混匀和孵育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，</w:t>
      </w:r>
    </w:p>
    <w:p>
      <w:pPr>
        <w:pStyle w:val="10"/>
        <w:numPr>
          <w:ilvl w:val="0"/>
          <w:numId w:val="6"/>
        </w:numPr>
        <w:spacing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可对加样体积、孵育时间等参数进行设置</w:t>
      </w:r>
    </w:p>
    <w:p>
      <w:pPr>
        <w:pStyle w:val="10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3"/>
          <w:rFonts w:ascii="Times New Roman" w:hAnsi="Times New Roman" w:cs="Times New Roman"/>
          <w:b/>
          <w:color w:val="auto"/>
          <w:sz w:val="24"/>
          <w:szCs w:val="24"/>
        </w:rPr>
        <w:t>四、软件系统</w:t>
      </w:r>
    </w:p>
    <w:p>
      <w:pPr>
        <w:pStyle w:val="10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界面：中文界面</w:t>
      </w:r>
    </w:p>
    <w:p>
      <w:pPr>
        <w:pStyle w:val="10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质控：内置质控监测系统，保证实验室检测质量</w:t>
      </w:r>
    </w:p>
    <w:p>
      <w:pPr>
        <w:pStyle w:val="10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荧光补偿：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具有在线、离线补偿功能，</w:t>
      </w:r>
      <w:r>
        <w:rPr>
          <w:rFonts w:ascii="Times New Roman" w:hAnsi="Times New Roman" w:cs="Times New Roman"/>
          <w:color w:val="auto"/>
          <w:sz w:val="24"/>
          <w:szCs w:val="24"/>
        </w:rPr>
        <w:t>内置自动荧光补偿功能，无需人工干预即可自动完成复杂荧光补偿</w:t>
      </w:r>
    </w:p>
    <w:p>
      <w:pPr>
        <w:pStyle w:val="10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自动算法：内置淋巴细胞亚群，无需人工干预即可自动完成检测、分析和报告</w:t>
      </w:r>
    </w:p>
    <w:p>
      <w:pPr>
        <w:pStyle w:val="10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数据分析：</w:t>
      </w:r>
      <w:r>
        <w:rPr>
          <w:rFonts w:ascii="Times New Roman" w:hAnsi="Times New Roman" w:cs="Times New Roman"/>
          <w:color w:val="auto"/>
          <w:sz w:val="24"/>
          <w:szCs w:val="24"/>
        </w:rPr>
        <w:t>数据采集同时，可进行数据分析，提升实验室工作效率</w:t>
      </w:r>
    </w:p>
    <w:p>
      <w:pPr>
        <w:pStyle w:val="10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数据输出：可输出FCS、PDF等多种格式文件</w:t>
      </w:r>
    </w:p>
    <w:p>
      <w:pPr>
        <w:pStyle w:val="10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3"/>
          <w:rFonts w:ascii="Times New Roman" w:hAnsi="Times New Roman" w:cs="Times New Roman"/>
          <w:b/>
          <w:color w:val="auto"/>
          <w:sz w:val="24"/>
          <w:szCs w:val="24"/>
        </w:rPr>
        <w:t>五、配置：</w:t>
      </w:r>
    </w:p>
    <w:p>
      <w:pPr>
        <w:pStyle w:val="10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1.</w:t>
      </w:r>
      <w:r>
        <w:rPr>
          <w:rFonts w:ascii="Times New Roman" w:hAnsi="Times New Roman" w:cs="Times New Roman"/>
          <w:color w:val="auto"/>
          <w:sz w:val="24"/>
          <w:szCs w:val="24"/>
        </w:rPr>
        <w:t>流式细胞仪主机：1台</w:t>
      </w:r>
    </w:p>
    <w:p>
      <w:pPr>
        <w:pStyle w:val="1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样本前处理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系统：1台</w:t>
      </w:r>
    </w:p>
    <w:p>
      <w:pPr>
        <w:pStyle w:val="1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3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软件系统：1套</w:t>
      </w:r>
    </w:p>
    <w:p>
      <w:pPr>
        <w:pStyle w:val="10"/>
        <w:spacing w:before="0" w:beforeAutospacing="0" w:after="0" w:afterAutospacing="0" w:line="360" w:lineRule="auto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4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电脑工作站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配置13代酷睿i7处理器 16G运行内存，512G固态硬盘以上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）</w:t>
      </w:r>
    </w:p>
    <w:p>
      <w:pPr>
        <w:pStyle w:val="1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5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显示器</w:t>
      </w:r>
    </w:p>
    <w:p>
      <w:pPr>
        <w:pStyle w:val="1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6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鼠标、键盘</w:t>
      </w:r>
    </w:p>
    <w:p>
      <w:pPr>
        <w:pStyle w:val="10"/>
        <w:spacing w:before="0" w:beforeAutospacing="0" w:after="0" w:afterAutospacing="0" w:line="360" w:lineRule="auto"/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7.激光彩色打印机1台</w:t>
      </w:r>
    </w:p>
    <w:p>
      <w:pPr>
        <w:pStyle w:val="10"/>
        <w:spacing w:before="0" w:beforeAutospacing="0" w:after="0" w:afterAutospacing="0" w:line="360" w:lineRule="auto"/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8.UPS不间断电源1套（至少满足仪器正常工作1小时）</w:t>
      </w:r>
    </w:p>
    <w:p>
      <w:pPr>
        <w:pStyle w:val="10"/>
        <w:spacing w:before="0" w:beforeAutospacing="0" w:after="0" w:afterAutospacing="0" w:line="360" w:lineRule="auto"/>
        <w:rPr>
          <w:rStyle w:val="13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13"/>
          <w:rFonts w:hint="eastAsia" w:ascii="Times New Roman" w:hAnsi="Times New Roman" w:cs="Times New Roman"/>
          <w:b/>
          <w:color w:val="000000"/>
          <w:sz w:val="24"/>
          <w:szCs w:val="24"/>
          <w:lang w:eastAsia="zh-CN"/>
        </w:rPr>
        <w:t>六</w:t>
      </w:r>
      <w:r>
        <w:rPr>
          <w:rStyle w:val="13"/>
          <w:rFonts w:ascii="Times New Roman" w:hAnsi="Times New Roman" w:cs="Times New Roman"/>
          <w:b/>
          <w:color w:val="000000"/>
          <w:sz w:val="24"/>
          <w:szCs w:val="24"/>
        </w:rPr>
        <w:t>、</w:t>
      </w:r>
      <w:r>
        <w:rPr>
          <w:rStyle w:val="13"/>
          <w:rFonts w:hint="eastAsia" w:ascii="Times New Roman" w:hAnsi="Times New Roman" w:cs="Times New Roman"/>
          <w:b/>
          <w:color w:val="000000"/>
          <w:sz w:val="24"/>
          <w:szCs w:val="24"/>
          <w:lang w:val="en-US" w:eastAsia="zh-CN"/>
        </w:rPr>
        <w:t>供应商须承诺（承诺格式自拟）</w:t>
      </w:r>
      <w:r>
        <w:rPr>
          <w:rStyle w:val="13"/>
          <w:rFonts w:ascii="Times New Roman" w:hAnsi="Times New Roman" w:cs="Times New Roman"/>
          <w:b/>
          <w:color w:val="000000"/>
          <w:sz w:val="24"/>
          <w:szCs w:val="24"/>
        </w:rPr>
        <w:t>：</w:t>
      </w:r>
    </w:p>
    <w:p>
      <w:pPr>
        <w:pStyle w:val="10"/>
        <w:spacing w:before="0" w:beforeAutospacing="0" w:after="0" w:afterAutospacing="0" w:line="360" w:lineRule="auto"/>
        <w:rPr>
          <w:rStyle w:val="13"/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Style w:val="13"/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★1、售后服务：.提供至少5年免费维保服务</w:t>
      </w:r>
    </w:p>
    <w:p>
      <w:pPr>
        <w:pStyle w:val="10"/>
        <w:spacing w:before="0" w:beforeAutospacing="0" w:after="0" w:afterAutospacing="0" w:line="360" w:lineRule="auto"/>
        <w:rPr>
          <w:rStyle w:val="13"/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Style w:val="13"/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★2、完全满足本项目全部采购货物数量要求和技术参数要求。</w:t>
      </w:r>
    </w:p>
    <w:p>
      <w:pPr>
        <w:pStyle w:val="10"/>
        <w:spacing w:before="0" w:beforeAutospacing="0" w:after="0" w:afterAutospacing="0" w:line="360" w:lineRule="auto"/>
        <w:rPr>
          <w:rStyle w:val="13"/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Style w:val="13"/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★3、提供至少600份免费试机试剂</w:t>
      </w:r>
    </w:p>
    <w:p>
      <w:pPr>
        <w:pStyle w:val="10"/>
        <w:spacing w:before="0" w:beforeAutospacing="0" w:after="0" w:afterAutospacing="0" w:line="360" w:lineRule="auto"/>
        <w:rPr>
          <w:rStyle w:val="13"/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华文仿宋" w:hAnsi="华文仿宋" w:cs="华文仿宋"/>
          <w:b/>
          <w:bCs/>
          <w:sz w:val="28"/>
          <w:szCs w:val="28"/>
        </w:rPr>
        <w:t>★</w:t>
      </w:r>
      <w:r>
        <w:rPr>
          <w:rFonts w:hint="eastAsia" w:ascii="华文仿宋" w:hAnsi="华文仿宋" w:cs="华文仿宋"/>
          <w:b/>
          <w:bCs/>
          <w:kern w:val="0"/>
          <w:lang w:val="en-US" w:eastAsia="zh-CN"/>
        </w:rPr>
        <w:t>4、</w:t>
      </w:r>
      <w:r>
        <w:rPr>
          <w:rFonts w:hint="eastAsia" w:ascii="华文仿宋" w:hAnsi="华文仿宋" w:cs="华文仿宋"/>
          <w:b/>
          <w:bCs/>
          <w:kern w:val="0"/>
        </w:rPr>
        <w:t>所有货物质保服务方式均为</w:t>
      </w:r>
      <w:r>
        <w:rPr>
          <w:rFonts w:hint="eastAsia" w:ascii="华文仿宋" w:hAnsi="华文仿宋" w:cs="华文仿宋"/>
          <w:b/>
          <w:bCs/>
          <w:kern w:val="0"/>
          <w:lang w:val="en-US" w:eastAsia="zh-CN"/>
        </w:rPr>
        <w:t>供应商</w:t>
      </w:r>
      <w:r>
        <w:rPr>
          <w:rFonts w:hint="eastAsia" w:ascii="华文仿宋" w:hAnsi="华文仿宋" w:cs="华文仿宋"/>
          <w:b/>
          <w:bCs/>
          <w:kern w:val="0"/>
        </w:rPr>
        <w:t>上门服务，即由</w:t>
      </w:r>
      <w:r>
        <w:rPr>
          <w:rFonts w:hint="eastAsia" w:ascii="华文仿宋" w:hAnsi="华文仿宋" w:cs="华文仿宋"/>
          <w:b/>
          <w:bCs/>
          <w:kern w:val="0"/>
          <w:lang w:val="en-US" w:eastAsia="zh-CN"/>
        </w:rPr>
        <w:t>供应商</w:t>
      </w:r>
      <w:r>
        <w:rPr>
          <w:rFonts w:ascii="华文仿宋" w:hAnsi="华文仿宋" w:cs="华文仿宋"/>
          <w:b/>
          <w:bCs/>
          <w:kern w:val="0"/>
        </w:rPr>
        <w:t>指派售后人员到货物使用现场，由此产生的一切费用均由</w:t>
      </w:r>
      <w:r>
        <w:rPr>
          <w:rFonts w:hint="eastAsia" w:ascii="华文仿宋" w:hAnsi="华文仿宋" w:cs="华文仿宋"/>
          <w:b/>
          <w:bCs/>
          <w:kern w:val="0"/>
          <w:lang w:val="en-US" w:eastAsia="zh-CN"/>
        </w:rPr>
        <w:t>供应商</w:t>
      </w:r>
      <w:r>
        <w:rPr>
          <w:rFonts w:ascii="华文仿宋" w:hAnsi="华文仿宋" w:cs="华文仿宋"/>
          <w:b/>
          <w:bCs/>
          <w:kern w:val="0"/>
        </w:rPr>
        <w:t>承担。</w:t>
      </w:r>
    </w:p>
    <w:p>
      <w:pPr>
        <w:pStyle w:val="10"/>
        <w:spacing w:before="0" w:beforeAutospacing="0" w:after="0" w:afterAutospacing="0" w:line="360" w:lineRule="auto"/>
        <w:rPr>
          <w:rStyle w:val="13"/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华文仿宋" w:hAnsi="华文仿宋" w:cs="华文仿宋"/>
          <w:b/>
          <w:bCs/>
          <w:sz w:val="28"/>
          <w:szCs w:val="28"/>
        </w:rPr>
        <w:t>★</w:t>
      </w:r>
      <w:r>
        <w:rPr>
          <w:rStyle w:val="13"/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5、提供仪器操作使用免费培训服务，培训采购人指定的技术人员和管理人员，制定培训课程计划表，列出培训的地点和时间，培训内容应包括所提供产品的原理和技术性能、操作维护方法、安装调试、排除故障等各个方面，培训的具体日期及人数由使用单位确定。确保培训后的人员应能熟练操作设备，了解产品结构、工作原理，并能排除一般故障。</w:t>
      </w:r>
    </w:p>
    <w:p>
      <w:pPr>
        <w:pStyle w:val="10"/>
        <w:spacing w:before="0" w:beforeAutospacing="0" w:after="0" w:afterAutospacing="0" w:line="360" w:lineRule="auto"/>
        <w:rPr>
          <w:rStyle w:val="13"/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华文仿宋" w:hAnsi="华文仿宋" w:cs="华文仿宋"/>
          <w:b/>
          <w:bCs/>
          <w:sz w:val="28"/>
          <w:szCs w:val="28"/>
        </w:rPr>
        <w:t>★</w:t>
      </w:r>
      <w:r>
        <w:rPr>
          <w:rFonts w:hint="eastAsia" w:ascii="华文仿宋" w:hAnsi="华文仿宋" w:cs="华文仿宋"/>
          <w:b/>
          <w:bCs/>
          <w:sz w:val="28"/>
          <w:szCs w:val="28"/>
          <w:lang w:val="en-US" w:eastAsia="zh-CN"/>
        </w:rPr>
        <w:t>6、</w:t>
      </w:r>
      <w:r>
        <w:rPr>
          <w:rStyle w:val="13"/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仪器出现故障时，提供省域内当日免费检测服务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96D67"/>
    <w:multiLevelType w:val="multilevel"/>
    <w:tmpl w:val="02D96D67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97093B"/>
    <w:multiLevelType w:val="multilevel"/>
    <w:tmpl w:val="1597093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D13341"/>
    <w:multiLevelType w:val="multilevel"/>
    <w:tmpl w:val="18D1334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D64EB8"/>
    <w:multiLevelType w:val="multilevel"/>
    <w:tmpl w:val="1DD64EB8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AC2D6F"/>
    <w:multiLevelType w:val="multilevel"/>
    <w:tmpl w:val="45AC2D6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833792"/>
    <w:multiLevelType w:val="multilevel"/>
    <w:tmpl w:val="4E833792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9E432C"/>
    <w:multiLevelType w:val="multilevel"/>
    <w:tmpl w:val="649E432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jFmZjg4MzBlYmM2YWI3MzU1MDQ1YWMxNWVmZmYifQ=="/>
  </w:docVars>
  <w:rsids>
    <w:rsidRoot w:val="00000000"/>
    <w:rsid w:val="0BB86101"/>
    <w:rsid w:val="15864BE3"/>
    <w:rsid w:val="71206B60"/>
    <w:rsid w:val="7F4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7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after="120" w:afterLines="0" w:line="360" w:lineRule="auto"/>
      <w:jc w:val="left"/>
      <w:outlineLvl w:val="1"/>
    </w:pPr>
    <w:rPr>
      <w:rFonts w:ascii="Arial" w:hAnsi="Arial" w:eastAsia="宋体" w:cs="Times New Roman"/>
      <w:b/>
      <w:bCs/>
      <w:kern w:val="0"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4"/>
    <w:qFormat/>
    <w:uiPriority w:val="0"/>
    <w:pPr>
      <w:widowControl/>
      <w:spacing w:line="240" w:lineRule="auto"/>
      <w:ind w:firstLine="420" w:firstLineChars="100"/>
      <w:jc w:val="both"/>
      <w:textAlignment w:val="baseline"/>
    </w:pPr>
    <w:rPr>
      <w:rFonts w:ascii="Times New Roman" w:hAnsi="Times New Roman" w:eastAsia="华文仿宋"/>
      <w:color w:val="000000"/>
      <w:kern w:val="2"/>
      <w:sz w:val="18"/>
      <w:szCs w:val="18"/>
      <w:lang w:val="en-US" w:eastAsia="zh-CN" w:bidi="ar-SA"/>
    </w:rPr>
  </w:style>
  <w:style w:type="paragraph" w:customStyle="1" w:styleId="3">
    <w:name w:val="BodyText"/>
    <w:basedOn w:val="1"/>
    <w:next w:val="1"/>
    <w:qFormat/>
    <w:uiPriority w:val="0"/>
    <w:pPr>
      <w:widowControl/>
      <w:spacing w:line="360" w:lineRule="auto"/>
      <w:jc w:val="both"/>
      <w:textAlignment w:val="baseline"/>
    </w:pPr>
    <w:rPr>
      <w:rFonts w:ascii="宋体" w:hAnsi="宋体" w:eastAsia="华文仿宋"/>
      <w:color w:val="000000"/>
      <w:kern w:val="2"/>
      <w:sz w:val="24"/>
      <w:szCs w:val="24"/>
      <w:lang w:val="en-US" w:eastAsia="zh-CN" w:bidi="ar-SA"/>
    </w:rPr>
  </w:style>
  <w:style w:type="paragraph" w:customStyle="1" w:styleId="4">
    <w:name w:val="BodyText1I2"/>
    <w:basedOn w:val="5"/>
    <w:next w:val="1"/>
    <w:qFormat/>
    <w:uiPriority w:val="0"/>
    <w:pPr>
      <w:widowControl/>
      <w:tabs>
        <w:tab w:val="left" w:pos="0"/>
      </w:tabs>
      <w:spacing w:after="120" w:line="240" w:lineRule="auto"/>
      <w:ind w:left="420" w:leftChars="200" w:firstLine="420" w:firstLineChars="200"/>
      <w:jc w:val="both"/>
      <w:textAlignment w:val="baseline"/>
    </w:pPr>
    <w:rPr>
      <w:rFonts w:eastAsia="楷体_GB2312"/>
      <w:b/>
      <w:szCs w:val="24"/>
    </w:rPr>
  </w:style>
  <w:style w:type="paragraph" w:customStyle="1" w:styleId="5">
    <w:name w:val="BodyTextIndent"/>
    <w:basedOn w:val="1"/>
    <w:qFormat/>
    <w:uiPriority w:val="0"/>
    <w:pPr>
      <w:widowControl/>
      <w:spacing w:after="120" w:line="400" w:lineRule="exact"/>
      <w:ind w:left="420" w:leftChars="200"/>
      <w:jc w:val="both"/>
      <w:textAlignment w:val="baseline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13">
    <w:name w:val="Strong"/>
    <w:basedOn w:val="12"/>
    <w:qFormat/>
    <w:uiPriority w:val="0"/>
    <w:rPr>
      <w:rFonts w:ascii="Tahoma" w:hAnsi="Tahoma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2022-09-27T00:59:00Z</dcterms:created>
  <dc:creator>Administrator</dc:creator>
  <cp:lastModifiedBy>Administrator</cp:lastModifiedBy>
  <dcterms:modified xsi:type="dcterms:W3CDTF">2023-06-08T07:16:23Z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D738F1EE5BF04DE3858169B009D0AC4F</vt:lpwstr>
  </property>
</Properties>
</file>