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eastAsia="zh-CN"/>
        </w:rPr>
        <w:t>洋县图书馆数字阅读提升项目</w:t>
      </w:r>
    </w:p>
    <w:p>
      <w:pPr>
        <w:spacing w:line="360" w:lineRule="auto"/>
        <w:jc w:val="center"/>
        <w:rPr>
          <w:rFonts w:ascii="宋体" w:hAnsi="宋体" w:eastAsia="宋体"/>
          <w:b/>
          <w:bCs/>
          <w:sz w:val="24"/>
          <w:szCs w:val="24"/>
        </w:rPr>
      </w:pPr>
      <w:r>
        <w:rPr>
          <w:rFonts w:hint="eastAsia" w:ascii="宋体" w:hAnsi="宋体" w:eastAsia="宋体"/>
          <w:b/>
          <w:bCs/>
          <w:sz w:val="24"/>
          <w:szCs w:val="24"/>
        </w:rPr>
        <w:t>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洋县文化和旅游局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pPr>
              <w:pStyle w:val="14"/>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洋县图书馆数字阅读提升项目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pPr>
              <w:pStyle w:val="14"/>
              <w:spacing w:line="240" w:lineRule="auto"/>
              <w:ind w:left="0" w:leftChars="0"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洋县图书馆为满足读者多元化数字阅读需求，准备实施数字阅读提升项目。项目主要内容有:少儿朗读配套软硬件，看展览数字化展示平台，AI、VR设备，及读者朗读亭等。为读者打造视听体验场景，并有效整合各种数字资源，提升图书馆数字阅读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pPr>
              <w:pStyle w:val="14"/>
              <w:tabs>
                <w:tab w:val="left" w:leader="underscore" w:pos="2034"/>
              </w:tabs>
              <w:spacing w:line="292" w:lineRule="exact"/>
              <w:ind w:firstLine="0" w:firstLineChars="0"/>
              <w:jc w:val="center"/>
              <w:rPr>
                <w:rFonts w:hint="eastAsia"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pPr>
              <w:pStyle w:val="14"/>
              <w:spacing w:line="292"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w:t>
            </w:r>
            <w:r>
              <w:rPr>
                <w:rFonts w:hint="eastAsia" w:cs="宋体"/>
                <w:b/>
                <w:color w:val="000000"/>
                <w:sz w:val="21"/>
                <w:szCs w:val="21"/>
                <w:highlight w:val="none"/>
                <w:u w:val="single"/>
                <w:lang w:val="en-US" w:eastAsia="zh-CN"/>
              </w:rPr>
              <w:t>800000.00</w:t>
            </w:r>
            <w:r>
              <w:rPr>
                <w:rFonts w:hint="eastAsia" w:ascii="宋体" w:hAnsi="宋体" w:eastAsia="宋体" w:cs="宋体"/>
                <w:b/>
                <w:color w:val="000000"/>
                <w:sz w:val="21"/>
                <w:szCs w:val="21"/>
                <w:highlight w:val="none"/>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pPr>
              <w:pStyle w:val="14"/>
              <w:spacing w:after="60" w:line="240" w:lineRule="auto"/>
              <w:ind w:firstLine="0"/>
              <w:jc w:val="center"/>
              <w:rPr>
                <w:rFonts w:hint="eastAsia" w:ascii="宋体" w:hAnsi="宋体" w:eastAsia="宋体" w:cs="宋体"/>
                <w:b/>
                <w:sz w:val="21"/>
                <w:szCs w:val="21"/>
                <w:highlight w:val="none"/>
              </w:rPr>
            </w:pPr>
            <w:r>
              <w:rPr>
                <w:rFonts w:hint="eastAsia" w:ascii="宋体" w:hAnsi="宋体" w:eastAsia="宋体" w:cs="宋体"/>
                <w:b/>
                <w:color w:val="000000"/>
                <w:sz w:val="21"/>
                <w:szCs w:val="21"/>
                <w:highlight w:val="none"/>
                <w:lang w:eastAsia="zh-CN"/>
              </w:rPr>
              <w:t>人民币</w:t>
            </w:r>
            <w:r>
              <w:rPr>
                <w:rFonts w:hint="eastAsia" w:ascii="宋体" w:hAnsi="宋体" w:eastAsia="宋体" w:cs="宋体"/>
                <w:b/>
                <w:color w:val="000000"/>
                <w:sz w:val="21"/>
                <w:szCs w:val="21"/>
                <w:highlight w:val="none"/>
              </w:rPr>
              <w:t>：</w:t>
            </w:r>
            <w:r>
              <w:rPr>
                <w:rFonts w:hint="eastAsia" w:cs="宋体"/>
                <w:b/>
                <w:color w:val="000000"/>
                <w:sz w:val="21"/>
                <w:szCs w:val="21"/>
                <w:highlight w:val="none"/>
                <w:u w:val="single"/>
                <w:lang w:val="en-US" w:eastAsia="zh-CN"/>
              </w:rPr>
              <w:t>800000.00</w:t>
            </w:r>
            <w:r>
              <w:rPr>
                <w:rFonts w:hint="eastAsia" w:ascii="宋体" w:hAnsi="宋体" w:eastAsia="宋体" w:cs="宋体"/>
                <w:b/>
                <w:color w:val="000000"/>
                <w:sz w:val="21"/>
                <w:szCs w:val="21"/>
                <w:highlight w:val="none"/>
              </w:rPr>
              <w:t>元</w:t>
            </w:r>
          </w:p>
          <w:p>
            <w:pPr>
              <w:pStyle w:val="14"/>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供应商投标报价高于最高限价的则其投标文件将按无效文件处理。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52"/>
            </w:r>
            <w:r>
              <w:rPr>
                <w:rFonts w:hint="eastAsia" w:ascii="宋体" w:hAnsi="宋体" w:eastAsia="宋体" w:cs="宋体"/>
                <w:b/>
                <w:color w:val="000000"/>
                <w:sz w:val="21"/>
                <w:szCs w:val="21"/>
                <w:highlight w:val="none"/>
              </w:rPr>
              <w:t>专门面向中小企业釆购</w:t>
            </w:r>
          </w:p>
          <w:p>
            <w:pPr>
              <w:pStyle w:val="14"/>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pPr>
              <w:pStyle w:val="14"/>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pPr>
              <w:pStyle w:val="14"/>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合同包1(</w:t>
            </w:r>
            <w:r>
              <w:rPr>
                <w:rFonts w:hint="eastAsia" w:ascii="宋体" w:hAnsi="宋体" w:eastAsia="宋体" w:cs="宋体"/>
                <w:sz w:val="21"/>
                <w:szCs w:val="21"/>
                <w:vertAlign w:val="baseline"/>
                <w:lang w:val="en-US" w:eastAsia="zh-CN"/>
              </w:rPr>
              <w:t>洋县图书馆数字阅读提升项目</w:t>
            </w:r>
            <w:r>
              <w:rPr>
                <w:rFonts w:hint="eastAsia" w:ascii="宋体" w:hAnsi="宋体" w:eastAsia="宋体" w:cs="宋体"/>
                <w:sz w:val="21"/>
                <w:szCs w:val="21"/>
                <w:vertAlign w:val="baseline"/>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本项目专门面向中小企业采购。</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（1）具有独立承担民事责任能力的法人、其他组织或自然人，营业执照、组织机构代码证、税务登记证（三证合一只提供营业执照，事业单位提供事业单位法人证书，自然人应提供身份证）合法有效； </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（2）法定代表人参加磋商时，提供本人身份证；授权代表参加磋商时，提供法定代表人授权书和被授权人身份证；非法人单位参照执行；</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（3）单位负责人为同一人或者存在控股、管理关系的不同单位不得同时进行磋商；</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（4）参加政府采购活动前三年内，在经营活动中没有重大违法记录的书面声明；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（5）税收缴纳证明：提供开标前近六个月内已缴纳任意一个月完税凭证或税务机关开具的完税证明（任意税种）；依法免税的应提供相关文件证明；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（6）社会保障资金缴纳证明：提供开标前近六个月内已缴存的任意一个月的社会保障资金缴存证明或社保机构开具的社会保险参保缴费情况证明；依法不需要缴纳社会保障资金的应提供相关文件证明；</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7）财务状况报告：提供2021年度或2022年度经审计的财务会计报告（包括审计报告、资产负债表、利润表、现金流量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（8）磋商单位不得为“信用中国”网站（www.creditchina.gov.cn）和中国政府采购网（www.ccgp.gov.cn）中被列入失信被执行人、重大税收违法案件当事人名单、政府采购严重违法失信行为记录名单的单位。</w:t>
            </w:r>
            <w:r>
              <w:rPr>
                <w:rFonts w:hint="eastAsia" w:ascii="宋体" w:hAnsi="宋体" w:eastAsia="宋体" w:cs="宋体"/>
                <w:sz w:val="21"/>
                <w:szCs w:val="21"/>
                <w:vertAlign w:val="baseline"/>
              </w:rPr>
              <w:br w:type="textWrapping"/>
            </w:r>
            <w:r>
              <w:rPr>
                <w:rFonts w:hint="eastAsia" w:ascii="宋体" w:hAnsi="宋体" w:eastAsia="宋体" w:cs="宋体"/>
                <w:sz w:val="21"/>
                <w:szCs w:val="21"/>
                <w:vertAlign w:val="baseline"/>
              </w:rPr>
              <w:t>（9）本项目不接受联合体磋商。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pPr>
              <w:pStyle w:val="14"/>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pPr>
              <w:pStyle w:val="14"/>
              <w:spacing w:line="313" w:lineRule="exact"/>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w:t>
            </w:r>
          </w:p>
        </w:tc>
        <w:tc>
          <w:tcPr>
            <w:tcW w:w="6612" w:type="dxa"/>
            <w:gridSpan w:val="2"/>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pPr>
              <w:pStyle w:val="14"/>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合同履行期限</w:t>
            </w:r>
          </w:p>
        </w:tc>
        <w:tc>
          <w:tcPr>
            <w:tcW w:w="4909" w:type="dxa"/>
            <w:vAlign w:val="center"/>
          </w:tcPr>
          <w:p>
            <w:pPr>
              <w:pStyle w:val="14"/>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合同签订之日起30天内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质保期</w:t>
            </w:r>
          </w:p>
        </w:tc>
        <w:tc>
          <w:tcPr>
            <w:tcW w:w="4909"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硬件一年，软件三年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pStyle w:val="14"/>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pPr>
              <w:pStyle w:val="14"/>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pPr>
              <w:pStyle w:val="14"/>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交货</w:t>
            </w:r>
            <w:r>
              <w:rPr>
                <w:rFonts w:hint="eastAsia" w:ascii="宋体" w:hAnsi="宋体" w:eastAsia="宋体" w:cs="宋体"/>
                <w:color w:val="000000"/>
                <w:sz w:val="21"/>
                <w:szCs w:val="21"/>
                <w:highlight w:val="none"/>
                <w:lang w:eastAsia="zh-CN"/>
              </w:rPr>
              <w:t>地点</w:t>
            </w:r>
          </w:p>
        </w:tc>
        <w:tc>
          <w:tcPr>
            <w:tcW w:w="4909" w:type="dxa"/>
            <w:vAlign w:val="center"/>
          </w:tcPr>
          <w:p>
            <w:pPr>
              <w:pStyle w:val="14"/>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w:t>
            </w:r>
            <w:bookmarkStart w:id="0" w:name="_GoBack"/>
            <w:bookmarkEnd w:id="0"/>
            <w:r>
              <w:rPr>
                <w:rFonts w:hint="eastAsia" w:cs="宋体"/>
                <w:color w:val="000000"/>
                <w:kern w:val="2"/>
                <w:sz w:val="21"/>
                <w:szCs w:val="21"/>
                <w:highlight w:val="none"/>
                <w:lang w:val="zh-TW" w:eastAsia="zh-CN" w:bidi="zh-TW"/>
              </w:rPr>
              <w:t>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pPr>
              <w:pStyle w:val="14"/>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pPr>
              <w:pStyle w:val="14"/>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pPr>
              <w:pStyle w:val="14"/>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pPr>
              <w:rPr>
                <w:rFonts w:hint="eastAsia" w:ascii="宋体" w:hAnsi="宋体" w:eastAsia="宋体" w:cs="宋体"/>
                <w:sz w:val="21"/>
                <w:szCs w:val="21"/>
              </w:rPr>
            </w:pPr>
          </w:p>
        </w:tc>
        <w:tc>
          <w:tcPr>
            <w:tcW w:w="1590" w:type="dxa"/>
            <w:vMerge w:val="continue"/>
            <w:vAlign w:val="center"/>
          </w:tcPr>
          <w:p>
            <w:pPr>
              <w:rPr>
                <w:rFonts w:hint="eastAsia" w:ascii="宋体" w:hAnsi="宋体" w:eastAsia="宋体" w:cs="宋体"/>
                <w:sz w:val="21"/>
                <w:szCs w:val="21"/>
              </w:rPr>
            </w:pPr>
          </w:p>
        </w:tc>
        <w:tc>
          <w:tcPr>
            <w:tcW w:w="6612" w:type="dxa"/>
            <w:gridSpan w:val="2"/>
            <w:vAlign w:val="top"/>
          </w:tcPr>
          <w:p>
            <w:pPr>
              <w:pStyle w:val="14"/>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pPr>
              <w:pStyle w:val="14"/>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pPr>
              <w:pStyle w:val="14"/>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pPr>
              <w:pStyle w:val="14"/>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pPr>
              <w:pStyle w:val="14"/>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pPr>
              <w:pStyle w:val="14"/>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7C24999"/>
    <w:rsid w:val="08FD6362"/>
    <w:rsid w:val="098E5CC9"/>
    <w:rsid w:val="0B0F54EC"/>
    <w:rsid w:val="0CC63D57"/>
    <w:rsid w:val="13594246"/>
    <w:rsid w:val="16FE0496"/>
    <w:rsid w:val="1A5D655D"/>
    <w:rsid w:val="237F159F"/>
    <w:rsid w:val="25B30BFB"/>
    <w:rsid w:val="2B3336F2"/>
    <w:rsid w:val="31D74C23"/>
    <w:rsid w:val="422C0551"/>
    <w:rsid w:val="46CC130C"/>
    <w:rsid w:val="47955564"/>
    <w:rsid w:val="50901457"/>
    <w:rsid w:val="52433CED"/>
    <w:rsid w:val="549B7CC4"/>
    <w:rsid w:val="551E34D6"/>
    <w:rsid w:val="556C7FAA"/>
    <w:rsid w:val="566B16CF"/>
    <w:rsid w:val="5F9C348D"/>
    <w:rsid w:val="62464171"/>
    <w:rsid w:val="67334BBF"/>
    <w:rsid w:val="68BA7285"/>
    <w:rsid w:val="6D2D5E2D"/>
    <w:rsid w:val="6F5B51C0"/>
    <w:rsid w:val="747622FD"/>
    <w:rsid w:val="794E160F"/>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rPr>
      <w:szCs w:val="24"/>
    </w:rPr>
  </w:style>
  <w:style w:type="paragraph" w:styleId="3">
    <w:name w:val="Body Text Indent"/>
    <w:basedOn w:val="1"/>
    <w:next w:val="4"/>
    <w:autoRedefine/>
    <w:qFormat/>
    <w:uiPriority w:val="0"/>
    <w:pPr>
      <w:spacing w:line="640" w:lineRule="exact"/>
      <w:ind w:firstLine="585"/>
    </w:pPr>
    <w:rPr>
      <w:rFonts w:ascii="楷体_GB2312" w:eastAsia="楷体_GB2312"/>
      <w:sz w:val="32"/>
    </w:rPr>
  </w:style>
  <w:style w:type="paragraph" w:styleId="4">
    <w:name w:val="envelope return"/>
    <w:basedOn w:val="1"/>
    <w:autoRedefine/>
    <w:qFormat/>
    <w:uiPriority w:val="0"/>
    <w:pPr>
      <w:snapToGrid w:val="0"/>
    </w:pPr>
    <w:rPr>
      <w:rFonts w:ascii="Arial" w:hAnsi="Arial" w:eastAsia="宋体" w:cs="Times New Roman"/>
    </w:rPr>
  </w:style>
  <w:style w:type="paragraph" w:styleId="6">
    <w:name w:val="Normal Indent"/>
    <w:basedOn w:val="1"/>
    <w:next w:val="2"/>
    <w:autoRedefine/>
    <w:qFormat/>
    <w:uiPriority w:val="0"/>
    <w:pPr>
      <w:ind w:firstLine="420" w:firstLineChars="200"/>
    </w:pPr>
    <w:rPr>
      <w:rFonts w:ascii="Calibri" w:hAnsi="Calibri"/>
      <w:kern w:val="0"/>
      <w:sz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next w:val="7"/>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next w:val="13"/>
    <w:autoRedefine/>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3">
    <w:name w:val="样式 样式 正文缩进正文（首行缩进两字）正文2 + 首行缩进:  2 字符 + 首行缩进:  2 字符"/>
    <w:basedOn w:val="1"/>
    <w:autoRedefine/>
    <w:qFormat/>
    <w:uiPriority w:val="0"/>
    <w:pPr>
      <w:adjustRightInd w:val="0"/>
      <w:snapToGrid w:val="0"/>
      <w:spacing w:after="200" w:line="324" w:lineRule="auto"/>
      <w:ind w:firstLine="600"/>
    </w:pPr>
    <w:rPr>
      <w:rFonts w:ascii="Tahoma" w:hAnsi="宋体" w:eastAsia="微软雅黑" w:cs="宋体"/>
      <w:sz w:val="28"/>
    </w:rPr>
  </w:style>
  <w:style w:type="paragraph" w:customStyle="1" w:styleId="14">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1172</Words>
  <Characters>1249</Characters>
  <Lines>0</Lines>
  <Paragraphs>0</Paragraphs>
  <TotalTime>1</TotalTime>
  <ScaleCrop>false</ScaleCrop>
  <LinksUpToDate>false</LinksUpToDate>
  <CharactersWithSpaces>1264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2024-01-11T08:19:30Z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AEFE776459FC4D75B5ABC4F822DEDFDC</vt:lpwstr>
  </property>
</Properties>
</file>