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 w:firstLineChars="200"/>
        <w:jc w:val="left"/>
        <w:rPr>
          <w:rStyle w:val="8"/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widowControl/>
        <w:spacing w:line="360" w:lineRule="auto"/>
        <w:ind w:firstLine="2520" w:firstLineChars="700"/>
        <w:jc w:val="both"/>
        <w:rPr>
          <w:rStyle w:val="8"/>
          <w:rFonts w:hint="default" w:ascii="宋体" w:hAnsi="宋体" w:cs="宋体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Style w:val="8"/>
          <w:rFonts w:hint="eastAsia" w:ascii="宋体" w:hAnsi="宋体" w:cs="宋体"/>
          <w:color w:val="auto"/>
          <w:kern w:val="0"/>
          <w:sz w:val="36"/>
          <w:szCs w:val="36"/>
          <w:highlight w:val="none"/>
          <w:lang w:val="en-US" w:eastAsia="zh-CN" w:bidi="ar"/>
        </w:rPr>
        <w:t>采 购 需 求</w:t>
      </w:r>
    </w:p>
    <w:p>
      <w:pPr>
        <w:widowControl/>
        <w:spacing w:line="360" w:lineRule="auto"/>
        <w:ind w:firstLine="480" w:firstLineChars="200"/>
        <w:jc w:val="left"/>
        <w:rPr>
          <w:rStyle w:val="8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Style w:val="8"/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</w:t>
      </w:r>
      <w:r>
        <w:rPr>
          <w:rStyle w:val="8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项目概况与招标范围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.1建设地点：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西乡县城南街道办事处葛石社区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.2规模：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项目占地面积11533. 19平方米，总建筑面积15580平方米。建设内容为新建医养楼1栋，地上6层，地下1层，为框架结构。其中地上建筑面积为12000平方米，建筑基底面积为2000平方米；地下建筑面积约3500平方米，其中人防面积2000平方米，建成后可提供停车位150个；新建门卫室1间，建筑面积40平方米。新建1座独立的锅炉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房，建筑面积为40平方米。新建砖砌围墙长280米，高2. 5米。配套建设绿化工程面积4359. 96平方米、道路硬化面积6383. 23平方米、污水处理工程、给排水工程、供电工程、暖通工程、消防工程等。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招标范围：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西乡县城乡居民医养结合（EPC）项目所有内容的实施、交工及缺陷责任期内的全过程监理内容，包括施工阶段监理及保修阶段监理。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预算金额：</w:t>
      </w: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1900000.00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元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最高限价：</w:t>
      </w: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1900000.00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元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 w:val="24"/>
          <w:szCs w:val="24"/>
          <w:highlight w:val="none"/>
          <w:lang w:val="en-US" w:eastAsia="zh-CN"/>
        </w:rPr>
        <w:t>计划工期：</w:t>
      </w:r>
      <w:r>
        <w:rPr>
          <w:rFonts w:hint="eastAsia" w:ascii="宋体" w:hAnsi="宋体" w:cs="Times New Roman"/>
          <w:color w:val="000000"/>
          <w:sz w:val="24"/>
          <w:szCs w:val="24"/>
          <w:highlight w:val="none"/>
          <w:lang w:val="en-US" w:eastAsia="zh-CN"/>
        </w:rPr>
        <w:t>同施工工期</w:t>
      </w:r>
    </w:p>
    <w:p/>
    <w:sectPr>
      <w:pgSz w:w="11910" w:h="16840"/>
      <w:pgMar w:top="1440" w:right="1800" w:bottom="1440" w:left="1800" w:header="794" w:footer="79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DFhZmEyYWI0NTg1OGU0MTRiYjQxNjBiYjRjNTUifQ=="/>
  </w:docVars>
  <w:rsids>
    <w:rsidRoot w:val="14F60290"/>
    <w:rsid w:val="14B56E0A"/>
    <w:rsid w:val="14F60290"/>
    <w:rsid w:val="3AF55FD8"/>
    <w:rsid w:val="3C3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 w:line="240" w:lineRule="auto"/>
      <w:ind w:firstLine="420"/>
    </w:pPr>
    <w:rPr>
      <w:sz w:val="21"/>
      <w:szCs w:val="24"/>
    </w:rPr>
  </w:style>
  <w:style w:type="paragraph" w:styleId="3">
    <w:name w:val="Body Text"/>
    <w:basedOn w:val="1"/>
    <w:next w:val="1"/>
    <w:qFormat/>
    <w:uiPriority w:val="99"/>
    <w:rPr>
      <w:rFonts w:ascii="Calibri" w:hAnsi="Calibri" w:cs="Times New Roman"/>
      <w:kern w:val="0"/>
    </w:rPr>
  </w:style>
  <w:style w:type="paragraph" w:styleId="4">
    <w:name w:val="Body Text First Indent 2"/>
    <w:basedOn w:val="5"/>
    <w:qFormat/>
    <w:uiPriority w:val="0"/>
    <w:pPr>
      <w:spacing w:after="120" w:line="240" w:lineRule="auto"/>
      <w:ind w:left="420" w:firstLine="420"/>
    </w:pPr>
    <w:rPr>
      <w:sz w:val="21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</w:style>
  <w:style w:type="character" w:styleId="8">
    <w:name w:val="Hyperlink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163</Characters>
  <Lines>0</Lines>
  <Paragraphs>0</Paragraphs>
  <TotalTime>7</TotalTime>
  <ScaleCrop>false</ScaleCrop>
  <LinksUpToDate>false</LinksUpToDate>
  <CharactersWithSpaces>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2022-12-26T09:29:00Z</dcterms:created>
  <dc:creator>贾旭鸣</dc:creator>
  <cp:lastModifiedBy>简</cp:lastModifiedBy>
  <dcterms:modified xsi:type="dcterms:W3CDTF">2023-03-21T07:06:13Z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A69FA88883BB495C9647573A41FD85B5</vt:lpwstr>
  </property>
</Properties>
</file>