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宋体" w:hAnsi="宋体" w:cs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采购需求及内容</w:t>
      </w:r>
    </w:p>
    <w:p>
      <w:pPr>
        <w:snapToGrid w:val="0"/>
        <w:spacing w:line="240" w:lineRule="atLeast"/>
        <w:rPr>
          <w:rFonts w:hint="eastAsia" w:ascii="宋体" w:hAnsi="宋体" w:cs="宋体"/>
          <w:sz w:val="24"/>
          <w:szCs w:val="21"/>
          <w:lang w:val="en-US" w:eastAsia="zh-CN"/>
        </w:rPr>
      </w:pPr>
    </w:p>
    <w:p>
      <w:pPr>
        <w:snapToGrid w:val="0"/>
        <w:spacing w:line="240" w:lineRule="atLeas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1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排污口管理是生态环境保护的重要节点，开展入河入海排污口排查整治，加强和规范排污口监督管理，是全面贯彻落实习近平生态文明思想，深入打好碧水保卫战的有力抓手，是建设美丽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西乡</w:t>
      </w:r>
      <w:r>
        <w:rPr>
          <w:rFonts w:hint="eastAsia" w:ascii="宋体" w:hAnsi="宋体" w:cs="宋体"/>
          <w:sz w:val="24"/>
          <w:szCs w:val="24"/>
        </w:rPr>
        <w:t>“重要窗口”的重要举措，对改善水生态环境质量，保护和建设美丽河湖具有重要作用。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项目预算700000元。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2023年底前，编制完成入河排污口排查溯源实施方案，完成汉江干流西乡段入河排污口80%的溯源和30%整治任务。建立完善各部门协同联动机制，明确各部门职责分工及入河排污口的排查溯源更新制度。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2024年底前，基本完成汉江干流西乡段入河排污口溯源和70%整治任务。完成牧马河和泾洋河排口排查工作，完善入河排污口名录。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2025年底前，全面完成汉江、牧马河和泾洋河排污口排查溯源，基本完成整治工作。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采购需求：</w:t>
      </w:r>
    </w:p>
    <w:p>
      <w:pPr>
        <w:spacing w:line="56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二、工作范围</w:t>
      </w:r>
    </w:p>
    <w:p>
      <w:pPr>
        <w:widowControl/>
        <w:spacing w:line="560" w:lineRule="exact"/>
        <w:jc w:val="both"/>
        <w:rPr>
          <w:rFonts w:eastAsia="黑体"/>
          <w:kern w:val="0"/>
          <w:sz w:val="24"/>
          <w:szCs w:val="24"/>
        </w:rPr>
      </w:pPr>
      <w:r>
        <w:rPr>
          <w:rFonts w:hint="eastAsia" w:eastAsia="黑体"/>
          <w:kern w:val="0"/>
          <w:sz w:val="24"/>
          <w:szCs w:val="24"/>
          <w:lang w:eastAsia="zh-CN"/>
        </w:rPr>
        <w:t>（</w:t>
      </w:r>
      <w:r>
        <w:rPr>
          <w:rFonts w:hint="eastAsia" w:eastAsia="黑体"/>
          <w:kern w:val="0"/>
          <w:sz w:val="24"/>
          <w:szCs w:val="24"/>
          <w:lang w:val="en-US" w:eastAsia="zh-CN"/>
        </w:rPr>
        <w:t>一</w:t>
      </w:r>
      <w:r>
        <w:rPr>
          <w:rFonts w:hint="eastAsia" w:eastAsia="黑体"/>
          <w:kern w:val="0"/>
          <w:sz w:val="24"/>
          <w:szCs w:val="24"/>
          <w:lang w:eastAsia="zh-CN"/>
        </w:rPr>
        <w:t>）</w:t>
      </w:r>
      <w:r>
        <w:rPr>
          <w:rFonts w:eastAsia="黑体"/>
          <w:kern w:val="0"/>
          <w:sz w:val="24"/>
          <w:szCs w:val="24"/>
        </w:rPr>
        <w:t>河道范围</w:t>
      </w:r>
    </w:p>
    <w:tbl>
      <w:tblPr>
        <w:tblStyle w:val="2"/>
        <w:tblW w:w="8627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30"/>
        <w:gridCol w:w="2693"/>
        <w:gridCol w:w="2943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69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起始地点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终止地点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县境内</w:t>
            </w:r>
            <w:r>
              <w:rPr>
                <w:rFonts w:eastAsia="黑体"/>
                <w:kern w:val="0"/>
                <w:sz w:val="24"/>
                <w:szCs w:val="24"/>
              </w:rPr>
              <w:t>长度（km）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520" w:lineRule="exact"/>
              <w:ind w:right="-134" w:rightChars="-64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汉  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子午镇段家营村白沙渡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茶镇新渔坝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牧马河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骆家坝镇细辛村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子午镇回龙村小河坝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泾洋河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堰口镇穿心店村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城南街道泾洋村牧马河</w:t>
            </w:r>
          </w:p>
          <w:p>
            <w:pPr>
              <w:widowControl/>
              <w:spacing w:line="4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交汇处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38.8</w:t>
            </w:r>
          </w:p>
        </w:tc>
      </w:tr>
    </w:tbl>
    <w:p>
      <w:pPr>
        <w:spacing w:line="560" w:lineRule="exact"/>
        <w:ind w:firstLine="480" w:firstLineChars="200"/>
        <w:rPr>
          <w:rFonts w:eastAsia="楷体_GB2312"/>
          <w:sz w:val="24"/>
          <w:szCs w:val="24"/>
        </w:rPr>
      </w:pPr>
      <w:r>
        <w:rPr>
          <w:rFonts w:hint="eastAsia" w:eastAsia="楷体_GB2312"/>
          <w:sz w:val="24"/>
          <w:szCs w:val="24"/>
        </w:rPr>
        <w:t>（</w:t>
      </w:r>
      <w:r>
        <w:rPr>
          <w:rFonts w:hint="eastAsia" w:eastAsia="黑体"/>
          <w:kern w:val="0"/>
          <w:sz w:val="24"/>
          <w:szCs w:val="24"/>
        </w:rPr>
        <w:t>二）</w:t>
      </w:r>
      <w:r>
        <w:rPr>
          <w:rFonts w:eastAsia="黑体"/>
          <w:kern w:val="0"/>
          <w:sz w:val="24"/>
          <w:szCs w:val="24"/>
        </w:rPr>
        <w:t>排口范围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结合我</w:t>
      </w:r>
      <w:r>
        <w:rPr>
          <w:rFonts w:hint="eastAsia"/>
          <w:sz w:val="24"/>
          <w:szCs w:val="24"/>
        </w:rPr>
        <w:t>县</w:t>
      </w:r>
      <w:r>
        <w:rPr>
          <w:sz w:val="24"/>
          <w:szCs w:val="24"/>
        </w:rPr>
        <w:t>实际，此次排查排口范围主要包括工业排污口</w:t>
      </w:r>
      <w:r>
        <w:rPr>
          <w:rFonts w:hint="eastAsia"/>
          <w:sz w:val="24"/>
          <w:szCs w:val="24"/>
        </w:rPr>
        <w:t>、城镇污水处理厂排污口、农业排口及</w:t>
      </w:r>
      <w:r>
        <w:rPr>
          <w:sz w:val="24"/>
          <w:szCs w:val="24"/>
        </w:rPr>
        <w:t>其他排口。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其中工业排污口包括工矿企业排污口、工业及其他各类园区污水处理厂排污口和</w:t>
      </w:r>
      <w:r>
        <w:rPr>
          <w:rFonts w:hint="eastAsia"/>
          <w:sz w:val="24"/>
          <w:szCs w:val="24"/>
        </w:rPr>
        <w:t>工矿企业雨洪排口</w:t>
      </w:r>
      <w:r>
        <w:rPr>
          <w:sz w:val="24"/>
          <w:szCs w:val="24"/>
        </w:rPr>
        <w:t>。</w:t>
      </w:r>
    </w:p>
    <w:p>
      <w:pPr>
        <w:pStyle w:val="4"/>
        <w:spacing w:line="560" w:lineRule="exact"/>
        <w:ind w:firstLine="640"/>
        <w:rPr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农业排口包括规模化畜禽养殖排污口和规模化水产养殖排污口</w:t>
      </w:r>
      <w:r>
        <w:rPr>
          <w:rFonts w:hint="eastAsia" w:eastAsia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其他排口主要包括</w:t>
      </w:r>
      <w:r>
        <w:rPr>
          <w:rFonts w:hint="eastAsia"/>
          <w:sz w:val="24"/>
          <w:szCs w:val="24"/>
        </w:rPr>
        <w:t>大中型灌区排口、港口码头排污口、规模以下畜禽养殖和水产养殖排污口、城镇生活污水散排口、农村污水处理设施排污口、农村生活污水散排口</w:t>
      </w:r>
      <w:r>
        <w:rPr>
          <w:sz w:val="24"/>
          <w:szCs w:val="24"/>
        </w:rPr>
        <w:t>等。</w:t>
      </w:r>
    </w:p>
    <w:p>
      <w:pPr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、排查溯源方法、工作步骤与质量控制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充分吸纳</w:t>
      </w:r>
      <w:r>
        <w:rPr>
          <w:rFonts w:hint="eastAsia"/>
          <w:sz w:val="24"/>
          <w:szCs w:val="24"/>
        </w:rPr>
        <w:t>汉江干流入河排污口排查</w:t>
      </w:r>
      <w:r>
        <w:rPr>
          <w:sz w:val="24"/>
          <w:szCs w:val="24"/>
        </w:rPr>
        <w:t>的工作经验成果，收集、整合、分析与入河排口相关的规划、文件、图件等技术资料，进一步明确入河排口排查范围和重点排查对象。根据国家和</w:t>
      </w:r>
      <w:r>
        <w:rPr>
          <w:rFonts w:hint="eastAsia"/>
          <w:sz w:val="24"/>
          <w:szCs w:val="24"/>
        </w:rPr>
        <w:t>陕西省</w:t>
      </w:r>
      <w:r>
        <w:rPr>
          <w:sz w:val="24"/>
          <w:szCs w:val="24"/>
        </w:rPr>
        <w:t>入河排污口调查溯源相关技术文件要求，按照“有口皆查、应查尽查”的工作要求开展排污口排查，摸清掌握各类排污口的分布及数量、污水排放特征及去向，完善入河排污口名录。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根据排污口排查结果，通过资料溯源、人工溯源、技术溯源等方式，溯清排污口的排放来源和排放类型。按照“谁污染、谁治理”和政府兜底的原则，逐一明确排污口责任主体、排污单位基本情况，建立责任主体清单。</w:t>
      </w:r>
    </w:p>
    <w:p>
      <w:pPr>
        <w:spacing w:line="560" w:lineRule="exact"/>
        <w:ind w:firstLine="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（一）排查溯源方法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1.排查方法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（1）前期准备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资料核查</w:t>
      </w:r>
    </w:p>
    <w:p>
      <w:pPr>
        <w:spacing w:line="560" w:lineRule="exact"/>
        <w:ind w:firstLine="640"/>
        <w:rPr>
          <w:spacing w:val="-6"/>
          <w:sz w:val="24"/>
          <w:szCs w:val="24"/>
        </w:rPr>
      </w:pPr>
      <w:r>
        <w:rPr>
          <w:rFonts w:hAnsi="宋体" w:eastAsia="宋体"/>
          <w:sz w:val="24"/>
          <w:szCs w:val="24"/>
        </w:rPr>
        <w:t>①</w:t>
      </w:r>
      <w:r>
        <w:rPr>
          <w:sz w:val="24"/>
          <w:szCs w:val="24"/>
        </w:rPr>
        <w:t>排污口台账核查。历史上已掌握的入河排污口信息和相关监管、整治资料，包括：排污口名称、经纬度坐标、审批或登记信息、已知的排污单位、设置时间、历史监测记录、排放方式（管道、沟渠、涵洞）等信息；排污口审批信息，包括：环境影响评</w:t>
      </w:r>
      <w:r>
        <w:rPr>
          <w:spacing w:val="-6"/>
          <w:sz w:val="24"/>
          <w:szCs w:val="24"/>
        </w:rPr>
        <w:t>价、排污许可、排水许可、入河排污口设置审核登记等审批文件等。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rFonts w:hAnsi="宋体" w:eastAsia="宋体"/>
          <w:sz w:val="24"/>
          <w:szCs w:val="24"/>
        </w:rPr>
        <w:t>②</w:t>
      </w:r>
      <w:r>
        <w:rPr>
          <w:sz w:val="24"/>
          <w:szCs w:val="24"/>
        </w:rPr>
        <w:t>排水设施台账核查：包括入河排水口名称、所在行政区域、排入水体名称、所在位置、入河排水口类型、收水的四至范围、收水范围内污水管网覆盖情况、入河方式和责任主体等信息。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根据上述核查结果，结合给排水管网、污染源分布图、环境影响评价、排污许可及河流水面、沟渠、水工建筑用地等土地利用现状数据等资料，进一步溯源，掌握排污口责任主体、排污单位基本情况。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（2）查漏补缺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人工沿岸调查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采用人工沿岸调查的方式，对沿河排口逐一进行调查，对排口、附属设施及上游一定范围内与之连接的管井进行位置（坐标）、属性、管径、水流情况等数据进行采集，形成排口及上游溯源管网图。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2.溯源方法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（1）资料溯源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采用收集整理资料的方式进行溯源排查。资料包括但不限于区域内已经形成的入河排污口排查结果台账，环境影响评价、排污许可、排水许可审批文件，沿河（湖）水体区行政区划矢量数据等应收集的数据。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（2）人工溯源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对资料溯源阶段不能确定污染来源的排污口，污水来源较为复杂的、通过查阅已有资料无法满足溯源要求的，开展人工排查。根据资料整理成果，明确重点排查区域、排查路线、排查方法、人员分组、设备配备等。</w:t>
      </w:r>
    </w:p>
    <w:p>
      <w:pPr>
        <w:spacing w:line="560" w:lineRule="exact"/>
        <w:ind w:firstLine="640"/>
        <w:rPr>
          <w:sz w:val="24"/>
          <w:szCs w:val="24"/>
        </w:rPr>
      </w:pPr>
      <w:r>
        <w:rPr>
          <w:sz w:val="24"/>
          <w:szCs w:val="24"/>
        </w:rPr>
        <w:t>（3）技术溯源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对人工溯源阶段无法以人力溯源的排污口，组织技术力量开展技术溯源。包括但不限于泵站运行配合、烟雾试验、染色试验、管道检测、无人机补充航测、同位素解析法、水质指纹法、线粒体DNA溯源法等。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cs="仿宋"/>
          <w:b/>
          <w:bCs/>
          <w:sz w:val="24"/>
          <w:szCs w:val="24"/>
        </w:rPr>
        <w:t>服务期限及服务地点</w:t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服务期</w:t>
      </w:r>
      <w:r>
        <w:rPr>
          <w:rFonts w:hint="eastAsia" w:ascii="宋体" w:hAnsi="宋体"/>
          <w:sz w:val="24"/>
          <w:szCs w:val="24"/>
        </w:rPr>
        <w:t>限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（1）排查、监测、系统填报工作在合同签订后至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月底</w:t>
      </w:r>
      <w:r>
        <w:rPr>
          <w:rFonts w:ascii="宋体" w:hAnsi="宋体"/>
          <w:sz w:val="24"/>
          <w:szCs w:val="24"/>
        </w:rPr>
        <w:t>前完成。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）根据</w:t>
      </w:r>
      <w:r>
        <w:rPr>
          <w:rFonts w:hint="eastAsia" w:ascii="宋体" w:hAnsi="宋体"/>
          <w:sz w:val="24"/>
          <w:szCs w:val="24"/>
          <w:lang w:eastAsia="zh-CN"/>
        </w:rPr>
        <w:t>采购人</w:t>
      </w:r>
      <w:r>
        <w:rPr>
          <w:rFonts w:hint="eastAsia" w:ascii="宋体" w:hAnsi="宋体"/>
          <w:sz w:val="24"/>
          <w:szCs w:val="24"/>
        </w:rPr>
        <w:t>工作部署最终决定完成时间。</w:t>
      </w:r>
    </w:p>
    <w:p>
      <w:pPr>
        <w:spacing w:line="360" w:lineRule="auto"/>
        <w:ind w:firstLine="720" w:firstLineChars="300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.服务地点：</w:t>
      </w:r>
      <w:r>
        <w:rPr>
          <w:rFonts w:hint="eastAsia" w:ascii="宋体" w:hAnsi="宋体"/>
          <w:sz w:val="24"/>
          <w:szCs w:val="24"/>
          <w:lang w:val="en-US" w:eastAsia="zh-CN"/>
        </w:rPr>
        <w:t>汉中市西乡县</w:t>
      </w:r>
      <w:r>
        <w:rPr>
          <w:rFonts w:hint="eastAsia" w:ascii="宋体" w:hAnsi="宋体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DQxMGVhYjY5ODMxNTViY2MwMTQ2YjM0YThkODQifQ=="/>
  </w:docVars>
  <w:rsids>
    <w:rsidRoot w:val="31F84B7F"/>
    <w:rsid w:val="31F84B7F"/>
    <w:rsid w:val="6A4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basedOn w:val="5"/>
    <w:autoRedefine/>
    <w:qFormat/>
    <w:uiPriority w:val="0"/>
    <w:pPr>
      <w:ind w:firstLine="420"/>
    </w:pPr>
  </w:style>
  <w:style w:type="paragraph" w:customStyle="1" w:styleId="5">
    <w:name w:val="正文文本缩进1"/>
    <w:basedOn w:val="1"/>
    <w:autoRedefine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2024-01-12T00:50:00Z</dcterms:created>
  <dc:creator>李慧</dc:creator>
  <cp:lastModifiedBy>李慧</cp:lastModifiedBy>
  <dcterms:modified xsi:type="dcterms:W3CDTF">2024-01-12T07:40:26Z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47D62593AFCB4A9EA74D16F928BDA303_11</vt:lpwstr>
  </property>
</Properties>
</file>