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eastAsia="zh-CN"/>
        </w:rPr>
        <w:t>图书馆数字化提升项目</w:t>
      </w:r>
    </w:p>
    <w:p>
      <w:pPr>
        <w:spacing w:line="360" w:lineRule="auto"/>
        <w:jc w:val="center"/>
        <w:rPr>
          <w:rFonts w:ascii="宋体" w:hAnsi="宋体" w:eastAsia="宋体"/>
          <w:b/>
          <w:bCs/>
          <w:sz w:val="24"/>
          <w:szCs w:val="24"/>
        </w:rPr>
      </w:pPr>
      <w:r>
        <w:rPr>
          <w:rFonts w:hint="eastAsia" w:ascii="宋体" w:hAnsi="宋体" w:eastAsia="宋体"/>
          <w:b/>
          <w:bCs/>
          <w:sz w:val="24"/>
          <w:szCs w:val="24"/>
        </w:rPr>
        <w:t>采购需求书</w:t>
      </w:r>
    </w:p>
    <w:tbl>
      <w:tblPr>
        <w:tblStyle w:val="10"/>
        <w:tblpPr w:leftFromText="180" w:rightFromText="180" w:vertAnchor="text" w:horzAnchor="page" w:tblpX="1519" w:tblpY="495"/>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590"/>
        <w:gridCol w:w="1703"/>
        <w:gridCol w:w="4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序号</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关键事项</w:t>
            </w:r>
          </w:p>
        </w:tc>
        <w:tc>
          <w:tcPr>
            <w:tcW w:w="6612" w:type="dxa"/>
            <w:gridSpan w:val="2"/>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1</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cs="宋体"/>
                <w:color w:val="000000"/>
                <w:sz w:val="21"/>
                <w:szCs w:val="21"/>
                <w:highlight w:val="none"/>
                <w:lang w:val="en-US" w:eastAsia="zh-CN"/>
              </w:rPr>
              <w:t>采购</w:t>
            </w:r>
            <w:r>
              <w:rPr>
                <w:rFonts w:hint="eastAsia" w:ascii="宋体" w:hAnsi="宋体" w:eastAsia="宋体" w:cs="宋体"/>
                <w:color w:val="000000"/>
                <w:sz w:val="21"/>
                <w:szCs w:val="21"/>
                <w:highlight w:val="none"/>
              </w:rPr>
              <w:t>人</w:t>
            </w:r>
          </w:p>
        </w:tc>
        <w:tc>
          <w:tcPr>
            <w:tcW w:w="6612" w:type="dxa"/>
            <w:gridSpan w:val="2"/>
            <w:vAlign w:val="center"/>
          </w:tcPr>
          <w:p>
            <w:pPr>
              <w:pStyle w:val="14"/>
              <w:spacing w:line="240" w:lineRule="auto"/>
              <w:ind w:firstLine="210" w:firstLineChars="10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kern w:val="2"/>
                <w:sz w:val="21"/>
                <w:szCs w:val="21"/>
                <w:highlight w:val="none"/>
                <w:lang w:val="zh-TW" w:eastAsia="zh-TW" w:bidi="zh-TW"/>
              </w:rPr>
              <w:t>勉县图书馆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2</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项目名称</w:t>
            </w:r>
          </w:p>
        </w:tc>
        <w:tc>
          <w:tcPr>
            <w:tcW w:w="6612" w:type="dxa"/>
            <w:gridSpan w:val="2"/>
            <w:vAlign w:val="center"/>
          </w:tcPr>
          <w:p>
            <w:pPr>
              <w:pStyle w:val="14"/>
              <w:spacing w:line="240" w:lineRule="auto"/>
              <w:ind w:firstLine="210" w:firstLineChars="100"/>
              <w:jc w:val="center"/>
              <w:rPr>
                <w:rFonts w:hint="eastAsia" w:ascii="宋体" w:hAnsi="宋体" w:eastAsia="宋体" w:cs="宋体"/>
                <w:color w:val="000000"/>
                <w:kern w:val="2"/>
                <w:sz w:val="21"/>
                <w:szCs w:val="21"/>
                <w:highlight w:val="none"/>
                <w:lang w:val="en-US" w:eastAsia="zh-CN" w:bidi="zh-TW"/>
              </w:rPr>
            </w:pPr>
            <w:r>
              <w:rPr>
                <w:rFonts w:hint="eastAsia" w:ascii="宋体" w:hAnsi="宋体" w:eastAsia="宋体" w:cs="宋体"/>
                <w:color w:val="000000"/>
                <w:kern w:val="2"/>
                <w:sz w:val="21"/>
                <w:szCs w:val="21"/>
                <w:highlight w:val="none"/>
                <w:lang w:val="en-US" w:eastAsia="zh-CN" w:bidi="zh-TW"/>
              </w:rPr>
              <w:t>图书馆数字化提升项目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3</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采购需求概况</w:t>
            </w:r>
          </w:p>
        </w:tc>
        <w:tc>
          <w:tcPr>
            <w:tcW w:w="6612" w:type="dxa"/>
            <w:gridSpan w:val="2"/>
            <w:vAlign w:val="center"/>
          </w:tcPr>
          <w:p>
            <w:pPr>
              <w:pStyle w:val="14"/>
              <w:spacing w:line="240" w:lineRule="auto"/>
              <w:ind w:left="0" w:leftChars="0"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kern w:val="2"/>
                <w:sz w:val="21"/>
                <w:szCs w:val="21"/>
                <w:highlight w:val="none"/>
                <w:lang w:val="en-US" w:eastAsia="zh-CN" w:bidi="zh-TW"/>
              </w:rPr>
              <w:t>图书馆数字化提升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4</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采购方式</w:t>
            </w:r>
          </w:p>
        </w:tc>
        <w:tc>
          <w:tcPr>
            <w:tcW w:w="6612" w:type="dxa"/>
            <w:gridSpan w:val="2"/>
            <w:vAlign w:val="center"/>
          </w:tcPr>
          <w:p>
            <w:pPr>
              <w:pStyle w:val="14"/>
              <w:tabs>
                <w:tab w:val="left" w:leader="underscore" w:pos="2034"/>
              </w:tabs>
              <w:spacing w:line="292" w:lineRule="exact"/>
              <w:ind w:firstLine="0" w:firstLineChars="0"/>
              <w:jc w:val="center"/>
              <w:rPr>
                <w:rFonts w:hint="eastAsia" w:ascii="宋体" w:hAnsi="宋体" w:eastAsia="宋体" w:cs="宋体"/>
                <w:bCs/>
                <w:color w:val="000000"/>
                <w:kern w:val="2"/>
                <w:sz w:val="21"/>
                <w:szCs w:val="21"/>
                <w:highlight w:val="none"/>
                <w:lang w:val="en-US" w:eastAsia="zh-CN" w:bidi="zh-TW"/>
              </w:rPr>
            </w:pPr>
            <w:r>
              <w:rPr>
                <w:rFonts w:hint="eastAsia" w:cs="宋体"/>
                <w:bCs/>
                <w:color w:val="000000"/>
                <w:sz w:val="21"/>
                <w:szCs w:val="21"/>
                <w:highlight w:val="none"/>
                <w:lang w:val="en-US"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5</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釆购预算</w:t>
            </w:r>
          </w:p>
        </w:tc>
        <w:tc>
          <w:tcPr>
            <w:tcW w:w="6612" w:type="dxa"/>
            <w:gridSpan w:val="2"/>
            <w:vAlign w:val="center"/>
          </w:tcPr>
          <w:p>
            <w:pPr>
              <w:pStyle w:val="14"/>
              <w:spacing w:line="292"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color w:val="000000"/>
                <w:sz w:val="21"/>
                <w:szCs w:val="21"/>
                <w:highlight w:val="none"/>
              </w:rPr>
              <w:t>人民币</w:t>
            </w:r>
            <w:r>
              <w:rPr>
                <w:rFonts w:hint="eastAsia" w:cs="宋体"/>
                <w:b/>
                <w:color w:val="000000"/>
                <w:sz w:val="21"/>
                <w:szCs w:val="21"/>
                <w:highlight w:val="none"/>
                <w:lang w:eastAsia="zh-CN"/>
              </w:rPr>
              <w:t>：</w:t>
            </w:r>
            <w:r>
              <w:rPr>
                <w:rFonts w:hint="eastAsia" w:cs="宋体"/>
                <w:b/>
                <w:color w:val="000000"/>
                <w:sz w:val="21"/>
                <w:szCs w:val="21"/>
                <w:highlight w:val="none"/>
                <w:u w:val="single"/>
                <w:lang w:val="en-US" w:eastAsia="zh-CN"/>
              </w:rPr>
              <w:t>1000000.00</w:t>
            </w:r>
            <w:r>
              <w:rPr>
                <w:rFonts w:hint="eastAsia" w:ascii="宋体" w:hAnsi="宋体" w:eastAsia="宋体" w:cs="宋体"/>
                <w:b/>
                <w:color w:val="000000"/>
                <w:sz w:val="21"/>
                <w:szCs w:val="21"/>
                <w:highlight w:val="none"/>
                <w:u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6</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最高限价</w:t>
            </w:r>
          </w:p>
        </w:tc>
        <w:tc>
          <w:tcPr>
            <w:tcW w:w="6612" w:type="dxa"/>
            <w:gridSpan w:val="2"/>
            <w:vAlign w:val="center"/>
          </w:tcPr>
          <w:p>
            <w:pPr>
              <w:pStyle w:val="14"/>
              <w:spacing w:after="60" w:line="240" w:lineRule="auto"/>
              <w:ind w:firstLine="0"/>
              <w:jc w:val="center"/>
              <w:rPr>
                <w:rFonts w:hint="eastAsia" w:ascii="宋体" w:hAnsi="宋体" w:eastAsia="宋体" w:cs="宋体"/>
                <w:b/>
                <w:sz w:val="21"/>
                <w:szCs w:val="21"/>
                <w:highlight w:val="none"/>
              </w:rPr>
            </w:pPr>
            <w:r>
              <w:rPr>
                <w:rFonts w:hint="eastAsia" w:ascii="宋体" w:hAnsi="宋体" w:eastAsia="宋体" w:cs="宋体"/>
                <w:b/>
                <w:color w:val="000000"/>
                <w:sz w:val="21"/>
                <w:szCs w:val="21"/>
                <w:highlight w:val="none"/>
                <w:lang w:eastAsia="zh-CN"/>
              </w:rPr>
              <w:t>人民币</w:t>
            </w:r>
            <w:r>
              <w:rPr>
                <w:rFonts w:hint="eastAsia" w:ascii="宋体" w:hAnsi="宋体" w:eastAsia="宋体" w:cs="宋体"/>
                <w:b/>
                <w:color w:val="000000"/>
                <w:sz w:val="21"/>
                <w:szCs w:val="21"/>
                <w:highlight w:val="none"/>
              </w:rPr>
              <w:t>：</w:t>
            </w:r>
            <w:r>
              <w:rPr>
                <w:rFonts w:hint="eastAsia" w:cs="宋体"/>
                <w:b/>
                <w:color w:val="000000"/>
                <w:sz w:val="21"/>
                <w:szCs w:val="21"/>
                <w:highlight w:val="none"/>
                <w:u w:val="single"/>
                <w:lang w:val="en-US" w:eastAsia="zh-CN"/>
              </w:rPr>
              <w:t>1000000.00</w:t>
            </w:r>
            <w:r>
              <w:rPr>
                <w:rFonts w:hint="eastAsia" w:ascii="宋体" w:hAnsi="宋体" w:eastAsia="宋体" w:cs="宋体"/>
                <w:b/>
                <w:color w:val="000000"/>
                <w:sz w:val="21"/>
                <w:szCs w:val="21"/>
                <w:highlight w:val="none"/>
              </w:rPr>
              <w:t>元</w:t>
            </w:r>
          </w:p>
          <w:p>
            <w:pPr>
              <w:pStyle w:val="14"/>
              <w:spacing w:line="240" w:lineRule="auto"/>
              <w:ind w:firstLine="0" w:firstLineChars="0"/>
              <w:jc w:val="left"/>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供应商投标报价高于最高限价的则其投标文件将按无效文件处理。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sz w:val="21"/>
                <w:szCs w:val="21"/>
                <w:highlight w:val="none"/>
                <w:lang w:eastAsia="zh-CN"/>
              </w:rPr>
              <w:t>7</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项目性质</w:t>
            </w:r>
          </w:p>
        </w:tc>
        <w:tc>
          <w:tcPr>
            <w:tcW w:w="6612" w:type="dxa"/>
            <w:gridSpan w:val="2"/>
            <w:vAlign w:val="center"/>
          </w:tcPr>
          <w:p>
            <w:pPr>
              <w:pStyle w:val="14"/>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eastAsia="zh-CN" w:bidi="zh-CN"/>
              </w:rPr>
              <w:sym w:font="Wingdings 2" w:char="0052"/>
            </w:r>
            <w:r>
              <w:rPr>
                <w:rFonts w:hint="eastAsia" w:ascii="宋体" w:hAnsi="宋体" w:eastAsia="宋体" w:cs="宋体"/>
                <w:b/>
                <w:color w:val="000000"/>
                <w:sz w:val="21"/>
                <w:szCs w:val="21"/>
                <w:highlight w:val="none"/>
              </w:rPr>
              <w:t>专门面向中小企业釆购</w:t>
            </w:r>
          </w:p>
          <w:p>
            <w:pPr>
              <w:pStyle w:val="14"/>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仅允许中小企业或小型、微型企业参与投标。</w:t>
            </w:r>
          </w:p>
          <w:p>
            <w:pPr>
              <w:pStyle w:val="14"/>
              <w:spacing w:after="60" w:line="240" w:lineRule="auto"/>
              <w:ind w:firstLine="0"/>
              <w:jc w:val="both"/>
              <w:rPr>
                <w:rFonts w:hint="eastAsia" w:ascii="宋体" w:hAnsi="宋体" w:eastAsia="宋体" w:cs="宋体"/>
                <w:b/>
                <w:color w:val="FF0000"/>
                <w:sz w:val="21"/>
                <w:szCs w:val="21"/>
                <w:highlight w:val="none"/>
              </w:rPr>
            </w:pPr>
            <w:r>
              <w:rPr>
                <w:rFonts w:hint="eastAsia" w:cs="宋体"/>
                <w:color w:val="000000"/>
                <w:sz w:val="21"/>
                <w:szCs w:val="21"/>
                <w:highlight w:val="none"/>
                <w:lang w:val="zh-CN" w:eastAsia="zh-CN" w:bidi="zh-CN"/>
              </w:rPr>
              <w:t>□</w:t>
            </w:r>
            <w:r>
              <w:rPr>
                <w:rFonts w:hint="eastAsia" w:ascii="宋体" w:hAnsi="宋体" w:eastAsia="宋体" w:cs="宋体"/>
                <w:b/>
                <w:color w:val="000000"/>
                <w:sz w:val="21"/>
                <w:szCs w:val="21"/>
                <w:highlight w:val="none"/>
              </w:rPr>
              <w:t>非专门面向中小企业釆购</w:t>
            </w:r>
          </w:p>
          <w:p>
            <w:pPr>
              <w:pStyle w:val="14"/>
              <w:spacing w:after="60" w:line="317" w:lineRule="exact"/>
              <w:ind w:firstLine="0" w:firstLineChars="0"/>
              <w:jc w:val="both"/>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对符合（财库〔2020〕46号）规定的小微企业（监狱企业视同小型、微型企业）的</w:t>
            </w:r>
            <w:r>
              <w:rPr>
                <w:rFonts w:hint="eastAsia" w:ascii="宋体" w:hAnsi="宋体" w:eastAsia="宋体" w:cs="宋体"/>
                <w:b/>
                <w:color w:val="000000"/>
                <w:sz w:val="21"/>
                <w:szCs w:val="21"/>
                <w:highlight w:val="none"/>
              </w:rPr>
              <w:t>报价给予</w:t>
            </w:r>
            <w:r>
              <w:rPr>
                <w:rFonts w:hint="eastAsia" w:ascii="宋体" w:hAnsi="宋体" w:eastAsia="宋体" w:cs="宋体"/>
                <w:b/>
                <w:color w:val="000000"/>
                <w:sz w:val="21"/>
                <w:szCs w:val="21"/>
                <w:highlight w:val="none"/>
                <w:u w:val="single"/>
              </w:rPr>
              <w:t xml:space="preserve"> </w:t>
            </w:r>
            <w:r>
              <w:rPr>
                <w:rFonts w:hint="eastAsia" w:cs="宋体"/>
                <w:b/>
                <w:color w:val="000000"/>
                <w:sz w:val="21"/>
                <w:szCs w:val="21"/>
                <w:highlight w:val="none"/>
                <w:u w:val="single"/>
                <w:lang w:val="en-US" w:eastAsia="zh-CN"/>
              </w:rPr>
              <w:t>10</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rPr>
              <w:t>%的扣除，用扣除后的价格参加评审。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8</w:t>
            </w:r>
          </w:p>
        </w:tc>
        <w:tc>
          <w:tcPr>
            <w:tcW w:w="1590" w:type="dxa"/>
            <w:vAlign w:val="center"/>
          </w:tcPr>
          <w:p>
            <w:pPr>
              <w:pStyle w:val="14"/>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对供应商的资格要求</w:t>
            </w:r>
          </w:p>
        </w:tc>
        <w:tc>
          <w:tcPr>
            <w:tcW w:w="6612" w:type="dxa"/>
            <w:gridSpan w:val="2"/>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合同包1(</w:t>
            </w:r>
            <w:r>
              <w:rPr>
                <w:rFonts w:hint="eastAsia" w:ascii="宋体" w:hAnsi="宋体" w:eastAsia="宋体" w:cs="宋体"/>
                <w:color w:val="000000"/>
                <w:kern w:val="2"/>
                <w:sz w:val="21"/>
                <w:szCs w:val="21"/>
                <w:highlight w:val="none"/>
                <w:lang w:val="en-US" w:eastAsia="zh-CN" w:bidi="zh-TW"/>
              </w:rPr>
              <w:t>图书馆数字化提升项目</w:t>
            </w:r>
            <w:bookmarkStart w:id="0" w:name="_GoBack"/>
            <w:bookmarkEnd w:id="0"/>
            <w:r>
              <w:rPr>
                <w:rFonts w:hint="eastAsia" w:ascii="宋体" w:hAnsi="宋体" w:eastAsia="宋体" w:cs="宋体"/>
                <w:sz w:val="21"/>
                <w:szCs w:val="21"/>
                <w:vertAlign w:val="baseline"/>
              </w:rPr>
              <w:t>)特定资格要求如下: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本项目专门面向中小企业采购。</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（1）具有独立承担民事责任能力的法人、其他组织或自然人，营业执照、组织机构代码证、税务登记证（三证合一只提供营业执照，事业单位提供事业单位法人证书，自然人应提供身份证）合法有效； </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（2）法定代表人参加磋商时，提供本人身份证；授权代表参加磋商时，提供法定代表人授权书和被授权人身份证；非法人单位参照执行；</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（3）单位负责人为同一人或者存在控股、管理关系的不同单位不得同时进行磋商；</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（4）参加政府采购活动前三年内，在经营活动中没有重大违法记录的书面声明；</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（5）税收缴纳证明：提供开标前近六个月内已缴纳任意一个月完税凭证或税务机关开具的完税证明（任意税种）；依法免税的应提供相关文件证明；</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（6）社会保障资金缴纳证明：提供开标前近六个月内已缴存的任意一个月的社会保障资金缴存证明或社保机构开具的社会保险参保缴费情况证明；依法不需要缴纳社会保障资金的应提供相关文件证明；</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7）财务状况报告：提供2021年度或2022年度经审计的财务会计报告（包括审计报告、资产负债表、利润表、现金流量表及其附注，成立时间至提交响应文件截止时间不足一年的可提供成立后任意时段的资产负债表），或其开标前三个月内基本存款账户开户银行出具的资信证明，或信用担保机构出具的投标担保函。（以上三种形式的资料提供任何一种）；</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（8）磋商单位不得为“信用中国”网站（www.creditchina.gov.cn）和中国政府采购网（www.ccgp.gov.cn）中被列入失信被执行人、重大税收违法案件当事人名单、政府采购严重违法失信行为记录名单的单位。</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（9）本项目不接受联合体磋商。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9</w:t>
            </w:r>
          </w:p>
        </w:tc>
        <w:tc>
          <w:tcPr>
            <w:tcW w:w="1590" w:type="dxa"/>
            <w:vAlign w:val="center"/>
          </w:tcPr>
          <w:p>
            <w:pPr>
              <w:pStyle w:val="14"/>
              <w:spacing w:line="313" w:lineRule="exact"/>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采购需求</w:t>
            </w:r>
          </w:p>
        </w:tc>
        <w:tc>
          <w:tcPr>
            <w:tcW w:w="6612" w:type="dxa"/>
            <w:gridSpan w:val="2"/>
            <w:vAlign w:val="center"/>
          </w:tcPr>
          <w:p>
            <w:pPr>
              <w:pStyle w:val="14"/>
              <w:tabs>
                <w:tab w:val="left" w:leader="underscore" w:pos="3478"/>
              </w:tabs>
              <w:spacing w:line="316" w:lineRule="exact"/>
              <w:ind w:firstLine="0" w:firstLineChars="0"/>
              <w:jc w:val="center"/>
              <w:rPr>
                <w:rFonts w:hint="default" w:ascii="宋体" w:hAnsi="宋体" w:eastAsia="宋体" w:cs="宋体"/>
                <w:color w:val="000000"/>
                <w:kern w:val="2"/>
                <w:sz w:val="21"/>
                <w:szCs w:val="21"/>
                <w:highlight w:val="none"/>
                <w:lang w:val="en-US" w:eastAsia="zh-CN" w:bidi="zh-TW"/>
              </w:rPr>
            </w:pPr>
            <w:r>
              <w:rPr>
                <w:rFonts w:hint="eastAsia" w:ascii="宋体" w:hAnsi="宋体" w:eastAsia="宋体" w:cs="宋体"/>
                <w:color w:val="000000"/>
                <w:sz w:val="21"/>
                <w:szCs w:val="21"/>
                <w:highlight w:val="none"/>
              </w:rPr>
              <w:t>具体内容详见</w:t>
            </w:r>
            <w:r>
              <w:rPr>
                <w:rFonts w:hint="eastAsia" w:cs="宋体"/>
                <w:color w:val="000000"/>
                <w:sz w:val="21"/>
                <w:szCs w:val="21"/>
                <w:highlight w:val="none"/>
                <w:lang w:val="en-US" w:eastAsia="zh-CN"/>
              </w:rPr>
              <w:t>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pPr>
              <w:pStyle w:val="14"/>
              <w:spacing w:line="240" w:lineRule="auto"/>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rPr>
              <w:t>0</w:t>
            </w:r>
          </w:p>
        </w:tc>
        <w:tc>
          <w:tcPr>
            <w:tcW w:w="1590" w:type="dxa"/>
            <w:vMerge w:val="restart"/>
            <w:vAlign w:val="center"/>
          </w:tcPr>
          <w:p>
            <w:pPr>
              <w:pStyle w:val="14"/>
              <w:spacing w:line="313" w:lineRule="exact"/>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rPr>
              <w:t>商务要求</w:t>
            </w:r>
          </w:p>
        </w:tc>
        <w:tc>
          <w:tcPr>
            <w:tcW w:w="1703" w:type="dxa"/>
            <w:vAlign w:val="center"/>
          </w:tcPr>
          <w:p>
            <w:pPr>
              <w:pStyle w:val="14"/>
              <w:tabs>
                <w:tab w:val="left" w:leader="underscore" w:pos="3478"/>
              </w:tabs>
              <w:spacing w:line="316" w:lineRule="exact"/>
              <w:ind w:firstLine="0" w:firstLineChars="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合同履行期限</w:t>
            </w:r>
          </w:p>
        </w:tc>
        <w:tc>
          <w:tcPr>
            <w:tcW w:w="4909" w:type="dxa"/>
            <w:vAlign w:val="center"/>
          </w:tcPr>
          <w:p>
            <w:pPr>
              <w:pStyle w:val="14"/>
              <w:tabs>
                <w:tab w:val="left" w:leader="underscore" w:pos="3478"/>
              </w:tabs>
              <w:spacing w:line="316" w:lineRule="exact"/>
              <w:ind w:firstLine="0" w:firstLineChars="0"/>
              <w:jc w:val="center"/>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合同签订后20日历天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pPr>
              <w:pStyle w:val="14"/>
              <w:spacing w:line="240" w:lineRule="auto"/>
              <w:ind w:firstLine="0" w:firstLineChars="0"/>
              <w:jc w:val="center"/>
              <w:rPr>
                <w:rFonts w:hint="eastAsia" w:ascii="宋体" w:hAnsi="宋体" w:eastAsia="宋体" w:cs="宋体"/>
                <w:sz w:val="21"/>
                <w:szCs w:val="21"/>
                <w:vertAlign w:val="baseline"/>
              </w:rPr>
            </w:pPr>
          </w:p>
        </w:tc>
        <w:tc>
          <w:tcPr>
            <w:tcW w:w="1590" w:type="dxa"/>
            <w:vMerge w:val="continue"/>
            <w:vAlign w:val="center"/>
          </w:tcPr>
          <w:p>
            <w:pPr>
              <w:pStyle w:val="14"/>
              <w:spacing w:line="313" w:lineRule="exact"/>
              <w:ind w:firstLine="0" w:firstLineChars="0"/>
              <w:jc w:val="center"/>
              <w:rPr>
                <w:rFonts w:hint="eastAsia" w:ascii="宋体" w:hAnsi="宋体" w:eastAsia="宋体" w:cs="宋体"/>
                <w:sz w:val="21"/>
                <w:szCs w:val="21"/>
                <w:vertAlign w:val="baseline"/>
              </w:rPr>
            </w:pPr>
          </w:p>
        </w:tc>
        <w:tc>
          <w:tcPr>
            <w:tcW w:w="1703" w:type="dxa"/>
            <w:vAlign w:val="center"/>
          </w:tcPr>
          <w:p>
            <w:pPr>
              <w:pStyle w:val="14"/>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质保期</w:t>
            </w:r>
          </w:p>
        </w:tc>
        <w:tc>
          <w:tcPr>
            <w:tcW w:w="4909" w:type="dxa"/>
            <w:vAlign w:val="center"/>
          </w:tcPr>
          <w:p>
            <w:pPr>
              <w:pStyle w:val="14"/>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val="en-US"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pPr>
              <w:pStyle w:val="14"/>
              <w:spacing w:line="240" w:lineRule="auto"/>
              <w:ind w:firstLine="0" w:firstLineChars="0"/>
              <w:jc w:val="center"/>
              <w:rPr>
                <w:rFonts w:hint="eastAsia" w:ascii="宋体" w:hAnsi="宋体" w:eastAsia="宋体" w:cs="宋体"/>
                <w:sz w:val="21"/>
                <w:szCs w:val="21"/>
                <w:vertAlign w:val="baseline"/>
              </w:rPr>
            </w:pPr>
          </w:p>
        </w:tc>
        <w:tc>
          <w:tcPr>
            <w:tcW w:w="1590" w:type="dxa"/>
            <w:vMerge w:val="continue"/>
            <w:vAlign w:val="center"/>
          </w:tcPr>
          <w:p>
            <w:pPr>
              <w:pStyle w:val="14"/>
              <w:spacing w:line="313" w:lineRule="exact"/>
              <w:ind w:firstLine="0" w:firstLineChars="0"/>
              <w:jc w:val="center"/>
              <w:rPr>
                <w:rFonts w:hint="eastAsia" w:ascii="宋体" w:hAnsi="宋体" w:eastAsia="宋体" w:cs="宋体"/>
                <w:sz w:val="21"/>
                <w:szCs w:val="21"/>
                <w:vertAlign w:val="baseline"/>
              </w:rPr>
            </w:pPr>
          </w:p>
        </w:tc>
        <w:tc>
          <w:tcPr>
            <w:tcW w:w="1703" w:type="dxa"/>
            <w:vAlign w:val="center"/>
          </w:tcPr>
          <w:p>
            <w:pPr>
              <w:pStyle w:val="14"/>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val="en-US" w:eastAsia="zh-CN"/>
              </w:rPr>
              <w:t>交货</w:t>
            </w:r>
            <w:r>
              <w:rPr>
                <w:rFonts w:hint="eastAsia" w:ascii="宋体" w:hAnsi="宋体" w:eastAsia="宋体" w:cs="宋体"/>
                <w:color w:val="000000"/>
                <w:sz w:val="21"/>
                <w:szCs w:val="21"/>
                <w:highlight w:val="none"/>
                <w:lang w:eastAsia="zh-CN"/>
              </w:rPr>
              <w:t>地点</w:t>
            </w:r>
          </w:p>
        </w:tc>
        <w:tc>
          <w:tcPr>
            <w:tcW w:w="4909" w:type="dxa"/>
            <w:vAlign w:val="center"/>
          </w:tcPr>
          <w:p>
            <w:pPr>
              <w:pStyle w:val="14"/>
              <w:tabs>
                <w:tab w:val="left" w:leader="underscore" w:pos="3478"/>
              </w:tabs>
              <w:spacing w:line="316" w:lineRule="exact"/>
              <w:ind w:firstLine="0" w:firstLineChars="0"/>
              <w:jc w:val="center"/>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1</w:t>
            </w:r>
          </w:p>
        </w:tc>
        <w:tc>
          <w:tcPr>
            <w:tcW w:w="1590" w:type="dxa"/>
            <w:vMerge w:val="restart"/>
            <w:vAlign w:val="center"/>
          </w:tcPr>
          <w:p>
            <w:pPr>
              <w:pStyle w:val="14"/>
              <w:spacing w:line="306"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是否接受联合体投标</w:t>
            </w:r>
          </w:p>
        </w:tc>
        <w:tc>
          <w:tcPr>
            <w:tcW w:w="6612" w:type="dxa"/>
            <w:gridSpan w:val="2"/>
            <w:vAlign w:val="top"/>
          </w:tcPr>
          <w:p>
            <w:pPr>
              <w:pStyle w:val="14"/>
              <w:spacing w:line="240" w:lineRule="auto"/>
              <w:ind w:firstLine="0"/>
              <w:rPr>
                <w:sz w:val="21"/>
                <w:szCs w:val="21"/>
                <w:highlight w:val="none"/>
              </w:rPr>
            </w:pPr>
            <w:r>
              <w:rPr>
                <w:rFonts w:hint="eastAsia"/>
                <w:color w:val="000000"/>
                <w:sz w:val="21"/>
                <w:szCs w:val="21"/>
                <w:highlight w:val="none"/>
              </w:rPr>
              <w:t>□</w:t>
            </w:r>
            <w:r>
              <w:rPr>
                <w:b/>
                <w:color w:val="000000"/>
                <w:sz w:val="21"/>
                <w:szCs w:val="21"/>
                <w:highlight w:val="none"/>
              </w:rPr>
              <w:t>接受</w:t>
            </w:r>
          </w:p>
          <w:p>
            <w:pPr>
              <w:pStyle w:val="14"/>
              <w:spacing w:line="310" w:lineRule="exact"/>
              <w:ind w:firstLine="0" w:firstLineChars="0"/>
              <w:jc w:val="both"/>
              <w:rPr>
                <w:rFonts w:hint="eastAsia" w:ascii="宋体" w:hAnsi="宋体" w:eastAsia="宋体" w:cs="宋体"/>
                <w:sz w:val="21"/>
                <w:szCs w:val="21"/>
                <w:vertAlign w:val="baseline"/>
              </w:rPr>
            </w:pPr>
            <w:r>
              <w:rPr>
                <w:color w:val="000000"/>
                <w:sz w:val="21"/>
                <w:szCs w:val="21"/>
                <w:highlight w:val="none"/>
              </w:rPr>
              <w:t>对于联合体协议或者分包意向协议约定小微企业的合同份额占到合同总金额 30%以上的，对联合体或者大中型企业的</w:t>
            </w:r>
            <w:r>
              <w:rPr>
                <w:b/>
                <w:color w:val="000000"/>
                <w:sz w:val="21"/>
                <w:szCs w:val="21"/>
                <w:highlight w:val="none"/>
              </w:rPr>
              <w:t>报价给予</w:t>
            </w:r>
            <w:r>
              <w:rPr>
                <w:rFonts w:hint="eastAsia"/>
                <w:b/>
                <w:color w:val="000000"/>
                <w:sz w:val="21"/>
                <w:szCs w:val="21"/>
                <w:highlight w:val="none"/>
                <w:u w:val="single"/>
                <w:lang w:eastAsia="zh-CN"/>
              </w:rPr>
              <w:t xml:space="preserve">    </w:t>
            </w:r>
            <w:r>
              <w:rPr>
                <w:b/>
                <w:color w:val="000000"/>
                <w:sz w:val="21"/>
                <w:szCs w:val="21"/>
                <w:highlight w:val="none"/>
              </w:rPr>
              <w:t>% （2%-3%）的扣除</w:t>
            </w:r>
            <w:r>
              <w:rPr>
                <w:rFonts w:hint="eastAsia"/>
                <w:b/>
                <w:color w:val="000000"/>
                <w:sz w:val="21"/>
                <w:szCs w:val="21"/>
                <w:highlight w:val="none"/>
              </w:rPr>
              <w:t>，</w:t>
            </w:r>
            <w:r>
              <w:rPr>
                <w:b/>
                <w:color w:val="000000"/>
                <w:sz w:val="21"/>
                <w:szCs w:val="21"/>
                <w:highlight w:val="none"/>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pPr>
              <w:rPr>
                <w:rFonts w:hint="eastAsia" w:ascii="宋体" w:hAnsi="宋体" w:eastAsia="宋体" w:cs="宋体"/>
                <w:sz w:val="21"/>
                <w:szCs w:val="21"/>
              </w:rPr>
            </w:pPr>
          </w:p>
        </w:tc>
        <w:tc>
          <w:tcPr>
            <w:tcW w:w="1590" w:type="dxa"/>
            <w:vMerge w:val="continue"/>
            <w:vAlign w:val="center"/>
          </w:tcPr>
          <w:p>
            <w:pPr>
              <w:rPr>
                <w:rFonts w:hint="eastAsia" w:ascii="宋体" w:hAnsi="宋体" w:eastAsia="宋体" w:cs="宋体"/>
                <w:sz w:val="21"/>
                <w:szCs w:val="21"/>
              </w:rPr>
            </w:pPr>
          </w:p>
        </w:tc>
        <w:tc>
          <w:tcPr>
            <w:tcW w:w="6612" w:type="dxa"/>
            <w:gridSpan w:val="2"/>
            <w:vAlign w:val="top"/>
          </w:tcPr>
          <w:p>
            <w:pPr>
              <w:pStyle w:val="14"/>
              <w:spacing w:before="100" w:line="240" w:lineRule="auto"/>
              <w:ind w:firstLine="0" w:firstLineChars="0"/>
              <w:jc w:val="both"/>
              <w:rPr>
                <w:rFonts w:hint="eastAsia" w:ascii="宋体" w:hAnsi="宋体" w:eastAsia="宋体" w:cs="宋体"/>
                <w:sz w:val="21"/>
                <w:szCs w:val="21"/>
                <w:vertAlign w:val="baseline"/>
              </w:rPr>
            </w:pPr>
            <w:r>
              <w:rPr>
                <w:rFonts w:ascii="Segoe UI Symbol" w:hAnsi="Segoe UI Symbol" w:cs="Segoe UI Symbol"/>
                <w:color w:val="000000"/>
                <w:sz w:val="21"/>
                <w:szCs w:val="21"/>
                <w:highlight w:val="none"/>
              </w:rPr>
              <w:t>☑</w:t>
            </w:r>
            <w:r>
              <w:rPr>
                <w:b/>
                <w:color w:val="000000"/>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2</w:t>
            </w:r>
          </w:p>
        </w:tc>
        <w:tc>
          <w:tcPr>
            <w:tcW w:w="1590" w:type="dxa"/>
            <w:vAlign w:val="center"/>
          </w:tcPr>
          <w:p>
            <w:pPr>
              <w:pStyle w:val="14"/>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履约保证金</w:t>
            </w:r>
          </w:p>
        </w:tc>
        <w:tc>
          <w:tcPr>
            <w:tcW w:w="6612" w:type="dxa"/>
            <w:gridSpan w:val="2"/>
            <w:vAlign w:val="center"/>
          </w:tcPr>
          <w:p>
            <w:pPr>
              <w:pStyle w:val="14"/>
              <w:spacing w:line="306" w:lineRule="exact"/>
              <w:ind w:firstLine="0"/>
              <w:jc w:val="both"/>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收取，</w:t>
            </w:r>
            <w:r>
              <w:rPr>
                <w:rFonts w:hint="eastAsia" w:ascii="宋体" w:hAnsi="宋体" w:eastAsia="宋体" w:cs="宋体"/>
                <w:b/>
                <w:color w:val="000000"/>
                <w:sz w:val="21"/>
                <w:szCs w:val="21"/>
                <w:highlight w:val="none"/>
              </w:rPr>
              <w:t>占政府釆购合同金额的</w:t>
            </w:r>
            <w:r>
              <w:rPr>
                <w:rFonts w:hint="eastAsia" w:ascii="宋体" w:hAnsi="宋体" w:eastAsia="宋体" w:cs="宋体"/>
                <w:b/>
                <w:color w:val="000000"/>
                <w:sz w:val="21"/>
                <w:szCs w:val="21"/>
                <w:highlight w:val="none"/>
                <w:u w:val="single"/>
                <w:lang w:eastAsia="zh-CN"/>
              </w:rPr>
              <w:t xml:space="preserve">      </w:t>
            </w:r>
            <w:r>
              <w:rPr>
                <w:rFonts w:hint="eastAsia" w:ascii="宋体" w:hAnsi="宋体" w:eastAsia="宋体" w:cs="宋体"/>
                <w:b/>
                <w:color w:val="000000"/>
                <w:sz w:val="21"/>
                <w:szCs w:val="21"/>
                <w:highlight w:val="none"/>
              </w:rPr>
              <w:t>％</w:t>
            </w:r>
          </w:p>
          <w:p>
            <w:pPr>
              <w:pStyle w:val="14"/>
              <w:spacing w:line="306" w:lineRule="exact"/>
              <w:ind w:firstLine="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履约保证金的数额不得超过政府采购合同金额的</w:t>
            </w:r>
            <w:r>
              <w:rPr>
                <w:rFonts w:hint="eastAsia" w:ascii="宋体" w:hAnsi="宋体" w:eastAsia="宋体" w:cs="宋体"/>
                <w:color w:val="000000"/>
                <w:sz w:val="21"/>
                <w:szCs w:val="21"/>
                <w:highlight w:val="none"/>
                <w:lang w:eastAsia="zh-CN"/>
              </w:rPr>
              <w:t>10%；</w:t>
            </w:r>
            <w:r>
              <w:rPr>
                <w:rFonts w:hint="eastAsia" w:ascii="宋体" w:hAnsi="宋体" w:eastAsia="宋体" w:cs="宋体"/>
                <w:color w:val="000000"/>
                <w:sz w:val="21"/>
                <w:szCs w:val="21"/>
                <w:highlight w:val="none"/>
              </w:rPr>
              <w:t>对于单价合同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其数额不得超过釆购预算的</w:t>
            </w:r>
            <w:r>
              <w:rPr>
                <w:rFonts w:hint="eastAsia" w:ascii="宋体" w:hAnsi="宋体" w:eastAsia="宋体" w:cs="宋体"/>
                <w:color w:val="000000"/>
                <w:sz w:val="21"/>
                <w:szCs w:val="21"/>
                <w:highlight w:val="none"/>
                <w:lang w:eastAsia="zh-CN"/>
              </w:rPr>
              <w:t>10%。</w:t>
            </w:r>
          </w:p>
          <w:p>
            <w:pPr>
              <w:pStyle w:val="14"/>
              <w:spacing w:line="306" w:lineRule="exact"/>
              <w:ind w:firstLine="0" w:firstLineChars="0"/>
              <w:jc w:val="both"/>
              <w:rPr>
                <w:rFonts w:hint="eastAsia" w:ascii="宋体" w:hAnsi="宋体" w:eastAsia="宋体" w:cs="宋体"/>
                <w:kern w:val="2"/>
                <w:sz w:val="21"/>
                <w:szCs w:val="21"/>
                <w:highlight w:val="none"/>
                <w:lang w:val="zh-TW" w:eastAsia="zh-CN" w:bidi="zh-TW"/>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不收取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TllMWM1MzllZTdkOGE3OTJhNmE1NWQ0ODgxODkifQ=="/>
  </w:docVars>
  <w:rsids>
    <w:rsidRoot w:val="00000000"/>
    <w:rsid w:val="03AE46F9"/>
    <w:rsid w:val="07C24999"/>
    <w:rsid w:val="08FD6362"/>
    <w:rsid w:val="098E5CC9"/>
    <w:rsid w:val="0B0F54EC"/>
    <w:rsid w:val="0CC63D57"/>
    <w:rsid w:val="13594246"/>
    <w:rsid w:val="16FE0496"/>
    <w:rsid w:val="1A5D655D"/>
    <w:rsid w:val="25B30BFB"/>
    <w:rsid w:val="31D74C23"/>
    <w:rsid w:val="422C0551"/>
    <w:rsid w:val="46CC130C"/>
    <w:rsid w:val="47955564"/>
    <w:rsid w:val="50901457"/>
    <w:rsid w:val="52433CED"/>
    <w:rsid w:val="549B7CC4"/>
    <w:rsid w:val="551E34D6"/>
    <w:rsid w:val="556C7FAA"/>
    <w:rsid w:val="566B16CF"/>
    <w:rsid w:val="5F9C348D"/>
    <w:rsid w:val="62464171"/>
    <w:rsid w:val="67334BBF"/>
    <w:rsid w:val="68BA7285"/>
    <w:rsid w:val="6D2D5E2D"/>
    <w:rsid w:val="6F5B51C0"/>
    <w:rsid w:val="747622FD"/>
    <w:rsid w:val="794E160F"/>
    <w:rsid w:val="7E7D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rPr>
      <w:szCs w:val="24"/>
    </w:rPr>
  </w:style>
  <w:style w:type="paragraph" w:styleId="3">
    <w:name w:val="Body Text Indent"/>
    <w:basedOn w:val="1"/>
    <w:next w:val="4"/>
    <w:autoRedefine/>
    <w:qFormat/>
    <w:uiPriority w:val="0"/>
    <w:pPr>
      <w:spacing w:line="640" w:lineRule="exact"/>
      <w:ind w:firstLine="585"/>
    </w:pPr>
    <w:rPr>
      <w:rFonts w:ascii="楷体_GB2312" w:eastAsia="楷体_GB2312"/>
      <w:sz w:val="32"/>
    </w:rPr>
  </w:style>
  <w:style w:type="paragraph" w:styleId="4">
    <w:name w:val="envelope return"/>
    <w:basedOn w:val="1"/>
    <w:qFormat/>
    <w:uiPriority w:val="0"/>
    <w:pPr>
      <w:snapToGrid w:val="0"/>
    </w:pPr>
    <w:rPr>
      <w:rFonts w:ascii="Arial" w:hAnsi="Arial" w:eastAsia="宋体" w:cs="Times New Roman"/>
    </w:rPr>
  </w:style>
  <w:style w:type="paragraph" w:styleId="6">
    <w:name w:val="Normal Indent"/>
    <w:basedOn w:val="1"/>
    <w:next w:val="2"/>
    <w:autoRedefine/>
    <w:qFormat/>
    <w:uiPriority w:val="0"/>
    <w:pPr>
      <w:ind w:firstLine="420" w:firstLineChars="200"/>
    </w:pPr>
    <w:rPr>
      <w:rFonts w:ascii="Calibri" w:hAnsi="Calibri"/>
      <w:kern w:val="0"/>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next w:val="7"/>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next w:val="13"/>
    <w:autoRedefine/>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13">
    <w:name w:val="样式 样式 正文缩进正文（首行缩进两字）正文2 + 首行缩进:  2 字符 + 首行缩进:  2 字符"/>
    <w:basedOn w:val="1"/>
    <w:autoRedefine/>
    <w:qFormat/>
    <w:uiPriority w:val="0"/>
    <w:pPr>
      <w:adjustRightInd w:val="0"/>
      <w:snapToGrid w:val="0"/>
      <w:spacing w:after="200" w:line="324" w:lineRule="auto"/>
      <w:ind w:firstLine="600"/>
    </w:pPr>
    <w:rPr>
      <w:rFonts w:ascii="Tahoma" w:hAnsi="宋体" w:eastAsia="微软雅黑" w:cs="宋体"/>
      <w:sz w:val="28"/>
    </w:rPr>
  </w:style>
  <w:style w:type="paragraph" w:customStyle="1" w:styleId="14">
    <w:name w:val="Other|1"/>
    <w:basedOn w:val="1"/>
    <w:autoRedefine/>
    <w:qFormat/>
    <w:uiPriority w:val="0"/>
    <w:pPr>
      <w:spacing w:line="434"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1172</Words>
  <Characters>1249</Characters>
  <Lines>0</Lines>
  <Paragraphs>0</Paragraphs>
  <TotalTime>1</TotalTime>
  <ScaleCrop>false</ScaleCrop>
  <LinksUpToDate>false</LinksUpToDate>
  <CharactersWithSpaces>1264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2022-11-10T07:00:00Z</dcterms:created>
  <dc:creator>Administrator</dc:creator>
  <cp:lastModifiedBy>人海中有你</cp:lastModifiedBy>
  <dcterms:modified xsi:type="dcterms:W3CDTF">2024-01-10T09:41:52Z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AEFE776459FC4D75B5ABC4F822DEDFDC</vt:lpwstr>
  </property>
</Properties>
</file>