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867" w:firstLineChars="1900"/>
        <w:rPr>
          <w:rFonts w:hint="eastAsia" w:ascii="黑体" w:hAnsi="黑体" w:eastAsia="黑体" w:cs="黑体"/>
          <w:color w:val="auto"/>
          <w:sz w:val="28"/>
          <w:szCs w:val="28"/>
          <w:highlight w:val="none"/>
          <w:shd w:val="clear" w:color="auto" w:fill="FFFFFF"/>
        </w:rPr>
      </w:pPr>
      <w:r>
        <w:rPr>
          <w:rFonts w:hint="eastAsia" w:ascii="黑体" w:hAnsi="黑体" w:eastAsia="黑体" w:cs="黑体"/>
          <w:b/>
          <w:color w:val="auto"/>
          <w:sz w:val="36"/>
          <w:szCs w:val="36"/>
          <w:highlight w:val="none"/>
          <w:bdr w:val="single" w:color="auto" w:sz="4" w:space="0"/>
          <w:shd w:val="pct10" w:color="auto" w:fill="FFFFFF"/>
        </w:rPr>
        <w:t>政府采购</w:t>
      </w:r>
    </w:p>
    <w:p>
      <w:pPr>
        <w:spacing w:line="360" w:lineRule="auto"/>
        <w:jc w:val="center"/>
        <w:rPr>
          <w:rFonts w:hint="eastAsia" w:ascii="黑体" w:hAnsi="黑体" w:eastAsia="黑体" w:cs="黑体"/>
          <w:b/>
          <w:bCs/>
          <w:color w:val="auto"/>
          <w:kern w:val="1"/>
          <w:sz w:val="44"/>
          <w:szCs w:val="44"/>
          <w:highlight w:val="none"/>
          <w:lang w:eastAsia="zh-CN"/>
        </w:rPr>
      </w:pPr>
    </w:p>
    <w:p>
      <w:pPr>
        <w:pStyle w:val="19"/>
        <w:jc w:val="center"/>
        <w:rPr>
          <w:rFonts w:hint="eastAsia" w:ascii="黑体" w:hAnsi="黑体" w:eastAsia="黑体" w:cs="黑体"/>
          <w:color w:val="auto"/>
        </w:rPr>
      </w:pPr>
      <w:r>
        <w:rPr>
          <w:rFonts w:hint="eastAsia" w:ascii="黑体" w:hAnsi="黑体" w:eastAsia="黑体" w:cs="黑体"/>
          <w:b/>
          <w:bCs/>
          <w:color w:val="auto"/>
          <w:kern w:val="1"/>
          <w:sz w:val="44"/>
          <w:szCs w:val="44"/>
          <w:highlight w:val="none"/>
          <w:u w:val="none"/>
          <w:lang w:val="en-US" w:eastAsia="zh-CN"/>
        </w:rPr>
        <w:t>略阳县黑河镇地质灾害风险调查评价项目</w:t>
      </w:r>
    </w:p>
    <w:p>
      <w:pPr>
        <w:pStyle w:val="25"/>
        <w:rPr>
          <w:rFonts w:hint="eastAsia" w:ascii="黑体" w:hAnsi="黑体" w:eastAsia="黑体" w:cs="黑体"/>
          <w:color w:val="auto"/>
        </w:rPr>
      </w:pPr>
    </w:p>
    <w:p>
      <w:pPr>
        <w:spacing w:line="360" w:lineRule="auto"/>
        <w:ind w:firstLine="2811" w:firstLineChars="700"/>
        <w:rPr>
          <w:rFonts w:hint="eastAsia" w:ascii="黑体" w:hAnsi="黑体" w:eastAsia="黑体" w:cs="黑体"/>
          <w:b/>
          <w:bCs/>
          <w:color w:val="auto"/>
          <w:kern w:val="1"/>
          <w:sz w:val="40"/>
          <w:szCs w:val="40"/>
          <w:highlight w:val="none"/>
        </w:rPr>
      </w:pPr>
    </w:p>
    <w:p>
      <w:pPr>
        <w:spacing w:line="360" w:lineRule="auto"/>
        <w:ind w:firstLine="2811" w:firstLineChars="700"/>
        <w:rPr>
          <w:rFonts w:hint="eastAsia" w:ascii="黑体" w:hAnsi="黑体" w:eastAsia="黑体" w:cs="黑体"/>
          <w:b/>
          <w:bCs/>
          <w:color w:val="auto"/>
          <w:kern w:val="1"/>
          <w:sz w:val="40"/>
          <w:szCs w:val="40"/>
          <w:highlight w:val="none"/>
        </w:rPr>
      </w:pPr>
    </w:p>
    <w:p>
      <w:pPr>
        <w:spacing w:line="360" w:lineRule="auto"/>
        <w:ind w:firstLine="2811" w:firstLineChars="700"/>
        <w:rPr>
          <w:rFonts w:hint="eastAsia" w:ascii="黑体" w:hAnsi="黑体" w:eastAsia="黑体" w:cs="黑体"/>
          <w:b/>
          <w:bCs/>
          <w:color w:val="auto"/>
          <w:kern w:val="1"/>
          <w:sz w:val="40"/>
          <w:szCs w:val="40"/>
          <w:highlight w:val="none"/>
        </w:rPr>
      </w:pPr>
    </w:p>
    <w:p>
      <w:pPr>
        <w:spacing w:line="360" w:lineRule="auto"/>
        <w:ind w:firstLine="2811" w:firstLineChars="700"/>
        <w:rPr>
          <w:rFonts w:hint="eastAsia" w:ascii="黑体" w:hAnsi="黑体" w:eastAsia="黑体" w:cs="黑体"/>
          <w:b/>
          <w:bCs/>
          <w:color w:val="auto"/>
          <w:kern w:val="1"/>
          <w:sz w:val="36"/>
          <w:szCs w:val="36"/>
          <w:highlight w:val="none"/>
        </w:rPr>
      </w:pPr>
      <w:r>
        <w:rPr>
          <w:rFonts w:hint="eastAsia" w:ascii="黑体" w:hAnsi="黑体" w:eastAsia="黑体" w:cs="黑体"/>
          <w:b/>
          <w:bCs/>
          <w:color w:val="auto"/>
          <w:kern w:val="1"/>
          <w:sz w:val="40"/>
          <w:szCs w:val="40"/>
          <w:highlight w:val="none"/>
        </w:rPr>
        <w:t>竞争性磋商文件</w:t>
      </w:r>
    </w:p>
    <w:p>
      <w:pPr>
        <w:spacing w:line="360" w:lineRule="auto"/>
        <w:jc w:val="both"/>
        <w:rPr>
          <w:rFonts w:hint="eastAsia" w:ascii="黑体" w:hAnsi="黑体" w:eastAsia="黑体" w:cs="黑体"/>
          <w:b/>
          <w:bCs/>
          <w:sz w:val="24"/>
          <w:szCs w:val="24"/>
        </w:rPr>
      </w:pPr>
    </w:p>
    <w:p>
      <w:pPr>
        <w:spacing w:line="360" w:lineRule="auto"/>
        <w:jc w:val="center"/>
        <w:rPr>
          <w:rFonts w:hint="eastAsia" w:ascii="黑体" w:hAnsi="黑体" w:eastAsia="黑体" w:cs="黑体"/>
          <w:color w:val="auto"/>
          <w:sz w:val="52"/>
          <w:szCs w:val="52"/>
          <w:highlight w:val="none"/>
        </w:rPr>
      </w:pPr>
      <w:r>
        <w:rPr>
          <w:rFonts w:hint="eastAsia" w:ascii="黑体" w:hAnsi="黑体" w:eastAsia="黑体" w:cs="黑体"/>
          <w:b/>
          <w:bCs/>
          <w:sz w:val="24"/>
          <w:szCs w:val="24"/>
        </w:rPr>
        <w:drawing>
          <wp:inline distT="0" distB="0" distL="114300" distR="114300">
            <wp:extent cx="1501140" cy="1536700"/>
            <wp:effectExtent l="0" t="0" r="3810" b="6350"/>
            <wp:docPr id="2" name="图片 2" descr="b86a286d4814efb58eaea584a9cc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6a286d4814efb58eaea584a9ccf5d"/>
                    <pic:cNvPicPr>
                      <a:picLocks noChangeAspect="1"/>
                    </pic:cNvPicPr>
                  </pic:nvPicPr>
                  <pic:blipFill>
                    <a:blip r:embed="rId10"/>
                    <a:stretch>
                      <a:fillRect/>
                    </a:stretch>
                  </pic:blipFill>
                  <pic:spPr>
                    <a:xfrm>
                      <a:off x="0" y="0"/>
                      <a:ext cx="1501140" cy="1536700"/>
                    </a:xfrm>
                    <a:prstGeom prst="rect">
                      <a:avLst/>
                    </a:prstGeom>
                  </pic:spPr>
                </pic:pic>
              </a:graphicData>
            </a:graphic>
          </wp:inline>
        </w:drawing>
      </w:r>
    </w:p>
    <w:p>
      <w:pPr>
        <w:pStyle w:val="44"/>
        <w:tabs>
          <w:tab w:val="left" w:pos="5691"/>
        </w:tabs>
        <w:ind w:firstLine="0" w:firstLineChars="0"/>
        <w:rPr>
          <w:rFonts w:hint="eastAsia" w:ascii="黑体" w:hAnsi="黑体" w:eastAsia="黑体" w:cs="黑体"/>
          <w:color w:val="auto"/>
          <w:sz w:val="21"/>
          <w:szCs w:val="24"/>
          <w:highlight w:val="none"/>
          <w:lang w:eastAsia="zh-CN"/>
        </w:rPr>
      </w:pPr>
      <w:r>
        <w:rPr>
          <w:rFonts w:hint="eastAsia" w:ascii="黑体" w:hAnsi="黑体" w:eastAsia="黑体" w:cs="黑体"/>
          <w:color w:val="auto"/>
          <w:sz w:val="21"/>
          <w:szCs w:val="24"/>
          <w:highlight w:val="none"/>
          <w:lang w:eastAsia="zh-CN"/>
        </w:rPr>
        <w:tab/>
      </w:r>
    </w:p>
    <w:p>
      <w:pPr>
        <w:spacing w:line="720" w:lineRule="auto"/>
        <w:ind w:firstLine="361" w:firstLineChars="100"/>
        <w:rPr>
          <w:rFonts w:hint="eastAsia" w:ascii="黑体" w:hAnsi="黑体" w:eastAsia="黑体" w:cs="黑体"/>
          <w:b/>
          <w:bCs/>
          <w:color w:val="auto"/>
          <w:kern w:val="1"/>
          <w:sz w:val="36"/>
          <w:szCs w:val="36"/>
          <w:highlight w:val="none"/>
          <w:lang w:val="en-US" w:eastAsia="zh-CN"/>
        </w:rPr>
      </w:pPr>
      <w:r>
        <w:rPr>
          <w:rFonts w:hint="eastAsia" w:ascii="黑体" w:hAnsi="黑体" w:eastAsia="黑体" w:cs="黑体"/>
          <w:b/>
          <w:bCs/>
          <w:color w:val="auto"/>
          <w:kern w:val="1"/>
          <w:sz w:val="36"/>
          <w:szCs w:val="36"/>
          <w:highlight w:val="none"/>
          <w:lang w:eastAsia="zh-CN"/>
        </w:rPr>
        <w:t>项 目 编 号 ：TZZB-HZ-2023038C</w:t>
      </w:r>
    </w:p>
    <w:p>
      <w:pPr>
        <w:spacing w:line="720" w:lineRule="auto"/>
        <w:ind w:firstLine="361" w:firstLineChars="100"/>
        <w:rPr>
          <w:rFonts w:hint="eastAsia" w:ascii="黑体" w:hAnsi="黑体" w:eastAsia="黑体" w:cs="黑体"/>
          <w:b/>
          <w:bCs/>
          <w:color w:val="auto"/>
          <w:kern w:val="1"/>
          <w:sz w:val="36"/>
          <w:szCs w:val="36"/>
          <w:highlight w:val="none"/>
          <w:lang w:eastAsia="zh-CN"/>
        </w:rPr>
      </w:pPr>
      <w:r>
        <w:rPr>
          <w:rFonts w:hint="eastAsia" w:ascii="黑体" w:hAnsi="黑体" w:eastAsia="黑体" w:cs="黑体"/>
          <w:b/>
          <w:bCs/>
          <w:color w:val="auto"/>
          <w:kern w:val="1"/>
          <w:sz w:val="36"/>
          <w:szCs w:val="36"/>
          <w:highlight w:val="none"/>
        </w:rPr>
        <w:t>采   购   人：</w:t>
      </w:r>
      <w:r>
        <w:rPr>
          <w:rFonts w:hint="eastAsia" w:ascii="黑体" w:hAnsi="黑体" w:eastAsia="黑体" w:cs="黑体"/>
          <w:b/>
          <w:bCs/>
          <w:color w:val="auto"/>
          <w:kern w:val="1"/>
          <w:sz w:val="36"/>
          <w:szCs w:val="36"/>
          <w:highlight w:val="none"/>
          <w:lang w:eastAsia="zh-CN"/>
        </w:rPr>
        <w:t>略阳县地质环境监测站</w:t>
      </w:r>
    </w:p>
    <w:p>
      <w:pPr>
        <w:spacing w:line="720" w:lineRule="auto"/>
        <w:ind w:firstLine="361" w:firstLineChars="100"/>
        <w:rPr>
          <w:rFonts w:hint="eastAsia" w:ascii="黑体" w:hAnsi="黑体" w:eastAsia="黑体" w:cs="黑体"/>
          <w:b/>
          <w:bCs/>
          <w:color w:val="auto"/>
          <w:kern w:val="1"/>
          <w:sz w:val="36"/>
          <w:szCs w:val="36"/>
          <w:highlight w:val="none"/>
          <w:lang w:eastAsia="zh-CN"/>
        </w:rPr>
      </w:pPr>
      <w:r>
        <w:rPr>
          <w:rFonts w:hint="eastAsia" w:ascii="黑体" w:hAnsi="黑体" w:eastAsia="黑体" w:cs="黑体"/>
          <w:b/>
          <w:bCs/>
          <w:color w:val="auto"/>
          <w:kern w:val="1"/>
          <w:sz w:val="36"/>
          <w:szCs w:val="36"/>
          <w:highlight w:val="none"/>
        </w:rPr>
        <w:t>采购代理机构：</w:t>
      </w:r>
      <w:r>
        <w:rPr>
          <w:rFonts w:hint="eastAsia" w:ascii="黑体" w:hAnsi="黑体" w:eastAsia="黑体" w:cs="黑体"/>
          <w:b/>
          <w:bCs/>
          <w:color w:val="auto"/>
          <w:kern w:val="1"/>
          <w:sz w:val="36"/>
          <w:szCs w:val="36"/>
          <w:highlight w:val="none"/>
          <w:lang w:eastAsia="zh-CN"/>
        </w:rPr>
        <w:t>同正项目管理有限公司</w:t>
      </w:r>
    </w:p>
    <w:p>
      <w:pPr>
        <w:spacing w:line="720" w:lineRule="auto"/>
        <w:ind w:firstLine="2008" w:firstLineChars="500"/>
        <w:rPr>
          <w:rFonts w:hint="eastAsia" w:ascii="黑体" w:hAnsi="黑体" w:eastAsia="黑体" w:cs="黑体"/>
          <w:b/>
          <w:bCs/>
          <w:color w:val="auto"/>
          <w:kern w:val="1"/>
          <w:sz w:val="40"/>
          <w:szCs w:val="40"/>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bCs/>
          <w:color w:val="auto"/>
          <w:kern w:val="1"/>
          <w:sz w:val="40"/>
          <w:szCs w:val="40"/>
          <w:highlight w:val="none"/>
        </w:rPr>
        <w:t xml:space="preserve"> </w:t>
      </w:r>
      <w:r>
        <w:rPr>
          <w:rFonts w:hint="eastAsia" w:ascii="黑体" w:hAnsi="黑体" w:eastAsia="黑体" w:cs="黑体"/>
          <w:b/>
          <w:bCs/>
          <w:color w:val="auto"/>
          <w:kern w:val="1"/>
          <w:sz w:val="36"/>
          <w:szCs w:val="36"/>
          <w:highlight w:val="none"/>
        </w:rPr>
        <w:t xml:space="preserve"> 二〇二</w:t>
      </w:r>
      <w:r>
        <w:rPr>
          <w:rFonts w:hint="eastAsia" w:ascii="黑体" w:hAnsi="黑体" w:eastAsia="黑体" w:cs="黑体"/>
          <w:b/>
          <w:bCs/>
          <w:color w:val="auto"/>
          <w:kern w:val="1"/>
          <w:sz w:val="36"/>
          <w:szCs w:val="36"/>
          <w:highlight w:val="none"/>
          <w:lang w:val="en-US" w:eastAsia="zh-CN"/>
        </w:rPr>
        <w:t>三</w:t>
      </w:r>
      <w:r>
        <w:rPr>
          <w:rFonts w:hint="eastAsia" w:ascii="黑体" w:hAnsi="黑体" w:eastAsia="黑体" w:cs="黑体"/>
          <w:b/>
          <w:bCs/>
          <w:color w:val="auto"/>
          <w:kern w:val="1"/>
          <w:sz w:val="36"/>
          <w:szCs w:val="36"/>
          <w:highlight w:val="none"/>
        </w:rPr>
        <w:t>年</w:t>
      </w:r>
      <w:r>
        <w:rPr>
          <w:rFonts w:hint="eastAsia" w:ascii="黑体" w:hAnsi="黑体" w:eastAsia="黑体" w:cs="黑体"/>
          <w:b/>
          <w:bCs/>
          <w:color w:val="auto"/>
          <w:kern w:val="1"/>
          <w:sz w:val="36"/>
          <w:szCs w:val="36"/>
          <w:highlight w:val="none"/>
          <w:lang w:eastAsia="zh-CN"/>
        </w:rPr>
        <w:t>二</w:t>
      </w:r>
      <w:r>
        <w:rPr>
          <w:rFonts w:hint="eastAsia" w:ascii="黑体" w:hAnsi="黑体" w:eastAsia="黑体" w:cs="黑体"/>
          <w:b/>
          <w:bCs/>
          <w:color w:val="auto"/>
          <w:kern w:val="1"/>
          <w:sz w:val="36"/>
          <w:szCs w:val="36"/>
          <w:highlight w:val="none"/>
        </w:rPr>
        <w:t>月</w:t>
      </w:r>
    </w:p>
    <w:p>
      <w:pPr>
        <w:pStyle w:val="2"/>
        <w:spacing w:after="0" w:line="360" w:lineRule="auto"/>
        <w:ind w:firstLine="422"/>
        <w:rPr>
          <w:rFonts w:hint="eastAsia" w:ascii="黑体" w:hAnsi="黑体" w:eastAsia="黑体" w:cs="黑体"/>
          <w:b/>
          <w:color w:val="auto"/>
          <w:sz w:val="32"/>
          <w:szCs w:val="32"/>
          <w:highlight w:val="none"/>
        </w:rPr>
      </w:pPr>
    </w:p>
    <w:p>
      <w:pPr>
        <w:pStyle w:val="2"/>
        <w:spacing w:after="0" w:line="360" w:lineRule="auto"/>
        <w:ind w:firstLine="2249" w:firstLineChars="7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  目      录</w:t>
      </w:r>
    </w:p>
    <w:p>
      <w:pPr>
        <w:pStyle w:val="2"/>
        <w:ind w:firstLine="422"/>
        <w:rPr>
          <w:rFonts w:hint="eastAsia" w:ascii="黑体" w:hAnsi="黑体" w:eastAsia="黑体" w:cs="黑体"/>
          <w:b/>
          <w:color w:val="auto"/>
          <w:sz w:val="32"/>
          <w:szCs w:val="32"/>
          <w:highlight w:val="none"/>
        </w:rPr>
      </w:pP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竞争性磋商公告</w:t>
      </w: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磋商供应商须知</w:t>
      </w: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评审办法</w:t>
      </w: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采购内容及具体要求</w:t>
      </w: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合同主要条款及格式</w:t>
      </w:r>
    </w:p>
    <w:p>
      <w:pPr>
        <w:pStyle w:val="2"/>
        <w:numPr>
          <w:ilvl w:val="0"/>
          <w:numId w:val="2"/>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磋商响应文件格式及构成</w:t>
      </w:r>
    </w:p>
    <w:p>
      <w:pPr>
        <w:pStyle w:val="2"/>
        <w:tabs>
          <w:tab w:val="left" w:pos="5400"/>
        </w:tabs>
        <w:spacing w:after="0" w:line="480" w:lineRule="auto"/>
        <w:ind w:firstLine="422"/>
        <w:rPr>
          <w:rFonts w:hint="eastAsia" w:ascii="黑体" w:hAnsi="黑体" w:eastAsia="黑体" w:cs="黑体"/>
          <w:b/>
          <w:color w:val="auto"/>
          <w:sz w:val="22"/>
          <w:szCs w:val="28"/>
          <w:highlight w:val="none"/>
        </w:rPr>
      </w:pPr>
      <w:r>
        <w:rPr>
          <w:rFonts w:hint="eastAsia" w:ascii="黑体" w:hAnsi="黑体" w:eastAsia="黑体" w:cs="黑体"/>
          <w:b/>
          <w:color w:val="auto"/>
          <w:sz w:val="22"/>
          <w:szCs w:val="28"/>
          <w:highlight w:val="none"/>
        </w:rPr>
        <w:tab/>
      </w: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pStyle w:val="2"/>
        <w:ind w:firstLine="422"/>
        <w:rPr>
          <w:rFonts w:hint="eastAsia" w:ascii="黑体" w:hAnsi="黑体" w:eastAsia="黑体" w:cs="黑体"/>
          <w:b/>
          <w:color w:val="auto"/>
          <w:sz w:val="22"/>
          <w:szCs w:val="28"/>
          <w:highlight w:val="none"/>
        </w:rPr>
      </w:pPr>
    </w:p>
    <w:p>
      <w:pPr>
        <w:kinsoku w:val="0"/>
        <w:spacing w:line="360" w:lineRule="auto"/>
        <w:rPr>
          <w:rFonts w:hint="eastAsia" w:ascii="黑体" w:hAnsi="黑体" w:eastAsia="黑体" w:cs="黑体"/>
          <w:b/>
          <w:color w:val="auto"/>
          <w:sz w:val="36"/>
          <w:szCs w:val="36"/>
          <w:highlight w:val="none"/>
        </w:rPr>
        <w:sectPr>
          <w:headerReference r:id="rId5" w:type="default"/>
          <w:footerReference r:id="rId6" w:type="default"/>
          <w:pgSz w:w="11960" w:h="16880"/>
          <w:pgMar w:top="1440" w:right="1800" w:bottom="1440" w:left="1800" w:header="1043" w:footer="964" w:gutter="0"/>
          <w:pgBorders>
            <w:top w:val="none" w:sz="0" w:space="0"/>
            <w:left w:val="none" w:sz="0" w:space="0"/>
            <w:bottom w:val="none" w:sz="0" w:space="0"/>
            <w:right w:val="none" w:sz="0" w:space="0"/>
          </w:pgBorders>
          <w:pgNumType w:fmt="decimal" w:start="1"/>
          <w:cols w:space="720" w:num="1"/>
        </w:sectPr>
      </w:pPr>
      <w:bookmarkStart w:id="0" w:name="_Toc22020_WPSOffice_Level1"/>
      <w:bookmarkStart w:id="1" w:name="_Toc23192_WPSOffice_Level1"/>
      <w:bookmarkStart w:id="2" w:name="_Toc9646"/>
      <w:bookmarkStart w:id="3" w:name="_Toc28216"/>
    </w:p>
    <w:p>
      <w:pPr>
        <w:kinsoku w:val="0"/>
        <w:spacing w:line="240" w:lineRule="auto"/>
        <w:ind w:firstLine="2570" w:firstLineChars="800"/>
        <w:rPr>
          <w:rFonts w:hint="eastAsia" w:ascii="黑体" w:hAnsi="黑体" w:eastAsia="黑体" w:cs="黑体"/>
          <w:color w:val="auto"/>
          <w:sz w:val="24"/>
          <w:szCs w:val="24"/>
          <w:highlight w:val="none"/>
        </w:rPr>
      </w:pPr>
      <w:bookmarkStart w:id="4" w:name="_Toc14361"/>
      <w:bookmarkStart w:id="5" w:name="_Toc7007"/>
      <w:r>
        <w:rPr>
          <w:rFonts w:hint="eastAsia" w:ascii="黑体" w:hAnsi="黑体" w:eastAsia="黑体" w:cs="黑体"/>
          <w:b/>
          <w:color w:val="auto"/>
          <w:sz w:val="32"/>
          <w:szCs w:val="32"/>
          <w:highlight w:val="none"/>
        </w:rPr>
        <w:t xml:space="preserve">第一章  </w:t>
      </w:r>
      <w:bookmarkEnd w:id="0"/>
      <w:bookmarkEnd w:id="1"/>
      <w:bookmarkEnd w:id="2"/>
      <w:bookmarkEnd w:id="3"/>
      <w:bookmarkEnd w:id="4"/>
      <w:bookmarkEnd w:id="5"/>
      <w:bookmarkStart w:id="6" w:name="_Toc24149"/>
      <w:bookmarkStart w:id="7" w:name="_Toc9819"/>
      <w:bookmarkStart w:id="8" w:name="_Toc32318"/>
      <w:bookmarkStart w:id="9" w:name="_Toc20171"/>
      <w:bookmarkStart w:id="10" w:name="_Toc14446_WPSOffice_Level1"/>
      <w:bookmarkStart w:id="11" w:name="_Toc32576_WPSOffice_Level1"/>
      <w:r>
        <w:rPr>
          <w:rFonts w:hint="eastAsia" w:ascii="黑体" w:hAnsi="黑体" w:eastAsia="黑体" w:cs="黑体"/>
          <w:b/>
          <w:color w:val="auto"/>
          <w:sz w:val="32"/>
          <w:szCs w:val="32"/>
          <w:highlight w:val="none"/>
        </w:rPr>
        <w:t>竞争性磋商公告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60" w:lineRule="auto"/>
        <w:ind w:left="0" w:firstLine="0"/>
        <w:jc w:val="center"/>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kern w:val="0"/>
          <w:sz w:val="24"/>
          <w:szCs w:val="24"/>
          <w:shd w:val="clear" w:fill="FFFFFF"/>
          <w:lang w:val="en-US" w:eastAsia="zh-CN" w:bidi="ar"/>
        </w:rPr>
        <w:t>略阳县黑河镇地质灾害风险调查评价项目竞争性磋商公告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项目概况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略阳县黑河镇地质灾害风险调查评价项目采购项目的潜在供应商应在汉中市汉台区前进西路中航尚街7号楼附3层获取采购文件，并于 2023年03月24日 14时30分 （北京时间）前提交响应文件。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项目编号：TZZB-HZ-2023038C</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项目名称：略阳县黑河镇地质灾害风险调查评价项目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采购方式：竞争性磋商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预算金额：1,430,000.00元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采购需求：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合同包1(略阳县黑河镇地质灾害风险调查评价项目):</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合同包预算金额：1,430,000.00元</w:t>
      </w:r>
    </w:p>
    <w:tbl>
      <w:tblPr>
        <w:tblStyle w:val="29"/>
        <w:tblpPr w:leftFromText="180" w:rightFromText="180" w:vertAnchor="text" w:horzAnchor="page" w:tblpX="1003" w:tblpY="669"/>
        <w:tblOverlap w:val="never"/>
        <w:tblW w:w="1008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7"/>
        <w:gridCol w:w="1149"/>
        <w:gridCol w:w="1653"/>
        <w:gridCol w:w="1172"/>
        <w:gridCol w:w="1714"/>
        <w:gridCol w:w="1824"/>
        <w:gridCol w:w="1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2" w:hRule="atLeast"/>
          <w:tblHeader/>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lang w:val="en-US" w:eastAsia="zh-CN"/>
              </w:rPr>
              <w:t>品目号</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lang w:val="en-US" w:eastAsia="zh-CN"/>
              </w:rPr>
              <w:t>品目名称</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rPr>
            </w:pPr>
            <w:r>
              <w:rPr>
                <w:rFonts w:hint="eastAsia" w:ascii="黑体" w:hAnsi="黑体" w:eastAsia="黑体" w:cs="黑体"/>
                <w:lang w:val="en-US" w:eastAsia="zh-CN"/>
              </w:rPr>
              <w:t>采购标的</w:t>
            </w:r>
          </w:p>
        </w:tc>
        <w:tc>
          <w:tcPr>
            <w:tcW w:w="11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数量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lang w:val="en-US" w:eastAsia="zh-CN"/>
              </w:rPr>
              <w:t>（单位）</w:t>
            </w:r>
          </w:p>
        </w:tc>
        <w:tc>
          <w:tcPr>
            <w:tcW w:w="17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rPr>
            </w:pPr>
            <w:r>
              <w:rPr>
                <w:rFonts w:hint="eastAsia" w:ascii="黑体" w:hAnsi="黑体" w:eastAsia="黑体" w:cs="黑体"/>
                <w:lang w:val="en-US" w:eastAsia="zh-CN"/>
              </w:rPr>
              <w:t>技术规格、参数及要求</w:t>
            </w:r>
          </w:p>
        </w:tc>
        <w:tc>
          <w:tcPr>
            <w:tcW w:w="18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lang w:val="en-US" w:eastAsia="zh-CN"/>
              </w:rPr>
              <w:t>品目预算(元)</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0" w:hRule="atLeast"/>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1-1</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其他专业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技术服务</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风险调查评价</w:t>
            </w:r>
          </w:p>
        </w:tc>
        <w:tc>
          <w:tcPr>
            <w:tcW w:w="11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1(项)</w:t>
            </w:r>
          </w:p>
        </w:tc>
        <w:tc>
          <w:tcPr>
            <w:tcW w:w="17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详见采购文件</w:t>
            </w:r>
          </w:p>
        </w:tc>
        <w:tc>
          <w:tcPr>
            <w:tcW w:w="18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1,430,000.00</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1,430,000.00</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合同包最高限价：1,430,000.00元</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本合同包不接受联合体投标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合同履行期限：详见采购公告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1.满足《中华人民共和国政府采购法》第二十二条规定;</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2.落实政府采购政策需满足的资格要求： 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3.本项目的特定资格要求：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合同包1(略阳县黑河镇地质灾害风险调查评价项目)特定资格要求如下: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1）法定代表人参加磋商的，须提供本人身份证复印件并出示身份证原件；授权代表参加磋商的，须提供法定代表人授权委托书并出示授权代表的身份证原件；（2）响应人不得为“信用中国”网站（www.creditchina.gov.cn）中列入“失信被执行人”和“税收违法黑名单”的供应商，不得为中国政府采购网（www.ccgp.gov.cn）政府采购严重违法失信行为记录名单中被财政部门禁止参加政府采购活动的供应商；（3）响应人须具备地质灾害危险性评估甲级资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三、获取采购文件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时间： 2023年03月13日 至 2023年03月17日 ，每天上午 08:00:00 至 12:00:00 ，下午 14:00:00 至 18:00:00 （北京时间）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途径：汉中市汉台区前进西路中航尚街7号楼附3层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方式：现场获取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售价： 500元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四、响应文件提交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截止时间： 2023年03月24日 14时30分00秒 （北京时间）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地点：汉中市汉台区前进西路中航尚街7号楼附3层会议室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五、开启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时间： 2023年03月24日 14时30分00秒 （北京时间）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地点：汉中市汉台区前进西路中航尚街7号楼附3层会议室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六、公告期限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自本公告发布之日起3个工作日。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七、其他补充事宜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kern w:val="0"/>
          <w:sz w:val="21"/>
          <w:szCs w:val="21"/>
          <w:shd w:val="clear" w:fill="FFFFFF"/>
          <w:vertAlign w:val="baseline"/>
          <w:lang w:val="en-US" w:eastAsia="zh-CN" w:bidi="ar"/>
        </w:rPr>
        <w:t>1、响应人获取磋商文件时需出示获取人身份证原件，并提交响应人出具的对获取人的介绍信原件以及获取人身份证复印件（加盖公章），本项目磋商文件不提供邮寄，现场现金购买，售后不退。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kern w:val="0"/>
          <w:sz w:val="21"/>
          <w:szCs w:val="21"/>
          <w:shd w:val="clear" w:fill="FFFFFF"/>
          <w:vertAlign w:val="baseline"/>
          <w:lang w:val="en-US" w:eastAsia="zh-CN" w:bidi="ar"/>
        </w:rPr>
        <w:t>2、注意事项：根据《陕西省财政厅关于政府采购供应商注册登记有关事项的通知》的规定，响应人在领取文件后，应及时注册登记加入政府采购供应商库。因响应人自身原因未及时登记入库而导致的一切后果由响应人自行承担。</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kern w:val="0"/>
          <w:sz w:val="21"/>
          <w:szCs w:val="21"/>
          <w:shd w:val="clear" w:fill="FFFFFF"/>
          <w:vertAlign w:val="baseline"/>
          <w:lang w:val="en-US" w:eastAsia="zh-CN" w:bidi="ar"/>
        </w:rPr>
        <w:t>3、本次采购落实政府采购政策：（1）《财政部 国家发展改革委关于印发(节能产品政府采购实施意见)的通知》(财库〔2004〕185号)；（2）《财政部 环保总局关于环境标志产品政府采购实施的意见》(财库〔2006〕90号)；（3） 《国务院办公厅关于建立政府强制采购节能产品制度的通知》（国办发〔2007〕51号）；（4） 《财政部 司法部关于政府采购支持监狱企业发展有关问题的通知》（财库〔2014〕68号）；（5） 《财政部、民政部、中国残疾人联合会关于促进残疾人就业政府采购政策的通知》财库〔2017〕141号；（6）陕西省财政厅关于印发《陕西省中小企业政府采购信用融资办法》（陕财办采〔2018〕23号）；（7） 《财政部 发展改革委 生态环境部 市场监管总局关于调整优化节能产品、环境标志产品政府采购执行机制的通知》（财库〔2019〕9号）；（8）财政部、工业和信息化部关于印发《政府采购促进中小企业发展管理办法》的通知（财库〔2020〕46号）；（9） 其他需要落实的政府采购政策。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黑体" w:hAnsi="黑体" w:eastAsia="黑体" w:cs="黑体"/>
          <w:b w:val="0"/>
          <w:bCs w:val="0"/>
          <w:sz w:val="21"/>
          <w:szCs w:val="21"/>
        </w:rPr>
      </w:pPr>
      <w:r>
        <w:rPr>
          <w:rStyle w:val="32"/>
          <w:rFonts w:hint="eastAsia" w:ascii="黑体" w:hAnsi="黑体" w:eastAsia="黑体" w:cs="黑体"/>
          <w:b/>
          <w:bCs/>
          <w:i w:val="0"/>
          <w:iCs w:val="0"/>
          <w:caps w:val="0"/>
          <w:color w:val="333333"/>
          <w:spacing w:val="0"/>
          <w:sz w:val="21"/>
          <w:szCs w:val="21"/>
          <w:shd w:val="clear" w:fill="FFFFFF"/>
          <w:vertAlign w:val="baseline"/>
        </w:rPr>
        <w:t>八、对本次招标提出询问，请按以下方式联系。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黑体" w:hAnsi="黑体" w:eastAsia="黑体" w:cs="黑体"/>
          <w:b w:val="0"/>
          <w:bCs w:val="0"/>
          <w:sz w:val="21"/>
          <w:szCs w:val="21"/>
        </w:rPr>
      </w:pPr>
      <w:r>
        <w:rPr>
          <w:rFonts w:hint="eastAsia" w:ascii="黑体" w:hAnsi="黑体" w:eastAsia="黑体" w:cs="黑体"/>
          <w:b w:val="0"/>
          <w:bCs w:val="0"/>
          <w:i w:val="0"/>
          <w:iCs w:val="0"/>
          <w:caps w:val="0"/>
          <w:color w:val="333333"/>
          <w:spacing w:val="0"/>
          <w:sz w:val="21"/>
          <w:szCs w:val="21"/>
          <w:shd w:val="clear" w:fill="FFFFFF"/>
          <w:vertAlign w:val="baseline"/>
        </w:rPr>
        <w:t>1.采购人信息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名称：略阳县地质环境监测站</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地址：略阳县人力资源大厦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联系方式：15891631376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黑体" w:hAnsi="黑体" w:eastAsia="黑体" w:cs="黑体"/>
          <w:b w:val="0"/>
          <w:bCs w:val="0"/>
          <w:sz w:val="21"/>
          <w:szCs w:val="21"/>
        </w:rPr>
      </w:pPr>
      <w:r>
        <w:rPr>
          <w:rFonts w:hint="eastAsia" w:ascii="黑体" w:hAnsi="黑体" w:eastAsia="黑体" w:cs="黑体"/>
          <w:b w:val="0"/>
          <w:bCs w:val="0"/>
          <w:i w:val="0"/>
          <w:iCs w:val="0"/>
          <w:caps w:val="0"/>
          <w:color w:val="333333"/>
          <w:spacing w:val="0"/>
          <w:sz w:val="21"/>
          <w:szCs w:val="21"/>
          <w:shd w:val="clear" w:fill="FFFFFF"/>
          <w:vertAlign w:val="baseline"/>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名称：同正项目管理有限公司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地址：汉中市汉台区前进西路中航尚街7号楼附3层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联系方式：0916-8897702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黑体" w:hAnsi="黑体" w:eastAsia="黑体" w:cs="黑体"/>
          <w:b w:val="0"/>
          <w:bCs w:val="0"/>
          <w:sz w:val="21"/>
          <w:szCs w:val="21"/>
        </w:rPr>
      </w:pPr>
      <w:r>
        <w:rPr>
          <w:rFonts w:hint="eastAsia" w:ascii="黑体" w:hAnsi="黑体" w:eastAsia="黑体" w:cs="黑体"/>
          <w:b w:val="0"/>
          <w:bCs w:val="0"/>
          <w:i w:val="0"/>
          <w:iCs w:val="0"/>
          <w:caps w:val="0"/>
          <w:color w:val="333333"/>
          <w:spacing w:val="0"/>
          <w:sz w:val="21"/>
          <w:szCs w:val="21"/>
          <w:shd w:val="clear" w:fill="FFFFFF"/>
          <w:vertAlign w:val="baseline"/>
        </w:rPr>
        <w:t>3.项目联系方式</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项目联系人：杨女士</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电话：0916-8897702</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同正项目管理有限公司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黑体" w:hAnsi="黑体" w:eastAsia="黑体" w:cs="黑体"/>
          <w:sz w:val="21"/>
          <w:szCs w:val="21"/>
        </w:rPr>
      </w:pPr>
      <w:r>
        <w:rPr>
          <w:rFonts w:hint="eastAsia" w:ascii="黑体" w:hAnsi="黑体" w:eastAsia="黑体" w:cs="黑体"/>
          <w:i w:val="0"/>
          <w:iCs w:val="0"/>
          <w:caps w:val="0"/>
          <w:color w:val="333333"/>
          <w:spacing w:val="0"/>
          <w:sz w:val="21"/>
          <w:szCs w:val="21"/>
          <w:shd w:val="clear" w:fill="FFFFFF"/>
          <w:vertAlign w:val="baseline"/>
        </w:rPr>
        <w:t>2023年03月10日</w:t>
      </w:r>
    </w:p>
    <w:p>
      <w:pPr>
        <w:keepNext w:val="0"/>
        <w:keepLines w:val="0"/>
        <w:pageBreakBefore w:val="0"/>
        <w:widowControl/>
        <w:suppressLineNumbers w:val="0"/>
        <w:kinsoku/>
        <w:wordWrap w:val="0"/>
        <w:overflowPunct/>
        <w:topLinePunct w:val="0"/>
        <w:autoSpaceDE/>
        <w:autoSpaceDN/>
        <w:bidi w:val="0"/>
        <w:adjustRightInd/>
        <w:snapToGrid/>
        <w:spacing w:line="430" w:lineRule="atLeast"/>
        <w:jc w:val="both"/>
        <w:textAlignment w:val="auto"/>
        <w:rPr>
          <w:rFonts w:hint="eastAsia" w:ascii="黑体" w:hAnsi="黑体" w:eastAsia="黑体" w:cs="黑体"/>
          <w:color w:val="auto"/>
          <w:sz w:val="24"/>
          <w:szCs w:val="24"/>
        </w:rPr>
      </w:pPr>
    </w:p>
    <w:p>
      <w:pPr>
        <w:pStyle w:val="4"/>
        <w:keepNext w:val="0"/>
        <w:keepLines w:val="0"/>
        <w:pageBreakBefore w:val="0"/>
        <w:widowControl w:val="0"/>
        <w:kinsoku/>
        <w:wordWrap/>
        <w:overflowPunct/>
        <w:topLinePunct w:val="0"/>
        <w:autoSpaceDE/>
        <w:autoSpaceDN/>
        <w:bidi w:val="0"/>
        <w:adjustRightInd/>
        <w:snapToGrid/>
        <w:spacing w:line="430" w:lineRule="atLeast"/>
        <w:textAlignment w:val="auto"/>
        <w:rPr>
          <w:rFonts w:hint="eastAsia" w:ascii="黑体" w:hAnsi="黑体" w:eastAsia="黑体" w:cs="黑体"/>
          <w:color w:val="auto"/>
          <w:sz w:val="24"/>
          <w:szCs w:val="24"/>
          <w:highlight w:val="none"/>
        </w:rPr>
      </w:pPr>
    </w:p>
    <w:p>
      <w:pPr>
        <w:rPr>
          <w:rFonts w:hint="eastAsia" w:ascii="黑体" w:hAnsi="黑体" w:eastAsia="黑体" w:cs="黑体"/>
          <w:color w:val="auto"/>
          <w:sz w:val="24"/>
          <w:szCs w:val="24"/>
          <w:highlight w:val="none"/>
        </w:rPr>
      </w:pPr>
    </w:p>
    <w:p>
      <w:pPr>
        <w:pStyle w:val="2"/>
        <w:rPr>
          <w:rFonts w:hint="eastAsia" w:ascii="黑体" w:hAnsi="黑体" w:eastAsia="黑体" w:cs="黑体"/>
          <w:color w:val="auto"/>
          <w:sz w:val="24"/>
          <w:szCs w:val="24"/>
          <w:highlight w:val="none"/>
        </w:rPr>
      </w:pPr>
    </w:p>
    <w:p>
      <w:pPr>
        <w:rPr>
          <w:rFonts w:hint="eastAsia" w:ascii="黑体" w:hAnsi="黑体" w:eastAsia="黑体" w:cs="黑体"/>
          <w:color w:val="auto"/>
          <w:sz w:val="24"/>
          <w:szCs w:val="24"/>
          <w:highlight w:val="none"/>
        </w:rPr>
      </w:pPr>
    </w:p>
    <w:p>
      <w:pPr>
        <w:pStyle w:val="2"/>
        <w:rPr>
          <w:rFonts w:hint="eastAsia" w:ascii="黑体" w:hAnsi="黑体" w:eastAsia="黑体" w:cs="黑体"/>
          <w:color w:val="auto"/>
          <w:sz w:val="24"/>
          <w:szCs w:val="24"/>
          <w:highlight w:val="none"/>
        </w:rPr>
      </w:pPr>
    </w:p>
    <w:p>
      <w:pPr>
        <w:rPr>
          <w:rFonts w:hint="eastAsia" w:ascii="黑体" w:hAnsi="黑体" w:eastAsia="黑体" w:cs="黑体"/>
          <w:color w:val="auto"/>
          <w:sz w:val="24"/>
          <w:szCs w:val="24"/>
          <w:highlight w:val="none"/>
        </w:rPr>
      </w:pPr>
    </w:p>
    <w:p>
      <w:pPr>
        <w:pStyle w:val="2"/>
        <w:rPr>
          <w:rFonts w:hint="eastAsia" w:ascii="黑体" w:hAnsi="黑体" w:eastAsia="黑体" w:cs="黑体"/>
          <w:color w:val="auto"/>
          <w:sz w:val="24"/>
          <w:szCs w:val="24"/>
          <w:highlight w:val="none"/>
        </w:rPr>
      </w:pPr>
    </w:p>
    <w:p>
      <w:pPr>
        <w:pStyle w:val="14"/>
        <w:rPr>
          <w:rFonts w:hint="eastAsia" w:ascii="黑体" w:hAnsi="黑体" w:eastAsia="黑体" w:cs="黑体"/>
          <w:color w:val="auto"/>
          <w:sz w:val="24"/>
          <w:szCs w:val="24"/>
        </w:rPr>
      </w:pPr>
    </w:p>
    <w:p>
      <w:pPr>
        <w:kinsoku w:val="0"/>
        <w:spacing w:line="600" w:lineRule="exact"/>
        <w:ind w:firstLine="2249" w:firstLineChars="700"/>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rPr>
        <w:t xml:space="preserve"> 磋商供应商须知</w:t>
      </w:r>
      <w:bookmarkEnd w:id="6"/>
      <w:bookmarkEnd w:id="7"/>
      <w:bookmarkEnd w:id="8"/>
      <w:bookmarkEnd w:id="9"/>
      <w:bookmarkEnd w:id="10"/>
      <w:bookmarkEnd w:id="11"/>
    </w:p>
    <w:p>
      <w:pPr>
        <w:pStyle w:val="24"/>
        <w:spacing w:line="360" w:lineRule="auto"/>
        <w:ind w:firstLine="0"/>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磋商供应商须知前附表</w:t>
      </w:r>
    </w:p>
    <w:tbl>
      <w:tblPr>
        <w:tblStyle w:val="29"/>
        <w:tblW w:w="9943" w:type="dxa"/>
        <w:jc w:val="center"/>
        <w:tblLayout w:type="fixed"/>
        <w:tblCellMar>
          <w:top w:w="0" w:type="dxa"/>
          <w:left w:w="108" w:type="dxa"/>
          <w:bottom w:w="0" w:type="dxa"/>
          <w:right w:w="108" w:type="dxa"/>
        </w:tblCellMar>
      </w:tblPr>
      <w:tblGrid>
        <w:gridCol w:w="728"/>
        <w:gridCol w:w="1665"/>
        <w:gridCol w:w="7550"/>
      </w:tblGrid>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序号</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内容</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要求与说明</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166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项目名称</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pStyle w:val="26"/>
              <w:spacing w:before="0" w:beforeAutospacing="0" w:after="0" w:afterAutospacing="0" w:line="240" w:lineRule="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kern w:val="2"/>
                <w:sz w:val="22"/>
                <w:szCs w:val="22"/>
                <w:highlight w:val="none"/>
                <w:lang w:val="en-US" w:eastAsia="zh-CN" w:bidi="ar-SA"/>
              </w:rPr>
              <w:t>略阳县黑河镇地质灾害风险调查评价项目</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166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采购项目编号</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eastAsia="zh-CN"/>
              </w:rPr>
              <w:t>TZZB-HZ-2023038C</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w:t>
            </w:r>
          </w:p>
        </w:tc>
        <w:tc>
          <w:tcPr>
            <w:tcW w:w="166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采购人信息</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名称：略阳县地质环境监测站</w:t>
            </w:r>
          </w:p>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地址：略阳县人力资源大厦</w:t>
            </w:r>
          </w:p>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联系方式：15891631376</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w:t>
            </w:r>
          </w:p>
        </w:tc>
        <w:tc>
          <w:tcPr>
            <w:tcW w:w="16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采购代理</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机构信息</w:t>
            </w:r>
          </w:p>
        </w:tc>
        <w:tc>
          <w:tcPr>
            <w:tcW w:w="7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采购代理机构名称：</w:t>
            </w:r>
            <w:r>
              <w:rPr>
                <w:rFonts w:hint="eastAsia" w:ascii="黑体" w:hAnsi="黑体" w:eastAsia="黑体" w:cs="黑体"/>
                <w:color w:val="auto"/>
                <w:sz w:val="22"/>
                <w:szCs w:val="22"/>
                <w:highlight w:val="none"/>
                <w:lang w:eastAsia="zh-CN"/>
              </w:rPr>
              <w:t>同正项目管理有限公司</w:t>
            </w:r>
          </w:p>
          <w:p>
            <w:pP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地址：</w:t>
            </w:r>
            <w:r>
              <w:rPr>
                <w:rFonts w:hint="eastAsia" w:ascii="黑体" w:hAnsi="黑体" w:eastAsia="黑体" w:cs="黑体"/>
                <w:color w:val="auto"/>
                <w:sz w:val="22"/>
                <w:szCs w:val="22"/>
                <w:highlight w:val="none"/>
                <w:lang w:eastAsia="zh-CN"/>
              </w:rPr>
              <w:t>汉中市汉台区前进西路中航尚街7号楼附3层</w:t>
            </w:r>
          </w:p>
          <w:p>
            <w:pP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联系人：</w:t>
            </w:r>
            <w:r>
              <w:rPr>
                <w:rFonts w:hint="eastAsia" w:ascii="黑体" w:hAnsi="黑体" w:eastAsia="黑体" w:cs="黑体"/>
                <w:color w:val="auto"/>
                <w:sz w:val="22"/>
                <w:szCs w:val="22"/>
                <w:highlight w:val="none"/>
                <w:lang w:val="en-US" w:eastAsia="zh-CN"/>
              </w:rPr>
              <w:t>杨</w:t>
            </w:r>
            <w:r>
              <w:rPr>
                <w:rFonts w:hint="eastAsia" w:ascii="黑体" w:hAnsi="黑体" w:eastAsia="黑体" w:cs="黑体"/>
                <w:color w:val="auto"/>
                <w:sz w:val="22"/>
                <w:szCs w:val="22"/>
                <w:highlight w:val="none"/>
                <w:lang w:eastAsia="zh-CN"/>
              </w:rPr>
              <w:t>女士</w:t>
            </w:r>
          </w:p>
          <w:p>
            <w:pPr>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电话：</w:t>
            </w:r>
            <w:r>
              <w:rPr>
                <w:rFonts w:hint="eastAsia" w:ascii="黑体" w:hAnsi="黑体" w:eastAsia="黑体" w:cs="黑体"/>
                <w:color w:val="auto"/>
                <w:sz w:val="22"/>
                <w:szCs w:val="22"/>
                <w:highlight w:val="none"/>
                <w:lang w:val="en-US" w:eastAsia="zh-CN"/>
              </w:rPr>
              <w:t>0916-8897702</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p>
        </w:tc>
        <w:tc>
          <w:tcPr>
            <w:tcW w:w="1665"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采购内容</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主要采购内容见第四章《采购内容及具体要求》</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w:t>
            </w:r>
          </w:p>
        </w:tc>
        <w:tc>
          <w:tcPr>
            <w:tcW w:w="1665"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组织方式</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部门集中采购</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w:t>
            </w:r>
          </w:p>
        </w:tc>
        <w:tc>
          <w:tcPr>
            <w:tcW w:w="166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预算金额</w:t>
            </w:r>
          </w:p>
        </w:tc>
        <w:tc>
          <w:tcPr>
            <w:tcW w:w="7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黑体" w:eastAsia="黑体" w:cs="黑体"/>
                <w:color w:val="auto"/>
                <w:sz w:val="22"/>
                <w:szCs w:val="22"/>
                <w:highlight w:val="none"/>
                <w:lang w:val="en-US"/>
              </w:rPr>
            </w:pPr>
            <w:r>
              <w:rPr>
                <w:rFonts w:hint="eastAsia" w:ascii="黑体" w:hAnsi="黑体" w:eastAsia="黑体" w:cs="黑体"/>
                <w:lang w:val="en-US" w:eastAsia="zh-CN"/>
              </w:rPr>
              <w:t>1,430,000.00</w:t>
            </w:r>
            <w:r>
              <w:rPr>
                <w:rFonts w:hint="eastAsia" w:ascii="黑体" w:hAnsi="黑体" w:eastAsia="黑体" w:cs="黑体"/>
                <w:i w:val="0"/>
                <w:caps w:val="0"/>
                <w:color w:val="auto"/>
                <w:spacing w:val="0"/>
                <w:kern w:val="2"/>
                <w:sz w:val="22"/>
                <w:szCs w:val="22"/>
                <w:highlight w:val="none"/>
                <w:shd w:val="clear" w:fill="FFFFFF"/>
                <w:lang w:val="en-US" w:eastAsia="zh-CN" w:bidi="ar-SA"/>
              </w:rPr>
              <w:t>元</w:t>
            </w:r>
          </w:p>
        </w:tc>
      </w:tr>
      <w:tr>
        <w:tblPrEx>
          <w:tblCellMar>
            <w:top w:w="0" w:type="dxa"/>
            <w:left w:w="108" w:type="dxa"/>
            <w:bottom w:w="0" w:type="dxa"/>
            <w:right w:w="108" w:type="dxa"/>
          </w:tblCellMar>
        </w:tblPrEx>
        <w:trPr>
          <w:trHeight w:val="567"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8</w:t>
            </w:r>
          </w:p>
        </w:tc>
        <w:tc>
          <w:tcPr>
            <w:tcW w:w="1665"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磋商响应文件</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有效期</w:t>
            </w:r>
          </w:p>
        </w:tc>
        <w:tc>
          <w:tcPr>
            <w:tcW w:w="7550" w:type="dxa"/>
            <w:tcBorders>
              <w:top w:val="single" w:color="auto" w:sz="4" w:space="0"/>
              <w:left w:val="single" w:color="000000" w:sz="4" w:space="0"/>
              <w:bottom w:val="single" w:color="auto"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有效期为 90 天（法人授权书、响应函）</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文件份数</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磋商响应文件正本1份、副本2份，</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1份，磋商响应文件电子版</w:t>
            </w:r>
            <w:r>
              <w:rPr>
                <w:rFonts w:hint="eastAsia" w:ascii="黑体" w:hAnsi="黑体" w:eastAsia="黑体" w:cs="黑体"/>
                <w:color w:val="auto"/>
                <w:sz w:val="22"/>
                <w:szCs w:val="22"/>
                <w:highlight w:val="none"/>
                <w:lang w:eastAsia="zh-CN"/>
              </w:rPr>
              <w:t>U盘1份</w:t>
            </w:r>
            <w:r>
              <w:rPr>
                <w:rFonts w:hint="eastAsia" w:ascii="黑体" w:hAnsi="黑体" w:eastAsia="黑体" w:cs="黑体"/>
                <w:color w:val="auto"/>
                <w:kern w:val="1"/>
                <w:sz w:val="22"/>
                <w:szCs w:val="22"/>
                <w:highlight w:val="none"/>
              </w:rPr>
              <w:t>（随</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封装）</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评审方法</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综合评分法</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详见《第三章》评审方法</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磋商供应商</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资格要求</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atLeast"/>
              <w:ind w:right="0"/>
              <w:textAlignment w:val="auto"/>
              <w:rPr>
                <w:rFonts w:hint="eastAsia" w:ascii="黑体" w:hAnsi="黑体" w:eastAsia="黑体" w:cs="黑体"/>
                <w:b/>
                <w:bCs/>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1.满足《中华人民共和国政府采购法》第二十二条规定；</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atLeast"/>
              <w:ind w:right="0"/>
              <w:textAlignment w:val="auto"/>
              <w:rPr>
                <w:rFonts w:hint="eastAsia" w:ascii="黑体" w:hAnsi="黑体" w:eastAsia="黑体" w:cs="黑体"/>
                <w:b w:val="0"/>
                <w:bCs w:val="0"/>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2.落实政府采购政策需满足的资格要求：</w:t>
            </w:r>
            <w:r>
              <w:rPr>
                <w:rFonts w:hint="eastAsia" w:ascii="黑体" w:hAnsi="黑体" w:eastAsia="黑体" w:cs="黑体"/>
                <w:i w:val="0"/>
                <w:iCs w:val="0"/>
                <w:caps w:val="0"/>
                <w:color w:val="auto"/>
                <w:spacing w:val="0"/>
                <w:sz w:val="22"/>
                <w:szCs w:val="22"/>
                <w:shd w:val="clear" w:color="auto" w:fill="FFFFFF"/>
              </w:rPr>
              <w:t> </w:t>
            </w:r>
            <w:r>
              <w:rPr>
                <w:rFonts w:hint="eastAsia" w:ascii="黑体" w:hAnsi="黑体" w:eastAsia="黑体" w:cs="黑体"/>
                <w:b w:val="0"/>
                <w:bCs w:val="0"/>
                <w:color w:val="auto"/>
                <w:kern w:val="2"/>
                <w:sz w:val="22"/>
                <w:szCs w:val="22"/>
                <w:highlight w:val="none"/>
                <w:lang w:val="en-US" w:eastAsia="zh-CN" w:bidi="ar-SA"/>
              </w:rPr>
              <w:t>无；</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atLeast"/>
              <w:ind w:right="0"/>
              <w:textAlignment w:val="auto"/>
              <w:rPr>
                <w:rFonts w:hint="eastAsia" w:ascii="黑体" w:hAnsi="黑体" w:eastAsia="黑体" w:cs="黑体"/>
                <w:b/>
                <w:bCs/>
                <w:color w:val="auto"/>
                <w:kern w:val="2"/>
                <w:sz w:val="22"/>
                <w:szCs w:val="22"/>
                <w:highlight w:val="none"/>
                <w:lang w:val="en-US" w:eastAsia="zh-CN" w:bidi="ar-SA"/>
              </w:rPr>
            </w:pPr>
            <w:r>
              <w:rPr>
                <w:rFonts w:hint="eastAsia" w:ascii="黑体" w:hAnsi="黑体" w:eastAsia="黑体" w:cs="黑体"/>
                <w:b/>
                <w:bCs/>
                <w:color w:val="auto"/>
                <w:kern w:val="2"/>
                <w:sz w:val="22"/>
                <w:szCs w:val="22"/>
                <w:highlight w:val="none"/>
                <w:lang w:val="en-US" w:eastAsia="zh-CN" w:bidi="ar-SA"/>
              </w:rPr>
              <w:t>3.本项目的特定资格要求：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atLeast"/>
              <w:ind w:right="0"/>
              <w:textAlignment w:val="auto"/>
              <w:rPr>
                <w:rFonts w:hint="eastAsia" w:ascii="黑体" w:hAnsi="黑体" w:eastAsia="黑体" w:cs="黑体"/>
                <w:i w:val="0"/>
                <w:iCs w:val="0"/>
                <w:caps w:val="0"/>
                <w:color w:val="auto"/>
                <w:spacing w:val="0"/>
                <w:sz w:val="22"/>
                <w:szCs w:val="22"/>
                <w:shd w:val="clear" w:fill="FFFFFF"/>
                <w:lang w:eastAsia="zh-CN"/>
              </w:rPr>
            </w:pPr>
            <w:r>
              <w:rPr>
                <w:rFonts w:hint="eastAsia" w:ascii="黑体" w:hAnsi="黑体" w:eastAsia="黑体" w:cs="黑体"/>
                <w:i w:val="0"/>
                <w:iCs w:val="0"/>
                <w:caps w:val="0"/>
                <w:color w:val="auto"/>
                <w:spacing w:val="0"/>
                <w:sz w:val="22"/>
                <w:szCs w:val="22"/>
                <w:shd w:val="clear" w:fill="FFFFFF"/>
                <w:lang w:val="en-US" w:eastAsia="zh-CN"/>
              </w:rPr>
              <w:t>3.1法定代表人直接参加磋商的，须出具法人身份证；法定代表人授权代表参加磋商的，须出具法定代表人授权书及授权代表身份证；</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90" w:lineRule="atLeast"/>
              <w:ind w:right="0"/>
              <w:textAlignment w:val="auto"/>
              <w:rPr>
                <w:rFonts w:hint="eastAsia" w:ascii="黑体" w:hAnsi="黑体" w:eastAsia="黑体" w:cs="黑体"/>
                <w:i w:val="0"/>
                <w:iCs w:val="0"/>
                <w:caps w:val="0"/>
                <w:color w:val="auto"/>
                <w:spacing w:val="0"/>
                <w:sz w:val="22"/>
                <w:szCs w:val="22"/>
                <w:shd w:val="clear" w:fill="FFFFFF"/>
              </w:rPr>
            </w:pPr>
            <w:r>
              <w:rPr>
                <w:rFonts w:hint="eastAsia" w:ascii="黑体" w:hAnsi="黑体" w:eastAsia="黑体" w:cs="黑体"/>
                <w:i w:val="0"/>
                <w:iCs w:val="0"/>
                <w:caps w:val="0"/>
                <w:color w:val="auto"/>
                <w:spacing w:val="0"/>
                <w:sz w:val="22"/>
                <w:szCs w:val="22"/>
                <w:shd w:val="clear" w:fill="FFFFFF"/>
                <w:lang w:val="en-US" w:eastAsia="zh-CN"/>
              </w:rPr>
              <w:t>3.2供应商须具备自然资源部门颁发的地质灾害危险性评估甲级资质</w:t>
            </w:r>
            <w:r>
              <w:rPr>
                <w:rFonts w:hint="eastAsia" w:ascii="黑体" w:hAnsi="黑体" w:eastAsia="黑体" w:cs="黑体"/>
                <w:i w:val="0"/>
                <w:iCs w:val="0"/>
                <w:caps w:val="0"/>
                <w:color w:val="auto"/>
                <w:spacing w:val="0"/>
                <w:sz w:val="22"/>
                <w:szCs w:val="22"/>
                <w:shd w:val="clear" w:fill="FFFFFF"/>
              </w:rPr>
              <w:t>；</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黑体" w:hAnsi="黑体" w:eastAsia="黑体" w:cs="黑体"/>
                <w:i w:val="0"/>
                <w:iCs w:val="0"/>
                <w:caps w:val="0"/>
                <w:color w:val="auto"/>
                <w:spacing w:val="0"/>
                <w:sz w:val="22"/>
                <w:szCs w:val="22"/>
                <w:shd w:val="clear" w:fill="FFFFFF"/>
                <w:lang w:eastAsia="zh-CN"/>
              </w:rPr>
            </w:pPr>
            <w:r>
              <w:rPr>
                <w:rFonts w:hint="eastAsia" w:ascii="黑体" w:hAnsi="黑体" w:eastAsia="黑体" w:cs="黑体"/>
                <w:i w:val="0"/>
                <w:iCs w:val="0"/>
                <w:caps w:val="0"/>
                <w:color w:val="auto"/>
                <w:spacing w:val="0"/>
                <w:sz w:val="22"/>
                <w:szCs w:val="22"/>
                <w:shd w:val="clear" w:fill="FFFFFF"/>
                <w:lang w:val="en-US" w:eastAsia="zh-CN"/>
              </w:rPr>
              <w:t>3.3</w:t>
            </w:r>
            <w:r>
              <w:rPr>
                <w:rFonts w:hint="eastAsia" w:ascii="黑体" w:hAnsi="黑体" w:eastAsia="黑体" w:cs="黑体"/>
                <w:i w:val="0"/>
                <w:iCs w:val="0"/>
                <w:caps w:val="0"/>
                <w:color w:val="auto"/>
                <w:spacing w:val="0"/>
                <w:sz w:val="22"/>
                <w:szCs w:val="22"/>
                <w:shd w:val="clear" w:fill="FFFFFF"/>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黑体" w:hAnsi="黑体" w:eastAsia="黑体" w:cs="黑体"/>
                <w:i w:val="0"/>
                <w:iCs w:val="0"/>
                <w:caps w:val="0"/>
                <w:color w:val="auto"/>
                <w:spacing w:val="0"/>
                <w:sz w:val="22"/>
                <w:szCs w:val="22"/>
                <w:shd w:val="clear" w:fill="FFFFFF"/>
                <w:lang w:eastAsia="zh-CN"/>
              </w:rPr>
              <w:t>。</w:t>
            </w:r>
          </w:p>
        </w:tc>
      </w:tr>
      <w:tr>
        <w:tblPrEx>
          <w:tblCellMar>
            <w:top w:w="0" w:type="dxa"/>
            <w:left w:w="108" w:type="dxa"/>
            <w:bottom w:w="0" w:type="dxa"/>
            <w:right w:w="108" w:type="dxa"/>
          </w:tblCellMar>
        </w:tblPrEx>
        <w:trPr>
          <w:trHeight w:val="567" w:hRule="atLeast"/>
          <w:jc w:val="center"/>
        </w:trPr>
        <w:tc>
          <w:tcPr>
            <w:tcW w:w="728"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w:t>
            </w:r>
          </w:p>
        </w:tc>
        <w:tc>
          <w:tcPr>
            <w:tcW w:w="1665"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供应商</w:t>
            </w:r>
            <w:r>
              <w:rPr>
                <w:rFonts w:hint="eastAsia" w:ascii="黑体" w:hAnsi="黑体" w:eastAsia="黑体" w:cs="黑体"/>
                <w:color w:val="auto"/>
                <w:sz w:val="22"/>
                <w:szCs w:val="22"/>
                <w:highlight w:val="none"/>
                <w:lang w:val="en-US" w:eastAsia="zh-CN"/>
              </w:rPr>
              <w:t>资格</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证明材料</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1.</w:t>
            </w:r>
            <w:r>
              <w:rPr>
                <w:rFonts w:hint="eastAsia" w:ascii="黑体" w:hAnsi="黑体" w:eastAsia="黑体" w:cs="黑体"/>
                <w:sz w:val="22"/>
                <w:szCs w:val="22"/>
              </w:rPr>
              <w:t>具有独立承担民事责任能力的法人、其他组织或自然人，并出具合法有效的营业执照或事业单位法人证书等国家规定的相关证明，自然人参与的提供其身份证明</w:t>
            </w:r>
            <w:r>
              <w:rPr>
                <w:rFonts w:hint="eastAsia" w:ascii="黑体" w:hAnsi="黑体" w:eastAsia="黑体" w:cs="黑体"/>
                <w:sz w:val="22"/>
                <w:szCs w:val="22"/>
                <w:lang w:eastAsia="zh-CN"/>
              </w:rPr>
              <w:t>；</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2.</w:t>
            </w:r>
            <w:r>
              <w:rPr>
                <w:rFonts w:hint="eastAsia" w:ascii="黑体" w:hAnsi="黑体" w:eastAsia="黑体" w:cs="黑体"/>
                <w:sz w:val="22"/>
                <w:szCs w:val="22"/>
              </w:rPr>
              <w:t>提供</w:t>
            </w:r>
            <w:r>
              <w:rPr>
                <w:rFonts w:hint="eastAsia" w:ascii="黑体" w:hAnsi="黑体" w:eastAsia="黑体" w:cs="黑体"/>
                <w:sz w:val="22"/>
                <w:szCs w:val="22"/>
                <w:lang w:val="en-US" w:eastAsia="zh-CN"/>
              </w:rPr>
              <w:t>2020年至今</w:t>
            </w:r>
            <w:r>
              <w:rPr>
                <w:rFonts w:hint="eastAsia" w:ascii="黑体" w:hAnsi="黑体" w:eastAsia="黑体" w:cs="黑体"/>
                <w:sz w:val="22"/>
                <w:szCs w:val="22"/>
              </w:rPr>
              <w:t>任意1年度的完整有效的财务审计报告（成立时间至投标文件递交截止时间不足一年的可提供成立后任意时段的资产负债表），或开标时间前三个月内其基本存款账户开户银行出具的资信证明，或政府采购信用担保机构出具的投标担保函。其他组织和自然人提供银行出具的资信证明；</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3.</w:t>
            </w:r>
            <w:r>
              <w:rPr>
                <w:rFonts w:hint="eastAsia" w:ascii="黑体" w:hAnsi="黑体" w:eastAsia="黑体" w:cs="黑体"/>
                <w:sz w:val="22"/>
                <w:szCs w:val="22"/>
              </w:rPr>
              <w:t>税收缴纳证明：提供投标文件递交截止时间前</w:t>
            </w:r>
            <w:r>
              <w:rPr>
                <w:rFonts w:hint="eastAsia" w:ascii="黑体" w:hAnsi="黑体" w:eastAsia="黑体" w:cs="黑体"/>
                <w:sz w:val="22"/>
                <w:szCs w:val="22"/>
                <w:lang w:val="en-US" w:eastAsia="zh-CN"/>
              </w:rPr>
              <w:t>12</w:t>
            </w:r>
            <w:r>
              <w:rPr>
                <w:rFonts w:hint="eastAsia" w:ascii="黑体" w:hAnsi="黑体" w:eastAsia="黑体" w:cs="黑体"/>
                <w:sz w:val="22"/>
                <w:szCs w:val="22"/>
              </w:rPr>
              <w:t>个月内任意</w:t>
            </w:r>
            <w:r>
              <w:rPr>
                <w:rFonts w:hint="eastAsia" w:ascii="黑体" w:hAnsi="黑体" w:eastAsia="黑体" w:cs="黑体"/>
                <w:sz w:val="22"/>
                <w:szCs w:val="22"/>
                <w:lang w:val="en-US" w:eastAsia="zh-CN"/>
              </w:rPr>
              <w:t>1</w:t>
            </w:r>
            <w:r>
              <w:rPr>
                <w:rFonts w:hint="eastAsia" w:ascii="黑体" w:hAnsi="黑体" w:eastAsia="黑体" w:cs="黑体"/>
                <w:sz w:val="22"/>
                <w:szCs w:val="22"/>
              </w:rPr>
              <w:t>个月的缴费凭据；（依法免税的投标人应提供相关文件证明）；</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p>
          <w:p>
            <w:pPr>
              <w:pStyle w:val="2"/>
              <w:keepNext w:val="0"/>
              <w:keepLines w:val="0"/>
              <w:pageBreakBefore w:val="0"/>
              <w:widowControl w:val="0"/>
              <w:numPr>
                <w:ilvl w:val="0"/>
                <w:numId w:val="0"/>
              </w:numPr>
              <w:kinsoku/>
              <w:wordWrap/>
              <w:overflowPunct/>
              <w:topLinePunct w:val="0"/>
              <w:bidi w:val="0"/>
              <w:spacing w:after="0" w:afterAutospacing="0" w:line="240" w:lineRule="auto"/>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4.</w:t>
            </w:r>
            <w:r>
              <w:rPr>
                <w:rFonts w:hint="eastAsia" w:ascii="黑体" w:hAnsi="黑体" w:eastAsia="黑体" w:cs="黑体"/>
                <w:sz w:val="22"/>
                <w:szCs w:val="22"/>
              </w:rPr>
              <w:t>社会保障资金缴纳证明：提供投标文件递交截止时间前</w:t>
            </w:r>
            <w:r>
              <w:rPr>
                <w:rFonts w:hint="eastAsia" w:ascii="黑体" w:hAnsi="黑体" w:eastAsia="黑体" w:cs="黑体"/>
                <w:sz w:val="22"/>
                <w:szCs w:val="22"/>
                <w:lang w:val="en-US" w:eastAsia="zh-CN"/>
              </w:rPr>
              <w:t>12</w:t>
            </w:r>
            <w:r>
              <w:rPr>
                <w:rFonts w:hint="eastAsia" w:ascii="黑体" w:hAnsi="黑体" w:eastAsia="黑体" w:cs="黑体"/>
                <w:sz w:val="22"/>
                <w:szCs w:val="22"/>
              </w:rPr>
              <w:t>个月内任意</w:t>
            </w:r>
            <w:r>
              <w:rPr>
                <w:rFonts w:hint="eastAsia" w:ascii="黑体" w:hAnsi="黑体" w:eastAsia="黑体" w:cs="黑体"/>
                <w:sz w:val="22"/>
                <w:szCs w:val="22"/>
                <w:lang w:val="en-US" w:eastAsia="zh-CN"/>
              </w:rPr>
              <w:t>1</w:t>
            </w:r>
            <w:r>
              <w:rPr>
                <w:rFonts w:hint="eastAsia" w:ascii="黑体" w:hAnsi="黑体" w:eastAsia="黑体" w:cs="黑体"/>
                <w:sz w:val="22"/>
                <w:szCs w:val="22"/>
              </w:rPr>
              <w:t>个月的社会保障资金缴存单据或社保机构开具的社会保险参保缴费情况证明，依法不需要缴纳社会保障资金的单位应提供相关证明材料；</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5.</w:t>
            </w:r>
            <w:r>
              <w:rPr>
                <w:rFonts w:hint="eastAsia" w:ascii="黑体" w:hAnsi="黑体" w:eastAsia="黑体" w:cs="黑体"/>
                <w:sz w:val="22"/>
                <w:szCs w:val="22"/>
              </w:rPr>
              <w:t>提供具有履行本合同所必需的设备和专业技术能力的说明及承诺；</w:t>
            </w:r>
            <w:r>
              <w:rPr>
                <w:rFonts w:hint="eastAsia" w:ascii="黑体" w:hAnsi="黑体" w:eastAsia="黑体" w:cs="黑体"/>
                <w:sz w:val="22"/>
                <w:szCs w:val="22"/>
                <w:u w:val="single"/>
              </w:rPr>
              <w:t>（原件，格式内容自拟）</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6.</w:t>
            </w:r>
            <w:r>
              <w:rPr>
                <w:rFonts w:hint="eastAsia" w:ascii="黑体" w:hAnsi="黑体" w:eastAsia="黑体" w:cs="黑体"/>
                <w:sz w:val="22"/>
                <w:szCs w:val="22"/>
              </w:rPr>
              <w:t>提供参加政府采购活动前三年内在经营活动中没有重大违法记录的书面声明</w:t>
            </w:r>
            <w:r>
              <w:rPr>
                <w:rFonts w:hint="eastAsia" w:ascii="黑体" w:hAnsi="黑体" w:eastAsia="黑体" w:cs="黑体"/>
                <w:sz w:val="22"/>
                <w:szCs w:val="22"/>
                <w:lang w:eastAsia="zh-CN"/>
              </w:rPr>
              <w:t>；</w:t>
            </w:r>
            <w:r>
              <w:rPr>
                <w:rFonts w:hint="eastAsia" w:ascii="黑体" w:hAnsi="黑体" w:eastAsia="黑体" w:cs="黑体"/>
                <w:sz w:val="22"/>
                <w:szCs w:val="22"/>
                <w:u w:val="single"/>
              </w:rPr>
              <w:t>（原件，格式内容自拟）</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ind w:leftChars="0"/>
              <w:jc w:val="left"/>
              <w:textAlignment w:val="auto"/>
              <w:rPr>
                <w:rFonts w:hint="eastAsia" w:ascii="黑体" w:hAnsi="黑体" w:eastAsia="黑体" w:cs="黑体"/>
                <w:sz w:val="22"/>
                <w:szCs w:val="22"/>
                <w:u w:val="single"/>
                <w:lang w:eastAsia="zh-CN"/>
              </w:rPr>
            </w:pPr>
            <w:r>
              <w:rPr>
                <w:rFonts w:hint="eastAsia" w:ascii="黑体" w:hAnsi="黑体" w:eastAsia="黑体" w:cs="黑体"/>
                <w:sz w:val="22"/>
                <w:szCs w:val="22"/>
                <w:lang w:val="en-US" w:eastAsia="zh-CN"/>
              </w:rPr>
              <w:t>7.法定代表人直接参加磋商的，须出具法人身份证；法定代表人授权代表参加磋商的，须出具法定代表人授权书及授权代表身份证</w:t>
            </w:r>
            <w:r>
              <w:rPr>
                <w:rFonts w:hint="eastAsia" w:ascii="黑体" w:hAnsi="黑体" w:eastAsia="黑体" w:cs="黑体"/>
                <w:sz w:val="22"/>
                <w:szCs w:val="22"/>
                <w:lang w:eastAsia="zh-CN"/>
              </w:rPr>
              <w:t>；</w:t>
            </w:r>
            <w:r>
              <w:rPr>
                <w:rFonts w:hint="eastAsia" w:ascii="黑体" w:hAnsi="黑体" w:eastAsia="黑体" w:cs="黑体"/>
                <w:sz w:val="22"/>
                <w:szCs w:val="22"/>
                <w:u w:val="single"/>
                <w:lang w:eastAsia="zh-CN"/>
              </w:rPr>
              <w:t>（</w:t>
            </w:r>
            <w:r>
              <w:rPr>
                <w:rFonts w:hint="eastAsia" w:ascii="黑体" w:hAnsi="黑体" w:eastAsia="黑体" w:cs="黑体"/>
                <w:sz w:val="22"/>
                <w:szCs w:val="22"/>
                <w:u w:val="single"/>
                <w:lang w:val="en-US" w:eastAsia="zh-CN"/>
              </w:rPr>
              <w:t>按磋商文件第六章格式填写，加盖公章</w:t>
            </w:r>
            <w:r>
              <w:rPr>
                <w:rFonts w:hint="eastAsia" w:ascii="黑体" w:hAnsi="黑体" w:eastAsia="黑体" w:cs="黑体"/>
                <w:sz w:val="22"/>
                <w:szCs w:val="22"/>
                <w:u w:val="single"/>
                <w:lang w:eastAsia="zh-CN"/>
              </w:rPr>
              <w:t>）</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lang w:eastAsia="zh-CN"/>
              </w:rPr>
            </w:pPr>
          </w:p>
          <w:p>
            <w:pPr>
              <w:pStyle w:val="14"/>
              <w:keepNext w:val="0"/>
              <w:keepLines w:val="0"/>
              <w:pageBreakBefore w:val="0"/>
              <w:widowControl w:val="0"/>
              <w:numPr>
                <w:ilvl w:val="0"/>
                <w:numId w:val="0"/>
              </w:numPr>
              <w:kinsoku/>
              <w:wordWrap/>
              <w:overflowPunct/>
              <w:topLinePunct w:val="0"/>
              <w:autoSpaceDE/>
              <w:autoSpaceDN/>
              <w:bidi w:val="0"/>
              <w:adjustRightInd/>
              <w:spacing w:after="0"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8.供应商须具备自然资源部门颁发的地质灾害危险性评估甲级资质</w:t>
            </w:r>
            <w:r>
              <w:rPr>
                <w:rFonts w:hint="eastAsia" w:ascii="黑体" w:hAnsi="黑体" w:eastAsia="黑体" w:cs="黑体"/>
                <w:sz w:val="22"/>
                <w:szCs w:val="22"/>
              </w:rPr>
              <w:t>；</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keepNext w:val="0"/>
              <w:keepLines w:val="0"/>
              <w:pageBreakBefore w:val="0"/>
              <w:widowControl w:val="0"/>
              <w:numPr>
                <w:ilvl w:val="0"/>
                <w:numId w:val="0"/>
              </w:numPr>
              <w:kinsoku/>
              <w:wordWrap/>
              <w:overflowPunct/>
              <w:topLinePunct w:val="0"/>
              <w:bidi w:val="0"/>
              <w:spacing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jc w:val="left"/>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9.</w:t>
            </w:r>
            <w:r>
              <w:rPr>
                <w:rFonts w:hint="eastAsia" w:ascii="黑体" w:hAnsi="黑体" w:eastAsia="黑体" w:cs="黑体"/>
                <w:sz w:val="22"/>
                <w:szCs w:val="22"/>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黑体" w:hAnsi="黑体" w:eastAsia="黑体" w:cs="黑体"/>
                <w:sz w:val="22"/>
                <w:szCs w:val="22"/>
                <w:u w:val="single"/>
                <w:lang w:val="en-US" w:eastAsia="zh-CN"/>
              </w:rPr>
              <w:t>★此项由采购代理机构在磋商截止时间前3日内查询，查询结果以电子图片或者纸质版存档并作为资格审查资料的一部分，如相关失信记录已失效，供应商需提供相关证明资料，若没有则无需提供）</w:t>
            </w:r>
          </w:p>
          <w:p>
            <w:pPr>
              <w:pStyle w:val="2"/>
              <w:keepNext w:val="0"/>
              <w:keepLines w:val="0"/>
              <w:pageBreakBefore w:val="0"/>
              <w:widowControl w:val="0"/>
              <w:numPr>
                <w:ilvl w:val="0"/>
                <w:numId w:val="0"/>
              </w:numPr>
              <w:kinsoku/>
              <w:wordWrap/>
              <w:overflowPunct/>
              <w:topLinePunct w:val="0"/>
              <w:bidi w:val="0"/>
              <w:spacing w:after="0" w:line="240" w:lineRule="auto"/>
              <w:textAlignment w:val="auto"/>
              <w:rPr>
                <w:rFonts w:hint="eastAsia" w:ascii="黑体" w:hAnsi="黑体" w:eastAsia="黑体" w:cs="黑体"/>
                <w:sz w:val="22"/>
                <w:szCs w:val="22"/>
                <w:lang w:val="en-US" w:eastAsia="zh-CN"/>
              </w:rPr>
            </w:pPr>
          </w:p>
          <w:p>
            <w:pPr>
              <w:keepNext w:val="0"/>
              <w:keepLines w:val="0"/>
              <w:pageBreakBefore w:val="0"/>
              <w:widowControl w:val="0"/>
              <w:kinsoku/>
              <w:wordWrap/>
              <w:overflowPunct/>
              <w:topLinePunct w:val="0"/>
              <w:autoSpaceDE/>
              <w:autoSpaceDN/>
              <w:bidi w:val="0"/>
              <w:adjustRightInd w:val="0"/>
              <w:snapToGrid w:val="0"/>
              <w:spacing w:line="380" w:lineRule="atLeast"/>
              <w:jc w:val="left"/>
              <w:textAlignment w:val="auto"/>
              <w:rPr>
                <w:rFonts w:hint="eastAsia" w:ascii="黑体" w:hAnsi="黑体" w:eastAsia="黑体" w:cs="黑体"/>
                <w:sz w:val="22"/>
                <w:szCs w:val="22"/>
              </w:rPr>
            </w:pPr>
            <w:r>
              <w:rPr>
                <w:rFonts w:hint="eastAsia" w:ascii="黑体" w:hAnsi="黑体" w:eastAsia="黑体" w:cs="黑体"/>
                <w:sz w:val="22"/>
                <w:szCs w:val="22"/>
              </w:rPr>
              <w:t>注：1、上述资格证明文件供应商须单独密封（密封袋标识式样见格式C，身份证可由本人持有,无须封装），随磋商响应文件一同递交，由磋商小组进行资格审查，审查过程中若供应商资格证明文件无效或缺项的视为资格审查不通过，其磋商响应文件按无效响应文件处理。</w:t>
            </w:r>
          </w:p>
          <w:p>
            <w:pPr>
              <w:keepNext w:val="0"/>
              <w:keepLines w:val="0"/>
              <w:pageBreakBefore w:val="0"/>
              <w:widowControl w:val="0"/>
              <w:kinsoku/>
              <w:wordWrap/>
              <w:overflowPunct/>
              <w:topLinePunct w:val="0"/>
              <w:autoSpaceDE/>
              <w:autoSpaceDN/>
              <w:bidi w:val="0"/>
              <w:adjustRightInd w:val="0"/>
              <w:snapToGrid w:val="0"/>
              <w:spacing w:line="380" w:lineRule="atLeast"/>
              <w:ind w:firstLine="440" w:firstLineChars="200"/>
              <w:jc w:val="left"/>
              <w:textAlignment w:val="auto"/>
              <w:rPr>
                <w:rFonts w:hint="eastAsia" w:ascii="黑体" w:hAnsi="黑体" w:eastAsia="黑体" w:cs="黑体"/>
                <w:sz w:val="22"/>
                <w:szCs w:val="22"/>
              </w:rPr>
            </w:pPr>
            <w:r>
              <w:rPr>
                <w:rFonts w:hint="eastAsia" w:ascii="黑体" w:hAnsi="黑体" w:eastAsia="黑体" w:cs="黑体"/>
                <w:sz w:val="22"/>
                <w:szCs w:val="22"/>
              </w:rPr>
              <w:t>2、限制性</w:t>
            </w:r>
            <w:r>
              <w:rPr>
                <w:rFonts w:hint="eastAsia" w:ascii="黑体" w:hAnsi="黑体" w:eastAsia="黑体" w:cs="黑体"/>
                <w:sz w:val="22"/>
                <w:szCs w:val="22"/>
                <w:lang w:eastAsia="zh-CN"/>
              </w:rPr>
              <w:t>磋商</w:t>
            </w:r>
            <w:r>
              <w:rPr>
                <w:rFonts w:hint="eastAsia" w:ascii="黑体" w:hAnsi="黑体" w:eastAsia="黑体" w:cs="黑体"/>
                <w:sz w:val="22"/>
                <w:szCs w:val="22"/>
              </w:rPr>
              <w:t>要求</w:t>
            </w:r>
          </w:p>
          <w:p>
            <w:pPr>
              <w:keepNext w:val="0"/>
              <w:keepLines w:val="0"/>
              <w:pageBreakBefore w:val="0"/>
              <w:widowControl w:val="0"/>
              <w:kinsoku/>
              <w:wordWrap/>
              <w:overflowPunct/>
              <w:topLinePunct w:val="0"/>
              <w:autoSpaceDE/>
              <w:autoSpaceDN/>
              <w:bidi w:val="0"/>
              <w:spacing w:line="380" w:lineRule="atLeast"/>
              <w:ind w:firstLine="440" w:firstLineChars="200"/>
              <w:jc w:val="left"/>
              <w:textAlignment w:val="auto"/>
              <w:rPr>
                <w:rFonts w:hint="eastAsia" w:ascii="黑体" w:hAnsi="黑体" w:eastAsia="黑体" w:cs="黑体"/>
                <w:sz w:val="22"/>
                <w:szCs w:val="22"/>
              </w:rPr>
            </w:pPr>
            <w:r>
              <w:rPr>
                <w:rFonts w:hint="eastAsia" w:ascii="黑体" w:hAnsi="黑体" w:eastAsia="黑体" w:cs="黑体"/>
                <w:sz w:val="22"/>
                <w:szCs w:val="22"/>
              </w:rPr>
              <w:t>本项目</w:t>
            </w:r>
            <w:r>
              <w:rPr>
                <w:rFonts w:hint="eastAsia" w:ascii="黑体" w:hAnsi="黑体" w:eastAsia="黑体" w:cs="黑体"/>
                <w:sz w:val="22"/>
                <w:szCs w:val="22"/>
                <w:lang w:val="en-US" w:eastAsia="zh-CN"/>
              </w:rPr>
              <w:t>不</w:t>
            </w:r>
            <w:r>
              <w:rPr>
                <w:rFonts w:hint="eastAsia" w:ascii="黑体" w:hAnsi="黑体" w:eastAsia="黑体" w:cs="黑体"/>
                <w:sz w:val="22"/>
                <w:szCs w:val="22"/>
              </w:rPr>
              <w:t>接受联合体磋商，单位负责人为同一人或者存在直接控股、管理关系的不同供应商，不得参加同一合同项下的政府采购活动。</w:t>
            </w:r>
          </w:p>
          <w:p>
            <w:pPr>
              <w:pStyle w:val="2"/>
              <w:ind w:left="0" w:leftChars="0" w:firstLine="440" w:firstLineChars="200"/>
              <w:rPr>
                <w:rFonts w:hint="eastAsia" w:ascii="黑体" w:hAnsi="黑体" w:eastAsia="黑体" w:cs="黑体"/>
                <w:sz w:val="22"/>
                <w:szCs w:val="22"/>
              </w:rPr>
            </w:pPr>
            <w:r>
              <w:rPr>
                <w:rFonts w:hint="eastAsia" w:ascii="黑体" w:hAnsi="黑体" w:eastAsia="黑体" w:cs="黑体"/>
                <w:color w:val="auto"/>
                <w:sz w:val="22"/>
                <w:szCs w:val="22"/>
                <w:highlight w:val="none"/>
              </w:rPr>
              <w:t>除单一来源采购项目外，为采购项目提供过整体设计、规范编制或者项目管理、监理、检测等服务的供应商，不得再参加同一项目的其他采购活动。</w:t>
            </w:r>
          </w:p>
        </w:tc>
      </w:tr>
      <w:tr>
        <w:tblPrEx>
          <w:tblCellMar>
            <w:top w:w="0" w:type="dxa"/>
            <w:left w:w="108" w:type="dxa"/>
            <w:bottom w:w="0" w:type="dxa"/>
            <w:right w:w="108" w:type="dxa"/>
          </w:tblCellMar>
        </w:tblPrEx>
        <w:trPr>
          <w:trHeight w:val="567" w:hRule="atLeast"/>
          <w:jc w:val="center"/>
        </w:trPr>
        <w:tc>
          <w:tcPr>
            <w:tcW w:w="728" w:type="dxa"/>
            <w:tcBorders>
              <w:top w:val="single" w:color="auto" w:sz="4" w:space="0"/>
              <w:left w:val="single" w:color="auto" w:sz="4" w:space="0"/>
              <w:right w:val="single" w:color="000000" w:sz="4" w:space="0"/>
            </w:tcBorders>
            <w:noWrap/>
            <w:vAlign w:val="center"/>
          </w:tcPr>
          <w:p>
            <w:pPr>
              <w:jc w:val="center"/>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13</w:t>
            </w:r>
          </w:p>
        </w:tc>
        <w:tc>
          <w:tcPr>
            <w:tcW w:w="1665" w:type="dxa"/>
            <w:tcBorders>
              <w:top w:val="single" w:color="auto" w:sz="4" w:space="0"/>
              <w:left w:val="single" w:color="000000" w:sz="4" w:space="0"/>
              <w:bottom w:val="single" w:color="auto" w:sz="4" w:space="0"/>
              <w:right w:val="single" w:color="auto" w:sz="4" w:space="0"/>
            </w:tcBorders>
            <w:noWrap/>
            <w:vAlign w:val="center"/>
          </w:tcPr>
          <w:p>
            <w:pPr>
              <w:snapToGrid w:val="0"/>
              <w:jc w:val="center"/>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完成时间</w:t>
            </w:r>
          </w:p>
        </w:tc>
        <w:tc>
          <w:tcPr>
            <w:tcW w:w="755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黑体" w:hAnsi="黑体" w:eastAsia="黑体" w:cs="黑体"/>
                <w:b w:val="0"/>
                <w:color w:val="auto"/>
                <w:kern w:val="2"/>
                <w:sz w:val="22"/>
                <w:szCs w:val="22"/>
                <w:highlight w:val="none"/>
                <w:lang w:val="en-US"/>
              </w:rPr>
            </w:pPr>
            <w:r>
              <w:rPr>
                <w:rFonts w:hint="eastAsia" w:ascii="黑体" w:hAnsi="黑体" w:eastAsia="黑体" w:cs="黑体"/>
                <w:b w:val="0"/>
                <w:color w:val="auto"/>
                <w:kern w:val="2"/>
                <w:sz w:val="22"/>
                <w:szCs w:val="22"/>
                <w:highlight w:val="none"/>
                <w:lang w:val="en-US"/>
              </w:rPr>
              <w:t>2023年</w:t>
            </w:r>
            <w:r>
              <w:rPr>
                <w:rFonts w:hint="eastAsia" w:ascii="黑体" w:hAnsi="黑体" w:eastAsia="黑体" w:cs="黑体"/>
                <w:b w:val="0"/>
                <w:color w:val="auto"/>
                <w:kern w:val="2"/>
                <w:sz w:val="22"/>
                <w:szCs w:val="22"/>
                <w:highlight w:val="none"/>
                <w:lang w:val="en-US" w:eastAsia="zh-CN"/>
              </w:rPr>
              <w:t>4</w:t>
            </w:r>
            <w:r>
              <w:rPr>
                <w:rFonts w:hint="eastAsia" w:ascii="黑体" w:hAnsi="黑体" w:eastAsia="黑体" w:cs="黑体"/>
                <w:b w:val="0"/>
                <w:color w:val="auto"/>
                <w:kern w:val="2"/>
                <w:sz w:val="22"/>
                <w:szCs w:val="22"/>
                <w:highlight w:val="none"/>
                <w:lang w:val="en-US"/>
              </w:rPr>
              <w:t>月底前完成项目设计，</w:t>
            </w:r>
            <w:r>
              <w:rPr>
                <w:rFonts w:hint="eastAsia" w:ascii="黑体" w:hAnsi="黑体" w:eastAsia="黑体" w:cs="黑体"/>
                <w:b w:val="0"/>
                <w:color w:val="auto"/>
                <w:kern w:val="2"/>
                <w:sz w:val="22"/>
                <w:szCs w:val="22"/>
                <w:highlight w:val="none"/>
                <w:lang w:val="en-US" w:eastAsia="zh-CN"/>
              </w:rPr>
              <w:t>8</w:t>
            </w:r>
            <w:r>
              <w:rPr>
                <w:rFonts w:hint="eastAsia" w:ascii="黑体" w:hAnsi="黑体" w:eastAsia="黑体" w:cs="黑体"/>
                <w:b w:val="0"/>
                <w:color w:val="auto"/>
                <w:kern w:val="2"/>
                <w:sz w:val="22"/>
                <w:szCs w:val="22"/>
                <w:highlight w:val="none"/>
                <w:lang w:val="en-US"/>
              </w:rPr>
              <w:t>月底前完成野外工作，12月底前提交成果。</w:t>
            </w:r>
          </w:p>
        </w:tc>
      </w:tr>
      <w:tr>
        <w:tblPrEx>
          <w:tblCellMar>
            <w:top w:w="0" w:type="dxa"/>
            <w:left w:w="108" w:type="dxa"/>
            <w:bottom w:w="0" w:type="dxa"/>
            <w:right w:w="108" w:type="dxa"/>
          </w:tblCellMar>
        </w:tblPrEx>
        <w:trPr>
          <w:trHeight w:val="4877"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14</w:t>
            </w:r>
          </w:p>
        </w:tc>
        <w:tc>
          <w:tcPr>
            <w:tcW w:w="1665"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相关费用及要求</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1、本项目由成交供应商向采购代理机构</w:t>
            </w:r>
            <w:r>
              <w:rPr>
                <w:rFonts w:hint="eastAsia" w:ascii="黑体" w:hAnsi="黑体" w:eastAsia="黑体" w:cs="黑体"/>
                <w:color w:val="auto"/>
                <w:sz w:val="22"/>
                <w:szCs w:val="22"/>
                <w:highlight w:val="none"/>
                <w:lang w:eastAsia="zh-CN"/>
              </w:rPr>
              <w:t>交纳</w:t>
            </w:r>
            <w:r>
              <w:rPr>
                <w:rFonts w:hint="eastAsia" w:ascii="黑体" w:hAnsi="黑体" w:eastAsia="黑体" w:cs="黑体"/>
                <w:color w:val="auto"/>
                <w:sz w:val="22"/>
                <w:szCs w:val="22"/>
                <w:highlight w:val="none"/>
              </w:rPr>
              <w:t>采购代理服务费，采购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收取，此服务费供应商可考虑在总报价中，采购人不再另行支付，服务费具体金额后续见本项目采购结果公告。</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2、采购代理服务费的</w:t>
            </w:r>
            <w:r>
              <w:rPr>
                <w:rFonts w:hint="eastAsia" w:ascii="黑体" w:hAnsi="黑体" w:eastAsia="黑体" w:cs="黑体"/>
                <w:color w:val="auto"/>
                <w:sz w:val="22"/>
                <w:szCs w:val="22"/>
                <w:highlight w:val="none"/>
                <w:lang w:eastAsia="zh-CN"/>
              </w:rPr>
              <w:t>交纳</w:t>
            </w:r>
            <w:r>
              <w:rPr>
                <w:rFonts w:hint="eastAsia" w:ascii="黑体" w:hAnsi="黑体" w:eastAsia="黑体" w:cs="黑体"/>
                <w:color w:val="auto"/>
                <w:sz w:val="22"/>
                <w:szCs w:val="22"/>
                <w:highlight w:val="none"/>
              </w:rPr>
              <w:t>方式：在领取《成交通知书》时向采购代理机构一次性全额</w:t>
            </w:r>
            <w:r>
              <w:rPr>
                <w:rFonts w:hint="eastAsia" w:ascii="黑体" w:hAnsi="黑体" w:eastAsia="黑体" w:cs="黑体"/>
                <w:color w:val="auto"/>
                <w:sz w:val="22"/>
                <w:szCs w:val="22"/>
                <w:highlight w:val="none"/>
                <w:lang w:eastAsia="zh-CN"/>
              </w:rPr>
              <w:t>交纳</w:t>
            </w:r>
            <w:r>
              <w:rPr>
                <w:rFonts w:hint="eastAsia" w:ascii="黑体" w:hAnsi="黑体" w:eastAsia="黑体" w:cs="黑体"/>
                <w:color w:val="auto"/>
                <w:sz w:val="22"/>
                <w:szCs w:val="22"/>
                <w:highlight w:val="none"/>
              </w:rPr>
              <w:t>采购代理服务费。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3、采购代理服务费以转账形式</w:t>
            </w:r>
            <w:r>
              <w:rPr>
                <w:rFonts w:hint="eastAsia" w:ascii="黑体" w:hAnsi="黑体" w:eastAsia="黑体" w:cs="黑体"/>
                <w:color w:val="auto"/>
                <w:sz w:val="22"/>
                <w:szCs w:val="22"/>
                <w:highlight w:val="none"/>
                <w:lang w:eastAsia="zh-CN"/>
              </w:rPr>
              <w:t>交纳</w:t>
            </w:r>
            <w:r>
              <w:rPr>
                <w:rFonts w:hint="eastAsia" w:ascii="黑体" w:hAnsi="黑体" w:eastAsia="黑体" w:cs="黑体"/>
                <w:color w:val="auto"/>
                <w:sz w:val="22"/>
                <w:szCs w:val="22"/>
                <w:highlight w:val="none"/>
              </w:rPr>
              <w:t>至以下账户：</w:t>
            </w:r>
          </w:p>
          <w:p>
            <w:pPr>
              <w:keepNext w:val="0"/>
              <w:keepLines w:val="0"/>
              <w:pageBreakBefore w:val="0"/>
              <w:widowControl w:val="0"/>
              <w:kinsoku/>
              <w:wordWrap/>
              <w:overflowPunct/>
              <w:topLinePunct w:val="0"/>
              <w:autoSpaceDE/>
              <w:autoSpaceDN/>
              <w:bidi w:val="0"/>
              <w:snapToGrid w:val="0"/>
              <w:spacing w:line="288" w:lineRule="auto"/>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账户名称：同正项目管理有限公司汉中分公司</w:t>
            </w:r>
          </w:p>
          <w:p>
            <w:pPr>
              <w:keepNext w:val="0"/>
              <w:keepLines w:val="0"/>
              <w:pageBreakBefore w:val="0"/>
              <w:widowControl w:val="0"/>
              <w:kinsoku/>
              <w:wordWrap/>
              <w:overflowPunct/>
              <w:topLinePunct w:val="0"/>
              <w:autoSpaceDE/>
              <w:autoSpaceDN/>
              <w:bidi w:val="0"/>
              <w:snapToGrid w:val="0"/>
              <w:spacing w:line="288" w:lineRule="auto"/>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 xml:space="preserve">开户银行：中国建设银行股份有限公司汉中北环路支行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账    号：6105 0165 5200 0000 0101</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eastAsia="zh-CN"/>
              </w:rPr>
              <w:t>汇款备注：略阳县黑河镇地质灾害风险调查评价项目</w:t>
            </w:r>
          </w:p>
        </w:tc>
      </w:tr>
      <w:tr>
        <w:tblPrEx>
          <w:tblCellMar>
            <w:top w:w="0" w:type="dxa"/>
            <w:left w:w="108" w:type="dxa"/>
            <w:bottom w:w="0" w:type="dxa"/>
            <w:right w:w="108" w:type="dxa"/>
          </w:tblCellMar>
        </w:tblPrEx>
        <w:trPr>
          <w:trHeight w:val="1385" w:hRule="atLeast"/>
          <w:jc w:val="center"/>
        </w:trPr>
        <w:tc>
          <w:tcPr>
            <w:tcW w:w="728"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15</w:t>
            </w:r>
          </w:p>
        </w:tc>
        <w:tc>
          <w:tcPr>
            <w:tcW w:w="1665"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落实中小企业政府采购政策</w:t>
            </w:r>
          </w:p>
        </w:tc>
        <w:tc>
          <w:tcPr>
            <w:tcW w:w="7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非专门面向中小企业采购项目(价格扣除)：对小型和微型企业提供服务的价格给予10%—20%的扣除，用扣除后的价格参与评审。</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本项目的扣除比例为：扣除10%。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本项目属性为：服务类</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本项目采购标的所属行业为：其他未列明行业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sz w:val="22"/>
                <w:szCs w:val="22"/>
                <w:highlight w:val="none"/>
                <w:lang w:val="en-US" w:eastAsia="zh-CN"/>
              </w:rPr>
              <w:t>（划型标准：从业人员300人以下的为中小微型企业。其中，从业人员100人及以上的为中型企业；从业人员10人及以上的为小型企业；从业人员10人以下的为微型企业。 ）</w:t>
            </w:r>
          </w:p>
        </w:tc>
      </w:tr>
    </w:tbl>
    <w:p>
      <w:pPr>
        <w:pStyle w:val="24"/>
        <w:spacing w:line="360" w:lineRule="auto"/>
        <w:ind w:left="0" w:leftChars="0" w:firstLine="0" w:firstLineChars="0"/>
        <w:rPr>
          <w:rFonts w:hint="eastAsia" w:ascii="黑体" w:hAnsi="黑体" w:eastAsia="黑体" w:cs="黑体"/>
          <w:b/>
          <w:bCs/>
          <w:color w:val="auto"/>
          <w:sz w:val="24"/>
          <w:szCs w:val="24"/>
          <w:highlight w:val="none"/>
        </w:rPr>
      </w:pPr>
    </w:p>
    <w:tbl>
      <w:tblPr>
        <w:tblStyle w:val="2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23"/>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tcPr>
          <w:p>
            <w:pPr>
              <w:pStyle w:val="6"/>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序号</w:t>
            </w:r>
          </w:p>
        </w:tc>
        <w:tc>
          <w:tcPr>
            <w:tcW w:w="1923" w:type="dxa"/>
            <w:noWrap/>
          </w:tcPr>
          <w:p>
            <w:pPr>
              <w:pStyle w:val="6"/>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工作内容</w:t>
            </w:r>
          </w:p>
        </w:tc>
        <w:tc>
          <w:tcPr>
            <w:tcW w:w="7261" w:type="dxa"/>
            <w:noWrap/>
            <w:vAlign w:val="center"/>
          </w:tcPr>
          <w:p>
            <w:pPr>
              <w:pStyle w:val="6"/>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9"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1923"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发布公告</w:t>
            </w:r>
          </w:p>
        </w:tc>
        <w:tc>
          <w:tcPr>
            <w:tcW w:w="7261" w:type="dxa"/>
            <w:noWrap/>
            <w:vAlign w:val="center"/>
          </w:tcPr>
          <w:p>
            <w:pPr>
              <w:pStyle w:val="6"/>
              <w:keepNext w:val="0"/>
              <w:keepLines w:val="0"/>
              <w:pageBreakBefore w:val="0"/>
              <w:widowControl w:val="0"/>
              <w:kinsoku/>
              <w:wordWrap/>
              <w:overflowPunct/>
              <w:topLinePunct w:val="0"/>
              <w:autoSpaceDE/>
              <w:autoSpaceDN/>
              <w:bidi w:val="0"/>
              <w:adjustRightInd w:val="0"/>
              <w:snapToGrid w:val="0"/>
              <w:spacing w:line="276" w:lineRule="auto"/>
              <w:ind w:right="0" w:rightChars="0" w:firstLine="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发布时间：202</w:t>
            </w: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rPr>
              <w:t>年</w:t>
            </w:r>
            <w:r>
              <w:rPr>
                <w:rFonts w:hint="eastAsia" w:ascii="黑体" w:hAnsi="黑体" w:eastAsia="黑体" w:cs="黑体"/>
                <w:color w:val="auto"/>
                <w:sz w:val="22"/>
                <w:szCs w:val="22"/>
                <w:highlight w:val="none"/>
                <w:lang w:val="en-US" w:eastAsia="zh-CN"/>
              </w:rPr>
              <w:t>03</w:t>
            </w:r>
            <w:r>
              <w:rPr>
                <w:rFonts w:hint="eastAsia" w:ascii="黑体" w:hAnsi="黑体" w:eastAsia="黑体" w:cs="黑体"/>
                <w:color w:val="auto"/>
                <w:sz w:val="22"/>
                <w:szCs w:val="22"/>
                <w:highlight w:val="none"/>
              </w:rPr>
              <w:t>月</w:t>
            </w:r>
            <w:r>
              <w:rPr>
                <w:rFonts w:hint="eastAsia" w:ascii="黑体" w:hAnsi="黑体" w:eastAsia="黑体" w:cs="黑体"/>
                <w:color w:val="auto"/>
                <w:sz w:val="22"/>
                <w:szCs w:val="22"/>
                <w:highlight w:val="none"/>
                <w:lang w:val="en-US" w:eastAsia="zh-CN"/>
              </w:rPr>
              <w:t>10</w:t>
            </w:r>
            <w:r>
              <w:rPr>
                <w:rFonts w:hint="eastAsia" w:ascii="黑体" w:hAnsi="黑体" w:eastAsia="黑体" w:cs="黑体"/>
                <w:color w:val="auto"/>
                <w:sz w:val="22"/>
                <w:szCs w:val="22"/>
                <w:highlight w:val="none"/>
              </w:rPr>
              <w:t>日</w:t>
            </w:r>
          </w:p>
          <w:p>
            <w:pPr>
              <w:pStyle w:val="6"/>
              <w:keepNext w:val="0"/>
              <w:keepLines w:val="0"/>
              <w:pageBreakBefore w:val="0"/>
              <w:widowControl w:val="0"/>
              <w:kinsoku/>
              <w:wordWrap/>
              <w:overflowPunct/>
              <w:topLinePunct w:val="0"/>
              <w:autoSpaceDE/>
              <w:autoSpaceDN/>
              <w:bidi w:val="0"/>
              <w:adjustRightInd w:val="0"/>
              <w:snapToGrid w:val="0"/>
              <w:spacing w:line="276" w:lineRule="auto"/>
              <w:ind w:right="0" w:rightChars="0" w:firstLine="0"/>
              <w:textAlignment w:val="auto"/>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公告媒体：</w:t>
            </w:r>
            <w:r>
              <w:rPr>
                <w:rFonts w:hint="eastAsia" w:ascii="黑体" w:hAnsi="黑体" w:eastAsia="黑体" w:cs="黑体"/>
                <w:color w:val="auto"/>
                <w:sz w:val="22"/>
                <w:szCs w:val="22"/>
                <w:highlight w:val="none"/>
                <w:lang w:eastAsia="zh-CN"/>
              </w:rPr>
              <w:t>陕西省政府采购网</w:t>
            </w:r>
          </w:p>
          <w:p>
            <w:pPr>
              <w:pStyle w:val="6"/>
              <w:keepNext w:val="0"/>
              <w:keepLines w:val="0"/>
              <w:pageBreakBefore w:val="0"/>
              <w:widowControl w:val="0"/>
              <w:kinsoku/>
              <w:wordWrap/>
              <w:overflowPunct/>
              <w:topLinePunct w:val="0"/>
              <w:autoSpaceDE/>
              <w:autoSpaceDN/>
              <w:bidi w:val="0"/>
              <w:adjustRightInd w:val="0"/>
              <w:snapToGrid w:val="0"/>
              <w:ind w:right="0" w:rightChars="0" w:firstLine="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19"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1923"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竞争性磋商文件发售</w:t>
            </w:r>
          </w:p>
        </w:tc>
        <w:tc>
          <w:tcPr>
            <w:tcW w:w="7261" w:type="dxa"/>
            <w:noWrap/>
            <w:vAlign w:val="center"/>
          </w:tcPr>
          <w:p>
            <w:pPr>
              <w:pStyle w:val="6"/>
              <w:spacing w:beforeLines="50" w:line="240"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竞争性磋商文件发售：</w:t>
            </w:r>
            <w:r>
              <w:rPr>
                <w:rFonts w:hint="eastAsia" w:ascii="黑体" w:hAnsi="黑体" w:eastAsia="黑体" w:cs="黑体"/>
                <w:i w:val="0"/>
                <w:iCs w:val="0"/>
                <w:caps w:val="0"/>
                <w:color w:val="auto"/>
                <w:spacing w:val="0"/>
                <w:sz w:val="22"/>
                <w:szCs w:val="22"/>
                <w:shd w:val="clear" w:fill="FFFFFF"/>
              </w:rPr>
              <w:t>2023年</w:t>
            </w:r>
            <w:r>
              <w:rPr>
                <w:rFonts w:hint="eastAsia" w:ascii="黑体" w:hAnsi="黑体" w:eastAsia="黑体" w:cs="黑体"/>
                <w:i w:val="0"/>
                <w:iCs w:val="0"/>
                <w:caps w:val="0"/>
                <w:color w:val="auto"/>
                <w:spacing w:val="0"/>
                <w:sz w:val="22"/>
                <w:szCs w:val="22"/>
                <w:shd w:val="clear" w:fill="FFFFFF"/>
                <w:lang w:val="en-US" w:eastAsia="zh-CN"/>
              </w:rPr>
              <w:t>03</w:t>
            </w:r>
            <w:r>
              <w:rPr>
                <w:rFonts w:hint="eastAsia" w:ascii="黑体" w:hAnsi="黑体" w:eastAsia="黑体" w:cs="黑体"/>
                <w:i w:val="0"/>
                <w:iCs w:val="0"/>
                <w:caps w:val="0"/>
                <w:color w:val="auto"/>
                <w:spacing w:val="0"/>
                <w:sz w:val="22"/>
                <w:szCs w:val="22"/>
                <w:shd w:val="clear" w:fill="FFFFFF"/>
              </w:rPr>
              <w:t>月1</w:t>
            </w:r>
            <w:r>
              <w:rPr>
                <w:rFonts w:hint="eastAsia" w:ascii="黑体" w:hAnsi="黑体" w:eastAsia="黑体" w:cs="黑体"/>
                <w:i w:val="0"/>
                <w:iCs w:val="0"/>
                <w:caps w:val="0"/>
                <w:color w:val="auto"/>
                <w:spacing w:val="0"/>
                <w:sz w:val="22"/>
                <w:szCs w:val="22"/>
                <w:shd w:val="clear" w:fill="FFFFFF"/>
                <w:lang w:val="en-US" w:eastAsia="zh-CN"/>
              </w:rPr>
              <w:t>3</w:t>
            </w:r>
            <w:r>
              <w:rPr>
                <w:rFonts w:hint="eastAsia" w:ascii="黑体" w:hAnsi="黑体" w:eastAsia="黑体" w:cs="黑体"/>
                <w:i w:val="0"/>
                <w:iCs w:val="0"/>
                <w:caps w:val="0"/>
                <w:color w:val="auto"/>
                <w:spacing w:val="0"/>
                <w:sz w:val="22"/>
                <w:szCs w:val="22"/>
                <w:shd w:val="clear" w:fill="FFFFFF"/>
              </w:rPr>
              <w:t>日至2023年0</w:t>
            </w:r>
            <w:r>
              <w:rPr>
                <w:rFonts w:hint="eastAsia" w:ascii="黑体" w:hAnsi="黑体" w:eastAsia="黑体" w:cs="黑体"/>
                <w:i w:val="0"/>
                <w:iCs w:val="0"/>
                <w:caps w:val="0"/>
                <w:color w:val="auto"/>
                <w:spacing w:val="0"/>
                <w:sz w:val="22"/>
                <w:szCs w:val="22"/>
                <w:shd w:val="clear" w:fill="FFFFFF"/>
                <w:lang w:val="en-US" w:eastAsia="zh-CN"/>
              </w:rPr>
              <w:t>3</w:t>
            </w:r>
            <w:r>
              <w:rPr>
                <w:rFonts w:hint="eastAsia" w:ascii="黑体" w:hAnsi="黑体" w:eastAsia="黑体" w:cs="黑体"/>
                <w:i w:val="0"/>
                <w:iCs w:val="0"/>
                <w:caps w:val="0"/>
                <w:color w:val="auto"/>
                <w:spacing w:val="0"/>
                <w:sz w:val="22"/>
                <w:szCs w:val="22"/>
                <w:shd w:val="clear" w:fill="FFFFFF"/>
              </w:rPr>
              <w:t>月</w:t>
            </w:r>
            <w:r>
              <w:rPr>
                <w:rFonts w:hint="eastAsia" w:ascii="黑体" w:hAnsi="黑体" w:eastAsia="黑体" w:cs="黑体"/>
                <w:i w:val="0"/>
                <w:iCs w:val="0"/>
                <w:caps w:val="0"/>
                <w:color w:val="auto"/>
                <w:spacing w:val="0"/>
                <w:sz w:val="22"/>
                <w:szCs w:val="22"/>
                <w:shd w:val="clear" w:fill="FFFFFF"/>
                <w:lang w:val="en-US" w:eastAsia="zh-CN"/>
              </w:rPr>
              <w:t>17</w:t>
            </w:r>
            <w:r>
              <w:rPr>
                <w:rFonts w:hint="eastAsia" w:ascii="黑体" w:hAnsi="黑体" w:eastAsia="黑体" w:cs="黑体"/>
                <w:i w:val="0"/>
                <w:iCs w:val="0"/>
                <w:caps w:val="0"/>
                <w:color w:val="auto"/>
                <w:spacing w:val="0"/>
                <w:sz w:val="22"/>
                <w:szCs w:val="22"/>
                <w:shd w:val="clear" w:fill="FFFFFF"/>
              </w:rPr>
              <w:t>日</w:t>
            </w:r>
            <w:r>
              <w:rPr>
                <w:rFonts w:hint="eastAsia" w:ascii="黑体" w:hAnsi="黑体" w:eastAsia="黑体" w:cs="黑体"/>
                <w:color w:val="auto"/>
                <w:sz w:val="22"/>
                <w:szCs w:val="22"/>
                <w:highlight w:val="none"/>
              </w:rPr>
              <w:t>（法定工作时间）</w:t>
            </w:r>
          </w:p>
          <w:p>
            <w:pPr>
              <w:pStyle w:val="6"/>
              <w:spacing w:line="240" w:lineRule="auto"/>
              <w:ind w:right="115" w:rightChars="55" w:firstLine="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发售地点：</w:t>
            </w:r>
            <w:r>
              <w:rPr>
                <w:rFonts w:hint="eastAsia" w:ascii="黑体" w:hAnsi="黑体" w:eastAsia="黑体" w:cs="黑体"/>
                <w:i w:val="0"/>
                <w:caps w:val="0"/>
                <w:color w:val="auto"/>
                <w:spacing w:val="0"/>
                <w:sz w:val="22"/>
                <w:szCs w:val="22"/>
                <w:highlight w:val="none"/>
                <w:shd w:val="clear" w:fill="FFFFFF"/>
                <w:vertAlign w:val="baseline"/>
                <w:lang w:eastAsia="zh-CN"/>
              </w:rPr>
              <w:t>汉中市汉台区前进西路中航尚街7号楼附3层</w:t>
            </w:r>
          </w:p>
          <w:p>
            <w:pPr>
              <w:pStyle w:val="6"/>
              <w:spacing w:line="240" w:lineRule="auto"/>
              <w:ind w:right="115" w:rightChars="55" w:firstLine="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联系人：</w:t>
            </w:r>
            <w:r>
              <w:rPr>
                <w:rFonts w:hint="eastAsia" w:ascii="黑体" w:hAnsi="黑体" w:eastAsia="黑体" w:cs="黑体"/>
                <w:color w:val="auto"/>
                <w:sz w:val="22"/>
                <w:szCs w:val="22"/>
                <w:highlight w:val="none"/>
                <w:lang w:val="en-US" w:eastAsia="zh-CN"/>
              </w:rPr>
              <w:t>杨</w:t>
            </w:r>
            <w:r>
              <w:rPr>
                <w:rFonts w:hint="eastAsia" w:ascii="黑体" w:hAnsi="黑体" w:eastAsia="黑体" w:cs="黑体"/>
                <w:color w:val="auto"/>
                <w:sz w:val="22"/>
                <w:szCs w:val="22"/>
                <w:highlight w:val="none"/>
                <w:lang w:eastAsia="zh-CN"/>
              </w:rPr>
              <w:t>女士</w:t>
            </w:r>
          </w:p>
          <w:p>
            <w:pPr>
              <w:pStyle w:val="6"/>
              <w:spacing w:afterLines="50" w:line="240" w:lineRule="auto"/>
              <w:ind w:right="115" w:rightChars="55" w:firstLine="0"/>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电  话：</w:t>
            </w:r>
            <w:r>
              <w:rPr>
                <w:rFonts w:hint="eastAsia" w:ascii="黑体" w:hAnsi="黑体" w:eastAsia="黑体" w:cs="黑体"/>
                <w:color w:val="auto"/>
                <w:sz w:val="22"/>
                <w:szCs w:val="22"/>
                <w:highlight w:val="none"/>
                <w:lang w:val="en-US" w:eastAsia="zh-CN"/>
              </w:rPr>
              <w:t>0916-8897702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9" w:type="dxa"/>
            <w:noWrap/>
            <w:vAlign w:val="top"/>
          </w:tcPr>
          <w:p>
            <w:pPr>
              <w:pStyle w:val="6"/>
              <w:spacing w:beforeLines="50" w:line="276" w:lineRule="auto"/>
              <w:ind w:firstLine="0"/>
              <w:jc w:val="center"/>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3</w:t>
            </w:r>
          </w:p>
        </w:tc>
        <w:tc>
          <w:tcPr>
            <w:tcW w:w="1923" w:type="dxa"/>
            <w:noWrap/>
            <w:vAlign w:val="top"/>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踏勘现场</w:t>
            </w:r>
          </w:p>
        </w:tc>
        <w:tc>
          <w:tcPr>
            <w:tcW w:w="7261" w:type="dxa"/>
            <w:noWrap/>
            <w:vAlign w:val="center"/>
          </w:tcPr>
          <w:p>
            <w:pPr>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本项目供应商可自行踏勘（采购代理机构不统一组织）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19"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w:t>
            </w:r>
          </w:p>
        </w:tc>
        <w:tc>
          <w:tcPr>
            <w:tcW w:w="1923"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答疑时间</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答疑时间：202</w:t>
            </w: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rPr>
              <w:t>年</w:t>
            </w:r>
            <w:r>
              <w:rPr>
                <w:rFonts w:hint="eastAsia" w:ascii="黑体" w:hAnsi="黑体" w:eastAsia="黑体" w:cs="黑体"/>
                <w:color w:val="auto"/>
                <w:sz w:val="22"/>
                <w:szCs w:val="22"/>
                <w:highlight w:val="none"/>
                <w:lang w:val="en-US" w:eastAsia="zh-CN"/>
              </w:rPr>
              <w:t>03</w:t>
            </w:r>
            <w:r>
              <w:rPr>
                <w:rFonts w:hint="eastAsia" w:ascii="黑体" w:hAnsi="黑体" w:eastAsia="黑体" w:cs="黑体"/>
                <w:color w:val="auto"/>
                <w:sz w:val="22"/>
                <w:szCs w:val="22"/>
                <w:highlight w:val="none"/>
              </w:rPr>
              <w:t>月</w:t>
            </w:r>
            <w:r>
              <w:rPr>
                <w:rFonts w:hint="eastAsia" w:ascii="黑体" w:hAnsi="黑体" w:eastAsia="黑体" w:cs="黑体"/>
                <w:color w:val="auto"/>
                <w:sz w:val="22"/>
                <w:szCs w:val="22"/>
                <w:highlight w:val="none"/>
                <w:lang w:val="en-US" w:eastAsia="zh-CN"/>
              </w:rPr>
              <w:t>17</w:t>
            </w:r>
            <w:r>
              <w:rPr>
                <w:rFonts w:hint="eastAsia" w:ascii="黑体" w:hAnsi="黑体" w:eastAsia="黑体" w:cs="黑体"/>
                <w:color w:val="auto"/>
                <w:sz w:val="22"/>
                <w:szCs w:val="22"/>
                <w:highlight w:val="none"/>
              </w:rPr>
              <w:t>日18时00分前（逾期者不再受理）；</w:t>
            </w:r>
          </w:p>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答疑递交方式：书面提交，</w:t>
            </w:r>
            <w:r>
              <w:rPr>
                <w:rFonts w:hint="eastAsia" w:ascii="黑体" w:hAnsi="黑体" w:eastAsia="黑体" w:cs="黑体"/>
                <w:color w:val="auto"/>
                <w:sz w:val="22"/>
                <w:szCs w:val="22"/>
              </w:rPr>
              <w:t>送</w:t>
            </w:r>
            <w:r>
              <w:rPr>
                <w:rFonts w:hint="eastAsia" w:ascii="黑体" w:hAnsi="黑体" w:eastAsia="黑体" w:cs="黑体"/>
                <w:color w:val="auto"/>
                <w:sz w:val="22"/>
                <w:szCs w:val="22"/>
                <w:lang w:val="en-US" w:eastAsia="zh-CN"/>
              </w:rPr>
              <w:t>至</w:t>
            </w:r>
            <w:r>
              <w:rPr>
                <w:rFonts w:hint="eastAsia" w:ascii="黑体" w:hAnsi="黑体" w:eastAsia="黑体" w:cs="黑体"/>
                <w:color w:val="auto"/>
                <w:sz w:val="22"/>
                <w:szCs w:val="22"/>
                <w:lang w:eastAsia="zh-CN"/>
              </w:rPr>
              <w:t>同正项目管理有限公司</w:t>
            </w:r>
            <w:r>
              <w:rPr>
                <w:rFonts w:hint="eastAsia" w:ascii="黑体" w:hAnsi="黑体" w:eastAsia="黑体" w:cs="黑体"/>
                <w:color w:val="auto"/>
                <w:sz w:val="22"/>
                <w:szCs w:val="22"/>
              </w:rPr>
              <w:t>招标代理部</w:t>
            </w:r>
            <w:r>
              <w:rPr>
                <w:rFonts w:hint="eastAsia" w:ascii="黑体" w:hAnsi="黑体" w:eastAsia="黑体" w:cs="黑体"/>
                <w:color w:val="auto"/>
                <w:sz w:val="22"/>
                <w:szCs w:val="22"/>
                <w:highlight w:val="none"/>
              </w:rPr>
              <w:t>(</w:t>
            </w:r>
            <w:r>
              <w:rPr>
                <w:rFonts w:hint="eastAsia" w:ascii="黑体" w:hAnsi="黑体" w:eastAsia="黑体" w:cs="黑体"/>
                <w:i w:val="0"/>
                <w:caps w:val="0"/>
                <w:color w:val="auto"/>
                <w:spacing w:val="0"/>
                <w:sz w:val="22"/>
                <w:szCs w:val="22"/>
                <w:highlight w:val="none"/>
                <w:shd w:val="clear" w:fill="FFFFFF"/>
                <w:vertAlign w:val="baseline"/>
                <w:lang w:eastAsia="zh-CN"/>
              </w:rPr>
              <w:t>汉中市汉台区前进西路中航尚街7号楼附3层</w:t>
            </w:r>
            <w:r>
              <w:rPr>
                <w:rFonts w:hint="eastAsia" w:ascii="黑体" w:hAnsi="黑体" w:eastAsia="黑体" w:cs="黑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19" w:type="dxa"/>
            <w:noWrap/>
            <w:vAlign w:val="center"/>
          </w:tcPr>
          <w:p>
            <w:pPr>
              <w:pStyle w:val="6"/>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p>
        </w:tc>
        <w:tc>
          <w:tcPr>
            <w:tcW w:w="1923" w:type="dxa"/>
            <w:noWrap/>
            <w:vAlign w:val="center"/>
          </w:tcPr>
          <w:p>
            <w:pPr>
              <w:pStyle w:val="6"/>
              <w:spacing w:line="276" w:lineRule="auto"/>
              <w:ind w:right="115" w:rightChars="55"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竞争性磋商文件澄清或修改时间</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澄清（修改）时间：磋商响应文件递交截至时间5日前；</w:t>
            </w:r>
          </w:p>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获取方式：采购代理机构书面通知所有</w:t>
            </w:r>
            <w:r>
              <w:rPr>
                <w:rFonts w:hint="eastAsia" w:ascii="黑体" w:hAnsi="黑体" w:eastAsia="黑体" w:cs="黑体"/>
                <w:color w:val="auto"/>
                <w:sz w:val="22"/>
                <w:szCs w:val="22"/>
                <w:highlight w:val="none"/>
                <w:lang w:val="en-US" w:eastAsia="zh-CN"/>
              </w:rPr>
              <w:t>获取磋商文件的</w:t>
            </w:r>
            <w:r>
              <w:rPr>
                <w:rFonts w:hint="eastAsia" w:ascii="黑体" w:hAnsi="黑体" w:eastAsia="黑体" w:cs="黑体"/>
                <w:color w:val="auto"/>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19" w:type="dxa"/>
            <w:noWrap/>
            <w:vAlign w:val="center"/>
          </w:tcPr>
          <w:p>
            <w:pPr>
              <w:pStyle w:val="6"/>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w:t>
            </w:r>
          </w:p>
        </w:tc>
        <w:tc>
          <w:tcPr>
            <w:tcW w:w="1923" w:type="dxa"/>
            <w:noWrap/>
            <w:vAlign w:val="center"/>
          </w:tcPr>
          <w:p>
            <w:pPr>
              <w:pStyle w:val="6"/>
              <w:spacing w:line="276" w:lineRule="auto"/>
              <w:ind w:right="115" w:rightChars="55" w:firstLine="0"/>
              <w:jc w:val="cente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磋商响应文件</w:t>
            </w:r>
          </w:p>
          <w:p>
            <w:pPr>
              <w:pStyle w:val="6"/>
              <w:spacing w:line="276" w:lineRule="auto"/>
              <w:ind w:right="115" w:rightChars="55"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递交截止时间</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磋商响应文件递交截止时间：2023年0</w:t>
            </w: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lang w:val="en-US" w:eastAsia="zh-CN"/>
              </w:rPr>
              <w:t>17</w:t>
            </w:r>
            <w:r>
              <w:rPr>
                <w:rFonts w:hint="eastAsia" w:ascii="黑体" w:hAnsi="黑体" w:eastAsia="黑体" w:cs="黑体"/>
                <w:color w:val="auto"/>
                <w:sz w:val="22"/>
                <w:szCs w:val="22"/>
                <w:highlight w:val="none"/>
                <w:lang w:val="zh-CN"/>
              </w:rPr>
              <w:t>日 14时30分00秒（北京时间），磋商截止时间后送达的磋商响应文件将被拒收。</w:t>
            </w:r>
          </w:p>
          <w:p>
            <w:pPr>
              <w:pStyle w:val="6"/>
              <w:spacing w:line="276" w:lineRule="auto"/>
              <w:ind w:right="115" w:rightChars="55" w:firstLine="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磋商响应文件递交地点：同正项目管理有限公司会议室</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eastAsia="zh-CN"/>
              </w:rPr>
              <w:t>汉中市汉台区前进西路中航尚街7号楼附3层</w:t>
            </w:r>
            <w:r>
              <w:rPr>
                <w:rFonts w:hint="eastAsia" w:ascii="黑体" w:hAnsi="黑体" w:eastAsia="黑体" w:cs="黑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9" w:type="dxa"/>
            <w:noWrap/>
            <w:vAlign w:val="center"/>
          </w:tcPr>
          <w:p>
            <w:pPr>
              <w:pStyle w:val="6"/>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w:t>
            </w:r>
          </w:p>
        </w:tc>
        <w:tc>
          <w:tcPr>
            <w:tcW w:w="1923" w:type="dxa"/>
            <w:noWrap/>
            <w:vAlign w:val="center"/>
          </w:tcPr>
          <w:p>
            <w:pPr>
              <w:pStyle w:val="6"/>
              <w:spacing w:line="276" w:lineRule="auto"/>
              <w:ind w:right="115" w:rightChars="55"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磋商保证金</w:t>
            </w:r>
          </w:p>
        </w:tc>
        <w:tc>
          <w:tcPr>
            <w:tcW w:w="7261" w:type="dxa"/>
            <w:noWrap/>
            <w:vAlign w:val="center"/>
          </w:tcPr>
          <w:p>
            <w:pPr>
              <w:pStyle w:val="6"/>
              <w:spacing w:line="276" w:lineRule="auto"/>
              <w:ind w:right="115" w:rightChars="55" w:firstLine="0"/>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本项目不设置投标保证金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19" w:type="dxa"/>
            <w:noWrap/>
            <w:vAlign w:val="center"/>
          </w:tcPr>
          <w:p>
            <w:pPr>
              <w:pStyle w:val="6"/>
              <w:spacing w:line="276" w:lineRule="auto"/>
              <w:ind w:firstLine="0"/>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8</w:t>
            </w:r>
          </w:p>
        </w:tc>
        <w:tc>
          <w:tcPr>
            <w:tcW w:w="1923" w:type="dxa"/>
            <w:noWrap/>
            <w:vAlign w:val="center"/>
          </w:tcPr>
          <w:p>
            <w:pPr>
              <w:snapToGrid w:val="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密封及封套注释</w:t>
            </w:r>
          </w:p>
        </w:tc>
        <w:tc>
          <w:tcPr>
            <w:tcW w:w="7261" w:type="dxa"/>
            <w:noWrap/>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文件的正本、副本要求各自分装密封（封袋不得有破损），同时在封口处加贴封条并在骑缝处加盖</w:t>
            </w: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rPr>
              <w:t>公章</w:t>
            </w:r>
            <w:r>
              <w:rPr>
                <w:rFonts w:hint="eastAsia" w:ascii="黑体" w:hAnsi="黑体" w:eastAsia="黑体" w:cs="黑体"/>
                <w:color w:val="auto"/>
                <w:sz w:val="22"/>
                <w:szCs w:val="22"/>
                <w:highlight w:val="none"/>
                <w:lang w:val="en-US" w:eastAsia="zh-CN"/>
              </w:rPr>
              <w:t>及法人章</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文件电子版U盘用信封包装后</w:t>
            </w:r>
            <w:r>
              <w:rPr>
                <w:rFonts w:hint="eastAsia" w:ascii="黑体" w:hAnsi="黑体" w:eastAsia="黑体" w:cs="黑体"/>
                <w:color w:val="auto"/>
                <w:kern w:val="1"/>
                <w:sz w:val="22"/>
                <w:szCs w:val="22"/>
                <w:highlight w:val="none"/>
              </w:rPr>
              <w:t>随</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封装</w:t>
            </w:r>
            <w:r>
              <w:rPr>
                <w:rFonts w:hint="eastAsia" w:ascii="黑体" w:hAnsi="黑体" w:eastAsia="黑体" w:cs="黑体"/>
                <w:color w:val="auto"/>
                <w:sz w:val="22"/>
                <w:szCs w:val="22"/>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288"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封套上应载明的信息：</w:t>
            </w: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项目名称及项目编号、采购人名称、</w:t>
            </w: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rPr>
              <w:t>名称，并注明“</w:t>
            </w:r>
            <w:r>
              <w:rPr>
                <w:rFonts w:hint="eastAsia" w:ascii="黑体" w:hAnsi="黑体" w:eastAsia="黑体" w:cs="黑体"/>
                <w:color w:val="auto"/>
                <w:sz w:val="22"/>
                <w:szCs w:val="22"/>
                <w:highlight w:val="none"/>
                <w:u w:val="single"/>
              </w:rPr>
              <w:t>正副本</w:t>
            </w:r>
            <w:r>
              <w:rPr>
                <w:rFonts w:hint="eastAsia" w:ascii="黑体" w:hAnsi="黑体" w:eastAsia="黑体" w:cs="黑体"/>
                <w:color w:val="auto"/>
                <w:sz w:val="22"/>
                <w:szCs w:val="22"/>
                <w:highlight w:val="none"/>
              </w:rPr>
              <w:t>”及“</w:t>
            </w:r>
            <w:r>
              <w:rPr>
                <w:rFonts w:hint="eastAsia" w:ascii="黑体" w:hAnsi="黑体" w:eastAsia="黑体" w:cs="黑体"/>
                <w:color w:val="auto"/>
                <w:sz w:val="22"/>
                <w:szCs w:val="22"/>
                <w:highlight w:val="none"/>
                <w:u w:val="single"/>
              </w:rPr>
              <w:t>在    年  月  日  时  分前不得开启</w:t>
            </w:r>
            <w:r>
              <w:rPr>
                <w:rFonts w:hint="eastAsia" w:ascii="黑体" w:hAnsi="黑体" w:eastAsia="黑体" w:cs="黑体"/>
                <w:color w:val="auto"/>
                <w:sz w:val="22"/>
                <w:szCs w:val="22"/>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9" w:type="dxa"/>
            <w:noWrap/>
            <w:vAlign w:val="center"/>
          </w:tcPr>
          <w:p>
            <w:pPr>
              <w:pStyle w:val="6"/>
              <w:spacing w:line="276" w:lineRule="auto"/>
              <w:ind w:firstLine="0" w:firstLineChars="0"/>
              <w:jc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9</w:t>
            </w:r>
          </w:p>
        </w:tc>
        <w:tc>
          <w:tcPr>
            <w:tcW w:w="1923" w:type="dxa"/>
            <w:noWrap/>
            <w:vAlign w:val="center"/>
          </w:tcPr>
          <w:p>
            <w:pPr>
              <w:pStyle w:val="6"/>
              <w:spacing w:line="276" w:lineRule="auto"/>
              <w:ind w:right="115" w:rightChars="55" w:firstLine="0" w:firstLineChars="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时间和地点</w:t>
            </w:r>
          </w:p>
        </w:tc>
        <w:tc>
          <w:tcPr>
            <w:tcW w:w="7261" w:type="dxa"/>
            <w:noWrap/>
            <w:vAlign w:val="top"/>
          </w:tcPr>
          <w:p>
            <w:pPr>
              <w:pStyle w:val="6"/>
              <w:spacing w:line="276" w:lineRule="auto"/>
              <w:ind w:right="115" w:rightChars="55" w:firstLine="0" w:firstLineChars="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时间：</w:t>
            </w:r>
            <w:r>
              <w:rPr>
                <w:rFonts w:hint="eastAsia" w:ascii="黑体" w:hAnsi="黑体" w:eastAsia="黑体" w:cs="黑体"/>
                <w:color w:val="auto"/>
                <w:sz w:val="22"/>
                <w:szCs w:val="22"/>
                <w:highlight w:val="none"/>
                <w:lang w:val="zh-CN"/>
              </w:rPr>
              <w:t>2023年0</w:t>
            </w: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lang w:val="en-US" w:eastAsia="zh-CN"/>
              </w:rPr>
              <w:t>24</w:t>
            </w:r>
            <w:r>
              <w:rPr>
                <w:rFonts w:hint="eastAsia" w:ascii="黑体" w:hAnsi="黑体" w:eastAsia="黑体" w:cs="黑体"/>
                <w:color w:val="auto"/>
                <w:sz w:val="22"/>
                <w:szCs w:val="22"/>
                <w:highlight w:val="none"/>
                <w:lang w:val="zh-CN"/>
              </w:rPr>
              <w:t>日 14时30分00秒</w:t>
            </w:r>
          </w:p>
          <w:p>
            <w:pPr>
              <w:pStyle w:val="6"/>
              <w:spacing w:line="276" w:lineRule="auto"/>
              <w:ind w:right="115" w:rightChars="55" w:firstLine="0" w:firstLineChars="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 xml:space="preserve">地点: </w:t>
            </w:r>
            <w:r>
              <w:rPr>
                <w:rFonts w:hint="eastAsia" w:ascii="黑体" w:hAnsi="黑体" w:eastAsia="黑体" w:cs="黑体"/>
                <w:color w:val="auto"/>
                <w:sz w:val="22"/>
                <w:szCs w:val="22"/>
                <w:highlight w:val="none"/>
                <w:lang w:eastAsia="zh-CN"/>
              </w:rPr>
              <w:t>同正项目管理有限公司</w:t>
            </w:r>
            <w:r>
              <w:rPr>
                <w:rFonts w:hint="eastAsia" w:ascii="黑体" w:hAnsi="黑体" w:eastAsia="黑体" w:cs="黑体"/>
                <w:color w:val="auto"/>
                <w:sz w:val="22"/>
                <w:szCs w:val="22"/>
                <w:highlight w:val="none"/>
              </w:rPr>
              <w:t>会议室(</w:t>
            </w:r>
            <w:r>
              <w:rPr>
                <w:rFonts w:hint="eastAsia" w:ascii="黑体" w:hAnsi="黑体" w:eastAsia="黑体" w:cs="黑体"/>
                <w:color w:val="auto"/>
                <w:sz w:val="22"/>
                <w:szCs w:val="22"/>
                <w:highlight w:val="none"/>
                <w:lang w:eastAsia="zh-CN"/>
              </w:rPr>
              <w:t>汉中市汉台区前进西路中航尚街7号楼附3层</w:t>
            </w:r>
            <w:r>
              <w:rPr>
                <w:rFonts w:hint="eastAsia" w:ascii="黑体" w:hAnsi="黑体" w:eastAsia="黑体" w:cs="黑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9" w:type="dxa"/>
            <w:noWrap/>
            <w:vAlign w:val="center"/>
          </w:tcPr>
          <w:p>
            <w:pPr>
              <w:pStyle w:val="6"/>
              <w:spacing w:line="276" w:lineRule="auto"/>
              <w:ind w:firstLine="0" w:firstLineChars="0"/>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10</w:t>
            </w:r>
          </w:p>
        </w:tc>
        <w:tc>
          <w:tcPr>
            <w:tcW w:w="1923" w:type="dxa"/>
            <w:noWrap/>
            <w:vAlign w:val="center"/>
          </w:tcPr>
          <w:p>
            <w:pPr>
              <w:pStyle w:val="6"/>
              <w:spacing w:line="276" w:lineRule="auto"/>
              <w:ind w:right="115" w:rightChars="55" w:firstLine="0" w:firstLineChars="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采购结果公告</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成交公告发布时间：在确定成交供应商后2个工作日内</w:t>
            </w:r>
          </w:p>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公告期限：1个工作日</w:t>
            </w:r>
          </w:p>
          <w:p>
            <w:pPr>
              <w:pStyle w:val="6"/>
              <w:spacing w:line="276" w:lineRule="auto"/>
              <w:ind w:right="115" w:rightChars="55" w:firstLine="0" w:firstLineChars="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公告媒体：</w:t>
            </w:r>
            <w:r>
              <w:rPr>
                <w:rFonts w:hint="eastAsia" w:ascii="黑体" w:hAnsi="黑体" w:eastAsia="黑体" w:cs="黑体"/>
                <w:color w:val="auto"/>
                <w:sz w:val="22"/>
                <w:szCs w:val="22"/>
                <w:highlight w:val="none"/>
                <w:lang w:eastAsia="zh-CN"/>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9" w:type="dxa"/>
            <w:noWrap/>
            <w:vAlign w:val="center"/>
          </w:tcPr>
          <w:p>
            <w:pPr>
              <w:pStyle w:val="6"/>
              <w:spacing w:line="276" w:lineRule="auto"/>
              <w:ind w:firstLine="0" w:firstLineChars="0"/>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11</w:t>
            </w:r>
          </w:p>
        </w:tc>
        <w:tc>
          <w:tcPr>
            <w:tcW w:w="1923" w:type="dxa"/>
            <w:noWrap/>
            <w:vAlign w:val="center"/>
          </w:tcPr>
          <w:p>
            <w:pPr>
              <w:pStyle w:val="6"/>
              <w:spacing w:line="276" w:lineRule="auto"/>
              <w:ind w:right="115" w:rightChars="55" w:firstLine="0" w:firstLineChars="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成交通知书</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发放时间：发布本项目采购结果公告同时向成交供应商发出成交通知书</w:t>
            </w:r>
          </w:p>
          <w:p>
            <w:pPr>
              <w:pStyle w:val="6"/>
              <w:spacing w:line="276" w:lineRule="auto"/>
              <w:ind w:right="115" w:rightChars="55" w:firstLine="0" w:firstLineChars="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发放方式：书面发放</w:t>
            </w:r>
            <w:r>
              <w:rPr>
                <w:rFonts w:hint="eastAsia" w:ascii="黑体" w:hAnsi="黑体" w:eastAsia="黑体" w:cs="黑体"/>
                <w:color w:val="auto"/>
                <w:sz w:val="22"/>
                <w:szCs w:val="22"/>
                <w:highlight w:val="none"/>
                <w:lang w:val="en-US" w:eastAsia="zh-CN"/>
              </w:rPr>
              <w:t>至</w:t>
            </w:r>
            <w:r>
              <w:rPr>
                <w:rFonts w:hint="eastAsia" w:ascii="黑体" w:hAnsi="黑体" w:eastAsia="黑体" w:cs="黑体"/>
                <w:color w:val="auto"/>
                <w:sz w:val="22"/>
                <w:szCs w:val="22"/>
                <w:highlight w:val="none"/>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9" w:type="dxa"/>
            <w:noWrap/>
            <w:vAlign w:val="center"/>
          </w:tcPr>
          <w:p>
            <w:pPr>
              <w:pStyle w:val="6"/>
              <w:spacing w:line="276" w:lineRule="auto"/>
              <w:ind w:firstLine="0" w:firstLineChars="0"/>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12</w:t>
            </w:r>
          </w:p>
        </w:tc>
        <w:tc>
          <w:tcPr>
            <w:tcW w:w="1923" w:type="dxa"/>
            <w:noWrap/>
            <w:vAlign w:val="center"/>
          </w:tcPr>
          <w:p>
            <w:pPr>
              <w:pStyle w:val="6"/>
              <w:spacing w:line="276" w:lineRule="auto"/>
              <w:ind w:right="115" w:rightChars="55" w:firstLine="0" w:firstLineChars="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签订合同</w:t>
            </w:r>
          </w:p>
        </w:tc>
        <w:tc>
          <w:tcPr>
            <w:tcW w:w="7261" w:type="dxa"/>
            <w:noWrap/>
            <w:vAlign w:val="center"/>
          </w:tcPr>
          <w:p>
            <w:pPr>
              <w:pStyle w:val="6"/>
              <w:spacing w:line="276"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签订时间：在成交通知书发出之日起30日内</w:t>
            </w:r>
          </w:p>
          <w:p>
            <w:pPr>
              <w:pStyle w:val="6"/>
              <w:spacing w:line="276" w:lineRule="auto"/>
              <w:ind w:right="115" w:rightChars="55" w:firstLine="0" w:firstLineChars="0"/>
              <w:rPr>
                <w:rFonts w:hint="default"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rPr>
              <w:t>签订地点：</w:t>
            </w:r>
            <w:r>
              <w:rPr>
                <w:rFonts w:hint="eastAsia" w:ascii="黑体" w:hAnsi="黑体" w:eastAsia="黑体" w:cs="黑体"/>
                <w:color w:val="auto"/>
                <w:sz w:val="22"/>
                <w:szCs w:val="22"/>
                <w:highlight w:val="none"/>
                <w:lang w:val="en-US" w:eastAsia="zh-CN"/>
              </w:rPr>
              <w:t>略阳县地质环境监测站</w:t>
            </w:r>
          </w:p>
        </w:tc>
      </w:tr>
    </w:tbl>
    <w:p>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黑体" w:hAnsi="黑体" w:eastAsia="黑体" w:cs="黑体"/>
          <w:color w:val="auto"/>
          <w:sz w:val="22"/>
          <w:szCs w:val="22"/>
        </w:rPr>
      </w:pPr>
      <w:r>
        <w:rPr>
          <w:rFonts w:hint="eastAsia" w:ascii="黑体" w:hAnsi="黑体" w:eastAsia="黑体" w:cs="黑体"/>
          <w:color w:val="auto"/>
          <w:sz w:val="22"/>
          <w:szCs w:val="22"/>
          <w:highlight w:val="none"/>
        </w:rPr>
        <w:t>注：供应商须知前附表与磋商文件正文不一致的以供应商须知前附表为准。</w:t>
      </w:r>
    </w:p>
    <w:p>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一、总则</w:t>
      </w:r>
    </w:p>
    <w:p>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1、释义</w:t>
      </w:r>
    </w:p>
    <w:p>
      <w:pPr>
        <w:keepNext w:val="0"/>
        <w:keepLines w:val="0"/>
        <w:pageBreakBefore w:val="0"/>
        <w:kinsoku w:val="0"/>
        <w:wordWrap/>
        <w:overflowPunct/>
        <w:topLinePunct w:val="0"/>
        <w:autoSpaceDE/>
        <w:autoSpaceDN/>
        <w:bidi w:val="0"/>
        <w:adjustRightInd w:val="0"/>
        <w:snapToGrid w:val="0"/>
        <w:spacing w:line="360" w:lineRule="auto"/>
        <w:ind w:firstLine="440" w:firstLineChars="200"/>
        <w:textAlignment w:val="auto"/>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1.1、采   购   人：</w:t>
      </w:r>
      <w:r>
        <w:rPr>
          <w:rFonts w:hint="eastAsia" w:ascii="黑体" w:hAnsi="黑体" w:eastAsia="黑体" w:cs="黑体"/>
          <w:color w:val="auto"/>
          <w:sz w:val="22"/>
          <w:szCs w:val="22"/>
          <w:highlight w:val="none"/>
          <w:lang w:val="en-US" w:eastAsia="zh-CN"/>
        </w:rPr>
        <w:t>略阳县地质环境监测站</w:t>
      </w:r>
    </w:p>
    <w:p>
      <w:pPr>
        <w:keepNext w:val="0"/>
        <w:keepLines w:val="0"/>
        <w:pageBreakBefore w:val="0"/>
        <w:tabs>
          <w:tab w:val="left" w:pos="980"/>
        </w:tabs>
        <w:kinsoku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1.2、采购代理机构：</w:t>
      </w:r>
      <w:r>
        <w:rPr>
          <w:rFonts w:hint="eastAsia" w:ascii="黑体" w:hAnsi="黑体" w:eastAsia="黑体" w:cs="黑体"/>
          <w:color w:val="auto"/>
          <w:sz w:val="22"/>
          <w:szCs w:val="22"/>
          <w:highlight w:val="none"/>
          <w:lang w:eastAsia="zh-CN"/>
        </w:rPr>
        <w:t>同正项目管理有限公司</w:t>
      </w:r>
    </w:p>
    <w:p>
      <w:pPr>
        <w:keepNext w:val="0"/>
        <w:keepLines w:val="0"/>
        <w:pageBreakBefore w:val="0"/>
        <w:tabs>
          <w:tab w:val="left" w:pos="980"/>
        </w:tabs>
        <w:kinsoku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1.3、监督管理部门：</w:t>
      </w:r>
      <w:r>
        <w:rPr>
          <w:rFonts w:hint="eastAsia" w:ascii="黑体" w:hAnsi="黑体" w:eastAsia="黑体" w:cs="黑体"/>
          <w:color w:val="auto"/>
          <w:sz w:val="22"/>
          <w:szCs w:val="22"/>
          <w:highlight w:val="none"/>
          <w:lang w:val="en-US" w:eastAsia="zh-CN"/>
        </w:rPr>
        <w:t>略阳县财政局</w:t>
      </w:r>
    </w:p>
    <w:p>
      <w:pPr>
        <w:pStyle w:val="26"/>
        <w:keepNext w:val="0"/>
        <w:keepLines w:val="0"/>
        <w:pageBreakBefore w:val="0"/>
        <w:wordWrap/>
        <w:overflowPunct/>
        <w:topLinePunct w:val="0"/>
        <w:autoSpaceDE/>
        <w:autoSpaceDN/>
        <w:bidi w:val="0"/>
        <w:adjustRightInd w:val="0"/>
        <w:snapToGrid w:val="0"/>
        <w:spacing w:before="0" w:beforeAutospacing="0" w:after="0" w:afterAutospacing="0" w:line="360" w:lineRule="auto"/>
        <w:ind w:firstLine="42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keepNext w:val="0"/>
        <w:keepLines w:val="0"/>
        <w:pageBreakBefore w:val="0"/>
        <w:tabs>
          <w:tab w:val="left" w:pos="980"/>
        </w:tabs>
        <w:kinsoku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keepNext w:val="0"/>
        <w:keepLines w:val="0"/>
        <w:pageBreakBefore w:val="0"/>
        <w:tabs>
          <w:tab w:val="left" w:pos="980"/>
        </w:tabs>
        <w:kinsoku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2、磋商供应商</w:t>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2.1、合格的磋商供应商应具备以下条件：</w:t>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pacing w:val="-4"/>
          <w:sz w:val="22"/>
          <w:szCs w:val="22"/>
          <w:highlight w:val="none"/>
        </w:rPr>
      </w:pPr>
      <w:r>
        <w:rPr>
          <w:rFonts w:hint="eastAsia" w:ascii="黑体" w:hAnsi="黑体" w:eastAsia="黑体" w:cs="黑体"/>
          <w:color w:val="auto"/>
          <w:sz w:val="22"/>
          <w:szCs w:val="22"/>
          <w:highlight w:val="none"/>
        </w:rPr>
        <w:t>2.1.1、具备且满足《竞争性磋商公告》要求的</w:t>
      </w:r>
      <w:r>
        <w:rPr>
          <w:rFonts w:hint="eastAsia" w:ascii="黑体" w:hAnsi="黑体" w:eastAsia="黑体" w:cs="黑体"/>
          <w:color w:val="auto"/>
          <w:spacing w:val="-4"/>
          <w:sz w:val="22"/>
          <w:szCs w:val="22"/>
          <w:highlight w:val="none"/>
        </w:rPr>
        <w:t>；</w:t>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2.1.2、向采购代理机构购买了竞争性磋商文件并登记备案的；</w:t>
      </w:r>
    </w:p>
    <w:p>
      <w:pPr>
        <w:keepNext w:val="0"/>
        <w:keepLines w:val="0"/>
        <w:pageBreakBefore w:val="0"/>
        <w:tabs>
          <w:tab w:val="left" w:pos="6787"/>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2.1.3、向采购代理机构</w:t>
      </w:r>
      <w:r>
        <w:rPr>
          <w:rFonts w:hint="eastAsia" w:ascii="黑体" w:hAnsi="黑体" w:eastAsia="黑体" w:cs="黑体"/>
          <w:color w:val="auto"/>
          <w:sz w:val="22"/>
          <w:szCs w:val="22"/>
          <w:highlight w:val="none"/>
          <w:lang w:eastAsia="zh-CN"/>
        </w:rPr>
        <w:t>交纳</w:t>
      </w:r>
      <w:r>
        <w:rPr>
          <w:rFonts w:hint="eastAsia" w:ascii="黑体" w:hAnsi="黑体" w:eastAsia="黑体" w:cs="黑体"/>
          <w:color w:val="auto"/>
          <w:sz w:val="22"/>
          <w:szCs w:val="22"/>
          <w:highlight w:val="none"/>
        </w:rPr>
        <w:t>了磋商保证金的</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如有</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ab/>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2.1.4、一个磋商供应商只能提交一个磋商响应文件，法定代表人为同一人的两个及两个以上法人，不得同时参加本项目</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w:t>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2.1.5、有隶属关系的两个公司或有控股关系的两个公司不能同时参加同一项目的</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2.1.6、遵守国家、陕西省有关政府采购的法律、条例和法规；</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2.1.7、竞争性磋商文件和法律、行政法规规定的其他条件。</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2.2、磋商供应商存在下列情形之一，属于不合格磋商供应商，其磋商响应文件或</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资格将被取消：</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2.2.1、与采购人、采购代理机构存在隶属关系或者其他利害关系；</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2.2.2、与其他磋商供应商的法定代表人（或者负责人）为同一人，或者与其他磋商供应商存在控股、管理关系；</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2.2.3、提供虚假材料谋取成交资格；</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2.2.4、采取不正当手段诋毁、排挤其他磋商供应商；</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2.2.5、与采购人、采购代理机构、其他磋商供应商恶意串通；</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2.2.6、向采购人、采购代理机构、磋商小组成员行贿或者提供其他不正当利益；  </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2.2.7、拒绝有关部门的监督检查或者向监督检查部门提供虚假情况；</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2.2.8、受到刑事处罚，或者受到</w:t>
      </w:r>
      <w:r>
        <w:rPr>
          <w:rFonts w:hint="eastAsia" w:ascii="黑体" w:hAnsi="黑体" w:eastAsia="黑体" w:cs="黑体"/>
          <w:color w:val="auto"/>
          <w:sz w:val="22"/>
          <w:szCs w:val="22"/>
          <w:highlight w:val="none"/>
          <w:lang w:eastAsia="zh-CN"/>
        </w:rPr>
        <w:t>较大数额</w:t>
      </w:r>
      <w:r>
        <w:rPr>
          <w:rFonts w:hint="eastAsia" w:ascii="黑体" w:hAnsi="黑体" w:eastAsia="黑体" w:cs="黑体"/>
          <w:color w:val="auto"/>
          <w:sz w:val="22"/>
          <w:szCs w:val="22"/>
          <w:highlight w:val="none"/>
        </w:rPr>
        <w:t>的罚款、责令停产停业、在一至三年内禁止参加政府采购活动、暂扣或者吊销许可证、暂扣或者吊销执照等情形之一的行政处罚，或者存在财政部门认定的其他重大违法记录。</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2.3、有下列情形之一的，视为磋商供应商相互恶意串通投标，其磋商响应文件或</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资格将被取消：</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2.3.1（一）供应商直接或者间接从采购人或者采购代理机构处获得其他供应商的相关情况并修改其响应文件；</w:t>
      </w:r>
    </w:p>
    <w:p>
      <w:pPr>
        <w:keepNext w:val="0"/>
        <w:keepLines w:val="0"/>
        <w:pageBreakBefore w:val="0"/>
        <w:numPr>
          <w:ilvl w:val="0"/>
          <w:numId w:val="4"/>
        </w:numPr>
        <w:wordWrap/>
        <w:overflowPunct/>
        <w:topLinePunct w:val="0"/>
        <w:autoSpaceDE/>
        <w:autoSpaceDN/>
        <w:bidi w:val="0"/>
        <w:adjustRightInd w:val="0"/>
        <w:snapToGrid w:val="0"/>
        <w:spacing w:line="360" w:lineRule="auto"/>
        <w:ind w:left="420" w:left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供应商按照采购人或者采购代理机构的授意撤换、修改响应文件；</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（三）供应商之间协商报价、技术方案等响应文件的实质性内容；</w:t>
      </w:r>
    </w:p>
    <w:p>
      <w:pPr>
        <w:keepNext w:val="0"/>
        <w:keepLines w:val="0"/>
        <w:pageBreakBefore w:val="0"/>
        <w:wordWrap/>
        <w:overflowPunct/>
        <w:topLinePunct w:val="0"/>
        <w:autoSpaceDE/>
        <w:autoSpaceDN/>
        <w:bidi w:val="0"/>
        <w:adjustRightInd w:val="0"/>
        <w:snapToGrid w:val="0"/>
        <w:spacing w:line="360" w:lineRule="auto"/>
        <w:ind w:left="420" w:left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（四）属于同一集团、协会、商会等组织成员的供应商按照该组织要求协同参加政府采购活动；</w:t>
      </w:r>
    </w:p>
    <w:p>
      <w:pPr>
        <w:keepNext w:val="0"/>
        <w:keepLines w:val="0"/>
        <w:pageBreakBefore w:val="0"/>
        <w:wordWrap/>
        <w:overflowPunct/>
        <w:topLinePunct w:val="0"/>
        <w:autoSpaceDE/>
        <w:autoSpaceDN/>
        <w:bidi w:val="0"/>
        <w:adjustRightInd w:val="0"/>
        <w:snapToGrid w:val="0"/>
        <w:spacing w:line="360" w:lineRule="auto"/>
        <w:ind w:left="420" w:left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（五）供应商之间事先约定由某一特定供应商</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、成交；</w:t>
      </w:r>
    </w:p>
    <w:p>
      <w:pPr>
        <w:keepNext w:val="0"/>
        <w:keepLines w:val="0"/>
        <w:pageBreakBefore w:val="0"/>
        <w:wordWrap/>
        <w:overflowPunct/>
        <w:topLinePunct w:val="0"/>
        <w:autoSpaceDE/>
        <w:autoSpaceDN/>
        <w:bidi w:val="0"/>
        <w:adjustRightInd w:val="0"/>
        <w:snapToGrid w:val="0"/>
        <w:spacing w:line="360" w:lineRule="auto"/>
        <w:ind w:left="420" w:left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（六）供应商之间商定部分供应商放弃参加政府采购活动或者放弃</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、成交；</w:t>
      </w:r>
    </w:p>
    <w:p>
      <w:pPr>
        <w:keepNext w:val="0"/>
        <w:keepLines w:val="0"/>
        <w:pageBreakBefore w:val="0"/>
        <w:wordWrap/>
        <w:overflowPunct/>
        <w:topLinePunct w:val="0"/>
        <w:autoSpaceDE/>
        <w:autoSpaceDN/>
        <w:bidi w:val="0"/>
        <w:adjustRightInd w:val="0"/>
        <w:snapToGrid w:val="0"/>
        <w:spacing w:line="360" w:lineRule="auto"/>
        <w:ind w:left="420" w:left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（七）供应商与采购人或者采购代理机构之间、供应商相互之间，为谋求特定供应商</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、成交或者排斥其他供应商的其他串通行为。</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sz w:val="22"/>
          <w:szCs w:val="22"/>
          <w:highlight w:val="none"/>
        </w:rPr>
        <w:t>2.3.2、本项目依据《中华人民共和国政府采购法》和《中华人民共和国政府采购</w:t>
      </w:r>
      <w:r>
        <w:rPr>
          <w:rFonts w:hint="eastAsia" w:ascii="黑体" w:hAnsi="黑体" w:eastAsia="黑体" w:cs="黑体"/>
          <w:color w:val="auto"/>
          <w:sz w:val="22"/>
          <w:szCs w:val="22"/>
          <w:highlight w:val="none"/>
          <w:lang w:val="en-US" w:eastAsia="zh-CN"/>
        </w:rPr>
        <w:t>法</w:t>
      </w:r>
      <w:r>
        <w:rPr>
          <w:rFonts w:hint="eastAsia" w:ascii="黑体" w:hAnsi="黑体" w:eastAsia="黑体" w:cs="黑体"/>
          <w:color w:val="auto"/>
          <w:sz w:val="22"/>
          <w:szCs w:val="22"/>
          <w:highlight w:val="none"/>
        </w:rPr>
        <w:t>实施条例》的有关规定，落实政府采购“优先购买节能环保产品、扶持小微企业、监狱企业、福利企业”等相关政策</w:t>
      </w:r>
      <w:r>
        <w:rPr>
          <w:rFonts w:hint="eastAsia" w:ascii="黑体" w:hAnsi="黑体" w:eastAsia="黑体" w:cs="黑体"/>
          <w:color w:val="auto"/>
          <w:kern w:val="1"/>
          <w:sz w:val="22"/>
          <w:szCs w:val="22"/>
          <w:highlight w:val="none"/>
        </w:rPr>
        <w:t>。</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pStyle w:val="6"/>
        <w:overflowPunct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2.3.2.2、中小企业：依据《政府采购促进中小企业发展管理办法》(财库〔2020〕46号）之规定执行。参加政府采购活动的中小企业应当提供《中小企业声明函》（见第六章响应文件格式）</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属于中小企业的可享受支持中小型企业发展优惠政策</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不提供或提供有瑕疵的，不视为</w:t>
      </w:r>
      <w:r>
        <w:rPr>
          <w:rFonts w:hint="eastAsia" w:ascii="黑体" w:hAnsi="黑体" w:eastAsia="黑体" w:cs="黑体"/>
          <w:color w:val="auto"/>
          <w:sz w:val="22"/>
          <w:szCs w:val="22"/>
          <w:highlight w:val="none"/>
          <w:lang w:val="en-US" w:eastAsia="zh-CN"/>
        </w:rPr>
        <w:t>中小</w:t>
      </w:r>
      <w:r>
        <w:rPr>
          <w:rFonts w:hint="eastAsia" w:ascii="黑体" w:hAnsi="黑体" w:eastAsia="黑体" w:cs="黑体"/>
          <w:color w:val="auto"/>
          <w:sz w:val="22"/>
          <w:szCs w:val="22"/>
          <w:highlight w:val="none"/>
        </w:rPr>
        <w:t>企业。</w:t>
      </w:r>
    </w:p>
    <w:p>
      <w:pPr>
        <w:pStyle w:val="6"/>
        <w:overflowPunct w:val="0"/>
        <w:snapToGrid w:val="0"/>
        <w:spacing w:line="360" w:lineRule="auto"/>
        <w:ind w:firstLine="220" w:firstLineChars="1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2.3.2.3、监狱企业：依照&lt;财政部、司法部关于政府采购支持监狱企业发展有关问题的通知&gt;（财库〔2014〕68号文件）之规定执行</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监狱企业参加政府采购活动时，视同小型微型企业</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应当提供由省级以上监狱管理局、戒毒管理局出具的属于监狱企业的证明文件，不提供或提供有瑕疵的，不视为小型微型企业。</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lang w:eastAsia="zh-CN"/>
        </w:rPr>
      </w:pPr>
      <w:r>
        <w:rPr>
          <w:rFonts w:hint="eastAsia" w:ascii="黑体" w:hAnsi="黑体" w:eastAsia="黑体" w:cs="黑体"/>
          <w:color w:val="auto"/>
          <w:sz w:val="22"/>
          <w:szCs w:val="22"/>
          <w:highlight w:val="none"/>
        </w:rPr>
        <w:t>2.3.2.4、残疾人福利性单位：依据《三部门联合发布关于促进残疾人就业政府采购政策的通知》（财库【2017】141号）之规定执行</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残疾人福利性单位参加政府采购活动时，视同小型微型企业</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应当提供《残疾人福利性单位声明函》（见第六章投标文件格式），不提供或提供有瑕疵的，不视为小型微型企业。</w:t>
      </w:r>
    </w:p>
    <w:p>
      <w:pPr>
        <w:keepNext w:val="0"/>
        <w:keepLines w:val="0"/>
        <w:pageBreakBefore w:val="0"/>
        <w:wordWrap/>
        <w:overflowPunct/>
        <w:topLinePunct w:val="0"/>
        <w:autoSpaceDE/>
        <w:autoSpaceDN/>
        <w:bidi w:val="0"/>
        <w:adjustRightInd w:val="0"/>
        <w:snapToGrid w:val="0"/>
        <w:spacing w:line="360" w:lineRule="auto"/>
        <w:ind w:firstLine="385" w:firstLineChars="175"/>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而导致</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不利后果或其磋商响应文件被拒绝、被废标的，其责任由磋商供应商自负。</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二、竞争性磋商文件</w:t>
      </w:r>
    </w:p>
    <w:p>
      <w:pPr>
        <w:keepNext w:val="0"/>
        <w:keepLines w:val="0"/>
        <w:pageBreakBefore w:val="0"/>
        <w:kinsoku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3、竞争性磋商文件的构成</w:t>
      </w:r>
    </w:p>
    <w:p>
      <w:pPr>
        <w:keepNext w:val="0"/>
        <w:keepLines w:val="0"/>
        <w:pageBreakBefore w:val="0"/>
        <w:tabs>
          <w:tab w:val="left" w:pos="766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是磋商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12" w:name="_Toc183682348"/>
      <w:bookmarkStart w:id="13" w:name="_Toc183582211"/>
      <w:bookmarkStart w:id="14" w:name="_Toc217446040"/>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4、踏勘现场</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4.1、本项目不组织统一踏勘时间，磋商供应商可自行进行踏勘，费用自理。</w:t>
      </w:r>
    </w:p>
    <w:p>
      <w:pPr>
        <w:keepNext w:val="0"/>
        <w:keepLines w:val="0"/>
        <w:pageBreakBefore w:val="0"/>
        <w:wordWrap/>
        <w:overflowPunct/>
        <w:topLinePunct w:val="0"/>
        <w:autoSpaceDE/>
        <w:autoSpaceDN/>
        <w:bidi w:val="0"/>
        <w:adjustRightInd w:val="0"/>
        <w:snapToGrid w:val="0"/>
        <w:spacing w:line="360" w:lineRule="auto"/>
        <w:ind w:firstLine="385" w:firstLineChars="175"/>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4.2、经采购方允许，供应商可为踏勘目的进入采购方的项目现场，但供应商不得因此使采购方承担有关的责任和蒙受损失；供应商应承担踏勘现场的责任和风险；供应商在现场踏勘期间发生的费用由供应商自行承担。</w:t>
      </w:r>
    </w:p>
    <w:p>
      <w:pPr>
        <w:keepNext w:val="0"/>
        <w:keepLines w:val="0"/>
        <w:pageBreakBefore w:val="0"/>
        <w:wordWrap/>
        <w:overflowPunct/>
        <w:topLinePunct w:val="0"/>
        <w:autoSpaceDE/>
        <w:autoSpaceDN/>
        <w:bidi w:val="0"/>
        <w:adjustRightInd w:val="0"/>
        <w:snapToGrid w:val="0"/>
        <w:spacing w:line="360" w:lineRule="auto"/>
        <w:ind w:firstLine="385" w:firstLineChars="175"/>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4.3、采购方不对磋商供应商因踏勘现场而做出的推论、理解和结论负责。一旦成交，成交供应商不得以任何借口，提出额外补偿或延长合同期限的要求。</w:t>
      </w:r>
    </w:p>
    <w:p>
      <w:pPr>
        <w:keepNext w:val="0"/>
        <w:keepLines w:val="0"/>
        <w:pageBreakBefore w:val="0"/>
        <w:tabs>
          <w:tab w:val="left" w:pos="7665"/>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5、竞争性磋商文件的澄清</w:t>
      </w:r>
      <w:bookmarkEnd w:id="12"/>
      <w:bookmarkEnd w:id="13"/>
      <w:r>
        <w:rPr>
          <w:rFonts w:hint="eastAsia" w:ascii="黑体" w:hAnsi="黑体" w:eastAsia="黑体" w:cs="黑体"/>
          <w:b/>
          <w:color w:val="auto"/>
          <w:sz w:val="22"/>
          <w:szCs w:val="22"/>
          <w:highlight w:val="none"/>
        </w:rPr>
        <w:t>和修改</w:t>
      </w:r>
      <w:bookmarkEnd w:id="14"/>
    </w:p>
    <w:p>
      <w:pPr>
        <w:keepNext w:val="0"/>
        <w:keepLines w:val="0"/>
        <w:pageBreakBefore w:val="0"/>
        <w:tabs>
          <w:tab w:val="left" w:pos="7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5.1、在磋商截止时间前，采购代理机构无论出于何种原因，可以对竞争性磋商文件进行澄清或者修改。</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采购代理机构对已发出的竞争性磋商文件进行澄清或者修改，将在竞争性磋商文件要求的提交磋商响应文件截止时间5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r>
        <w:rPr>
          <w:rFonts w:hint="eastAsia" w:ascii="黑体" w:hAnsi="黑体" w:eastAsia="黑体" w:cs="黑体"/>
          <w:b/>
          <w:bCs/>
          <w:color w:val="auto"/>
          <w:sz w:val="22"/>
          <w:szCs w:val="22"/>
          <w:highlight w:val="none"/>
        </w:rPr>
        <w:t>.</w:t>
      </w:r>
      <w:r>
        <w:rPr>
          <w:rFonts w:hint="eastAsia" w:ascii="黑体" w:hAnsi="黑体" w:eastAsia="黑体" w:cs="黑体"/>
          <w:color w:val="auto"/>
          <w:sz w:val="22"/>
          <w:szCs w:val="22"/>
          <w:highlight w:val="none"/>
        </w:rPr>
        <w:t>3、任何对竞争性磋商文件进行澄清的磋商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磋商供应商须按竞争性磋商文件日程安排表中的要求时间，将准备澄清内容送达采购代理机构，超过该时间收到的需澄清的内容，采购代理机构有权不予答复。</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5.4、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217446041"/>
      <w:bookmarkStart w:id="16" w:name="_Toc208848971"/>
      <w:bookmarkStart w:id="17" w:name="_Toc183582213"/>
      <w:bookmarkStart w:id="18" w:name="_Toc183682350"/>
    </w:p>
    <w:bookmarkEnd w:id="15"/>
    <w:bookmarkEnd w:id="16"/>
    <w:bookmarkEnd w:id="17"/>
    <w:bookmarkEnd w:id="18"/>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6、竞争性磋商文件的解释权：</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本项目竞争性磋商文件的解释权归采购代理机构所有，如发现竞争性磋商文件内容与现行法律法规不相符的情况，以现行法律法规为准。</w:t>
      </w:r>
    </w:p>
    <w:p>
      <w:pPr>
        <w:keepNext w:val="0"/>
        <w:keepLines w:val="0"/>
        <w:pageBreakBefore w:val="0"/>
        <w:tabs>
          <w:tab w:val="left" w:pos="7665"/>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kern w:val="0"/>
          <w:sz w:val="22"/>
          <w:szCs w:val="22"/>
          <w:highlight w:val="none"/>
        </w:rPr>
      </w:pPr>
      <w:r>
        <w:rPr>
          <w:rFonts w:hint="eastAsia" w:ascii="黑体" w:hAnsi="黑体" w:eastAsia="黑体" w:cs="黑体"/>
          <w:b/>
          <w:bCs/>
          <w:color w:val="auto"/>
          <w:sz w:val="22"/>
          <w:szCs w:val="22"/>
          <w:highlight w:val="none"/>
        </w:rPr>
        <w:t>三、磋商响应文件</w:t>
      </w:r>
    </w:p>
    <w:p>
      <w:pPr>
        <w:keepNext w:val="0"/>
        <w:keepLines w:val="0"/>
        <w:pageBreakBefore w:val="0"/>
        <w:tabs>
          <w:tab w:val="left" w:pos="720"/>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7、磋商响应文件的组成</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7.1、磋商响应文件由下列部分组成：</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7.1.1、磋商报价部分：</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7.1.1.1、本项目报价采用固定总价承包，磋商供应商自行考虑并承担风险。即磋商供应商的报价是磋商供应商响应本项目要求的全部工作内容的价格体现，包括磋商供应商完成本项目所需的一切费用，即</w:t>
      </w:r>
      <w:r>
        <w:rPr>
          <w:rFonts w:hint="eastAsia" w:ascii="黑体" w:hAnsi="黑体" w:eastAsia="黑体" w:cs="黑体"/>
          <w:color w:val="auto"/>
          <w:sz w:val="22"/>
          <w:szCs w:val="22"/>
          <w:highlight w:val="none"/>
          <w:lang w:val="en-US" w:eastAsia="zh-CN"/>
        </w:rPr>
        <w:t>人</w:t>
      </w:r>
      <w:r>
        <w:rPr>
          <w:rFonts w:hint="eastAsia" w:ascii="黑体" w:hAnsi="黑体" w:eastAsia="黑体" w:cs="黑体"/>
          <w:color w:val="auto"/>
          <w:sz w:val="22"/>
          <w:szCs w:val="22"/>
          <w:highlight w:val="none"/>
        </w:rPr>
        <w:t>工费、项目后期服务、税金及其他所有费用的总和。</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7.1.1.2、磋商供应商不得以低于成本的报价参与磋商。磋商小组认为供应商的报价明显低于其他通过符合性审查供应商的报价，有可能影响</w:t>
      </w:r>
      <w:r>
        <w:rPr>
          <w:rFonts w:hint="eastAsia" w:ascii="黑体" w:hAnsi="黑体" w:eastAsia="黑体" w:cs="黑体"/>
          <w:color w:val="auto"/>
          <w:sz w:val="22"/>
          <w:szCs w:val="22"/>
          <w:highlight w:val="none"/>
          <w:lang w:val="en-US" w:eastAsia="zh-CN"/>
        </w:rPr>
        <w:t>服务</w:t>
      </w:r>
      <w:r>
        <w:rPr>
          <w:rFonts w:hint="eastAsia" w:ascii="黑体" w:hAnsi="黑体" w:eastAsia="黑体" w:cs="黑体"/>
          <w:color w:val="auto"/>
          <w:sz w:val="22"/>
          <w:szCs w:val="22"/>
          <w:highlight w:val="none"/>
        </w:rPr>
        <w:t>质量或者不能诚信履约的，应当要求其在</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现场合理的时间内提供书面说明，必要时提交相关证明材料；供应商不能证明其报价合理性的，磋商小组应当将其作为无效</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处理。</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7.1.2、技术部分：磋商供应商按照竞争性磋商文件要求做出技术响应，主要是针对采购项目的技术指标、参数和技术要求做出的实质性响应和满足。</w:t>
      </w:r>
    </w:p>
    <w:p>
      <w:pPr>
        <w:keepNext w:val="0"/>
        <w:keepLines w:val="0"/>
        <w:pageBreakBefore w:val="0"/>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7.1.3、商务部分：</w:t>
      </w:r>
      <w:r>
        <w:rPr>
          <w:rFonts w:hint="eastAsia" w:ascii="黑体" w:hAnsi="黑体" w:eastAsia="黑体" w:cs="黑体"/>
          <w:bCs/>
          <w:color w:val="auto"/>
          <w:sz w:val="22"/>
          <w:szCs w:val="22"/>
          <w:highlight w:val="none"/>
        </w:rPr>
        <w:t>磋商供应商</w:t>
      </w:r>
      <w:r>
        <w:rPr>
          <w:rFonts w:hint="eastAsia" w:ascii="黑体" w:hAnsi="黑体" w:eastAsia="黑体" w:cs="黑体"/>
          <w:color w:val="auto"/>
          <w:sz w:val="22"/>
          <w:szCs w:val="22"/>
          <w:highlight w:val="none"/>
        </w:rPr>
        <w:t>按照竞争性磋商文件要求做出完全响应。</w:t>
      </w:r>
    </w:p>
    <w:p>
      <w:pPr>
        <w:pStyle w:val="6"/>
        <w:keepNext w:val="0"/>
        <w:keepLines w:val="0"/>
        <w:pageBreakBefore w:val="0"/>
        <w:wordWrap/>
        <w:overflowPunct/>
        <w:topLinePunct w:val="0"/>
        <w:autoSpaceDE/>
        <w:autoSpaceDN/>
        <w:bidi w:val="0"/>
        <w:adjustRightInd w:val="0"/>
        <w:snapToGrid w:val="0"/>
        <w:spacing w:line="360" w:lineRule="auto"/>
        <w:ind w:firstLine="0"/>
        <w:textAlignment w:val="auto"/>
        <w:rPr>
          <w:rFonts w:hint="eastAsia" w:ascii="黑体" w:hAnsi="黑体" w:eastAsia="黑体" w:cs="黑体"/>
          <w:bCs/>
          <w:color w:val="auto"/>
          <w:kern w:val="2"/>
          <w:sz w:val="22"/>
          <w:szCs w:val="22"/>
          <w:highlight w:val="none"/>
          <w:lang w:val="en-US" w:eastAsia="zh-CN" w:bidi="ar-SA"/>
        </w:rPr>
      </w:pPr>
      <w:r>
        <w:rPr>
          <w:rFonts w:hint="eastAsia" w:ascii="黑体" w:hAnsi="黑体" w:eastAsia="黑体" w:cs="黑体"/>
          <w:b/>
          <w:bCs/>
          <w:color w:val="auto"/>
          <w:sz w:val="22"/>
          <w:szCs w:val="22"/>
          <w:highlight w:val="none"/>
        </w:rPr>
        <w:t>8、磋商保证金</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8.1、磋商保证金数额见磋商供应商须知前列表。磋商供应商参加投标时，应当以人民币提交足额的磋商保证金，并作为其磋商响应文件的一部分。</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8.2、磋商保证金是为了保护采购人和采购代理机构免遭磋商供应商的不良行为而蒙受损失。采购人和采购代理机构在因磋商供应商的不良行为受到损害时，可根据竞争性磋商文件的规定不予退还其磋商保证金。</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8.3、磋商保证金的提交</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8.3.1、磋商保证金逾期缴纳的磋商供应商磋商响应文件将被拒绝。</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8.3.2、磋商保证金应以银行转账或者金融机构、担保机构出具的保函等非现金形式提交。</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8.3.2.1、以银行转账缴纳磋商保证金的，可以采取支票、电汇、网银、汇票、本票等方式，应从其基本账户转出。</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8.3.2.2、以信用担保函形式交纳磋商保证金的，应按照竞争性磋商文件规定的格式提交，且是陕西省有关部门认定的具有开具保函资格的单位开具的保函。磋商供应商违约，开具保函单位承担连带责任。</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8.4、磋商保证金的退还：</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8.4.1、未成交供应商的磋商保证金，将在成交通知书发出之日起5个工作日内不计利息全额退还。成交供应商的磋商保证金，将在采购合同签订生效后5个工作日内不计利息全额退还。未及时办理退还者，由磋商供应商自行负责。</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8.4.2、下列任何情况发生时，采购代理机构将不予退还磋商供应商交纳的磋商保证金：</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8.4.2.1、磋商供应商在竞争性磋商文件规定的投标有效期内撤回磋商响应文件的；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8.4.2.2、由于成交供应商的原因未能按照竞争性磋商文件的规定与采购人签订合同的；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8.4.2.3、由于成交供应商的原因未能在规定时间内领取《成交通知书》的；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8.4.2.4、由于成交供应商的原因未能按竞争性磋商文件规定支付采购代理服务费的；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8.4.2.5、由于成交供应商的原因未能按竞争性磋商文件规定缴纳履约保证金的；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8.4.2.6、磋商供应商违反磋商响应文件中承诺函相关内容和条款的；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8.4.2.7、投标有效期内，磋商供应商在政府采购活动中有违规、违纪和违法行为的；</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8.4.2.8、法律法规规定的其他情况。</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8.4.3、磋商保证金退还方式：代理机构通过银行转账将磋商保证金退还至磋商供应商基本账户。</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8.4.4、磋商保证金退还程序：</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退还磋商保证金手续。未成交供应商凭磋商保证金基本账户信息复印件、收款收据原件、单位证明（或委托书）和办理人员身份证复印件办理；成交供应商须持磋商保证金基本账户信息复印件、收款收据原件、采购合同原件和办理人员身份证复印件办理。</w:t>
      </w:r>
    </w:p>
    <w:p>
      <w:pPr>
        <w:snapToGrid w:val="0"/>
        <w:spacing w:line="360" w:lineRule="auto"/>
        <w:ind w:firstLine="440" w:firstLineChars="200"/>
        <w:outlineLvl w:val="2"/>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8.4.5、磋商保证金收据丢失处理办法。磋商供应商收款收据丢失的，须提供单位证明、加盖磋商供应商公章及法定代表人印章的丢失情况说明，以及8.4.4条所需资料，代理机构将磋商保证金退还至磋商供应商基本账户：</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9、磋商响应文件的编制</w:t>
      </w:r>
    </w:p>
    <w:p>
      <w:pPr>
        <w:keepNext w:val="0"/>
        <w:keepLines w:val="0"/>
        <w:pageBreakBefore w:val="0"/>
        <w:tabs>
          <w:tab w:val="left" w:pos="7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9.1、磋商供应商应仔细阅读竞争性磋商文件的所有内容，按竞争性磋商文件规定及要求编制磋商响应文件，应当对竞争性磋商文件提出的实质性要求做出响应，并提交完整的磋商响应文件。</w:t>
      </w:r>
    </w:p>
    <w:p>
      <w:pPr>
        <w:keepNext w:val="0"/>
        <w:keepLines w:val="0"/>
        <w:pageBreakBefore w:val="0"/>
        <w:tabs>
          <w:tab w:val="left" w:pos="7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sz w:val="22"/>
          <w:szCs w:val="22"/>
          <w:highlight w:val="none"/>
        </w:rPr>
      </w:pPr>
      <w:r>
        <w:rPr>
          <w:rFonts w:hint="eastAsia" w:ascii="黑体" w:hAnsi="黑体" w:eastAsia="黑体" w:cs="黑体"/>
          <w:color w:val="auto"/>
          <w:sz w:val="22"/>
          <w:szCs w:val="22"/>
          <w:highlight w:val="none"/>
        </w:rPr>
        <w:t>9.2、</w:t>
      </w:r>
      <w:r>
        <w:rPr>
          <w:rFonts w:hint="eastAsia" w:ascii="黑体" w:hAnsi="黑体" w:eastAsia="黑体" w:cs="黑体"/>
          <w:bCs/>
          <w:color w:val="auto"/>
          <w:kern w:val="1"/>
          <w:sz w:val="22"/>
          <w:szCs w:val="22"/>
          <w:highlight w:val="none"/>
        </w:rPr>
        <w:t>磋商供应商必须保证其编制、递交的磋商响应文件所有内容真实、合法、有效，并承担相应的法律责任。</w:t>
      </w:r>
    </w:p>
    <w:p>
      <w:pPr>
        <w:keepNext w:val="0"/>
        <w:keepLines w:val="0"/>
        <w:pageBreakBefore w:val="0"/>
        <w:tabs>
          <w:tab w:val="left" w:pos="7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9.3、磋商响应文件的语言：磋商供应商</w:t>
      </w:r>
      <w:r>
        <w:rPr>
          <w:rFonts w:hint="eastAsia" w:ascii="黑体" w:hAnsi="黑体" w:eastAsia="黑体" w:cs="黑体"/>
          <w:color w:val="auto"/>
          <w:sz w:val="22"/>
          <w:szCs w:val="22"/>
          <w:highlight w:val="none"/>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keepNext w:val="0"/>
        <w:keepLines w:val="0"/>
        <w:pageBreakBefore w:val="0"/>
        <w:tabs>
          <w:tab w:val="left" w:pos="7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9.4、磋商响应文件的计量单位：</w:t>
      </w:r>
      <w:r>
        <w:rPr>
          <w:rFonts w:hint="eastAsia" w:ascii="黑体" w:hAnsi="黑体" w:eastAsia="黑体" w:cs="黑体"/>
          <w:color w:val="auto"/>
          <w:kern w:val="0"/>
          <w:sz w:val="22"/>
          <w:szCs w:val="22"/>
          <w:highlight w:val="none"/>
        </w:rPr>
        <w:t>竞争性磋商文件已有明确规定的，使用竞争性磋商文件规定的计量单位；竞争性磋商文件没有规定的，应采用中华人民共和国法定计量单位</w:t>
      </w:r>
      <w:r>
        <w:rPr>
          <w:rFonts w:hint="eastAsia" w:ascii="黑体" w:hAnsi="黑体" w:eastAsia="黑体" w:cs="黑体"/>
          <w:color w:val="auto"/>
          <w:sz w:val="22"/>
          <w:szCs w:val="22"/>
          <w:highlight w:val="none"/>
        </w:rPr>
        <w:t>(国际单位制和国家选定的其他计量单位)</w:t>
      </w:r>
      <w:r>
        <w:rPr>
          <w:rFonts w:hint="eastAsia" w:ascii="黑体" w:hAnsi="黑体" w:eastAsia="黑体" w:cs="黑体"/>
          <w:color w:val="auto"/>
          <w:kern w:val="0"/>
          <w:sz w:val="22"/>
          <w:szCs w:val="22"/>
          <w:highlight w:val="none"/>
        </w:rPr>
        <w:t>。否则，视为对竞争性磋商文件未作出实质性响应。</w:t>
      </w:r>
    </w:p>
    <w:p>
      <w:pPr>
        <w:keepNext w:val="0"/>
        <w:keepLines w:val="0"/>
        <w:pageBreakBefore w:val="0"/>
        <w:tabs>
          <w:tab w:val="left" w:pos="7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9.5、报价使用货币：本次采购项目的报价均以人民币报价。</w:t>
      </w:r>
    </w:p>
    <w:p>
      <w:pPr>
        <w:pStyle w:val="15"/>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sz w:val="22"/>
          <w:szCs w:val="22"/>
          <w:highlight w:val="none"/>
        </w:rPr>
        <w:t>9.6、磋商响应文件形式：本项目磋商响应文件应采用书面文件形式，电报、传真、</w:t>
      </w:r>
      <w:r>
        <w:rPr>
          <w:rFonts w:hint="eastAsia" w:ascii="黑体" w:hAnsi="黑体" w:eastAsia="黑体" w:cs="黑体"/>
          <w:color w:val="auto"/>
          <w:kern w:val="1"/>
          <w:sz w:val="22"/>
          <w:szCs w:val="22"/>
          <w:highlight w:val="none"/>
        </w:rPr>
        <w:t>电子邮件形式的磋商响应文件不予接受。</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9.7、备选方案：本项目不接受备选响应方案，磋商响应文件的报价只允许有一个报价，不接受有任何选择或具有附加条件的报价，否则，在评审时将其视为无效报价。</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9.8、磋商响应文件有效期：磋商响应文件有效期自</w:t>
      </w:r>
      <w:r>
        <w:rPr>
          <w:rFonts w:hint="eastAsia" w:ascii="黑体" w:hAnsi="黑体" w:eastAsia="黑体" w:cs="黑体"/>
          <w:color w:val="auto"/>
          <w:kern w:val="1"/>
          <w:sz w:val="22"/>
          <w:szCs w:val="22"/>
          <w:highlight w:val="none"/>
          <w:lang w:eastAsia="zh-CN"/>
        </w:rPr>
        <w:t>磋商</w:t>
      </w:r>
      <w:r>
        <w:rPr>
          <w:rFonts w:hint="eastAsia" w:ascii="黑体" w:hAnsi="黑体" w:eastAsia="黑体" w:cs="黑体"/>
          <w:color w:val="auto"/>
          <w:kern w:val="1"/>
          <w:sz w:val="22"/>
          <w:szCs w:val="22"/>
          <w:highlight w:val="none"/>
        </w:rPr>
        <w:t>大会之日起计算不得少于90天。</w:t>
      </w:r>
    </w:p>
    <w:p>
      <w:pPr>
        <w:keepNext w:val="0"/>
        <w:keepLines w:val="0"/>
        <w:pageBreakBefore w:val="0"/>
        <w:tabs>
          <w:tab w:val="left" w:pos="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9.9、磋商响应文件格式：磋商供应商应严格按照竞争性磋商文件《第六章磋商响应文件格式及构成》填写相关内容。除明确允许磋商供应商可以自行编写的外，磋商供应商不得以规定之外的方式填写相关内容。否则，磋商供应商提供的磋商响应文件将作为无效响应文件处理。</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9.10、磋商响应文件的签署、盖章</w:t>
      </w:r>
    </w:p>
    <w:p>
      <w:pPr>
        <w:keepNext w:val="0"/>
        <w:keepLines w:val="0"/>
        <w:pageBreakBefore w:val="0"/>
        <w:tabs>
          <w:tab w:val="left" w:pos="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9.10.1、</w:t>
      </w:r>
      <w:r>
        <w:rPr>
          <w:rFonts w:hint="eastAsia" w:ascii="黑体" w:hAnsi="黑体" w:eastAsia="黑体" w:cs="黑体"/>
          <w:color w:val="auto"/>
          <w:kern w:val="1"/>
          <w:sz w:val="22"/>
          <w:szCs w:val="22"/>
          <w:highlight w:val="none"/>
        </w:rPr>
        <w:t>磋商响应文件须由供应商的法定代表人或经法定代表人正式授权的代表签字（</w:t>
      </w:r>
      <w:r>
        <w:rPr>
          <w:rFonts w:hint="eastAsia" w:ascii="黑体" w:hAnsi="黑体" w:eastAsia="黑体" w:cs="黑体"/>
          <w:color w:val="auto"/>
          <w:sz w:val="22"/>
          <w:szCs w:val="22"/>
          <w:highlight w:val="none"/>
        </w:rPr>
        <w:t>磋商文件要求磋商响应文件中法定代表人签字处由法定代表人签署，要求授权代表签字处由授权代表签署），所有要求签字（名）处，均须由签字（名）者本人用不褪色的蓝(黑)色墨水(汁)书写，不得用任何形式的图章代替）；响应文件的任何行间插字、涂改和增删，改动处须由法定代表人签字并加盖公章方为有效；因字迹潦草或表达不清所引起的后果由供应商自行负责。</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kern w:val="1"/>
          <w:sz w:val="22"/>
          <w:szCs w:val="22"/>
          <w:highlight w:val="none"/>
          <w:lang w:eastAsia="zh-CN"/>
        </w:rPr>
      </w:pPr>
      <w:r>
        <w:rPr>
          <w:rFonts w:hint="eastAsia" w:ascii="黑体" w:hAnsi="黑体" w:eastAsia="黑体" w:cs="黑体"/>
          <w:bCs/>
          <w:color w:val="auto"/>
          <w:kern w:val="1"/>
          <w:sz w:val="22"/>
          <w:szCs w:val="22"/>
          <w:highlight w:val="none"/>
        </w:rPr>
        <w:t>9.10.2、磋商供应商须按竞争性磋商文件要求在指定页面落款处加盖供应商公章</w:t>
      </w:r>
      <w:r>
        <w:rPr>
          <w:rFonts w:hint="eastAsia" w:ascii="黑体" w:hAnsi="黑体" w:eastAsia="黑体" w:cs="黑体"/>
          <w:bCs/>
          <w:color w:val="auto"/>
          <w:kern w:val="1"/>
          <w:sz w:val="22"/>
          <w:szCs w:val="22"/>
          <w:highlight w:val="none"/>
          <w:lang w:eastAsia="zh-CN"/>
        </w:rPr>
        <w:t>，其余页面逐页加盖投标人公章。</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lang w:eastAsia="zh-CN"/>
        </w:rPr>
      </w:pPr>
      <w:r>
        <w:rPr>
          <w:rFonts w:hint="eastAsia" w:ascii="黑体" w:hAnsi="黑体" w:eastAsia="黑体" w:cs="黑体"/>
          <w:color w:val="auto"/>
          <w:kern w:val="1"/>
          <w:sz w:val="22"/>
          <w:szCs w:val="22"/>
          <w:highlight w:val="none"/>
        </w:rPr>
        <w:t>9.11、磋商响应文件的装订、密封及标识</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9.11.1、磋商响应文件包含正本1份、副本2份、</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1份、磋商响应文件电子版</w:t>
      </w:r>
      <w:r>
        <w:rPr>
          <w:rFonts w:hint="eastAsia" w:ascii="黑体" w:hAnsi="黑体" w:eastAsia="黑体" w:cs="黑体"/>
          <w:color w:val="auto"/>
          <w:kern w:val="1"/>
          <w:sz w:val="22"/>
          <w:szCs w:val="22"/>
          <w:highlight w:val="none"/>
          <w:lang w:eastAsia="zh-CN"/>
        </w:rPr>
        <w:t>U盘1份</w:t>
      </w:r>
      <w:r>
        <w:rPr>
          <w:rFonts w:hint="eastAsia" w:ascii="黑体" w:hAnsi="黑体" w:eastAsia="黑体" w:cs="黑体"/>
          <w:color w:val="auto"/>
          <w:kern w:val="1"/>
          <w:sz w:val="22"/>
          <w:szCs w:val="22"/>
          <w:highlight w:val="none"/>
        </w:rPr>
        <w:t>（提供磋商响应文件正本的</w:t>
      </w:r>
      <w:r>
        <w:rPr>
          <w:rFonts w:hint="eastAsia" w:ascii="黑体" w:hAnsi="黑体" w:eastAsia="黑体" w:cs="黑体"/>
          <w:color w:val="auto"/>
          <w:kern w:val="1"/>
          <w:sz w:val="22"/>
          <w:szCs w:val="22"/>
          <w:highlight w:val="none"/>
          <w:lang w:val="en-US" w:eastAsia="zh-CN"/>
        </w:rPr>
        <w:t>PDF</w:t>
      </w:r>
      <w:r>
        <w:rPr>
          <w:rFonts w:hint="eastAsia" w:ascii="黑体" w:hAnsi="黑体" w:eastAsia="黑体" w:cs="黑体"/>
          <w:color w:val="auto"/>
          <w:kern w:val="1"/>
          <w:sz w:val="22"/>
          <w:szCs w:val="22"/>
          <w:highlight w:val="none"/>
        </w:rPr>
        <w:t>版本），正本1份、副本2份各自装订成册</w:t>
      </w:r>
      <w:r>
        <w:rPr>
          <w:rFonts w:hint="eastAsia" w:ascii="黑体" w:hAnsi="黑体" w:eastAsia="黑体" w:cs="黑体"/>
          <w:color w:val="auto"/>
          <w:kern w:val="1"/>
          <w:sz w:val="22"/>
          <w:szCs w:val="22"/>
          <w:highlight w:val="none"/>
          <w:lang w:val="en-US" w:eastAsia="zh-CN"/>
        </w:rPr>
        <w:t>并加盖骑缝章</w:t>
      </w:r>
      <w:r>
        <w:rPr>
          <w:rFonts w:hint="eastAsia" w:ascii="黑体" w:hAnsi="黑体" w:eastAsia="黑体" w:cs="黑体"/>
          <w:color w:val="auto"/>
          <w:kern w:val="1"/>
          <w:sz w:val="22"/>
          <w:szCs w:val="22"/>
          <w:highlight w:val="none"/>
        </w:rPr>
        <w:t>，磋商响应文件须在封面及封袋注明“正本”和“副本”字样。如果正本与副本不符，以正本磋商响应文件为准。</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9.11.2、磋商响应文件的正本、副本、</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要求各自分装密封，磋商响应文件电子版</w:t>
      </w:r>
      <w:r>
        <w:rPr>
          <w:rFonts w:hint="eastAsia" w:ascii="黑体" w:hAnsi="黑体" w:eastAsia="黑体" w:cs="黑体"/>
          <w:color w:val="auto"/>
          <w:kern w:val="1"/>
          <w:sz w:val="22"/>
          <w:szCs w:val="22"/>
          <w:highlight w:val="none"/>
          <w:lang w:eastAsia="zh-CN"/>
        </w:rPr>
        <w:t>U盘1份</w:t>
      </w:r>
      <w:r>
        <w:rPr>
          <w:rFonts w:hint="eastAsia" w:ascii="黑体" w:hAnsi="黑体" w:eastAsia="黑体" w:cs="黑体"/>
          <w:color w:val="auto"/>
          <w:kern w:val="1"/>
          <w:sz w:val="22"/>
          <w:szCs w:val="22"/>
          <w:highlight w:val="none"/>
        </w:rPr>
        <w:t>随</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封装（封袋不得有破损），同时在封口处加贴封条并在骑缝处加盖磋商供应商公章</w:t>
      </w:r>
      <w:r>
        <w:rPr>
          <w:rFonts w:hint="eastAsia" w:ascii="黑体" w:hAnsi="黑体" w:eastAsia="黑体" w:cs="黑体"/>
          <w:color w:val="auto"/>
          <w:kern w:val="1"/>
          <w:sz w:val="22"/>
          <w:szCs w:val="22"/>
          <w:highlight w:val="none"/>
          <w:lang w:val="en-US" w:eastAsia="zh-CN"/>
        </w:rPr>
        <w:t>及法人章</w:t>
      </w:r>
      <w:r>
        <w:rPr>
          <w:rFonts w:hint="eastAsia" w:ascii="黑体" w:hAnsi="黑体" w:eastAsia="黑体" w:cs="黑体"/>
          <w:color w:val="auto"/>
          <w:kern w:val="1"/>
          <w:sz w:val="22"/>
          <w:szCs w:val="22"/>
          <w:highlight w:val="none"/>
        </w:rPr>
        <w:t>。</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9.11.3、正本、副本、</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及资格证明文件封袋标识式样详见格式A.B</w:t>
      </w:r>
      <w:r>
        <w:rPr>
          <w:rFonts w:hint="eastAsia" w:ascii="黑体" w:hAnsi="黑体" w:eastAsia="黑体" w:cs="黑体"/>
          <w:color w:val="auto"/>
          <w:kern w:val="1"/>
          <w:sz w:val="22"/>
          <w:szCs w:val="22"/>
          <w:highlight w:val="none"/>
          <w:lang w:val="en-US" w:eastAsia="zh-CN"/>
        </w:rPr>
        <w:t>.C</w:t>
      </w:r>
      <w:r>
        <w:rPr>
          <w:rFonts w:hint="eastAsia" w:ascii="黑体" w:hAnsi="黑体" w:eastAsia="黑体" w:cs="黑体"/>
          <w:color w:val="auto"/>
          <w:kern w:val="1"/>
          <w:sz w:val="22"/>
          <w:szCs w:val="22"/>
          <w:highlight w:val="none"/>
        </w:rPr>
        <w:t>。不按要求进行标识的文件代理机构不予接收。</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1"/>
          <w:sz w:val="22"/>
          <w:szCs w:val="22"/>
          <w:highlight w:val="none"/>
        </w:rPr>
        <w:t>9.11.4、</w:t>
      </w:r>
      <w:r>
        <w:rPr>
          <w:rFonts w:hint="eastAsia" w:ascii="黑体" w:hAnsi="黑体" w:eastAsia="黑体" w:cs="黑体"/>
          <w:color w:val="auto"/>
          <w:sz w:val="22"/>
          <w:szCs w:val="22"/>
          <w:highlight w:val="none"/>
        </w:rPr>
        <w:t>磋商响应文件正本和副本</w:t>
      </w:r>
      <w:r>
        <w:rPr>
          <w:rFonts w:hint="eastAsia" w:ascii="黑体" w:hAnsi="黑体" w:eastAsia="黑体" w:cs="黑体"/>
          <w:color w:val="auto"/>
          <w:sz w:val="22"/>
          <w:szCs w:val="22"/>
          <w:highlight w:val="none"/>
          <w:lang w:val="zh-CN"/>
        </w:rPr>
        <w:t>一律采用A4纸幅面</w:t>
      </w:r>
      <w:r>
        <w:rPr>
          <w:rFonts w:hint="eastAsia" w:ascii="黑体" w:hAnsi="黑体" w:eastAsia="黑体" w:cs="黑体"/>
          <w:color w:val="auto"/>
          <w:sz w:val="22"/>
          <w:szCs w:val="22"/>
          <w:highlight w:val="none"/>
        </w:rPr>
        <w:t>加胶装分别装订成册，按序从目录开始编制页码。文件胶装装订后，页面不可抽取，不得有活动页，无破损、不可拆分。</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9.12、磋商响应文件的递交</w:t>
      </w:r>
    </w:p>
    <w:p>
      <w:pPr>
        <w:keepNext w:val="0"/>
        <w:keepLines w:val="0"/>
        <w:pageBreakBefore w:val="0"/>
        <w:tabs>
          <w:tab w:val="left" w:pos="0"/>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kern w:val="1"/>
          <w:sz w:val="22"/>
          <w:szCs w:val="22"/>
          <w:highlight w:val="none"/>
        </w:rPr>
      </w:pPr>
      <w:r>
        <w:rPr>
          <w:rFonts w:hint="eastAsia" w:ascii="黑体" w:hAnsi="黑体" w:eastAsia="黑体" w:cs="黑体"/>
          <w:color w:val="auto"/>
          <w:kern w:val="1"/>
          <w:sz w:val="22"/>
          <w:szCs w:val="22"/>
          <w:highlight w:val="none"/>
        </w:rPr>
        <w:t xml:space="preserve">    9.12.1、</w:t>
      </w:r>
      <w:r>
        <w:rPr>
          <w:rFonts w:hint="eastAsia" w:ascii="黑体" w:hAnsi="黑体" w:eastAsia="黑体" w:cs="黑体"/>
          <w:color w:val="auto"/>
          <w:sz w:val="22"/>
          <w:szCs w:val="22"/>
          <w:highlight w:val="none"/>
        </w:rPr>
        <w:t>磋商供应商应仔细阅读竞争性磋商文件中的所有事项、格式、条款和要求，对竞争性磋商文件的全部内容及要求作出实质性响应，提交相应资料。</w:t>
      </w:r>
    </w:p>
    <w:p>
      <w:pPr>
        <w:keepNext w:val="0"/>
        <w:keepLines w:val="0"/>
        <w:pageBreakBefore w:val="0"/>
        <w:tabs>
          <w:tab w:val="left" w:pos="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9.12.2、截止磋商响应文件递交时间前</w:t>
      </w:r>
      <w:r>
        <w:rPr>
          <w:rFonts w:hint="eastAsia" w:ascii="黑体" w:hAnsi="黑体" w:eastAsia="黑体" w:cs="黑体"/>
          <w:color w:val="auto"/>
          <w:kern w:val="0"/>
          <w:sz w:val="22"/>
          <w:szCs w:val="22"/>
          <w:highlight w:val="none"/>
        </w:rPr>
        <w:t>磋商供应商应将磋商响应文件所有正本、副本、</w:t>
      </w:r>
      <w:r>
        <w:rPr>
          <w:rFonts w:hint="eastAsia" w:ascii="黑体" w:hAnsi="黑体" w:eastAsia="黑体" w:cs="黑体"/>
          <w:color w:val="auto"/>
          <w:kern w:val="0"/>
          <w:sz w:val="22"/>
          <w:szCs w:val="22"/>
          <w:highlight w:val="none"/>
          <w:lang w:eastAsia="zh-CN"/>
        </w:rPr>
        <w:t>报价一览表</w:t>
      </w:r>
      <w:r>
        <w:rPr>
          <w:rFonts w:hint="eastAsia" w:ascii="黑体" w:hAnsi="黑体" w:eastAsia="黑体" w:cs="黑体"/>
          <w:color w:val="auto"/>
          <w:kern w:val="0"/>
          <w:sz w:val="22"/>
          <w:szCs w:val="22"/>
          <w:highlight w:val="none"/>
        </w:rPr>
        <w:t>等相关资料按要求密封递交</w:t>
      </w:r>
      <w:r>
        <w:rPr>
          <w:rFonts w:hint="eastAsia" w:ascii="黑体" w:hAnsi="黑体" w:eastAsia="黑体" w:cs="黑体"/>
          <w:color w:val="auto"/>
          <w:kern w:val="1"/>
          <w:sz w:val="22"/>
          <w:szCs w:val="22"/>
          <w:highlight w:val="none"/>
        </w:rPr>
        <w:t>。</w:t>
      </w:r>
    </w:p>
    <w:p>
      <w:pPr>
        <w:keepNext w:val="0"/>
        <w:keepLines w:val="0"/>
        <w:pageBreakBefore w:val="0"/>
        <w:tabs>
          <w:tab w:val="left" w:pos="0"/>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9.12.3、</w:t>
      </w:r>
      <w:r>
        <w:rPr>
          <w:rFonts w:hint="eastAsia" w:ascii="黑体" w:hAnsi="黑体" w:eastAsia="黑体" w:cs="黑体"/>
          <w:color w:val="auto"/>
          <w:kern w:val="1"/>
          <w:sz w:val="22"/>
          <w:szCs w:val="22"/>
          <w:highlight w:val="none"/>
        </w:rPr>
        <w:t>采购代理机构仅负责对磋商响应文件的接收时间、份数和递交人等信息的确认。在宣布递交磋商响应文件时间截止之后，任何人送达、递交的磋商响应文件和文书资料，采购代理机构拒绝接收。</w:t>
      </w:r>
    </w:p>
    <w:p>
      <w:pPr>
        <w:keepNext w:val="0"/>
        <w:keepLines w:val="0"/>
        <w:pageBreakBefore w:val="0"/>
        <w:tabs>
          <w:tab w:val="left" w:pos="0"/>
        </w:tabs>
        <w:wordWrap/>
        <w:overflowPunct/>
        <w:topLinePunct w:val="0"/>
        <w:autoSpaceDE/>
        <w:autoSpaceDN/>
        <w:bidi w:val="0"/>
        <w:adjustRightInd w:val="0"/>
        <w:snapToGrid w:val="0"/>
        <w:spacing w:line="360" w:lineRule="auto"/>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9.12.4、核查、信息确认完毕的磋商响应文件由采购代理机构妥善保管，任何人不得擅自拆封、调换和退回。</w:t>
      </w:r>
    </w:p>
    <w:p>
      <w:pPr>
        <w:keepNext w:val="0"/>
        <w:keepLines w:val="0"/>
        <w:pageBreakBefore w:val="0"/>
        <w:tabs>
          <w:tab w:val="left" w:pos="0"/>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kern w:val="1"/>
          <w:sz w:val="22"/>
          <w:szCs w:val="22"/>
          <w:highlight w:val="none"/>
        </w:rPr>
      </w:pPr>
      <w:r>
        <w:rPr>
          <w:rFonts w:hint="eastAsia" w:ascii="黑体" w:hAnsi="黑体" w:eastAsia="黑体" w:cs="黑体"/>
          <w:b/>
          <w:color w:val="auto"/>
          <w:kern w:val="1"/>
          <w:sz w:val="22"/>
          <w:szCs w:val="22"/>
          <w:highlight w:val="none"/>
        </w:rPr>
        <w:t>10、磋商响应文件的修改和撤回</w:t>
      </w:r>
    </w:p>
    <w:p>
      <w:pPr>
        <w:keepNext w:val="0"/>
        <w:keepLines w:val="0"/>
        <w:pageBreakBefore w:val="0"/>
        <w:tabs>
          <w:tab w:val="left" w:pos="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10.1、磋商供应商在递交了磋商响应文件后，可以修改或撤回其磋商响应文件，但必须在规定的磋商响应文件截止时间前，以书面形式通知采购代理机构。</w:t>
      </w:r>
    </w:p>
    <w:p>
      <w:pPr>
        <w:keepNext w:val="0"/>
        <w:keepLines w:val="0"/>
        <w:pageBreakBefore w:val="0"/>
        <w:tabs>
          <w:tab w:val="left" w:pos="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keepNext w:val="0"/>
        <w:keepLines w:val="0"/>
        <w:pageBreakBefore w:val="0"/>
        <w:tabs>
          <w:tab w:val="left" w:pos="0"/>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w:t>
      </w:r>
      <w:r>
        <w:rPr>
          <w:rFonts w:hint="eastAsia" w:ascii="黑体" w:hAnsi="黑体" w:eastAsia="黑体" w:cs="黑体"/>
          <w:color w:val="auto"/>
          <w:kern w:val="1"/>
          <w:sz w:val="22"/>
          <w:szCs w:val="22"/>
          <w:highlight w:val="none"/>
          <w:lang w:val="en-US" w:eastAsia="zh-CN"/>
        </w:rPr>
        <w:t>3</w:t>
      </w:r>
      <w:r>
        <w:rPr>
          <w:rFonts w:hint="eastAsia" w:ascii="黑体" w:hAnsi="黑体" w:eastAsia="黑体" w:cs="黑体"/>
          <w:color w:val="auto"/>
          <w:kern w:val="1"/>
          <w:sz w:val="22"/>
          <w:szCs w:val="22"/>
          <w:highlight w:val="none"/>
        </w:rPr>
        <w:t>、在磋商响应文件递交截止时间之后，磋商供应商不得对其递交的磋商响应文件做任何修改或撤回；但磋商供应商在提交最后报价之前，可以根据情况退出磋商。</w:t>
      </w:r>
    </w:p>
    <w:p>
      <w:pPr>
        <w:keepNext w:val="0"/>
        <w:keepLines w:val="0"/>
        <w:pageBreakBefore w:val="0"/>
        <w:tabs>
          <w:tab w:val="left" w:pos="0"/>
          <w:tab w:val="left" w:pos="420"/>
        </w:tabs>
        <w:wordWrap/>
        <w:overflowPunct/>
        <w:topLinePunct w:val="0"/>
        <w:autoSpaceDE/>
        <w:autoSpaceDN/>
        <w:bidi w:val="0"/>
        <w:adjustRightInd w:val="0"/>
        <w:snapToGrid w:val="0"/>
        <w:spacing w:line="360" w:lineRule="auto"/>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10.</w:t>
      </w:r>
      <w:r>
        <w:rPr>
          <w:rFonts w:hint="eastAsia" w:ascii="黑体" w:hAnsi="黑体" w:eastAsia="黑体" w:cs="黑体"/>
          <w:color w:val="auto"/>
          <w:kern w:val="1"/>
          <w:sz w:val="22"/>
          <w:szCs w:val="22"/>
          <w:highlight w:val="none"/>
          <w:lang w:val="en-US" w:eastAsia="zh-CN"/>
        </w:rPr>
        <w:t>4</w:t>
      </w:r>
      <w:r>
        <w:rPr>
          <w:rFonts w:hint="eastAsia" w:ascii="黑体" w:hAnsi="黑体" w:eastAsia="黑体" w:cs="黑体"/>
          <w:color w:val="auto"/>
          <w:kern w:val="1"/>
          <w:sz w:val="22"/>
          <w:szCs w:val="22"/>
          <w:highlight w:val="none"/>
        </w:rPr>
        <w:t>、无论磋商供应商</w:t>
      </w:r>
      <w:r>
        <w:rPr>
          <w:rFonts w:hint="eastAsia" w:ascii="黑体" w:hAnsi="黑体" w:eastAsia="黑体" w:cs="黑体"/>
          <w:color w:val="auto"/>
          <w:kern w:val="1"/>
          <w:sz w:val="22"/>
          <w:szCs w:val="22"/>
          <w:highlight w:val="none"/>
          <w:lang w:val="en-US" w:eastAsia="zh-CN"/>
        </w:rPr>
        <w:t>成交</w:t>
      </w:r>
      <w:r>
        <w:rPr>
          <w:rFonts w:hint="eastAsia" w:ascii="黑体" w:hAnsi="黑体" w:eastAsia="黑体" w:cs="黑体"/>
          <w:color w:val="auto"/>
          <w:kern w:val="1"/>
          <w:sz w:val="22"/>
          <w:szCs w:val="22"/>
          <w:highlight w:val="none"/>
        </w:rPr>
        <w:t>与否，其磋商响应文件不予退还。</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11、关于</w:t>
      </w:r>
      <w:r>
        <w:rPr>
          <w:rFonts w:hint="eastAsia" w:ascii="黑体" w:hAnsi="黑体" w:eastAsia="黑体" w:cs="黑体"/>
          <w:b/>
          <w:bCs/>
          <w:color w:val="auto"/>
          <w:sz w:val="22"/>
          <w:szCs w:val="22"/>
          <w:highlight w:val="none"/>
          <w:lang w:eastAsia="zh-CN"/>
        </w:rPr>
        <w:t>磋商</w:t>
      </w:r>
      <w:r>
        <w:rPr>
          <w:rFonts w:hint="eastAsia" w:ascii="黑体" w:hAnsi="黑体" w:eastAsia="黑体" w:cs="黑体"/>
          <w:b/>
          <w:bCs/>
          <w:color w:val="auto"/>
          <w:sz w:val="22"/>
          <w:szCs w:val="22"/>
          <w:highlight w:val="none"/>
        </w:rPr>
        <w:t>现场转变采购方式问题。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依据《陕西省财政厅关于政府采购有关问题的通知（陕财办采资[2016]53号）》、《财政部关于政府采购竞争性磋商采购方式管理暂行办法有关问题的补充通知（财库〔2015〕124号）》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bCs/>
          <w:color w:val="auto"/>
          <w:sz w:val="22"/>
          <w:szCs w:val="22"/>
          <w:highlight w:val="none"/>
        </w:rPr>
        <w:t>四、采购程序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12、评审工作按下列工作程序进行：</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12.1、组建磋商小组；</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12.2、</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会议；</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12.3、磋商响应文件初步评审；</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12.4、磋商响应文件的澄清（如有）；</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12.5、磋商响应文件详细评审；</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12.6、磋商及二次报价</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12.7、汇总评审结果；</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12.8、推荐成交供应商；</w:t>
      </w:r>
    </w:p>
    <w:p>
      <w:pPr>
        <w:keepNext w:val="0"/>
        <w:keepLines w:val="0"/>
        <w:pageBreakBefore w:val="0"/>
        <w:wordWrap/>
        <w:overflowPunct/>
        <w:topLinePunct w:val="0"/>
        <w:autoSpaceDE/>
        <w:autoSpaceDN/>
        <w:bidi w:val="0"/>
        <w:adjustRightInd w:val="0"/>
        <w:snapToGrid w:val="0"/>
        <w:spacing w:line="360" w:lineRule="auto"/>
        <w:ind w:firstLine="49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12.9、编写评审报告。</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13、</w:t>
      </w:r>
      <w:r>
        <w:rPr>
          <w:rFonts w:hint="eastAsia" w:ascii="黑体" w:hAnsi="黑体" w:eastAsia="黑体" w:cs="黑体"/>
          <w:b/>
          <w:color w:val="auto"/>
          <w:sz w:val="22"/>
          <w:szCs w:val="22"/>
          <w:highlight w:val="none"/>
          <w:lang w:val="en-US" w:eastAsia="zh-CN"/>
        </w:rPr>
        <w:t>磋商</w:t>
      </w:r>
      <w:r>
        <w:rPr>
          <w:rFonts w:hint="eastAsia" w:ascii="黑体" w:hAnsi="黑体" w:eastAsia="黑体" w:cs="黑体"/>
          <w:b/>
          <w:color w:val="auto"/>
          <w:sz w:val="22"/>
          <w:szCs w:val="22"/>
          <w:highlight w:val="none"/>
        </w:rPr>
        <w:t>会议：</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会议由采购代理机构主持。主持人按照竞争性磋商文件规定的</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时间宣布会议开始，会议将按以下程序进行（但不限于）；</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13.1.1、宣布评审开始并致辞；</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13.1.2、宣布会场纪律和有关注意事项。</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13.1.3、宣布参加会议的采购人</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监督人员和主持人、会议记录等会议工作人员，根据磋商响应文件递交签到表宣布参加会议的磋商供应商名单。</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13.1.4、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文件处理不得启封。</w:t>
      </w:r>
    </w:p>
    <w:p>
      <w:pPr>
        <w:pStyle w:val="14"/>
        <w:keepNext w:val="0"/>
        <w:keepLines w:val="0"/>
        <w:pageBreakBefore w:val="0"/>
        <w:wordWrap/>
        <w:overflowPunct/>
        <w:topLinePunct w:val="0"/>
        <w:autoSpaceDE/>
        <w:autoSpaceDN/>
        <w:bidi w:val="0"/>
        <w:adjustRightInd w:val="0"/>
        <w:snapToGrid w:val="0"/>
        <w:spacing w:after="0"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13.1.5、由磋商小组审查磋商供应商资格，并公布资格审查结果。</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13.1.6、</w:t>
      </w:r>
      <w:r>
        <w:rPr>
          <w:rFonts w:hint="eastAsia" w:ascii="黑体" w:hAnsi="黑体" w:eastAsia="黑体" w:cs="黑体"/>
          <w:color w:val="auto"/>
          <w:sz w:val="22"/>
          <w:szCs w:val="22"/>
          <w:highlight w:val="none"/>
          <w:lang w:val="en-US" w:eastAsia="zh-CN"/>
        </w:rPr>
        <w:t>资格审查结束后，</w:t>
      </w:r>
      <w:r>
        <w:rPr>
          <w:rFonts w:hint="eastAsia" w:ascii="黑体" w:hAnsi="黑体" w:eastAsia="黑体" w:cs="黑体"/>
          <w:color w:val="auto"/>
          <w:sz w:val="22"/>
          <w:szCs w:val="22"/>
          <w:highlight w:val="none"/>
        </w:rPr>
        <w:t>磋商响应文件</w:t>
      </w:r>
      <w:r>
        <w:rPr>
          <w:rFonts w:hint="eastAsia" w:ascii="黑体" w:hAnsi="黑体" w:eastAsia="黑体" w:cs="黑体"/>
          <w:color w:val="auto"/>
          <w:sz w:val="22"/>
          <w:szCs w:val="22"/>
          <w:highlight w:val="none"/>
          <w:lang w:val="en-US" w:eastAsia="zh-CN"/>
        </w:rPr>
        <w:t>由</w:t>
      </w:r>
      <w:r>
        <w:rPr>
          <w:rFonts w:hint="eastAsia" w:ascii="黑体" w:hAnsi="黑体" w:eastAsia="黑体" w:cs="黑体"/>
          <w:color w:val="auto"/>
          <w:sz w:val="22"/>
          <w:szCs w:val="22"/>
          <w:highlight w:val="none"/>
        </w:rPr>
        <w:t>磋商小组进行评审。</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13.1.7、磋商供应商等待磋商小组通知单一的与磋商小组进行磋商。</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13.2、采购代理机构对评审会议过程进行全程语音同步监控记录，并存档备查。</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14、磋商小组</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14.2、磋商小组成员到位后，推荐一名评审委员成员担任磋商小组组长，并由磋商小组组长负责组织该项目评审工作。采购人授权的代表，不得担任磋商小组组长。</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14.3、磋商小组成员有下列情形之一的，应当回避：</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14.3.1、采购人或磋商供应商的主要负责人的近亲属；</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14.3.2、与磋商供应商有经济利益关系，可能影响对磋商响应文件公正评审的；</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14.3.3、曾因在磋商、评审以及其他与磋商有关活动中从事违法行为而受过行政处罚或刑事处罚的。</w:t>
      </w:r>
    </w:p>
    <w:p>
      <w:pPr>
        <w:keepNext w:val="0"/>
        <w:keepLines w:val="0"/>
        <w:pageBreakBefore w:val="0"/>
        <w:wordWrap/>
        <w:overflowPunct/>
        <w:topLinePunct w:val="0"/>
        <w:autoSpaceDE/>
        <w:autoSpaceDN/>
        <w:bidi w:val="0"/>
        <w:adjustRightInd w:val="0"/>
        <w:snapToGrid w:val="0"/>
        <w:spacing w:line="360" w:lineRule="auto"/>
        <w:ind w:firstLine="461"/>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14.4、本项目采用综合评分法，具体评审方法、评审工作程序等详见《第三章评审方法》章节的规定。</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kern w:val="1"/>
          <w:sz w:val="22"/>
          <w:szCs w:val="22"/>
          <w:highlight w:val="none"/>
          <w:lang w:eastAsia="zh-CN"/>
        </w:rPr>
      </w:pPr>
      <w:r>
        <w:rPr>
          <w:rFonts w:hint="eastAsia" w:ascii="黑体" w:hAnsi="黑体" w:eastAsia="黑体" w:cs="黑体"/>
          <w:b/>
          <w:color w:val="auto"/>
          <w:kern w:val="1"/>
          <w:sz w:val="22"/>
          <w:szCs w:val="22"/>
          <w:highlight w:val="none"/>
        </w:rPr>
        <w:t>15、</w:t>
      </w:r>
      <w:r>
        <w:rPr>
          <w:rFonts w:hint="eastAsia" w:ascii="黑体" w:hAnsi="黑体" w:eastAsia="黑体" w:cs="黑体"/>
          <w:b/>
          <w:color w:val="auto"/>
          <w:kern w:val="1"/>
          <w:sz w:val="22"/>
          <w:szCs w:val="22"/>
          <w:highlight w:val="none"/>
          <w:lang w:val="en-US" w:eastAsia="zh-CN"/>
        </w:rPr>
        <w:t>成交</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15.1、采购代理机构应当在</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结束后2个工作日内将</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送采购人。采购人应当自收到</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之日起5个工作日内，在</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确定的成交候选人名单中按顺序确定成交人。成交候选人并列的，由采购人或者采购人委托磋商小组按照磋商文件规定的方式确定成交人。采购人在收到</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5个工作日内未按</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推荐的成交候选人顺序确定</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人，又不能说明合法理由的，视同按</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推荐的顺序确定成交候选人。</w:t>
      </w:r>
    </w:p>
    <w:p>
      <w:pPr>
        <w:keepNext w:val="0"/>
        <w:keepLines w:val="0"/>
        <w:pageBreakBefore w:val="0"/>
        <w:wordWrap/>
        <w:overflowPunct/>
        <w:topLinePunct w:val="0"/>
        <w:autoSpaceDE/>
        <w:autoSpaceDN/>
        <w:bidi w:val="0"/>
        <w:adjustRightInd w:val="0"/>
        <w:snapToGrid w:val="0"/>
        <w:spacing w:line="360" w:lineRule="auto"/>
        <w:ind w:left="120" w:leftChars="57" w:firstLine="330" w:firstLineChars="15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15.2、采购人或者采购代理机构应当自成交人确定之日起2个工作日内，在指定的媒体（《</w:t>
      </w:r>
      <w:r>
        <w:rPr>
          <w:rFonts w:hint="eastAsia" w:ascii="黑体" w:hAnsi="黑体" w:eastAsia="黑体" w:cs="黑体"/>
          <w:color w:val="auto"/>
          <w:sz w:val="22"/>
          <w:szCs w:val="22"/>
          <w:highlight w:val="none"/>
          <w:lang w:eastAsia="zh-CN"/>
        </w:rPr>
        <w:t>陕西省政府采购网</w:t>
      </w:r>
      <w:r>
        <w:rPr>
          <w:rFonts w:hint="eastAsia" w:ascii="黑体" w:hAnsi="黑体" w:eastAsia="黑体" w:cs="黑体"/>
          <w:color w:val="auto"/>
          <w:sz w:val="22"/>
          <w:szCs w:val="22"/>
          <w:highlight w:val="none"/>
        </w:rPr>
        <w:t>》）发布采购结果公告，磋商文件应当随采购结果公告同时公告。采购结果公告内容应当包括采购人及其委托的采购代理机构的名称、地址、联系方式，项目名称和项目编号，成交人名称、地址和成交金额，主要成交标的的名称、</w:t>
      </w:r>
      <w:r>
        <w:rPr>
          <w:rFonts w:hint="eastAsia" w:ascii="黑体" w:hAnsi="黑体" w:eastAsia="黑体" w:cs="黑体"/>
          <w:color w:val="auto"/>
          <w:sz w:val="22"/>
          <w:szCs w:val="22"/>
          <w:highlight w:val="none"/>
          <w:lang w:val="en-US" w:eastAsia="zh-CN"/>
        </w:rPr>
        <w:t>完成时间</w:t>
      </w:r>
      <w:r>
        <w:rPr>
          <w:rFonts w:hint="eastAsia" w:ascii="黑体" w:hAnsi="黑体" w:eastAsia="黑体" w:cs="黑体"/>
          <w:color w:val="auto"/>
          <w:sz w:val="22"/>
          <w:szCs w:val="22"/>
          <w:highlight w:val="none"/>
        </w:rPr>
        <w:t>、服务要求，成交公告期限以及</w:t>
      </w:r>
      <w:r>
        <w:rPr>
          <w:rFonts w:hint="eastAsia" w:ascii="黑体" w:hAnsi="黑体" w:eastAsia="黑体" w:cs="黑体"/>
          <w:color w:val="auto"/>
          <w:sz w:val="22"/>
          <w:szCs w:val="22"/>
          <w:highlight w:val="none"/>
          <w:lang w:eastAsia="zh-CN"/>
        </w:rPr>
        <w:t>磋商小组</w:t>
      </w:r>
      <w:r>
        <w:rPr>
          <w:rFonts w:hint="eastAsia" w:ascii="黑体" w:hAnsi="黑体" w:eastAsia="黑体" w:cs="黑体"/>
          <w:color w:val="auto"/>
          <w:sz w:val="22"/>
          <w:szCs w:val="22"/>
          <w:highlight w:val="none"/>
        </w:rPr>
        <w:t>名单。采购结果公告期限为1个工作日。</w:t>
      </w:r>
    </w:p>
    <w:p>
      <w:pPr>
        <w:keepNext w:val="0"/>
        <w:keepLines w:val="0"/>
        <w:pageBreakBefore w:val="0"/>
        <w:tabs>
          <w:tab w:val="left" w:pos="0"/>
        </w:tabs>
        <w:wordWrap/>
        <w:overflowPunct/>
        <w:topLinePunct w:val="0"/>
        <w:autoSpaceDE/>
        <w:autoSpaceDN/>
        <w:bidi w:val="0"/>
        <w:adjustRightInd w:val="0"/>
        <w:snapToGrid w:val="0"/>
        <w:spacing w:line="360" w:lineRule="auto"/>
        <w:ind w:left="19" w:leftChars="9" w:firstLine="420" w:firstLineChars="191"/>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15.3、在发布采购结果公告的同时，采购人或者采购代理机构应当向成交人发出成交通知书。</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15.4、成交通知书发出后，采购人不得违法改变</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结果，成交人无正当理由不得放弃。</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五、签订合同</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16、签订合同</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磋商，取消其</w:t>
      </w:r>
      <w:r>
        <w:rPr>
          <w:rFonts w:hint="eastAsia" w:ascii="黑体" w:hAnsi="黑体" w:eastAsia="黑体" w:cs="黑体"/>
          <w:color w:val="auto"/>
          <w:kern w:val="1"/>
          <w:sz w:val="22"/>
          <w:szCs w:val="22"/>
          <w:highlight w:val="none"/>
          <w:lang w:eastAsia="zh-CN"/>
        </w:rPr>
        <w:t>成交</w:t>
      </w:r>
      <w:r>
        <w:rPr>
          <w:rFonts w:hint="eastAsia" w:ascii="黑体" w:hAnsi="黑体" w:eastAsia="黑体" w:cs="黑体"/>
          <w:color w:val="auto"/>
          <w:kern w:val="1"/>
          <w:sz w:val="22"/>
          <w:szCs w:val="22"/>
          <w:highlight w:val="none"/>
        </w:rPr>
        <w:t>资格；给采购人造成的损失的，采购人将对其予以追偿。</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16.2、政府采购合同应当包括采购人与</w:t>
      </w:r>
      <w:r>
        <w:rPr>
          <w:rFonts w:hint="eastAsia" w:ascii="黑体" w:hAnsi="黑体" w:eastAsia="黑体" w:cs="黑体"/>
          <w:color w:val="auto"/>
          <w:kern w:val="1"/>
          <w:sz w:val="22"/>
          <w:szCs w:val="22"/>
          <w:highlight w:val="none"/>
          <w:lang w:eastAsia="zh-CN"/>
        </w:rPr>
        <w:t>成交</w:t>
      </w:r>
      <w:r>
        <w:rPr>
          <w:rFonts w:hint="eastAsia" w:ascii="黑体" w:hAnsi="黑体" w:eastAsia="黑体" w:cs="黑体"/>
          <w:color w:val="auto"/>
          <w:kern w:val="1"/>
          <w:sz w:val="22"/>
          <w:szCs w:val="22"/>
          <w:highlight w:val="none"/>
        </w:rPr>
        <w:t>人的名称和住所、标的、数量、质量、价款或者报酬、履行期限及地点和方式、验收要求、违约责任、解决争议的方法等内容。采购人与</w:t>
      </w:r>
      <w:r>
        <w:rPr>
          <w:rFonts w:hint="eastAsia" w:ascii="黑体" w:hAnsi="黑体" w:eastAsia="黑体" w:cs="黑体"/>
          <w:color w:val="auto"/>
          <w:kern w:val="1"/>
          <w:sz w:val="22"/>
          <w:szCs w:val="22"/>
          <w:highlight w:val="none"/>
          <w:lang w:eastAsia="zh-CN"/>
        </w:rPr>
        <w:t>成交</w:t>
      </w:r>
      <w:r>
        <w:rPr>
          <w:rFonts w:hint="eastAsia" w:ascii="黑体" w:hAnsi="黑体" w:eastAsia="黑体" w:cs="黑体"/>
          <w:color w:val="auto"/>
          <w:kern w:val="1"/>
          <w:sz w:val="22"/>
          <w:szCs w:val="22"/>
          <w:highlight w:val="none"/>
        </w:rPr>
        <w:t>人应当根据合同的约定依法履行合同义务。政府采购合同的履行、违约责任和解决争议的方法等适用《</w:t>
      </w:r>
      <w:r>
        <w:rPr>
          <w:rFonts w:hint="eastAsia" w:ascii="黑体" w:hAnsi="黑体" w:eastAsia="黑体" w:cs="黑体"/>
          <w:color w:val="auto"/>
          <w:kern w:val="1"/>
          <w:sz w:val="22"/>
          <w:szCs w:val="22"/>
          <w:highlight w:val="none"/>
          <w:lang w:eastAsia="zh-CN"/>
        </w:rPr>
        <w:t>中华人民共和国民法典</w:t>
      </w:r>
      <w:r>
        <w:rPr>
          <w:rFonts w:hint="eastAsia" w:ascii="黑体" w:hAnsi="黑体" w:eastAsia="黑体" w:cs="黑体"/>
          <w:color w:val="auto"/>
          <w:kern w:val="1"/>
          <w:sz w:val="22"/>
          <w:szCs w:val="22"/>
          <w:highlight w:val="none"/>
        </w:rPr>
        <w:t>》。</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16.3、采购人应当自合同签订之日起七个工作日内，按照有关规定将合同副本报政府采购监管机关备案。</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16.4、采购人应当及时对采购项目进行验收。采购人可以邀请参加本项目的其他供应商或者第三方机构参与验收。参与验收的供应商或者第三方机构的意见作为验收书的参考资料一并存档。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16.5、成交供应商有下列情形之一的，责令限期改正，情节严重的，列入不良行为记录名单，在1至3年内禁止参加政府采购活动，并予以通报：</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16.5.1、成交后无正当理由不与采购人签订合同的；</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16.5.2、未按照采购文件确定的事项签订政府采购合同，或者与采购人另行订立背离合同实质性内容的协议的；</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16.5.3、拒绝履行合同义务的；</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16.5.4、违反法律、规章、规范性文件规定的。</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kern w:val="1"/>
          <w:sz w:val="22"/>
          <w:szCs w:val="22"/>
          <w:highlight w:val="none"/>
        </w:rPr>
      </w:pPr>
      <w:r>
        <w:rPr>
          <w:rFonts w:hint="eastAsia" w:ascii="黑体" w:hAnsi="黑体" w:eastAsia="黑体" w:cs="黑体"/>
          <w:b/>
          <w:color w:val="auto"/>
          <w:kern w:val="1"/>
          <w:sz w:val="22"/>
          <w:szCs w:val="22"/>
          <w:highlight w:val="none"/>
        </w:rPr>
        <w:t>17、</w:t>
      </w:r>
      <w:r>
        <w:rPr>
          <w:rFonts w:hint="eastAsia" w:ascii="黑体" w:hAnsi="黑体" w:eastAsia="黑体" w:cs="黑体"/>
          <w:b/>
          <w:bCs/>
          <w:color w:val="auto"/>
          <w:kern w:val="1"/>
          <w:sz w:val="22"/>
          <w:szCs w:val="22"/>
          <w:highlight w:val="none"/>
        </w:rPr>
        <w:t>合同履行</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
          <w:bCs/>
          <w:color w:val="auto"/>
          <w:kern w:val="1"/>
          <w:sz w:val="22"/>
          <w:szCs w:val="22"/>
          <w:highlight w:val="none"/>
        </w:rPr>
      </w:pPr>
      <w:r>
        <w:rPr>
          <w:rFonts w:hint="eastAsia" w:ascii="黑体" w:hAnsi="黑体" w:eastAsia="黑体" w:cs="黑体"/>
          <w:color w:val="auto"/>
          <w:kern w:val="1"/>
          <w:sz w:val="22"/>
          <w:szCs w:val="22"/>
          <w:highlight w:val="none"/>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17.2、政府采购合同履行中，采购人需追加与合同标的相同的服务或货物的，在不改变合同其他条款的前提下，可以与磋商供应商签订补充合同。</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color w:val="auto"/>
          <w:kern w:val="1"/>
          <w:sz w:val="22"/>
          <w:szCs w:val="22"/>
          <w:highlight w:val="none"/>
        </w:rPr>
        <w:t>六、终止采购</w:t>
      </w:r>
    </w:p>
    <w:p>
      <w:pPr>
        <w:keepNext w:val="0"/>
        <w:keepLines w:val="0"/>
        <w:pageBreakBefore w:val="0"/>
        <w:widowControl/>
        <w:wordWrap/>
        <w:overflowPunct/>
        <w:topLinePunct w:val="0"/>
        <w:autoSpaceDE/>
        <w:autoSpaceDN/>
        <w:bidi w:val="0"/>
        <w:adjustRightInd w:val="0"/>
        <w:snapToGrid w:val="0"/>
        <w:spacing w:line="360" w:lineRule="auto"/>
        <w:ind w:firstLine="636"/>
        <w:textAlignment w:val="auto"/>
        <w:rPr>
          <w:rFonts w:hint="eastAsia" w:ascii="黑体" w:hAnsi="黑体" w:eastAsia="黑体" w:cs="黑体"/>
          <w:snapToGrid w:val="0"/>
          <w:color w:val="auto"/>
          <w:kern w:val="0"/>
          <w:sz w:val="22"/>
          <w:szCs w:val="22"/>
          <w:highlight w:val="none"/>
        </w:rPr>
      </w:pPr>
      <w:r>
        <w:rPr>
          <w:rFonts w:hint="eastAsia" w:ascii="黑体" w:hAnsi="黑体" w:eastAsia="黑体" w:cs="黑体"/>
          <w:bCs/>
          <w:color w:val="auto"/>
          <w:sz w:val="22"/>
          <w:szCs w:val="22"/>
          <w:highlight w:val="none"/>
        </w:rPr>
        <w:t>18、</w:t>
      </w:r>
      <w:r>
        <w:rPr>
          <w:rFonts w:hint="eastAsia" w:ascii="黑体" w:hAnsi="黑体" w:eastAsia="黑体" w:cs="黑体"/>
          <w:snapToGrid w:val="0"/>
          <w:color w:val="auto"/>
          <w:kern w:val="0"/>
          <w:sz w:val="22"/>
          <w:szCs w:val="22"/>
          <w:highlight w:val="none"/>
        </w:rPr>
        <w:t>出现下列情形之一的，采购人或者采购代理机构应当终止采购活动，发布项目终止公告并说明原因，重新开展采购活动：</w:t>
      </w:r>
    </w:p>
    <w:p>
      <w:pPr>
        <w:keepNext w:val="0"/>
        <w:keepLines w:val="0"/>
        <w:pageBreakBefore w:val="0"/>
        <w:widowControl/>
        <w:wordWrap/>
        <w:overflowPunct/>
        <w:topLinePunct w:val="0"/>
        <w:autoSpaceDE/>
        <w:autoSpaceDN/>
        <w:bidi w:val="0"/>
        <w:adjustRightInd w:val="0"/>
        <w:snapToGrid w:val="0"/>
        <w:spacing w:line="360" w:lineRule="auto"/>
        <w:ind w:firstLine="636"/>
        <w:textAlignment w:val="auto"/>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18.1、因情况变化，不再符合规定的采购方式适用情形的；</w:t>
      </w:r>
    </w:p>
    <w:p>
      <w:pPr>
        <w:keepNext w:val="0"/>
        <w:keepLines w:val="0"/>
        <w:pageBreakBefore w:val="0"/>
        <w:widowControl/>
        <w:wordWrap/>
        <w:overflowPunct/>
        <w:topLinePunct w:val="0"/>
        <w:autoSpaceDE/>
        <w:autoSpaceDN/>
        <w:bidi w:val="0"/>
        <w:adjustRightInd w:val="0"/>
        <w:snapToGrid w:val="0"/>
        <w:spacing w:line="360" w:lineRule="auto"/>
        <w:ind w:firstLine="645"/>
        <w:textAlignment w:val="auto"/>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18.2、出现影响采购公正的违法、违规行为的；</w:t>
      </w:r>
    </w:p>
    <w:p>
      <w:pPr>
        <w:keepNext w:val="0"/>
        <w:keepLines w:val="0"/>
        <w:pageBreakBefore w:val="0"/>
        <w:widowControl/>
        <w:wordWrap/>
        <w:overflowPunct/>
        <w:topLinePunct w:val="0"/>
        <w:autoSpaceDE/>
        <w:autoSpaceDN/>
        <w:bidi w:val="0"/>
        <w:adjustRightInd w:val="0"/>
        <w:snapToGrid w:val="0"/>
        <w:spacing w:line="360" w:lineRule="auto"/>
        <w:ind w:firstLine="636"/>
        <w:textAlignment w:val="auto"/>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18.3、采购过程中符合要求的供应商（社会资本）只有1家的，采购人（项目实施机构）或者采购代理机构应当终止竞争性磋商采购活动，发布项目终止公告并说明原因，重新开展采购活动。</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七、相关费用</w:t>
      </w:r>
    </w:p>
    <w:p>
      <w:pPr>
        <w:keepNext w:val="0"/>
        <w:keepLines w:val="0"/>
        <w:pageBreakBefore w:val="0"/>
        <w:wordWrap/>
        <w:overflowPunct/>
        <w:topLinePunct w:val="0"/>
        <w:autoSpaceDE/>
        <w:autoSpaceDN/>
        <w:bidi w:val="0"/>
        <w:adjustRightInd w:val="0"/>
        <w:snapToGrid w:val="0"/>
        <w:spacing w:line="360" w:lineRule="auto"/>
        <w:ind w:firstLine="442" w:firstLineChars="200"/>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19、采购代理服务费数额及缴纳方式</w:t>
      </w:r>
    </w:p>
    <w:p>
      <w:pPr>
        <w:keepNext w:val="0"/>
        <w:keepLines w:val="0"/>
        <w:pageBreakBefore w:val="0"/>
        <w:wordWrap/>
        <w:overflowPunct/>
        <w:topLinePunct w:val="0"/>
        <w:autoSpaceDE/>
        <w:autoSpaceDN/>
        <w:bidi w:val="0"/>
        <w:adjustRightInd w:val="0"/>
        <w:snapToGrid w:val="0"/>
        <w:spacing w:line="360" w:lineRule="auto"/>
        <w:ind w:firstLine="573"/>
        <w:textAlignment w:val="auto"/>
        <w:rPr>
          <w:rFonts w:hint="eastAsia" w:ascii="黑体" w:hAnsi="黑体" w:eastAsia="黑体" w:cs="黑体"/>
          <w:snapToGrid w:val="0"/>
          <w:color w:val="auto"/>
          <w:kern w:val="0"/>
          <w:sz w:val="22"/>
          <w:szCs w:val="22"/>
          <w:highlight w:val="none"/>
        </w:rPr>
      </w:pPr>
      <w:r>
        <w:rPr>
          <w:rFonts w:hint="eastAsia" w:ascii="黑体" w:hAnsi="黑体" w:eastAsia="黑体" w:cs="黑体"/>
          <w:color w:val="auto"/>
          <w:sz w:val="22"/>
          <w:szCs w:val="22"/>
          <w:highlight w:val="none"/>
        </w:rPr>
        <w:t>19.1、</w:t>
      </w:r>
      <w:r>
        <w:rPr>
          <w:rFonts w:hint="eastAsia" w:ascii="黑体" w:hAnsi="黑体" w:eastAsia="黑体" w:cs="黑体"/>
          <w:snapToGrid w:val="0"/>
          <w:color w:val="auto"/>
          <w:kern w:val="0"/>
          <w:sz w:val="22"/>
          <w:szCs w:val="22"/>
          <w:highlight w:val="none"/>
        </w:rPr>
        <w:t>采购代理服务费数额：成交供应商在领取《成交通知书》的同时，应按国家收费标准向采购代理机构缴纳采购代理服务费，详见《招标代理服务收费标准（2011年）》及本项目采购结果公告。</w:t>
      </w:r>
    </w:p>
    <w:p>
      <w:pPr>
        <w:keepNext w:val="0"/>
        <w:keepLines w:val="0"/>
        <w:pageBreakBefore w:val="0"/>
        <w:tabs>
          <w:tab w:val="left" w:pos="0"/>
        </w:tabs>
        <w:wordWrap/>
        <w:overflowPunct/>
        <w:topLinePunct w:val="0"/>
        <w:autoSpaceDE/>
        <w:autoSpaceDN/>
        <w:bidi w:val="0"/>
        <w:adjustRightInd w:val="0"/>
        <w:snapToGrid w:val="0"/>
        <w:spacing w:line="360" w:lineRule="auto"/>
        <w:ind w:right="115" w:rightChars="55" w:firstLine="440" w:firstLineChars="200"/>
        <w:textAlignment w:val="auto"/>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19.2、采购代理服务费缴纳方式：以银行转账形式。均应从企业基本账户转出，并在“用途”一栏填写：</w:t>
      </w:r>
      <w:r>
        <w:rPr>
          <w:rFonts w:hint="eastAsia" w:ascii="黑体" w:hAnsi="黑体" w:eastAsia="黑体" w:cs="黑体"/>
          <w:color w:val="auto"/>
          <w:sz w:val="22"/>
          <w:szCs w:val="22"/>
          <w:highlight w:val="none"/>
          <w:u w:val="single"/>
          <w:lang w:eastAsia="zh-CN"/>
        </w:rPr>
        <w:t>（</w:t>
      </w:r>
      <w:r>
        <w:rPr>
          <w:rFonts w:hint="eastAsia" w:ascii="黑体" w:hAnsi="黑体" w:eastAsia="黑体" w:cs="黑体"/>
          <w:color w:val="auto"/>
          <w:sz w:val="22"/>
          <w:szCs w:val="22"/>
          <w:highlight w:val="none"/>
          <w:u w:val="single"/>
          <w:lang w:val="en-US" w:eastAsia="zh-CN"/>
        </w:rPr>
        <w:t>项目名称/项目编号</w:t>
      </w:r>
      <w:r>
        <w:rPr>
          <w:rFonts w:hint="eastAsia" w:ascii="黑体" w:hAnsi="黑体" w:eastAsia="黑体" w:cs="黑体"/>
          <w:color w:val="auto"/>
          <w:sz w:val="22"/>
          <w:szCs w:val="22"/>
          <w:highlight w:val="none"/>
          <w:u w:val="single"/>
          <w:lang w:eastAsia="zh-CN"/>
        </w:rPr>
        <w:t>）</w:t>
      </w:r>
      <w:r>
        <w:rPr>
          <w:rFonts w:hint="eastAsia" w:ascii="黑体" w:hAnsi="黑体" w:eastAsia="黑体" w:cs="黑体"/>
          <w:color w:val="auto"/>
          <w:sz w:val="22"/>
          <w:szCs w:val="22"/>
          <w:highlight w:val="none"/>
          <w:u w:val="single"/>
        </w:rPr>
        <w:t>代理服务费；</w:t>
      </w:r>
    </w:p>
    <w:p>
      <w:pPr>
        <w:keepNext w:val="0"/>
        <w:keepLines w:val="0"/>
        <w:pageBreakBefore w:val="0"/>
        <w:wordWrap/>
        <w:overflowPunct/>
        <w:topLinePunct w:val="0"/>
        <w:autoSpaceDE/>
        <w:autoSpaceDN/>
        <w:bidi w:val="0"/>
        <w:adjustRightInd w:val="0"/>
        <w:snapToGrid w:val="0"/>
        <w:spacing w:line="360" w:lineRule="auto"/>
        <w:ind w:firstLine="573"/>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采购代理服务费缴纳账户：</w:t>
      </w:r>
    </w:p>
    <w:p>
      <w:pPr>
        <w:keepNext w:val="0"/>
        <w:keepLines w:val="0"/>
        <w:pageBreakBefore w:val="0"/>
        <w:widowControl w:val="0"/>
        <w:kinsoku/>
        <w:wordWrap/>
        <w:overflowPunct/>
        <w:topLinePunct w:val="0"/>
        <w:autoSpaceDE/>
        <w:autoSpaceDN/>
        <w:bidi w:val="0"/>
        <w:snapToGrid w:val="0"/>
        <w:spacing w:line="288" w:lineRule="auto"/>
        <w:ind w:firstLine="440" w:firstLineChars="200"/>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账户名称：同正项目管理有限公司汉中分公司</w:t>
      </w:r>
    </w:p>
    <w:p>
      <w:pPr>
        <w:keepNext w:val="0"/>
        <w:keepLines w:val="0"/>
        <w:pageBreakBefore w:val="0"/>
        <w:widowControl w:val="0"/>
        <w:kinsoku/>
        <w:wordWrap/>
        <w:overflowPunct/>
        <w:topLinePunct w:val="0"/>
        <w:autoSpaceDE/>
        <w:autoSpaceDN/>
        <w:bidi w:val="0"/>
        <w:snapToGrid w:val="0"/>
        <w:spacing w:line="288" w:lineRule="auto"/>
        <w:ind w:firstLine="440" w:firstLineChars="200"/>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 xml:space="preserve">开户银行：中国建设银行股份有限公司汉中北环路支行  </w:t>
      </w:r>
    </w:p>
    <w:p>
      <w:pPr>
        <w:keepNext w:val="0"/>
        <w:keepLines w:val="0"/>
        <w:pageBreakBefore w:val="0"/>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账    号：6105 0165 5200 0000 0101</w:t>
      </w:r>
    </w:p>
    <w:p>
      <w:pPr>
        <w:keepNext w:val="0"/>
        <w:keepLines w:val="0"/>
        <w:pageBreakBefore w:val="0"/>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color w:val="auto"/>
          <w:kern w:val="1"/>
          <w:sz w:val="22"/>
          <w:szCs w:val="22"/>
          <w:highlight w:val="none"/>
        </w:rPr>
        <w:t>八、</w:t>
      </w:r>
      <w:r>
        <w:rPr>
          <w:rFonts w:hint="eastAsia" w:ascii="黑体" w:hAnsi="黑体" w:eastAsia="黑体" w:cs="黑体"/>
          <w:b/>
          <w:bCs/>
          <w:color w:val="auto"/>
          <w:sz w:val="22"/>
          <w:szCs w:val="22"/>
          <w:highlight w:val="none"/>
        </w:rPr>
        <w:t>质疑与投诉</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20、关于质疑函的提出与答复：</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keepNext w:val="0"/>
        <w:keepLines w:val="0"/>
        <w:pageBreakBefore w:val="0"/>
        <w:tabs>
          <w:tab w:val="left" w:pos="1155"/>
        </w:tabs>
        <w:wordWrap/>
        <w:overflowPunct/>
        <w:topLinePunct w:val="0"/>
        <w:autoSpaceDE/>
        <w:autoSpaceDN/>
        <w:bidi w:val="0"/>
        <w:adjustRightInd w:val="0"/>
        <w:snapToGrid w:val="0"/>
        <w:spacing w:line="360" w:lineRule="auto"/>
        <w:ind w:firstLine="1325" w:firstLineChars="600"/>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联系人：</w:t>
      </w:r>
      <w:r>
        <w:rPr>
          <w:rFonts w:hint="eastAsia" w:ascii="黑体" w:hAnsi="黑体" w:eastAsia="黑体" w:cs="黑体"/>
          <w:b/>
          <w:color w:val="auto"/>
          <w:sz w:val="22"/>
          <w:szCs w:val="22"/>
          <w:highlight w:val="none"/>
          <w:lang w:val="en-US" w:eastAsia="zh-CN"/>
        </w:rPr>
        <w:t>杨</w:t>
      </w:r>
      <w:r>
        <w:rPr>
          <w:rFonts w:hint="eastAsia" w:ascii="黑体" w:hAnsi="黑体" w:eastAsia="黑体" w:cs="黑体"/>
          <w:b/>
          <w:color w:val="auto"/>
          <w:sz w:val="22"/>
          <w:szCs w:val="22"/>
          <w:highlight w:val="none"/>
          <w:lang w:eastAsia="zh-CN"/>
        </w:rPr>
        <w:t>女士</w:t>
      </w:r>
      <w:r>
        <w:rPr>
          <w:rFonts w:hint="eastAsia" w:ascii="黑体" w:hAnsi="黑体" w:eastAsia="黑体" w:cs="黑体"/>
          <w:b/>
          <w:color w:val="auto"/>
          <w:sz w:val="22"/>
          <w:szCs w:val="22"/>
          <w:highlight w:val="none"/>
        </w:rPr>
        <w:t xml:space="preserve">           联系电话：</w:t>
      </w:r>
      <w:r>
        <w:rPr>
          <w:rFonts w:hint="eastAsia" w:ascii="黑体" w:hAnsi="黑体" w:eastAsia="黑体" w:cs="黑体"/>
          <w:b/>
          <w:color w:val="auto"/>
          <w:sz w:val="22"/>
          <w:szCs w:val="22"/>
          <w:highlight w:val="none"/>
          <w:lang w:val="en-US" w:eastAsia="zh-CN"/>
        </w:rPr>
        <w:t>0916-8897702</w:t>
      </w:r>
      <w:r>
        <w:rPr>
          <w:rFonts w:hint="eastAsia" w:ascii="黑体" w:hAnsi="黑体" w:eastAsia="黑体" w:cs="黑体"/>
          <w:b/>
          <w:color w:val="auto"/>
          <w:sz w:val="22"/>
          <w:szCs w:val="22"/>
          <w:highlight w:val="none"/>
        </w:rPr>
        <w:t xml:space="preserve">        </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2" w:firstLineChars="200"/>
        <w:textAlignment w:val="auto"/>
        <w:rPr>
          <w:rFonts w:hint="eastAsia" w:ascii="黑体" w:hAnsi="黑体" w:eastAsia="黑体" w:cs="黑体"/>
          <w:bCs/>
          <w:color w:val="auto"/>
          <w:sz w:val="22"/>
          <w:szCs w:val="22"/>
          <w:highlight w:val="none"/>
        </w:rPr>
      </w:pPr>
      <w:r>
        <w:rPr>
          <w:rFonts w:hint="eastAsia" w:ascii="黑体" w:hAnsi="黑体" w:eastAsia="黑体" w:cs="黑体"/>
          <w:b/>
          <w:color w:val="auto"/>
          <w:sz w:val="22"/>
          <w:szCs w:val="22"/>
          <w:highlight w:val="none"/>
        </w:rPr>
        <w:t>通讯地址：</w:t>
      </w:r>
      <w:r>
        <w:rPr>
          <w:rFonts w:hint="eastAsia" w:ascii="黑体" w:hAnsi="黑体" w:eastAsia="黑体" w:cs="黑体"/>
          <w:b/>
          <w:color w:val="auto"/>
          <w:sz w:val="22"/>
          <w:szCs w:val="22"/>
          <w:highlight w:val="none"/>
          <w:lang w:eastAsia="zh-CN"/>
        </w:rPr>
        <w:t>同正项目管理有限公司</w:t>
      </w:r>
      <w:r>
        <w:rPr>
          <w:rFonts w:hint="eastAsia" w:ascii="黑体" w:hAnsi="黑体" w:eastAsia="黑体" w:cs="黑体"/>
          <w:b/>
          <w:color w:val="auto"/>
          <w:sz w:val="22"/>
          <w:szCs w:val="22"/>
          <w:highlight w:val="none"/>
        </w:rPr>
        <w:t>（</w:t>
      </w:r>
      <w:r>
        <w:rPr>
          <w:rFonts w:hint="eastAsia" w:ascii="黑体" w:hAnsi="黑体" w:eastAsia="黑体" w:cs="黑体"/>
          <w:b/>
          <w:color w:val="auto"/>
          <w:sz w:val="22"/>
          <w:szCs w:val="22"/>
          <w:highlight w:val="none"/>
          <w:lang w:eastAsia="zh-CN"/>
        </w:rPr>
        <w:t>汉中市汉台区前进西路中航尚街7号楼附3层</w:t>
      </w:r>
      <w:r>
        <w:rPr>
          <w:rFonts w:hint="eastAsia" w:ascii="黑体" w:hAnsi="黑体" w:eastAsia="黑体" w:cs="黑体"/>
          <w:b/>
          <w:color w:val="auto"/>
          <w:sz w:val="22"/>
          <w:szCs w:val="22"/>
          <w:highlight w:val="none"/>
        </w:rPr>
        <w:t>）</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20.2、供应商提出质疑应当提交质疑函（质疑函按</w:t>
      </w:r>
      <w:r>
        <w:rPr>
          <w:rFonts w:hint="eastAsia" w:ascii="黑体" w:hAnsi="黑体" w:eastAsia="黑体" w:cs="黑体"/>
          <w:bCs/>
          <w:color w:val="auto"/>
          <w:sz w:val="22"/>
          <w:szCs w:val="22"/>
          <w:highlight w:val="none"/>
          <w:lang w:eastAsia="zh-CN"/>
        </w:rPr>
        <w:t>陕西省政府采购网</w:t>
      </w:r>
      <w:r>
        <w:rPr>
          <w:rFonts w:hint="eastAsia" w:ascii="黑体" w:hAnsi="黑体" w:eastAsia="黑体" w:cs="黑体"/>
          <w:bCs/>
          <w:color w:val="auto"/>
          <w:sz w:val="22"/>
          <w:szCs w:val="22"/>
          <w:highlight w:val="none"/>
        </w:rPr>
        <w:t>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Cs/>
          <w:color w:val="auto"/>
          <w:sz w:val="22"/>
          <w:szCs w:val="22"/>
          <w:highlight w:val="none"/>
          <w:lang w:eastAsia="zh-CN"/>
        </w:rPr>
      </w:pPr>
      <w:r>
        <w:rPr>
          <w:rFonts w:hint="eastAsia" w:ascii="黑体" w:hAnsi="黑体" w:eastAsia="黑体" w:cs="黑体"/>
          <w:bCs/>
          <w:color w:val="auto"/>
          <w:sz w:val="22"/>
          <w:szCs w:val="22"/>
          <w:highlight w:val="none"/>
        </w:rPr>
        <w:t xml:space="preserve">    20.3、出现磋商供应商认为采购文件、采购过程和</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对采购过程提出质疑的，为各采购程序环节结束之日；对</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或者成交结果提出质疑的，为</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或者成交结果公告期限届满之日（针对同一采购程序环节的质疑原则上应当一次性提出）。本项目供应商通过至代理机构现场获取磋商文件，以供应商收到采购文件之日为起点计算法定质疑期</w:t>
      </w:r>
      <w:r>
        <w:rPr>
          <w:rFonts w:hint="eastAsia" w:ascii="黑体" w:hAnsi="黑体" w:eastAsia="黑体" w:cs="黑体"/>
          <w:bCs/>
          <w:color w:val="auto"/>
          <w:sz w:val="22"/>
          <w:szCs w:val="22"/>
          <w:highlight w:val="none"/>
          <w:lang w:eastAsia="zh-CN"/>
        </w:rPr>
        <w:t>。</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或者成交候选人中另行确定</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、成交供应商的，应当依法另行确定</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、成交供应商，否则应当重新开展采购活动。质疑答复导致</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、成交结果改变的，采购人或者采购代理机构应当将有关情况书面报告本级财政部门。</w:t>
      </w:r>
    </w:p>
    <w:p>
      <w:pPr>
        <w:keepNext w:val="0"/>
        <w:keepLines w:val="0"/>
        <w:pageBreakBefore w:val="0"/>
        <w:tabs>
          <w:tab w:val="left" w:pos="1155"/>
        </w:tabs>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20.5、出现磋商供应商认为采购文件、采购过程、</w:t>
      </w:r>
      <w:r>
        <w:rPr>
          <w:rFonts w:hint="eastAsia" w:ascii="黑体" w:hAnsi="黑体" w:eastAsia="黑体" w:cs="黑体"/>
          <w:bCs/>
          <w:color w:val="auto"/>
          <w:sz w:val="22"/>
          <w:szCs w:val="22"/>
          <w:highlight w:val="none"/>
          <w:lang w:eastAsia="zh-CN"/>
        </w:rPr>
        <w:t>成交</w:t>
      </w:r>
      <w:r>
        <w:rPr>
          <w:rFonts w:hint="eastAsia" w:ascii="黑体" w:hAnsi="黑体" w:eastAsia="黑体" w:cs="黑体"/>
          <w:bCs/>
          <w:color w:val="auto"/>
          <w:sz w:val="22"/>
          <w:szCs w:val="22"/>
          <w:highlight w:val="none"/>
        </w:rPr>
        <w:t>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21、投诉提出</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1"/>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21.1、质疑供应商对采购人、采购代理机构的答复不满意，或者采购人、采购代理机构未在规定时间内作出答复的，可以在答复期满后15个工作日内向同级财政部门提起投诉。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1"/>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22、法律责任</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22.1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keepNext w:val="0"/>
        <w:keepLines w:val="0"/>
        <w:pageBreakBefore w:val="0"/>
        <w:tabs>
          <w:tab w:val="left" w:pos="1155"/>
        </w:tabs>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23、其他说明</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keepNext w:val="0"/>
        <w:keepLines w:val="0"/>
        <w:pageBreakBefore w:val="0"/>
        <w:tabs>
          <w:tab w:val="left" w:pos="1155"/>
        </w:tabs>
        <w:wordWrap/>
        <w:overflowPunct/>
        <w:topLinePunct w:val="0"/>
        <w:autoSpaceDE/>
        <w:autoSpaceDN/>
        <w:bidi w:val="0"/>
        <w:adjustRightInd w:val="0"/>
        <w:snapToGrid w:val="0"/>
        <w:spacing w:line="360" w:lineRule="auto"/>
        <w:ind w:firstLine="480"/>
        <w:textAlignment w:val="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4"/>
        <w:keepNext w:val="0"/>
        <w:keepLines w:val="0"/>
        <w:pageBreakBefore w:val="0"/>
        <w:widowControl/>
        <w:wordWrap/>
        <w:overflowPunct/>
        <w:topLinePunct w:val="0"/>
        <w:autoSpaceDE/>
        <w:autoSpaceDN/>
        <w:bidi w:val="0"/>
        <w:adjustRightInd w:val="0"/>
        <w:snapToGrid w:val="0"/>
        <w:spacing w:before="0" w:after="0" w:line="360" w:lineRule="auto"/>
        <w:ind w:firstLine="440" w:firstLineChars="200"/>
        <w:textAlignment w:val="auto"/>
        <w:rPr>
          <w:rFonts w:hint="eastAsia" w:ascii="黑体" w:hAnsi="黑体" w:eastAsia="黑体" w:cs="黑体"/>
          <w:b/>
          <w:color w:val="auto"/>
          <w:sz w:val="36"/>
          <w:szCs w:val="36"/>
          <w:highlight w:val="none"/>
        </w:rPr>
      </w:pPr>
      <w:bookmarkStart w:id="19" w:name="_Toc14206"/>
      <w:bookmarkStart w:id="20" w:name="_Toc21130"/>
      <w:bookmarkStart w:id="21" w:name="_Toc4069"/>
      <w:bookmarkStart w:id="22" w:name="_Toc15"/>
      <w:bookmarkStart w:id="23" w:name="_Toc10232"/>
      <w:r>
        <w:rPr>
          <w:rFonts w:hint="eastAsia" w:ascii="黑体" w:hAnsi="黑体" w:eastAsia="黑体" w:cs="黑体"/>
          <w:b w:val="0"/>
          <w:bCs/>
          <w:color w:val="auto"/>
          <w:sz w:val="22"/>
          <w:szCs w:val="22"/>
          <w:highlight w:val="none"/>
        </w:rPr>
        <w:t>23.3、质疑与投诉事宜依据《中华人民共和国政府采购法》、《政府采购法实施条例（国务院第658号令）》、《中华人民共和国财政部令第94号--政府采购质疑和投诉办法》及《陕财办采资（2016）53号》规定执行。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bookmarkStart w:id="24" w:name="_Toc16729"/>
      <w:bookmarkStart w:id="25" w:name="_Toc6006_WPSOffice_Level1"/>
      <w:bookmarkStart w:id="26" w:name="_Toc5771_WPSOffice_Level1"/>
      <w:bookmarkStart w:id="27" w:name="_Toc32525"/>
      <w:bookmarkStart w:id="28" w:name="_Toc1745"/>
      <w:bookmarkStart w:id="29" w:name="_Toc22675"/>
    </w:p>
    <w:p>
      <w:pPr>
        <w:rPr>
          <w:rFonts w:hint="eastAsia" w:ascii="黑体" w:hAnsi="黑体" w:eastAsia="黑体" w:cs="黑体"/>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p>
    <w:p>
      <w:pPr>
        <w:spacing w:afterLines="50"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评审办法</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本项目是根据《中华人民共和国政府采购法》及《政府采购法实施条例》等法律法规的规定，结合采购项目特点制定的评审办法。</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黑体" w:hAnsi="黑体" w:eastAsia="黑体" w:cs="黑体"/>
          <w:b/>
          <w:bCs w:val="0"/>
          <w:color w:val="auto"/>
          <w:kern w:val="2"/>
          <w:sz w:val="22"/>
          <w:szCs w:val="22"/>
          <w:highlight w:val="none"/>
          <w:lang w:val="en-US" w:eastAsia="zh-CN" w:bidi="ar-SA"/>
        </w:rPr>
      </w:pPr>
      <w:r>
        <w:rPr>
          <w:rFonts w:hint="eastAsia" w:ascii="黑体" w:hAnsi="黑体" w:eastAsia="黑体" w:cs="黑体"/>
          <w:b/>
          <w:bCs w:val="0"/>
          <w:color w:val="auto"/>
          <w:kern w:val="2"/>
          <w:sz w:val="22"/>
          <w:szCs w:val="22"/>
          <w:highlight w:val="none"/>
          <w:lang w:val="en-US" w:eastAsia="zh-CN" w:bidi="ar-SA"/>
        </w:rPr>
        <w:t>一、总则</w:t>
      </w:r>
    </w:p>
    <w:p>
      <w:pPr>
        <w:keepNext w:val="0"/>
        <w:keepLines w:val="0"/>
        <w:pageBreakBefore w:val="0"/>
        <w:widowControl w:val="0"/>
        <w:kinsoku/>
        <w:wordWrap/>
        <w:overflowPunct/>
        <w:topLinePunct w:val="0"/>
        <w:autoSpaceDE/>
        <w:autoSpaceDN/>
        <w:bidi w:val="0"/>
        <w:adjustRightInd w:val="0"/>
        <w:snapToGrid w:val="0"/>
        <w:spacing w:line="360" w:lineRule="auto"/>
        <w:ind w:firstLine="221" w:firstLineChars="100"/>
        <w:textAlignment w:val="auto"/>
        <w:rPr>
          <w:rFonts w:hint="eastAsia" w:ascii="黑体" w:hAnsi="黑体" w:eastAsia="黑体" w:cs="黑体"/>
          <w:color w:val="auto"/>
          <w:sz w:val="22"/>
          <w:szCs w:val="22"/>
          <w:highlight w:val="none"/>
        </w:rPr>
      </w:pPr>
      <w:r>
        <w:rPr>
          <w:rFonts w:hint="eastAsia" w:ascii="黑体" w:hAnsi="黑体" w:eastAsia="黑体" w:cs="黑体"/>
          <w:b/>
          <w:color w:val="auto"/>
          <w:sz w:val="22"/>
          <w:szCs w:val="22"/>
          <w:highlight w:val="none"/>
        </w:rPr>
        <w:t>1、原则</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31" w:firstLineChars="196"/>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1.1、“公平、公正、择优、效益”为本次评审的基本原则，磋商小组按照这一原则的要求，公正、平等地对待各磋商供应商。同时，在评审中恪守以下原则：</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1.1.1、统一性原则：磋商小组将按照统一的原则和方法，用统一标准进行评审。</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1.1.2、独立性原则:评审工作在磋商小组内部独立进行，不受外界任何因素的干扰和影响。磋商小组成员对其出具的意见承担个人责任。</w:t>
      </w:r>
      <w:r>
        <w:rPr>
          <w:rFonts w:hint="eastAsia" w:ascii="黑体" w:hAnsi="黑体" w:eastAsia="黑体" w:cs="黑体"/>
          <w:color w:val="auto"/>
          <w:kern w:val="0"/>
          <w:sz w:val="22"/>
          <w:szCs w:val="22"/>
          <w:highlight w:val="none"/>
        </w:rPr>
        <w:t>磋商供应商试图影响或干预评审的任何行为，将导致其丧失磋商的资格，并承担相应的法律责任。</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1.1.5、综合性原则:磋商小组将综合分析磋商供应商的各项指标，而不以单项指标的优劣评定出成交供应商。</w:t>
      </w:r>
    </w:p>
    <w:p>
      <w:pPr>
        <w:keepNext w:val="0"/>
        <w:keepLines w:val="0"/>
        <w:pageBreakBefore w:val="0"/>
        <w:tabs>
          <w:tab w:val="left" w:pos="0"/>
        </w:tabs>
        <w:kinsoku/>
        <w:wordWrap/>
        <w:overflowPunct/>
        <w:topLinePunct w:val="0"/>
        <w:bidi w:val="0"/>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1.2、磋商小组有权对整个</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和评审过程中出现的所有问题，根据《中华人民共和国政府采购法》、《中华人民共和国政府采购法实施条例》（第658号）、《政府采购竞争性磋商采购方式管理暂行办法》等相关规定进行处理。</w:t>
      </w:r>
    </w:p>
    <w:p>
      <w:pPr>
        <w:keepNext w:val="0"/>
        <w:keepLines w:val="0"/>
        <w:pageBreakBefore w:val="0"/>
        <w:kinsoku/>
        <w:wordWrap/>
        <w:overflowPunct/>
        <w:topLinePunct w:val="0"/>
        <w:bidi w:val="0"/>
        <w:adjustRightInd w:val="0"/>
        <w:snapToGrid w:val="0"/>
        <w:spacing w:line="360" w:lineRule="auto"/>
        <w:ind w:firstLine="495" w:firstLineChars="224"/>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2、磋商小组职责</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2.1、磋商小组独立履行下列职责：</w:t>
      </w:r>
    </w:p>
    <w:p>
      <w:pPr>
        <w:keepNext w:val="0"/>
        <w:keepLines w:val="0"/>
        <w:pageBreakBefore w:val="0"/>
        <w:kinsoku/>
        <w:wordWrap/>
        <w:overflowPunct/>
        <w:topLinePunct w:val="0"/>
        <w:bidi w:val="0"/>
        <w:adjustRightInd w:val="0"/>
        <w:snapToGrid w:val="0"/>
        <w:spacing w:line="360" w:lineRule="auto"/>
        <w:ind w:right="-239" w:rightChars="-114"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2.1.1、审查、评价磋商响应文件是否符合竞争性磋商文件的资格、商务、技术、服务等实质性要求；</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2.1.2、要求磋商供应商对磋商响应文件有关事项作出解释或者澄清；</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2.1.3、与入围的磋商供应商进行技术和商务磋商；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2.1.4、对磋商响应文件进行比较和评价；</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2.1.5、推荐成交候选磋商供应商名单；</w:t>
      </w:r>
    </w:p>
    <w:p>
      <w:pPr>
        <w:keepNext w:val="0"/>
        <w:keepLines w:val="0"/>
        <w:pageBreakBefore w:val="0"/>
        <w:shd w:val="clear"/>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2.1.6、向采购人、采购代理机构或者有关部门报告非法干预评审工作的行为。</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479" w:leftChars="228"/>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2.2、采购代理机构负责组织评审工作并履行下列职责：</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left="479" w:leftChars="228"/>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2.2.1、核对磋商小组成员身份和采购人代表授权函；</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2.2.2、宣布评审纪律；</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2.2.3、公布响应磋商供应商名单，告知磋商小组成员应当回避的情形；</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2.2.4、组织磋商小组成员推选评审小组组长，采购人代表不得担任组长；</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2.2.5、集中保管磋商小组成员及现场工作人员的通讯工具；</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2.2.6、根据磋商小组的要求介绍政府采购相关政策法规、竞争性磋商文件；</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2.2.7、维护评审秩序，监督磋商小组依照竞争性磋商文件规定的采购程序、评审方法和标准进行独立评审，对采购人代表、磋商小组成员的倾向性言论或违法违规行为及时制止和纠正；</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2.2.9、处理与评审有关的其他事项。</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2.3、采购人可以在评审前介绍项目背景和采购需求，介绍内容不得含有歧视性、倾向性意见，不得超出竞争性磋商文件所述范围。介绍应当提交书面介绍材料，并随采购文件一并存档。</w:t>
      </w:r>
    </w:p>
    <w:p>
      <w:pPr>
        <w:keepNext w:val="0"/>
        <w:keepLines w:val="0"/>
        <w:pageBreakBefore w:val="0"/>
        <w:widowControl/>
        <w:shd w:val="clear"/>
        <w:kinsoku/>
        <w:wordWrap/>
        <w:overflowPunct/>
        <w:topLinePunct w:val="0"/>
        <w:autoSpaceDE w:val="0"/>
        <w:autoSpaceDN w:val="0"/>
        <w:bidi w:val="0"/>
        <w:adjustRightInd w:val="0"/>
        <w:snapToGrid w:val="0"/>
        <w:spacing w:line="360" w:lineRule="auto"/>
        <w:ind w:right="51"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2.4、磋商小组及其成员，在评审中不得有下列行为：</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2.4.1、确定参与评审至评审结束前私自接触供应商；</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2.4.2、接受供应商提出的与磋商响应文件不一致的澄清或者说明，本章第4.1条规定的情形除外；</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2.4.3、违反评审纪律发表倾向性意见或者征询采购人的倾向性意见；</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2.4.4、对需要专业判断的主观评审因素协商评分；</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2.4.5、在评审过程中擅离职守，影响评审程序正常进行的；</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2.4.6、记录、复制或者带走任何评审资料；</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2.4.7、其他不遵守评审纪律的行为；</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6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2.4.8、磋商小组成员有前款第一至五项行为之一的，其评审意见无效</w:t>
      </w:r>
      <w:r>
        <w:rPr>
          <w:rFonts w:hint="eastAsia" w:ascii="黑体" w:hAnsi="黑体" w:eastAsia="黑体" w:cs="黑体"/>
          <w:color w:val="auto"/>
          <w:sz w:val="22"/>
          <w:szCs w:val="22"/>
          <w:highlight w:val="none"/>
          <w:lang w:eastAsia="zh-CN"/>
        </w:rPr>
        <w:t>。</w:t>
      </w:r>
    </w:p>
    <w:p>
      <w:pPr>
        <w:pStyle w:val="5"/>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黑体" w:hAnsi="黑体" w:eastAsia="黑体" w:cs="黑体"/>
          <w:b/>
          <w:bCs w:val="0"/>
          <w:color w:val="auto"/>
          <w:kern w:val="2"/>
          <w:sz w:val="22"/>
          <w:szCs w:val="22"/>
          <w:highlight w:val="none"/>
          <w:lang w:val="en-US" w:eastAsia="zh-CN" w:bidi="ar-SA"/>
        </w:rPr>
      </w:pPr>
      <w:r>
        <w:rPr>
          <w:rFonts w:hint="eastAsia" w:ascii="黑体" w:hAnsi="黑体" w:eastAsia="黑体" w:cs="黑体"/>
          <w:b/>
          <w:bCs w:val="0"/>
          <w:color w:val="auto"/>
          <w:kern w:val="2"/>
          <w:sz w:val="22"/>
          <w:szCs w:val="22"/>
          <w:highlight w:val="none"/>
          <w:lang w:val="en-US" w:eastAsia="zh-CN" w:bidi="ar-SA"/>
        </w:rPr>
        <w:t>二、评审步骤与评审方法</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3、初步审查</w:t>
      </w:r>
    </w:p>
    <w:p>
      <w:pPr>
        <w:keepNext w:val="0"/>
        <w:keepLines w:val="0"/>
        <w:pageBreakBefore w:val="0"/>
        <w:tabs>
          <w:tab w:val="left" w:pos="0"/>
        </w:tabs>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3.1、资格性审查。磋商小组将依据竞争性磋商文件的规定对磋商供应商进行资格审查，以确定其是否具备相应资格。</w:t>
      </w:r>
      <w:r>
        <w:rPr>
          <w:rFonts w:hint="eastAsia" w:ascii="黑体" w:hAnsi="黑体" w:eastAsia="黑体" w:cs="黑体"/>
          <w:color w:val="auto"/>
          <w:kern w:val="0"/>
          <w:sz w:val="22"/>
          <w:szCs w:val="22"/>
          <w:highlight w:val="none"/>
        </w:rPr>
        <w:t>如果磋商供应商不具备资格、不满足竞争性磋商文件所规定的资格标准或提供资格证明文件不全,按无效响应文件处理。 （资格审查标准见供应商须知前附表）</w:t>
      </w:r>
    </w:p>
    <w:p>
      <w:pPr>
        <w:keepNext w:val="0"/>
        <w:keepLines w:val="0"/>
        <w:pageBreakBefore w:val="0"/>
        <w:tabs>
          <w:tab w:val="left" w:pos="0"/>
        </w:tabs>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rPr>
      </w:pPr>
      <w:r>
        <w:rPr>
          <w:rFonts w:hint="eastAsia" w:ascii="黑体" w:hAnsi="黑体" w:eastAsia="黑体" w:cs="黑体"/>
          <w:color w:val="auto"/>
          <w:sz w:val="22"/>
          <w:szCs w:val="22"/>
          <w:highlight w:val="none"/>
        </w:rPr>
        <w:t>3.2、符合性审查。磋商小组从磋商响应文件的有效性、完整性和对竞争性磋商文件的响应程度进行符合性审查，以确定其是否对竞争性磋商文件实质性内容作出响应</w:t>
      </w:r>
      <w:r>
        <w:rPr>
          <w:rFonts w:hint="eastAsia" w:ascii="黑体" w:hAnsi="黑体" w:eastAsia="黑体" w:cs="黑体"/>
          <w:color w:val="auto"/>
          <w:kern w:val="0"/>
          <w:sz w:val="22"/>
          <w:szCs w:val="22"/>
          <w:highlight w:val="none"/>
        </w:rPr>
        <w:t>（采购人可根据具体项目的情况对实质性要求作特别的具体规定）</w:t>
      </w:r>
      <w:r>
        <w:rPr>
          <w:rFonts w:hint="eastAsia" w:ascii="黑体" w:hAnsi="黑体" w:eastAsia="黑体" w:cs="黑体"/>
          <w:color w:val="auto"/>
          <w:sz w:val="22"/>
          <w:szCs w:val="22"/>
          <w:highlight w:val="none"/>
        </w:rPr>
        <w:t>。符合性审查标准如下：</w:t>
      </w:r>
    </w:p>
    <w:tbl>
      <w:tblPr>
        <w:tblStyle w:val="29"/>
        <w:tblW w:w="971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983"/>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pPr>
              <w:tabs>
                <w:tab w:val="left" w:pos="0"/>
              </w:tabs>
              <w:adjustRightInd w:val="0"/>
              <w:snapToGrid w:val="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序号</w:t>
            </w:r>
          </w:p>
        </w:tc>
        <w:tc>
          <w:tcPr>
            <w:tcW w:w="4678" w:type="dxa"/>
            <w:gridSpan w:val="2"/>
            <w:vAlign w:val="center"/>
          </w:tcPr>
          <w:p>
            <w:pPr>
              <w:tabs>
                <w:tab w:val="left" w:pos="0"/>
              </w:tabs>
              <w:adjustRightInd w:val="0"/>
              <w:snapToGrid w:val="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评审因素</w:t>
            </w:r>
          </w:p>
        </w:tc>
        <w:tc>
          <w:tcPr>
            <w:tcW w:w="4338" w:type="dxa"/>
            <w:vAlign w:val="center"/>
          </w:tcPr>
          <w:p>
            <w:pPr>
              <w:tabs>
                <w:tab w:val="left" w:pos="0"/>
              </w:tabs>
              <w:adjustRightInd w:val="0"/>
              <w:snapToGrid w:val="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restart"/>
            <w:vAlign w:val="center"/>
          </w:tcPr>
          <w:p>
            <w:pPr>
              <w:tabs>
                <w:tab w:val="left" w:pos="0"/>
              </w:tabs>
              <w:adjustRightInd w:val="0"/>
              <w:snapToGrid w:val="0"/>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983" w:type="dxa"/>
            <w:vMerge w:val="restart"/>
            <w:vAlign w:val="center"/>
          </w:tcPr>
          <w:p>
            <w:pPr>
              <w:tabs>
                <w:tab w:val="left" w:pos="0"/>
              </w:tabs>
              <w:adjustRightInd w:val="0"/>
              <w:snapToGrid w:val="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有效性审查</w:t>
            </w: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文件的签署盖章</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983"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文件格式、语言、计量单位、报价货币</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文件格式”和</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983"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（3）报价唯一</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vAlign w:val="center"/>
          </w:tcPr>
          <w:p>
            <w:pPr>
              <w:tabs>
                <w:tab w:val="left" w:pos="0"/>
              </w:tabs>
              <w:adjustRightInd w:val="0"/>
              <w:snapToGrid w:val="0"/>
              <w:spacing w:line="360" w:lineRule="auto"/>
              <w:jc w:val="center"/>
              <w:rPr>
                <w:rFonts w:hint="eastAsia" w:ascii="黑体" w:hAnsi="黑体" w:eastAsia="黑体" w:cs="黑体"/>
                <w:color w:val="auto"/>
                <w:sz w:val="22"/>
                <w:szCs w:val="22"/>
                <w:highlight w:val="none"/>
              </w:rPr>
            </w:pPr>
          </w:p>
        </w:tc>
        <w:tc>
          <w:tcPr>
            <w:tcW w:w="983" w:type="dxa"/>
            <w:vMerge w:val="continue"/>
            <w:vAlign w:val="center"/>
          </w:tcPr>
          <w:p>
            <w:pPr>
              <w:tabs>
                <w:tab w:val="left" w:pos="0"/>
              </w:tabs>
              <w:adjustRightInd w:val="0"/>
              <w:snapToGrid w:val="0"/>
              <w:jc w:val="center"/>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（4）电子文件</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restart"/>
            <w:vAlign w:val="center"/>
          </w:tcPr>
          <w:p>
            <w:pPr>
              <w:tabs>
                <w:tab w:val="left" w:pos="0"/>
              </w:tabs>
              <w:adjustRightInd w:val="0"/>
              <w:snapToGrid w:val="0"/>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983" w:type="dxa"/>
            <w:vMerge w:val="restart"/>
            <w:vAlign w:val="center"/>
          </w:tcPr>
          <w:p>
            <w:pPr>
              <w:tabs>
                <w:tab w:val="left" w:pos="0"/>
              </w:tabs>
              <w:adjustRightInd w:val="0"/>
              <w:snapToGrid w:val="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完整性审查</w:t>
            </w: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文件份数</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w:t>
            </w:r>
            <w:r>
              <w:rPr>
                <w:rFonts w:hint="eastAsia" w:ascii="黑体" w:hAnsi="黑体" w:eastAsia="黑体" w:cs="黑体"/>
                <w:color w:val="auto"/>
                <w:sz w:val="22"/>
                <w:szCs w:val="22"/>
                <w:highlight w:val="none"/>
                <w:lang w:val="en-US" w:eastAsia="zh-CN"/>
              </w:rPr>
              <w:t>磋商供应商</w:t>
            </w:r>
            <w:r>
              <w:rPr>
                <w:rFonts w:hint="eastAsia" w:ascii="黑体" w:hAnsi="黑体" w:eastAsia="黑体" w:cs="黑体"/>
                <w:color w:val="auto"/>
                <w:sz w:val="22"/>
                <w:szCs w:val="22"/>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983"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文件内容</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restart"/>
            <w:vAlign w:val="center"/>
          </w:tcPr>
          <w:p>
            <w:pPr>
              <w:tabs>
                <w:tab w:val="left" w:pos="0"/>
              </w:tabs>
              <w:adjustRightInd w:val="0"/>
              <w:snapToGrid w:val="0"/>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w:t>
            </w:r>
          </w:p>
        </w:tc>
        <w:tc>
          <w:tcPr>
            <w:tcW w:w="983" w:type="dxa"/>
            <w:vMerge w:val="restart"/>
            <w:vAlign w:val="center"/>
          </w:tcPr>
          <w:p>
            <w:pPr>
              <w:tabs>
                <w:tab w:val="left" w:pos="0"/>
              </w:tabs>
              <w:adjustRightInd w:val="0"/>
              <w:snapToGrid w:val="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响应性审查</w:t>
            </w: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（7）对</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文件响应程度</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983"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（8）完成时间</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应满足</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983" w:type="dxa"/>
            <w:vMerge w:val="continue"/>
          </w:tcPr>
          <w:p>
            <w:pPr>
              <w:tabs>
                <w:tab w:val="left" w:pos="0"/>
              </w:tabs>
              <w:adjustRightInd w:val="0"/>
              <w:snapToGrid w:val="0"/>
              <w:spacing w:line="360" w:lineRule="auto"/>
              <w:rPr>
                <w:rFonts w:hint="eastAsia" w:ascii="黑体" w:hAnsi="黑体" w:eastAsia="黑体" w:cs="黑体"/>
                <w:color w:val="auto"/>
                <w:sz w:val="22"/>
                <w:szCs w:val="22"/>
                <w:highlight w:val="none"/>
              </w:rPr>
            </w:pPr>
          </w:p>
        </w:tc>
        <w:tc>
          <w:tcPr>
            <w:tcW w:w="3695"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9</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有效期</w:t>
            </w:r>
          </w:p>
        </w:tc>
        <w:tc>
          <w:tcPr>
            <w:tcW w:w="4338" w:type="dxa"/>
            <w:vAlign w:val="center"/>
          </w:tcPr>
          <w:p>
            <w:pPr>
              <w:tabs>
                <w:tab w:val="left" w:pos="0"/>
              </w:tabs>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应满足</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文件中的规定</w:t>
            </w:r>
          </w:p>
        </w:tc>
      </w:tr>
    </w:tbl>
    <w:p>
      <w:pPr>
        <w:keepNext w:val="0"/>
        <w:keepLines w:val="0"/>
        <w:pageBreakBefore w:val="0"/>
        <w:tabs>
          <w:tab w:val="left" w:pos="1080"/>
          <w:tab w:val="left" w:pos="1155"/>
        </w:tabs>
        <w:kinsoku/>
        <w:wordWrap/>
        <w:overflowPunct/>
        <w:topLinePunct w:val="0"/>
        <w:bidi w:val="0"/>
        <w:adjustRightInd w:val="0"/>
        <w:snapToGrid w:val="0"/>
        <w:spacing w:line="360" w:lineRule="auto"/>
        <w:rPr>
          <w:rFonts w:hint="eastAsia" w:ascii="黑体" w:hAnsi="黑体" w:eastAsia="黑体" w:cs="黑体"/>
          <w:color w:val="auto"/>
          <w:sz w:val="22"/>
          <w:szCs w:val="22"/>
          <w:highlight w:val="none"/>
        </w:rPr>
      </w:pPr>
    </w:p>
    <w:p>
      <w:pPr>
        <w:keepNext w:val="0"/>
        <w:keepLines w:val="0"/>
        <w:pageBreakBefore w:val="0"/>
        <w:tabs>
          <w:tab w:val="left" w:pos="1080"/>
          <w:tab w:val="left" w:pos="1155"/>
        </w:tabs>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3.3、若前款3.1条或3.2条有1项不合格，评审不予通过，作为未实质性响应竞争性磋商文件，按无效标处理。</w:t>
      </w:r>
    </w:p>
    <w:p>
      <w:pPr>
        <w:keepNext w:val="0"/>
        <w:keepLines w:val="0"/>
        <w:pageBreakBefore w:val="0"/>
        <w:tabs>
          <w:tab w:val="left" w:pos="1080"/>
          <w:tab w:val="left" w:pos="1155"/>
        </w:tabs>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3.4、磋商小组通过上述评审，确定入围磋商供应商名单，只有入围的磋商供应商才能进入后续评审环节。</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4、磋商响应文件的澄清</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4.1.1、文字表述的内容含义不明确；</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4.1.2、同类问题表述不一致；</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4.1.3、有明显文字和计算错误；</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4.1.4、提供的技术信息和数据资料不完整；</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4.1.5、磋商响应文件未按竞争性磋商文件要求进行编制目录、页码；</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4.1.6、磋商小组认定的其他非实质性偏离。</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4.2、有效的书面澄清材料，是磋商供应商磋商响应文件的补充材料，成为磋商供应商磋商响应文件的组成部分。</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5、磋商</w:t>
      </w:r>
    </w:p>
    <w:p>
      <w:pPr>
        <w:keepNext w:val="0"/>
        <w:keepLines w:val="0"/>
        <w:pageBreakBefore w:val="0"/>
        <w:kinsoku/>
        <w:wordWrap/>
        <w:overflowPunct/>
        <w:topLinePunct w:val="0"/>
        <w:bidi w:val="0"/>
        <w:adjustRightInd w:val="0"/>
        <w:snapToGrid w:val="0"/>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5.1、磋商方式：</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5.1.1、对资格性</w:t>
      </w:r>
      <w:r>
        <w:rPr>
          <w:rFonts w:hint="eastAsia" w:ascii="黑体" w:hAnsi="黑体" w:eastAsia="黑体" w:cs="黑体"/>
          <w:color w:val="auto"/>
          <w:kern w:val="0"/>
          <w:sz w:val="22"/>
          <w:szCs w:val="22"/>
          <w:highlight w:val="none"/>
          <w:lang w:val="en-US" w:eastAsia="zh-CN"/>
        </w:rPr>
        <w:t>审查</w:t>
      </w:r>
      <w:r>
        <w:rPr>
          <w:rFonts w:hint="eastAsia" w:ascii="黑体" w:hAnsi="黑体" w:eastAsia="黑体" w:cs="黑体"/>
          <w:color w:val="auto"/>
          <w:kern w:val="0"/>
          <w:sz w:val="22"/>
          <w:szCs w:val="22"/>
          <w:highlight w:val="none"/>
        </w:rPr>
        <w:t>和符合性</w:t>
      </w:r>
      <w:r>
        <w:rPr>
          <w:rFonts w:hint="eastAsia" w:ascii="黑体" w:hAnsi="黑体" w:eastAsia="黑体" w:cs="黑体"/>
          <w:color w:val="auto"/>
          <w:kern w:val="0"/>
          <w:sz w:val="22"/>
          <w:szCs w:val="22"/>
          <w:highlight w:val="none"/>
          <w:lang w:val="en-US" w:eastAsia="zh-CN"/>
        </w:rPr>
        <w:t>审查</w:t>
      </w:r>
      <w:r>
        <w:rPr>
          <w:rFonts w:hint="eastAsia" w:ascii="黑体" w:hAnsi="黑体" w:eastAsia="黑体" w:cs="黑体"/>
          <w:color w:val="auto"/>
          <w:kern w:val="0"/>
          <w:sz w:val="22"/>
          <w:szCs w:val="22"/>
          <w:highlight w:val="none"/>
        </w:rPr>
        <w:t>合格的供应商，即入围供应商，进入本次磋商程序。</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5.1.2、在磋商期间，供应商法定代表人或其授权委托人参加磋商。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kern w:val="0"/>
          <w:sz w:val="22"/>
          <w:szCs w:val="22"/>
          <w:highlight w:val="none"/>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5.1.5、商务磋商。技术磋商结束后，进行商务磋商</w:t>
      </w:r>
      <w:r>
        <w:rPr>
          <w:rFonts w:hint="eastAsia" w:ascii="黑体" w:hAnsi="黑体" w:eastAsia="黑体" w:cs="黑体"/>
          <w:color w:val="auto"/>
          <w:kern w:val="0"/>
          <w:sz w:val="22"/>
          <w:szCs w:val="22"/>
          <w:highlight w:val="none"/>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5.1.6、已提交响应文件的供应商，在提交最后报价之前，可以根据磋商情况退出磋商。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5.2、磋商步骤：</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5.2.2、第二轮磋商。对第一轮磋商结果不满意，磋商小组可以再次要求参加磋商的供应商进行第二轮磋商，磋商内容及要求与第一轮磋商相同。</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5.2.3、每轮磋商结束后，磋商小组对磋商情况进行讨论，综合考虑供应商提供的技术参数和性价比，有权对技术参数最差供应商或性价比最低的供应商进行淘汰，并将淘汰理由写入评审报告。</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5.2.4、磋商小组应在最后一轮磋商前告知所有符合磋商的供应商是否是最后一次磋商环节。</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5.2.5、最后一轮结束后，磋商小组将对进入最后一轮的供应商进行综合评分。</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6、磋商响应文件详细评审</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6.1、</w:t>
      </w:r>
      <w:r>
        <w:rPr>
          <w:rFonts w:hint="eastAsia" w:ascii="黑体" w:hAnsi="黑体" w:eastAsia="黑体" w:cs="黑体"/>
          <w:color w:val="auto"/>
          <w:kern w:val="1"/>
          <w:sz w:val="22"/>
          <w:szCs w:val="22"/>
          <w:highlight w:val="none"/>
        </w:rPr>
        <w:t>比较与评价。磋商小组应当按照磋商文件中规定的评审方法和标准，只对资格审查和符合性审查合格的响应文件进行商务和技术评估，综合比较与评价，不合格的不再参与评审。</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6.2、评审因素的设定与供应商所提供货物服务的质量相关，包括报价、技术或者服务水平、履约能力等。资格条件不作为评审因素。综合评分法评审标准中的分值设置与评审因素的量化指标相对应。竞争性磋商文件中没有规定的评审标准不得作为评审依据。</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6.3、由磋商小组成员独立地根据各项因素的评分标准，结合各磋商供应商的实际情况，分别就报价以外的各项评审因素对各磋商供应商独立评审赋分。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6.4、当排序推荐候选成交供应商名单出现多数</w:t>
      </w:r>
      <w:r>
        <w:rPr>
          <w:rFonts w:hint="eastAsia" w:ascii="黑体" w:hAnsi="黑体" w:eastAsia="黑体" w:cs="黑体"/>
          <w:color w:val="auto"/>
          <w:kern w:val="1"/>
          <w:sz w:val="22"/>
          <w:szCs w:val="22"/>
          <w:highlight w:val="none"/>
          <w:lang w:val="en-US" w:eastAsia="zh-CN"/>
        </w:rPr>
        <w:t>磋商小组</w:t>
      </w:r>
      <w:r>
        <w:rPr>
          <w:rFonts w:hint="eastAsia" w:ascii="黑体" w:hAnsi="黑体" w:eastAsia="黑体" w:cs="黑体"/>
          <w:color w:val="auto"/>
          <w:kern w:val="1"/>
          <w:sz w:val="22"/>
          <w:szCs w:val="22"/>
          <w:highlight w:val="none"/>
        </w:rPr>
        <w:t>成员的评审意见比较一致，某一个别</w:t>
      </w:r>
      <w:r>
        <w:rPr>
          <w:rFonts w:hint="eastAsia" w:ascii="黑体" w:hAnsi="黑体" w:eastAsia="黑体" w:cs="黑体"/>
          <w:color w:val="auto"/>
          <w:kern w:val="1"/>
          <w:sz w:val="22"/>
          <w:szCs w:val="22"/>
          <w:highlight w:val="none"/>
          <w:lang w:val="en-US" w:eastAsia="zh-CN"/>
        </w:rPr>
        <w:t>磋商小组</w:t>
      </w:r>
      <w:r>
        <w:rPr>
          <w:rFonts w:hint="eastAsia" w:ascii="黑体" w:hAnsi="黑体" w:eastAsia="黑体" w:cs="黑体"/>
          <w:color w:val="auto"/>
          <w:kern w:val="1"/>
          <w:sz w:val="22"/>
          <w:szCs w:val="22"/>
          <w:highlight w:val="none"/>
        </w:rPr>
        <w:t>成员的赋分畸高畸低，导致排序结果改变的，采购代理机构应当发回该评委重新进行评价，并说明其赋分的合理理由，对拒绝说明、拒绝重新评价的，其个人评审意见与赋分作为无效处理。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6.5、磋商小组成员对需要共同认定的事项存在争议的，应当按照少数服从多数的原则作出结论。持不同意见的磋商小组成员应当在评审报告上签署不同意见及理由，否则视为同意评审报告。</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三、评审细则及标准</w:t>
      </w:r>
    </w:p>
    <w:p>
      <w:pPr>
        <w:keepNext w:val="0"/>
        <w:keepLines w:val="0"/>
        <w:pageBreakBefore w:val="0"/>
        <w:kinsoku/>
        <w:wordWrap/>
        <w:overflowPunct/>
        <w:topLinePunct w:val="0"/>
        <w:bidi w:val="0"/>
        <w:adjustRightInd w:val="0"/>
        <w:snapToGrid w:val="0"/>
        <w:spacing w:line="360" w:lineRule="auto"/>
        <w:rPr>
          <w:rFonts w:hint="eastAsia" w:ascii="黑体" w:hAnsi="黑体" w:eastAsia="黑体" w:cs="黑体"/>
          <w:b/>
          <w:color w:val="auto"/>
          <w:kern w:val="1"/>
          <w:sz w:val="22"/>
          <w:szCs w:val="22"/>
          <w:highlight w:val="none"/>
        </w:rPr>
      </w:pPr>
      <w:r>
        <w:rPr>
          <w:rFonts w:hint="eastAsia" w:ascii="黑体" w:hAnsi="黑体" w:eastAsia="黑体" w:cs="黑体"/>
          <w:b/>
          <w:color w:val="auto"/>
          <w:kern w:val="1"/>
          <w:sz w:val="22"/>
          <w:szCs w:val="22"/>
          <w:highlight w:val="none"/>
        </w:rPr>
        <w:t>7、综合评分法</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7.1、本采购项目评审方法采用综合评分法。即磋商响应文件能够最大限度的满足竞争性磋商文件规定的各项综合评分标准，且经评审得分最高的磋商供应商为</w:t>
      </w:r>
      <w:r>
        <w:rPr>
          <w:rFonts w:hint="eastAsia" w:ascii="黑体" w:hAnsi="黑体" w:eastAsia="黑体" w:cs="黑体"/>
          <w:color w:val="auto"/>
          <w:kern w:val="1"/>
          <w:sz w:val="22"/>
          <w:szCs w:val="22"/>
          <w:highlight w:val="none"/>
          <w:lang w:eastAsia="zh-CN"/>
        </w:rPr>
        <w:t>成交</w:t>
      </w:r>
      <w:r>
        <w:rPr>
          <w:rFonts w:hint="eastAsia" w:ascii="黑体" w:hAnsi="黑体" w:eastAsia="黑体" w:cs="黑体"/>
          <w:color w:val="auto"/>
          <w:kern w:val="1"/>
          <w:sz w:val="22"/>
          <w:szCs w:val="22"/>
          <w:highlight w:val="none"/>
        </w:rPr>
        <w:t>候选人。</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7.2、综合评分法评审标准中的分值设置应当与评审因素的量化指标相对应。竞争性磋商文件中没有规定的评审标准不得作为评审依据。</w:t>
      </w:r>
    </w:p>
    <w:p>
      <w:pPr>
        <w:keepNext w:val="0"/>
        <w:keepLines w:val="0"/>
        <w:pageBreakBefore w:val="0"/>
        <w:widowControl/>
        <w:kinsoku/>
        <w:wordWrap/>
        <w:overflowPunct/>
        <w:topLinePunct w:val="0"/>
        <w:autoSpaceDE w:val="0"/>
        <w:autoSpaceDN w:val="0"/>
        <w:bidi w:val="0"/>
        <w:adjustRightInd w:val="0"/>
        <w:snapToGrid w:val="0"/>
        <w:spacing w:line="360" w:lineRule="auto"/>
        <w:ind w:right="51"/>
        <w:textAlignment w:val="bottom"/>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8.评审细则及标准</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keepNext w:val="0"/>
        <w:keepLines w:val="0"/>
        <w:pageBreakBefore w:val="0"/>
        <w:kinsoku/>
        <w:wordWrap/>
        <w:overflowPunct/>
        <w:topLinePunct w:val="0"/>
        <w:bidi w:val="0"/>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8.2、评审因素包括：报价、技术、商务及对竞争性磋商文件的响应程度。</w:t>
      </w:r>
    </w:p>
    <w:p>
      <w:pPr>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lang w:val="en-US" w:eastAsia="zh-CN"/>
        </w:rPr>
        <w:t>8</w:t>
      </w:r>
      <w:r>
        <w:rPr>
          <w:rFonts w:hint="eastAsia" w:ascii="黑体" w:hAnsi="黑体" w:eastAsia="黑体" w:cs="黑体"/>
          <w:color w:val="auto"/>
          <w:kern w:val="1"/>
          <w:sz w:val="22"/>
          <w:szCs w:val="22"/>
          <w:highlight w:val="none"/>
        </w:rPr>
        <w:t>.2.</w:t>
      </w:r>
      <w:r>
        <w:rPr>
          <w:rFonts w:hint="eastAsia" w:ascii="黑体" w:hAnsi="黑体" w:eastAsia="黑体" w:cs="黑体"/>
          <w:color w:val="auto"/>
          <w:kern w:val="1"/>
          <w:sz w:val="22"/>
          <w:szCs w:val="22"/>
          <w:highlight w:val="none"/>
          <w:lang w:val="en-US" w:eastAsia="zh-CN"/>
        </w:rPr>
        <w:t>1</w:t>
      </w:r>
      <w:r>
        <w:rPr>
          <w:rFonts w:hint="eastAsia" w:ascii="黑体" w:hAnsi="黑体" w:eastAsia="黑体" w:cs="黑体"/>
          <w:color w:val="auto"/>
          <w:kern w:val="1"/>
          <w:sz w:val="22"/>
          <w:szCs w:val="22"/>
          <w:highlight w:val="none"/>
        </w:rPr>
        <w:t>、全部符合政策优惠条件的（即</w:t>
      </w:r>
      <w:r>
        <w:rPr>
          <w:rFonts w:hint="eastAsia" w:ascii="黑体" w:hAnsi="黑体" w:eastAsia="黑体" w:cs="黑体"/>
          <w:color w:val="auto"/>
          <w:kern w:val="1"/>
          <w:sz w:val="22"/>
          <w:szCs w:val="22"/>
          <w:highlight w:val="none"/>
          <w:lang w:val="en-US" w:eastAsia="zh-CN"/>
        </w:rPr>
        <w:t>小微企业提供服务，服务全部由符合政策要求的中小企业承接</w:t>
      </w:r>
      <w:r>
        <w:rPr>
          <w:rFonts w:hint="eastAsia" w:ascii="黑体" w:hAnsi="黑体" w:eastAsia="黑体" w:cs="黑体"/>
          <w:color w:val="auto"/>
          <w:kern w:val="1"/>
          <w:sz w:val="22"/>
          <w:szCs w:val="22"/>
          <w:highlight w:val="none"/>
        </w:rPr>
        <w:t>），报价按下列公示计算：投标报价=报价×（1-</w:t>
      </w:r>
      <w:r>
        <w:rPr>
          <w:rFonts w:hint="eastAsia" w:ascii="黑体" w:hAnsi="黑体" w:eastAsia="黑体" w:cs="黑体"/>
          <w:color w:val="auto"/>
          <w:kern w:val="1"/>
          <w:sz w:val="22"/>
          <w:szCs w:val="22"/>
          <w:highlight w:val="none"/>
          <w:lang w:val="en-US" w:eastAsia="zh-CN"/>
        </w:rPr>
        <w:t>10</w:t>
      </w:r>
      <w:r>
        <w:rPr>
          <w:rFonts w:hint="eastAsia" w:ascii="黑体" w:hAnsi="黑体" w:eastAsia="黑体" w:cs="黑体"/>
          <w:color w:val="auto"/>
          <w:kern w:val="1"/>
          <w:sz w:val="22"/>
          <w:szCs w:val="22"/>
          <w:highlight w:val="none"/>
        </w:rPr>
        <w:t>%）</w:t>
      </w:r>
    </w:p>
    <w:p>
      <w:pPr>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lang w:val="en-US" w:eastAsia="zh-CN"/>
        </w:rPr>
        <w:t>8</w:t>
      </w:r>
      <w:r>
        <w:rPr>
          <w:rFonts w:hint="eastAsia" w:ascii="黑体" w:hAnsi="黑体" w:eastAsia="黑体" w:cs="黑体"/>
          <w:color w:val="auto"/>
          <w:kern w:val="1"/>
          <w:sz w:val="22"/>
          <w:szCs w:val="22"/>
          <w:highlight w:val="none"/>
        </w:rPr>
        <w:t>.</w:t>
      </w:r>
      <w:r>
        <w:rPr>
          <w:rFonts w:hint="eastAsia" w:ascii="黑体" w:hAnsi="黑体" w:eastAsia="黑体" w:cs="黑体"/>
          <w:color w:val="auto"/>
          <w:kern w:val="1"/>
          <w:sz w:val="22"/>
          <w:szCs w:val="22"/>
          <w:highlight w:val="none"/>
          <w:lang w:val="en-US" w:eastAsia="zh-CN"/>
        </w:rPr>
        <w:t>3</w:t>
      </w:r>
      <w:r>
        <w:rPr>
          <w:rFonts w:hint="eastAsia" w:ascii="黑体" w:hAnsi="黑体" w:eastAsia="黑体" w:cs="黑体"/>
          <w:color w:val="auto"/>
          <w:kern w:val="1"/>
          <w:sz w:val="22"/>
          <w:szCs w:val="22"/>
          <w:highlight w:val="none"/>
        </w:rPr>
        <w:t>、小型和微型企业投标报价折扣幅度标准：</w:t>
      </w:r>
    </w:p>
    <w:p>
      <w:pPr>
        <w:snapToGrid w:val="0"/>
        <w:spacing w:line="360" w:lineRule="auto"/>
        <w:ind w:firstLine="440" w:firstLineChars="200"/>
        <w:rPr>
          <w:rFonts w:hint="eastAsia" w:ascii="黑体" w:hAnsi="黑体" w:eastAsia="黑体" w:cs="黑体"/>
          <w:b/>
          <w:bCs/>
          <w:color w:val="auto"/>
          <w:kern w:val="1"/>
          <w:sz w:val="22"/>
          <w:szCs w:val="22"/>
          <w:highlight w:val="none"/>
        </w:rPr>
      </w:pPr>
      <w:r>
        <w:rPr>
          <w:rFonts w:hint="eastAsia" w:ascii="黑体" w:hAnsi="黑体" w:eastAsia="黑体" w:cs="黑体"/>
          <w:color w:val="auto"/>
          <w:kern w:val="1"/>
          <w:sz w:val="22"/>
          <w:szCs w:val="22"/>
          <w:highlight w:val="none"/>
          <w:lang w:val="en-US" w:eastAsia="zh-CN"/>
        </w:rPr>
        <w:t>8</w:t>
      </w:r>
      <w:r>
        <w:rPr>
          <w:rFonts w:hint="eastAsia" w:ascii="黑体" w:hAnsi="黑体" w:eastAsia="黑体" w:cs="黑体"/>
          <w:color w:val="auto"/>
          <w:kern w:val="1"/>
          <w:sz w:val="22"/>
          <w:szCs w:val="22"/>
          <w:highlight w:val="none"/>
        </w:rPr>
        <w:t>.</w:t>
      </w:r>
      <w:r>
        <w:rPr>
          <w:rFonts w:hint="eastAsia" w:ascii="黑体" w:hAnsi="黑体" w:eastAsia="黑体" w:cs="黑体"/>
          <w:color w:val="auto"/>
          <w:kern w:val="1"/>
          <w:sz w:val="22"/>
          <w:szCs w:val="22"/>
          <w:highlight w:val="none"/>
          <w:lang w:val="en-US" w:eastAsia="zh-CN"/>
        </w:rPr>
        <w:t>3</w:t>
      </w:r>
      <w:r>
        <w:rPr>
          <w:rFonts w:hint="eastAsia" w:ascii="黑体" w:hAnsi="黑体" w:eastAsia="黑体" w:cs="黑体"/>
          <w:color w:val="auto"/>
          <w:kern w:val="1"/>
          <w:sz w:val="22"/>
          <w:szCs w:val="22"/>
          <w:highlight w:val="none"/>
        </w:rPr>
        <w:t>.1、对小型、微型企业提供产品的投标报价给予</w:t>
      </w:r>
      <w:r>
        <w:rPr>
          <w:rFonts w:hint="eastAsia" w:ascii="黑体" w:hAnsi="黑体" w:eastAsia="黑体" w:cs="黑体"/>
          <w:color w:val="auto"/>
          <w:kern w:val="1"/>
          <w:sz w:val="22"/>
          <w:szCs w:val="22"/>
          <w:highlight w:val="none"/>
          <w:lang w:val="en-US" w:eastAsia="zh-CN"/>
        </w:rPr>
        <w:t>10</w:t>
      </w:r>
      <w:r>
        <w:rPr>
          <w:rFonts w:hint="eastAsia" w:ascii="黑体" w:hAnsi="黑体" w:eastAsia="黑体" w:cs="黑体"/>
          <w:color w:val="auto"/>
          <w:kern w:val="1"/>
          <w:sz w:val="22"/>
          <w:szCs w:val="22"/>
          <w:highlight w:val="none"/>
        </w:rPr>
        <w:t>%折扣。</w:t>
      </w:r>
    </w:p>
    <w:p>
      <w:pPr>
        <w:keepNext w:val="0"/>
        <w:keepLines w:val="0"/>
        <w:pageBreakBefore w:val="0"/>
        <w:tabs>
          <w:tab w:val="left" w:pos="1575"/>
        </w:tabs>
        <w:kinsoku/>
        <w:wordWrap/>
        <w:overflowPunct/>
        <w:topLinePunct w:val="0"/>
        <w:bidi w:val="0"/>
        <w:adjustRightInd w:val="0"/>
        <w:snapToGrid w:val="0"/>
        <w:spacing w:line="360" w:lineRule="auto"/>
        <w:rPr>
          <w:rFonts w:hint="eastAsia" w:ascii="黑体" w:hAnsi="黑体" w:eastAsia="黑体" w:cs="黑体"/>
          <w:b/>
          <w:bCs/>
          <w:color w:val="auto"/>
          <w:kern w:val="1"/>
          <w:sz w:val="22"/>
          <w:szCs w:val="22"/>
          <w:highlight w:val="none"/>
        </w:rPr>
      </w:pPr>
      <w:r>
        <w:rPr>
          <w:rFonts w:hint="eastAsia" w:ascii="黑体" w:hAnsi="黑体" w:eastAsia="黑体" w:cs="黑体"/>
          <w:b/>
          <w:bCs/>
          <w:color w:val="auto"/>
          <w:kern w:val="1"/>
          <w:sz w:val="22"/>
          <w:szCs w:val="22"/>
          <w:highlight w:val="none"/>
        </w:rPr>
        <w:t>8.</w:t>
      </w:r>
      <w:r>
        <w:rPr>
          <w:rFonts w:hint="eastAsia" w:ascii="黑体" w:hAnsi="黑体" w:eastAsia="黑体" w:cs="黑体"/>
          <w:b/>
          <w:bCs/>
          <w:color w:val="auto"/>
          <w:kern w:val="1"/>
          <w:sz w:val="22"/>
          <w:szCs w:val="22"/>
          <w:highlight w:val="none"/>
          <w:lang w:val="en-US" w:eastAsia="zh-CN"/>
        </w:rPr>
        <w:t>4</w:t>
      </w:r>
      <w:r>
        <w:rPr>
          <w:rFonts w:hint="eastAsia" w:ascii="黑体" w:hAnsi="黑体" w:eastAsia="黑体" w:cs="黑体"/>
          <w:b/>
          <w:bCs/>
          <w:color w:val="auto"/>
          <w:kern w:val="1"/>
          <w:sz w:val="22"/>
          <w:szCs w:val="22"/>
          <w:highlight w:val="none"/>
        </w:rPr>
        <w:t>、评审要素一览表如下：</w:t>
      </w:r>
    </w:p>
    <w:tbl>
      <w:tblPr>
        <w:tblStyle w:val="29"/>
        <w:tblpPr w:leftFromText="180" w:rightFromText="180" w:vertAnchor="text" w:horzAnchor="page" w:tblpX="1180" w:tblpY="71"/>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70"/>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930" w:type="dxa"/>
            <w:noWrap w:val="0"/>
            <w:vAlign w:val="center"/>
          </w:tcPr>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报价</w:t>
            </w:r>
          </w:p>
        </w:tc>
        <w:tc>
          <w:tcPr>
            <w:tcW w:w="870" w:type="dxa"/>
            <w:noWrap w:val="0"/>
            <w:vAlign w:val="center"/>
          </w:tcPr>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10分</w:t>
            </w:r>
          </w:p>
        </w:tc>
        <w:tc>
          <w:tcPr>
            <w:tcW w:w="7542" w:type="dxa"/>
            <w:noWrap w:val="0"/>
            <w:vAlign w:val="center"/>
          </w:tcPr>
          <w:p>
            <w:pPr>
              <w:shd w:val="clea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1、上限为采购预算价，即报价大于上限价视为无效</w:t>
            </w:r>
            <w:r>
              <w:rPr>
                <w:rFonts w:hint="eastAsia" w:ascii="黑体" w:hAnsi="黑体" w:eastAsia="黑体" w:cs="黑体"/>
                <w:color w:val="auto"/>
                <w:sz w:val="22"/>
                <w:szCs w:val="22"/>
                <w:highlight w:val="none"/>
                <w:lang w:val="en-US" w:eastAsia="zh-CN"/>
              </w:rPr>
              <w:t>报价</w:t>
            </w:r>
            <w:r>
              <w:rPr>
                <w:rFonts w:hint="eastAsia" w:ascii="黑体" w:hAnsi="黑体" w:eastAsia="黑体" w:cs="黑体"/>
                <w:color w:val="auto"/>
                <w:sz w:val="22"/>
                <w:szCs w:val="22"/>
                <w:highlight w:val="none"/>
              </w:rPr>
              <w:t>；</w:t>
            </w:r>
          </w:p>
          <w:p>
            <w:pPr>
              <w:shd w:val="clea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2、以满足本次磋商文件要求的最低报价为评审基准价，其价格为满分；</w:t>
            </w:r>
          </w:p>
          <w:p>
            <w:pPr>
              <w:shd w:val="clea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3、不享有政策优惠条件的磋商供应商报价得分=（评审基准价/报价）×</w:t>
            </w:r>
            <w:r>
              <w:rPr>
                <w:rFonts w:hint="eastAsia" w:ascii="黑体" w:hAnsi="黑体" w:eastAsia="黑体" w:cs="黑体"/>
                <w:color w:val="auto"/>
                <w:sz w:val="22"/>
                <w:szCs w:val="22"/>
                <w:highlight w:val="none"/>
                <w:lang w:val="en-US" w:eastAsia="zh-CN"/>
              </w:rPr>
              <w:t>10</w:t>
            </w:r>
          </w:p>
          <w:p>
            <w:pPr>
              <w:shd w:val="clear"/>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rPr>
              <w:t>4、全部符合政策优惠条件的磋商供应商报价得分=[评审基准价/报价*(1-</w:t>
            </w:r>
            <w:r>
              <w:rPr>
                <w:rFonts w:hint="eastAsia" w:ascii="黑体" w:hAnsi="黑体" w:eastAsia="黑体" w:cs="黑体"/>
                <w:color w:val="auto"/>
                <w:sz w:val="22"/>
                <w:szCs w:val="22"/>
                <w:highlight w:val="none"/>
                <w:lang w:val="en-US" w:eastAsia="zh-CN"/>
              </w:rPr>
              <w:t>10</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0" w:type="dxa"/>
            <w:vMerge w:val="restart"/>
            <w:noWrap w:val="0"/>
            <w:vAlign w:val="center"/>
          </w:tcPr>
          <w:p>
            <w:pPr>
              <w:shd w:val="clea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技术</w:t>
            </w:r>
          </w:p>
          <w:p>
            <w:pPr>
              <w:shd w:val="clear"/>
              <w:jc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部分</w:t>
            </w:r>
          </w:p>
        </w:tc>
        <w:tc>
          <w:tcPr>
            <w:tcW w:w="870" w:type="dxa"/>
            <w:vMerge w:val="restart"/>
            <w:noWrap w:val="0"/>
            <w:vAlign w:val="center"/>
          </w:tcPr>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技术</w:t>
            </w:r>
          </w:p>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方案</w:t>
            </w:r>
          </w:p>
          <w:p>
            <w:pPr>
              <w:shd w:val="clea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60</w:t>
            </w:r>
            <w:r>
              <w:rPr>
                <w:rFonts w:hint="eastAsia" w:ascii="黑体" w:hAnsi="黑体" w:eastAsia="黑体" w:cs="黑体"/>
                <w:color w:val="auto"/>
                <w:sz w:val="22"/>
                <w:szCs w:val="22"/>
                <w:highlight w:val="none"/>
              </w:rPr>
              <w:t>分</w:t>
            </w:r>
          </w:p>
        </w:tc>
        <w:tc>
          <w:tcPr>
            <w:tcW w:w="7542" w:type="dxa"/>
            <w:noWrap w:val="0"/>
            <w:vAlign w:val="center"/>
          </w:tcPr>
          <w:p>
            <w:pPr>
              <w:widowControl/>
              <w:jc w:val="lef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1.技术方案、服务内容</w:t>
            </w:r>
          </w:p>
          <w:p>
            <w:pPr>
              <w:widowControl/>
              <w:jc w:val="lef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1）对本项目的理解。从工作任务、风险调查评价范围、工作要求等几方面进行描述，根据对项目理解深入，描述具体详细计7.1-10分，理解较深入，描述较详细计3.1-7分，理解一般，描述一般计1-3分，无此项内容不得分。</w:t>
            </w:r>
          </w:p>
          <w:p>
            <w:pPr>
              <w:shd w:val="clear"/>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lang w:val="en-US" w:eastAsia="zh-CN"/>
              </w:rPr>
              <w:t>（2）制定详细全面的技术方案，充分考虑采购人的实际需求，能够提供符合工作任务要求的技术服务，根据响应程度方案详细全面可实施性好计7.1-10分，方案较全面可实施性较好计3.1-7分，方案一般可实施性一般计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7542" w:type="dxa"/>
            <w:noWrap w:val="0"/>
            <w:vAlign w:val="center"/>
          </w:tcPr>
          <w:p>
            <w:pPr>
              <w:widowControl/>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lang w:val="en-US" w:eastAsia="zh-CN"/>
              </w:rPr>
              <w:t>2.针对本项目重点难点分析及解决方案。正确识别本项目重点难点，分析全面具体透彻，解决对策针对性强的得7.1-10分；重点难点分析较全面，但不够具体和透彻，解决对策较合理可行的得3.1-7分；重点难点分析较全面，较具体和透彻，解决对策合理性不够得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7542" w:type="dxa"/>
            <w:noWrap w:val="0"/>
            <w:vAlign w:val="center"/>
          </w:tcPr>
          <w:p>
            <w:pPr>
              <w:widowControl/>
              <w:jc w:val="lef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3.质量保证措施</w:t>
            </w:r>
          </w:p>
          <w:p>
            <w:pPr>
              <w:widowControl/>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lang w:val="en-US" w:eastAsia="zh-CN"/>
              </w:rPr>
              <w:t>质量管理机构健全，措施得当，目标可控，满足编制质量需求，编制合理得7.1-10分，较健全得当得3.1-7分，一般得1-3分，无此项内容不得分。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7542" w:type="dxa"/>
            <w:noWrap w:val="0"/>
            <w:vAlign w:val="center"/>
          </w:tcPr>
          <w:p>
            <w:pPr>
              <w:widowControl/>
              <w:jc w:val="lef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4.进度保证措施</w:t>
            </w:r>
          </w:p>
          <w:p>
            <w:pPr>
              <w:widowControl/>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lang w:val="en-US" w:eastAsia="zh-CN"/>
              </w:rPr>
              <w:t>各项安排合理、规范，措施得当，目标可控，满足编制进度需求得7.1-10分，措施较合理得3.1-7分，一般得1-3分，无此项内容不得分。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7542" w:type="dxa"/>
            <w:noWrap w:val="0"/>
            <w:vAlign w:val="center"/>
          </w:tcPr>
          <w:p>
            <w:pPr>
              <w:widowControl/>
              <w:jc w:val="left"/>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5.管理体系、制度</w:t>
            </w:r>
          </w:p>
          <w:p>
            <w:pPr>
              <w:widowControl/>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lang w:val="en-US" w:eastAsia="zh-CN"/>
              </w:rPr>
              <w:t>针对本项目有完善的管理体系，项目规划合理，制定有效的管理制度、实施流程得7.1-10分，较完善得3.1-7分，一般得1-3分，无此项内容不得分。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930" w:type="dxa"/>
            <w:vMerge w:val="restart"/>
            <w:noWrap w:val="0"/>
            <w:vAlign w:val="center"/>
          </w:tcPr>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商务</w:t>
            </w:r>
          </w:p>
          <w:p>
            <w:pPr>
              <w:shd w:val="clea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部分</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业绩</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b w:val="0"/>
                <w:bCs w:val="0"/>
                <w:color w:val="auto"/>
                <w:sz w:val="22"/>
                <w:szCs w:val="22"/>
                <w:highlight w:val="none"/>
                <w:lang w:eastAsia="zh-CN"/>
              </w:rPr>
              <w:t>（</w:t>
            </w:r>
            <w:r>
              <w:rPr>
                <w:rFonts w:hint="eastAsia" w:ascii="黑体" w:hAnsi="黑体" w:eastAsia="黑体" w:cs="黑体"/>
                <w:b w:val="0"/>
                <w:bCs w:val="0"/>
                <w:color w:val="auto"/>
                <w:sz w:val="22"/>
                <w:szCs w:val="22"/>
                <w:highlight w:val="none"/>
                <w:lang w:val="en-US" w:eastAsia="zh-CN"/>
              </w:rPr>
              <w:t>5分</w:t>
            </w:r>
            <w:r>
              <w:rPr>
                <w:rFonts w:hint="eastAsia" w:ascii="黑体" w:hAnsi="黑体" w:eastAsia="黑体" w:cs="黑体"/>
                <w:b w:val="0"/>
                <w:bCs w:val="0"/>
                <w:color w:val="auto"/>
                <w:sz w:val="22"/>
                <w:szCs w:val="22"/>
                <w:highlight w:val="none"/>
                <w:lang w:eastAsia="zh-CN"/>
              </w:rPr>
              <w:t>）</w:t>
            </w:r>
          </w:p>
        </w:tc>
        <w:tc>
          <w:tcPr>
            <w:tcW w:w="7542" w:type="dxa"/>
            <w:noWrap w:val="0"/>
            <w:vAlign w:val="center"/>
          </w:tcPr>
          <w:p>
            <w:pPr>
              <w:shd w:val="clea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提供20</w:t>
            </w:r>
            <w:r>
              <w:rPr>
                <w:rFonts w:hint="eastAsia" w:ascii="黑体" w:hAnsi="黑体" w:eastAsia="黑体" w:cs="黑体"/>
                <w:color w:val="auto"/>
                <w:sz w:val="22"/>
                <w:szCs w:val="22"/>
                <w:highlight w:val="none"/>
                <w:lang w:val="en-US" w:eastAsia="zh-CN"/>
              </w:rPr>
              <w:t>22</w:t>
            </w:r>
            <w:r>
              <w:rPr>
                <w:rFonts w:hint="eastAsia" w:ascii="黑体" w:hAnsi="黑体" w:eastAsia="黑体" w:cs="黑体"/>
                <w:color w:val="auto"/>
                <w:sz w:val="22"/>
                <w:szCs w:val="22"/>
                <w:highlight w:val="none"/>
              </w:rPr>
              <w:t>年</w:t>
            </w:r>
            <w:r>
              <w:rPr>
                <w:rFonts w:hint="eastAsia" w:ascii="黑体" w:hAnsi="黑体" w:eastAsia="黑体" w:cs="黑体"/>
                <w:color w:val="auto"/>
                <w:sz w:val="22"/>
                <w:szCs w:val="22"/>
                <w:highlight w:val="none"/>
                <w:lang w:val="en-US" w:eastAsia="zh-CN"/>
              </w:rPr>
              <w:t>2月1日</w:t>
            </w:r>
            <w:r>
              <w:rPr>
                <w:rFonts w:hint="eastAsia" w:ascii="黑体" w:hAnsi="黑体" w:eastAsia="黑体" w:cs="黑体"/>
                <w:color w:val="auto"/>
                <w:sz w:val="22"/>
                <w:szCs w:val="22"/>
                <w:highlight w:val="none"/>
              </w:rPr>
              <w:t>至今类似项目业绩，每份计</w:t>
            </w:r>
            <w:r>
              <w:rPr>
                <w:rFonts w:hint="eastAsia" w:ascii="黑体" w:hAnsi="黑体" w:eastAsia="黑体" w:cs="黑体"/>
                <w:color w:val="auto"/>
                <w:sz w:val="22"/>
                <w:szCs w:val="22"/>
                <w:highlight w:val="none"/>
                <w:lang w:val="en-US" w:eastAsia="zh-CN"/>
              </w:rPr>
              <w:t>2.5</w:t>
            </w:r>
            <w:r>
              <w:rPr>
                <w:rFonts w:hint="eastAsia" w:ascii="黑体" w:hAnsi="黑体" w:eastAsia="黑体" w:cs="黑体"/>
                <w:color w:val="auto"/>
                <w:sz w:val="22"/>
                <w:szCs w:val="22"/>
                <w:highlight w:val="none"/>
              </w:rPr>
              <w:t>分，满分</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分。</w:t>
            </w:r>
            <w:r>
              <w:rPr>
                <w:rFonts w:hint="eastAsia" w:ascii="黑体" w:hAnsi="黑体" w:eastAsia="黑体" w:cs="黑体"/>
                <w:color w:val="auto"/>
                <w:sz w:val="22"/>
                <w:szCs w:val="22"/>
                <w:lang w:val="en-US" w:eastAsia="zh-CN"/>
              </w:rPr>
              <w:t>无此项内容不得分。</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lang w:val="en-US" w:eastAsia="zh-CN"/>
              </w:rPr>
              <w:t>注：业绩证明材料以中标通知书和合同协议书为准，磋商响应文件中附中标通知书和合同协议书复印件并加盖企业公章。</w:t>
            </w:r>
            <w:r>
              <w:rPr>
                <w:rFonts w:hint="eastAsia" w:ascii="黑体" w:hAnsi="黑体" w:eastAsia="黑体" w:cs="黑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服务</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承诺</w:t>
            </w:r>
          </w:p>
          <w:p>
            <w:pPr>
              <w:pStyle w:val="14"/>
              <w:rPr>
                <w:rFonts w:hint="eastAsia" w:ascii="黑体" w:hAnsi="黑体" w:eastAsia="黑体" w:cs="黑体"/>
                <w:lang w:val="en-US" w:eastAsia="zh-CN"/>
              </w:rPr>
            </w:pPr>
            <w:r>
              <w:rPr>
                <w:rFonts w:hint="eastAsia" w:ascii="黑体" w:hAnsi="黑体" w:eastAsia="黑体" w:cs="黑体"/>
                <w:color w:val="auto"/>
                <w:sz w:val="22"/>
                <w:szCs w:val="22"/>
                <w:highlight w:val="none"/>
                <w:lang w:val="en-US" w:eastAsia="zh-CN"/>
              </w:rPr>
              <w:t>（10分）</w:t>
            </w:r>
          </w:p>
        </w:tc>
        <w:tc>
          <w:tcPr>
            <w:tcW w:w="7542"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1.服务承诺及履约能力保证措施详细、具体得3.1-5分。较详细得2.1-3分，一般得1-2分。</w:t>
            </w:r>
            <w:r>
              <w:rPr>
                <w:rFonts w:hint="eastAsia" w:ascii="黑体" w:hAnsi="黑体" w:eastAsia="黑体" w:cs="黑体"/>
                <w:color w:val="auto"/>
                <w:sz w:val="22"/>
                <w:szCs w:val="22"/>
                <w:lang w:val="en-US" w:eastAsia="zh-CN"/>
              </w:rPr>
              <w:t>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color w:val="auto"/>
                <w:sz w:val="22"/>
                <w:szCs w:val="22"/>
                <w:highlight w:val="none"/>
                <w:lang w:val="en-US" w:eastAsia="zh-CN"/>
              </w:rPr>
            </w:pPr>
          </w:p>
        </w:tc>
        <w:tc>
          <w:tcPr>
            <w:tcW w:w="7542"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2.</w:t>
            </w:r>
            <w:r>
              <w:rPr>
                <w:rFonts w:hint="eastAsia" w:ascii="黑体" w:hAnsi="黑体" w:eastAsia="黑体" w:cs="黑体"/>
                <w:color w:val="auto"/>
                <w:sz w:val="22"/>
                <w:szCs w:val="22"/>
                <w:highlight w:val="none"/>
              </w:rPr>
              <w:t>对于项目实施过程中出现突发状况，有具体可行的应对措施，确保项目顺利实施、保证项目质量并按时提交项目成果</w:t>
            </w:r>
            <w:r>
              <w:rPr>
                <w:rFonts w:hint="eastAsia" w:ascii="黑体" w:hAnsi="黑体" w:eastAsia="黑体" w:cs="黑体"/>
                <w:color w:val="auto"/>
                <w:sz w:val="22"/>
                <w:szCs w:val="22"/>
                <w:highlight w:val="none"/>
                <w:lang w:val="en-US" w:eastAsia="zh-CN"/>
              </w:rPr>
              <w:t>得3.1-5分，应对措施较具体得2.1-3分，应对措施一般得1-2分。</w:t>
            </w:r>
            <w:r>
              <w:rPr>
                <w:rFonts w:hint="eastAsia" w:ascii="黑体" w:hAnsi="黑体" w:eastAsia="黑体" w:cs="黑体"/>
                <w:color w:val="auto"/>
                <w:sz w:val="22"/>
                <w:szCs w:val="22"/>
                <w:lang w:val="en-US" w:eastAsia="zh-CN"/>
              </w:rPr>
              <w:t>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项目</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团队</w:t>
            </w:r>
          </w:p>
          <w:p>
            <w:pPr>
              <w:pStyle w:val="14"/>
              <w:keepNext w:val="0"/>
              <w:keepLines w:val="0"/>
              <w:pageBreakBefore w:val="0"/>
              <w:kinsoku/>
              <w:wordWrap/>
              <w:overflowPunct/>
              <w:topLinePunct w:val="0"/>
              <w:autoSpaceDE/>
              <w:autoSpaceDN/>
              <w:bidi w:val="0"/>
              <w:spacing w:line="312" w:lineRule="auto"/>
              <w:ind w:left="0" w:leftChars="0" w:firstLine="0" w:firstLineChars="0"/>
              <w:jc w:val="center"/>
              <w:textAlignment w:val="auto"/>
              <w:rPr>
                <w:rFonts w:hint="eastAsia" w:ascii="黑体" w:hAnsi="黑体" w:eastAsia="黑体" w:cs="黑体"/>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（10分）</w:t>
            </w:r>
          </w:p>
        </w:tc>
        <w:tc>
          <w:tcPr>
            <w:tcW w:w="7542" w:type="dxa"/>
            <w:noWrap w:val="0"/>
            <w:vAlign w:val="center"/>
          </w:tcPr>
          <w:p>
            <w:pPr>
              <w:shd w:val="clear"/>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1、根据投标单位为本项目提供人员配备投入情况，从人数、结构、学历、专业方面，由磋商小组按各响应文件优劣自主赋分（0-5分）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vMerge w:val="continue"/>
            <w:noWrap w:val="0"/>
            <w:vAlign w:val="center"/>
          </w:tcPr>
          <w:p>
            <w:pPr>
              <w:pStyle w:val="14"/>
              <w:keepNext w:val="0"/>
              <w:keepLines w:val="0"/>
              <w:pageBreakBefore w:val="0"/>
              <w:kinsoku/>
              <w:wordWrap/>
              <w:overflowPunct/>
              <w:topLinePunct w:val="0"/>
              <w:autoSpaceDE/>
              <w:autoSpaceDN/>
              <w:bidi w:val="0"/>
              <w:spacing w:line="312" w:lineRule="auto"/>
              <w:ind w:left="0" w:leftChars="0" w:firstLine="0" w:firstLineChars="0"/>
              <w:jc w:val="center"/>
              <w:textAlignment w:val="auto"/>
              <w:rPr>
                <w:rFonts w:hint="eastAsia" w:ascii="黑体" w:hAnsi="黑体" w:eastAsia="黑体" w:cs="黑体"/>
                <w:b w:val="0"/>
                <w:bCs w:val="0"/>
                <w:color w:val="auto"/>
                <w:sz w:val="22"/>
                <w:szCs w:val="22"/>
                <w:highlight w:val="none"/>
                <w:lang w:val="en-US" w:eastAsia="zh-CN"/>
              </w:rPr>
            </w:pPr>
          </w:p>
        </w:tc>
        <w:tc>
          <w:tcPr>
            <w:tcW w:w="7542"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2、项目小组设立专人负责制，要求分工合理、责任明确，确保工作有序开展。按其响应程度计（0-5分）。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930" w:type="dxa"/>
            <w:vMerge w:val="continue"/>
            <w:noWrap w:val="0"/>
            <w:vAlign w:val="center"/>
          </w:tcPr>
          <w:p>
            <w:pPr>
              <w:shd w:val="clear"/>
              <w:jc w:val="center"/>
              <w:rPr>
                <w:rFonts w:hint="eastAsia" w:ascii="黑体" w:hAnsi="黑体" w:eastAsia="黑体" w:cs="黑体"/>
                <w:color w:val="auto"/>
                <w:sz w:val="22"/>
                <w:szCs w:val="22"/>
                <w:highlight w:val="none"/>
                <w:lang w:val="en-US" w:eastAsia="zh-CN"/>
              </w:rPr>
            </w:pPr>
          </w:p>
        </w:tc>
        <w:tc>
          <w:tcPr>
            <w:tcW w:w="870" w:type="dxa"/>
            <w:noWrap w:val="0"/>
            <w:vAlign w:val="center"/>
          </w:tcPr>
          <w:p>
            <w:pPr>
              <w:shd w:val="clea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配备</w:t>
            </w:r>
          </w:p>
          <w:p>
            <w:pPr>
              <w:pStyle w:val="14"/>
              <w:keepNext w:val="0"/>
              <w:keepLines w:val="0"/>
              <w:pageBreakBefore w:val="0"/>
              <w:kinsoku/>
              <w:wordWrap/>
              <w:overflowPunct/>
              <w:topLinePunct w:val="0"/>
              <w:autoSpaceDE/>
              <w:autoSpaceDN/>
              <w:bidi w:val="0"/>
              <w:spacing w:line="312" w:lineRule="auto"/>
              <w:ind w:left="0" w:leftChars="0" w:firstLine="0" w:firstLineChars="0"/>
              <w:jc w:val="center"/>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保障</w:t>
            </w:r>
          </w:p>
          <w:p>
            <w:pPr>
              <w:rPr>
                <w:rFonts w:hint="eastAsia" w:ascii="黑体" w:hAnsi="黑体" w:eastAsia="黑体" w:cs="黑体"/>
                <w:sz w:val="22"/>
                <w:szCs w:val="22"/>
                <w:lang w:val="en-US" w:eastAsia="zh-CN"/>
              </w:rPr>
            </w:pPr>
            <w:r>
              <w:rPr>
                <w:rFonts w:hint="eastAsia" w:ascii="黑体" w:hAnsi="黑体" w:eastAsia="黑体" w:cs="黑体"/>
                <w:color w:val="auto"/>
                <w:sz w:val="22"/>
                <w:szCs w:val="22"/>
                <w:highlight w:val="none"/>
                <w:lang w:val="en-US" w:eastAsia="zh-CN"/>
              </w:rPr>
              <w:t>（5分）</w:t>
            </w:r>
          </w:p>
        </w:tc>
        <w:tc>
          <w:tcPr>
            <w:tcW w:w="7542" w:type="dxa"/>
            <w:noWrap w:val="0"/>
            <w:vAlign w:val="center"/>
          </w:tcPr>
          <w:p>
            <w:pPr>
              <w:shd w:val="clea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en-US" w:eastAsia="zh-CN"/>
              </w:rPr>
              <w:t>根据拟</w:t>
            </w:r>
            <w:r>
              <w:rPr>
                <w:rFonts w:hint="eastAsia" w:ascii="黑体" w:hAnsi="黑体" w:eastAsia="黑体" w:cs="黑体"/>
                <w:color w:val="auto"/>
                <w:sz w:val="22"/>
                <w:szCs w:val="22"/>
                <w:highlight w:val="none"/>
                <w:lang w:val="zh-CN" w:eastAsia="zh-TW"/>
              </w:rPr>
              <w:t>配备的仪器和设备，从</w:t>
            </w:r>
            <w:r>
              <w:rPr>
                <w:rFonts w:hint="eastAsia" w:ascii="黑体" w:hAnsi="黑体" w:eastAsia="黑体" w:cs="黑体"/>
                <w:color w:val="auto"/>
                <w:sz w:val="22"/>
                <w:szCs w:val="22"/>
                <w:highlight w:val="none"/>
                <w:lang w:val="zh-CN"/>
              </w:rPr>
              <w:t>科学性、先进性、质量和可靠性等方面进行综合赋分。</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先进性、科学性、可靠性和可操作性强</w:t>
            </w:r>
            <w:r>
              <w:rPr>
                <w:rFonts w:hint="eastAsia" w:ascii="黑体" w:hAnsi="黑体" w:eastAsia="黑体" w:cs="黑体"/>
                <w:color w:val="auto"/>
                <w:sz w:val="22"/>
                <w:szCs w:val="22"/>
                <w:highlight w:val="none"/>
                <w:lang w:val="en-US" w:eastAsia="zh-CN"/>
              </w:rPr>
              <w:t>得3.1-5</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先进性、科学性、可靠性和可操作性良好</w:t>
            </w:r>
            <w:r>
              <w:rPr>
                <w:rFonts w:hint="eastAsia" w:ascii="黑体" w:hAnsi="黑体" w:eastAsia="黑体" w:cs="黑体"/>
                <w:b w:val="0"/>
                <w:color w:val="auto"/>
                <w:kern w:val="2"/>
                <w:sz w:val="22"/>
                <w:szCs w:val="22"/>
                <w:highlight w:val="none"/>
                <w:lang w:val="en-US" w:eastAsia="zh-CN" w:bidi="ar-SA"/>
              </w:rPr>
              <w:t>得</w:t>
            </w:r>
            <w:r>
              <w:rPr>
                <w:rFonts w:hint="eastAsia" w:ascii="黑体" w:hAnsi="黑体" w:eastAsia="黑体" w:cs="黑体"/>
                <w:color w:val="auto"/>
                <w:sz w:val="22"/>
                <w:szCs w:val="22"/>
                <w:highlight w:val="none"/>
                <w:lang w:val="en-US" w:eastAsia="zh-CN"/>
              </w:rPr>
              <w:t>2.1-3</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先进性、科学性、可靠性及可操作一般</w:t>
            </w:r>
            <w:r>
              <w:rPr>
                <w:rFonts w:hint="eastAsia" w:ascii="黑体" w:hAnsi="黑体" w:eastAsia="黑体" w:cs="黑体"/>
                <w:b w:val="0"/>
                <w:color w:val="auto"/>
                <w:kern w:val="2"/>
                <w:sz w:val="22"/>
                <w:szCs w:val="22"/>
                <w:highlight w:val="none"/>
                <w:lang w:val="en-US" w:eastAsia="zh-CN" w:bidi="ar-SA"/>
              </w:rPr>
              <w:t>得</w:t>
            </w:r>
            <w:r>
              <w:rPr>
                <w:rFonts w:hint="eastAsia" w:ascii="黑体" w:hAnsi="黑体" w:eastAsia="黑体" w:cs="黑体"/>
                <w:color w:val="auto"/>
                <w:sz w:val="22"/>
                <w:szCs w:val="22"/>
                <w:highlight w:val="none"/>
                <w:lang w:val="en-US" w:eastAsia="zh-CN"/>
              </w:rPr>
              <w:t>1-2</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2"/>
                <w:szCs w:val="22"/>
                <w:highlight w:val="none"/>
                <w:lang w:val="en-US" w:eastAsia="zh-CN" w:bidi="ar-SA"/>
              </w:rPr>
              <w:t>。</w:t>
            </w:r>
          </w:p>
        </w:tc>
      </w:tr>
    </w:tbl>
    <w:p>
      <w:pPr>
        <w:keepNext w:val="0"/>
        <w:keepLines w:val="0"/>
        <w:pageBreakBefore w:val="0"/>
        <w:kinsoku/>
        <w:wordWrap/>
        <w:overflowPunct/>
        <w:topLinePunct w:val="0"/>
        <w:bidi w:val="0"/>
        <w:adjustRightInd w:val="0"/>
        <w:snapToGrid w:val="0"/>
        <w:spacing w:line="348"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备注：</w:t>
      </w:r>
    </w:p>
    <w:p>
      <w:pPr>
        <w:keepNext w:val="0"/>
        <w:keepLines w:val="0"/>
        <w:pageBreakBefore w:val="0"/>
        <w:numPr>
          <w:ilvl w:val="0"/>
          <w:numId w:val="5"/>
        </w:numPr>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pPr>
        <w:keepNext w:val="0"/>
        <w:keepLines w:val="0"/>
        <w:pageBreakBefore w:val="0"/>
        <w:kinsoku/>
        <w:wordWrap/>
        <w:overflowPunct/>
        <w:topLinePunct w:val="0"/>
        <w:bidi w:val="0"/>
        <w:adjustRightInd w:val="0"/>
        <w:snapToGrid w:val="0"/>
        <w:spacing w:line="348" w:lineRule="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9、无效磋商响应文件</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9.1、在评审过程中，出现下列情形之一的，应作为无效磋商响应文件：</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9.1.1、磋商供应商未经过正常渠道购买竞争性磋商文件的；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9.1.2、磋商供应商名称与登记领取竞争性磋商文件单位的名称不一致的；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9.1.3、未按照竞争性磋商文件规定</w:t>
      </w:r>
      <w:r>
        <w:rPr>
          <w:rFonts w:hint="eastAsia" w:ascii="黑体" w:hAnsi="黑体" w:eastAsia="黑体" w:cs="黑体"/>
          <w:color w:val="auto"/>
          <w:sz w:val="22"/>
          <w:szCs w:val="22"/>
          <w:highlight w:val="none"/>
          <w:lang w:eastAsia="zh-CN"/>
        </w:rPr>
        <w:t>缴纳</w:t>
      </w:r>
      <w:r>
        <w:rPr>
          <w:rFonts w:hint="eastAsia" w:ascii="黑体" w:hAnsi="黑体" w:eastAsia="黑体" w:cs="黑体"/>
          <w:color w:val="auto"/>
          <w:sz w:val="22"/>
          <w:szCs w:val="22"/>
          <w:highlight w:val="none"/>
        </w:rPr>
        <w:t>磋商保证金的（如有）；</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9.1.4、未按照竞争性磋商文件规定和要求对磋商响应文件进行签署、盖章的；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9.1.5、不具备竞争性磋商文件中规定的资格条件和资格审查要求的；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9.1.6、未按照竞争性磋商文件规定的格式要求编制的；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9.1.7、未按竞争性磋商文件要求提交磋商响应文件；</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9.1.8、未按竞争性磋商文件要求提交原件的；未按要求提交磋商响应文件份数和内容的；电子标书内容与纸质磋商响应文件内容不一致的；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9.1.9、进口货物（产品）未办理正常进口手续的（如有）；</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9.1.10、提供响应内容出现漏项或数量与要求不符的；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9.1.11、响应的有效期、</w:t>
      </w:r>
      <w:r>
        <w:rPr>
          <w:rFonts w:hint="eastAsia" w:ascii="黑体" w:hAnsi="黑体" w:eastAsia="黑体" w:cs="黑体"/>
          <w:color w:val="auto"/>
          <w:sz w:val="22"/>
          <w:szCs w:val="22"/>
          <w:highlight w:val="none"/>
          <w:lang w:val="en-US" w:eastAsia="zh-CN"/>
        </w:rPr>
        <w:t>完成时间</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质量标准</w:t>
      </w:r>
      <w:r>
        <w:rPr>
          <w:rFonts w:hint="eastAsia" w:ascii="黑体" w:hAnsi="黑体" w:eastAsia="黑体" w:cs="黑体"/>
          <w:color w:val="auto"/>
          <w:sz w:val="22"/>
          <w:szCs w:val="22"/>
          <w:highlight w:val="none"/>
        </w:rPr>
        <w:t>、服务等商务条款不能满足磋商要求的；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9.1.12、磋商供应商的报价超过了采购人的预算价；</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9.1.13、磋商响应文件中附有采购人不能接受的条件；</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9.1.14、未载明或者载明的采购项目履约时间、方式、数量、技术参数、质量标准明及其他政府采购合同实质性内容与竞争性磋商文件要求不一致；</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9.1.15、提供货物（产品）不符合强制执行的国家标准；</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9.1.16、磋商响应文件的关键内容字迹模糊和无法辨认的；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9.1.17、磋商响应文件不符合竞争性磋商文件规定的其他情形的；</w:t>
      </w:r>
    </w:p>
    <w:p>
      <w:pPr>
        <w:keepNext w:val="0"/>
        <w:keepLines w:val="0"/>
        <w:pageBreakBefore w:val="0"/>
        <w:kinsoku/>
        <w:wordWrap/>
        <w:overflowPunct/>
        <w:topLinePunct w:val="0"/>
        <w:bidi w:val="0"/>
        <w:adjustRightInd w:val="0"/>
        <w:snapToGrid w:val="0"/>
        <w:spacing w:line="348"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9.1.18、磋商响应文件不符合法律法规要求的。</w:t>
      </w:r>
    </w:p>
    <w:p>
      <w:pPr>
        <w:keepNext w:val="0"/>
        <w:keepLines w:val="0"/>
        <w:pageBreakBefore w:val="0"/>
        <w:kinsoku/>
        <w:wordWrap/>
        <w:overflowPunct/>
        <w:topLinePunct w:val="0"/>
        <w:bidi w:val="0"/>
        <w:adjustRightInd w:val="0"/>
        <w:snapToGrid w:val="0"/>
        <w:spacing w:line="348"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10、特殊情况的处理</w:t>
      </w:r>
    </w:p>
    <w:p>
      <w:pPr>
        <w:keepNext w:val="0"/>
        <w:keepLines w:val="0"/>
        <w:pageBreakBefore w:val="0"/>
        <w:widowControl/>
        <w:kinsoku/>
        <w:wordWrap/>
        <w:overflowPunct/>
        <w:topLinePunct w:val="0"/>
        <w:autoSpaceDE w:val="0"/>
        <w:autoSpaceDN w:val="0"/>
        <w:bidi w:val="0"/>
        <w:adjustRightInd w:val="0"/>
        <w:snapToGrid w:val="0"/>
        <w:spacing w:line="348" w:lineRule="auto"/>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10.1、磋商响应文件中如果出现前后不一致的，按照下列规定修正：</w:t>
      </w:r>
    </w:p>
    <w:p>
      <w:pPr>
        <w:keepNext w:val="0"/>
        <w:keepLines w:val="0"/>
        <w:pageBreakBefore w:val="0"/>
        <w:widowControl/>
        <w:kinsoku/>
        <w:wordWrap/>
        <w:overflowPunct/>
        <w:topLinePunct w:val="0"/>
        <w:autoSpaceDE w:val="0"/>
        <w:autoSpaceDN w:val="0"/>
        <w:bidi w:val="0"/>
        <w:adjustRightInd w:val="0"/>
        <w:snapToGrid w:val="0"/>
        <w:spacing w:line="348" w:lineRule="auto"/>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10.1.1、响应文件中</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内容与响应文件中相应内容不一致的，以</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为准；大写金额和小写金额不一致的，以大写金额为准；单价金额小数点或者百分比有明显错位的，以响应报价表的总价为准，并修改单价；总价金额与按单价汇总金额不一致的，以单价金额计算结果为准。</w:t>
      </w:r>
    </w:p>
    <w:p>
      <w:pPr>
        <w:keepNext w:val="0"/>
        <w:keepLines w:val="0"/>
        <w:pageBreakBefore w:val="0"/>
        <w:kinsoku/>
        <w:wordWrap/>
        <w:overflowPunct/>
        <w:topLinePunct w:val="0"/>
        <w:bidi w:val="0"/>
        <w:adjustRightInd w:val="0"/>
        <w:snapToGrid w:val="0"/>
        <w:spacing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10.1.2、磋商响应文件中图表与文字表述不一致的，以文字表述为准；</w:t>
      </w:r>
    </w:p>
    <w:p>
      <w:pPr>
        <w:keepNext w:val="0"/>
        <w:keepLines w:val="0"/>
        <w:pageBreakBefore w:val="0"/>
        <w:widowControl/>
        <w:kinsoku/>
        <w:wordWrap/>
        <w:overflowPunct/>
        <w:topLinePunct w:val="0"/>
        <w:autoSpaceDE w:val="0"/>
        <w:autoSpaceDN w:val="0"/>
        <w:bidi w:val="0"/>
        <w:adjustRightInd w:val="0"/>
        <w:snapToGrid w:val="0"/>
        <w:spacing w:line="348" w:lineRule="auto"/>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10.1.3、磋商响应文件正本与副本不一致的，以正本为准；</w:t>
      </w:r>
    </w:p>
    <w:p>
      <w:pPr>
        <w:keepNext w:val="0"/>
        <w:keepLines w:val="0"/>
        <w:pageBreakBefore w:val="0"/>
        <w:kinsoku/>
        <w:wordWrap/>
        <w:overflowPunct/>
        <w:topLinePunct w:val="0"/>
        <w:bidi w:val="0"/>
        <w:adjustRightInd w:val="0"/>
        <w:snapToGrid w:val="0"/>
        <w:spacing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10.1.4、对不同文字文本磋商响应文件的解释发生异议的，以中文文本为准；</w:t>
      </w:r>
    </w:p>
    <w:p>
      <w:pPr>
        <w:keepNext w:val="0"/>
        <w:keepLines w:val="0"/>
        <w:pageBreakBefore w:val="0"/>
        <w:kinsoku/>
        <w:wordWrap/>
        <w:overflowPunct/>
        <w:topLinePunct w:val="0"/>
        <w:bidi w:val="0"/>
        <w:adjustRightInd w:val="0"/>
        <w:snapToGrid w:val="0"/>
        <w:spacing w:line="348"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10.1.5、同时出现两种以上不一致的，按照前款规定的顺序修正。修正后的报价按照本章第4.1条的规定经供应商确认后产生约束力，供应商不确认的，其磋商无效。</w:t>
      </w:r>
    </w:p>
    <w:p>
      <w:pPr>
        <w:keepNext w:val="0"/>
        <w:keepLines w:val="0"/>
        <w:pageBreakBefore w:val="0"/>
        <w:widowControl/>
        <w:shd w:val="clear"/>
        <w:kinsoku/>
        <w:wordWrap/>
        <w:overflowPunct/>
        <w:topLinePunct w:val="0"/>
        <w:autoSpaceDE w:val="0"/>
        <w:autoSpaceDN w:val="0"/>
        <w:bidi w:val="0"/>
        <w:adjustRightInd w:val="0"/>
        <w:snapToGrid w:val="0"/>
        <w:spacing w:line="348" w:lineRule="auto"/>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10.2、磋商响应文件中，若某项内容为零报价、无报价，经磋商小组评审后，报价得分为零，不参与磋商报价分值的计算。</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10.3、评审过程中，若出现本评审办法以外的特殊情况时，将暂停评审，待磋商小组商榷后，再进行评定。</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10.4、评审结果汇总完成后，除下列情形外，任何人不得修改评审结果：</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10.4.1、分值汇总计算错误的；</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10.4.2、分项评分超出评分标准范围的；</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10.4.3、磋商小组成员对客观评审因素评分不一致的；</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10.4.4、经磋商小组认定评分畸高、畸低的。</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10.5、</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签署前，经复核发现存在以上情形之一的，磋商小组应当当场修改</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结果，并在</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中记载；</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签署后，采购人或者采购代理机构发现存在以上情形之一的，应当组织原磋商小组进行重新评审，重新评审改变</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结果的，书面报告本级财政部门。供应商对</w:t>
      </w:r>
      <w:r>
        <w:rPr>
          <w:rFonts w:hint="eastAsia" w:ascii="黑体" w:hAnsi="黑体" w:eastAsia="黑体" w:cs="黑体"/>
          <w:color w:val="auto"/>
          <w:sz w:val="22"/>
          <w:szCs w:val="22"/>
          <w:highlight w:val="none"/>
          <w:lang w:eastAsia="zh-CN"/>
        </w:rPr>
        <w:t>评审报告</w:t>
      </w:r>
      <w:r>
        <w:rPr>
          <w:rFonts w:hint="eastAsia" w:ascii="黑体" w:hAnsi="黑体" w:eastAsia="黑体" w:cs="黑体"/>
          <w:color w:val="auto"/>
          <w:sz w:val="22"/>
          <w:szCs w:val="22"/>
          <w:highlight w:val="none"/>
        </w:rPr>
        <w:t>提出质疑的，采购人或者采购代理机构可以组织原磋商小组进行重新评审，重新评审改变</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结果的，应当书面报告本级财政部门。</w:t>
      </w:r>
    </w:p>
    <w:p>
      <w:pPr>
        <w:pStyle w:val="26"/>
        <w:keepNext w:val="0"/>
        <w:keepLines w:val="0"/>
        <w:pageBreakBefore w:val="0"/>
        <w:shd w:val="clear" w:color="auto"/>
        <w:kinsoku/>
        <w:wordWrap/>
        <w:overflowPunct/>
        <w:topLinePunct w:val="0"/>
        <w:bidi w:val="0"/>
        <w:adjustRightInd w:val="0"/>
        <w:snapToGrid w:val="0"/>
        <w:spacing w:before="0" w:beforeAutospacing="0" w:after="0" w:afterAutospacing="0"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10.6、磋商小组发现磋商文件存在歧义、重大缺陷导致</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工作无法进行，或者磋商文件内容违反国家有关强制性规定的，应当停止</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工作，与采购人或者采购代理机构沟通并作书面记录。采购人或者采购代理机构确认后，应当修改磋商文件，重新组织采购活动。</w:t>
      </w:r>
    </w:p>
    <w:p>
      <w:pPr>
        <w:keepNext w:val="0"/>
        <w:keepLines w:val="0"/>
        <w:pageBreakBefore w:val="0"/>
        <w:widowControl/>
        <w:kinsoku/>
        <w:wordWrap/>
        <w:overflowPunct/>
        <w:topLinePunct w:val="0"/>
        <w:autoSpaceDE w:val="0"/>
        <w:autoSpaceDN w:val="0"/>
        <w:bidi w:val="0"/>
        <w:adjustRightInd w:val="0"/>
        <w:snapToGrid w:val="0"/>
        <w:spacing w:line="348" w:lineRule="auto"/>
        <w:ind w:right="51"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10.7、排名第一的</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候选人，主动放弃成交或因不可抗力不能履行合同、或被查实存在影响成交结果的违法行为等情形，已不再符合成交条件的，采购人可以按照磋商小组提出的</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候选人名单排序依次确定第二</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候选人为成交供应商，也可以根据实际情况需要，依法重新组织采购活动。</w:t>
      </w:r>
    </w:p>
    <w:p>
      <w:pPr>
        <w:keepNext w:val="0"/>
        <w:keepLines w:val="0"/>
        <w:pageBreakBefore w:val="0"/>
        <w:widowControl/>
        <w:kinsoku/>
        <w:wordWrap/>
        <w:overflowPunct/>
        <w:topLinePunct w:val="0"/>
        <w:autoSpaceDE w:val="0"/>
        <w:autoSpaceDN w:val="0"/>
        <w:bidi w:val="0"/>
        <w:adjustRightInd w:val="0"/>
        <w:snapToGrid w:val="0"/>
        <w:spacing w:line="348" w:lineRule="auto"/>
        <w:ind w:right="53"/>
        <w:textAlignment w:val="bottom"/>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11、</w:t>
      </w:r>
      <w:r>
        <w:rPr>
          <w:rFonts w:hint="eastAsia" w:ascii="黑体" w:hAnsi="黑体" w:eastAsia="黑体" w:cs="黑体"/>
          <w:b/>
          <w:color w:val="auto"/>
          <w:sz w:val="22"/>
          <w:szCs w:val="22"/>
          <w:highlight w:val="none"/>
          <w:lang w:eastAsia="zh-CN"/>
        </w:rPr>
        <w:t>成交</w:t>
      </w:r>
      <w:r>
        <w:rPr>
          <w:rFonts w:hint="eastAsia" w:ascii="黑体" w:hAnsi="黑体" w:eastAsia="黑体" w:cs="黑体"/>
          <w:b/>
          <w:color w:val="auto"/>
          <w:sz w:val="22"/>
          <w:szCs w:val="22"/>
          <w:highlight w:val="none"/>
        </w:rPr>
        <w:t>结果</w:t>
      </w:r>
    </w:p>
    <w:p>
      <w:pPr>
        <w:keepNext w:val="0"/>
        <w:keepLines w:val="0"/>
        <w:pageBreakBefore w:val="0"/>
        <w:widowControl/>
        <w:shd w:val="clear" w:color="auto"/>
        <w:kinsoku/>
        <w:wordWrap/>
        <w:overflowPunct/>
        <w:topLinePunct w:val="0"/>
        <w:bidi w:val="0"/>
        <w:adjustRightInd w:val="0"/>
        <w:snapToGrid w:val="0"/>
        <w:spacing w:line="348" w:lineRule="auto"/>
        <w:ind w:firstLine="431" w:firstLineChars="196"/>
        <w:jc w:val="left"/>
        <w:rPr>
          <w:rFonts w:hint="eastAsia" w:ascii="黑体" w:hAnsi="黑体" w:eastAsia="黑体" w:cs="黑体"/>
          <w:color w:val="auto"/>
          <w:sz w:val="22"/>
          <w:szCs w:val="22"/>
          <w:highlight w:val="none"/>
        </w:rPr>
      </w:pPr>
      <w:bookmarkStart w:id="30" w:name="_Toc217446063"/>
      <w:bookmarkStart w:id="31" w:name="_Toc183582238"/>
      <w:bookmarkStart w:id="32" w:name="_Toc183682375"/>
      <w:r>
        <w:rPr>
          <w:rFonts w:hint="eastAsia" w:ascii="黑体" w:hAnsi="黑体" w:eastAsia="黑体" w:cs="黑体"/>
          <w:color w:val="auto"/>
          <w:sz w:val="22"/>
          <w:szCs w:val="22"/>
          <w:highlight w:val="none"/>
        </w:rPr>
        <w:t>11.1、采购人从评审报告中推荐的</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候选磋商供应商中，按照排序由高到低的原则确定成交供应商。</w:t>
      </w:r>
    </w:p>
    <w:p>
      <w:pPr>
        <w:keepNext w:val="0"/>
        <w:keepLines w:val="0"/>
        <w:pageBreakBefore w:val="0"/>
        <w:widowControl/>
        <w:shd w:val="clear" w:color="auto"/>
        <w:kinsoku/>
        <w:wordWrap/>
        <w:overflowPunct/>
        <w:topLinePunct w:val="0"/>
        <w:bidi w:val="0"/>
        <w:adjustRightInd w:val="0"/>
        <w:snapToGrid w:val="0"/>
        <w:spacing w:line="348" w:lineRule="auto"/>
        <w:ind w:firstLine="431" w:firstLineChars="196"/>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11.2、</w:t>
      </w:r>
      <w:r>
        <w:rPr>
          <w:rFonts w:hint="eastAsia" w:ascii="黑体" w:hAnsi="黑体" w:eastAsia="黑体" w:cs="黑体"/>
          <w:color w:val="auto"/>
          <w:sz w:val="22"/>
          <w:szCs w:val="22"/>
          <w:highlight w:val="none"/>
          <w:lang w:eastAsia="zh-CN"/>
        </w:rPr>
        <w:t>评审</w:t>
      </w:r>
      <w:r>
        <w:rPr>
          <w:rFonts w:hint="eastAsia" w:ascii="黑体" w:hAnsi="黑体" w:eastAsia="黑体" w:cs="黑体"/>
          <w:color w:val="auto"/>
          <w:sz w:val="22"/>
          <w:szCs w:val="22"/>
          <w:highlight w:val="none"/>
        </w:rPr>
        <w:t>结果按评审后得分由高到低顺序排列。得分相同的，按最终报价由低到高顺序排列。得分且最终报价相同的并列。磋商响应文件满足磋商文件全部实质性要求，且按照评审因素的量化指标评审得分最高的供应商为排名第一的</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候选人。</w:t>
      </w:r>
    </w:p>
    <w:p>
      <w:pPr>
        <w:keepNext w:val="0"/>
        <w:keepLines w:val="0"/>
        <w:pageBreakBefore w:val="0"/>
        <w:widowControl/>
        <w:shd w:val="clear" w:color="auto"/>
        <w:kinsoku/>
        <w:wordWrap/>
        <w:overflowPunct/>
        <w:topLinePunct w:val="0"/>
        <w:bidi w:val="0"/>
        <w:adjustRightInd w:val="0"/>
        <w:snapToGrid w:val="0"/>
        <w:spacing w:line="348" w:lineRule="auto"/>
        <w:jc w:val="left"/>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12、确定</w:t>
      </w:r>
      <w:r>
        <w:rPr>
          <w:rFonts w:hint="eastAsia" w:ascii="黑体" w:hAnsi="黑体" w:eastAsia="黑体" w:cs="黑体"/>
          <w:b/>
          <w:color w:val="auto"/>
          <w:sz w:val="22"/>
          <w:szCs w:val="22"/>
          <w:highlight w:val="none"/>
          <w:lang w:eastAsia="zh-CN"/>
        </w:rPr>
        <w:t>成交</w:t>
      </w:r>
      <w:r>
        <w:rPr>
          <w:rFonts w:hint="eastAsia" w:ascii="黑体" w:hAnsi="黑体" w:eastAsia="黑体" w:cs="黑体"/>
          <w:b/>
          <w:color w:val="auto"/>
          <w:sz w:val="22"/>
          <w:szCs w:val="22"/>
          <w:highlight w:val="none"/>
        </w:rPr>
        <w:t>候选人</w:t>
      </w:r>
    </w:p>
    <w:p>
      <w:pPr>
        <w:keepNext w:val="0"/>
        <w:keepLines w:val="0"/>
        <w:pageBreakBefore w:val="0"/>
        <w:widowControl/>
        <w:shd w:val="clear" w:color="auto"/>
        <w:kinsoku/>
        <w:wordWrap/>
        <w:overflowPunct/>
        <w:topLinePunct w:val="0"/>
        <w:bidi w:val="0"/>
        <w:adjustRightInd w:val="0"/>
        <w:snapToGrid w:val="0"/>
        <w:spacing w:line="348" w:lineRule="auto"/>
        <w:ind w:firstLine="440" w:firstLineChars="200"/>
        <w:jc w:val="left"/>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12.1、采购代理机构应当在</w:t>
      </w:r>
      <w:r>
        <w:rPr>
          <w:rFonts w:hint="eastAsia" w:ascii="黑体" w:hAnsi="黑体" w:eastAsia="黑体" w:cs="黑体"/>
          <w:bCs/>
          <w:color w:val="auto"/>
          <w:kern w:val="1"/>
          <w:sz w:val="22"/>
          <w:szCs w:val="22"/>
          <w:highlight w:val="none"/>
          <w:lang w:eastAsia="zh-CN"/>
        </w:rPr>
        <w:t>评审</w:t>
      </w:r>
      <w:r>
        <w:rPr>
          <w:rFonts w:hint="eastAsia" w:ascii="黑体" w:hAnsi="黑体" w:eastAsia="黑体" w:cs="黑体"/>
          <w:bCs/>
          <w:color w:val="auto"/>
          <w:kern w:val="1"/>
          <w:sz w:val="22"/>
          <w:szCs w:val="22"/>
          <w:highlight w:val="none"/>
        </w:rPr>
        <w:t>结束后2个工作日内将</w:t>
      </w:r>
      <w:r>
        <w:rPr>
          <w:rFonts w:hint="eastAsia" w:ascii="黑体" w:hAnsi="黑体" w:eastAsia="黑体" w:cs="黑体"/>
          <w:bCs/>
          <w:color w:val="auto"/>
          <w:kern w:val="1"/>
          <w:sz w:val="22"/>
          <w:szCs w:val="22"/>
          <w:highlight w:val="none"/>
          <w:lang w:eastAsia="zh-CN"/>
        </w:rPr>
        <w:t>评审报告</w:t>
      </w:r>
      <w:r>
        <w:rPr>
          <w:rFonts w:hint="eastAsia" w:ascii="黑体" w:hAnsi="黑体" w:eastAsia="黑体" w:cs="黑体"/>
          <w:bCs/>
          <w:color w:val="auto"/>
          <w:kern w:val="1"/>
          <w:sz w:val="22"/>
          <w:szCs w:val="22"/>
          <w:highlight w:val="none"/>
        </w:rPr>
        <w:t>送采购人。采购人应当自收到</w:t>
      </w:r>
      <w:r>
        <w:rPr>
          <w:rFonts w:hint="eastAsia" w:ascii="黑体" w:hAnsi="黑体" w:eastAsia="黑体" w:cs="黑体"/>
          <w:bCs/>
          <w:color w:val="auto"/>
          <w:kern w:val="1"/>
          <w:sz w:val="22"/>
          <w:szCs w:val="22"/>
          <w:highlight w:val="none"/>
          <w:lang w:eastAsia="zh-CN"/>
        </w:rPr>
        <w:t>评审报告</w:t>
      </w:r>
      <w:r>
        <w:rPr>
          <w:rFonts w:hint="eastAsia" w:ascii="黑体" w:hAnsi="黑体" w:eastAsia="黑体" w:cs="黑体"/>
          <w:bCs/>
          <w:color w:val="auto"/>
          <w:kern w:val="1"/>
          <w:sz w:val="22"/>
          <w:szCs w:val="22"/>
          <w:highlight w:val="none"/>
        </w:rPr>
        <w:t>之日起5个工作日内，在</w:t>
      </w:r>
      <w:r>
        <w:rPr>
          <w:rFonts w:hint="eastAsia" w:ascii="黑体" w:hAnsi="黑体" w:eastAsia="黑体" w:cs="黑体"/>
          <w:bCs/>
          <w:color w:val="auto"/>
          <w:kern w:val="1"/>
          <w:sz w:val="22"/>
          <w:szCs w:val="22"/>
          <w:highlight w:val="none"/>
          <w:lang w:eastAsia="zh-CN"/>
        </w:rPr>
        <w:t>评审报告</w:t>
      </w:r>
      <w:r>
        <w:rPr>
          <w:rFonts w:hint="eastAsia" w:ascii="黑体" w:hAnsi="黑体" w:eastAsia="黑体" w:cs="黑体"/>
          <w:bCs/>
          <w:color w:val="auto"/>
          <w:kern w:val="1"/>
          <w:sz w:val="22"/>
          <w:szCs w:val="22"/>
          <w:highlight w:val="none"/>
        </w:rPr>
        <w:t>确定的成交候选人名单中按顺序确定成交人。成交候选人并列的，由采购人或者采购人委托磋商小组按照磋商文件规定的方式确定成交人。</w:t>
      </w:r>
    </w:p>
    <w:p>
      <w:pPr>
        <w:keepNext w:val="0"/>
        <w:keepLines w:val="0"/>
        <w:pageBreakBefore w:val="0"/>
        <w:tabs>
          <w:tab w:val="left" w:pos="0"/>
        </w:tabs>
        <w:kinsoku/>
        <w:wordWrap/>
        <w:overflowPunct/>
        <w:topLinePunct w:val="0"/>
        <w:bidi w:val="0"/>
        <w:adjustRightInd w:val="0"/>
        <w:snapToGrid w:val="0"/>
        <w:spacing w:line="348"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12.2、采购人或者采购代理机构应当自成交人确定之日起2个工作日内，在省级以上财政部门指定的媒体（《</w:t>
      </w:r>
      <w:r>
        <w:rPr>
          <w:rFonts w:hint="eastAsia" w:ascii="黑体" w:hAnsi="黑体" w:eastAsia="黑体" w:cs="黑体"/>
          <w:color w:val="auto"/>
          <w:kern w:val="1"/>
          <w:sz w:val="22"/>
          <w:szCs w:val="22"/>
          <w:highlight w:val="none"/>
          <w:lang w:eastAsia="zh-CN"/>
        </w:rPr>
        <w:t>陕西省政府采购网</w:t>
      </w:r>
      <w:r>
        <w:rPr>
          <w:rFonts w:hint="eastAsia" w:ascii="黑体" w:hAnsi="黑体" w:eastAsia="黑体" w:cs="黑体"/>
          <w:color w:val="auto"/>
          <w:kern w:val="1"/>
          <w:sz w:val="22"/>
          <w:szCs w:val="22"/>
          <w:highlight w:val="none"/>
        </w:rPr>
        <w:t>》）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keepNext w:val="0"/>
        <w:keepLines w:val="0"/>
        <w:pageBreakBefore w:val="0"/>
        <w:tabs>
          <w:tab w:val="left" w:pos="0"/>
        </w:tabs>
        <w:kinsoku/>
        <w:wordWrap/>
        <w:overflowPunct/>
        <w:topLinePunct w:val="0"/>
        <w:bidi w:val="0"/>
        <w:adjustRightInd w:val="0"/>
        <w:snapToGrid w:val="0"/>
        <w:spacing w:line="348"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12.3、在公告成交结果的同时，采购人或者采购代理机构应当向成交人发出成交通知书。</w:t>
      </w:r>
    </w:p>
    <w:p>
      <w:pPr>
        <w:keepNext w:val="0"/>
        <w:keepLines w:val="0"/>
        <w:pageBreakBefore w:val="0"/>
        <w:kinsoku/>
        <w:wordWrap/>
        <w:overflowPunct/>
        <w:topLinePunct w:val="0"/>
        <w:bidi w:val="0"/>
        <w:adjustRightInd w:val="0"/>
        <w:snapToGrid w:val="0"/>
        <w:spacing w:line="348"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12.4、采购代理机构将评审过程与采购人情况书面报送有关监督机构备案。</w:t>
      </w:r>
    </w:p>
    <w:p>
      <w:pPr>
        <w:keepNext w:val="0"/>
        <w:keepLines w:val="0"/>
        <w:pageBreakBefore w:val="0"/>
        <w:shd w:val="clear"/>
        <w:kinsoku/>
        <w:wordWrap/>
        <w:overflowPunct/>
        <w:topLinePunct w:val="0"/>
        <w:bidi w:val="0"/>
        <w:adjustRightInd w:val="0"/>
        <w:snapToGrid w:val="0"/>
        <w:spacing w:line="348" w:lineRule="auto"/>
        <w:rPr>
          <w:rFonts w:hint="eastAsia" w:ascii="黑体" w:hAnsi="黑体" w:eastAsia="黑体" w:cs="黑体"/>
          <w:b/>
          <w:color w:val="auto"/>
          <w:sz w:val="22"/>
          <w:szCs w:val="22"/>
          <w:highlight w:val="none"/>
        </w:rPr>
      </w:pPr>
      <w:r>
        <w:rPr>
          <w:rFonts w:hint="eastAsia" w:ascii="黑体" w:hAnsi="黑体" w:eastAsia="黑体" w:cs="黑体"/>
          <w:b/>
          <w:bCs/>
          <w:color w:val="auto"/>
          <w:sz w:val="22"/>
          <w:szCs w:val="22"/>
          <w:highlight w:val="none"/>
        </w:rPr>
        <w:t>13、</w:t>
      </w:r>
      <w:bookmarkEnd w:id="30"/>
      <w:bookmarkEnd w:id="31"/>
      <w:bookmarkEnd w:id="32"/>
      <w:r>
        <w:rPr>
          <w:rFonts w:hint="eastAsia" w:ascii="黑体" w:hAnsi="黑体" w:eastAsia="黑体" w:cs="黑体"/>
          <w:b/>
          <w:bCs/>
          <w:color w:val="auto"/>
          <w:sz w:val="22"/>
          <w:szCs w:val="22"/>
          <w:highlight w:val="none"/>
        </w:rPr>
        <w:t>成交通知书</w:t>
      </w:r>
    </w:p>
    <w:p>
      <w:pPr>
        <w:keepNext w:val="0"/>
        <w:keepLines w:val="0"/>
        <w:pageBreakBefore w:val="0"/>
        <w:widowControl/>
        <w:shd w:val="clear" w:color="auto"/>
        <w:kinsoku/>
        <w:wordWrap/>
        <w:overflowPunct/>
        <w:topLinePunct w:val="0"/>
        <w:bidi w:val="0"/>
        <w:adjustRightInd w:val="0"/>
        <w:snapToGrid w:val="0"/>
        <w:spacing w:line="348" w:lineRule="auto"/>
        <w:ind w:firstLine="431" w:firstLineChars="196"/>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13.1、成交通知书是合同文件的组成部分，对采购人和成交供应商具有同等法律效力。</w:t>
      </w:r>
      <w:r>
        <w:rPr>
          <w:rFonts w:hint="eastAsia" w:ascii="黑体" w:hAnsi="黑体" w:eastAsia="黑体" w:cs="黑体"/>
          <w:color w:val="auto"/>
          <w:kern w:val="0"/>
          <w:sz w:val="22"/>
          <w:szCs w:val="22"/>
          <w:highlight w:val="none"/>
        </w:rPr>
        <w:t>成交通知书发出后，采购人改变</w:t>
      </w:r>
      <w:r>
        <w:rPr>
          <w:rFonts w:hint="eastAsia" w:ascii="黑体" w:hAnsi="黑体" w:eastAsia="黑体" w:cs="黑体"/>
          <w:color w:val="auto"/>
          <w:kern w:val="0"/>
          <w:sz w:val="22"/>
          <w:szCs w:val="22"/>
          <w:highlight w:val="none"/>
          <w:lang w:eastAsia="zh-CN"/>
        </w:rPr>
        <w:t>成交</w:t>
      </w:r>
      <w:r>
        <w:rPr>
          <w:rFonts w:hint="eastAsia" w:ascii="黑体" w:hAnsi="黑体" w:eastAsia="黑体" w:cs="黑体"/>
          <w:color w:val="auto"/>
          <w:kern w:val="0"/>
          <w:sz w:val="22"/>
          <w:szCs w:val="22"/>
          <w:highlight w:val="none"/>
        </w:rPr>
        <w:t>结果或者成交供应商放弃成交，应按相关法律、规章、规范性文件的要求承担相应的法律责任。</w:t>
      </w:r>
    </w:p>
    <w:p>
      <w:pPr>
        <w:keepNext w:val="0"/>
        <w:keepLines w:val="0"/>
        <w:pageBreakBefore w:val="0"/>
        <w:shd w:val="clear"/>
        <w:tabs>
          <w:tab w:val="left" w:pos="7665"/>
        </w:tabs>
        <w:kinsoku/>
        <w:wordWrap/>
        <w:overflowPunct/>
        <w:topLinePunct w:val="0"/>
        <w:bidi w:val="0"/>
        <w:adjustRightInd w:val="0"/>
        <w:snapToGrid w:val="0"/>
        <w:spacing w:line="348" w:lineRule="auto"/>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13.2、成交供应商应当在接到采购代理机构通知之日起5个工作日内，领取《成交通知书》。</w:t>
      </w:r>
    </w:p>
    <w:p>
      <w:pPr>
        <w:keepNext w:val="0"/>
        <w:keepLines w:val="0"/>
        <w:pageBreakBefore w:val="0"/>
        <w:tabs>
          <w:tab w:val="left" w:pos="7665"/>
        </w:tabs>
        <w:kinsoku/>
        <w:wordWrap/>
        <w:overflowPunct/>
        <w:topLinePunct w:val="0"/>
        <w:bidi w:val="0"/>
        <w:adjustRightInd w:val="0"/>
        <w:snapToGrid w:val="0"/>
        <w:spacing w:line="348" w:lineRule="auto"/>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keepNext w:val="0"/>
        <w:keepLines w:val="0"/>
        <w:pageBreakBefore w:val="0"/>
        <w:tabs>
          <w:tab w:val="left" w:pos="7665"/>
        </w:tabs>
        <w:kinsoku/>
        <w:wordWrap/>
        <w:overflowPunct/>
        <w:topLinePunct w:val="0"/>
        <w:bidi w:val="0"/>
        <w:adjustRightInd w:val="0"/>
        <w:snapToGrid w:val="0"/>
        <w:spacing w:line="348" w:lineRule="auto"/>
        <w:ind w:firstLine="482"/>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13.4、成交供应商在收到采购代理机构的成交通知书后5日内，应按照磋商供应商须知前列表的规定，向采购人提交履约保证金或履约担保。</w:t>
      </w:r>
    </w:p>
    <w:p>
      <w:pPr>
        <w:keepNext w:val="0"/>
        <w:keepLines w:val="0"/>
        <w:pageBreakBefore w:val="0"/>
        <w:tabs>
          <w:tab w:val="left" w:pos="7665"/>
        </w:tabs>
        <w:kinsoku/>
        <w:wordWrap/>
        <w:overflowPunct/>
        <w:topLinePunct w:val="0"/>
        <w:bidi w:val="0"/>
        <w:adjustRightInd w:val="0"/>
        <w:snapToGrid w:val="0"/>
        <w:spacing w:line="348" w:lineRule="auto"/>
        <w:ind w:firstLine="482"/>
        <w:rPr>
          <w:rFonts w:hint="eastAsia" w:ascii="黑体" w:hAnsi="黑体" w:eastAsia="黑体" w:cs="黑体"/>
          <w:b/>
          <w:color w:val="auto"/>
          <w:sz w:val="22"/>
          <w:szCs w:val="22"/>
          <w:highlight w:val="none"/>
          <w:lang w:eastAsia="zh-CN"/>
        </w:rPr>
      </w:pPr>
      <w:r>
        <w:rPr>
          <w:rFonts w:hint="eastAsia" w:ascii="黑体" w:hAnsi="黑体" w:eastAsia="黑体" w:cs="黑体"/>
          <w:color w:val="auto"/>
          <w:sz w:val="22"/>
          <w:szCs w:val="22"/>
          <w:highlight w:val="none"/>
        </w:rPr>
        <w:t>13.5、成交供应商</w:t>
      </w:r>
      <w:r>
        <w:rPr>
          <w:rFonts w:hint="eastAsia" w:ascii="黑体" w:hAnsi="黑体" w:eastAsia="黑体" w:cs="黑体"/>
          <w:color w:val="auto"/>
          <w:spacing w:val="4"/>
          <w:sz w:val="22"/>
          <w:szCs w:val="22"/>
          <w:highlight w:val="none"/>
        </w:rPr>
        <w:t>没有按照本章第13.4条</w:t>
      </w:r>
      <w:r>
        <w:rPr>
          <w:rFonts w:hint="eastAsia" w:ascii="黑体" w:hAnsi="黑体" w:eastAsia="黑体" w:cs="黑体"/>
          <w:color w:val="auto"/>
          <w:kern w:val="0"/>
          <w:sz w:val="22"/>
          <w:szCs w:val="22"/>
          <w:highlight w:val="none"/>
          <w:lang w:val="zh-CN"/>
        </w:rPr>
        <w:t>款</w:t>
      </w:r>
      <w:r>
        <w:rPr>
          <w:rFonts w:hint="eastAsia" w:ascii="黑体" w:hAnsi="黑体" w:eastAsia="黑体" w:cs="黑体"/>
          <w:color w:val="auto"/>
          <w:spacing w:val="4"/>
          <w:sz w:val="22"/>
          <w:szCs w:val="22"/>
          <w:highlight w:val="none"/>
        </w:rPr>
        <w:t>规定</w:t>
      </w:r>
      <w:r>
        <w:rPr>
          <w:rFonts w:hint="eastAsia" w:ascii="黑体" w:hAnsi="黑体" w:eastAsia="黑体" w:cs="黑体"/>
          <w:color w:val="auto"/>
          <w:sz w:val="22"/>
          <w:szCs w:val="22"/>
          <w:highlight w:val="none"/>
        </w:rPr>
        <w:t>提交履约保证金或履约担保的</w:t>
      </w:r>
      <w:r>
        <w:rPr>
          <w:rFonts w:hint="eastAsia" w:ascii="黑体" w:hAnsi="黑体" w:eastAsia="黑体" w:cs="黑体"/>
          <w:color w:val="auto"/>
          <w:spacing w:val="4"/>
          <w:sz w:val="22"/>
          <w:szCs w:val="22"/>
          <w:highlight w:val="none"/>
        </w:rPr>
        <w:t>，视为放弃</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资格</w:t>
      </w:r>
      <w:r>
        <w:rPr>
          <w:rFonts w:hint="eastAsia" w:ascii="黑体" w:hAnsi="黑体" w:eastAsia="黑体" w:cs="黑体"/>
          <w:color w:val="auto"/>
          <w:spacing w:val="2"/>
          <w:sz w:val="22"/>
          <w:szCs w:val="22"/>
          <w:highlight w:val="none"/>
        </w:rPr>
        <w:t>。</w:t>
      </w:r>
      <w:bookmarkStart w:id="33" w:name="_Toc794"/>
      <w:bookmarkStart w:id="34" w:name="_Toc27716_WPSOffice_Level1"/>
      <w:bookmarkStart w:id="35" w:name="_Toc14096"/>
      <w:bookmarkStart w:id="36" w:name="_Toc22070"/>
      <w:bookmarkStart w:id="37" w:name="_Toc1222"/>
      <w:bookmarkStart w:id="38" w:name="_Toc1447_WPSOffice_Level1"/>
      <w:bookmarkStart w:id="39" w:name="_Toc29953"/>
      <w:bookmarkStart w:id="40" w:name="_Toc14631"/>
      <w:bookmarkStart w:id="41" w:name="_Toc16389_WPSOffice_Level1"/>
      <w:bookmarkStart w:id="42" w:name="_Toc12850"/>
      <w:bookmarkStart w:id="43" w:name="_Toc8504"/>
      <w:bookmarkStart w:id="44" w:name="_Toc32362_WPSOffice_Level1"/>
    </w:p>
    <w:p>
      <w:pPr>
        <w:ind w:firstLine="1807" w:firstLineChars="500"/>
        <w:rPr>
          <w:rFonts w:hint="eastAsia" w:ascii="黑体" w:hAnsi="黑体" w:eastAsia="黑体" w:cs="黑体"/>
          <w:b/>
          <w:color w:val="auto"/>
          <w:sz w:val="36"/>
          <w:szCs w:val="36"/>
          <w:highlight w:val="none"/>
          <w:lang w:eastAsia="zh-CN"/>
        </w:rPr>
      </w:pPr>
    </w:p>
    <w:p>
      <w:pPr>
        <w:pStyle w:val="43"/>
        <w:rPr>
          <w:rFonts w:hint="eastAsia" w:ascii="黑体" w:hAnsi="黑体" w:eastAsia="黑体" w:cs="黑体"/>
          <w:b/>
          <w:color w:val="auto"/>
          <w:sz w:val="36"/>
          <w:szCs w:val="36"/>
          <w:highlight w:val="none"/>
          <w:lang w:eastAsia="zh-CN"/>
        </w:rPr>
      </w:pPr>
    </w:p>
    <w:p>
      <w:pPr>
        <w:numPr>
          <w:ilvl w:val="0"/>
          <w:numId w:val="6"/>
        </w:numPr>
        <w:jc w:val="center"/>
        <w:rPr>
          <w:rFonts w:hint="eastAsia" w:ascii="黑体" w:hAnsi="黑体" w:eastAsia="黑体" w:cs="黑体"/>
          <w:b/>
          <w:color w:val="auto"/>
          <w:sz w:val="32"/>
          <w:szCs w:val="32"/>
          <w:highlight w:val="none"/>
        </w:rPr>
      </w:pPr>
      <w:bookmarkStart w:id="260" w:name="_GoBack"/>
      <w:bookmarkEnd w:id="260"/>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rPr>
        <w:t>采购内容及具体要求</w:t>
      </w:r>
      <w:bookmarkEnd w:id="33"/>
      <w:bookmarkEnd w:id="34"/>
      <w:bookmarkEnd w:id="35"/>
      <w:bookmarkEnd w:id="36"/>
      <w:bookmarkEnd w:id="37"/>
      <w:bookmarkEnd w:id="38"/>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rPr>
        <w:t>一、项目基本情况</w:t>
      </w:r>
    </w:p>
    <w:p>
      <w:pPr>
        <w:spacing w:line="360" w:lineRule="auto"/>
        <w:rPr>
          <w:rFonts w:hint="eastAsia" w:ascii="黑体" w:hAnsi="黑体" w:eastAsia="黑体" w:cs="黑体"/>
          <w:b w:val="0"/>
          <w:bCs w:val="0"/>
          <w:sz w:val="22"/>
          <w:szCs w:val="22"/>
        </w:rPr>
      </w:pPr>
      <w:r>
        <w:rPr>
          <w:rFonts w:hint="eastAsia" w:ascii="黑体" w:hAnsi="黑体" w:eastAsia="黑体" w:cs="黑体"/>
          <w:sz w:val="22"/>
          <w:szCs w:val="22"/>
        </w:rPr>
        <w:t xml:space="preserve">    根据陕西省自然资源厅《关于关于下达2023年地质灾害防治体系建设绩效及中省资金支持项目计划的通知》（陕自然勘函[2023]2号），</w:t>
      </w:r>
      <w:r>
        <w:rPr>
          <w:rFonts w:hint="eastAsia" w:ascii="黑体" w:hAnsi="黑体" w:eastAsia="黑体" w:cs="黑体"/>
          <w:b w:val="0"/>
          <w:bCs w:val="0"/>
          <w:sz w:val="22"/>
          <w:szCs w:val="22"/>
        </w:rPr>
        <w:t>在</w:t>
      </w:r>
      <w:r>
        <w:rPr>
          <w:rFonts w:hint="eastAsia" w:ascii="黑体" w:hAnsi="黑体" w:eastAsia="黑体" w:cs="黑体"/>
          <w:b w:val="0"/>
          <w:bCs w:val="0"/>
          <w:i w:val="0"/>
          <w:iCs w:val="0"/>
          <w:caps w:val="0"/>
          <w:color w:val="auto"/>
          <w:spacing w:val="0"/>
          <w:kern w:val="0"/>
          <w:sz w:val="24"/>
          <w:szCs w:val="24"/>
          <w:shd w:val="clear" w:fill="FFFFFF"/>
          <w:lang w:val="en-US" w:eastAsia="zh-CN" w:bidi="ar"/>
        </w:rPr>
        <w:t>略阳县黑河镇</w:t>
      </w:r>
      <w:r>
        <w:rPr>
          <w:rFonts w:hint="eastAsia" w:ascii="黑体" w:hAnsi="黑体" w:eastAsia="黑体" w:cs="黑体"/>
          <w:b w:val="0"/>
          <w:bCs w:val="0"/>
          <w:sz w:val="22"/>
          <w:szCs w:val="22"/>
        </w:rPr>
        <w:t>开展地质灾害风险评价，提出风险管控措施建议。</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rPr>
        <w:t>二、采购预算及形成方式</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项目和资金来源为财政厅《关于提前下达2023年自然灾害综合防治体系建设补助资金预算的通知》（陕财资环[2022]97号）。</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rPr>
        <w:t>三、具体采购内容和技术规格要求</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采购项目：</w:t>
      </w:r>
      <w:r>
        <w:rPr>
          <w:rFonts w:hint="eastAsia" w:ascii="黑体" w:hAnsi="黑体" w:eastAsia="黑体" w:cs="黑体"/>
          <w:sz w:val="22"/>
          <w:szCs w:val="22"/>
          <w:lang w:eastAsia="zh-CN"/>
        </w:rPr>
        <w:t>略阳县黑河镇地质灾害风险调查评价项目</w:t>
      </w:r>
      <w:r>
        <w:rPr>
          <w:rFonts w:hint="eastAsia" w:ascii="黑体" w:hAnsi="黑体" w:eastAsia="黑体" w:cs="黑体"/>
          <w:sz w:val="22"/>
          <w:szCs w:val="22"/>
          <w:lang w:val="en-US" w:eastAsia="zh-CN"/>
        </w:rPr>
        <w:t>采购项目</w:t>
      </w:r>
      <w:r>
        <w:rPr>
          <w:rFonts w:hint="eastAsia" w:ascii="黑体" w:hAnsi="黑体" w:eastAsia="黑体" w:cs="黑体"/>
          <w:sz w:val="22"/>
          <w:szCs w:val="22"/>
        </w:rPr>
        <w:t>，在城（集）镇建成区和规划区开展1:10000比例尺地质灾害调查；对区内不稳定斜坡和重大隐患点进行勘察；开展单体地质灾害风险评价和区域地质灾害风险评价，提出风险管控措施建议。</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工作要求：</w:t>
      </w:r>
    </w:p>
    <w:p>
      <w:pPr>
        <w:spacing w:line="360" w:lineRule="auto"/>
        <w:ind w:firstLine="440" w:firstLineChars="200"/>
        <w:rPr>
          <w:rFonts w:hint="eastAsia" w:ascii="黑体" w:hAnsi="黑体" w:eastAsia="黑体" w:cs="黑体"/>
          <w:sz w:val="22"/>
          <w:szCs w:val="22"/>
        </w:rPr>
      </w:pPr>
      <w:r>
        <w:rPr>
          <w:rFonts w:hint="eastAsia" w:ascii="黑体" w:hAnsi="黑体" w:eastAsia="黑体" w:cs="黑体"/>
          <w:sz w:val="22"/>
          <w:szCs w:val="22"/>
        </w:rPr>
        <w:t>（1）调查区范围应包含城（集）镇建成区和规划区，且应达到城（集）镇所处斜坡的一级分水岭，且应包含对城（集）镇有影响的流域沟谷。</w:t>
      </w:r>
    </w:p>
    <w:p>
      <w:pPr>
        <w:spacing w:line="360" w:lineRule="auto"/>
        <w:ind w:firstLine="440" w:firstLineChars="200"/>
        <w:rPr>
          <w:rFonts w:hint="eastAsia" w:ascii="黑体" w:hAnsi="黑体" w:eastAsia="黑体" w:cs="黑体"/>
          <w:sz w:val="22"/>
          <w:szCs w:val="22"/>
        </w:rPr>
      </w:pPr>
      <w:r>
        <w:rPr>
          <w:rFonts w:hint="eastAsia" w:ascii="黑体" w:hAnsi="黑体" w:eastAsia="黑体" w:cs="黑体"/>
          <w:sz w:val="22"/>
          <w:szCs w:val="22"/>
        </w:rPr>
        <w:t>（2）城（集）镇地质灾害调查应按照1:10000比例尺进行地质测绘，且应使用不小于1:10000的地形图作为野外底图。</w:t>
      </w:r>
    </w:p>
    <w:p>
      <w:pPr>
        <w:spacing w:line="360" w:lineRule="auto"/>
        <w:ind w:firstLine="440" w:firstLineChars="200"/>
        <w:rPr>
          <w:rFonts w:hint="eastAsia" w:ascii="黑体" w:hAnsi="黑体" w:eastAsia="黑体" w:cs="黑体"/>
          <w:sz w:val="22"/>
          <w:szCs w:val="22"/>
        </w:rPr>
      </w:pPr>
      <w:r>
        <w:rPr>
          <w:rFonts w:hint="eastAsia" w:ascii="黑体" w:hAnsi="黑体" w:eastAsia="黑体" w:cs="黑体"/>
          <w:sz w:val="22"/>
          <w:szCs w:val="22"/>
        </w:rPr>
        <w:t>（3）城（集）镇不稳定斜坡勘察宜采用1:10000~1：2000的地形图，进行地质测绘。</w:t>
      </w:r>
    </w:p>
    <w:p>
      <w:pPr>
        <w:spacing w:line="360" w:lineRule="auto"/>
        <w:ind w:firstLine="550" w:firstLineChars="250"/>
        <w:rPr>
          <w:rFonts w:hint="eastAsia" w:ascii="黑体" w:hAnsi="黑体" w:eastAsia="黑体" w:cs="黑体"/>
          <w:sz w:val="22"/>
          <w:szCs w:val="22"/>
        </w:rPr>
      </w:pPr>
      <w:r>
        <w:rPr>
          <w:rFonts w:hint="eastAsia" w:ascii="黑体" w:hAnsi="黑体" w:eastAsia="黑体" w:cs="黑体"/>
          <w:sz w:val="22"/>
          <w:szCs w:val="22"/>
        </w:rPr>
        <w:t>（4）重大地质灾害隐患（除泥石流之外）勘察宜采用1:2000~1:500的地形图，进行地质测绘。</w:t>
      </w:r>
    </w:p>
    <w:p>
      <w:pPr>
        <w:spacing w:line="360" w:lineRule="auto"/>
        <w:ind w:firstLine="550" w:firstLineChars="250"/>
        <w:rPr>
          <w:rFonts w:hint="eastAsia" w:ascii="黑体" w:hAnsi="黑体" w:eastAsia="黑体" w:cs="黑体"/>
          <w:sz w:val="22"/>
          <w:szCs w:val="22"/>
        </w:rPr>
      </w:pPr>
      <w:r>
        <w:rPr>
          <w:rFonts w:hint="eastAsia" w:ascii="黑体" w:hAnsi="黑体" w:eastAsia="黑体" w:cs="黑体"/>
          <w:sz w:val="22"/>
          <w:szCs w:val="22"/>
        </w:rPr>
        <w:t>（5）城（集）镇地质灾害评价与区划的内容宜包括地质灾害宜发性评价与区划、危险性评价与区划和风险评价与区划。</w:t>
      </w:r>
    </w:p>
    <w:p>
      <w:pPr>
        <w:spacing w:line="360" w:lineRule="auto"/>
        <w:ind w:firstLine="440" w:firstLineChars="200"/>
        <w:rPr>
          <w:rFonts w:hint="eastAsia" w:ascii="黑体" w:hAnsi="黑体" w:eastAsia="黑体" w:cs="黑体"/>
          <w:sz w:val="22"/>
          <w:szCs w:val="22"/>
        </w:rPr>
      </w:pPr>
      <w:r>
        <w:rPr>
          <w:rFonts w:hint="eastAsia" w:ascii="黑体" w:hAnsi="黑体" w:eastAsia="黑体" w:cs="黑体"/>
          <w:sz w:val="22"/>
          <w:szCs w:val="22"/>
        </w:rPr>
        <w:t>（6）地质灾害风险评价与区划包括单体地质灾害（隐患）风险评价和区域风险评价。</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rPr>
        <w:t>四、工作成果</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（1）城（集）镇地质灾害调查与风险评价设计书及工作部署图（比例尺不小于1:10000）。</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（2）城（集）镇地质灾害调查与风险评价报告及附件。</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（3）附图包括：城（集）镇地质灾害调查与评先评价实际材料图、城（集）镇地质灾害与地质环境背景图、城（集）镇地质灾害风险评价与区划图（比例尺不小于1:10000）。</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（4）附件包括：不稳定斜坡勘察报告、重大地质灾害隐患勘察报告。附表：地质灾害隐患风险评价成果表。</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（5）其他附件包括：</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a）各类原始记录本、表格、卡片、统计表等。</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b）实测的各类图件；</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c）各种原位测试、室内试验鉴定分析资料和勘探试验资料；</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d）影像图、照片和素描等；</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e）物探解译成果图、各种曲线和数据、腿短解释的地址柱状图和剖面图、物探工作报告；</w:t>
      </w:r>
    </w:p>
    <w:p>
      <w:pPr>
        <w:spacing w:line="360" w:lineRule="auto"/>
        <w:ind w:firstLine="480"/>
        <w:rPr>
          <w:rFonts w:hint="eastAsia" w:ascii="黑体" w:hAnsi="黑体" w:eastAsia="黑体" w:cs="黑体"/>
          <w:sz w:val="22"/>
          <w:szCs w:val="22"/>
        </w:rPr>
      </w:pPr>
      <w:r>
        <w:rPr>
          <w:rFonts w:hint="eastAsia" w:ascii="黑体" w:hAnsi="黑体" w:eastAsia="黑体" w:cs="黑体"/>
          <w:sz w:val="22"/>
          <w:szCs w:val="22"/>
        </w:rPr>
        <w:t xml:space="preserve">  f）各类图件，包括野外测绘手图、实际材料图、工程布置图、遥感解译图等。</w:t>
      </w:r>
    </w:p>
    <w:p>
      <w:pPr>
        <w:spacing w:line="360" w:lineRule="auto"/>
        <w:ind w:firstLine="442" w:firstLineChars="200"/>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五、商务要求：</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lang w:val="en-US" w:eastAsia="zh-CN"/>
        </w:rPr>
        <w:t>1.</w:t>
      </w:r>
      <w:r>
        <w:rPr>
          <w:rFonts w:hint="eastAsia" w:ascii="黑体" w:hAnsi="黑体" w:eastAsia="黑体" w:cs="黑体"/>
          <w:b/>
          <w:sz w:val="22"/>
          <w:szCs w:val="22"/>
        </w:rPr>
        <w:t>完成时间</w:t>
      </w:r>
    </w:p>
    <w:p>
      <w:pPr>
        <w:spacing w:line="360" w:lineRule="auto"/>
        <w:rPr>
          <w:rFonts w:hint="eastAsia" w:ascii="黑体" w:hAnsi="黑体" w:eastAsia="黑体" w:cs="黑体"/>
          <w:sz w:val="22"/>
          <w:szCs w:val="22"/>
        </w:rPr>
      </w:pPr>
      <w:r>
        <w:rPr>
          <w:rFonts w:hint="eastAsia" w:ascii="黑体" w:hAnsi="黑体" w:eastAsia="黑体" w:cs="黑体"/>
          <w:sz w:val="22"/>
          <w:szCs w:val="22"/>
        </w:rPr>
        <w:t xml:space="preserve">    2023年</w:t>
      </w:r>
      <w:r>
        <w:rPr>
          <w:rFonts w:hint="eastAsia" w:ascii="黑体" w:hAnsi="黑体" w:eastAsia="黑体" w:cs="黑体"/>
          <w:sz w:val="22"/>
          <w:szCs w:val="22"/>
          <w:lang w:val="en-US" w:eastAsia="zh-CN"/>
        </w:rPr>
        <w:t>4</w:t>
      </w:r>
      <w:r>
        <w:rPr>
          <w:rFonts w:hint="eastAsia" w:ascii="黑体" w:hAnsi="黑体" w:eastAsia="黑体" w:cs="黑体"/>
          <w:sz w:val="22"/>
          <w:szCs w:val="22"/>
        </w:rPr>
        <w:t>月底前完成项目设计，</w:t>
      </w:r>
      <w:r>
        <w:rPr>
          <w:rFonts w:hint="eastAsia" w:ascii="黑体" w:hAnsi="黑体" w:eastAsia="黑体" w:cs="黑体"/>
          <w:sz w:val="22"/>
          <w:szCs w:val="22"/>
          <w:lang w:val="en-US" w:eastAsia="zh-CN"/>
        </w:rPr>
        <w:t>8</w:t>
      </w:r>
      <w:r>
        <w:rPr>
          <w:rFonts w:hint="eastAsia" w:ascii="黑体" w:hAnsi="黑体" w:eastAsia="黑体" w:cs="黑体"/>
          <w:sz w:val="22"/>
          <w:szCs w:val="22"/>
        </w:rPr>
        <w:t>月底前完成野外工作，12月底前提交成果。</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lang w:val="en-US" w:eastAsia="zh-CN"/>
        </w:rPr>
        <w:t>2.</w:t>
      </w:r>
      <w:r>
        <w:rPr>
          <w:rFonts w:hint="eastAsia" w:ascii="黑体" w:hAnsi="黑体" w:eastAsia="黑体" w:cs="黑体"/>
          <w:b/>
          <w:sz w:val="22"/>
          <w:szCs w:val="22"/>
        </w:rPr>
        <w:t>验收方法及标准</w:t>
      </w:r>
    </w:p>
    <w:p>
      <w:pPr>
        <w:spacing w:line="360" w:lineRule="auto"/>
        <w:ind w:firstLine="480"/>
        <w:rPr>
          <w:rFonts w:hint="eastAsia" w:ascii="黑体" w:hAnsi="黑体" w:eastAsia="黑体" w:cs="黑体"/>
          <w:sz w:val="22"/>
          <w:szCs w:val="22"/>
        </w:rPr>
      </w:pPr>
      <w:r>
        <w:rPr>
          <w:rFonts w:hint="eastAsia" w:ascii="黑体" w:hAnsi="黑体" w:eastAsia="黑体" w:cs="黑体"/>
          <w:color w:val="000000"/>
          <w:sz w:val="22"/>
          <w:szCs w:val="22"/>
        </w:rPr>
        <w:t>验收须以合同、磋商响应文件、澄清、及国家相应的标准、规范等为依据须符合</w:t>
      </w:r>
      <w:r>
        <w:rPr>
          <w:rFonts w:hint="eastAsia" w:ascii="黑体" w:hAnsi="黑体" w:eastAsia="黑体" w:cs="黑体"/>
          <w:sz w:val="22"/>
          <w:szCs w:val="22"/>
        </w:rPr>
        <w:t>《陕西省》城（集）镇地质灾害调查与风险评价技术要求（试行）》。由项目所在地自然资源管理部门进行初验，初验完成后上报上级主管部门进行终验。</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lang w:val="en-US" w:eastAsia="zh-CN"/>
        </w:rPr>
        <w:t>3.</w:t>
      </w:r>
      <w:r>
        <w:rPr>
          <w:rFonts w:hint="eastAsia" w:ascii="黑体" w:hAnsi="黑体" w:eastAsia="黑体" w:cs="黑体"/>
          <w:b/>
          <w:sz w:val="22"/>
          <w:szCs w:val="22"/>
        </w:rPr>
        <w:t>付款方式</w:t>
      </w:r>
    </w:p>
    <w:p>
      <w:pPr>
        <w:spacing w:line="36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签订合同时双方自行约定</w:t>
      </w:r>
    </w:p>
    <w:p>
      <w:pPr>
        <w:spacing w:line="360" w:lineRule="auto"/>
        <w:ind w:firstLine="442" w:firstLineChars="200"/>
        <w:rPr>
          <w:rFonts w:hint="eastAsia" w:ascii="黑体" w:hAnsi="黑体" w:eastAsia="黑体" w:cs="黑体"/>
          <w:b/>
          <w:sz w:val="22"/>
          <w:szCs w:val="22"/>
        </w:rPr>
      </w:pPr>
      <w:r>
        <w:rPr>
          <w:rFonts w:hint="eastAsia" w:ascii="黑体" w:hAnsi="黑体" w:eastAsia="黑体" w:cs="黑体"/>
          <w:b/>
          <w:sz w:val="22"/>
          <w:szCs w:val="22"/>
          <w:lang w:val="en-US" w:eastAsia="zh-CN"/>
        </w:rPr>
        <w:t>4.</w:t>
      </w:r>
      <w:r>
        <w:rPr>
          <w:rFonts w:hint="eastAsia" w:ascii="黑体" w:hAnsi="黑体" w:eastAsia="黑体" w:cs="黑体"/>
          <w:b/>
          <w:sz w:val="22"/>
          <w:szCs w:val="22"/>
        </w:rPr>
        <w:t>服务要求</w:t>
      </w:r>
    </w:p>
    <w:p>
      <w:pPr>
        <w:spacing w:line="360" w:lineRule="auto"/>
        <w:ind w:firstLine="440" w:firstLineChars="200"/>
        <w:rPr>
          <w:rFonts w:hint="eastAsia" w:ascii="黑体" w:hAnsi="黑体" w:eastAsia="黑体" w:cs="黑体"/>
        </w:rPr>
      </w:pPr>
      <w:r>
        <w:rPr>
          <w:rFonts w:hint="eastAsia" w:ascii="黑体" w:hAnsi="黑体" w:eastAsia="黑体" w:cs="黑体"/>
          <w:sz w:val="22"/>
          <w:szCs w:val="22"/>
        </w:rPr>
        <w:t>技术单位要严格按照汉中市2023年度地质灾害综合防治体系建设实施方案开展工作，提交相应成果数据，形成数据库和整套技术资料，在省、市主管部门评审后，对于提出的修改意见和整改要求要全面执行，并修改完善到位，后期提供全面的技术支撑和技术服务。</w:t>
      </w:r>
    </w:p>
    <w:p>
      <w:pPr>
        <w:spacing w:before="120" w:beforeLines="50" w:line="360" w:lineRule="auto"/>
        <w:ind w:firstLine="1928" w:firstLineChars="600"/>
        <w:outlineLvl w:val="0"/>
        <w:rPr>
          <w:rFonts w:hint="eastAsia" w:ascii="黑体" w:hAnsi="黑体" w:eastAsia="黑体" w:cs="黑体"/>
          <w:b/>
          <w:bCs/>
          <w:color w:val="auto"/>
          <w:sz w:val="32"/>
          <w:szCs w:val="32"/>
          <w:highlight w:val="none"/>
        </w:rPr>
      </w:pPr>
    </w:p>
    <w:p>
      <w:pPr>
        <w:spacing w:before="120" w:beforeLines="50" w:line="360" w:lineRule="auto"/>
        <w:ind w:firstLine="1928" w:firstLineChars="600"/>
        <w:outlineLvl w:val="0"/>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rPr>
        <w:t>第五章  合同主要条款及格式</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3080" w:firstLineChars="1400"/>
        <w:jc w:val="left"/>
        <w:textAlignment w:val="auto"/>
        <w:outlineLvl w:val="0"/>
        <w:rPr>
          <w:rFonts w:hint="eastAsia" w:ascii="黑体" w:hAnsi="黑体" w:eastAsia="黑体" w:cs="黑体"/>
          <w:b w:val="0"/>
          <w:bCs/>
          <w:color w:val="auto"/>
          <w:sz w:val="22"/>
          <w:szCs w:val="22"/>
          <w:highlight w:val="none"/>
        </w:rPr>
      </w:pPr>
      <w:bookmarkStart w:id="45" w:name="_Toc7599"/>
      <w:r>
        <w:rPr>
          <w:rFonts w:hint="eastAsia" w:ascii="黑体" w:hAnsi="黑体" w:eastAsia="黑体" w:cs="黑体"/>
          <w:b w:val="0"/>
          <w:bCs/>
          <w:color w:val="auto"/>
          <w:sz w:val="22"/>
          <w:szCs w:val="22"/>
          <w:highlight w:val="none"/>
        </w:rPr>
        <w:t>合同格式及条款</w:t>
      </w:r>
      <w:bookmarkEnd w:id="45"/>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 xml:space="preserve">                 （本合同仅作样本，具体情况具体拟定）</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合同编号： </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签订地点： </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签订时间：</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采购人（甲方）：</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供应商（乙方）：</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根据《中华人民共和国政府采购法》及实施条例、《</w:t>
      </w:r>
      <w:r>
        <w:rPr>
          <w:rFonts w:hint="eastAsia" w:ascii="黑体" w:hAnsi="黑体" w:eastAsia="黑体" w:cs="黑体"/>
          <w:b w:val="0"/>
          <w:bCs/>
          <w:color w:val="auto"/>
          <w:sz w:val="22"/>
          <w:szCs w:val="22"/>
          <w:highlight w:val="none"/>
          <w:lang w:eastAsia="zh-CN"/>
        </w:rPr>
        <w:t>中华人民共和国民法典</w:t>
      </w:r>
      <w:r>
        <w:rPr>
          <w:rFonts w:hint="eastAsia" w:ascii="黑体" w:hAnsi="黑体" w:eastAsia="黑体" w:cs="黑体"/>
          <w:b w:val="0"/>
          <w:bCs/>
          <w:color w:val="auto"/>
          <w:sz w:val="22"/>
          <w:szCs w:val="22"/>
          <w:highlight w:val="none"/>
        </w:rPr>
        <w:t>》和</w:t>
      </w:r>
      <w:r>
        <w:rPr>
          <w:rFonts w:hint="eastAsia" w:ascii="黑体" w:hAnsi="黑体" w:eastAsia="黑体" w:cs="黑体"/>
          <w:b w:val="0"/>
          <w:bCs/>
          <w:color w:val="auto"/>
          <w:sz w:val="22"/>
          <w:szCs w:val="22"/>
          <w:highlight w:val="none"/>
          <w:u w:val="single"/>
          <w:lang w:eastAsia="zh-CN"/>
        </w:rPr>
        <w:t>略阳县黑河镇地质灾害风险调查评价项目</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（采购项目编号：</w:t>
      </w:r>
      <w:r>
        <w:rPr>
          <w:rFonts w:hint="eastAsia" w:ascii="黑体" w:hAnsi="黑体" w:eastAsia="黑体" w:cs="黑体"/>
          <w:b w:val="0"/>
          <w:bCs/>
          <w:color w:val="auto"/>
          <w:sz w:val="22"/>
          <w:szCs w:val="22"/>
          <w:highlight w:val="none"/>
          <w:u w:val="single"/>
          <w:lang w:eastAsia="zh-CN"/>
        </w:rPr>
        <w:t>TZZB-HZ-2023038C</w:t>
      </w:r>
      <w:r>
        <w:rPr>
          <w:rFonts w:hint="eastAsia" w:ascii="黑体" w:hAnsi="黑体" w:eastAsia="黑体" w:cs="黑体"/>
          <w:b w:val="0"/>
          <w:bCs/>
          <w:color w:val="auto"/>
          <w:sz w:val="22"/>
          <w:szCs w:val="22"/>
          <w:highlight w:val="none"/>
        </w:rPr>
        <w:t>）的竞争性磋商文件、竞争性磋商响应文件等有关规定，为确保甲方采购项目的顺利实施，甲、乙双方在平等自愿原则下签订本合同，并共同遵守如下条款：</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第一条 </w:t>
      </w:r>
      <w:r>
        <w:rPr>
          <w:rFonts w:hint="eastAsia" w:ascii="黑体" w:hAnsi="黑体" w:eastAsia="黑体" w:cs="黑体"/>
          <w:b w:val="0"/>
          <w:bCs/>
          <w:color w:val="auto"/>
          <w:sz w:val="22"/>
          <w:szCs w:val="22"/>
          <w:highlight w:val="none"/>
        </w:rPr>
        <w:t>项目基本情况</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第二条 </w:t>
      </w:r>
      <w:r>
        <w:rPr>
          <w:rFonts w:hint="eastAsia" w:ascii="黑体" w:hAnsi="黑体" w:eastAsia="黑体" w:cs="黑体"/>
          <w:b w:val="0"/>
          <w:bCs/>
          <w:color w:val="auto"/>
          <w:sz w:val="22"/>
          <w:szCs w:val="22"/>
          <w:highlight w:val="none"/>
        </w:rPr>
        <w:t>合同期限</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bookmarkStart w:id="46" w:name="_Toc232492928"/>
      <w:bookmarkStart w:id="47" w:name="_Toc237145406"/>
      <w:bookmarkStart w:id="48" w:name="_Toc282696226"/>
      <w:bookmarkStart w:id="49" w:name="_Toc247334841"/>
      <w:bookmarkStart w:id="50" w:name="_Toc283019214"/>
      <w:bookmarkStart w:id="51" w:name="_Toc211854449"/>
      <w:bookmarkStart w:id="52" w:name="_Toc241833903"/>
      <w:bookmarkStart w:id="53" w:name="_Toc286993786"/>
      <w:bookmarkStart w:id="54" w:name="_Toc239233914"/>
      <w:bookmarkStart w:id="55" w:name="_Toc225670751"/>
      <w:bookmarkStart w:id="56" w:name="_Toc211911348"/>
      <w:bookmarkStart w:id="57" w:name="_Toc239568418"/>
      <w:bookmarkStart w:id="58" w:name="_Toc185395249"/>
      <w:bookmarkStart w:id="59" w:name="_Toc238984975"/>
      <w:bookmarkStart w:id="60" w:name="_Toc225244852"/>
      <w:bookmarkStart w:id="61" w:name="_Toc212019594"/>
      <w:bookmarkStart w:id="62" w:name="_Toc225654644"/>
      <w:bookmarkStart w:id="63" w:name="_Toc251768862"/>
      <w:r>
        <w:rPr>
          <w:rFonts w:hint="eastAsia" w:ascii="黑体" w:hAnsi="黑体" w:eastAsia="黑体" w:cs="黑体"/>
          <w:b w:val="0"/>
          <w:bCs/>
          <w:color w:val="auto"/>
          <w:sz w:val="22"/>
          <w:szCs w:val="22"/>
          <w:highlight w:val="none"/>
          <w:lang w:val="en-US" w:eastAsia="zh-CN"/>
        </w:rPr>
        <w:t xml:space="preserve">第三条 </w:t>
      </w:r>
      <w:r>
        <w:rPr>
          <w:rFonts w:hint="eastAsia" w:ascii="黑体" w:hAnsi="黑体" w:eastAsia="黑体" w:cs="黑体"/>
          <w:b w:val="0"/>
          <w:bCs/>
          <w:color w:val="auto"/>
          <w:sz w:val="22"/>
          <w:szCs w:val="22"/>
          <w:highlight w:val="none"/>
        </w:rPr>
        <w:t>服务内容与质量标准</w:t>
      </w:r>
    </w:p>
    <w:p>
      <w:pPr>
        <w:snapToGrid w:val="0"/>
        <w:spacing w:line="360" w:lineRule="auto"/>
        <w:ind w:firstLine="482"/>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本合同所提供的服务项目内容：</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（与</w:t>
      </w:r>
      <w:r>
        <w:rPr>
          <w:rFonts w:hint="eastAsia" w:ascii="黑体" w:hAnsi="黑体" w:eastAsia="黑体" w:cs="黑体"/>
          <w:color w:val="auto"/>
          <w:sz w:val="22"/>
          <w:szCs w:val="22"/>
          <w:highlight w:val="none"/>
          <w:lang w:val="en-US" w:eastAsia="zh-CN"/>
        </w:rPr>
        <w:t>响应</w:t>
      </w:r>
      <w:r>
        <w:rPr>
          <w:rFonts w:hint="eastAsia" w:ascii="黑体" w:hAnsi="黑体" w:eastAsia="黑体" w:cs="黑体"/>
          <w:color w:val="auto"/>
          <w:sz w:val="22"/>
          <w:szCs w:val="22"/>
          <w:highlight w:val="none"/>
        </w:rPr>
        <w:t>文件中服务及设备明细表一致）。</w:t>
      </w:r>
    </w:p>
    <w:p>
      <w:pPr>
        <w:snapToGrid w:val="0"/>
        <w:spacing w:line="360" w:lineRule="auto"/>
        <w:ind w:firstLine="482"/>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r>
        <w:rPr>
          <w:rFonts w:hint="eastAsia" w:ascii="黑体" w:hAnsi="黑体" w:eastAsia="黑体" w:cs="黑体"/>
          <w:color w:val="auto"/>
          <w:sz w:val="22"/>
          <w:szCs w:val="22"/>
          <w:highlight w:val="none"/>
          <w:lang w:val="en-US" w:eastAsia="zh-CN"/>
        </w:rPr>
        <w:t>完成</w:t>
      </w:r>
      <w:r>
        <w:rPr>
          <w:rFonts w:hint="eastAsia" w:ascii="黑体" w:hAnsi="黑体" w:eastAsia="黑体" w:cs="黑体"/>
          <w:color w:val="auto"/>
          <w:sz w:val="22"/>
          <w:szCs w:val="22"/>
          <w:highlight w:val="none"/>
        </w:rPr>
        <w:t>期限：</w:t>
      </w:r>
      <w:r>
        <w:rPr>
          <w:rFonts w:hint="eastAsia" w:ascii="黑体" w:hAnsi="黑体" w:eastAsia="黑体" w:cs="黑体"/>
          <w:color w:val="auto"/>
          <w:sz w:val="22"/>
          <w:szCs w:val="22"/>
          <w:highlight w:val="none"/>
          <w:u w:val="single"/>
        </w:rPr>
        <w:t xml:space="preserve">    年   月  日至    年   月  日</w:t>
      </w:r>
      <w:r>
        <w:rPr>
          <w:rFonts w:hint="eastAsia" w:ascii="黑体" w:hAnsi="黑体" w:eastAsia="黑体" w:cs="黑体"/>
          <w:color w:val="auto"/>
          <w:sz w:val="22"/>
          <w:szCs w:val="22"/>
          <w:highlight w:val="none"/>
        </w:rPr>
        <w:t>。</w:t>
      </w:r>
    </w:p>
    <w:p>
      <w:pPr>
        <w:snapToGrid w:val="0"/>
        <w:spacing w:line="360" w:lineRule="auto"/>
        <w:ind w:firstLine="482"/>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2、服务地点：</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w:t>
      </w:r>
    </w:p>
    <w:p>
      <w:pPr>
        <w:snapToGrid w:val="0"/>
        <w:spacing w:line="360" w:lineRule="auto"/>
        <w:ind w:firstLine="482"/>
        <w:rPr>
          <w:rFonts w:hint="eastAsia" w:ascii="黑体" w:hAnsi="黑体" w:eastAsia="黑体" w:cs="黑体"/>
          <w:color w:val="auto"/>
          <w:sz w:val="22"/>
          <w:szCs w:val="22"/>
          <w:highlight w:val="none"/>
          <w:u w:val="none"/>
          <w:lang w:val="en-US" w:eastAsia="zh-CN"/>
        </w:rPr>
      </w:pPr>
      <w:r>
        <w:rPr>
          <w:rFonts w:hint="eastAsia" w:ascii="黑体" w:hAnsi="黑体" w:eastAsia="黑体" w:cs="黑体"/>
          <w:color w:val="auto"/>
          <w:sz w:val="22"/>
          <w:szCs w:val="22"/>
          <w:highlight w:val="none"/>
          <w:lang w:val="en-US" w:eastAsia="zh-CN"/>
        </w:rPr>
        <w:t>3、运行维护期:</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none"/>
          <w:lang w:val="en-US" w:eastAsia="zh-CN"/>
        </w:rPr>
        <w:t>。</w:t>
      </w:r>
    </w:p>
    <w:p>
      <w:pPr>
        <w:pStyle w:val="43"/>
        <w:rPr>
          <w:rFonts w:hint="eastAsia" w:ascii="黑体" w:hAnsi="黑体" w:eastAsia="黑体" w:cs="黑体"/>
          <w:color w:val="auto"/>
          <w:sz w:val="22"/>
          <w:szCs w:val="22"/>
          <w:highlight w:val="none"/>
          <w:u w:val="none"/>
          <w:lang w:val="en-US" w:eastAsia="zh-CN"/>
        </w:rPr>
      </w:pPr>
      <w:r>
        <w:rPr>
          <w:rFonts w:hint="eastAsia" w:ascii="黑体" w:hAnsi="黑体" w:eastAsia="黑体" w:cs="黑体"/>
          <w:color w:val="auto"/>
          <w:sz w:val="22"/>
          <w:szCs w:val="22"/>
          <w:highlight w:val="none"/>
          <w:lang w:val="en-US" w:eastAsia="zh-CN"/>
        </w:rPr>
        <w:t xml:space="preserve">  4、</w:t>
      </w:r>
      <w:r>
        <w:rPr>
          <w:rFonts w:hint="eastAsia" w:ascii="黑体" w:hAnsi="黑体" w:eastAsia="黑体" w:cs="黑体"/>
          <w:color w:val="auto"/>
          <w:kern w:val="2"/>
          <w:sz w:val="22"/>
          <w:szCs w:val="22"/>
          <w:highlight w:val="none"/>
          <w:lang w:val="en-US" w:eastAsia="zh-CN" w:bidi="ar-SA"/>
        </w:rPr>
        <w:t>设备质保期：</w:t>
      </w:r>
      <w:r>
        <w:rPr>
          <w:rFonts w:hint="eastAsia" w:ascii="黑体" w:hAnsi="黑体" w:eastAsia="黑体" w:cs="黑体"/>
          <w:color w:val="auto"/>
          <w:kern w:val="2"/>
          <w:sz w:val="22"/>
          <w:szCs w:val="22"/>
          <w:highlight w:val="none"/>
          <w:u w:val="single"/>
          <w:lang w:val="en-US" w:eastAsia="zh-CN" w:bidi="ar-SA"/>
        </w:rPr>
        <w:t xml:space="preserve">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第四条 </w:t>
      </w:r>
      <w:r>
        <w:rPr>
          <w:rFonts w:hint="eastAsia" w:ascii="黑体" w:hAnsi="黑体" w:eastAsia="黑体" w:cs="黑体"/>
          <w:b w:val="0"/>
          <w:bCs/>
          <w:color w:val="auto"/>
          <w:sz w:val="22"/>
          <w:szCs w:val="22"/>
          <w:highlight w:val="none"/>
        </w:rPr>
        <w:t>服务费用</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1、服务总费用为人民币大写：</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元， RMB￥</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2、本项目服务费用由以下组成：</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（1）XX万元；</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（2）XX万元；</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3</w:t>
      </w:r>
      <w:r>
        <w:rPr>
          <w:rFonts w:hint="eastAsia" w:ascii="黑体" w:hAnsi="黑体" w:eastAsia="黑体" w:cs="黑体"/>
          <w:b w:val="0"/>
          <w:bCs/>
          <w:color w:val="auto"/>
          <w:sz w:val="22"/>
          <w:szCs w:val="22"/>
          <w:highlight w:val="none"/>
        </w:rPr>
        <w:t>、本合同执行期间服务总费用不变，甲方无须另向乙方支付本合同规定之外的其他任何费用。</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第五条  服务费支付方式</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签订合同时双方自行约定</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第六条   知识产权</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第七条  无产权瑕疵条款</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第八条   履约保证金</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1、乙方在签订本合同之前，向甲方提交履约保证金人民币</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元，￥</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2、履约保证金的有效期为乙方承诺的</w:t>
      </w:r>
      <w:r>
        <w:rPr>
          <w:rFonts w:hint="eastAsia" w:ascii="黑体" w:hAnsi="黑体" w:eastAsia="黑体" w:cs="黑体"/>
          <w:b w:val="0"/>
          <w:bCs/>
          <w:color w:val="auto"/>
          <w:sz w:val="22"/>
          <w:szCs w:val="22"/>
          <w:highlight w:val="none"/>
          <w:lang w:eastAsia="zh-CN"/>
        </w:rPr>
        <w:t>完成时间</w:t>
      </w:r>
      <w:r>
        <w:rPr>
          <w:rFonts w:hint="eastAsia" w:ascii="黑体" w:hAnsi="黑体" w:eastAsia="黑体" w:cs="黑体"/>
          <w:b w:val="0"/>
          <w:bCs/>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3、履约保证金作为违约金的一部分及用于补偿甲方因乙方不能履行合同义务而蒙受的损失。</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w:t>
      </w:r>
      <w:r>
        <w:rPr>
          <w:rFonts w:hint="eastAsia" w:ascii="黑体" w:hAnsi="黑体" w:eastAsia="黑体" w:cs="黑体"/>
          <w:b w:val="0"/>
          <w:bCs/>
          <w:color w:val="auto"/>
          <w:sz w:val="22"/>
          <w:szCs w:val="22"/>
          <w:highlight w:val="none"/>
          <w:lang w:eastAsia="zh-CN"/>
        </w:rPr>
        <w:t>完成时间</w:t>
      </w:r>
      <w:r>
        <w:rPr>
          <w:rFonts w:hint="eastAsia" w:ascii="黑体" w:hAnsi="黑体" w:eastAsia="黑体" w:cs="黑体"/>
          <w:b w:val="0"/>
          <w:bCs/>
          <w:color w:val="auto"/>
          <w:sz w:val="22"/>
          <w:szCs w:val="22"/>
          <w:highlight w:val="none"/>
        </w:rPr>
        <w:t>结束后，甲方财务部门接到甲方确认本合同服务等约定事项已经履行完毕的正式书面文件后的</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日内，向乙方退还履约保证金。</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第九条  甲方的权利和义务</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3、负责检查监督乙方管理工作的实施及制度的执行情况。</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4、根据本合同规定，按时向乙方支付应付服务费用。</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5、国家法律、法规所规定由甲方承担的其它责任。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第十条  乙方的权利和义务</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1、对本合同规定的委托服务范围内的项目享有管理权及服务义务。</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3、及时向甲方通告本项目服务范围内有关服务的重大事项，及时配合处理投诉。</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4、接受项目行业管理部门及政府有关部门的指导，接受甲方的监督。</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5、国家法律、法规所规定由乙方承担的其它责任。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第十一条  违约责任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1、甲乙双方必须遵守本合同并执行合同中的各项规定，保证本合同的正常履行。</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第十二条  不可抗力事件处理</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2、不可抗力事件发生后，应立即通知对方，并寄送有关权威机构出具的证明。</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3、不可抗力事件延续XX天以上，双方应通过友好协商，确定是否继续履行合同。</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bookmarkStart w:id="64" w:name="_Toc211911353"/>
      <w:bookmarkStart w:id="65" w:name="_Toc225244857"/>
      <w:bookmarkStart w:id="66" w:name="_Toc212019599"/>
      <w:bookmarkStart w:id="67" w:name="_Toc251768867"/>
      <w:bookmarkStart w:id="68" w:name="_Toc225654649"/>
      <w:bookmarkStart w:id="69" w:name="_Toc185395254"/>
      <w:bookmarkStart w:id="70" w:name="_Toc225670756"/>
      <w:bookmarkStart w:id="71" w:name="_Toc286993792"/>
      <w:bookmarkStart w:id="72" w:name="_Toc241833908"/>
      <w:bookmarkStart w:id="73" w:name="_Toc239568423"/>
      <w:bookmarkStart w:id="74" w:name="_Toc247334846"/>
      <w:bookmarkStart w:id="75" w:name="_Toc238984980"/>
      <w:bookmarkStart w:id="76" w:name="_Toc232492933"/>
      <w:bookmarkStart w:id="77" w:name="_Toc211854454"/>
      <w:bookmarkStart w:id="78" w:name="_Toc239233919"/>
      <w:bookmarkStart w:id="79" w:name="_Toc237145411"/>
      <w:r>
        <w:rPr>
          <w:rFonts w:hint="eastAsia" w:ascii="黑体" w:hAnsi="黑体" w:eastAsia="黑体" w:cs="黑体"/>
          <w:b w:val="0"/>
          <w:bCs/>
          <w:color w:val="auto"/>
          <w:sz w:val="22"/>
          <w:szCs w:val="22"/>
          <w:highlight w:val="none"/>
        </w:rPr>
        <w:t>第十三条  合同的变更和终止</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除《中华人民共和国政府采购法》第49条、第50条第二款规定的情形外，本合同一经签订，甲乙双方不得擅自变更、中止或终止合同。</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第十四条  解决合同纠纷的方式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1、在执行本合同中发生的或与本合同有关的争端，双方应通过友好协商解决，经协商在XX天内不能达成协议时，则采取以下第____种方式解决争议：</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220" w:firstLineChars="1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（1）向甲方所在地有管辖权的人民法院提起诉讼；</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220" w:firstLineChars="1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（2）向____________仲裁委员会按其仲裁规则申请仲裁。</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2、在仲裁期间，本合同应继续履行。</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bookmarkStart w:id="80" w:name="_Toc251768868"/>
      <w:bookmarkStart w:id="81" w:name="_Toc282696231"/>
      <w:bookmarkStart w:id="82" w:name="_Toc225244858"/>
      <w:bookmarkStart w:id="83" w:name="_Toc232492934"/>
      <w:bookmarkStart w:id="84" w:name="_Toc225670757"/>
      <w:bookmarkStart w:id="85" w:name="_Toc286993793"/>
      <w:bookmarkStart w:id="86" w:name="_Toc239568424"/>
      <w:bookmarkStart w:id="87" w:name="_Toc247334847"/>
      <w:bookmarkStart w:id="88" w:name="_Toc212019600"/>
      <w:bookmarkStart w:id="89" w:name="_Toc185395255"/>
      <w:bookmarkStart w:id="90" w:name="_Toc211911354"/>
      <w:bookmarkStart w:id="91" w:name="_Toc241833909"/>
      <w:bookmarkStart w:id="92" w:name="_Toc237145412"/>
      <w:bookmarkStart w:id="93" w:name="_Toc211854455"/>
      <w:bookmarkStart w:id="94" w:name="_Toc283019219"/>
      <w:bookmarkStart w:id="95" w:name="_Toc239233920"/>
      <w:bookmarkStart w:id="96" w:name="_Toc238984981"/>
      <w:bookmarkStart w:id="97" w:name="_Toc225654650"/>
      <w:r>
        <w:rPr>
          <w:rFonts w:hint="eastAsia" w:ascii="黑体" w:hAnsi="黑体" w:eastAsia="黑体" w:cs="黑体"/>
          <w:b w:val="0"/>
          <w:bCs/>
          <w:color w:val="auto"/>
          <w:sz w:val="22"/>
          <w:szCs w:val="22"/>
          <w:highlight w:val="none"/>
        </w:rPr>
        <w:t>第十五条  合同</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黑体" w:hAnsi="黑体" w:eastAsia="黑体" w:cs="黑体"/>
          <w:b w:val="0"/>
          <w:bCs/>
          <w:color w:val="auto"/>
          <w:sz w:val="22"/>
          <w:szCs w:val="22"/>
          <w:highlight w:val="none"/>
        </w:rPr>
        <w:t>生效及其他</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1、合同经双方法定代表人或授权委托代理人签字并加盖单位公章后生效。</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3、本合同一式XX份，自双方签章之日起起效。甲方XX份，乙方XX份，政府采购代理机构XX份，同级财政部门备案XX份，具有同等法律效力。</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第十五条  附件</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1、项目竞争性磋商文件</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2、项目修改澄清文件</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3、项目响应文件</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4、成交通知书</w:t>
      </w:r>
    </w:p>
    <w:p>
      <w:pPr>
        <w:keepNext w:val="0"/>
        <w:keepLines w:val="0"/>
        <w:pageBreakBefore w:val="0"/>
        <w:widowControl w:val="0"/>
        <w:kinsoku/>
        <w:wordWrap/>
        <w:overflowPunct/>
        <w:topLinePunct w:val="0"/>
        <w:autoSpaceDE w:val="0"/>
        <w:autoSpaceDN w:val="0"/>
        <w:bidi w:val="0"/>
        <w:adjustRightInd w:val="0"/>
        <w:snapToGrid w:val="0"/>
        <w:spacing w:line="348" w:lineRule="auto"/>
        <w:ind w:firstLine="440" w:firstLineChars="200"/>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5、其他</w:t>
      </w:r>
    </w:p>
    <w:p>
      <w:pPr>
        <w:pStyle w:val="2"/>
        <w:keepNext w:val="0"/>
        <w:keepLines w:val="0"/>
        <w:pageBreakBefore w:val="0"/>
        <w:widowControl w:val="0"/>
        <w:kinsoku/>
        <w:wordWrap/>
        <w:overflowPunct/>
        <w:topLinePunct w:val="0"/>
        <w:autoSpaceDE w:val="0"/>
        <w:autoSpaceDN w:val="0"/>
        <w:bidi w:val="0"/>
        <w:adjustRightInd w:val="0"/>
        <w:snapToGrid w:val="0"/>
        <w:spacing w:after="0" w:line="348" w:lineRule="auto"/>
        <w:ind w:left="0" w:leftChars="0" w:firstLine="0" w:firstLineChars="0"/>
        <w:textAlignment w:val="auto"/>
        <w:rPr>
          <w:rFonts w:hint="eastAsia" w:ascii="黑体" w:hAnsi="黑体" w:eastAsia="黑体" w:cs="黑体"/>
          <w:color w:val="auto"/>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甲方：   （盖章）   </w:t>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 xml:space="preserve">       乙方：   （盖章）</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法定代表人（授权代表）：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法定代表人（授权代表）：</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地    址：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地    址：</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开户银行：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开户银行：</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账号：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账号：</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电    话：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电    话：</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传    真：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传    真：</w:t>
      </w:r>
    </w:p>
    <w:p>
      <w:pPr>
        <w:keepNext w:val="0"/>
        <w:keepLines w:val="0"/>
        <w:pageBreakBefore w:val="0"/>
        <w:widowControl w:val="0"/>
        <w:kinsoku/>
        <w:wordWrap/>
        <w:overflowPunct/>
        <w:topLinePunct w:val="0"/>
        <w:autoSpaceDE w:val="0"/>
        <w:autoSpaceDN w:val="0"/>
        <w:bidi w:val="0"/>
        <w:adjustRightInd w:val="0"/>
        <w:snapToGrid w:val="0"/>
        <w:spacing w:line="348" w:lineRule="auto"/>
        <w:jc w:val="left"/>
        <w:textAlignment w:val="auto"/>
        <w:outlineLvl w:val="0"/>
        <w:rPr>
          <w:rFonts w:hint="eastAsia" w:ascii="黑体" w:hAnsi="黑体" w:eastAsia="黑体" w:cs="黑体"/>
          <w:color w:val="auto"/>
          <w:sz w:val="22"/>
          <w:szCs w:val="22"/>
          <w:highlight w:val="none"/>
        </w:rPr>
      </w:pPr>
      <w:r>
        <w:rPr>
          <w:rFonts w:hint="eastAsia" w:ascii="黑体" w:hAnsi="黑体" w:eastAsia="黑体" w:cs="黑体"/>
          <w:b w:val="0"/>
          <w:bCs/>
          <w:color w:val="auto"/>
          <w:sz w:val="22"/>
          <w:szCs w:val="22"/>
          <w:highlight w:val="none"/>
        </w:rPr>
        <w:t xml:space="preserve">签约日期：  年  月  日 </w:t>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 xml:space="preserve">    签约日期：  年  月  日</w:t>
      </w:r>
    </w:p>
    <w:p>
      <w:pPr>
        <w:pStyle w:val="14"/>
        <w:ind w:firstLine="1104" w:firstLineChars="500"/>
        <w:outlineLvl w:val="0"/>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36"/>
          <w:szCs w:val="36"/>
          <w:highlight w:val="none"/>
        </w:rPr>
      </w:pPr>
    </w:p>
    <w:p>
      <w:pPr>
        <w:pStyle w:val="6"/>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rPr>
      </w:pPr>
    </w:p>
    <w:p>
      <w:pPr>
        <w:pStyle w:val="6"/>
        <w:rPr>
          <w:rFonts w:hint="eastAsia" w:ascii="黑体" w:hAnsi="黑体" w:eastAsia="黑体" w:cs="黑体"/>
          <w:b/>
          <w:bCs/>
          <w:color w:val="auto"/>
          <w:sz w:val="36"/>
          <w:szCs w:val="36"/>
          <w:highlight w:val="none"/>
        </w:rPr>
      </w:pPr>
    </w:p>
    <w:p>
      <w:pPr>
        <w:pStyle w:val="2"/>
        <w:rPr>
          <w:rFonts w:hint="eastAsia" w:ascii="黑体" w:hAnsi="黑体" w:eastAsia="黑体" w:cs="黑体"/>
          <w:b/>
          <w:bCs/>
          <w:color w:val="auto"/>
          <w:sz w:val="36"/>
          <w:szCs w:val="36"/>
          <w:highlight w:val="none"/>
        </w:rPr>
      </w:pPr>
    </w:p>
    <w:p>
      <w:pPr>
        <w:rPr>
          <w:rFonts w:hint="eastAsia" w:ascii="黑体" w:hAnsi="黑体" w:eastAsia="黑体" w:cs="黑体"/>
          <w:b/>
          <w:bCs/>
          <w:color w:val="auto"/>
          <w:sz w:val="36"/>
          <w:szCs w:val="36"/>
          <w:highlight w:val="none"/>
        </w:rPr>
      </w:pPr>
    </w:p>
    <w:p>
      <w:pPr>
        <w:pStyle w:val="2"/>
        <w:rPr>
          <w:rFonts w:hint="eastAsia" w:ascii="黑体" w:hAnsi="黑体" w:eastAsia="黑体" w:cs="黑体"/>
        </w:rPr>
      </w:pPr>
    </w:p>
    <w:p>
      <w:pPr>
        <w:pStyle w:val="6"/>
        <w:rPr>
          <w:rFonts w:hint="eastAsia" w:ascii="黑体" w:hAnsi="黑体" w:eastAsia="黑体" w:cs="黑体"/>
          <w:b/>
          <w:bCs/>
          <w:color w:val="auto"/>
          <w:sz w:val="36"/>
          <w:szCs w:val="36"/>
          <w:highlight w:val="none"/>
        </w:rPr>
      </w:pPr>
    </w:p>
    <w:p>
      <w:pPr>
        <w:pStyle w:val="2"/>
        <w:rPr>
          <w:rFonts w:hint="eastAsia" w:ascii="黑体" w:hAnsi="黑体" w:eastAsia="黑体" w:cs="黑体"/>
        </w:rPr>
      </w:pPr>
    </w:p>
    <w:p>
      <w:pPr>
        <w:pStyle w:val="66"/>
        <w:ind w:left="0" w:leftChars="0" w:firstLine="0" w:firstLineChars="0"/>
        <w:rPr>
          <w:rFonts w:hint="eastAsia" w:ascii="黑体" w:hAnsi="黑体" w:eastAsia="黑体" w:cs="黑体"/>
          <w:color w:val="auto"/>
        </w:rPr>
      </w:pPr>
    </w:p>
    <w:p>
      <w:pPr>
        <w:pStyle w:val="14"/>
        <w:ind w:firstLine="1606" w:firstLineChars="500"/>
        <w:outlineLvl w:val="0"/>
        <w:rPr>
          <w:rFonts w:hint="eastAsia" w:ascii="黑体" w:hAnsi="黑体" w:eastAsia="黑体" w:cs="黑体"/>
          <w:b/>
          <w:bCs/>
          <w:color w:val="auto"/>
          <w:sz w:val="32"/>
          <w:szCs w:val="32"/>
          <w:highlight w:val="none"/>
        </w:rPr>
      </w:pPr>
    </w:p>
    <w:p>
      <w:pPr>
        <w:pStyle w:val="14"/>
        <w:ind w:firstLine="1606" w:firstLineChars="500"/>
        <w:outlineLvl w:val="0"/>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rPr>
        <w:t xml:space="preserve">第六章 </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磋商响应文件格式及构成</w:t>
      </w:r>
      <w:bookmarkEnd w:id="39"/>
      <w:bookmarkEnd w:id="40"/>
      <w:bookmarkEnd w:id="41"/>
      <w:bookmarkEnd w:id="42"/>
      <w:bookmarkEnd w:id="43"/>
      <w:bookmarkEnd w:id="44"/>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r>
        <w:rPr>
          <w:rFonts w:hint="eastAsia" w:ascii="黑体" w:hAnsi="黑体" w:eastAsia="黑体" w:cs="黑体"/>
          <w:color w:val="auto"/>
          <w:sz w:val="22"/>
          <w:szCs w:val="22"/>
          <w:highlight w:val="none"/>
          <w:lang w:val="en-US" w:eastAsia="zh-CN"/>
        </w:rPr>
        <w:t>.</w:t>
      </w:r>
      <w:r>
        <w:rPr>
          <w:rFonts w:hint="eastAsia" w:ascii="黑体" w:hAnsi="黑体" w:eastAsia="黑体" w:cs="黑体"/>
          <w:color w:val="auto"/>
          <w:sz w:val="22"/>
          <w:szCs w:val="22"/>
          <w:highlight w:val="none"/>
        </w:rPr>
        <w:t>磋商响应文件格式由本章目录所列第1部分至第</w:t>
      </w:r>
      <w:r>
        <w:rPr>
          <w:rFonts w:hint="eastAsia" w:ascii="黑体" w:hAnsi="黑体" w:eastAsia="黑体" w:cs="黑体"/>
          <w:color w:val="auto"/>
          <w:sz w:val="22"/>
          <w:szCs w:val="22"/>
          <w:highlight w:val="none"/>
          <w:lang w:val="en-US" w:eastAsia="zh-CN"/>
        </w:rPr>
        <w:t>7</w:t>
      </w:r>
      <w:r>
        <w:rPr>
          <w:rFonts w:hint="eastAsia" w:ascii="黑体" w:hAnsi="黑体" w:eastAsia="黑体" w:cs="黑体"/>
          <w:color w:val="auto"/>
          <w:sz w:val="22"/>
          <w:szCs w:val="22"/>
          <w:highlight w:val="none"/>
        </w:rPr>
        <w:t>部分构成。</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lang w:val="en-US" w:eastAsia="zh-CN"/>
        </w:rPr>
        <w:t>.</w:t>
      </w:r>
      <w:r>
        <w:rPr>
          <w:rFonts w:hint="eastAsia" w:ascii="黑体" w:hAnsi="黑体" w:eastAsia="黑体" w:cs="黑体"/>
          <w:color w:val="auto"/>
          <w:sz w:val="22"/>
          <w:szCs w:val="22"/>
          <w:highlight w:val="none"/>
        </w:rPr>
        <w:t>磋商供应商应认真审阅本章内容，并参照格式要求编制磋商响应文件</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文件应当按照招标文件给定的格式和要求编制，格式之外的可自行编写。</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w:t>
      </w:r>
      <w:r>
        <w:rPr>
          <w:rFonts w:hint="eastAsia" w:ascii="黑体" w:hAnsi="黑体" w:eastAsia="黑体" w:cs="黑体"/>
          <w:color w:val="auto"/>
          <w:sz w:val="22"/>
          <w:szCs w:val="22"/>
          <w:highlight w:val="none"/>
          <w:lang w:val="en-US" w:eastAsia="zh-CN"/>
        </w:rPr>
        <w:t>.</w:t>
      </w:r>
      <w:r>
        <w:rPr>
          <w:rFonts w:hint="eastAsia" w:ascii="黑体" w:hAnsi="黑体" w:eastAsia="黑体" w:cs="黑体"/>
          <w:color w:val="auto"/>
          <w:sz w:val="22"/>
          <w:szCs w:val="22"/>
          <w:highlight w:val="none"/>
        </w:rPr>
        <w:t>磋商响应文件的正、副本必须按照要求编制，凡正、副本不相符的，以正本为准。</w:t>
      </w:r>
    </w:p>
    <w:p>
      <w:pPr>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en-US" w:eastAsia="zh-CN"/>
        </w:rPr>
        <w:t>4.若磋商响应材料不清晰，无法辨认而影响评审结果的，供应商自行承担后果。</w:t>
      </w:r>
    </w:p>
    <w:p>
      <w:pPr>
        <w:pStyle w:val="14"/>
        <w:rPr>
          <w:rFonts w:hint="eastAsia" w:ascii="黑体" w:hAnsi="黑体" w:eastAsia="黑体" w:cs="黑体"/>
          <w:color w:val="auto"/>
          <w:sz w:val="52"/>
          <w:szCs w:val="48"/>
          <w:highlight w:val="none"/>
        </w:rPr>
      </w:pPr>
    </w:p>
    <w:p>
      <w:pPr>
        <w:pStyle w:val="14"/>
        <w:rPr>
          <w:rFonts w:hint="eastAsia" w:ascii="黑体" w:hAnsi="黑体" w:eastAsia="黑体" w:cs="黑体"/>
          <w:color w:val="auto"/>
          <w:sz w:val="52"/>
          <w:szCs w:val="48"/>
          <w:highlight w:val="none"/>
        </w:rPr>
      </w:pPr>
    </w:p>
    <w:p>
      <w:pPr>
        <w:pStyle w:val="14"/>
        <w:rPr>
          <w:rFonts w:hint="eastAsia" w:ascii="黑体" w:hAnsi="黑体" w:eastAsia="黑体" w:cs="黑体"/>
          <w:color w:val="auto"/>
          <w:sz w:val="52"/>
          <w:szCs w:val="48"/>
          <w:highlight w:val="none"/>
        </w:rPr>
      </w:pPr>
    </w:p>
    <w:p>
      <w:pPr>
        <w:pStyle w:val="14"/>
        <w:rPr>
          <w:rFonts w:hint="eastAsia" w:ascii="黑体" w:hAnsi="黑体" w:eastAsia="黑体" w:cs="黑体"/>
          <w:color w:val="auto"/>
          <w:sz w:val="52"/>
          <w:szCs w:val="48"/>
          <w:highlight w:val="none"/>
        </w:rPr>
      </w:pPr>
    </w:p>
    <w:p>
      <w:pPr>
        <w:pStyle w:val="14"/>
        <w:rPr>
          <w:rFonts w:hint="eastAsia" w:ascii="黑体" w:hAnsi="黑体" w:eastAsia="黑体" w:cs="黑体"/>
          <w:color w:val="auto"/>
          <w:sz w:val="52"/>
          <w:szCs w:val="48"/>
          <w:highlight w:val="none"/>
        </w:rPr>
      </w:pPr>
    </w:p>
    <w:p>
      <w:pPr>
        <w:rPr>
          <w:rFonts w:hint="eastAsia" w:ascii="黑体" w:hAnsi="黑体" w:eastAsia="黑体" w:cs="黑体"/>
          <w:color w:val="auto"/>
          <w:sz w:val="22"/>
          <w:szCs w:val="28"/>
          <w:highlight w:val="none"/>
        </w:rPr>
      </w:pPr>
    </w:p>
    <w:p>
      <w:pPr>
        <w:pStyle w:val="14"/>
        <w:rPr>
          <w:rFonts w:hint="eastAsia" w:ascii="黑体" w:hAnsi="黑体" w:eastAsia="黑体" w:cs="黑体"/>
          <w:color w:val="auto"/>
          <w:sz w:val="52"/>
          <w:szCs w:val="48"/>
          <w:highlight w:val="none"/>
        </w:rPr>
      </w:pPr>
    </w:p>
    <w:p>
      <w:pPr>
        <w:pStyle w:val="14"/>
        <w:rPr>
          <w:rFonts w:hint="eastAsia" w:ascii="黑体" w:hAnsi="黑体" w:eastAsia="黑体" w:cs="黑体"/>
          <w:color w:val="auto"/>
          <w:sz w:val="52"/>
          <w:szCs w:val="48"/>
          <w:highlight w:val="none"/>
        </w:rPr>
      </w:pPr>
    </w:p>
    <w:p>
      <w:pPr>
        <w:rPr>
          <w:rFonts w:hint="eastAsia" w:ascii="黑体" w:hAnsi="黑体" w:eastAsia="黑体" w:cs="黑体"/>
          <w:color w:val="auto"/>
          <w:sz w:val="52"/>
          <w:szCs w:val="48"/>
          <w:highlight w:val="none"/>
        </w:rPr>
      </w:pPr>
    </w:p>
    <w:p>
      <w:pPr>
        <w:pStyle w:val="2"/>
        <w:rPr>
          <w:rFonts w:hint="eastAsia" w:ascii="黑体" w:hAnsi="黑体" w:eastAsia="黑体" w:cs="黑体"/>
          <w:color w:val="auto"/>
        </w:rPr>
      </w:pPr>
    </w:p>
    <w:p>
      <w:pPr>
        <w:pStyle w:val="43"/>
        <w:rPr>
          <w:rFonts w:hint="eastAsia" w:ascii="黑体" w:hAnsi="黑体" w:eastAsia="黑体" w:cs="黑体"/>
          <w:color w:val="auto"/>
          <w:highlight w:val="none"/>
        </w:rPr>
      </w:pPr>
    </w:p>
    <w:p>
      <w:pPr>
        <w:pStyle w:val="43"/>
        <w:rPr>
          <w:rFonts w:hint="eastAsia" w:ascii="黑体" w:hAnsi="黑体" w:eastAsia="黑体" w:cs="黑体"/>
          <w:color w:val="auto"/>
          <w:highlight w:val="none"/>
        </w:rPr>
      </w:pPr>
    </w:p>
    <w:p>
      <w:pPr>
        <w:pStyle w:val="66"/>
        <w:ind w:left="0" w:leftChars="0" w:firstLine="0" w:firstLineChars="0"/>
        <w:rPr>
          <w:rFonts w:hint="eastAsia" w:ascii="黑体" w:hAnsi="黑体" w:eastAsia="黑体" w:cs="黑体"/>
          <w:color w:val="auto"/>
          <w:lang w:eastAsia="zh-CN"/>
        </w:rPr>
      </w:pPr>
    </w:p>
    <w:p>
      <w:pPr>
        <w:pStyle w:val="66"/>
        <w:ind w:left="0" w:leftChars="0" w:firstLine="0" w:firstLineChars="0"/>
        <w:rPr>
          <w:rFonts w:hint="eastAsia" w:ascii="黑体" w:hAnsi="黑体" w:eastAsia="黑体" w:cs="黑体"/>
          <w:color w:val="auto"/>
          <w:lang w:eastAsia="zh-CN"/>
        </w:rPr>
      </w:pPr>
    </w:p>
    <w:p>
      <w:pPr>
        <w:jc w:val="center"/>
        <w:rPr>
          <w:rFonts w:hint="eastAsia" w:ascii="黑体" w:hAnsi="黑体" w:eastAsia="黑体" w:cs="黑体"/>
          <w:color w:val="auto"/>
          <w:sz w:val="36"/>
          <w:szCs w:val="36"/>
          <w:highlight w:val="none"/>
          <w:u w:val="none"/>
          <w:lang w:val="en-US"/>
        </w:rPr>
      </w:pPr>
      <w:r>
        <w:rPr>
          <w:rFonts w:hint="eastAsia" w:ascii="黑体" w:hAnsi="黑体" w:eastAsia="黑体" w:cs="黑体"/>
          <w:b/>
          <w:bCs/>
          <w:color w:val="auto"/>
          <w:kern w:val="1"/>
          <w:sz w:val="44"/>
          <w:szCs w:val="44"/>
          <w:highlight w:val="none"/>
          <w:u w:val="none"/>
          <w:lang w:val="en-US" w:eastAsia="zh-CN"/>
        </w:rPr>
        <w:t>略阳县黑河镇地质灾害风险调查评价项目</w:t>
      </w:r>
    </w:p>
    <w:p>
      <w:pPr>
        <w:pStyle w:val="14"/>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14"/>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14"/>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66"/>
        <w:rPr>
          <w:rFonts w:hint="eastAsia" w:ascii="黑体" w:hAnsi="黑体" w:eastAsia="黑体" w:cs="黑体"/>
          <w:color w:val="auto"/>
        </w:rPr>
      </w:pPr>
    </w:p>
    <w:p>
      <w:pPr>
        <w:pStyle w:val="14"/>
        <w:rPr>
          <w:rFonts w:hint="eastAsia" w:ascii="黑体" w:hAnsi="黑体" w:eastAsia="黑体" w:cs="黑体"/>
          <w:color w:val="auto"/>
          <w:sz w:val="22"/>
          <w:szCs w:val="28"/>
          <w:highlight w:val="none"/>
        </w:rPr>
      </w:pPr>
    </w:p>
    <w:p>
      <w:pPr>
        <w:rPr>
          <w:rFonts w:hint="eastAsia" w:ascii="黑体" w:hAnsi="黑体" w:eastAsia="黑体" w:cs="黑体"/>
        </w:rPr>
      </w:pPr>
    </w:p>
    <w:p>
      <w:pPr>
        <w:rPr>
          <w:rFonts w:hint="eastAsia" w:ascii="黑体" w:hAnsi="黑体" w:eastAsia="黑体" w:cs="黑体"/>
          <w:color w:val="auto"/>
          <w:sz w:val="22"/>
          <w:szCs w:val="28"/>
          <w:highlight w:val="none"/>
        </w:rPr>
      </w:pPr>
    </w:p>
    <w:p>
      <w:pPr>
        <w:spacing w:line="360" w:lineRule="auto"/>
        <w:jc w:val="center"/>
        <w:outlineLvl w:val="0"/>
        <w:rPr>
          <w:rFonts w:hint="eastAsia" w:ascii="黑体" w:hAnsi="黑体" w:eastAsia="黑体" w:cs="黑体"/>
          <w:b/>
          <w:color w:val="auto"/>
          <w:sz w:val="36"/>
          <w:szCs w:val="36"/>
          <w:highlight w:val="none"/>
        </w:rPr>
      </w:pPr>
      <w:bookmarkStart w:id="98" w:name="_Toc2888"/>
      <w:bookmarkStart w:id="99" w:name="_Toc24846"/>
      <w:bookmarkStart w:id="100" w:name="_Toc31582_WPSOffice_Level1"/>
      <w:bookmarkStart w:id="101" w:name="_Toc24903"/>
      <w:bookmarkStart w:id="102" w:name="_Toc9534_WPSOffice_Level1"/>
      <w:bookmarkStart w:id="103" w:name="_Toc22374"/>
      <w:bookmarkStart w:id="104" w:name="_Toc2870"/>
      <w:bookmarkStart w:id="105" w:name="_Toc932_WPSOffice_Level1"/>
      <w:bookmarkStart w:id="106" w:name="_Toc2737_WPSOffice_Level1"/>
      <w:r>
        <w:rPr>
          <w:rFonts w:hint="eastAsia" w:ascii="黑体" w:hAnsi="黑体" w:eastAsia="黑体" w:cs="黑体"/>
          <w:b/>
          <w:color w:val="auto"/>
          <w:sz w:val="36"/>
          <w:szCs w:val="36"/>
          <w:highlight w:val="none"/>
        </w:rPr>
        <w:t>磋商响应文件</w:t>
      </w:r>
      <w:bookmarkEnd w:id="98"/>
      <w:bookmarkEnd w:id="99"/>
      <w:bookmarkEnd w:id="100"/>
      <w:bookmarkEnd w:id="101"/>
      <w:bookmarkEnd w:id="102"/>
      <w:bookmarkEnd w:id="103"/>
      <w:bookmarkEnd w:id="104"/>
      <w:bookmarkEnd w:id="105"/>
      <w:bookmarkEnd w:id="106"/>
    </w:p>
    <w:p>
      <w:pPr>
        <w:spacing w:line="360" w:lineRule="auto"/>
        <w:jc w:val="center"/>
        <w:outlineLvl w:val="0"/>
        <w:rPr>
          <w:rFonts w:hint="eastAsia" w:ascii="黑体" w:hAnsi="黑体" w:eastAsia="黑体" w:cs="黑体"/>
          <w:b/>
          <w:bCs/>
          <w:color w:val="auto"/>
          <w:sz w:val="36"/>
          <w:szCs w:val="36"/>
          <w:highlight w:val="none"/>
        </w:rPr>
      </w:pPr>
      <w:bookmarkStart w:id="107" w:name="_Toc2597"/>
      <w:bookmarkStart w:id="108" w:name="_Toc15907_WPSOffice_Level1"/>
      <w:bookmarkStart w:id="109" w:name="_Toc14219"/>
      <w:bookmarkStart w:id="110" w:name="_Toc5626_WPSOffice_Level1"/>
      <w:bookmarkStart w:id="111" w:name="_Toc29066"/>
      <w:bookmarkStart w:id="112" w:name="_Toc7991_WPSOffice_Level1"/>
      <w:bookmarkStart w:id="113" w:name="_Toc14277"/>
      <w:bookmarkStart w:id="114" w:name="_Toc22164_WPSOffice_Level1"/>
      <w:bookmarkStart w:id="115" w:name="_Toc17069"/>
      <w:r>
        <w:rPr>
          <w:rFonts w:hint="eastAsia" w:ascii="黑体" w:hAnsi="黑体" w:eastAsia="黑体" w:cs="黑体"/>
          <w:b/>
          <w:bCs/>
          <w:color w:val="auto"/>
          <w:sz w:val="36"/>
          <w:szCs w:val="36"/>
          <w:highlight w:val="none"/>
        </w:rPr>
        <w:t>（正本或副本）</w:t>
      </w:r>
      <w:bookmarkEnd w:id="107"/>
      <w:bookmarkEnd w:id="108"/>
      <w:bookmarkEnd w:id="109"/>
      <w:bookmarkEnd w:id="110"/>
      <w:bookmarkEnd w:id="111"/>
      <w:bookmarkEnd w:id="112"/>
      <w:bookmarkEnd w:id="113"/>
      <w:bookmarkEnd w:id="114"/>
      <w:bookmarkEnd w:id="115"/>
    </w:p>
    <w:p>
      <w:pPr>
        <w:spacing w:line="720" w:lineRule="exact"/>
        <w:rPr>
          <w:rFonts w:hint="eastAsia" w:ascii="黑体" w:hAnsi="黑体" w:eastAsia="黑体" w:cs="黑体"/>
          <w:color w:val="auto"/>
          <w:sz w:val="36"/>
          <w:szCs w:val="28"/>
          <w:highlight w:val="none"/>
        </w:rPr>
      </w:pPr>
    </w:p>
    <w:p>
      <w:pPr>
        <w:pStyle w:val="14"/>
        <w:rPr>
          <w:rFonts w:hint="eastAsia" w:ascii="黑体" w:hAnsi="黑体" w:eastAsia="黑体" w:cs="黑体"/>
          <w:color w:val="auto"/>
          <w:sz w:val="36"/>
          <w:szCs w:val="28"/>
          <w:highlight w:val="none"/>
        </w:rPr>
      </w:pPr>
    </w:p>
    <w:p>
      <w:pPr>
        <w:rPr>
          <w:rFonts w:hint="eastAsia" w:ascii="黑体" w:hAnsi="黑体" w:eastAsia="黑体" w:cs="黑体"/>
          <w:color w:val="auto"/>
          <w:sz w:val="22"/>
          <w:szCs w:val="28"/>
          <w:highlight w:val="none"/>
        </w:rPr>
      </w:pPr>
    </w:p>
    <w:p>
      <w:pPr>
        <w:rPr>
          <w:rFonts w:hint="eastAsia" w:ascii="黑体" w:hAnsi="黑体" w:eastAsia="黑体" w:cs="黑体"/>
          <w:color w:val="auto"/>
          <w:sz w:val="36"/>
          <w:szCs w:val="28"/>
          <w:highlight w:val="none"/>
        </w:rPr>
      </w:pPr>
    </w:p>
    <w:p>
      <w:pPr>
        <w:pStyle w:val="14"/>
        <w:rPr>
          <w:rFonts w:hint="eastAsia" w:ascii="黑体" w:hAnsi="黑体" w:eastAsia="黑体" w:cs="黑体"/>
          <w:color w:val="auto"/>
          <w:sz w:val="22"/>
          <w:szCs w:val="28"/>
          <w:highlight w:val="none"/>
        </w:rPr>
      </w:pPr>
    </w:p>
    <w:p>
      <w:pPr>
        <w:rPr>
          <w:rFonts w:hint="eastAsia" w:ascii="黑体" w:hAnsi="黑体" w:eastAsia="黑体" w:cs="黑体"/>
          <w:color w:val="auto"/>
          <w:sz w:val="36"/>
          <w:szCs w:val="28"/>
          <w:highlight w:val="none"/>
        </w:rPr>
      </w:pPr>
    </w:p>
    <w:p>
      <w:pPr>
        <w:rPr>
          <w:rFonts w:hint="eastAsia" w:ascii="黑体" w:hAnsi="黑体" w:eastAsia="黑体" w:cs="黑体"/>
          <w:color w:val="auto"/>
          <w:sz w:val="36"/>
          <w:szCs w:val="28"/>
          <w:highlight w:val="none"/>
        </w:rPr>
      </w:pPr>
    </w:p>
    <w:p>
      <w:pPr>
        <w:spacing w:line="360" w:lineRule="auto"/>
        <w:ind w:firstLine="1054" w:firstLineChars="375"/>
        <w:outlineLvl w:val="0"/>
        <w:rPr>
          <w:rFonts w:hint="eastAsia" w:ascii="黑体" w:hAnsi="黑体" w:eastAsia="黑体" w:cs="黑体"/>
          <w:b/>
          <w:bCs/>
          <w:color w:val="auto"/>
          <w:sz w:val="28"/>
          <w:szCs w:val="24"/>
          <w:highlight w:val="none"/>
          <w:u w:val="single"/>
          <w:lang w:val="en-US" w:eastAsia="zh-CN"/>
        </w:rPr>
      </w:pPr>
      <w:bookmarkStart w:id="116" w:name="_Toc23944"/>
      <w:bookmarkStart w:id="117" w:name="_Toc31718"/>
      <w:bookmarkStart w:id="118" w:name="_Toc27880_WPSOffice_Level1"/>
      <w:bookmarkStart w:id="119" w:name="_Toc2131_WPSOffice_Level1"/>
      <w:bookmarkStart w:id="120" w:name="_Toc26902_WPSOffice_Level1"/>
      <w:bookmarkStart w:id="121" w:name="_Toc15839"/>
      <w:bookmarkStart w:id="122" w:name="_Toc14280"/>
      <w:bookmarkStart w:id="123" w:name="_Toc24770"/>
      <w:bookmarkStart w:id="124" w:name="_Toc841_WPSOffice_Level1"/>
      <w:r>
        <w:rPr>
          <w:rFonts w:hint="eastAsia" w:ascii="黑体" w:hAnsi="黑体" w:eastAsia="黑体" w:cs="黑体"/>
          <w:b/>
          <w:bCs/>
          <w:color w:val="auto"/>
          <w:sz w:val="28"/>
          <w:szCs w:val="24"/>
          <w:highlight w:val="none"/>
        </w:rPr>
        <w:t>项目编号：</w:t>
      </w:r>
      <w:bookmarkEnd w:id="116"/>
      <w:bookmarkEnd w:id="117"/>
      <w:bookmarkEnd w:id="118"/>
      <w:bookmarkEnd w:id="119"/>
      <w:bookmarkEnd w:id="120"/>
      <w:bookmarkEnd w:id="121"/>
      <w:bookmarkEnd w:id="122"/>
      <w:bookmarkEnd w:id="123"/>
      <w:bookmarkEnd w:id="124"/>
      <w:r>
        <w:rPr>
          <w:rFonts w:hint="eastAsia" w:ascii="黑体" w:hAnsi="黑体" w:eastAsia="黑体" w:cs="黑体"/>
          <w:b/>
          <w:bCs/>
          <w:color w:val="auto"/>
          <w:sz w:val="28"/>
          <w:szCs w:val="24"/>
          <w:highlight w:val="none"/>
          <w:u w:val="single"/>
          <w:lang w:val="en-US" w:eastAsia="zh-CN"/>
        </w:rPr>
        <w:t xml:space="preserve">                                </w:t>
      </w:r>
    </w:p>
    <w:p>
      <w:pPr>
        <w:spacing w:line="360" w:lineRule="auto"/>
        <w:ind w:firstLine="1054" w:firstLineChars="375"/>
        <w:outlineLvl w:val="0"/>
        <w:rPr>
          <w:rFonts w:hint="eastAsia" w:ascii="黑体" w:hAnsi="黑体" w:eastAsia="黑体" w:cs="黑体"/>
          <w:b/>
          <w:bCs/>
          <w:color w:val="auto"/>
          <w:sz w:val="28"/>
          <w:szCs w:val="32"/>
          <w:highlight w:val="none"/>
        </w:rPr>
      </w:pPr>
      <w:bookmarkStart w:id="125" w:name="_Toc2788_WPSOffice_Level1"/>
      <w:bookmarkStart w:id="126" w:name="_Toc16704"/>
      <w:bookmarkStart w:id="127" w:name="_Toc24793_WPSOffice_Level1"/>
      <w:bookmarkStart w:id="128" w:name="_Toc9996"/>
      <w:bookmarkStart w:id="129" w:name="_Toc1270_WPSOffice_Level1"/>
      <w:bookmarkStart w:id="130" w:name="_Toc1094_WPSOffice_Level1"/>
      <w:bookmarkStart w:id="131" w:name="_Toc24685"/>
      <w:bookmarkStart w:id="132" w:name="_Toc30156"/>
      <w:bookmarkStart w:id="133" w:name="_Toc29453"/>
      <w:r>
        <w:rPr>
          <w:rFonts w:hint="eastAsia" w:ascii="黑体" w:hAnsi="黑体" w:eastAsia="黑体" w:cs="黑体"/>
          <w:b/>
          <w:bCs/>
          <w:color w:val="auto"/>
          <w:sz w:val="28"/>
          <w:szCs w:val="32"/>
          <w:highlight w:val="none"/>
        </w:rPr>
        <w:t>供 应 商：</w:t>
      </w:r>
      <w:bookmarkEnd w:id="125"/>
      <w:bookmarkEnd w:id="126"/>
      <w:bookmarkEnd w:id="127"/>
      <w:bookmarkEnd w:id="128"/>
      <w:bookmarkEnd w:id="129"/>
      <w:bookmarkEnd w:id="130"/>
      <w:r>
        <w:rPr>
          <w:rFonts w:hint="eastAsia" w:ascii="黑体" w:hAnsi="黑体" w:eastAsia="黑体" w:cs="黑体"/>
          <w:b/>
          <w:bCs/>
          <w:color w:val="auto"/>
          <w:sz w:val="28"/>
          <w:szCs w:val="32"/>
          <w:highlight w:val="none"/>
          <w:u w:val="single"/>
        </w:rPr>
        <w:t xml:space="preserve">          （填写全称并加盖公章）</w:t>
      </w:r>
      <w:bookmarkEnd w:id="131"/>
      <w:bookmarkEnd w:id="132"/>
      <w:bookmarkEnd w:id="133"/>
    </w:p>
    <w:p>
      <w:pPr>
        <w:spacing w:line="360" w:lineRule="auto"/>
        <w:ind w:firstLine="1054" w:firstLineChars="375"/>
        <w:outlineLvl w:val="0"/>
        <w:rPr>
          <w:rFonts w:hint="eastAsia" w:ascii="黑体" w:hAnsi="黑体" w:eastAsia="黑体" w:cs="黑体"/>
          <w:b/>
          <w:bCs/>
          <w:color w:val="auto"/>
          <w:sz w:val="28"/>
          <w:szCs w:val="24"/>
          <w:highlight w:val="none"/>
          <w:u w:val="single"/>
        </w:rPr>
      </w:pPr>
      <w:bookmarkStart w:id="134" w:name="_Toc16462_WPSOffice_Level1"/>
      <w:bookmarkStart w:id="135" w:name="_Toc9319_WPSOffice_Level1"/>
      <w:bookmarkStart w:id="136" w:name="_Toc21036"/>
      <w:bookmarkStart w:id="137" w:name="_Toc24198"/>
      <w:bookmarkStart w:id="138" w:name="_Toc31676"/>
      <w:bookmarkStart w:id="139" w:name="_Toc11747"/>
      <w:bookmarkStart w:id="140" w:name="_Toc25454_WPSOffice_Level1"/>
      <w:bookmarkStart w:id="141" w:name="_Toc27536"/>
      <w:bookmarkStart w:id="142" w:name="_Toc32451_WPSOffice_Level1"/>
      <w:r>
        <w:rPr>
          <w:rFonts w:hint="eastAsia" w:ascii="黑体" w:hAnsi="黑体" w:eastAsia="黑体" w:cs="黑体"/>
          <w:b/>
          <w:bCs/>
          <w:color w:val="auto"/>
          <w:sz w:val="28"/>
          <w:szCs w:val="24"/>
          <w:highlight w:val="none"/>
        </w:rPr>
        <w:t>法定代表人或其授权委托人 ：</w:t>
      </w:r>
      <w:r>
        <w:rPr>
          <w:rFonts w:hint="eastAsia" w:ascii="黑体" w:hAnsi="黑体" w:eastAsia="黑体" w:cs="黑体"/>
          <w:b/>
          <w:bCs/>
          <w:color w:val="auto"/>
          <w:sz w:val="28"/>
          <w:szCs w:val="24"/>
          <w:highlight w:val="none"/>
          <w:u w:val="single"/>
        </w:rPr>
        <w:t xml:space="preserve">       （签字）</w:t>
      </w:r>
      <w:bookmarkEnd w:id="134"/>
      <w:bookmarkEnd w:id="135"/>
      <w:bookmarkEnd w:id="136"/>
      <w:bookmarkEnd w:id="137"/>
      <w:bookmarkEnd w:id="138"/>
      <w:bookmarkEnd w:id="139"/>
      <w:bookmarkEnd w:id="140"/>
      <w:bookmarkEnd w:id="141"/>
      <w:bookmarkEnd w:id="142"/>
    </w:p>
    <w:p>
      <w:pPr>
        <w:spacing w:line="360" w:lineRule="auto"/>
        <w:ind w:firstLine="1124" w:firstLineChars="400"/>
        <w:outlineLvl w:val="0"/>
        <w:rPr>
          <w:rFonts w:hint="eastAsia" w:ascii="黑体" w:hAnsi="黑体" w:eastAsia="黑体" w:cs="黑体"/>
          <w:b/>
          <w:bCs/>
          <w:color w:val="auto"/>
          <w:sz w:val="48"/>
          <w:szCs w:val="48"/>
          <w:highlight w:val="none"/>
          <w:u w:val="single"/>
          <w:lang w:val="en-US" w:eastAsia="zh-CN"/>
        </w:rPr>
      </w:pPr>
      <w:bookmarkStart w:id="143" w:name="_Toc11183"/>
      <w:bookmarkStart w:id="144" w:name="_Toc21192_WPSOffice_Level1"/>
      <w:bookmarkStart w:id="145" w:name="_Toc32478"/>
      <w:bookmarkStart w:id="146" w:name="_Toc6125_WPSOffice_Level1"/>
      <w:bookmarkStart w:id="147" w:name="_Toc5474"/>
      <w:bookmarkStart w:id="148" w:name="_Toc5549"/>
      <w:bookmarkStart w:id="149" w:name="_Toc28358"/>
      <w:bookmarkStart w:id="150" w:name="_Toc29630_WPSOffice_Level1"/>
      <w:bookmarkStart w:id="151" w:name="_Toc6982_WPSOffice_Level1"/>
      <w:r>
        <w:rPr>
          <w:rFonts w:hint="eastAsia" w:ascii="黑体" w:hAnsi="黑体" w:eastAsia="黑体" w:cs="黑体"/>
          <w:b/>
          <w:bCs/>
          <w:color w:val="auto"/>
          <w:sz w:val="28"/>
          <w:szCs w:val="24"/>
          <w:highlight w:val="none"/>
        </w:rPr>
        <w:t>日    期：</w:t>
      </w:r>
      <w:bookmarkEnd w:id="143"/>
      <w:bookmarkEnd w:id="144"/>
      <w:bookmarkEnd w:id="145"/>
      <w:bookmarkEnd w:id="146"/>
      <w:bookmarkEnd w:id="147"/>
      <w:bookmarkEnd w:id="148"/>
      <w:bookmarkEnd w:id="149"/>
      <w:bookmarkEnd w:id="150"/>
      <w:bookmarkEnd w:id="151"/>
      <w:bookmarkStart w:id="152" w:name="_Toc25538"/>
      <w:bookmarkStart w:id="153" w:name="_Toc6405_WPSOffice_Level1"/>
      <w:bookmarkStart w:id="154" w:name="_Toc6310_WPSOffice_Level1"/>
      <w:bookmarkStart w:id="155" w:name="_Toc25133"/>
      <w:bookmarkStart w:id="156" w:name="_Toc25620"/>
      <w:bookmarkStart w:id="157" w:name="_Toc10984"/>
      <w:bookmarkStart w:id="158" w:name="_Toc27104"/>
      <w:bookmarkStart w:id="159" w:name="_Toc32102_WPSOffice_Level1"/>
      <w:r>
        <w:rPr>
          <w:rFonts w:hint="eastAsia" w:ascii="黑体" w:hAnsi="黑体" w:eastAsia="黑体" w:cs="黑体"/>
          <w:b/>
          <w:bCs/>
          <w:color w:val="auto"/>
          <w:sz w:val="28"/>
          <w:szCs w:val="24"/>
          <w:highlight w:val="none"/>
          <w:u w:val="single"/>
          <w:lang w:val="en-US" w:eastAsia="zh-CN"/>
        </w:rPr>
        <w:t xml:space="preserve">                                </w:t>
      </w:r>
    </w:p>
    <w:p>
      <w:pPr>
        <w:pStyle w:val="14"/>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jc w:val="center"/>
        <w:outlineLvl w:val="0"/>
        <w:rPr>
          <w:rFonts w:hint="eastAsia" w:ascii="黑体" w:hAnsi="黑体" w:eastAsia="黑体" w:cs="黑体"/>
          <w:b/>
          <w:bCs/>
          <w:color w:val="auto"/>
          <w:sz w:val="36"/>
          <w:szCs w:val="36"/>
          <w:highlight w:val="none"/>
        </w:rPr>
      </w:pPr>
    </w:p>
    <w:p>
      <w:pPr>
        <w:jc w:val="center"/>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    录</w:t>
      </w:r>
      <w:bookmarkEnd w:id="152"/>
      <w:bookmarkEnd w:id="153"/>
      <w:bookmarkEnd w:id="154"/>
      <w:bookmarkEnd w:id="155"/>
      <w:bookmarkEnd w:id="156"/>
      <w:bookmarkEnd w:id="157"/>
      <w:bookmarkEnd w:id="158"/>
      <w:bookmarkEnd w:id="159"/>
    </w:p>
    <w:p>
      <w:pPr>
        <w:pStyle w:val="2"/>
        <w:rPr>
          <w:rFonts w:hint="eastAsia" w:ascii="黑体" w:hAnsi="黑体" w:eastAsia="黑体" w:cs="黑体"/>
        </w:rPr>
      </w:pPr>
    </w:p>
    <w:p>
      <w:pPr>
        <w:spacing w:line="720" w:lineRule="auto"/>
        <w:ind w:firstLine="560" w:firstLineChars="200"/>
        <w:outlineLvl w:val="0"/>
        <w:rPr>
          <w:rFonts w:hint="eastAsia" w:ascii="黑体" w:hAnsi="黑体" w:eastAsia="黑体" w:cs="黑体"/>
          <w:b w:val="0"/>
          <w:bCs w:val="0"/>
          <w:color w:val="auto"/>
          <w:sz w:val="28"/>
          <w:szCs w:val="28"/>
          <w:highlight w:val="none"/>
        </w:rPr>
      </w:pPr>
      <w:bookmarkStart w:id="160" w:name="_Toc13643"/>
      <w:bookmarkStart w:id="161" w:name="_Toc26011_WPSOffice_Level1"/>
      <w:bookmarkStart w:id="162" w:name="_Toc27957_WPSOffice_Level1"/>
      <w:bookmarkStart w:id="163" w:name="_Toc7372_WPSOffice_Level1"/>
      <w:bookmarkStart w:id="164" w:name="_Toc1826_WPSOffice_Level1"/>
      <w:bookmarkStart w:id="165" w:name="_Toc26492"/>
      <w:bookmarkStart w:id="166" w:name="_Toc15120"/>
      <w:bookmarkStart w:id="167" w:name="_Toc26433"/>
      <w:bookmarkStart w:id="168" w:name="_Toc19308"/>
      <w:r>
        <w:rPr>
          <w:rFonts w:hint="eastAsia" w:ascii="黑体" w:hAnsi="黑体" w:eastAsia="黑体" w:cs="黑体"/>
          <w:b w:val="0"/>
          <w:bCs w:val="0"/>
          <w:color w:val="auto"/>
          <w:sz w:val="28"/>
          <w:szCs w:val="28"/>
          <w:highlight w:val="none"/>
        </w:rPr>
        <w:t>第1部分   响应函</w:t>
      </w:r>
      <w:bookmarkEnd w:id="160"/>
      <w:bookmarkEnd w:id="161"/>
      <w:bookmarkEnd w:id="162"/>
      <w:bookmarkEnd w:id="163"/>
      <w:bookmarkEnd w:id="164"/>
      <w:bookmarkEnd w:id="165"/>
      <w:bookmarkEnd w:id="166"/>
      <w:bookmarkEnd w:id="167"/>
      <w:bookmarkEnd w:id="168"/>
    </w:p>
    <w:p>
      <w:pPr>
        <w:spacing w:line="720" w:lineRule="auto"/>
        <w:ind w:firstLine="560" w:firstLineChars="200"/>
        <w:outlineLvl w:val="0"/>
        <w:rPr>
          <w:rFonts w:hint="eastAsia" w:ascii="黑体" w:hAnsi="黑体" w:eastAsia="黑体" w:cs="黑体"/>
          <w:b w:val="0"/>
          <w:bCs w:val="0"/>
          <w:color w:val="auto"/>
          <w:sz w:val="28"/>
          <w:szCs w:val="28"/>
          <w:highlight w:val="none"/>
        </w:rPr>
      </w:pPr>
      <w:bookmarkStart w:id="169" w:name="_Toc340"/>
      <w:bookmarkStart w:id="170" w:name="_Toc18583"/>
      <w:bookmarkStart w:id="171" w:name="_Toc9881_WPSOffice_Level1"/>
      <w:bookmarkStart w:id="172" w:name="_Toc25517"/>
      <w:bookmarkStart w:id="173" w:name="_Toc29746"/>
      <w:bookmarkStart w:id="174" w:name="_Toc12021_WPSOffice_Level1"/>
      <w:bookmarkStart w:id="175" w:name="_Toc18583_WPSOffice_Level1"/>
      <w:bookmarkStart w:id="176" w:name="_Toc10747_WPSOffice_Level1"/>
      <w:bookmarkStart w:id="177" w:name="_Toc16884"/>
      <w:r>
        <w:rPr>
          <w:rFonts w:hint="eastAsia" w:ascii="黑体" w:hAnsi="黑体" w:eastAsia="黑体" w:cs="黑体"/>
          <w:b w:val="0"/>
          <w:bCs w:val="0"/>
          <w:color w:val="auto"/>
          <w:sz w:val="28"/>
          <w:szCs w:val="28"/>
          <w:highlight w:val="none"/>
        </w:rPr>
        <w:t xml:space="preserve">第2部分   </w:t>
      </w:r>
      <w:bookmarkEnd w:id="169"/>
      <w:bookmarkEnd w:id="170"/>
      <w:bookmarkEnd w:id="171"/>
      <w:bookmarkEnd w:id="172"/>
      <w:bookmarkEnd w:id="173"/>
      <w:bookmarkEnd w:id="174"/>
      <w:bookmarkEnd w:id="175"/>
      <w:bookmarkEnd w:id="176"/>
      <w:bookmarkEnd w:id="177"/>
      <w:r>
        <w:rPr>
          <w:rFonts w:hint="eastAsia" w:ascii="黑体" w:hAnsi="黑体" w:eastAsia="黑体" w:cs="黑体"/>
          <w:b w:val="0"/>
          <w:bCs w:val="0"/>
          <w:color w:val="auto"/>
          <w:sz w:val="28"/>
          <w:szCs w:val="28"/>
          <w:highlight w:val="none"/>
          <w:lang w:eastAsia="zh-CN"/>
        </w:rPr>
        <w:t>报价一览表</w:t>
      </w:r>
    </w:p>
    <w:p>
      <w:pPr>
        <w:spacing w:line="720" w:lineRule="auto"/>
        <w:ind w:firstLine="560" w:firstLineChars="200"/>
        <w:outlineLvl w:val="0"/>
        <w:rPr>
          <w:rFonts w:hint="eastAsia" w:ascii="黑体" w:hAnsi="黑体" w:eastAsia="黑体" w:cs="黑体"/>
          <w:b w:val="0"/>
          <w:bCs w:val="0"/>
          <w:sz w:val="28"/>
          <w:szCs w:val="28"/>
        </w:rPr>
      </w:pPr>
      <w:bookmarkStart w:id="178" w:name="_Toc19845"/>
      <w:bookmarkStart w:id="179" w:name="_Toc4728_WPSOffice_Level1"/>
      <w:bookmarkStart w:id="180" w:name="_Toc13283"/>
      <w:bookmarkStart w:id="181" w:name="_Toc13364"/>
      <w:bookmarkStart w:id="182" w:name="_Toc24912"/>
      <w:bookmarkStart w:id="183" w:name="_Toc25195_WPSOffice_Level1"/>
      <w:bookmarkStart w:id="184" w:name="_Toc26384_WPSOffice_Level1"/>
      <w:bookmarkStart w:id="185" w:name="_Toc8226_WPSOffice_Level1"/>
      <w:bookmarkStart w:id="186" w:name="_Toc27976"/>
      <w:r>
        <w:rPr>
          <w:rFonts w:hint="eastAsia" w:ascii="黑体" w:hAnsi="黑体" w:eastAsia="黑体" w:cs="黑体"/>
          <w:b w:val="0"/>
          <w:bCs w:val="0"/>
          <w:color w:val="auto"/>
          <w:sz w:val="28"/>
          <w:szCs w:val="28"/>
          <w:highlight w:val="none"/>
        </w:rPr>
        <w:t xml:space="preserve">第3部分  </w:t>
      </w:r>
      <w:r>
        <w:rPr>
          <w:rFonts w:hint="eastAsia" w:ascii="黑体" w:hAnsi="黑体" w:eastAsia="黑体" w:cs="黑体"/>
          <w:b w:val="0"/>
          <w:bCs w:val="0"/>
          <w:color w:val="auto"/>
          <w:sz w:val="28"/>
          <w:szCs w:val="28"/>
          <w:highlight w:val="none"/>
          <w:lang w:val="en-US" w:eastAsia="zh-CN"/>
        </w:rPr>
        <w:t xml:space="preserve"> 技术响应</w:t>
      </w:r>
      <w:r>
        <w:rPr>
          <w:rFonts w:hint="eastAsia" w:ascii="黑体" w:hAnsi="黑体" w:eastAsia="黑体" w:cs="黑体"/>
          <w:b w:val="0"/>
          <w:bCs w:val="0"/>
          <w:color w:val="auto"/>
          <w:sz w:val="28"/>
          <w:szCs w:val="28"/>
          <w:highlight w:val="none"/>
        </w:rPr>
        <w:t>方案</w:t>
      </w:r>
      <w:bookmarkEnd w:id="178"/>
      <w:bookmarkEnd w:id="179"/>
      <w:bookmarkEnd w:id="180"/>
      <w:bookmarkEnd w:id="181"/>
      <w:bookmarkEnd w:id="182"/>
      <w:bookmarkEnd w:id="183"/>
      <w:bookmarkEnd w:id="184"/>
      <w:bookmarkEnd w:id="185"/>
      <w:bookmarkEnd w:id="186"/>
    </w:p>
    <w:p>
      <w:pPr>
        <w:spacing w:line="720" w:lineRule="auto"/>
        <w:ind w:firstLine="560" w:firstLineChars="200"/>
        <w:outlineLvl w:val="0"/>
        <w:rPr>
          <w:rFonts w:hint="eastAsia" w:ascii="黑体" w:hAnsi="黑体" w:eastAsia="黑体" w:cs="黑体"/>
          <w:b w:val="0"/>
          <w:bCs w:val="0"/>
          <w:color w:val="auto"/>
          <w:sz w:val="28"/>
          <w:szCs w:val="28"/>
          <w:highlight w:val="none"/>
          <w:lang w:val="en-US" w:eastAsia="zh-CN"/>
        </w:rPr>
      </w:pPr>
      <w:bookmarkStart w:id="187" w:name="_Toc26395"/>
      <w:bookmarkStart w:id="188" w:name="_Toc26862"/>
      <w:bookmarkStart w:id="189" w:name="_Toc2389"/>
      <w:bookmarkStart w:id="190" w:name="_Toc13585"/>
      <w:bookmarkStart w:id="191" w:name="_Toc13214_WPSOffice_Level1"/>
      <w:bookmarkStart w:id="192" w:name="_Toc22418_WPSOffice_Level1"/>
      <w:bookmarkStart w:id="193" w:name="_Toc15145"/>
      <w:bookmarkStart w:id="194" w:name="_Toc13442_WPSOffice_Level1"/>
      <w:bookmarkStart w:id="195" w:name="_Toc19012_WPSOffice_Level1"/>
      <w:r>
        <w:rPr>
          <w:rFonts w:hint="eastAsia" w:ascii="黑体" w:hAnsi="黑体" w:eastAsia="黑体" w:cs="黑体"/>
          <w:b w:val="0"/>
          <w:bCs w:val="0"/>
          <w:color w:val="auto"/>
          <w:sz w:val="28"/>
          <w:szCs w:val="28"/>
          <w:highlight w:val="none"/>
        </w:rPr>
        <w:t>第</w:t>
      </w:r>
      <w:r>
        <w:rPr>
          <w:rFonts w:hint="eastAsia" w:ascii="黑体" w:hAnsi="黑体" w:eastAsia="黑体" w:cs="黑体"/>
          <w:b w:val="0"/>
          <w:bCs w:val="0"/>
          <w:color w:val="auto"/>
          <w:sz w:val="28"/>
          <w:szCs w:val="28"/>
          <w:highlight w:val="none"/>
          <w:lang w:val="en-US" w:eastAsia="zh-CN"/>
        </w:rPr>
        <w:t>4</w:t>
      </w:r>
      <w:r>
        <w:rPr>
          <w:rFonts w:hint="eastAsia" w:ascii="黑体" w:hAnsi="黑体" w:eastAsia="黑体" w:cs="黑体"/>
          <w:b w:val="0"/>
          <w:bCs w:val="0"/>
          <w:color w:val="auto"/>
          <w:sz w:val="28"/>
          <w:szCs w:val="28"/>
          <w:highlight w:val="none"/>
        </w:rPr>
        <w:t xml:space="preserve">部分   </w:t>
      </w:r>
      <w:bookmarkEnd w:id="187"/>
      <w:bookmarkEnd w:id="188"/>
      <w:bookmarkEnd w:id="189"/>
      <w:bookmarkEnd w:id="190"/>
      <w:bookmarkEnd w:id="191"/>
      <w:bookmarkEnd w:id="192"/>
      <w:bookmarkEnd w:id="193"/>
      <w:bookmarkEnd w:id="194"/>
      <w:bookmarkEnd w:id="195"/>
      <w:r>
        <w:rPr>
          <w:rFonts w:hint="eastAsia" w:ascii="黑体" w:hAnsi="黑体" w:eastAsia="黑体" w:cs="黑体"/>
          <w:b w:val="0"/>
          <w:bCs w:val="0"/>
          <w:color w:val="auto"/>
          <w:sz w:val="28"/>
          <w:szCs w:val="28"/>
          <w:highlight w:val="none"/>
          <w:lang w:val="en-US" w:eastAsia="zh-CN"/>
        </w:rPr>
        <w:t>商务响应文件</w:t>
      </w:r>
    </w:p>
    <w:p>
      <w:pPr>
        <w:spacing w:line="720" w:lineRule="auto"/>
        <w:ind w:firstLine="560" w:firstLineChars="200"/>
        <w:outlineLvl w:val="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第5部分   </w:t>
      </w:r>
      <w:r>
        <w:rPr>
          <w:rFonts w:hint="eastAsia" w:ascii="黑体" w:hAnsi="黑体" w:eastAsia="黑体" w:cs="黑体"/>
          <w:b w:val="0"/>
          <w:bCs w:val="0"/>
          <w:color w:val="auto"/>
          <w:sz w:val="28"/>
          <w:szCs w:val="28"/>
          <w:highlight w:val="none"/>
        </w:rPr>
        <w:t>供应商认为有必要补充说明的事项</w:t>
      </w:r>
    </w:p>
    <w:p>
      <w:pPr>
        <w:spacing w:line="720" w:lineRule="auto"/>
        <w:ind w:firstLine="560" w:firstLineChars="200"/>
        <w:outlineLvl w:val="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第6部分   </w:t>
      </w:r>
      <w:r>
        <w:rPr>
          <w:rFonts w:hint="eastAsia" w:ascii="黑体" w:hAnsi="黑体" w:eastAsia="黑体" w:cs="黑体"/>
          <w:b w:val="0"/>
          <w:bCs w:val="0"/>
          <w:color w:val="auto"/>
          <w:sz w:val="28"/>
          <w:szCs w:val="28"/>
          <w:highlight w:val="none"/>
        </w:rPr>
        <w:t>资格证明</w:t>
      </w:r>
    </w:p>
    <w:p>
      <w:pPr>
        <w:pStyle w:val="25"/>
        <w:rPr>
          <w:rFonts w:hint="eastAsia" w:ascii="黑体" w:hAnsi="黑体" w:eastAsia="黑体" w:cs="黑体"/>
          <w:color w:val="auto"/>
        </w:rPr>
      </w:pPr>
    </w:p>
    <w:p>
      <w:pPr>
        <w:spacing w:line="360" w:lineRule="exact"/>
        <w:rPr>
          <w:rFonts w:hint="eastAsia" w:ascii="黑体" w:hAnsi="黑体" w:eastAsia="黑体" w:cs="黑体"/>
          <w:color w:val="auto"/>
          <w:sz w:val="28"/>
          <w:szCs w:val="36"/>
          <w:highlight w:val="none"/>
        </w:rPr>
      </w:pPr>
    </w:p>
    <w:p>
      <w:pPr>
        <w:spacing w:line="360" w:lineRule="exact"/>
        <w:ind w:firstLine="560" w:firstLineChars="200"/>
        <w:outlineLvl w:val="0"/>
        <w:rPr>
          <w:rFonts w:hint="eastAsia" w:ascii="黑体" w:hAnsi="黑体" w:eastAsia="黑体" w:cs="黑体"/>
          <w:color w:val="auto"/>
          <w:sz w:val="28"/>
          <w:szCs w:val="36"/>
          <w:highlight w:val="none"/>
        </w:rPr>
      </w:pPr>
    </w:p>
    <w:p>
      <w:pPr>
        <w:spacing w:line="480" w:lineRule="exact"/>
        <w:ind w:firstLine="440" w:firstLineChars="200"/>
        <w:rPr>
          <w:rFonts w:hint="eastAsia" w:ascii="黑体" w:hAnsi="黑体" w:eastAsia="黑体" w:cs="黑体"/>
          <w:color w:val="auto"/>
          <w:sz w:val="22"/>
          <w:szCs w:val="32"/>
          <w:highlight w:val="none"/>
        </w:rPr>
      </w:pPr>
    </w:p>
    <w:p>
      <w:pPr>
        <w:pStyle w:val="6"/>
        <w:rPr>
          <w:rFonts w:hint="eastAsia" w:ascii="黑体" w:hAnsi="黑体" w:eastAsia="黑体" w:cs="黑体"/>
          <w:color w:val="auto"/>
        </w:rPr>
      </w:pPr>
    </w:p>
    <w:p>
      <w:pPr>
        <w:spacing w:line="480" w:lineRule="exact"/>
        <w:ind w:firstLine="420" w:firstLineChars="200"/>
        <w:rPr>
          <w:rFonts w:hint="eastAsia" w:ascii="黑体" w:hAnsi="黑体" w:eastAsia="黑体" w:cs="黑体"/>
          <w:color w:val="auto"/>
          <w:sz w:val="21"/>
          <w:szCs w:val="28"/>
          <w:highlight w:val="none"/>
        </w:rPr>
      </w:pPr>
    </w:p>
    <w:p>
      <w:pPr>
        <w:spacing w:line="480" w:lineRule="exact"/>
        <w:ind w:firstLine="560" w:firstLineChars="200"/>
        <w:rPr>
          <w:rFonts w:hint="eastAsia" w:ascii="黑体" w:hAnsi="黑体" w:eastAsia="黑体" w:cs="黑体"/>
          <w:color w:val="auto"/>
          <w:sz w:val="28"/>
          <w:szCs w:val="28"/>
          <w:highlight w:val="none"/>
        </w:rPr>
      </w:pPr>
    </w:p>
    <w:p>
      <w:pPr>
        <w:spacing w:line="480" w:lineRule="exact"/>
        <w:ind w:firstLine="720" w:firstLineChars="200"/>
        <w:rPr>
          <w:rFonts w:hint="eastAsia" w:ascii="黑体" w:hAnsi="黑体" w:eastAsia="黑体" w:cs="黑体"/>
          <w:color w:val="auto"/>
          <w:sz w:val="36"/>
          <w:szCs w:val="36"/>
          <w:highlight w:val="none"/>
        </w:rPr>
      </w:pPr>
    </w:p>
    <w:p>
      <w:pPr>
        <w:spacing w:line="480" w:lineRule="exact"/>
        <w:ind w:firstLine="720" w:firstLineChars="200"/>
        <w:rPr>
          <w:rFonts w:hint="eastAsia" w:ascii="黑体" w:hAnsi="黑体" w:eastAsia="黑体" w:cs="黑体"/>
          <w:color w:val="auto"/>
          <w:sz w:val="36"/>
          <w:szCs w:val="36"/>
          <w:highlight w:val="none"/>
        </w:rPr>
      </w:pPr>
    </w:p>
    <w:p>
      <w:pPr>
        <w:pStyle w:val="14"/>
        <w:rPr>
          <w:rFonts w:hint="eastAsia" w:ascii="黑体" w:hAnsi="黑体" w:eastAsia="黑体" w:cs="黑体"/>
          <w:color w:val="auto"/>
          <w:sz w:val="36"/>
          <w:szCs w:val="36"/>
          <w:highlight w:val="none"/>
        </w:rPr>
      </w:pPr>
    </w:p>
    <w:p>
      <w:pPr>
        <w:rPr>
          <w:rFonts w:hint="eastAsia" w:ascii="黑体" w:hAnsi="黑体" w:eastAsia="黑体" w:cs="黑体"/>
          <w:color w:val="auto"/>
        </w:rPr>
      </w:pPr>
    </w:p>
    <w:p>
      <w:pPr>
        <w:spacing w:line="480" w:lineRule="exact"/>
        <w:ind w:firstLine="720" w:firstLineChars="200"/>
        <w:rPr>
          <w:rFonts w:hint="eastAsia" w:ascii="黑体" w:hAnsi="黑体" w:eastAsia="黑体" w:cs="黑体"/>
          <w:color w:val="auto"/>
          <w:sz w:val="36"/>
          <w:szCs w:val="36"/>
          <w:highlight w:val="none"/>
        </w:rPr>
      </w:pPr>
    </w:p>
    <w:p>
      <w:pPr>
        <w:pStyle w:val="43"/>
        <w:ind w:left="0" w:leftChars="0" w:firstLine="0" w:firstLineChars="0"/>
        <w:rPr>
          <w:rFonts w:hint="eastAsia" w:ascii="黑体" w:hAnsi="黑体" w:eastAsia="黑体" w:cs="黑体"/>
          <w:color w:val="auto"/>
          <w:sz w:val="36"/>
          <w:szCs w:val="36"/>
          <w:highlight w:val="none"/>
        </w:rPr>
      </w:pPr>
    </w:p>
    <w:p>
      <w:pPr>
        <w:pStyle w:val="14"/>
        <w:rPr>
          <w:rFonts w:hint="eastAsia" w:ascii="黑体" w:hAnsi="黑体" w:eastAsia="黑体" w:cs="黑体"/>
          <w:color w:val="auto"/>
          <w:sz w:val="22"/>
          <w:szCs w:val="28"/>
          <w:highlight w:val="none"/>
        </w:rPr>
      </w:pPr>
    </w:p>
    <w:p>
      <w:pPr>
        <w:tabs>
          <w:tab w:val="left" w:pos="1260"/>
        </w:tabs>
        <w:spacing w:line="360" w:lineRule="auto"/>
        <w:ind w:firstLine="2891" w:firstLineChars="900"/>
        <w:outlineLvl w:val="0"/>
        <w:rPr>
          <w:rFonts w:hint="eastAsia" w:ascii="黑体" w:hAnsi="黑体" w:eastAsia="黑体" w:cs="黑体"/>
          <w:b/>
          <w:bCs/>
          <w:color w:val="auto"/>
          <w:sz w:val="32"/>
          <w:szCs w:val="32"/>
          <w:highlight w:val="none"/>
        </w:rPr>
      </w:pPr>
      <w:bookmarkStart w:id="196" w:name="_Toc28655_WPSOffice_Level1"/>
      <w:bookmarkStart w:id="197" w:name="_Toc19706"/>
      <w:bookmarkStart w:id="198" w:name="_Toc12188"/>
      <w:bookmarkStart w:id="199" w:name="_Toc8180"/>
      <w:bookmarkStart w:id="200" w:name="_Toc26784"/>
      <w:bookmarkStart w:id="201" w:name="_Toc13760_WPSOffice_Level1"/>
      <w:bookmarkStart w:id="202" w:name="_Toc16504"/>
      <w:bookmarkStart w:id="203" w:name="_Toc17055_WPSOffice_Level1"/>
    </w:p>
    <w:p>
      <w:pPr>
        <w:tabs>
          <w:tab w:val="left" w:pos="1260"/>
        </w:tabs>
        <w:spacing w:line="360" w:lineRule="auto"/>
        <w:ind w:firstLine="2891" w:firstLineChars="900"/>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第1部分  响应函</w:t>
      </w:r>
      <w:bookmarkEnd w:id="196"/>
      <w:bookmarkEnd w:id="197"/>
      <w:bookmarkEnd w:id="198"/>
      <w:bookmarkEnd w:id="199"/>
      <w:bookmarkEnd w:id="200"/>
      <w:bookmarkEnd w:id="201"/>
      <w:bookmarkEnd w:id="202"/>
      <w:bookmarkEnd w:id="203"/>
    </w:p>
    <w:p>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黑体" w:hAnsi="黑体" w:eastAsia="黑体" w:cs="黑体"/>
          <w:b/>
          <w:bCs/>
          <w:color w:val="auto"/>
          <w:sz w:val="22"/>
          <w:szCs w:val="22"/>
          <w:highlight w:val="none"/>
          <w:lang w:eastAsia="zh-CN"/>
        </w:rPr>
      </w:pPr>
      <w:r>
        <w:rPr>
          <w:rFonts w:hint="eastAsia" w:ascii="黑体" w:hAnsi="黑体" w:eastAsia="黑体" w:cs="黑体"/>
          <w:b/>
          <w:bCs/>
          <w:color w:val="auto"/>
          <w:sz w:val="22"/>
          <w:szCs w:val="22"/>
          <w:highlight w:val="none"/>
        </w:rPr>
        <w:t>致：</w:t>
      </w:r>
      <w:r>
        <w:rPr>
          <w:rFonts w:hint="eastAsia" w:ascii="黑体" w:hAnsi="黑体" w:eastAsia="黑体" w:cs="黑体"/>
          <w:b/>
          <w:bCs/>
          <w:color w:val="auto"/>
          <w:sz w:val="22"/>
          <w:szCs w:val="22"/>
          <w:highlight w:val="none"/>
          <w:lang w:eastAsia="zh-CN"/>
        </w:rPr>
        <w:t>同正项目管理有限公司</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我方已仔细研究了</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(项目名称)</w:t>
      </w:r>
      <w:r>
        <w:rPr>
          <w:rFonts w:hint="eastAsia" w:ascii="黑体" w:hAnsi="黑体" w:eastAsia="黑体" w:cs="黑体"/>
          <w:color w:val="auto"/>
          <w:sz w:val="22"/>
          <w:szCs w:val="22"/>
          <w:highlight w:val="none"/>
        </w:rPr>
        <w:t>的竞争性磋商文件（项目编号：</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；）的全部内容，知悉参加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的风险，我方承诺接受竞争性磋商文件的全部条款且无任何异议，决定参加贵单位组织的本项目</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。我方正式授权</w:t>
      </w:r>
      <w:r>
        <w:rPr>
          <w:rFonts w:hint="eastAsia" w:ascii="黑体" w:hAnsi="黑体" w:eastAsia="黑体" w:cs="黑体"/>
          <w:color w:val="auto"/>
          <w:sz w:val="22"/>
          <w:szCs w:val="22"/>
          <w:highlight w:val="none"/>
          <w:u w:val="single"/>
        </w:rPr>
        <w:t>（姓名、职务）</w:t>
      </w:r>
      <w:r>
        <w:rPr>
          <w:rFonts w:hint="eastAsia" w:ascii="黑体" w:hAnsi="黑体" w:eastAsia="黑体" w:cs="黑体"/>
          <w:color w:val="auto"/>
          <w:sz w:val="22"/>
          <w:szCs w:val="22"/>
          <w:highlight w:val="none"/>
        </w:rPr>
        <w:t>代表我方</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（磋商响应人的名称）</w:t>
      </w:r>
      <w:r>
        <w:rPr>
          <w:rFonts w:hint="eastAsia" w:ascii="黑体" w:hAnsi="黑体" w:eastAsia="黑体" w:cs="黑体"/>
          <w:color w:val="auto"/>
          <w:sz w:val="22"/>
          <w:szCs w:val="22"/>
          <w:highlight w:val="none"/>
        </w:rPr>
        <w:t>全权处理本项目</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的有关事宜。</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一、我方提交响应文件正本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份、副本</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份和</w:t>
      </w:r>
      <w:r>
        <w:rPr>
          <w:rFonts w:hint="eastAsia" w:ascii="黑体" w:hAnsi="黑体" w:eastAsia="黑体" w:cs="黑体"/>
          <w:color w:val="auto"/>
          <w:sz w:val="22"/>
          <w:szCs w:val="22"/>
          <w:highlight w:val="none"/>
          <w:lang w:val="en-US" w:eastAsia="zh-CN"/>
        </w:rPr>
        <w:t>首次</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份（含磋商响应文件电子版U盘</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份）。并保证磋商响应文件提供的数据和材料真实、准确。否则，愿承担《中华人民共和国政府采购法》第七十七条规定的法律责任。</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二、我方</w:t>
      </w:r>
      <w:r>
        <w:rPr>
          <w:rFonts w:hint="eastAsia" w:ascii="黑体" w:hAnsi="黑体" w:eastAsia="黑体" w:cs="黑体"/>
          <w:color w:val="auto"/>
          <w:sz w:val="22"/>
          <w:szCs w:val="22"/>
          <w:highlight w:val="none"/>
          <w:lang w:val="en-US" w:eastAsia="zh-CN"/>
        </w:rPr>
        <w:t>根据</w:t>
      </w:r>
      <w:r>
        <w:rPr>
          <w:rFonts w:hint="eastAsia" w:ascii="黑体" w:hAnsi="黑体" w:eastAsia="黑体" w:cs="黑体"/>
          <w:color w:val="auto"/>
          <w:sz w:val="22"/>
          <w:szCs w:val="22"/>
          <w:highlight w:val="none"/>
        </w:rPr>
        <w:t>竞争性磋商文件</w:t>
      </w:r>
      <w:r>
        <w:rPr>
          <w:rFonts w:hint="eastAsia" w:ascii="黑体" w:hAnsi="黑体" w:eastAsia="黑体" w:cs="黑体"/>
          <w:color w:val="auto"/>
          <w:sz w:val="22"/>
          <w:szCs w:val="22"/>
          <w:highlight w:val="none"/>
          <w:lang w:val="en-US" w:eastAsia="zh-CN"/>
        </w:rPr>
        <w:t>内容</w:t>
      </w:r>
      <w:r>
        <w:rPr>
          <w:rFonts w:hint="eastAsia" w:ascii="黑体" w:hAnsi="黑体" w:eastAsia="黑体" w:cs="黑体"/>
          <w:color w:val="auto"/>
          <w:sz w:val="22"/>
          <w:szCs w:val="22"/>
          <w:highlight w:val="none"/>
        </w:rPr>
        <w:t>，磋商报价为人民币大写</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元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三</w:t>
      </w:r>
      <w:r>
        <w:rPr>
          <w:rFonts w:hint="eastAsia" w:ascii="黑体" w:hAnsi="黑体" w:eastAsia="黑体" w:cs="黑体"/>
          <w:color w:val="auto"/>
          <w:sz w:val="22"/>
          <w:szCs w:val="22"/>
          <w:highlight w:val="none"/>
        </w:rPr>
        <w:t>、我方愿意向贵方提供任何与本项采购有关的数据、情况、样品和技术资料。若贵方需要，我方愿意提供我方作出的一切承诺的证明材料。</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四</w:t>
      </w:r>
      <w:r>
        <w:rPr>
          <w:rFonts w:hint="eastAsia" w:ascii="黑体" w:hAnsi="黑体" w:eastAsia="黑体" w:cs="黑体"/>
          <w:color w:val="auto"/>
          <w:sz w:val="22"/>
          <w:szCs w:val="22"/>
          <w:highlight w:val="none"/>
        </w:rPr>
        <w:t>、我方已仔细阅读了竞争性磋商文件的全部内容，并同意和放弃对竞争性磋商文件不明或误解而询问、质疑和投诉的权利。</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五</w:t>
      </w:r>
      <w:r>
        <w:rPr>
          <w:rFonts w:hint="eastAsia" w:ascii="黑体" w:hAnsi="黑体" w:eastAsia="黑体" w:cs="黑体"/>
          <w:color w:val="auto"/>
          <w:sz w:val="22"/>
          <w:szCs w:val="22"/>
          <w:highlight w:val="none"/>
        </w:rPr>
        <w:t>、我方承诺遵守《中华人民共和国政府采购法》及其实施条例的有关规定，保证在获得成交资格后：</w:t>
      </w:r>
    </w:p>
    <w:p>
      <w:pPr>
        <w:pStyle w:val="17"/>
        <w:spacing w:after="0" w:line="36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r>
        <w:rPr>
          <w:rFonts w:hint="eastAsia" w:ascii="黑体" w:hAnsi="黑体" w:eastAsia="黑体" w:cs="黑体"/>
          <w:color w:val="auto"/>
          <w:sz w:val="22"/>
          <w:szCs w:val="22"/>
          <w:highlight w:val="none"/>
          <w:lang w:eastAsia="zh-CN"/>
        </w:rPr>
        <w:t>。</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六</w:t>
      </w:r>
      <w:r>
        <w:rPr>
          <w:rFonts w:hint="eastAsia" w:ascii="黑体" w:hAnsi="黑体" w:eastAsia="黑体" w:cs="黑体"/>
          <w:color w:val="auto"/>
          <w:sz w:val="22"/>
          <w:szCs w:val="22"/>
          <w:highlight w:val="none"/>
        </w:rPr>
        <w:t xml:space="preserve">、我方的磋商响应文件自磋商之日起计算有效期为 </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天。</w:t>
      </w:r>
    </w:p>
    <w:p>
      <w:pPr>
        <w:pStyle w:val="17"/>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七</w:t>
      </w:r>
      <w:r>
        <w:rPr>
          <w:rFonts w:hint="eastAsia" w:ascii="黑体" w:hAnsi="黑体" w:eastAsia="黑体" w:cs="黑体"/>
          <w:color w:val="auto"/>
          <w:sz w:val="22"/>
          <w:szCs w:val="22"/>
          <w:highlight w:val="none"/>
        </w:rPr>
        <w:t>、有关本项目的所有函电，请按下列地址联系：</w:t>
      </w:r>
    </w:p>
    <w:p>
      <w:pPr>
        <w:pStyle w:val="17"/>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供 应 商：          （填写全称并加盖公章）</w:t>
      </w:r>
    </w:p>
    <w:p>
      <w:pPr>
        <w:pStyle w:val="17"/>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法定代表人或其授权委托人 ：       （签字）</w:t>
      </w:r>
    </w:p>
    <w:p>
      <w:pPr>
        <w:pStyle w:val="17"/>
        <w:spacing w:line="360" w:lineRule="auto"/>
        <w:ind w:firstLine="440" w:firstLineChars="200"/>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通讯地址：</w:t>
      </w:r>
      <w:r>
        <w:rPr>
          <w:rFonts w:hint="eastAsia" w:ascii="黑体" w:hAnsi="黑体" w:eastAsia="黑体" w:cs="黑体"/>
          <w:bCs/>
          <w:color w:val="auto"/>
          <w:sz w:val="22"/>
          <w:szCs w:val="22"/>
          <w:highlight w:val="none"/>
          <w:lang w:val="en-US" w:eastAsia="zh-CN"/>
        </w:rPr>
        <w:t xml:space="preserve">             电话：</w:t>
      </w:r>
    </w:p>
    <w:p>
      <w:pPr>
        <w:pStyle w:val="17"/>
        <w:spacing w:line="360" w:lineRule="auto"/>
        <w:ind w:firstLine="440" w:firstLineChars="200"/>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邮政编码：</w:t>
      </w:r>
      <w:r>
        <w:rPr>
          <w:rFonts w:hint="eastAsia" w:ascii="黑体" w:hAnsi="黑体" w:eastAsia="黑体" w:cs="黑体"/>
          <w:bCs/>
          <w:color w:val="auto"/>
          <w:sz w:val="22"/>
          <w:szCs w:val="22"/>
          <w:highlight w:val="none"/>
          <w:lang w:val="en-US" w:eastAsia="zh-CN"/>
        </w:rPr>
        <w:t xml:space="preserve">             电子邮件：</w:t>
      </w:r>
      <w:bookmarkStart w:id="204" w:name="_Toc7813_WPSOffice_Level1"/>
      <w:bookmarkStart w:id="205" w:name="_Toc24966"/>
      <w:bookmarkStart w:id="206" w:name="_Toc24502_WPSOffice_Level1"/>
      <w:bookmarkStart w:id="207" w:name="_Toc11802"/>
      <w:bookmarkStart w:id="208" w:name="_Toc15332_WPSOffice_Level1"/>
      <w:bookmarkStart w:id="209" w:name="_Toc25249"/>
      <w:bookmarkStart w:id="210" w:name="_Toc9246"/>
      <w:bookmarkStart w:id="211" w:name="_Toc523311247"/>
      <w:bookmarkStart w:id="212" w:name="_Toc13450"/>
    </w:p>
    <w:p>
      <w:pPr>
        <w:pStyle w:val="17"/>
        <w:spacing w:line="360" w:lineRule="auto"/>
        <w:ind w:firstLine="440" w:firstLineChars="200"/>
        <w:rPr>
          <w:rFonts w:hint="eastAsia" w:ascii="黑体" w:hAnsi="黑体" w:eastAsia="黑体" w:cs="黑体"/>
          <w:bCs/>
          <w:color w:val="auto"/>
          <w:sz w:val="22"/>
          <w:szCs w:val="22"/>
          <w:highlight w:val="none"/>
          <w:lang w:val="en-US" w:eastAsia="zh-CN"/>
        </w:rPr>
      </w:pPr>
    </w:p>
    <w:p>
      <w:pPr>
        <w:pStyle w:val="17"/>
        <w:spacing w:line="360" w:lineRule="auto"/>
        <w:ind w:left="0" w:leftChars="0" w:firstLine="0" w:firstLineChars="0"/>
        <w:rPr>
          <w:rFonts w:hint="eastAsia" w:ascii="黑体" w:hAnsi="黑体" w:eastAsia="黑体" w:cs="黑体"/>
          <w:bCs/>
          <w:color w:val="auto"/>
          <w:sz w:val="22"/>
          <w:szCs w:val="22"/>
          <w:highlight w:val="none"/>
          <w:lang w:val="en-US" w:eastAsia="zh-CN"/>
        </w:rPr>
      </w:pPr>
    </w:p>
    <w:p>
      <w:pPr>
        <w:snapToGrid w:val="0"/>
        <w:spacing w:line="360" w:lineRule="auto"/>
        <w:jc w:val="center"/>
        <w:outlineLvl w:val="0"/>
        <w:rPr>
          <w:rFonts w:hint="eastAsia" w:ascii="黑体" w:hAnsi="黑体" w:eastAsia="黑体" w:cs="黑体"/>
          <w:color w:val="auto"/>
          <w:sz w:val="32"/>
          <w:szCs w:val="32"/>
          <w:highlight w:val="none"/>
        </w:rPr>
      </w:pPr>
      <w:r>
        <w:rPr>
          <w:rFonts w:hint="eastAsia" w:ascii="黑体" w:hAnsi="黑体" w:eastAsia="黑体" w:cs="黑体"/>
          <w:b/>
          <w:color w:val="auto"/>
          <w:sz w:val="32"/>
          <w:szCs w:val="32"/>
          <w:highlight w:val="none"/>
        </w:rPr>
        <w:t>第2部分</w:t>
      </w:r>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rPr>
        <w:t xml:space="preserve"> </w:t>
      </w:r>
      <w:r>
        <w:rPr>
          <w:rFonts w:hint="eastAsia" w:ascii="黑体" w:hAnsi="黑体" w:eastAsia="黑体" w:cs="黑体"/>
          <w:b/>
          <w:color w:val="auto"/>
          <w:sz w:val="32"/>
          <w:szCs w:val="32"/>
          <w:highlight w:val="none"/>
          <w:lang w:val="en-US" w:eastAsia="zh-CN"/>
        </w:rPr>
        <w:t>报价</w:t>
      </w:r>
      <w:r>
        <w:rPr>
          <w:rFonts w:hint="eastAsia" w:ascii="黑体" w:hAnsi="黑体" w:eastAsia="黑体" w:cs="黑体"/>
          <w:b/>
          <w:color w:val="auto"/>
          <w:sz w:val="32"/>
          <w:szCs w:val="32"/>
          <w:highlight w:val="none"/>
        </w:rPr>
        <w:t>一览表</w:t>
      </w:r>
      <w:bookmarkEnd w:id="204"/>
      <w:bookmarkEnd w:id="205"/>
      <w:bookmarkEnd w:id="206"/>
      <w:bookmarkEnd w:id="207"/>
      <w:bookmarkEnd w:id="208"/>
      <w:bookmarkEnd w:id="209"/>
      <w:bookmarkEnd w:id="210"/>
      <w:bookmarkEnd w:id="211"/>
      <w:bookmarkEnd w:id="212"/>
    </w:p>
    <w:p>
      <w:pPr>
        <w:spacing w:line="480" w:lineRule="exact"/>
        <w:jc w:val="center"/>
        <w:outlineLvl w:val="0"/>
        <w:rPr>
          <w:rFonts w:hint="eastAsia" w:ascii="黑体" w:hAnsi="黑体" w:eastAsia="黑体" w:cs="黑体"/>
          <w:b/>
          <w:bCs/>
          <w:color w:val="auto"/>
          <w:sz w:val="32"/>
          <w:szCs w:val="32"/>
          <w:highlight w:val="none"/>
        </w:rPr>
      </w:pPr>
      <w:bookmarkStart w:id="213" w:name="_Toc9918"/>
      <w:bookmarkStart w:id="214" w:name="_Toc4645"/>
      <w:bookmarkStart w:id="215" w:name="_Toc25228"/>
      <w:bookmarkStart w:id="216" w:name="_Toc21541"/>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28"/>
          <w:szCs w:val="28"/>
          <w:highlight w:val="none"/>
          <w:lang w:val="en-US" w:eastAsia="zh-CN"/>
        </w:rPr>
        <w:t xml:space="preserve"> </w:t>
      </w:r>
      <w:r>
        <w:rPr>
          <w:rFonts w:hint="eastAsia" w:ascii="黑体" w:hAnsi="黑体" w:eastAsia="黑体" w:cs="黑体"/>
          <w:b/>
          <w:bCs/>
          <w:color w:val="auto"/>
          <w:sz w:val="28"/>
          <w:szCs w:val="28"/>
          <w:highlight w:val="none"/>
        </w:rPr>
        <w:t>2.1</w:t>
      </w:r>
      <w:r>
        <w:rPr>
          <w:rFonts w:hint="eastAsia" w:ascii="黑体" w:hAnsi="黑体" w:eastAsia="黑体" w:cs="黑体"/>
          <w:b/>
          <w:bCs/>
          <w:color w:val="auto"/>
          <w:sz w:val="28"/>
          <w:szCs w:val="28"/>
          <w:highlight w:val="none"/>
          <w:lang w:val="en-US" w:eastAsia="zh-CN"/>
        </w:rPr>
        <w:t>报价</w:t>
      </w:r>
      <w:r>
        <w:rPr>
          <w:rFonts w:hint="eastAsia" w:ascii="黑体" w:hAnsi="黑体" w:eastAsia="黑体" w:cs="黑体"/>
          <w:b/>
          <w:bCs/>
          <w:color w:val="auto"/>
          <w:sz w:val="28"/>
          <w:szCs w:val="28"/>
          <w:highlight w:val="none"/>
        </w:rPr>
        <w:t>一览表（首次）</w:t>
      </w:r>
      <w:bookmarkEnd w:id="213"/>
      <w:bookmarkEnd w:id="214"/>
      <w:bookmarkEnd w:id="215"/>
      <w:bookmarkEnd w:id="216"/>
    </w:p>
    <w:p>
      <w:pPr>
        <w:tabs>
          <w:tab w:val="right" w:leader="dot" w:pos="9022"/>
        </w:tabs>
        <w:autoSpaceDE w:val="0"/>
        <w:autoSpaceDN w:val="0"/>
        <w:adjustRightInd w:val="0"/>
        <w:spacing w:line="400" w:lineRule="exact"/>
        <w:ind w:firstLine="330" w:firstLineChars="150"/>
        <w:jc w:val="left"/>
        <w:rPr>
          <w:rFonts w:hint="eastAsia" w:ascii="黑体" w:hAnsi="黑体" w:eastAsia="黑体" w:cs="黑体"/>
          <w:bCs/>
          <w:caps/>
          <w:color w:val="auto"/>
          <w:sz w:val="22"/>
          <w:szCs w:val="22"/>
          <w:highlight w:val="none"/>
          <w:lang w:val="en-US" w:eastAsia="zh-CN"/>
        </w:rPr>
      </w:pPr>
      <w:r>
        <w:rPr>
          <w:rFonts w:hint="eastAsia" w:ascii="黑体" w:hAnsi="黑体" w:eastAsia="黑体" w:cs="黑体"/>
          <w:bCs/>
          <w:caps/>
          <w:color w:val="auto"/>
          <w:sz w:val="22"/>
          <w:szCs w:val="22"/>
          <w:highlight w:val="none"/>
          <w:lang w:val="en-US" w:eastAsia="zh-CN"/>
        </w:rPr>
        <w:t>项目名称：</w:t>
      </w:r>
    </w:p>
    <w:p>
      <w:pPr>
        <w:tabs>
          <w:tab w:val="right" w:leader="dot" w:pos="9022"/>
        </w:tabs>
        <w:autoSpaceDE w:val="0"/>
        <w:autoSpaceDN w:val="0"/>
        <w:adjustRightInd w:val="0"/>
        <w:spacing w:line="400" w:lineRule="exact"/>
        <w:ind w:firstLine="330" w:firstLineChars="150"/>
        <w:jc w:val="left"/>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lang w:val="en-US" w:eastAsia="zh-CN"/>
        </w:rPr>
        <w:t>项目编号：</w:t>
      </w:r>
      <w:r>
        <w:rPr>
          <w:rFonts w:hint="eastAsia" w:ascii="黑体" w:hAnsi="黑体" w:eastAsia="黑体" w:cs="黑体"/>
          <w:bCs/>
          <w:caps/>
          <w:color w:val="auto"/>
          <w:sz w:val="22"/>
          <w:szCs w:val="22"/>
          <w:highlight w:val="none"/>
        </w:rPr>
        <w:t xml:space="preserve">                                      </w:t>
      </w:r>
      <w:r>
        <w:rPr>
          <w:rFonts w:hint="eastAsia" w:ascii="黑体" w:hAnsi="黑体" w:eastAsia="黑体" w:cs="黑体"/>
          <w:bCs/>
          <w:caps/>
          <w:color w:val="auto"/>
          <w:sz w:val="22"/>
          <w:szCs w:val="22"/>
          <w:highlight w:val="none"/>
          <w:lang w:val="en-US" w:eastAsia="zh-CN"/>
        </w:rPr>
        <w:t xml:space="preserve">     </w:t>
      </w:r>
      <w:r>
        <w:rPr>
          <w:rFonts w:hint="eastAsia" w:ascii="黑体" w:hAnsi="黑体" w:eastAsia="黑体" w:cs="黑体"/>
          <w:bCs/>
          <w:caps/>
          <w:color w:val="auto"/>
          <w:sz w:val="22"/>
          <w:szCs w:val="22"/>
          <w:highlight w:val="none"/>
        </w:rPr>
        <w:t>人民币：元</w:t>
      </w:r>
    </w:p>
    <w:tbl>
      <w:tblPr>
        <w:tblStyle w:val="29"/>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lang w:eastAsia="zh-CN"/>
              </w:rPr>
            </w:pPr>
            <w:r>
              <w:rPr>
                <w:rFonts w:hint="eastAsia" w:ascii="黑体" w:hAnsi="黑体" w:eastAsia="黑体" w:cs="黑体"/>
                <w:bCs/>
                <w:caps/>
                <w:color w:val="auto"/>
                <w:sz w:val="22"/>
                <w:szCs w:val="22"/>
                <w:highlight w:val="none"/>
                <w:lang w:val="en-US" w:eastAsia="zh-CN"/>
              </w:rPr>
              <w:t>供应商名称：</w:t>
            </w:r>
          </w:p>
        </w:tc>
        <w:tc>
          <w:tcPr>
            <w:tcW w:w="6885" w:type="dxa"/>
            <w:noWrap/>
            <w:vAlign w:val="center"/>
          </w:tcPr>
          <w:p>
            <w:pPr>
              <w:tabs>
                <w:tab w:val="right" w:leader="dot" w:pos="9022"/>
              </w:tabs>
              <w:spacing w:line="400" w:lineRule="exact"/>
              <w:jc w:val="center"/>
              <w:rPr>
                <w:rFonts w:hint="eastAsia" w:ascii="黑体" w:hAnsi="黑体" w:eastAsia="黑体" w:cs="黑体"/>
                <w:color w:val="auto"/>
                <w:sz w:val="22"/>
                <w:szCs w:val="22"/>
                <w:highlight w:val="none"/>
              </w:rPr>
            </w:pPr>
            <w:r>
              <w:rPr>
                <w:rFonts w:hint="eastAsia" w:ascii="黑体" w:hAnsi="黑体" w:eastAsia="黑体" w:cs="黑体"/>
                <w:bCs/>
                <w:caps/>
                <w:color w:val="auto"/>
                <w:sz w:val="22"/>
                <w:szCs w:val="22"/>
                <w:highlight w:val="none"/>
              </w:rPr>
              <w:t>（</w:t>
            </w:r>
            <w:r>
              <w:rPr>
                <w:rFonts w:hint="eastAsia" w:ascii="黑体" w:hAnsi="黑体" w:eastAsia="黑体" w:cs="黑体"/>
                <w:bCs/>
                <w:caps/>
                <w:color w:val="auto"/>
                <w:sz w:val="22"/>
                <w:szCs w:val="22"/>
                <w:highlight w:val="none"/>
                <w:lang w:val="en-US" w:eastAsia="zh-CN"/>
              </w:rPr>
              <w:t>盖章</w:t>
            </w:r>
            <w:r>
              <w:rPr>
                <w:rFonts w:hint="eastAsia" w:ascii="黑体" w:hAnsi="黑体" w:eastAsia="黑体" w:cs="黑体"/>
                <w:bCs/>
                <w:cap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rPr>
              <w:t>总报价小写：</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rPr>
              <w:t>总报价大写：</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lang w:val="en-US" w:eastAsia="zh-CN"/>
              </w:rPr>
            </w:pPr>
            <w:r>
              <w:rPr>
                <w:rFonts w:hint="eastAsia" w:ascii="黑体" w:hAnsi="黑体" w:eastAsia="黑体" w:cs="黑体"/>
                <w:bCs/>
                <w:caps/>
                <w:color w:val="auto"/>
                <w:sz w:val="22"/>
                <w:szCs w:val="22"/>
                <w:highlight w:val="none"/>
                <w:lang w:val="en-US" w:eastAsia="zh-CN"/>
              </w:rPr>
              <w:t>完成时间：</w:t>
            </w:r>
          </w:p>
        </w:tc>
        <w:tc>
          <w:tcPr>
            <w:tcW w:w="6885" w:type="dxa"/>
            <w:noWrap/>
            <w:vAlign w:val="center"/>
          </w:tcPr>
          <w:p>
            <w:pPr>
              <w:tabs>
                <w:tab w:val="right" w:leader="dot" w:pos="9022"/>
              </w:tabs>
              <w:spacing w:line="400" w:lineRule="exact"/>
              <w:jc w:val="center"/>
              <w:rPr>
                <w:rFonts w:hint="eastAsia" w:ascii="黑体" w:hAnsi="黑体" w:eastAsia="黑体" w:cs="黑体"/>
                <w:b/>
                <w:bCs/>
                <w:caps/>
                <w:color w:val="auto"/>
                <w:sz w:val="22"/>
                <w:szCs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法定代表人或其授权委托人</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日  期</w:t>
            </w:r>
          </w:p>
        </w:tc>
        <w:tc>
          <w:tcPr>
            <w:tcW w:w="6885" w:type="dxa"/>
            <w:noWrap/>
            <w:vAlign w:val="center"/>
          </w:tcPr>
          <w:p>
            <w:pPr>
              <w:tabs>
                <w:tab w:val="right" w:leader="dot" w:pos="9022"/>
              </w:tabs>
              <w:spacing w:line="400" w:lineRule="exact"/>
              <w:ind w:firstLine="2640" w:firstLineChars="1200"/>
              <w:jc w:val="both"/>
              <w:rPr>
                <w:rFonts w:hint="eastAsia" w:ascii="黑体" w:hAnsi="黑体" w:eastAsia="黑体" w:cs="黑体"/>
                <w:bCs/>
                <w:caps/>
                <w:color w:val="auto"/>
                <w:sz w:val="22"/>
                <w:szCs w:val="22"/>
                <w:highlight w:val="none"/>
                <w:lang w:eastAsia="zh-CN"/>
              </w:rPr>
            </w:pPr>
            <w:r>
              <w:rPr>
                <w:rFonts w:hint="eastAsia" w:ascii="黑体" w:hAnsi="黑体" w:eastAsia="黑体" w:cs="黑体"/>
                <w:bCs/>
                <w:caps/>
                <w:color w:val="auto"/>
                <w:sz w:val="22"/>
                <w:szCs w:val="22"/>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099" w:type="dxa"/>
            <w:gridSpan w:val="2"/>
            <w:noWrap/>
            <w:vAlign w:val="center"/>
          </w:tcPr>
          <w:p>
            <w:pPr>
              <w:tabs>
                <w:tab w:val="right" w:leader="dot" w:pos="9022"/>
              </w:tabs>
              <w:spacing w:line="400" w:lineRule="exact"/>
              <w:rPr>
                <w:rFonts w:hint="eastAsia" w:ascii="黑体" w:hAnsi="黑体" w:eastAsia="黑体" w:cs="黑体"/>
                <w:bCs/>
                <w:caps/>
                <w:color w:val="auto"/>
                <w:sz w:val="22"/>
                <w:szCs w:val="22"/>
                <w:highlight w:val="none"/>
              </w:rPr>
            </w:pPr>
            <w:r>
              <w:rPr>
                <w:rFonts w:hint="eastAsia" w:ascii="黑体" w:hAnsi="黑体" w:eastAsia="黑体" w:cs="黑体"/>
                <w:color w:val="auto"/>
                <w:sz w:val="22"/>
                <w:szCs w:val="22"/>
                <w:highlight w:val="none"/>
              </w:rPr>
              <w:t>报价声明：总报价中已包含完成本项目所需的一切费用，包括供应商完成本项目所需的一切费用，即实施本项目所需的人工费、后期服务费、税费、利润、采购代理服务费及其他所有费用的总和。在工作中出现任何遗漏，均由成交供应商免费提供，采购人将不再支付任何费用。</w:t>
            </w:r>
          </w:p>
        </w:tc>
      </w:tr>
    </w:tbl>
    <w:p>
      <w:pPr>
        <w:spacing w:line="440" w:lineRule="exact"/>
        <w:rPr>
          <w:rFonts w:hint="eastAsia" w:ascii="黑体" w:hAnsi="黑体" w:eastAsia="黑体" w:cs="黑体"/>
          <w:b/>
          <w:color w:val="auto"/>
          <w:sz w:val="22"/>
          <w:szCs w:val="22"/>
          <w:highlight w:val="none"/>
        </w:rPr>
      </w:pPr>
    </w:p>
    <w:p>
      <w:pPr>
        <w:spacing w:line="440" w:lineRule="exact"/>
        <w:rPr>
          <w:rFonts w:hint="eastAsia" w:ascii="黑体" w:hAnsi="黑体" w:eastAsia="黑体" w:cs="黑体"/>
          <w:b/>
          <w:color w:val="auto"/>
          <w:sz w:val="22"/>
          <w:szCs w:val="22"/>
          <w:highlight w:val="none"/>
        </w:rPr>
      </w:pPr>
    </w:p>
    <w:p>
      <w:pPr>
        <w:spacing w:line="440" w:lineRule="exact"/>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特别提示：</w:t>
      </w:r>
    </w:p>
    <w:p>
      <w:pPr>
        <w:spacing w:line="440" w:lineRule="exact"/>
        <w:ind w:left="1" w:firstLine="440" w:firstLineChars="200"/>
        <w:outlineLvl w:val="0"/>
        <w:rPr>
          <w:rFonts w:hint="eastAsia" w:ascii="黑体" w:hAnsi="黑体" w:eastAsia="黑体" w:cs="黑体"/>
          <w:color w:val="auto"/>
          <w:sz w:val="22"/>
          <w:szCs w:val="22"/>
          <w:highlight w:val="none"/>
        </w:rPr>
      </w:pPr>
      <w:bookmarkStart w:id="217" w:name="_Toc14344"/>
      <w:bookmarkStart w:id="218" w:name="_Toc12155"/>
      <w:bookmarkStart w:id="219" w:name="_Toc20194"/>
      <w:bookmarkStart w:id="220" w:name="_Toc28119"/>
      <w:bookmarkStart w:id="221" w:name="_Toc18293"/>
      <w:r>
        <w:rPr>
          <w:rFonts w:hint="eastAsia" w:ascii="黑体" w:hAnsi="黑体" w:eastAsia="黑体" w:cs="黑体"/>
          <w:color w:val="auto"/>
          <w:sz w:val="22"/>
          <w:szCs w:val="22"/>
          <w:highlight w:val="none"/>
        </w:rPr>
        <w:t>1、磋商供应商除按要求编制、装订磋商响应文件正、副本外，还须提供本项目</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原件（含磋商响应文件电子版</w:t>
      </w:r>
      <w:r>
        <w:rPr>
          <w:rFonts w:hint="eastAsia" w:ascii="黑体" w:hAnsi="黑体" w:eastAsia="黑体" w:cs="黑体"/>
          <w:color w:val="auto"/>
          <w:sz w:val="22"/>
          <w:szCs w:val="22"/>
          <w:highlight w:val="none"/>
          <w:lang w:eastAsia="zh-CN"/>
        </w:rPr>
        <w:t>U盘1份</w:t>
      </w:r>
      <w:r>
        <w:rPr>
          <w:rFonts w:hint="eastAsia" w:ascii="黑体" w:hAnsi="黑体" w:eastAsia="黑体" w:cs="黑体"/>
          <w:color w:val="auto"/>
          <w:sz w:val="22"/>
          <w:szCs w:val="22"/>
          <w:highlight w:val="none"/>
        </w:rPr>
        <w:t>）及并进行单独封装密封（参见格式），</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大会签到时，与磋商响应文件一并递交。</w:t>
      </w:r>
      <w:bookmarkEnd w:id="217"/>
      <w:bookmarkEnd w:id="218"/>
      <w:bookmarkEnd w:id="219"/>
      <w:bookmarkEnd w:id="220"/>
      <w:bookmarkEnd w:id="221"/>
    </w:p>
    <w:p>
      <w:pPr>
        <w:spacing w:line="440" w:lineRule="exact"/>
        <w:ind w:firstLine="440" w:firstLineChars="20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与明细表不一致时，以</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为准；</w:t>
      </w:r>
      <w:r>
        <w:rPr>
          <w:rFonts w:hint="eastAsia" w:ascii="黑体" w:hAnsi="黑体" w:eastAsia="黑体" w:cs="黑体"/>
          <w:color w:val="auto"/>
          <w:sz w:val="22"/>
          <w:szCs w:val="22"/>
          <w:highlight w:val="none"/>
          <w:lang w:val="en-US" w:eastAsia="zh-CN"/>
        </w:rPr>
        <w:t>不接受零元报价。</w:t>
      </w:r>
    </w:p>
    <w:p>
      <w:pPr>
        <w:spacing w:line="440" w:lineRule="exact"/>
        <w:ind w:firstLine="440" w:firstLineChars="200"/>
        <w:rPr>
          <w:rFonts w:hint="eastAsia" w:ascii="黑体" w:hAnsi="黑体" w:eastAsia="黑体" w:cs="黑体"/>
        </w:rPr>
      </w:pPr>
      <w:r>
        <w:rPr>
          <w:rFonts w:hint="eastAsia" w:ascii="黑体" w:hAnsi="黑体" w:eastAsia="黑体" w:cs="黑体"/>
          <w:color w:val="auto"/>
          <w:sz w:val="22"/>
          <w:szCs w:val="22"/>
          <w:highlight w:val="none"/>
        </w:rPr>
        <w:t>3、响应文件的大写金额和小写金额不一致的，以大写金额为准；对不同文字文本响应文件的解释发生异议的，以中文文本为准。</w:t>
      </w:r>
      <w:bookmarkStart w:id="222" w:name="_Toc1657"/>
      <w:bookmarkStart w:id="223" w:name="_Toc25743"/>
      <w:bookmarkStart w:id="224" w:name="_Toc25534"/>
      <w:bookmarkStart w:id="225" w:name="_Toc30010"/>
    </w:p>
    <w:p>
      <w:pPr>
        <w:spacing w:line="480" w:lineRule="exact"/>
        <w:jc w:val="center"/>
        <w:outlineLvl w:val="0"/>
        <w:rPr>
          <w:rFonts w:hint="eastAsia" w:ascii="黑体" w:hAnsi="黑体" w:eastAsia="黑体" w:cs="黑体"/>
          <w:b/>
          <w:bCs/>
          <w:color w:val="auto"/>
          <w:sz w:val="32"/>
          <w:szCs w:val="32"/>
          <w:highlight w:val="none"/>
        </w:rPr>
      </w:pPr>
    </w:p>
    <w:p>
      <w:pPr>
        <w:spacing w:line="480" w:lineRule="exact"/>
        <w:jc w:val="center"/>
        <w:outlineLvl w:val="0"/>
        <w:rPr>
          <w:rFonts w:hint="eastAsia" w:ascii="黑体" w:hAnsi="黑体" w:eastAsia="黑体" w:cs="黑体"/>
          <w:b/>
          <w:bCs/>
          <w:color w:val="auto"/>
          <w:sz w:val="32"/>
          <w:szCs w:val="32"/>
          <w:highlight w:val="none"/>
        </w:rPr>
      </w:pPr>
    </w:p>
    <w:p>
      <w:pPr>
        <w:spacing w:line="480" w:lineRule="exact"/>
        <w:jc w:val="center"/>
        <w:outlineLvl w:val="0"/>
        <w:rPr>
          <w:rFonts w:hint="eastAsia" w:ascii="黑体" w:hAnsi="黑体" w:eastAsia="黑体" w:cs="黑体"/>
          <w:color w:val="auto"/>
          <w:sz w:val="22"/>
          <w:szCs w:val="28"/>
          <w:highlight w:val="none"/>
        </w:rPr>
      </w:pPr>
      <w:r>
        <w:rPr>
          <w:rFonts w:hint="eastAsia" w:ascii="黑体" w:hAnsi="黑体" w:eastAsia="黑体" w:cs="黑体"/>
          <w:b/>
          <w:bCs/>
          <w:color w:val="auto"/>
          <w:sz w:val="32"/>
          <w:szCs w:val="32"/>
          <w:highlight w:val="none"/>
        </w:rPr>
        <w:t>2.2分项报价表</w:t>
      </w:r>
      <w:bookmarkEnd w:id="222"/>
      <w:bookmarkEnd w:id="223"/>
      <w:bookmarkEnd w:id="224"/>
      <w:bookmarkEnd w:id="225"/>
    </w:p>
    <w:p>
      <w:pPr>
        <w:spacing w:line="360" w:lineRule="auto"/>
        <w:ind w:firstLine="440" w:firstLineChars="200"/>
        <w:jc w:val="left"/>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说明：</w:t>
      </w:r>
    </w:p>
    <w:p>
      <w:pPr>
        <w:spacing w:line="360" w:lineRule="auto"/>
        <w:ind w:firstLine="440" w:firstLineChars="200"/>
        <w:jc w:val="left"/>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lang w:val="en-US" w:eastAsia="zh-CN"/>
        </w:rPr>
        <w:t>1.</w:t>
      </w:r>
      <w:r>
        <w:rPr>
          <w:rFonts w:hint="eastAsia" w:ascii="黑体" w:hAnsi="黑体" w:eastAsia="黑体" w:cs="黑体"/>
          <w:bCs/>
          <w:caps/>
          <w:color w:val="auto"/>
          <w:sz w:val="22"/>
          <w:szCs w:val="22"/>
          <w:highlight w:val="none"/>
        </w:rPr>
        <w:t>根据本项目磋商文件</w:t>
      </w:r>
      <w:r>
        <w:rPr>
          <w:rFonts w:hint="eastAsia" w:ascii="黑体" w:hAnsi="黑体" w:eastAsia="黑体" w:cs="黑体"/>
          <w:bCs/>
          <w:caps/>
          <w:color w:val="auto"/>
          <w:sz w:val="22"/>
          <w:szCs w:val="22"/>
          <w:highlight w:val="none"/>
          <w:lang w:eastAsia="zh-CN"/>
        </w:rPr>
        <w:t>“</w:t>
      </w:r>
      <w:r>
        <w:rPr>
          <w:rFonts w:hint="eastAsia" w:ascii="黑体" w:hAnsi="黑体" w:eastAsia="黑体" w:cs="黑体"/>
          <w:bCs/>
          <w:caps/>
          <w:color w:val="auto"/>
          <w:sz w:val="22"/>
          <w:szCs w:val="22"/>
          <w:highlight w:val="none"/>
          <w:lang w:val="en-US" w:eastAsia="zh-CN"/>
        </w:rPr>
        <w:t>第四章采购内容及具体要求”</w:t>
      </w:r>
      <w:r>
        <w:rPr>
          <w:rFonts w:hint="eastAsia" w:ascii="黑体" w:hAnsi="黑体" w:eastAsia="黑体" w:cs="黑体"/>
          <w:bCs/>
          <w:caps/>
          <w:color w:val="auto"/>
          <w:sz w:val="22"/>
          <w:szCs w:val="22"/>
          <w:highlight w:val="none"/>
        </w:rPr>
        <w:t>编制详细的分项报价</w:t>
      </w:r>
      <w:r>
        <w:rPr>
          <w:rFonts w:hint="eastAsia" w:ascii="黑体" w:hAnsi="黑体" w:eastAsia="黑体" w:cs="黑体"/>
          <w:bCs/>
          <w:caps/>
          <w:color w:val="auto"/>
          <w:sz w:val="22"/>
          <w:szCs w:val="22"/>
          <w:highlight w:val="none"/>
          <w:lang w:eastAsia="zh-CN"/>
        </w:rPr>
        <w:t>，</w:t>
      </w:r>
      <w:r>
        <w:rPr>
          <w:rFonts w:hint="eastAsia" w:ascii="黑体" w:hAnsi="黑体" w:eastAsia="黑体" w:cs="黑体"/>
          <w:bCs/>
          <w:caps/>
          <w:color w:val="auto"/>
          <w:sz w:val="22"/>
          <w:szCs w:val="22"/>
          <w:highlight w:val="none"/>
          <w:lang w:val="en-US" w:eastAsia="zh-CN"/>
        </w:rPr>
        <w:t>格式自拟</w:t>
      </w:r>
      <w:r>
        <w:rPr>
          <w:rFonts w:hint="eastAsia" w:ascii="黑体" w:hAnsi="黑体" w:eastAsia="黑体" w:cs="黑体"/>
          <w:bCs/>
          <w:caps/>
          <w:color w:val="auto"/>
          <w:sz w:val="22"/>
          <w:szCs w:val="22"/>
          <w:highlight w:val="none"/>
        </w:rPr>
        <w:t>。（供应商应列明提供相关</w:t>
      </w:r>
      <w:r>
        <w:rPr>
          <w:rFonts w:hint="eastAsia" w:ascii="黑体" w:hAnsi="黑体" w:eastAsia="黑体" w:cs="黑体"/>
          <w:bCs/>
          <w:caps/>
          <w:color w:val="auto"/>
          <w:sz w:val="22"/>
          <w:szCs w:val="22"/>
          <w:highlight w:val="none"/>
          <w:lang w:val="en-US" w:eastAsia="zh-CN"/>
        </w:rPr>
        <w:t>服务</w:t>
      </w:r>
      <w:r>
        <w:rPr>
          <w:rFonts w:hint="eastAsia" w:ascii="黑体" w:hAnsi="黑体" w:eastAsia="黑体" w:cs="黑体"/>
          <w:bCs/>
          <w:caps/>
          <w:color w:val="auto"/>
          <w:sz w:val="22"/>
          <w:szCs w:val="22"/>
          <w:highlight w:val="none"/>
        </w:rPr>
        <w:t>价格明细</w:t>
      </w:r>
      <w:r>
        <w:rPr>
          <w:rFonts w:hint="eastAsia" w:ascii="黑体" w:hAnsi="黑体" w:eastAsia="黑体" w:cs="黑体"/>
          <w:bCs/>
          <w:caps/>
          <w:color w:val="auto"/>
          <w:sz w:val="22"/>
          <w:szCs w:val="22"/>
          <w:highlight w:val="none"/>
          <w:lang w:val="en-US" w:eastAsia="zh-CN"/>
        </w:rPr>
        <w:t>等</w:t>
      </w:r>
      <w:r>
        <w:rPr>
          <w:rFonts w:hint="eastAsia" w:ascii="黑体" w:hAnsi="黑体" w:eastAsia="黑体" w:cs="黑体"/>
          <w:bCs/>
          <w:caps/>
          <w:color w:val="auto"/>
          <w:sz w:val="22"/>
          <w:szCs w:val="22"/>
          <w:highlight w:val="none"/>
        </w:rPr>
        <w:t>）</w:t>
      </w:r>
    </w:p>
    <w:p>
      <w:pPr>
        <w:pStyle w:val="14"/>
        <w:rPr>
          <w:rFonts w:hint="eastAsia" w:ascii="黑体" w:hAnsi="黑体" w:eastAsia="黑体" w:cs="黑体"/>
          <w:bCs/>
          <w:caps/>
          <w:color w:val="auto"/>
          <w:kern w:val="2"/>
          <w:sz w:val="22"/>
          <w:szCs w:val="22"/>
          <w:highlight w:val="none"/>
          <w:lang w:val="en-US" w:eastAsia="zh-CN" w:bidi="ar-SA"/>
        </w:rPr>
      </w:pP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Cs/>
          <w:caps/>
          <w:color w:val="auto"/>
          <w:kern w:val="2"/>
          <w:sz w:val="22"/>
          <w:szCs w:val="22"/>
          <w:highlight w:val="none"/>
          <w:lang w:val="en-US" w:eastAsia="zh-CN" w:bidi="ar-SA"/>
        </w:rPr>
        <w:t xml:space="preserve">   2.最终磋商报价后，各供应商提供的分项报价表中各项报价执行同比例下浮原则。</w:t>
      </w:r>
    </w:p>
    <w:p>
      <w:pPr>
        <w:pStyle w:val="43"/>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黑体" w:hAnsi="黑体" w:eastAsia="黑体" w:cs="黑体"/>
          <w:b/>
          <w:bCs/>
          <w:color w:val="auto"/>
          <w:sz w:val="21"/>
          <w:szCs w:val="21"/>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3"/>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spacing w:line="360" w:lineRule="auto"/>
        <w:ind w:firstLine="3960" w:firstLineChars="18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lang w:val="zh-CN"/>
        </w:rPr>
        <w:t>（公章）</w:t>
      </w:r>
    </w:p>
    <w:p>
      <w:pPr>
        <w:spacing w:line="360" w:lineRule="auto"/>
        <w:ind w:firstLine="3080" w:firstLineChars="1400"/>
        <w:rPr>
          <w:rFonts w:hint="eastAsia" w:ascii="黑体" w:hAnsi="黑体" w:eastAsia="黑体" w:cs="黑体"/>
          <w:color w:val="auto"/>
          <w:sz w:val="22"/>
          <w:szCs w:val="22"/>
          <w:highlight w:val="none"/>
          <w:lang w:val="zh-CN"/>
        </w:rPr>
      </w:pPr>
    </w:p>
    <w:p>
      <w:pPr>
        <w:spacing w:line="360" w:lineRule="auto"/>
        <w:ind w:firstLine="3960" w:firstLineChars="1800"/>
        <w:rPr>
          <w:rFonts w:hint="eastAsia" w:ascii="黑体" w:hAnsi="黑体" w:eastAsia="黑体" w:cs="黑体"/>
          <w:color w:val="auto"/>
          <w:sz w:val="22"/>
          <w:szCs w:val="22"/>
          <w:highlight w:val="none"/>
          <w:lang w:val="zh-CN"/>
        </w:rPr>
      </w:pPr>
      <w:r>
        <w:rPr>
          <w:rFonts w:hint="eastAsia" w:ascii="黑体" w:hAnsi="黑体" w:eastAsia="黑体" w:cs="黑体"/>
          <w:bCs/>
          <w:caps/>
          <w:color w:val="auto"/>
          <w:sz w:val="22"/>
          <w:szCs w:val="22"/>
          <w:highlight w:val="none"/>
        </w:rPr>
        <w:t>法定代表人或其授权委托人</w:t>
      </w: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lang w:val="zh-CN"/>
        </w:rPr>
        <w:t>（签字）</w:t>
      </w:r>
    </w:p>
    <w:p>
      <w:pPr>
        <w:spacing w:line="360" w:lineRule="auto"/>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 xml:space="preserve"> </w:t>
      </w:r>
    </w:p>
    <w:p>
      <w:pPr>
        <w:spacing w:line="420" w:lineRule="exact"/>
        <w:ind w:firstLine="5060" w:firstLineChars="230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日期：</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w:t>
      </w:r>
    </w:p>
    <w:p>
      <w:pPr>
        <w:spacing w:line="480" w:lineRule="exact"/>
        <w:jc w:val="both"/>
        <w:outlineLvl w:val="1"/>
        <w:rPr>
          <w:rFonts w:hint="eastAsia" w:ascii="黑体" w:hAnsi="黑体" w:eastAsia="黑体" w:cs="黑体"/>
          <w:b/>
          <w:bCs/>
          <w:color w:val="auto"/>
          <w:sz w:val="30"/>
          <w:szCs w:val="30"/>
          <w:highlight w:val="none"/>
        </w:rPr>
      </w:pPr>
    </w:p>
    <w:p>
      <w:pPr>
        <w:pStyle w:val="2"/>
        <w:rPr>
          <w:rFonts w:hint="eastAsia" w:ascii="黑体" w:hAnsi="黑体" w:eastAsia="黑体" w:cs="黑体"/>
        </w:rPr>
      </w:pPr>
    </w:p>
    <w:p>
      <w:pPr>
        <w:spacing w:line="480" w:lineRule="exact"/>
        <w:jc w:val="center"/>
        <w:outlineLvl w:val="1"/>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2.</w:t>
      </w:r>
      <w:r>
        <w:rPr>
          <w:rFonts w:hint="eastAsia" w:ascii="黑体" w:hAnsi="黑体" w:eastAsia="黑体" w:cs="黑体"/>
          <w:b/>
          <w:bCs/>
          <w:color w:val="auto"/>
          <w:sz w:val="30"/>
          <w:szCs w:val="30"/>
          <w:highlight w:val="none"/>
          <w:lang w:val="en-US" w:eastAsia="zh-CN"/>
        </w:rPr>
        <w:t>3</w:t>
      </w:r>
      <w:r>
        <w:rPr>
          <w:rFonts w:hint="eastAsia" w:ascii="黑体" w:hAnsi="黑体" w:eastAsia="黑体" w:cs="黑体"/>
          <w:b/>
          <w:bCs/>
          <w:color w:val="auto"/>
          <w:sz w:val="30"/>
          <w:szCs w:val="30"/>
          <w:highlight w:val="none"/>
        </w:rPr>
        <w:t>二次报价表</w:t>
      </w:r>
    </w:p>
    <w:p>
      <w:pPr>
        <w:rPr>
          <w:rFonts w:hint="eastAsia" w:ascii="黑体" w:hAnsi="黑体" w:eastAsia="黑体" w:cs="黑体"/>
        </w:rPr>
      </w:pPr>
    </w:p>
    <w:p>
      <w:pPr>
        <w:tabs>
          <w:tab w:val="right" w:leader="dot" w:pos="9022"/>
        </w:tabs>
        <w:autoSpaceDE w:val="0"/>
        <w:autoSpaceDN w:val="0"/>
        <w:adjustRightInd w:val="0"/>
        <w:spacing w:line="400" w:lineRule="exact"/>
        <w:ind w:firstLine="330" w:firstLineChars="150"/>
        <w:jc w:val="left"/>
        <w:rPr>
          <w:rFonts w:hint="eastAsia" w:ascii="黑体" w:hAnsi="黑体" w:eastAsia="黑体" w:cs="黑体"/>
          <w:bCs/>
          <w:caps/>
          <w:color w:val="auto"/>
          <w:sz w:val="22"/>
          <w:szCs w:val="22"/>
          <w:highlight w:val="none"/>
          <w:lang w:val="en-US" w:eastAsia="zh-CN"/>
        </w:rPr>
      </w:pPr>
      <w:r>
        <w:rPr>
          <w:rFonts w:hint="eastAsia" w:ascii="黑体" w:hAnsi="黑体" w:eastAsia="黑体" w:cs="黑体"/>
          <w:bCs/>
          <w:caps/>
          <w:color w:val="auto"/>
          <w:sz w:val="22"/>
          <w:szCs w:val="22"/>
          <w:highlight w:val="none"/>
          <w:lang w:val="en-US" w:eastAsia="zh-CN"/>
        </w:rPr>
        <w:t>项目名称：</w:t>
      </w:r>
    </w:p>
    <w:p>
      <w:pPr>
        <w:tabs>
          <w:tab w:val="right" w:leader="dot" w:pos="9022"/>
        </w:tabs>
        <w:autoSpaceDE w:val="0"/>
        <w:autoSpaceDN w:val="0"/>
        <w:adjustRightInd w:val="0"/>
        <w:spacing w:line="400" w:lineRule="exact"/>
        <w:ind w:firstLine="330" w:firstLineChars="150"/>
        <w:jc w:val="left"/>
        <w:rPr>
          <w:rFonts w:hint="eastAsia" w:ascii="黑体" w:hAnsi="黑体" w:eastAsia="黑体" w:cs="黑体"/>
        </w:rPr>
      </w:pPr>
      <w:r>
        <w:rPr>
          <w:rFonts w:hint="eastAsia" w:ascii="黑体" w:hAnsi="黑体" w:eastAsia="黑体" w:cs="黑体"/>
          <w:bCs/>
          <w:caps/>
          <w:color w:val="auto"/>
          <w:sz w:val="22"/>
          <w:szCs w:val="22"/>
          <w:highlight w:val="none"/>
          <w:lang w:val="en-US" w:eastAsia="zh-CN"/>
        </w:rPr>
        <w:t>项目编号：</w:t>
      </w:r>
      <w:r>
        <w:rPr>
          <w:rFonts w:hint="eastAsia" w:ascii="黑体" w:hAnsi="黑体" w:eastAsia="黑体" w:cs="黑体"/>
          <w:bCs/>
          <w:caps/>
          <w:color w:val="auto"/>
          <w:sz w:val="22"/>
          <w:szCs w:val="22"/>
          <w:highlight w:val="none"/>
        </w:rPr>
        <w:t xml:space="preserve">                                      </w:t>
      </w:r>
      <w:r>
        <w:rPr>
          <w:rFonts w:hint="eastAsia" w:ascii="黑体" w:hAnsi="黑体" w:eastAsia="黑体" w:cs="黑体"/>
          <w:bCs/>
          <w:caps/>
          <w:color w:val="auto"/>
          <w:sz w:val="22"/>
          <w:szCs w:val="22"/>
          <w:highlight w:val="none"/>
          <w:lang w:val="en-US" w:eastAsia="zh-CN"/>
        </w:rPr>
        <w:t xml:space="preserve">     </w:t>
      </w:r>
      <w:r>
        <w:rPr>
          <w:rFonts w:hint="eastAsia" w:ascii="黑体" w:hAnsi="黑体" w:eastAsia="黑体" w:cs="黑体"/>
          <w:bCs/>
          <w:caps/>
          <w:color w:val="auto"/>
          <w:sz w:val="22"/>
          <w:szCs w:val="22"/>
          <w:highlight w:val="none"/>
        </w:rPr>
        <w:t>人民币：元</w:t>
      </w:r>
    </w:p>
    <w:tbl>
      <w:tblPr>
        <w:tblStyle w:val="29"/>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lang w:eastAsia="zh-CN"/>
              </w:rPr>
            </w:pPr>
            <w:r>
              <w:rPr>
                <w:rFonts w:hint="eastAsia" w:ascii="黑体" w:hAnsi="黑体" w:eastAsia="黑体" w:cs="黑体"/>
                <w:bCs/>
                <w:caps/>
                <w:color w:val="auto"/>
                <w:sz w:val="22"/>
                <w:szCs w:val="22"/>
                <w:highlight w:val="none"/>
                <w:lang w:val="en-US" w:eastAsia="zh-CN"/>
              </w:rPr>
              <w:t>供应商名称：</w:t>
            </w:r>
          </w:p>
        </w:tc>
        <w:tc>
          <w:tcPr>
            <w:tcW w:w="6885" w:type="dxa"/>
            <w:noWrap/>
            <w:vAlign w:val="center"/>
          </w:tcPr>
          <w:p>
            <w:pPr>
              <w:tabs>
                <w:tab w:val="right" w:leader="dot" w:pos="9022"/>
              </w:tabs>
              <w:spacing w:line="400" w:lineRule="exact"/>
              <w:jc w:val="center"/>
              <w:rPr>
                <w:rFonts w:hint="eastAsia" w:ascii="黑体" w:hAnsi="黑体" w:eastAsia="黑体" w:cs="黑体"/>
                <w:color w:val="auto"/>
                <w:sz w:val="22"/>
                <w:szCs w:val="22"/>
                <w:highlight w:val="none"/>
              </w:rPr>
            </w:pPr>
            <w:r>
              <w:rPr>
                <w:rFonts w:hint="eastAsia" w:ascii="黑体" w:hAnsi="黑体" w:eastAsia="黑体" w:cs="黑体"/>
                <w:bCs/>
                <w:caps/>
                <w:color w:val="auto"/>
                <w:sz w:val="22"/>
                <w:szCs w:val="22"/>
                <w:highlight w:val="none"/>
              </w:rPr>
              <w:t>（</w:t>
            </w:r>
            <w:r>
              <w:rPr>
                <w:rFonts w:hint="eastAsia" w:ascii="黑体" w:hAnsi="黑体" w:eastAsia="黑体" w:cs="黑体"/>
                <w:bCs/>
                <w:caps/>
                <w:color w:val="auto"/>
                <w:sz w:val="22"/>
                <w:szCs w:val="22"/>
                <w:highlight w:val="none"/>
                <w:lang w:val="en-US" w:eastAsia="zh-CN"/>
              </w:rPr>
              <w:t>盖章</w:t>
            </w:r>
            <w:r>
              <w:rPr>
                <w:rFonts w:hint="eastAsia" w:ascii="黑体" w:hAnsi="黑体" w:eastAsia="黑体" w:cs="黑体"/>
                <w:bCs/>
                <w:cap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rPr>
              <w:t>总报价小写：</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rPr>
              <w:t>总报价大写：</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lang w:val="en-US" w:eastAsia="zh-CN"/>
              </w:rPr>
            </w:pPr>
            <w:r>
              <w:rPr>
                <w:rFonts w:hint="eastAsia" w:ascii="黑体" w:hAnsi="黑体" w:eastAsia="黑体" w:cs="黑体"/>
                <w:bCs/>
                <w:caps/>
                <w:color w:val="auto"/>
                <w:sz w:val="22"/>
                <w:szCs w:val="22"/>
                <w:highlight w:val="none"/>
                <w:lang w:val="en-US" w:eastAsia="zh-CN"/>
              </w:rPr>
              <w:t>完成时间：</w:t>
            </w:r>
          </w:p>
        </w:tc>
        <w:tc>
          <w:tcPr>
            <w:tcW w:w="6885" w:type="dxa"/>
            <w:noWrap/>
            <w:vAlign w:val="center"/>
          </w:tcPr>
          <w:p>
            <w:pPr>
              <w:tabs>
                <w:tab w:val="right" w:leader="dot" w:pos="9022"/>
              </w:tabs>
              <w:spacing w:line="400" w:lineRule="exact"/>
              <w:jc w:val="center"/>
              <w:rPr>
                <w:rFonts w:hint="eastAsia" w:ascii="黑体" w:hAnsi="黑体" w:eastAsia="黑体" w:cs="黑体"/>
                <w:b/>
                <w:bCs/>
                <w:caps/>
                <w:color w:val="auto"/>
                <w:sz w:val="22"/>
                <w:szCs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法定代表人或其授权委托人</w:t>
            </w:r>
          </w:p>
        </w:tc>
        <w:tc>
          <w:tcPr>
            <w:tcW w:w="6885"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214" w:type="dxa"/>
            <w:noWrap/>
            <w:vAlign w:val="center"/>
          </w:tcPr>
          <w:p>
            <w:pPr>
              <w:tabs>
                <w:tab w:val="right" w:leader="dot" w:pos="9022"/>
              </w:tabs>
              <w:spacing w:line="400" w:lineRule="exact"/>
              <w:jc w:val="center"/>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日  期</w:t>
            </w:r>
          </w:p>
        </w:tc>
        <w:tc>
          <w:tcPr>
            <w:tcW w:w="6885" w:type="dxa"/>
            <w:noWrap/>
            <w:vAlign w:val="center"/>
          </w:tcPr>
          <w:p>
            <w:pPr>
              <w:tabs>
                <w:tab w:val="right" w:leader="dot" w:pos="9022"/>
              </w:tabs>
              <w:spacing w:line="400" w:lineRule="exact"/>
              <w:ind w:firstLine="2640" w:firstLineChars="1200"/>
              <w:jc w:val="both"/>
              <w:rPr>
                <w:rFonts w:hint="eastAsia" w:ascii="黑体" w:hAnsi="黑体" w:eastAsia="黑体" w:cs="黑体"/>
                <w:bCs/>
                <w:caps/>
                <w:color w:val="auto"/>
                <w:sz w:val="22"/>
                <w:szCs w:val="22"/>
                <w:highlight w:val="none"/>
                <w:lang w:eastAsia="zh-CN"/>
              </w:rPr>
            </w:pPr>
            <w:r>
              <w:rPr>
                <w:rFonts w:hint="eastAsia" w:ascii="黑体" w:hAnsi="黑体" w:eastAsia="黑体" w:cs="黑体"/>
                <w:bCs/>
                <w:caps/>
                <w:color w:val="auto"/>
                <w:sz w:val="22"/>
                <w:szCs w:val="22"/>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099" w:type="dxa"/>
            <w:gridSpan w:val="2"/>
            <w:noWrap/>
            <w:vAlign w:val="center"/>
          </w:tcPr>
          <w:p>
            <w:pPr>
              <w:tabs>
                <w:tab w:val="right" w:leader="dot" w:pos="9022"/>
              </w:tabs>
              <w:spacing w:line="400" w:lineRule="exact"/>
              <w:rPr>
                <w:rFonts w:hint="eastAsia" w:ascii="黑体" w:hAnsi="黑体" w:eastAsia="黑体" w:cs="黑体"/>
                <w:bCs/>
                <w:caps/>
                <w:color w:val="auto"/>
                <w:sz w:val="22"/>
                <w:szCs w:val="22"/>
                <w:highlight w:val="none"/>
              </w:rPr>
            </w:pPr>
            <w:r>
              <w:rPr>
                <w:rFonts w:hint="eastAsia" w:ascii="黑体" w:hAnsi="黑体" w:eastAsia="黑体" w:cs="黑体"/>
                <w:color w:val="auto"/>
                <w:sz w:val="22"/>
                <w:szCs w:val="22"/>
                <w:highlight w:val="none"/>
              </w:rPr>
              <w:t>报价声明：总报价中已包含完成本项目所需的一切费用，包括供应商完成本项目所需的一切费用，即实施本项目所需的人工费、后期服务费、税费、利润、采购代理服务费及其他所有费用的总和。在工作中出现任何遗漏，均由成交供应商免费提供，采购人将不再支付任何费用。</w:t>
            </w:r>
          </w:p>
        </w:tc>
      </w:tr>
    </w:tbl>
    <w:p>
      <w:pPr>
        <w:pStyle w:val="74"/>
        <w:ind w:firstLine="0" w:firstLineChars="0"/>
        <w:rPr>
          <w:rFonts w:hint="eastAsia" w:ascii="黑体" w:hAnsi="黑体" w:eastAsia="黑体" w:cs="黑体"/>
          <w:b/>
          <w:bCs/>
          <w:color w:val="auto"/>
          <w:kern w:val="2"/>
          <w:sz w:val="24"/>
          <w:szCs w:val="24"/>
          <w:highlight w:val="none"/>
        </w:rPr>
      </w:pPr>
    </w:p>
    <w:p>
      <w:pPr>
        <w:pStyle w:val="74"/>
        <w:ind w:firstLine="0" w:firstLineChars="0"/>
        <w:rPr>
          <w:rFonts w:hint="eastAsia" w:ascii="黑体" w:hAnsi="黑体" w:eastAsia="黑体" w:cs="黑体"/>
          <w:b/>
          <w:bCs/>
          <w:color w:val="auto"/>
          <w:kern w:val="2"/>
          <w:sz w:val="24"/>
          <w:szCs w:val="24"/>
          <w:highlight w:val="none"/>
        </w:rPr>
      </w:pPr>
      <w:r>
        <w:rPr>
          <w:rFonts w:hint="eastAsia" w:ascii="黑体" w:hAnsi="黑体" w:eastAsia="黑体" w:cs="黑体"/>
          <w:b/>
          <w:bCs/>
          <w:color w:val="auto"/>
          <w:kern w:val="2"/>
          <w:sz w:val="24"/>
          <w:szCs w:val="24"/>
          <w:highlight w:val="none"/>
        </w:rPr>
        <w:t>特别提示：</w:t>
      </w:r>
    </w:p>
    <w:p>
      <w:pPr>
        <w:tabs>
          <w:tab w:val="right" w:leader="dot" w:pos="9022"/>
        </w:tabs>
        <w:spacing w:line="400" w:lineRule="exact"/>
        <w:ind w:firstLine="723" w:firstLineChars="300"/>
        <w:rPr>
          <w:rFonts w:hint="eastAsia" w:ascii="黑体" w:hAnsi="黑体" w:eastAsia="黑体" w:cs="黑体"/>
          <w:color w:val="auto"/>
          <w:sz w:val="24"/>
          <w:szCs w:val="24"/>
          <w:highlight w:val="none"/>
        </w:rPr>
      </w:pPr>
      <w:r>
        <w:rPr>
          <w:rFonts w:hint="eastAsia" w:ascii="黑体" w:hAnsi="黑体" w:eastAsia="黑体" w:cs="黑体"/>
          <w:b/>
          <w:bCs/>
          <w:color w:val="auto"/>
          <w:sz w:val="24"/>
          <w:szCs w:val="24"/>
          <w:highlight w:val="none"/>
        </w:rPr>
        <w:t>此表为本项目磋商二次报价表，供应商须自行打印，并在相应位置加盖公章，参与磋商会议时携带，并在现场进行二次报价</w:t>
      </w:r>
      <w:r>
        <w:rPr>
          <w:rFonts w:hint="eastAsia" w:ascii="黑体" w:hAnsi="黑体" w:eastAsia="黑体" w:cs="黑体"/>
          <w:color w:val="auto"/>
          <w:sz w:val="24"/>
          <w:szCs w:val="24"/>
          <w:highlight w:val="none"/>
        </w:rPr>
        <w:t>。</w:t>
      </w:r>
    </w:p>
    <w:p>
      <w:pPr>
        <w:pStyle w:val="28"/>
        <w:ind w:left="240" w:firstLine="0" w:firstLineChars="0"/>
        <w:rPr>
          <w:rFonts w:hint="eastAsia" w:ascii="黑体" w:hAnsi="黑体" w:eastAsia="黑体" w:cs="黑体"/>
          <w:color w:val="auto"/>
          <w:sz w:val="20"/>
          <w:szCs w:val="20"/>
          <w:highlight w:val="none"/>
        </w:rPr>
      </w:pPr>
    </w:p>
    <w:p>
      <w:pPr>
        <w:pStyle w:val="2"/>
        <w:ind w:firstLine="480"/>
        <w:rPr>
          <w:rFonts w:hint="eastAsia" w:ascii="黑体" w:hAnsi="黑体" w:eastAsia="黑体" w:cs="黑体"/>
          <w:color w:val="auto"/>
          <w:sz w:val="28"/>
          <w:szCs w:val="28"/>
          <w:highlight w:val="none"/>
        </w:rPr>
      </w:pPr>
    </w:p>
    <w:p>
      <w:pPr>
        <w:rPr>
          <w:rFonts w:hint="eastAsia" w:ascii="黑体" w:hAnsi="黑体" w:eastAsia="黑体" w:cs="黑体"/>
          <w:color w:val="auto"/>
          <w:sz w:val="28"/>
          <w:szCs w:val="28"/>
          <w:highlight w:val="none"/>
        </w:rPr>
      </w:pPr>
    </w:p>
    <w:p>
      <w:pPr>
        <w:spacing w:line="360" w:lineRule="auto"/>
        <w:jc w:val="both"/>
        <w:outlineLvl w:val="0"/>
        <w:rPr>
          <w:rFonts w:hint="eastAsia" w:ascii="黑体" w:hAnsi="黑体" w:eastAsia="黑体" w:cs="黑体"/>
          <w:b/>
          <w:bCs/>
          <w:color w:val="auto"/>
          <w:sz w:val="32"/>
          <w:szCs w:val="32"/>
          <w:highlight w:val="none"/>
        </w:rPr>
      </w:pPr>
      <w:bookmarkStart w:id="226" w:name="_Toc25254"/>
      <w:bookmarkStart w:id="227" w:name="_Toc3938"/>
      <w:bookmarkStart w:id="228" w:name="_Toc13409_WPSOffice_Level1"/>
      <w:bookmarkStart w:id="229" w:name="_Toc2458_WPSOffice_Level1"/>
      <w:bookmarkStart w:id="230" w:name="_Toc23280"/>
      <w:bookmarkStart w:id="231" w:name="_Toc7578"/>
      <w:bookmarkStart w:id="232" w:name="_Toc21532"/>
      <w:bookmarkStart w:id="233" w:name="_Toc3990_WPSOffice_Level1"/>
    </w:p>
    <w:p>
      <w:pPr>
        <w:pStyle w:val="2"/>
        <w:rPr>
          <w:rFonts w:hint="eastAsia" w:ascii="黑体" w:hAnsi="黑体" w:eastAsia="黑体" w:cs="黑体"/>
          <w:b/>
          <w:bCs/>
          <w:color w:val="auto"/>
          <w:sz w:val="32"/>
          <w:szCs w:val="32"/>
          <w:highlight w:val="none"/>
        </w:rPr>
      </w:pPr>
    </w:p>
    <w:p>
      <w:pPr>
        <w:rPr>
          <w:rFonts w:hint="eastAsia" w:ascii="黑体" w:hAnsi="黑体" w:eastAsia="黑体" w:cs="黑体"/>
        </w:rPr>
      </w:pPr>
    </w:p>
    <w:p>
      <w:pPr>
        <w:pStyle w:val="6"/>
        <w:spacing w:afterLines="100" w:line="240" w:lineRule="auto"/>
        <w:jc w:val="center"/>
        <w:rPr>
          <w:rFonts w:hint="eastAsia" w:ascii="黑体" w:hAnsi="黑体" w:eastAsia="黑体" w:cs="黑体"/>
          <w:b/>
          <w:color w:val="auto"/>
          <w:sz w:val="28"/>
          <w:szCs w:val="28"/>
          <w:highlight w:val="none"/>
          <w:lang w:val="en-US" w:eastAsia="zh-CN"/>
        </w:rPr>
      </w:pPr>
      <w:r>
        <w:rPr>
          <w:rFonts w:hint="eastAsia" w:ascii="黑体" w:hAnsi="黑体" w:eastAsia="黑体" w:cs="黑体"/>
          <w:b/>
          <w:color w:val="auto"/>
          <w:sz w:val="28"/>
          <w:szCs w:val="28"/>
          <w:highlight w:val="none"/>
          <w:lang w:val="en-US" w:eastAsia="zh-CN"/>
        </w:rPr>
        <w:t>2.4</w:t>
      </w:r>
      <w:r>
        <w:rPr>
          <w:rFonts w:hint="eastAsia" w:ascii="黑体" w:hAnsi="黑体" w:eastAsia="黑体" w:cs="黑体"/>
          <w:b/>
          <w:color w:val="auto"/>
          <w:sz w:val="28"/>
          <w:szCs w:val="28"/>
          <w:highlight w:val="none"/>
        </w:rPr>
        <w:t>提供可享受政府采购优惠政策的</w:t>
      </w:r>
      <w:r>
        <w:rPr>
          <w:rFonts w:hint="eastAsia" w:ascii="黑体" w:hAnsi="黑体" w:eastAsia="黑体" w:cs="黑体"/>
          <w:b/>
          <w:color w:val="auto"/>
          <w:sz w:val="28"/>
          <w:szCs w:val="28"/>
          <w:highlight w:val="none"/>
          <w:lang w:val="en-US" w:eastAsia="zh-CN"/>
        </w:rPr>
        <w:t>相应声明</w:t>
      </w:r>
    </w:p>
    <w:p>
      <w:pPr>
        <w:pStyle w:val="2"/>
        <w:ind w:left="0" w:leftChars="0" w:firstLine="0" w:firstLineChars="0"/>
        <w:jc w:val="center"/>
        <w:rPr>
          <w:rFonts w:hint="eastAsia" w:ascii="黑体" w:hAnsi="黑体" w:eastAsia="黑体" w:cs="黑体"/>
          <w:b/>
          <w:bCs/>
          <w:sz w:val="24"/>
          <w:szCs w:val="32"/>
          <w:lang w:val="en-US" w:eastAsia="zh-CN"/>
        </w:rPr>
      </w:pPr>
      <w:r>
        <w:rPr>
          <w:rFonts w:hint="eastAsia" w:ascii="黑体" w:hAnsi="黑体" w:eastAsia="黑体" w:cs="黑体"/>
          <w:b/>
          <w:bCs/>
          <w:sz w:val="24"/>
          <w:szCs w:val="32"/>
          <w:lang w:val="en-US" w:eastAsia="zh-CN"/>
        </w:rPr>
        <w:t>格式一 ：中小企业声明函</w:t>
      </w:r>
    </w:p>
    <w:p>
      <w:pPr>
        <w:pStyle w:val="2"/>
        <w:rPr>
          <w:rFonts w:hint="eastAsia" w:ascii="黑体" w:hAnsi="黑体" w:eastAsia="黑体" w:cs="黑体"/>
          <w:lang w:val="en-US" w:eastAsia="zh-CN"/>
        </w:rPr>
      </w:pP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lang w:val="en-US" w:eastAsia="zh-CN"/>
        </w:rPr>
      </w:pPr>
      <w:r>
        <w:rPr>
          <w:rFonts w:hint="eastAsia" w:ascii="黑体" w:hAnsi="黑体" w:eastAsia="黑体" w:cs="黑体"/>
          <w:bCs/>
          <w:color w:val="auto"/>
          <w:kern w:val="0"/>
          <w:sz w:val="22"/>
          <w:szCs w:val="22"/>
          <w:highlight w:val="none"/>
          <w:shd w:val="clear" w:color="auto" w:fill="FFFFFF"/>
          <w:lang w:val="en-US" w:eastAsia="zh-CN"/>
        </w:rPr>
        <w:t>本公司</w:t>
      </w:r>
      <w:r>
        <w:rPr>
          <w:rFonts w:hint="eastAsia" w:ascii="黑体" w:hAnsi="黑体" w:eastAsia="黑体" w:cs="黑体"/>
          <w:bCs/>
          <w:color w:val="auto"/>
          <w:kern w:val="0"/>
          <w:sz w:val="22"/>
          <w:szCs w:val="22"/>
          <w:highlight w:val="none"/>
          <w:u w:val="single"/>
          <w:shd w:val="clear" w:color="auto" w:fill="FFFFFF"/>
          <w:lang w:val="en-US" w:eastAsia="zh-CN"/>
        </w:rPr>
        <w:t xml:space="preserve">     </w:t>
      </w:r>
      <w:r>
        <w:rPr>
          <w:rFonts w:hint="eastAsia" w:ascii="黑体" w:hAnsi="黑体" w:eastAsia="黑体" w:cs="黑体"/>
          <w:bCs/>
          <w:color w:val="auto"/>
          <w:kern w:val="0"/>
          <w:sz w:val="22"/>
          <w:szCs w:val="22"/>
          <w:highlight w:val="none"/>
          <w:shd w:val="clear" w:color="auto" w:fill="FFFFFF"/>
          <w:lang w:val="en-US" w:eastAsia="zh-CN"/>
        </w:rPr>
        <w:t>郑重声明，根据《政府采购促进中小企业发展管理办法》（财库﹝2020﹞46 号）的规定，本公司</w:t>
      </w:r>
      <w:r>
        <w:rPr>
          <w:rFonts w:hint="eastAsia" w:ascii="黑体" w:hAnsi="黑体" w:eastAsia="黑体" w:cs="黑体"/>
          <w:bCs/>
          <w:color w:val="auto"/>
          <w:kern w:val="0"/>
          <w:sz w:val="22"/>
          <w:szCs w:val="22"/>
          <w:highlight w:val="none"/>
          <w:u w:val="single"/>
          <w:shd w:val="clear" w:color="auto" w:fill="FFFFFF"/>
          <w:lang w:val="en-US" w:eastAsia="zh-CN"/>
        </w:rPr>
        <w:t xml:space="preserve">     </w:t>
      </w:r>
      <w:r>
        <w:rPr>
          <w:rFonts w:hint="eastAsia" w:ascii="黑体" w:hAnsi="黑体" w:eastAsia="黑体" w:cs="黑体"/>
          <w:bCs/>
          <w:color w:val="auto"/>
          <w:kern w:val="0"/>
          <w:sz w:val="22"/>
          <w:szCs w:val="22"/>
          <w:highlight w:val="none"/>
          <w:shd w:val="clear" w:color="auto" w:fill="FFFFFF"/>
          <w:lang w:val="en-US" w:eastAsia="zh-CN"/>
        </w:rPr>
        <w:t>参加</w:t>
      </w:r>
      <w:r>
        <w:rPr>
          <w:rFonts w:hint="eastAsia" w:ascii="黑体" w:hAnsi="黑体" w:eastAsia="黑体" w:cs="黑体"/>
          <w:bCs/>
          <w:color w:val="auto"/>
          <w:kern w:val="0"/>
          <w:sz w:val="22"/>
          <w:szCs w:val="22"/>
          <w:highlight w:val="none"/>
          <w:u w:val="single"/>
          <w:shd w:val="clear" w:color="auto" w:fill="FFFFFF"/>
          <w:lang w:val="en-US" w:eastAsia="zh-CN"/>
        </w:rPr>
        <w:t>（单位名称）</w:t>
      </w:r>
      <w:r>
        <w:rPr>
          <w:rFonts w:hint="eastAsia" w:ascii="黑体" w:hAnsi="黑体" w:eastAsia="黑体" w:cs="黑体"/>
          <w:bCs/>
          <w:color w:val="auto"/>
          <w:kern w:val="0"/>
          <w:sz w:val="22"/>
          <w:szCs w:val="22"/>
          <w:highlight w:val="none"/>
          <w:shd w:val="clear" w:color="auto" w:fill="FFFFFF"/>
          <w:lang w:val="en-US" w:eastAsia="zh-CN"/>
        </w:rPr>
        <w:t>的</w:t>
      </w:r>
      <w:r>
        <w:rPr>
          <w:rFonts w:hint="eastAsia" w:ascii="黑体" w:hAnsi="黑体" w:eastAsia="黑体" w:cs="黑体"/>
          <w:bCs/>
          <w:color w:val="auto"/>
          <w:kern w:val="0"/>
          <w:sz w:val="22"/>
          <w:szCs w:val="22"/>
          <w:highlight w:val="none"/>
          <w:u w:val="single"/>
          <w:shd w:val="clear" w:color="auto" w:fill="FFFFFF"/>
          <w:lang w:val="en-US" w:eastAsia="zh-CN"/>
        </w:rPr>
        <w:t>（项目名称）</w:t>
      </w:r>
      <w:r>
        <w:rPr>
          <w:rFonts w:hint="eastAsia" w:ascii="黑体" w:hAnsi="黑体" w:eastAsia="黑体" w:cs="黑体"/>
          <w:bCs/>
          <w:color w:val="auto"/>
          <w:kern w:val="0"/>
          <w:sz w:val="22"/>
          <w:szCs w:val="22"/>
          <w:highlight w:val="none"/>
          <w:shd w:val="clear" w:color="auto" w:fill="FFFFFF"/>
          <w:lang w:val="en-US" w:eastAsia="zh-CN"/>
        </w:rPr>
        <w:t>采购活动，服务全部由符合政策要求的中小企业承接）。具体情况如下：</w:t>
      </w:r>
    </w:p>
    <w:p>
      <w:pPr>
        <w:pStyle w:val="2"/>
        <w:spacing w:line="360" w:lineRule="auto"/>
        <w:ind w:left="0" w:leftChars="0" w:firstLine="440" w:firstLineChars="200"/>
        <w:rPr>
          <w:rFonts w:hint="eastAsia" w:ascii="黑体" w:hAnsi="黑体" w:eastAsia="黑体" w:cs="黑体"/>
          <w:lang w:val="en-US" w:eastAsia="zh-CN"/>
        </w:rPr>
      </w:pPr>
      <w:r>
        <w:rPr>
          <w:rFonts w:hint="eastAsia" w:ascii="黑体" w:hAnsi="黑体" w:eastAsia="黑体" w:cs="黑体"/>
          <w:bCs/>
          <w:color w:val="auto"/>
          <w:kern w:val="0"/>
          <w:sz w:val="22"/>
          <w:szCs w:val="22"/>
          <w:highlight w:val="none"/>
          <w:u w:val="single"/>
          <w:shd w:val="clear" w:color="auto" w:fill="FFFFFF"/>
          <w:lang w:val="en-US" w:eastAsia="zh-CN" w:bidi="ar-SA"/>
        </w:rPr>
        <w:t>（采购标的）</w:t>
      </w:r>
      <w:r>
        <w:rPr>
          <w:rFonts w:hint="eastAsia" w:ascii="黑体" w:hAnsi="黑体" w:eastAsia="黑体" w:cs="黑体"/>
          <w:bCs/>
          <w:color w:val="auto"/>
          <w:kern w:val="0"/>
          <w:sz w:val="22"/>
          <w:szCs w:val="22"/>
          <w:highlight w:val="none"/>
          <w:shd w:val="clear" w:color="auto" w:fill="FFFFFF"/>
          <w:lang w:val="en-US" w:eastAsia="zh-CN" w:bidi="ar-SA"/>
        </w:rPr>
        <w:t>，属于</w:t>
      </w:r>
      <w:r>
        <w:rPr>
          <w:rFonts w:hint="eastAsia" w:ascii="黑体" w:hAnsi="黑体" w:eastAsia="黑体" w:cs="黑体"/>
          <w:bCs/>
          <w:color w:val="auto"/>
          <w:kern w:val="0"/>
          <w:sz w:val="22"/>
          <w:szCs w:val="22"/>
          <w:highlight w:val="none"/>
          <w:u w:val="single"/>
          <w:shd w:val="clear" w:color="auto" w:fill="FFFFFF"/>
          <w:lang w:val="en-US" w:eastAsia="zh-CN" w:bidi="ar-SA"/>
        </w:rPr>
        <w:t>（采购文件中明确的所属行业）</w:t>
      </w:r>
      <w:r>
        <w:rPr>
          <w:rFonts w:hint="eastAsia" w:ascii="黑体" w:hAnsi="黑体" w:eastAsia="黑体" w:cs="黑体"/>
          <w:bCs/>
          <w:color w:val="auto"/>
          <w:kern w:val="0"/>
          <w:sz w:val="22"/>
          <w:szCs w:val="22"/>
          <w:highlight w:val="none"/>
          <w:shd w:val="clear" w:color="auto" w:fill="FFFFFF"/>
          <w:lang w:val="en-US" w:eastAsia="zh-CN" w:bidi="ar-SA"/>
        </w:rPr>
        <w:t>；承接企业为</w:t>
      </w:r>
      <w:r>
        <w:rPr>
          <w:rFonts w:hint="eastAsia" w:ascii="黑体" w:hAnsi="黑体" w:eastAsia="黑体" w:cs="黑体"/>
          <w:bCs/>
          <w:color w:val="auto"/>
          <w:kern w:val="0"/>
          <w:sz w:val="22"/>
          <w:szCs w:val="22"/>
          <w:highlight w:val="none"/>
          <w:u w:val="single"/>
          <w:shd w:val="clear" w:color="auto" w:fill="FFFFFF"/>
          <w:lang w:val="en-US" w:eastAsia="zh-CN" w:bidi="ar-SA"/>
        </w:rPr>
        <w:t>（企业名称）</w:t>
      </w:r>
      <w:r>
        <w:rPr>
          <w:rFonts w:hint="eastAsia" w:ascii="黑体" w:hAnsi="黑体" w:eastAsia="黑体" w:cs="黑体"/>
          <w:bCs/>
          <w:color w:val="auto"/>
          <w:kern w:val="0"/>
          <w:sz w:val="22"/>
          <w:szCs w:val="22"/>
          <w:highlight w:val="none"/>
          <w:shd w:val="clear" w:color="auto" w:fill="FFFFFF"/>
          <w:lang w:val="en-US" w:eastAsia="zh-CN" w:bidi="ar-SA"/>
        </w:rPr>
        <w:t>，从业人员</w:t>
      </w:r>
      <w:r>
        <w:rPr>
          <w:rFonts w:hint="eastAsia" w:ascii="黑体" w:hAnsi="黑体" w:eastAsia="黑体" w:cs="黑体"/>
          <w:bCs/>
          <w:color w:val="auto"/>
          <w:kern w:val="0"/>
          <w:sz w:val="22"/>
          <w:szCs w:val="22"/>
          <w:highlight w:val="none"/>
          <w:u w:val="single"/>
          <w:shd w:val="clear" w:color="auto" w:fill="FFFFFF"/>
          <w:lang w:val="en-US" w:eastAsia="zh-CN" w:bidi="ar-SA"/>
        </w:rPr>
        <w:t xml:space="preserve"> </w:t>
      </w:r>
      <w:r>
        <w:rPr>
          <w:rFonts w:hint="eastAsia" w:ascii="黑体" w:hAnsi="黑体" w:eastAsia="黑体" w:cs="黑体"/>
          <w:bCs/>
          <w:color w:val="auto"/>
          <w:kern w:val="0"/>
          <w:sz w:val="22"/>
          <w:szCs w:val="22"/>
          <w:highlight w:val="none"/>
          <w:u w:val="single"/>
          <w:shd w:val="clear" w:color="auto" w:fill="FFFFFF"/>
          <w:lang w:val="en-US" w:eastAsia="zh-CN" w:bidi="ar-SA"/>
        </w:rPr>
        <w:tab/>
      </w:r>
      <w:r>
        <w:rPr>
          <w:rFonts w:hint="eastAsia" w:ascii="黑体" w:hAnsi="黑体" w:eastAsia="黑体" w:cs="黑体"/>
          <w:bCs/>
          <w:color w:val="auto"/>
          <w:kern w:val="0"/>
          <w:sz w:val="22"/>
          <w:szCs w:val="22"/>
          <w:highlight w:val="none"/>
          <w:shd w:val="clear" w:color="auto" w:fill="FFFFFF"/>
          <w:lang w:val="en-US" w:eastAsia="zh-CN" w:bidi="ar-SA"/>
        </w:rPr>
        <w:t>人，营业收入为</w:t>
      </w:r>
      <w:r>
        <w:rPr>
          <w:rFonts w:hint="eastAsia" w:ascii="黑体" w:hAnsi="黑体" w:eastAsia="黑体" w:cs="黑体"/>
          <w:bCs/>
          <w:color w:val="auto"/>
          <w:kern w:val="0"/>
          <w:sz w:val="22"/>
          <w:szCs w:val="22"/>
          <w:highlight w:val="none"/>
          <w:u w:val="single"/>
          <w:shd w:val="clear" w:color="auto" w:fill="FFFFFF"/>
          <w:lang w:val="en-US" w:eastAsia="zh-CN" w:bidi="ar-SA"/>
        </w:rPr>
        <w:t xml:space="preserve"> </w:t>
      </w:r>
      <w:r>
        <w:rPr>
          <w:rFonts w:hint="eastAsia" w:ascii="黑体" w:hAnsi="黑体" w:eastAsia="黑体" w:cs="黑体"/>
          <w:bCs/>
          <w:color w:val="auto"/>
          <w:kern w:val="0"/>
          <w:sz w:val="22"/>
          <w:szCs w:val="22"/>
          <w:highlight w:val="none"/>
          <w:u w:val="single"/>
          <w:shd w:val="clear" w:color="auto" w:fill="FFFFFF"/>
          <w:lang w:val="en-US" w:eastAsia="zh-CN" w:bidi="ar-SA"/>
        </w:rPr>
        <w:tab/>
      </w:r>
      <w:r>
        <w:rPr>
          <w:rFonts w:hint="eastAsia" w:ascii="黑体" w:hAnsi="黑体" w:eastAsia="黑体" w:cs="黑体"/>
          <w:bCs/>
          <w:color w:val="auto"/>
          <w:kern w:val="0"/>
          <w:sz w:val="22"/>
          <w:szCs w:val="22"/>
          <w:highlight w:val="none"/>
          <w:u w:val="single"/>
          <w:shd w:val="clear" w:color="auto" w:fill="FFFFFF"/>
          <w:lang w:val="en-US" w:eastAsia="zh-CN" w:bidi="ar-SA"/>
        </w:rPr>
        <w:t xml:space="preserve">  </w:t>
      </w:r>
      <w:r>
        <w:rPr>
          <w:rFonts w:hint="eastAsia" w:ascii="黑体" w:hAnsi="黑体" w:eastAsia="黑体" w:cs="黑体"/>
          <w:bCs/>
          <w:color w:val="auto"/>
          <w:kern w:val="0"/>
          <w:sz w:val="22"/>
          <w:szCs w:val="22"/>
          <w:highlight w:val="none"/>
          <w:shd w:val="clear" w:color="auto" w:fill="FFFFFF"/>
          <w:lang w:val="en-US" w:eastAsia="zh-CN" w:bidi="ar-SA"/>
        </w:rPr>
        <w:t>万元，资产总额为</w:t>
      </w:r>
      <w:r>
        <w:rPr>
          <w:rFonts w:hint="eastAsia" w:ascii="黑体" w:hAnsi="黑体" w:eastAsia="黑体" w:cs="黑体"/>
          <w:bCs/>
          <w:color w:val="auto"/>
          <w:kern w:val="0"/>
          <w:sz w:val="22"/>
          <w:szCs w:val="22"/>
          <w:highlight w:val="none"/>
          <w:u w:val="single"/>
          <w:shd w:val="clear" w:color="auto" w:fill="FFFFFF"/>
          <w:lang w:val="en-US" w:eastAsia="zh-CN" w:bidi="ar-SA"/>
        </w:rPr>
        <w:t xml:space="preserve"> </w:t>
      </w:r>
      <w:r>
        <w:rPr>
          <w:rFonts w:hint="eastAsia" w:ascii="黑体" w:hAnsi="黑体" w:eastAsia="黑体" w:cs="黑体"/>
          <w:bCs/>
          <w:color w:val="auto"/>
          <w:kern w:val="0"/>
          <w:sz w:val="22"/>
          <w:szCs w:val="22"/>
          <w:highlight w:val="none"/>
          <w:u w:val="single"/>
          <w:shd w:val="clear" w:color="auto" w:fill="FFFFFF"/>
          <w:lang w:val="en-US" w:eastAsia="zh-CN" w:bidi="ar-SA"/>
        </w:rPr>
        <w:tab/>
      </w:r>
      <w:r>
        <w:rPr>
          <w:rFonts w:hint="eastAsia" w:ascii="黑体" w:hAnsi="黑体" w:eastAsia="黑体" w:cs="黑体"/>
          <w:bCs/>
          <w:color w:val="auto"/>
          <w:kern w:val="0"/>
          <w:sz w:val="22"/>
          <w:szCs w:val="22"/>
          <w:highlight w:val="none"/>
          <w:u w:val="single"/>
          <w:shd w:val="clear" w:color="auto" w:fill="FFFFFF"/>
          <w:lang w:val="en-US" w:eastAsia="zh-CN" w:bidi="ar-SA"/>
        </w:rPr>
        <w:t xml:space="preserve">  </w:t>
      </w:r>
      <w:r>
        <w:rPr>
          <w:rFonts w:hint="eastAsia" w:ascii="黑体" w:hAnsi="黑体" w:eastAsia="黑体" w:cs="黑体"/>
          <w:bCs/>
          <w:color w:val="auto"/>
          <w:kern w:val="0"/>
          <w:sz w:val="22"/>
          <w:szCs w:val="22"/>
          <w:highlight w:val="none"/>
          <w:shd w:val="clear" w:color="auto" w:fill="FFFFFF"/>
          <w:lang w:val="en-US" w:eastAsia="zh-CN" w:bidi="ar-SA"/>
        </w:rPr>
        <w:t>万元</w:t>
      </w:r>
      <w:r>
        <w:rPr>
          <w:rFonts w:hint="eastAsia" w:ascii="黑体" w:hAnsi="黑体" w:eastAsia="黑体" w:cs="黑体"/>
          <w:bCs/>
          <w:color w:val="auto"/>
          <w:kern w:val="0"/>
          <w:sz w:val="22"/>
          <w:szCs w:val="22"/>
          <w:highlight w:val="none"/>
          <w:shd w:val="clear" w:color="auto" w:fill="FFFFFF"/>
          <w:lang w:val="en-US" w:eastAsia="zh-CN" w:bidi="ar-SA"/>
        </w:rPr>
        <w:fldChar w:fldCharType="begin"/>
      </w:r>
      <w:r>
        <w:rPr>
          <w:rFonts w:hint="eastAsia" w:ascii="黑体" w:hAnsi="黑体" w:eastAsia="黑体" w:cs="黑体"/>
          <w:bCs/>
          <w:color w:val="auto"/>
          <w:kern w:val="0"/>
          <w:sz w:val="22"/>
          <w:szCs w:val="22"/>
          <w:highlight w:val="none"/>
          <w:shd w:val="clear" w:color="auto" w:fill="FFFFFF"/>
          <w:lang w:val="en-US" w:eastAsia="zh-CN" w:bidi="ar-SA"/>
        </w:rPr>
        <w:instrText xml:space="preserve"> HYPERLINK \l "_bookmark1" </w:instrText>
      </w:r>
      <w:r>
        <w:rPr>
          <w:rFonts w:hint="eastAsia" w:ascii="黑体" w:hAnsi="黑体" w:eastAsia="黑体" w:cs="黑体"/>
          <w:bCs/>
          <w:color w:val="auto"/>
          <w:kern w:val="0"/>
          <w:sz w:val="22"/>
          <w:szCs w:val="22"/>
          <w:highlight w:val="none"/>
          <w:shd w:val="clear" w:color="auto" w:fill="FFFFFF"/>
          <w:lang w:val="en-US" w:eastAsia="zh-CN" w:bidi="ar-SA"/>
        </w:rPr>
        <w:fldChar w:fldCharType="separate"/>
      </w:r>
      <w:r>
        <w:rPr>
          <w:rFonts w:hint="eastAsia" w:ascii="黑体" w:hAnsi="黑体" w:eastAsia="黑体" w:cs="黑体"/>
          <w:bCs/>
          <w:color w:val="auto"/>
          <w:kern w:val="0"/>
          <w:sz w:val="22"/>
          <w:szCs w:val="22"/>
          <w:highlight w:val="none"/>
          <w:shd w:val="clear" w:color="auto" w:fill="FFFFFF"/>
          <w:lang w:val="en-US" w:eastAsia="zh-CN" w:bidi="ar-SA"/>
        </w:rPr>
        <w:t>1</w:t>
      </w:r>
      <w:r>
        <w:rPr>
          <w:rFonts w:hint="eastAsia" w:ascii="黑体" w:hAnsi="黑体" w:eastAsia="黑体" w:cs="黑体"/>
          <w:bCs/>
          <w:color w:val="auto"/>
          <w:kern w:val="0"/>
          <w:sz w:val="22"/>
          <w:szCs w:val="22"/>
          <w:highlight w:val="none"/>
          <w:shd w:val="clear" w:color="auto" w:fill="FFFFFF"/>
          <w:lang w:val="en-US" w:eastAsia="zh-CN" w:bidi="ar-SA"/>
        </w:rPr>
        <w:fldChar w:fldCharType="end"/>
      </w:r>
      <w:r>
        <w:rPr>
          <w:rFonts w:hint="eastAsia" w:ascii="黑体" w:hAnsi="黑体" w:eastAsia="黑体" w:cs="黑体"/>
          <w:bCs/>
          <w:color w:val="auto"/>
          <w:kern w:val="0"/>
          <w:sz w:val="22"/>
          <w:szCs w:val="22"/>
          <w:highlight w:val="none"/>
          <w:shd w:val="clear" w:color="auto" w:fill="FFFFFF"/>
          <w:lang w:val="en-US" w:eastAsia="zh-CN" w:bidi="ar-SA"/>
        </w:rPr>
        <w:t xml:space="preserve">，属于（中型企业、小型企业、微型企业）；  </w:t>
      </w:r>
    </w:p>
    <w:p>
      <w:pPr>
        <w:pStyle w:val="2"/>
        <w:rPr>
          <w:rFonts w:hint="eastAsia" w:ascii="黑体" w:hAnsi="黑体" w:eastAsia="黑体" w:cs="黑体"/>
          <w:lang w:val="en-US" w:eastAsia="zh-CN"/>
        </w:rPr>
      </w:pPr>
      <w:r>
        <w:rPr>
          <w:rFonts w:hint="eastAsia" w:ascii="黑体" w:hAnsi="黑体" w:eastAsia="黑体" w:cs="黑体"/>
          <w:lang w:val="en-US" w:eastAsia="zh-CN"/>
        </w:rPr>
        <w:t>以上企业，不属于大企业的分支机构，不存在控股股东为大企业的情形，也不存在与大企业的负责人为同一人的情形。</w:t>
      </w:r>
    </w:p>
    <w:p>
      <w:pPr>
        <w:pStyle w:val="2"/>
        <w:rPr>
          <w:rFonts w:hint="eastAsia" w:ascii="黑体" w:hAnsi="黑体" w:eastAsia="黑体" w:cs="黑体"/>
          <w:lang w:val="en-US" w:eastAsia="zh-CN"/>
        </w:rPr>
      </w:pPr>
      <w:r>
        <w:rPr>
          <w:rFonts w:hint="eastAsia" w:ascii="黑体" w:hAnsi="黑体" w:eastAsia="黑体" w:cs="黑体"/>
          <w:lang w:val="en-US" w:eastAsia="zh-CN"/>
        </w:rPr>
        <w:t>本企业对上述声明内容的真实性负责。如有虚假，将依法承担相应责任。</w:t>
      </w:r>
    </w:p>
    <w:p>
      <w:pPr>
        <w:pStyle w:val="2"/>
        <w:ind w:firstLine="4200" w:firstLineChars="2000"/>
        <w:rPr>
          <w:rFonts w:hint="eastAsia" w:ascii="黑体" w:hAnsi="黑体" w:eastAsia="黑体" w:cs="黑体"/>
          <w:lang w:val="en-US" w:eastAsia="zh-CN"/>
        </w:rPr>
      </w:pPr>
    </w:p>
    <w:p>
      <w:pPr>
        <w:pStyle w:val="2"/>
        <w:ind w:firstLine="4200" w:firstLineChars="2000"/>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ind w:firstLine="4200" w:firstLineChars="2000"/>
        <w:rPr>
          <w:rFonts w:hint="eastAsia" w:ascii="黑体" w:hAnsi="黑体" w:eastAsia="黑体" w:cs="黑体"/>
          <w:lang w:val="en-US" w:eastAsia="zh-CN"/>
        </w:rPr>
      </w:pPr>
      <w:r>
        <w:rPr>
          <w:rFonts w:hint="eastAsia" w:ascii="黑体" w:hAnsi="黑体" w:eastAsia="黑体" w:cs="黑体"/>
          <w:lang w:val="en-US" w:eastAsia="zh-CN"/>
        </w:rPr>
        <w:t>企业名称（盖章）：</w:t>
      </w:r>
    </w:p>
    <w:p>
      <w:pPr>
        <w:pStyle w:val="2"/>
        <w:ind w:firstLine="5460" w:firstLineChars="2600"/>
        <w:rPr>
          <w:rFonts w:hint="eastAsia" w:ascii="黑体" w:hAnsi="黑体" w:eastAsia="黑体" w:cs="黑体"/>
          <w:lang w:val="en-US" w:eastAsia="zh-CN"/>
        </w:rPr>
      </w:pPr>
    </w:p>
    <w:p>
      <w:pPr>
        <w:pStyle w:val="2"/>
        <w:ind w:firstLine="5460" w:firstLineChars="2600"/>
        <w:rPr>
          <w:rFonts w:hint="eastAsia" w:ascii="黑体" w:hAnsi="黑体" w:eastAsia="黑体" w:cs="黑体"/>
          <w:lang w:val="en-US" w:eastAsia="zh-CN"/>
        </w:rPr>
      </w:pPr>
      <w:r>
        <w:rPr>
          <w:rFonts w:hint="eastAsia" w:ascii="黑体" w:hAnsi="黑体" w:eastAsia="黑体" w:cs="黑体"/>
          <w:lang w:val="en-US" w:eastAsia="zh-CN"/>
        </w:rPr>
        <w:t>日期：</w:t>
      </w: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说明：</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lang w:val="en-US" w:eastAsia="zh-CN"/>
        </w:rPr>
        <w:t>1.</w:t>
      </w:r>
      <w:r>
        <w:rPr>
          <w:rFonts w:hint="eastAsia" w:ascii="黑体" w:hAnsi="黑体" w:eastAsia="黑体" w:cs="黑体"/>
          <w:bCs/>
          <w:color w:val="auto"/>
          <w:kern w:val="0"/>
          <w:sz w:val="22"/>
          <w:szCs w:val="22"/>
          <w:highlight w:val="none"/>
          <w:shd w:val="clear" w:color="auto" w:fill="FFFFFF"/>
        </w:rPr>
        <w:t>供应商不属于中小企业的，无须提供；</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lang w:val="en-US" w:eastAsia="zh-CN"/>
        </w:rPr>
        <w:t>2.</w:t>
      </w:r>
      <w:r>
        <w:rPr>
          <w:rFonts w:hint="eastAsia" w:ascii="黑体" w:hAnsi="黑体" w:eastAsia="黑体" w:cs="黑体"/>
          <w:bCs/>
          <w:color w:val="auto"/>
          <w:kern w:val="0"/>
          <w:sz w:val="22"/>
          <w:szCs w:val="22"/>
          <w:highlight w:val="none"/>
          <w:shd w:val="clear" w:color="auto" w:fill="FFFFFF"/>
        </w:rPr>
        <w:t>供应商属于中小企业的，未按上述要求提供、填写的，评审时不予价格折扣。从业人员、营业收入、资产总额填报上一年度数据，无上一年度数据的新成立企业可不填报。</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lang w:val="en-US" w:eastAsia="zh-CN"/>
        </w:rPr>
        <w:t>3.</w:t>
      </w:r>
      <w:r>
        <w:rPr>
          <w:rFonts w:hint="eastAsia" w:ascii="黑体" w:hAnsi="黑体" w:eastAsia="黑体" w:cs="黑体"/>
          <w:bCs/>
          <w:color w:val="auto"/>
          <w:kern w:val="0"/>
          <w:sz w:val="22"/>
          <w:szCs w:val="22"/>
          <w:highlight w:val="none"/>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pPr>
        <w:tabs>
          <w:tab w:val="left" w:pos="3600"/>
        </w:tabs>
        <w:adjustRightInd w:val="0"/>
        <w:snapToGrid w:val="0"/>
        <w:ind w:firstLine="1687" w:firstLineChars="600"/>
        <w:outlineLvl w:val="1"/>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 xml:space="preserve">格式二： </w:t>
      </w:r>
      <w:r>
        <w:rPr>
          <w:rFonts w:hint="eastAsia" w:ascii="黑体" w:hAnsi="黑体" w:eastAsia="黑体" w:cs="黑体"/>
          <w:b/>
          <w:bCs/>
          <w:color w:val="auto"/>
          <w:sz w:val="28"/>
          <w:szCs w:val="28"/>
          <w:highlight w:val="none"/>
        </w:rPr>
        <w:t>残疾人福利性单位声明函</w:t>
      </w:r>
    </w:p>
    <w:p>
      <w:pPr>
        <w:spacing w:line="360" w:lineRule="auto"/>
        <w:rPr>
          <w:rFonts w:hint="eastAsia" w:ascii="黑体" w:hAnsi="黑体" w:eastAsia="黑体" w:cs="黑体"/>
          <w:color w:val="auto"/>
          <w:spacing w:val="6"/>
          <w:szCs w:val="21"/>
          <w:highlight w:val="none"/>
        </w:rPr>
      </w:pPr>
    </w:p>
    <w:p>
      <w:pPr>
        <w:spacing w:line="360" w:lineRule="auto"/>
        <w:ind w:firstLine="464" w:firstLineChars="200"/>
        <w:rPr>
          <w:rFonts w:hint="eastAsia" w:ascii="黑体" w:hAnsi="黑体" w:eastAsia="黑体" w:cs="黑体"/>
          <w:color w:val="auto"/>
          <w:spacing w:val="6"/>
          <w:sz w:val="22"/>
          <w:szCs w:val="22"/>
          <w:highlight w:val="none"/>
        </w:rPr>
      </w:pPr>
      <w:r>
        <w:rPr>
          <w:rFonts w:hint="eastAsia" w:ascii="黑体" w:hAnsi="黑体" w:eastAsia="黑体" w:cs="黑体"/>
          <w:color w:val="auto"/>
          <w:spacing w:val="6"/>
          <w:sz w:val="22"/>
          <w:szCs w:val="22"/>
          <w:highlight w:val="none"/>
        </w:rPr>
        <w:t>本单位郑重声明，根据《财政部 民政部 中国残疾人联合会关于促进残疾人就业政府采购政策的通知》（财库</w:t>
      </w:r>
      <w:r>
        <w:rPr>
          <w:rFonts w:hint="eastAsia" w:ascii="黑体" w:hAnsi="黑体" w:eastAsia="黑体" w:cs="黑体"/>
          <w:color w:val="auto"/>
          <w:sz w:val="22"/>
          <w:szCs w:val="22"/>
          <w:highlight w:val="none"/>
        </w:rPr>
        <w:t>〔2017〕 141</w:t>
      </w:r>
      <w:r>
        <w:rPr>
          <w:rFonts w:hint="eastAsia" w:ascii="黑体" w:hAnsi="黑体" w:eastAsia="黑体" w:cs="黑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64" w:firstLineChars="200"/>
        <w:rPr>
          <w:rFonts w:hint="eastAsia" w:ascii="黑体" w:hAnsi="黑体" w:eastAsia="黑体" w:cs="黑体"/>
          <w:color w:val="auto"/>
          <w:spacing w:val="6"/>
          <w:sz w:val="22"/>
          <w:szCs w:val="22"/>
          <w:highlight w:val="none"/>
        </w:rPr>
      </w:pPr>
      <w:r>
        <w:rPr>
          <w:rFonts w:hint="eastAsia" w:ascii="黑体" w:hAnsi="黑体" w:eastAsia="黑体" w:cs="黑体"/>
          <w:color w:val="auto"/>
          <w:spacing w:val="6"/>
          <w:sz w:val="22"/>
          <w:szCs w:val="22"/>
          <w:highlight w:val="none"/>
        </w:rPr>
        <w:t>本单位对上述声明的真实性负责。如有虚假，将依法承担相应责任</w:t>
      </w:r>
    </w:p>
    <w:p>
      <w:pPr>
        <w:spacing w:line="360" w:lineRule="auto"/>
        <w:ind w:firstLine="464" w:firstLineChars="200"/>
        <w:rPr>
          <w:rFonts w:hint="eastAsia" w:ascii="黑体" w:hAnsi="黑体" w:eastAsia="黑体" w:cs="黑体"/>
          <w:color w:val="auto"/>
          <w:spacing w:val="6"/>
          <w:sz w:val="22"/>
          <w:szCs w:val="22"/>
          <w:highlight w:val="none"/>
        </w:rPr>
      </w:pPr>
    </w:p>
    <w:p>
      <w:pPr>
        <w:pStyle w:val="2"/>
        <w:rPr>
          <w:rFonts w:hint="eastAsia" w:ascii="黑体" w:hAnsi="黑体" w:eastAsia="黑体" w:cs="黑体"/>
          <w:color w:val="auto"/>
          <w:spacing w:val="6"/>
          <w:sz w:val="22"/>
          <w:szCs w:val="22"/>
          <w:highlight w:val="none"/>
        </w:rPr>
      </w:pPr>
    </w:p>
    <w:p>
      <w:pPr>
        <w:rPr>
          <w:rFonts w:hint="eastAsia" w:ascii="黑体" w:hAnsi="黑体" w:eastAsia="黑体" w:cs="黑体"/>
          <w:color w:val="auto"/>
          <w:spacing w:val="6"/>
          <w:sz w:val="22"/>
          <w:szCs w:val="22"/>
          <w:highlight w:val="none"/>
        </w:rPr>
      </w:pPr>
    </w:p>
    <w:p>
      <w:pPr>
        <w:pStyle w:val="2"/>
        <w:rPr>
          <w:rFonts w:hint="eastAsia" w:ascii="黑体" w:hAnsi="黑体" w:eastAsia="黑体" w:cs="黑体"/>
          <w:color w:val="auto"/>
          <w:spacing w:val="6"/>
          <w:sz w:val="22"/>
          <w:szCs w:val="22"/>
          <w:highlight w:val="none"/>
        </w:rPr>
      </w:pPr>
    </w:p>
    <w:p>
      <w:pPr>
        <w:rPr>
          <w:rFonts w:hint="eastAsia" w:ascii="黑体" w:hAnsi="黑体" w:eastAsia="黑体" w:cs="黑体"/>
        </w:rPr>
      </w:pPr>
    </w:p>
    <w:p>
      <w:pPr>
        <w:pStyle w:val="6"/>
        <w:spacing w:line="360" w:lineRule="auto"/>
        <w:ind w:firstLine="3016" w:firstLineChars="1300"/>
        <w:rPr>
          <w:rFonts w:hint="eastAsia" w:ascii="黑体" w:hAnsi="黑体" w:eastAsia="黑体" w:cs="黑体"/>
          <w:color w:val="auto"/>
          <w:sz w:val="22"/>
          <w:szCs w:val="22"/>
          <w:highlight w:val="none"/>
        </w:rPr>
      </w:pPr>
      <w:r>
        <w:rPr>
          <w:rFonts w:hint="eastAsia" w:ascii="黑体" w:hAnsi="黑体" w:eastAsia="黑体" w:cs="黑体"/>
          <w:color w:val="auto"/>
          <w:spacing w:val="6"/>
          <w:sz w:val="22"/>
          <w:szCs w:val="22"/>
          <w:highlight w:val="none"/>
        </w:rPr>
        <w:t xml:space="preserve">  </w:t>
      </w:r>
      <w:r>
        <w:rPr>
          <w:rFonts w:hint="eastAsia" w:ascii="黑体" w:hAnsi="黑体" w:eastAsia="黑体" w:cs="黑体"/>
          <w:color w:val="auto"/>
          <w:sz w:val="22"/>
          <w:szCs w:val="22"/>
          <w:highlight w:val="none"/>
        </w:rPr>
        <w:t>声  明  人:</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(盖单位章)</w:t>
      </w:r>
    </w:p>
    <w:p>
      <w:pPr>
        <w:pStyle w:val="6"/>
        <w:spacing w:line="360" w:lineRule="auto"/>
        <w:ind w:firstLine="570"/>
        <w:rPr>
          <w:rFonts w:hint="eastAsia" w:ascii="黑体" w:hAnsi="黑体" w:eastAsia="黑体" w:cs="黑体"/>
          <w:color w:val="auto"/>
          <w:sz w:val="22"/>
          <w:szCs w:val="22"/>
          <w:highlight w:val="none"/>
        </w:rPr>
      </w:pPr>
    </w:p>
    <w:p>
      <w:pPr>
        <w:pStyle w:val="6"/>
        <w:spacing w:line="360" w:lineRule="auto"/>
        <w:ind w:firstLine="3236" w:firstLineChars="1471"/>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（签字）</w:t>
      </w:r>
    </w:p>
    <w:p>
      <w:pPr>
        <w:pStyle w:val="6"/>
        <w:spacing w:line="360" w:lineRule="auto"/>
        <w:ind w:firstLine="570"/>
        <w:rPr>
          <w:rFonts w:hint="eastAsia" w:ascii="黑体" w:hAnsi="黑体" w:eastAsia="黑体" w:cs="黑体"/>
          <w:color w:val="auto"/>
          <w:sz w:val="22"/>
          <w:szCs w:val="22"/>
          <w:highlight w:val="none"/>
        </w:rPr>
      </w:pPr>
    </w:p>
    <w:p>
      <w:pPr>
        <w:pStyle w:val="6"/>
        <w:spacing w:line="360" w:lineRule="auto"/>
        <w:ind w:firstLine="3456" w:firstLineChars="1571"/>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日      期：</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年</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月</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日</w:t>
      </w:r>
    </w:p>
    <w:p>
      <w:pPr>
        <w:adjustRightInd w:val="0"/>
        <w:snapToGrid w:val="0"/>
        <w:spacing w:before="50" w:line="360" w:lineRule="auto"/>
        <w:jc w:val="left"/>
        <w:rPr>
          <w:rFonts w:hint="eastAsia" w:ascii="黑体" w:hAnsi="黑体" w:eastAsia="黑体" w:cs="黑体"/>
          <w:b/>
          <w:color w:val="auto"/>
          <w:sz w:val="22"/>
          <w:szCs w:val="22"/>
          <w:highlight w:val="none"/>
        </w:rPr>
      </w:pPr>
    </w:p>
    <w:p>
      <w:pPr>
        <w:adjustRightInd w:val="0"/>
        <w:snapToGrid w:val="0"/>
        <w:spacing w:before="50" w:line="360" w:lineRule="auto"/>
        <w:jc w:val="left"/>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rPr>
          <w:rFonts w:hint="eastAsia" w:ascii="黑体" w:hAnsi="黑体" w:eastAsia="黑体" w:cs="黑体"/>
          <w:b/>
          <w:color w:val="auto"/>
          <w:sz w:val="22"/>
          <w:szCs w:val="22"/>
          <w:highlight w:val="none"/>
        </w:rPr>
      </w:pPr>
    </w:p>
    <w:p>
      <w:pPr>
        <w:pStyle w:val="2"/>
        <w:rPr>
          <w:rFonts w:hint="eastAsia" w:ascii="黑体" w:hAnsi="黑体" w:eastAsia="黑体" w:cs="黑体"/>
        </w:rPr>
      </w:pPr>
    </w:p>
    <w:p>
      <w:pPr>
        <w:pStyle w:val="2"/>
        <w:rPr>
          <w:rFonts w:hint="eastAsia" w:ascii="黑体" w:hAnsi="黑体" w:eastAsia="黑体" w:cs="黑体"/>
          <w:b/>
          <w:color w:val="auto"/>
          <w:sz w:val="22"/>
          <w:szCs w:val="22"/>
          <w:highlight w:val="none"/>
        </w:rPr>
      </w:pPr>
    </w:p>
    <w:p>
      <w:pPr>
        <w:rPr>
          <w:rFonts w:hint="eastAsia" w:ascii="黑体" w:hAnsi="黑体" w:eastAsia="黑体" w:cs="黑体"/>
        </w:rPr>
      </w:pPr>
    </w:p>
    <w:p>
      <w:pPr>
        <w:pStyle w:val="19"/>
        <w:rPr>
          <w:rFonts w:hint="eastAsia" w:ascii="黑体" w:hAnsi="黑体" w:eastAsia="黑体" w:cs="黑体"/>
          <w:b/>
          <w:color w:val="auto"/>
          <w:sz w:val="22"/>
          <w:szCs w:val="22"/>
          <w:highlight w:val="none"/>
        </w:rPr>
      </w:pPr>
    </w:p>
    <w:p>
      <w:pPr>
        <w:pStyle w:val="19"/>
        <w:rPr>
          <w:rFonts w:hint="eastAsia" w:ascii="黑体" w:hAnsi="黑体" w:eastAsia="黑体" w:cs="黑体"/>
          <w:b/>
          <w:color w:val="auto"/>
          <w:sz w:val="22"/>
          <w:szCs w:val="22"/>
          <w:highlight w:val="none"/>
        </w:rPr>
      </w:pPr>
    </w:p>
    <w:p>
      <w:pPr>
        <w:adjustRightInd w:val="0"/>
        <w:snapToGrid w:val="0"/>
        <w:spacing w:line="360" w:lineRule="exac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w:t>
      </w:r>
      <w:r>
        <w:rPr>
          <w:rFonts w:hint="eastAsia" w:ascii="黑体" w:hAnsi="黑体" w:eastAsia="黑体" w:cs="黑体"/>
          <w:color w:val="auto"/>
          <w:sz w:val="22"/>
          <w:szCs w:val="22"/>
          <w:highlight w:val="none"/>
          <w:lang w:val="en-US" w:eastAsia="zh-CN"/>
        </w:rPr>
        <w:t>1投标人</w:t>
      </w:r>
      <w:r>
        <w:rPr>
          <w:rFonts w:hint="eastAsia" w:ascii="黑体" w:hAnsi="黑体" w:eastAsia="黑体" w:cs="黑体"/>
          <w:color w:val="auto"/>
          <w:sz w:val="22"/>
          <w:szCs w:val="22"/>
          <w:highlight w:val="none"/>
        </w:rPr>
        <w:t>不属于残疾人福利单位的，无须提供；</w:t>
      </w:r>
    </w:p>
    <w:p>
      <w:pPr>
        <w:adjustRightInd w:val="0"/>
        <w:snapToGrid w:val="0"/>
        <w:spacing w:line="360" w:lineRule="exact"/>
        <w:ind w:firstLine="660" w:firstLineChars="3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2.投标人</w:t>
      </w:r>
      <w:r>
        <w:rPr>
          <w:rFonts w:hint="eastAsia" w:ascii="黑体" w:hAnsi="黑体" w:eastAsia="黑体" w:cs="黑体"/>
          <w:color w:val="auto"/>
          <w:sz w:val="22"/>
          <w:szCs w:val="22"/>
          <w:highlight w:val="none"/>
        </w:rPr>
        <w:t>属于残疾人福利单位的，</w:t>
      </w:r>
      <w:r>
        <w:rPr>
          <w:rFonts w:hint="eastAsia" w:ascii="黑体" w:hAnsi="黑体" w:eastAsia="黑体" w:cs="黑体"/>
          <w:bCs/>
          <w:color w:val="auto"/>
          <w:sz w:val="22"/>
          <w:szCs w:val="22"/>
          <w:highlight w:val="none"/>
        </w:rPr>
        <w:t>未按上述要求提供、</w:t>
      </w:r>
      <w:r>
        <w:rPr>
          <w:rFonts w:hint="eastAsia" w:ascii="黑体" w:hAnsi="黑体" w:eastAsia="黑体" w:cs="黑体"/>
          <w:color w:val="auto"/>
          <w:sz w:val="22"/>
          <w:szCs w:val="22"/>
          <w:highlight w:val="none"/>
        </w:rPr>
        <w:t>填写</w:t>
      </w:r>
      <w:r>
        <w:rPr>
          <w:rFonts w:hint="eastAsia" w:ascii="黑体" w:hAnsi="黑体" w:eastAsia="黑体" w:cs="黑体"/>
          <w:bCs/>
          <w:color w:val="auto"/>
          <w:sz w:val="22"/>
          <w:szCs w:val="22"/>
          <w:highlight w:val="none"/>
        </w:rPr>
        <w:t>的，评</w:t>
      </w:r>
      <w:r>
        <w:rPr>
          <w:rFonts w:hint="eastAsia" w:ascii="黑体" w:hAnsi="黑体" w:eastAsia="黑体" w:cs="黑体"/>
          <w:bCs/>
          <w:color w:val="auto"/>
          <w:sz w:val="22"/>
          <w:szCs w:val="22"/>
          <w:highlight w:val="none"/>
          <w:lang w:val="en-US" w:eastAsia="zh-CN"/>
        </w:rPr>
        <w:t>标</w:t>
      </w:r>
      <w:r>
        <w:rPr>
          <w:rFonts w:hint="eastAsia" w:ascii="黑体" w:hAnsi="黑体" w:eastAsia="黑体" w:cs="黑体"/>
          <w:bCs/>
          <w:color w:val="auto"/>
          <w:sz w:val="22"/>
          <w:szCs w:val="22"/>
          <w:highlight w:val="none"/>
        </w:rPr>
        <w:t>时不视为残疾人福利企业，不予价格折扣。</w:t>
      </w:r>
    </w:p>
    <w:p>
      <w:pPr>
        <w:adjustRightInd w:val="0"/>
        <w:snapToGrid w:val="0"/>
        <w:spacing w:before="50" w:line="360" w:lineRule="auto"/>
        <w:jc w:val="both"/>
        <w:outlineLvl w:val="1"/>
        <w:rPr>
          <w:rFonts w:hint="eastAsia" w:ascii="黑体" w:hAnsi="黑体" w:eastAsia="黑体" w:cs="黑体"/>
          <w:b/>
          <w:bCs/>
          <w:color w:val="auto"/>
          <w:sz w:val="22"/>
          <w:szCs w:val="22"/>
          <w:highlight w:val="none"/>
        </w:rPr>
      </w:pPr>
    </w:p>
    <w:p>
      <w:pPr>
        <w:adjustRightInd w:val="0"/>
        <w:snapToGrid w:val="0"/>
        <w:spacing w:before="50" w:line="360" w:lineRule="auto"/>
        <w:jc w:val="center"/>
        <w:outlineLvl w:val="1"/>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格式</w:t>
      </w:r>
      <w:r>
        <w:rPr>
          <w:rFonts w:hint="eastAsia" w:ascii="黑体" w:hAnsi="黑体" w:eastAsia="黑体" w:cs="黑体"/>
          <w:b/>
          <w:bCs/>
          <w:color w:val="auto"/>
          <w:sz w:val="22"/>
          <w:szCs w:val="22"/>
          <w:highlight w:val="none"/>
          <w:lang w:val="en-US" w:eastAsia="zh-CN"/>
        </w:rPr>
        <w:t>四</w:t>
      </w:r>
      <w:r>
        <w:rPr>
          <w:rFonts w:hint="eastAsia" w:ascii="黑体" w:hAnsi="黑体" w:eastAsia="黑体" w:cs="黑体"/>
          <w:b/>
          <w:bCs/>
          <w:color w:val="auto"/>
          <w:sz w:val="22"/>
          <w:szCs w:val="22"/>
          <w:highlight w:val="none"/>
        </w:rPr>
        <w:t>：监狱企业证明</w:t>
      </w:r>
    </w:p>
    <w:p>
      <w:pPr>
        <w:adjustRightInd w:val="0"/>
        <w:snapToGrid w:val="0"/>
        <w:spacing w:before="312" w:beforeLine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w:t>
      </w:r>
    </w:p>
    <w:p>
      <w:pPr>
        <w:adjustRightInd w:val="0"/>
        <w:snapToGrid w:val="0"/>
        <w:spacing w:line="360" w:lineRule="exact"/>
        <w:ind w:firstLine="527"/>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（1）证明无格式要求，由出具监狱企业证明的单位自行拟定；</w:t>
      </w:r>
    </w:p>
    <w:p>
      <w:pPr>
        <w:adjustRightInd w:val="0"/>
        <w:snapToGrid w:val="0"/>
        <w:spacing w:line="360" w:lineRule="exact"/>
        <w:ind w:firstLine="550" w:firstLineChars="2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lang w:val="en-US" w:eastAsia="zh-CN"/>
        </w:rPr>
        <w:t>投标人</w:t>
      </w:r>
      <w:r>
        <w:rPr>
          <w:rFonts w:hint="eastAsia" w:ascii="黑体" w:hAnsi="黑体" w:eastAsia="黑体" w:cs="黑体"/>
          <w:color w:val="auto"/>
          <w:sz w:val="22"/>
          <w:szCs w:val="22"/>
          <w:highlight w:val="none"/>
        </w:rPr>
        <w:t>前附表规定非专门面向监狱企业采购的，作为享受政府采购优惠政策的证明材料；</w:t>
      </w: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adjustRightInd w:val="0"/>
        <w:snapToGrid w:val="0"/>
        <w:spacing w:line="36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说明：投标人</w:t>
      </w:r>
      <w:r>
        <w:rPr>
          <w:rFonts w:hint="eastAsia" w:ascii="黑体" w:hAnsi="黑体" w:eastAsia="黑体" w:cs="黑体"/>
          <w:color w:val="auto"/>
          <w:sz w:val="22"/>
          <w:szCs w:val="22"/>
          <w:highlight w:val="none"/>
        </w:rPr>
        <w:t>不属于监狱企业的，无须提供；</w:t>
      </w:r>
      <w:r>
        <w:rPr>
          <w:rFonts w:hint="eastAsia" w:ascii="黑体" w:hAnsi="黑体" w:eastAsia="黑体" w:cs="黑体"/>
          <w:color w:val="auto"/>
          <w:sz w:val="22"/>
          <w:szCs w:val="22"/>
          <w:highlight w:val="none"/>
          <w:lang w:val="en-US" w:eastAsia="zh-CN"/>
        </w:rPr>
        <w:t>投标人</w:t>
      </w:r>
      <w:r>
        <w:rPr>
          <w:rFonts w:hint="eastAsia" w:ascii="黑体" w:hAnsi="黑体" w:eastAsia="黑体" w:cs="黑体"/>
          <w:color w:val="auto"/>
          <w:sz w:val="22"/>
          <w:szCs w:val="22"/>
          <w:highlight w:val="none"/>
        </w:rPr>
        <w:t>属于监狱企业的，</w:t>
      </w:r>
      <w:r>
        <w:rPr>
          <w:rFonts w:hint="eastAsia" w:ascii="黑体" w:hAnsi="黑体" w:eastAsia="黑体" w:cs="黑体"/>
          <w:bCs/>
          <w:color w:val="auto"/>
          <w:sz w:val="22"/>
          <w:szCs w:val="22"/>
          <w:highlight w:val="none"/>
        </w:rPr>
        <w:t>未按上述要求提供、</w:t>
      </w:r>
      <w:r>
        <w:rPr>
          <w:rFonts w:hint="eastAsia" w:ascii="黑体" w:hAnsi="黑体" w:eastAsia="黑体" w:cs="黑体"/>
          <w:color w:val="auto"/>
          <w:sz w:val="22"/>
          <w:szCs w:val="22"/>
          <w:highlight w:val="none"/>
        </w:rPr>
        <w:t>填写</w:t>
      </w:r>
      <w:r>
        <w:rPr>
          <w:rFonts w:hint="eastAsia" w:ascii="黑体" w:hAnsi="黑体" w:eastAsia="黑体" w:cs="黑体"/>
          <w:bCs/>
          <w:color w:val="auto"/>
          <w:sz w:val="22"/>
          <w:szCs w:val="22"/>
          <w:highlight w:val="none"/>
        </w:rPr>
        <w:t>的，评</w:t>
      </w:r>
      <w:r>
        <w:rPr>
          <w:rFonts w:hint="eastAsia" w:ascii="黑体" w:hAnsi="黑体" w:eastAsia="黑体" w:cs="黑体"/>
          <w:bCs/>
          <w:color w:val="auto"/>
          <w:sz w:val="22"/>
          <w:szCs w:val="22"/>
          <w:highlight w:val="none"/>
          <w:lang w:val="en-US" w:eastAsia="zh-CN"/>
        </w:rPr>
        <w:t>标</w:t>
      </w:r>
      <w:r>
        <w:rPr>
          <w:rFonts w:hint="eastAsia" w:ascii="黑体" w:hAnsi="黑体" w:eastAsia="黑体" w:cs="黑体"/>
          <w:bCs/>
          <w:color w:val="auto"/>
          <w:sz w:val="22"/>
          <w:szCs w:val="22"/>
          <w:highlight w:val="none"/>
        </w:rPr>
        <w:t>时不视为小型微型企业，不予价格折扣。</w:t>
      </w:r>
    </w:p>
    <w:p>
      <w:pPr>
        <w:spacing w:line="360" w:lineRule="auto"/>
        <w:jc w:val="both"/>
        <w:outlineLvl w:val="1"/>
        <w:rPr>
          <w:rFonts w:hint="eastAsia" w:ascii="黑体" w:hAnsi="黑体" w:eastAsia="黑体" w:cs="黑体"/>
          <w:b/>
          <w:bCs/>
          <w:color w:val="auto"/>
          <w:sz w:val="28"/>
          <w:szCs w:val="24"/>
          <w:highlight w:val="none"/>
          <w:lang w:val="en-US" w:eastAsia="zh-CN"/>
        </w:rPr>
      </w:pPr>
    </w:p>
    <w:p>
      <w:pPr>
        <w:pStyle w:val="2"/>
        <w:rPr>
          <w:rFonts w:hint="eastAsia" w:ascii="黑体" w:hAnsi="黑体" w:eastAsia="黑体" w:cs="黑体"/>
        </w:rPr>
      </w:pPr>
    </w:p>
    <w:p>
      <w:pPr>
        <w:spacing w:line="360" w:lineRule="auto"/>
        <w:jc w:val="center"/>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 xml:space="preserve">部分  </w:t>
      </w:r>
      <w:r>
        <w:rPr>
          <w:rFonts w:hint="eastAsia" w:ascii="黑体" w:hAnsi="黑体" w:eastAsia="黑体" w:cs="黑体"/>
          <w:b/>
          <w:bCs/>
          <w:color w:val="auto"/>
          <w:sz w:val="32"/>
          <w:szCs w:val="32"/>
          <w:highlight w:val="none"/>
          <w:lang w:val="en-US" w:eastAsia="zh-CN"/>
        </w:rPr>
        <w:t>技术响应</w:t>
      </w:r>
      <w:r>
        <w:rPr>
          <w:rFonts w:hint="eastAsia" w:ascii="黑体" w:hAnsi="黑体" w:eastAsia="黑体" w:cs="黑体"/>
          <w:b/>
          <w:bCs/>
          <w:color w:val="auto"/>
          <w:sz w:val="32"/>
          <w:szCs w:val="32"/>
          <w:highlight w:val="none"/>
        </w:rPr>
        <w:t>方案</w:t>
      </w:r>
    </w:p>
    <w:p>
      <w:pPr>
        <w:tabs>
          <w:tab w:val="right" w:leader="dot" w:pos="9022"/>
        </w:tabs>
        <w:autoSpaceDE w:val="0"/>
        <w:autoSpaceDN w:val="0"/>
        <w:adjustRightInd w:val="0"/>
        <w:spacing w:line="360" w:lineRule="auto"/>
        <w:ind w:firstLine="440" w:firstLineChars="200"/>
        <w:jc w:val="left"/>
        <w:rPr>
          <w:rFonts w:hint="eastAsia" w:ascii="黑体" w:hAnsi="黑体" w:eastAsia="黑体" w:cs="黑体"/>
          <w:bCs/>
          <w:caps/>
          <w:color w:val="auto"/>
          <w:sz w:val="22"/>
          <w:szCs w:val="22"/>
          <w:highlight w:val="none"/>
        </w:rPr>
      </w:pPr>
    </w:p>
    <w:p>
      <w:pPr>
        <w:keepNext w:val="0"/>
        <w:keepLines w:val="0"/>
        <w:pageBreakBefore w:val="0"/>
        <w:widowControl w:val="0"/>
        <w:kinsoku/>
        <w:wordWrap/>
        <w:overflowPunct/>
        <w:topLinePunct w:val="0"/>
        <w:autoSpaceDE/>
        <w:autoSpaceDN/>
        <w:bidi w:val="0"/>
        <w:adjustRightInd/>
        <w:spacing w:line="360" w:lineRule="auto"/>
        <w:ind w:firstLine="330" w:firstLineChars="150"/>
        <w:jc w:val="left"/>
        <w:textAlignment w:val="auto"/>
        <w:rPr>
          <w:rFonts w:hint="eastAsia" w:ascii="黑体" w:hAnsi="黑体" w:eastAsia="黑体" w:cs="黑体"/>
          <w:b w:val="0"/>
          <w:bCs/>
          <w:color w:val="auto"/>
          <w:kern w:val="2"/>
          <w:sz w:val="22"/>
          <w:szCs w:val="22"/>
          <w:highlight w:val="none"/>
          <w:lang w:val="en-US" w:eastAsia="zh-CN" w:bidi="ar-SA"/>
        </w:rPr>
      </w:pPr>
      <w:bookmarkStart w:id="234" w:name="_Toc19944_WPSOffice_Level1"/>
      <w:bookmarkStart w:id="235" w:name="_Toc25808"/>
      <w:bookmarkStart w:id="236" w:name="_Toc10330"/>
      <w:bookmarkStart w:id="237" w:name="_Toc10273_WPSOffice_Level1"/>
      <w:bookmarkStart w:id="238" w:name="_Toc27732_WPSOffice_Level1"/>
      <w:r>
        <w:rPr>
          <w:rFonts w:hint="eastAsia" w:ascii="黑体" w:hAnsi="黑体" w:eastAsia="黑体" w:cs="黑体"/>
          <w:bCs/>
          <w:color w:val="auto"/>
          <w:sz w:val="22"/>
          <w:szCs w:val="22"/>
          <w:highlight w:val="none"/>
        </w:rPr>
        <w:t>说明：由供应商根据第三章 《评审标准》内评审要素一览表</w:t>
      </w:r>
      <w:r>
        <w:rPr>
          <w:rFonts w:hint="eastAsia" w:ascii="黑体" w:hAnsi="黑体" w:eastAsia="黑体" w:cs="黑体"/>
          <w:bCs/>
          <w:color w:val="auto"/>
          <w:sz w:val="22"/>
          <w:szCs w:val="22"/>
          <w:highlight w:val="none"/>
          <w:lang w:val="en-US" w:eastAsia="zh-CN"/>
        </w:rPr>
        <w:t>技术部分</w:t>
      </w:r>
      <w:r>
        <w:rPr>
          <w:rFonts w:hint="eastAsia" w:ascii="黑体" w:hAnsi="黑体" w:eastAsia="黑体" w:cs="黑体"/>
          <w:bCs/>
          <w:color w:val="auto"/>
          <w:sz w:val="22"/>
          <w:szCs w:val="22"/>
          <w:highlight w:val="none"/>
        </w:rPr>
        <w:t>的</w:t>
      </w:r>
      <w:r>
        <w:rPr>
          <w:rFonts w:hint="eastAsia" w:ascii="黑体" w:hAnsi="黑体" w:eastAsia="黑体" w:cs="黑体"/>
          <w:bCs/>
          <w:color w:val="auto"/>
          <w:sz w:val="22"/>
          <w:szCs w:val="22"/>
          <w:highlight w:val="none"/>
          <w:lang w:val="en-US" w:eastAsia="zh-CN"/>
        </w:rPr>
        <w:t>评审标准</w:t>
      </w:r>
      <w:r>
        <w:rPr>
          <w:rFonts w:hint="eastAsia" w:ascii="黑体" w:hAnsi="黑体" w:eastAsia="黑体" w:cs="黑体"/>
          <w:bCs/>
          <w:color w:val="auto"/>
          <w:sz w:val="22"/>
          <w:szCs w:val="22"/>
          <w:highlight w:val="none"/>
        </w:rPr>
        <w:t>，结合第四章《采购内容及具体要求》等进行编制，格式内容自拟。</w:t>
      </w:r>
    </w:p>
    <w:p>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firstLine="440" w:firstLineChars="200"/>
        <w:textAlignment w:val="auto"/>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其它重要事项说明及承诺(请扼要叙述)</w:t>
      </w:r>
    </w:p>
    <w:p>
      <w:pPr>
        <w:pStyle w:val="14"/>
        <w:tabs>
          <w:tab w:val="left" w:pos="6183"/>
          <w:tab w:val="left" w:pos="8592"/>
        </w:tabs>
        <w:spacing w:before="1" w:line="360" w:lineRule="auto"/>
        <w:ind w:left="844" w:right="1751" w:hanging="24"/>
        <w:rPr>
          <w:rFonts w:hint="eastAsia" w:ascii="黑体" w:hAnsi="黑体" w:eastAsia="黑体" w:cs="黑体"/>
          <w:color w:val="auto"/>
          <w:sz w:val="22"/>
          <w:szCs w:val="22"/>
          <w:highlight w:val="none"/>
        </w:rPr>
      </w:pPr>
    </w:p>
    <w:p>
      <w:pPr>
        <w:pStyle w:val="14"/>
        <w:tabs>
          <w:tab w:val="left" w:pos="6183"/>
          <w:tab w:val="left" w:pos="8592"/>
        </w:tabs>
        <w:spacing w:before="1" w:line="360" w:lineRule="auto"/>
        <w:ind w:left="844" w:right="1751" w:hanging="24"/>
        <w:rPr>
          <w:rFonts w:hint="eastAsia" w:ascii="黑体" w:hAnsi="黑体" w:eastAsia="黑体" w:cs="黑体"/>
          <w:color w:val="auto"/>
          <w:sz w:val="22"/>
          <w:szCs w:val="22"/>
          <w:highlight w:val="none"/>
        </w:rPr>
      </w:pPr>
    </w:p>
    <w:p>
      <w:pPr>
        <w:pStyle w:val="14"/>
        <w:tabs>
          <w:tab w:val="left" w:pos="6183"/>
          <w:tab w:val="left" w:pos="8592"/>
        </w:tabs>
        <w:spacing w:before="1" w:line="360" w:lineRule="auto"/>
        <w:ind w:left="844" w:right="1751" w:hanging="24"/>
        <w:rPr>
          <w:rFonts w:hint="eastAsia" w:ascii="黑体" w:hAnsi="黑体" w:eastAsia="黑体" w:cs="黑体"/>
          <w:color w:val="auto"/>
          <w:sz w:val="22"/>
          <w:szCs w:val="22"/>
          <w:highlight w:val="none"/>
        </w:rPr>
      </w:pPr>
    </w:p>
    <w:p>
      <w:pPr>
        <w:spacing w:line="360" w:lineRule="auto"/>
        <w:jc w:val="both"/>
        <w:outlineLvl w:val="0"/>
        <w:rPr>
          <w:rFonts w:hint="eastAsia" w:ascii="黑体" w:hAnsi="黑体" w:eastAsia="黑体" w:cs="黑体"/>
          <w:b/>
          <w:bCs/>
          <w:color w:val="auto"/>
          <w:sz w:val="22"/>
          <w:szCs w:val="22"/>
          <w:highlight w:val="none"/>
        </w:rPr>
      </w:pPr>
      <w:bookmarkStart w:id="239" w:name="_Toc20282"/>
      <w:bookmarkStart w:id="240" w:name="_Toc2367"/>
      <w:bookmarkStart w:id="241" w:name="_Toc20982"/>
    </w:p>
    <w:p>
      <w:pPr>
        <w:pStyle w:val="14"/>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14"/>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14"/>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14"/>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b/>
          <w:bCs/>
          <w:color w:val="auto"/>
          <w:sz w:val="22"/>
          <w:szCs w:val="22"/>
          <w:highlight w:val="none"/>
        </w:rPr>
      </w:pPr>
    </w:p>
    <w:p>
      <w:pPr>
        <w:pStyle w:val="2"/>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b/>
          <w:bCs/>
          <w:color w:val="auto"/>
          <w:sz w:val="22"/>
          <w:szCs w:val="22"/>
          <w:highlight w:val="none"/>
        </w:rPr>
      </w:pPr>
    </w:p>
    <w:p>
      <w:pPr>
        <w:pStyle w:val="2"/>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b/>
          <w:bCs/>
          <w:color w:val="auto"/>
          <w:sz w:val="22"/>
          <w:szCs w:val="22"/>
          <w:highlight w:val="none"/>
        </w:rPr>
      </w:pPr>
    </w:p>
    <w:p>
      <w:pPr>
        <w:pStyle w:val="2"/>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b/>
          <w:bCs/>
          <w:color w:val="auto"/>
          <w:sz w:val="22"/>
          <w:szCs w:val="22"/>
          <w:highlight w:val="none"/>
        </w:rPr>
      </w:pPr>
    </w:p>
    <w:p>
      <w:pPr>
        <w:pStyle w:val="2"/>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b/>
          <w:bCs/>
          <w:color w:val="auto"/>
          <w:sz w:val="22"/>
          <w:szCs w:val="22"/>
          <w:highlight w:val="none"/>
        </w:rPr>
      </w:pPr>
    </w:p>
    <w:p>
      <w:pPr>
        <w:pStyle w:val="2"/>
        <w:rPr>
          <w:rFonts w:hint="eastAsia" w:ascii="黑体" w:hAnsi="黑体" w:eastAsia="黑体" w:cs="黑体"/>
          <w:b/>
          <w:bCs/>
          <w:color w:val="auto"/>
          <w:sz w:val="22"/>
          <w:szCs w:val="22"/>
          <w:highlight w:val="none"/>
        </w:rPr>
      </w:pPr>
    </w:p>
    <w:p>
      <w:pPr>
        <w:rPr>
          <w:rFonts w:hint="eastAsia" w:ascii="黑体" w:hAnsi="黑体" w:eastAsia="黑体" w:cs="黑体"/>
          <w:b/>
          <w:bCs/>
          <w:color w:val="auto"/>
          <w:sz w:val="22"/>
          <w:szCs w:val="22"/>
          <w:highlight w:val="none"/>
        </w:rPr>
      </w:pPr>
    </w:p>
    <w:p>
      <w:pPr>
        <w:pStyle w:val="6"/>
        <w:rPr>
          <w:rFonts w:hint="eastAsia" w:ascii="黑体" w:hAnsi="黑体" w:eastAsia="黑体" w:cs="黑体"/>
          <w:color w:val="auto"/>
        </w:rPr>
      </w:pPr>
    </w:p>
    <w:p>
      <w:pPr>
        <w:rPr>
          <w:rFonts w:hint="eastAsia" w:ascii="黑体" w:hAnsi="黑体" w:eastAsia="黑体" w:cs="黑体"/>
          <w:color w:val="auto"/>
        </w:rPr>
      </w:pPr>
    </w:p>
    <w:p>
      <w:pPr>
        <w:pStyle w:val="2"/>
        <w:rPr>
          <w:rFonts w:hint="eastAsia" w:ascii="黑体" w:hAnsi="黑体" w:eastAsia="黑体" w:cs="黑体"/>
          <w:color w:val="auto"/>
        </w:rPr>
      </w:pPr>
    </w:p>
    <w:p>
      <w:pPr>
        <w:pStyle w:val="24"/>
        <w:shd w:val="clear"/>
        <w:ind w:left="0" w:leftChars="0"/>
        <w:rPr>
          <w:rFonts w:hint="eastAsia" w:ascii="黑体" w:hAnsi="黑体" w:eastAsia="黑体" w:cs="黑体"/>
          <w:color w:val="auto"/>
          <w:highlight w:val="none"/>
        </w:rPr>
      </w:pPr>
    </w:p>
    <w:p>
      <w:pPr>
        <w:shd w:val="clear"/>
        <w:spacing w:line="480" w:lineRule="exact"/>
        <w:jc w:val="center"/>
        <w:outlineLvl w:val="0"/>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格式1：项目实施进度计划表</w:t>
      </w:r>
    </w:p>
    <w:tbl>
      <w:tblPr>
        <w:tblStyle w:val="29"/>
        <w:tblpPr w:leftFromText="180" w:rightFromText="180" w:vertAnchor="text" w:horzAnchor="page" w:tblpX="982" w:tblpY="359"/>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2535"/>
        <w:gridCol w:w="3707"/>
        <w:gridCol w:w="2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19" w:type="dxa"/>
            <w:shd w:val="clear" w:color="auto" w:fill="auto"/>
            <w:noWrap/>
            <w:vAlign w:val="center"/>
          </w:tcPr>
          <w:p>
            <w:pPr>
              <w:pStyle w:val="75"/>
              <w:shd w:val="clear"/>
              <w:jc w:val="center"/>
              <w:rPr>
                <w:rFonts w:hint="eastAsia" w:ascii="黑体" w:hAnsi="黑体" w:eastAsia="黑体" w:cs="黑体"/>
                <w:b/>
                <w:color w:val="auto"/>
                <w:highlight w:val="none"/>
              </w:rPr>
            </w:pPr>
            <w:r>
              <w:rPr>
                <w:rFonts w:hint="eastAsia" w:ascii="黑体" w:hAnsi="黑体" w:eastAsia="黑体" w:cs="黑体"/>
                <w:b/>
                <w:color w:val="auto"/>
                <w:w w:val="99"/>
                <w:highlight w:val="none"/>
              </w:rPr>
              <w:t>序号</w:t>
            </w:r>
          </w:p>
        </w:tc>
        <w:tc>
          <w:tcPr>
            <w:tcW w:w="2535" w:type="dxa"/>
            <w:shd w:val="clear" w:color="auto" w:fill="auto"/>
            <w:noWrap/>
            <w:vAlign w:val="center"/>
          </w:tcPr>
          <w:p>
            <w:pPr>
              <w:pStyle w:val="75"/>
              <w:shd w:val="clear"/>
              <w:jc w:val="center"/>
              <w:rPr>
                <w:rFonts w:hint="eastAsia" w:ascii="黑体" w:hAnsi="黑体" w:eastAsia="黑体" w:cs="黑体"/>
                <w:b/>
                <w:color w:val="auto"/>
                <w:highlight w:val="none"/>
              </w:rPr>
            </w:pPr>
            <w:r>
              <w:rPr>
                <w:rFonts w:hint="eastAsia" w:ascii="黑体" w:hAnsi="黑体" w:eastAsia="黑体" w:cs="黑体"/>
                <w:b/>
                <w:color w:val="auto"/>
                <w:highlight w:val="none"/>
              </w:rPr>
              <w:t>拟定时间安排</w:t>
            </w:r>
          </w:p>
        </w:tc>
        <w:tc>
          <w:tcPr>
            <w:tcW w:w="3707" w:type="dxa"/>
            <w:shd w:val="clear" w:color="auto" w:fill="auto"/>
            <w:noWrap/>
            <w:vAlign w:val="center"/>
          </w:tcPr>
          <w:p>
            <w:pPr>
              <w:pStyle w:val="75"/>
              <w:shd w:val="clear"/>
              <w:ind w:right="746"/>
              <w:jc w:val="center"/>
              <w:rPr>
                <w:rFonts w:hint="eastAsia" w:ascii="黑体" w:hAnsi="黑体" w:eastAsia="黑体" w:cs="黑体"/>
                <w:b/>
                <w:color w:val="auto"/>
                <w:highlight w:val="none"/>
              </w:rPr>
            </w:pPr>
            <w:r>
              <w:rPr>
                <w:rFonts w:hint="eastAsia" w:ascii="黑体" w:hAnsi="黑体" w:eastAsia="黑体" w:cs="黑体"/>
                <w:b/>
                <w:color w:val="auto"/>
                <w:highlight w:val="none"/>
                <w:lang w:val="en-US" w:eastAsia="zh-CN"/>
              </w:rPr>
              <w:t xml:space="preserve">      </w:t>
            </w:r>
            <w:r>
              <w:rPr>
                <w:rFonts w:hint="eastAsia" w:ascii="黑体" w:hAnsi="黑体" w:eastAsia="黑体" w:cs="黑体"/>
                <w:b/>
                <w:color w:val="auto"/>
                <w:highlight w:val="none"/>
              </w:rPr>
              <w:t>计划完成的工作内容</w:t>
            </w:r>
          </w:p>
        </w:tc>
        <w:tc>
          <w:tcPr>
            <w:tcW w:w="2639" w:type="dxa"/>
            <w:shd w:val="clear" w:color="auto" w:fill="auto"/>
            <w:noWrap/>
            <w:vAlign w:val="center"/>
          </w:tcPr>
          <w:p>
            <w:pPr>
              <w:pStyle w:val="75"/>
              <w:shd w:val="clear"/>
              <w:jc w:val="center"/>
              <w:rPr>
                <w:rFonts w:hint="eastAsia" w:ascii="黑体" w:hAnsi="黑体" w:eastAsia="黑体" w:cs="黑体"/>
                <w:b/>
                <w:color w:val="auto"/>
                <w:highlight w:val="none"/>
              </w:rPr>
            </w:pPr>
            <w:r>
              <w:rPr>
                <w:rFonts w:hint="eastAsia" w:ascii="黑体" w:hAnsi="黑体" w:eastAsia="黑体" w:cs="黑体"/>
                <w:b/>
                <w:color w:val="auto"/>
                <w:highlight w:val="none"/>
              </w:rPr>
              <w:t>实施方建议或要求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19" w:type="dxa"/>
            <w:noWrap/>
            <w:vAlign w:val="center"/>
          </w:tcPr>
          <w:p>
            <w:pPr>
              <w:pStyle w:val="75"/>
              <w:shd w:val="clear"/>
              <w:spacing w:before="99"/>
              <w:ind w:left="106"/>
              <w:jc w:val="center"/>
              <w:rPr>
                <w:rFonts w:hint="eastAsia" w:ascii="黑体" w:hAnsi="黑体" w:eastAsia="黑体" w:cs="黑体"/>
                <w:color w:val="auto"/>
                <w:highlight w:val="none"/>
              </w:rPr>
            </w:pPr>
            <w:r>
              <w:rPr>
                <w:rFonts w:hint="eastAsia" w:ascii="黑体" w:hAnsi="黑体" w:eastAsia="黑体" w:cs="黑体"/>
                <w:color w:val="auto"/>
                <w:w w:val="99"/>
                <w:highlight w:val="none"/>
              </w:rPr>
              <w:t>1</w:t>
            </w:r>
          </w:p>
        </w:tc>
        <w:tc>
          <w:tcPr>
            <w:tcW w:w="2535" w:type="dxa"/>
            <w:noWrap/>
            <w:vAlign w:val="center"/>
          </w:tcPr>
          <w:p>
            <w:pPr>
              <w:shd w:val="clea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拟定</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年</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月</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日</w:t>
            </w:r>
          </w:p>
        </w:tc>
        <w:tc>
          <w:tcPr>
            <w:tcW w:w="3707" w:type="dxa"/>
            <w:noWrap/>
            <w:vAlign w:val="center"/>
          </w:tcPr>
          <w:p>
            <w:pPr>
              <w:shd w:val="clea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签定合同并生效</w:t>
            </w:r>
          </w:p>
        </w:tc>
        <w:tc>
          <w:tcPr>
            <w:tcW w:w="2639" w:type="dxa"/>
            <w:noWrap/>
            <w:vAlign w:val="center"/>
          </w:tcPr>
          <w:p>
            <w:pPr>
              <w:pStyle w:val="75"/>
              <w:shd w:val="clear"/>
              <w:jc w:val="center"/>
              <w:rPr>
                <w:rFonts w:hint="eastAsia" w:ascii="黑体" w:hAnsi="黑体" w:eastAsia="黑体" w:cs="黑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19" w:type="dxa"/>
            <w:noWrap/>
            <w:vAlign w:val="center"/>
          </w:tcPr>
          <w:p>
            <w:pPr>
              <w:pStyle w:val="75"/>
              <w:shd w:val="clear"/>
              <w:spacing w:before="99"/>
              <w:ind w:left="106"/>
              <w:jc w:val="center"/>
              <w:rPr>
                <w:rFonts w:hint="eastAsia" w:ascii="黑体" w:hAnsi="黑体" w:eastAsia="黑体" w:cs="黑体"/>
                <w:color w:val="auto"/>
                <w:highlight w:val="none"/>
              </w:rPr>
            </w:pPr>
            <w:r>
              <w:rPr>
                <w:rFonts w:hint="eastAsia" w:ascii="黑体" w:hAnsi="黑体" w:eastAsia="黑体" w:cs="黑体"/>
                <w:color w:val="auto"/>
                <w:w w:val="99"/>
                <w:highlight w:val="none"/>
              </w:rPr>
              <w:t>2</w:t>
            </w:r>
          </w:p>
        </w:tc>
        <w:tc>
          <w:tcPr>
            <w:tcW w:w="2535" w:type="dxa"/>
            <w:noWrap/>
            <w:vAlign w:val="center"/>
          </w:tcPr>
          <w:p>
            <w:pPr>
              <w:shd w:val="clea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月</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日—</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月</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日</w:t>
            </w:r>
          </w:p>
        </w:tc>
        <w:tc>
          <w:tcPr>
            <w:tcW w:w="3707" w:type="dxa"/>
            <w:noWrap/>
            <w:vAlign w:val="center"/>
          </w:tcPr>
          <w:p>
            <w:pPr>
              <w:shd w:val="clear"/>
              <w:spacing w:line="360" w:lineRule="auto"/>
              <w:jc w:val="center"/>
              <w:rPr>
                <w:rFonts w:hint="eastAsia" w:ascii="黑体" w:hAnsi="黑体" w:eastAsia="黑体" w:cs="黑体"/>
                <w:color w:val="auto"/>
                <w:szCs w:val="21"/>
                <w:highlight w:val="none"/>
              </w:rPr>
            </w:pPr>
          </w:p>
        </w:tc>
        <w:tc>
          <w:tcPr>
            <w:tcW w:w="2639" w:type="dxa"/>
            <w:noWrap/>
            <w:vAlign w:val="center"/>
          </w:tcPr>
          <w:p>
            <w:pPr>
              <w:pStyle w:val="75"/>
              <w:shd w:val="clear"/>
              <w:jc w:val="center"/>
              <w:rPr>
                <w:rFonts w:hint="eastAsia" w:ascii="黑体" w:hAnsi="黑体" w:eastAsia="黑体" w:cs="黑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919" w:type="dxa"/>
            <w:noWrap/>
            <w:vAlign w:val="center"/>
          </w:tcPr>
          <w:p>
            <w:pPr>
              <w:pStyle w:val="75"/>
              <w:shd w:val="clear"/>
              <w:spacing w:before="98"/>
              <w:ind w:left="106"/>
              <w:jc w:val="center"/>
              <w:rPr>
                <w:rFonts w:hint="eastAsia" w:ascii="黑体" w:hAnsi="黑体" w:eastAsia="黑体" w:cs="黑体"/>
                <w:color w:val="auto"/>
                <w:highlight w:val="none"/>
              </w:rPr>
            </w:pPr>
            <w:r>
              <w:rPr>
                <w:rFonts w:hint="eastAsia" w:ascii="黑体" w:hAnsi="黑体" w:eastAsia="黑体" w:cs="黑体"/>
                <w:color w:val="auto"/>
                <w:w w:val="99"/>
                <w:highlight w:val="none"/>
              </w:rPr>
              <w:t>3</w:t>
            </w:r>
          </w:p>
        </w:tc>
        <w:tc>
          <w:tcPr>
            <w:tcW w:w="2535" w:type="dxa"/>
            <w:noWrap/>
            <w:vAlign w:val="center"/>
          </w:tcPr>
          <w:p>
            <w:pPr>
              <w:shd w:val="clea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月</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日—</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月</w:t>
            </w:r>
            <w:r>
              <w:rPr>
                <w:rFonts w:hint="eastAsia" w:ascii="黑体" w:hAnsi="黑体" w:eastAsia="黑体" w:cs="黑体"/>
                <w:color w:val="auto"/>
                <w:szCs w:val="21"/>
                <w:highlight w:val="none"/>
              </w:rPr>
              <w:tab/>
            </w:r>
            <w:r>
              <w:rPr>
                <w:rFonts w:hint="eastAsia" w:ascii="黑体" w:hAnsi="黑体" w:eastAsia="黑体" w:cs="黑体"/>
                <w:color w:val="auto"/>
                <w:szCs w:val="21"/>
                <w:highlight w:val="none"/>
              </w:rPr>
              <w:t>日</w:t>
            </w:r>
          </w:p>
        </w:tc>
        <w:tc>
          <w:tcPr>
            <w:tcW w:w="3707" w:type="dxa"/>
            <w:noWrap/>
            <w:vAlign w:val="center"/>
          </w:tcPr>
          <w:p>
            <w:pPr>
              <w:shd w:val="clear"/>
              <w:spacing w:line="360" w:lineRule="auto"/>
              <w:jc w:val="center"/>
              <w:rPr>
                <w:rFonts w:hint="eastAsia" w:ascii="黑体" w:hAnsi="黑体" w:eastAsia="黑体" w:cs="黑体"/>
                <w:color w:val="auto"/>
                <w:szCs w:val="21"/>
                <w:highlight w:val="none"/>
              </w:rPr>
            </w:pPr>
          </w:p>
        </w:tc>
        <w:tc>
          <w:tcPr>
            <w:tcW w:w="2639" w:type="dxa"/>
            <w:noWrap/>
            <w:vAlign w:val="center"/>
          </w:tcPr>
          <w:p>
            <w:pPr>
              <w:pStyle w:val="75"/>
              <w:shd w:val="clear"/>
              <w:jc w:val="center"/>
              <w:rPr>
                <w:rFonts w:hint="eastAsia" w:ascii="黑体" w:hAnsi="黑体" w:eastAsia="黑体" w:cs="黑体"/>
                <w:color w:val="auto"/>
                <w:sz w:val="22"/>
                <w:highlight w:val="none"/>
              </w:rPr>
            </w:pPr>
          </w:p>
        </w:tc>
      </w:tr>
    </w:tbl>
    <w:p>
      <w:pPr>
        <w:pStyle w:val="2"/>
        <w:rPr>
          <w:rFonts w:hint="eastAsia" w:ascii="黑体" w:hAnsi="黑体" w:eastAsia="黑体" w:cs="黑体"/>
        </w:rPr>
      </w:pPr>
    </w:p>
    <w:p>
      <w:pPr>
        <w:rPr>
          <w:rFonts w:hint="eastAsia" w:ascii="黑体" w:hAnsi="黑体" w:eastAsia="黑体" w:cs="黑体"/>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lang w:val="en-US" w:eastAsia="zh-CN"/>
        </w:rPr>
      </w:pPr>
    </w:p>
    <w:p>
      <w:pPr>
        <w:spacing w:line="360" w:lineRule="auto"/>
        <w:jc w:val="center"/>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第4部分  商务响应</w:t>
      </w:r>
      <w:r>
        <w:rPr>
          <w:rFonts w:hint="eastAsia" w:ascii="黑体" w:hAnsi="黑体" w:eastAsia="黑体" w:cs="黑体"/>
          <w:b/>
          <w:bCs/>
          <w:color w:val="auto"/>
          <w:sz w:val="32"/>
          <w:szCs w:val="32"/>
          <w:highlight w:val="none"/>
        </w:rPr>
        <w:t>方案</w:t>
      </w:r>
    </w:p>
    <w:p>
      <w:pPr>
        <w:tabs>
          <w:tab w:val="right" w:leader="dot" w:pos="9022"/>
        </w:tabs>
        <w:autoSpaceDE w:val="0"/>
        <w:autoSpaceDN w:val="0"/>
        <w:adjustRightInd w:val="0"/>
        <w:spacing w:line="360" w:lineRule="auto"/>
        <w:ind w:firstLine="440" w:firstLineChars="200"/>
        <w:jc w:val="left"/>
        <w:rPr>
          <w:rFonts w:hint="eastAsia" w:ascii="黑体" w:hAnsi="黑体" w:eastAsia="黑体" w:cs="黑体"/>
          <w:bCs/>
          <w:caps/>
          <w:color w:val="auto"/>
          <w:sz w:val="22"/>
          <w:szCs w:val="22"/>
          <w:highlight w:val="none"/>
        </w:rPr>
      </w:pPr>
    </w:p>
    <w:p>
      <w:pPr>
        <w:keepNext w:val="0"/>
        <w:keepLines w:val="0"/>
        <w:pageBreakBefore w:val="0"/>
        <w:widowControl w:val="0"/>
        <w:kinsoku/>
        <w:wordWrap/>
        <w:overflowPunct/>
        <w:topLinePunct w:val="0"/>
        <w:autoSpaceDE/>
        <w:autoSpaceDN/>
        <w:bidi w:val="0"/>
        <w:adjustRightInd/>
        <w:spacing w:line="360" w:lineRule="auto"/>
        <w:ind w:firstLine="330" w:firstLineChars="150"/>
        <w:jc w:val="left"/>
        <w:textAlignment w:val="auto"/>
        <w:rPr>
          <w:rFonts w:hint="eastAsia" w:ascii="黑体" w:hAnsi="黑体" w:eastAsia="黑体" w:cs="黑体"/>
          <w:b w:val="0"/>
          <w:bCs/>
          <w:color w:val="auto"/>
          <w:kern w:val="2"/>
          <w:sz w:val="22"/>
          <w:szCs w:val="22"/>
          <w:highlight w:val="none"/>
          <w:lang w:val="en-US" w:eastAsia="zh-CN" w:bidi="ar-SA"/>
        </w:rPr>
      </w:pPr>
      <w:r>
        <w:rPr>
          <w:rFonts w:hint="eastAsia" w:ascii="黑体" w:hAnsi="黑体" w:eastAsia="黑体" w:cs="黑体"/>
          <w:bCs/>
          <w:color w:val="auto"/>
          <w:sz w:val="22"/>
          <w:szCs w:val="22"/>
          <w:highlight w:val="none"/>
        </w:rPr>
        <w:t>说明：由供应商根据第三章 《评审标准》内评审要素一览表</w:t>
      </w:r>
      <w:r>
        <w:rPr>
          <w:rFonts w:hint="eastAsia" w:ascii="黑体" w:hAnsi="黑体" w:eastAsia="黑体" w:cs="黑体"/>
          <w:bCs/>
          <w:color w:val="auto"/>
          <w:sz w:val="22"/>
          <w:szCs w:val="22"/>
          <w:highlight w:val="none"/>
          <w:lang w:val="en-US" w:eastAsia="zh-CN"/>
        </w:rPr>
        <w:t>商务部分</w:t>
      </w:r>
      <w:r>
        <w:rPr>
          <w:rFonts w:hint="eastAsia" w:ascii="黑体" w:hAnsi="黑体" w:eastAsia="黑体" w:cs="黑体"/>
          <w:bCs/>
          <w:color w:val="auto"/>
          <w:sz w:val="22"/>
          <w:szCs w:val="22"/>
          <w:highlight w:val="none"/>
        </w:rPr>
        <w:t>的</w:t>
      </w:r>
      <w:r>
        <w:rPr>
          <w:rFonts w:hint="eastAsia" w:ascii="黑体" w:hAnsi="黑体" w:eastAsia="黑体" w:cs="黑体"/>
          <w:bCs/>
          <w:color w:val="auto"/>
          <w:sz w:val="22"/>
          <w:szCs w:val="22"/>
          <w:highlight w:val="none"/>
          <w:lang w:val="en-US" w:eastAsia="zh-CN"/>
        </w:rPr>
        <w:t>评审标准</w:t>
      </w:r>
      <w:r>
        <w:rPr>
          <w:rFonts w:hint="eastAsia" w:ascii="黑体" w:hAnsi="黑体" w:eastAsia="黑体" w:cs="黑体"/>
          <w:bCs/>
          <w:color w:val="auto"/>
          <w:sz w:val="22"/>
          <w:szCs w:val="22"/>
          <w:highlight w:val="none"/>
        </w:rPr>
        <w:t>，结合第四章《采购内容及具体要求》等进行编制，格式内容自拟。</w:t>
      </w:r>
    </w:p>
    <w:p>
      <w:pPr>
        <w:pStyle w:val="19"/>
        <w:keepNext w:val="0"/>
        <w:keepLines w:val="0"/>
        <w:pageBreakBefore w:val="0"/>
        <w:widowControl w:val="0"/>
        <w:numPr>
          <w:ilvl w:val="0"/>
          <w:numId w:val="0"/>
        </w:numPr>
        <w:kinsoku/>
        <w:wordWrap/>
        <w:overflowPunct/>
        <w:topLinePunct w:val="0"/>
        <w:autoSpaceDE/>
        <w:autoSpaceDN/>
        <w:bidi w:val="0"/>
        <w:adjustRightInd/>
        <w:spacing w:line="360" w:lineRule="auto"/>
        <w:ind w:firstLine="440" w:firstLineChars="200"/>
        <w:textAlignment w:val="auto"/>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其它重要事项说明及承诺(请扼要叙述)</w:t>
      </w: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bookmarkEnd w:id="234"/>
    <w:bookmarkEnd w:id="235"/>
    <w:bookmarkEnd w:id="236"/>
    <w:bookmarkEnd w:id="237"/>
    <w:bookmarkEnd w:id="238"/>
    <w:bookmarkEnd w:id="239"/>
    <w:bookmarkEnd w:id="240"/>
    <w:bookmarkEnd w:id="241"/>
    <w:p>
      <w:pPr>
        <w:spacing w:line="360" w:lineRule="auto"/>
        <w:jc w:val="center"/>
        <w:outlineLvl w:val="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格式1：商务</w:t>
      </w:r>
      <w:r>
        <w:rPr>
          <w:rFonts w:hint="eastAsia" w:ascii="黑体" w:hAnsi="黑体" w:eastAsia="黑体" w:cs="黑体"/>
          <w:b/>
          <w:bCs/>
          <w:color w:val="auto"/>
          <w:sz w:val="24"/>
          <w:szCs w:val="24"/>
          <w:highlight w:val="none"/>
        </w:rPr>
        <w:t>条款偏离表</w:t>
      </w:r>
    </w:p>
    <w:p>
      <w:pPr>
        <w:spacing w:line="360" w:lineRule="auto"/>
        <w:rPr>
          <w:rFonts w:hint="eastAsia" w:ascii="黑体" w:hAnsi="黑体" w:eastAsia="黑体" w:cs="黑体"/>
          <w:bCs/>
          <w:color w:val="auto"/>
          <w:kern w:val="0"/>
          <w:sz w:val="24"/>
          <w:szCs w:val="24"/>
          <w:highlight w:val="none"/>
        </w:rPr>
      </w:pPr>
      <w:bookmarkStart w:id="242" w:name="_Toc1779_WPSOffice_Level1"/>
      <w:bookmarkStart w:id="243" w:name="_Toc1138_WPSOffice_Level1"/>
      <w:bookmarkStart w:id="244" w:name="_Toc17338_WPSOffice_Level1"/>
    </w:p>
    <w:p>
      <w:pPr>
        <w:pStyle w:val="6"/>
        <w:spacing w:after="156" w:afterLines="50"/>
        <w:ind w:firstLine="110" w:firstLineChars="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项目名称：                           </w:t>
      </w:r>
    </w:p>
    <w:p>
      <w:pPr>
        <w:pStyle w:val="6"/>
        <w:spacing w:after="156" w:afterLines="50"/>
        <w:ind w:firstLine="110" w:firstLineChars="50"/>
        <w:rPr>
          <w:rFonts w:hint="eastAsia" w:ascii="黑体" w:hAnsi="黑体" w:eastAsia="黑体" w:cs="黑体"/>
          <w:color w:val="auto"/>
          <w:sz w:val="24"/>
          <w:szCs w:val="24"/>
          <w:highlight w:val="none"/>
        </w:rPr>
      </w:pPr>
      <w:r>
        <w:rPr>
          <w:rFonts w:hint="eastAsia" w:ascii="黑体" w:hAnsi="黑体" w:eastAsia="黑体" w:cs="黑体"/>
          <w:color w:val="auto"/>
          <w:sz w:val="22"/>
          <w:szCs w:val="22"/>
          <w:highlight w:val="none"/>
        </w:rPr>
        <w:t>项目编号：</w:t>
      </w:r>
      <w:r>
        <w:rPr>
          <w:rFonts w:hint="eastAsia" w:ascii="黑体" w:hAnsi="黑体" w:eastAsia="黑体" w:cs="黑体"/>
          <w:bCs/>
          <w:color w:val="auto"/>
          <w:kern w:val="0"/>
          <w:sz w:val="24"/>
          <w:szCs w:val="24"/>
          <w:highlight w:val="none"/>
        </w:rPr>
        <w:t xml:space="preserve">          </w:t>
      </w:r>
    </w:p>
    <w:tbl>
      <w:tblPr>
        <w:tblStyle w:val="29"/>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341"/>
        <w:gridCol w:w="2536"/>
        <w:gridCol w:w="218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1102"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序号</w:t>
            </w:r>
          </w:p>
        </w:tc>
        <w:tc>
          <w:tcPr>
            <w:tcW w:w="23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3"/>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磋商文件</w:t>
            </w:r>
          </w:p>
          <w:p>
            <w:pPr>
              <w:keepNext w:val="0"/>
              <w:keepLines w:val="0"/>
              <w:pageBreakBefore w:val="0"/>
              <w:widowControl w:val="0"/>
              <w:kinsoku/>
              <w:wordWrap/>
              <w:overflowPunct/>
              <w:topLinePunct w:val="0"/>
              <w:autoSpaceDE/>
              <w:autoSpaceDN/>
              <w:bidi w:val="0"/>
              <w:adjustRightInd w:val="0"/>
              <w:snapToGrid w:val="0"/>
              <w:spacing w:line="240" w:lineRule="auto"/>
              <w:ind w:right="23"/>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val="en-US" w:eastAsia="zh-CN"/>
              </w:rPr>
              <w:t>商务</w:t>
            </w:r>
            <w:r>
              <w:rPr>
                <w:rFonts w:hint="eastAsia" w:ascii="黑体" w:hAnsi="黑体" w:eastAsia="黑体" w:cs="黑体"/>
                <w:b w:val="0"/>
                <w:bCs w:val="0"/>
                <w:color w:val="auto"/>
                <w:sz w:val="22"/>
                <w:szCs w:val="22"/>
                <w:highlight w:val="none"/>
              </w:rPr>
              <w:t>条款要求</w:t>
            </w:r>
          </w:p>
        </w:tc>
        <w:tc>
          <w:tcPr>
            <w:tcW w:w="25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23"/>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磋商响应文件</w:t>
            </w:r>
          </w:p>
          <w:p>
            <w:pPr>
              <w:keepNext w:val="0"/>
              <w:keepLines w:val="0"/>
              <w:pageBreakBefore w:val="0"/>
              <w:widowControl w:val="0"/>
              <w:kinsoku/>
              <w:wordWrap/>
              <w:overflowPunct/>
              <w:topLinePunct w:val="0"/>
              <w:autoSpaceDE/>
              <w:autoSpaceDN/>
              <w:bidi w:val="0"/>
              <w:adjustRightInd w:val="0"/>
              <w:snapToGrid w:val="0"/>
              <w:spacing w:line="240" w:lineRule="auto"/>
              <w:ind w:right="23"/>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val="en-US" w:eastAsia="zh-CN"/>
              </w:rPr>
              <w:t>商务</w:t>
            </w:r>
            <w:r>
              <w:rPr>
                <w:rFonts w:hint="eastAsia" w:ascii="黑体" w:hAnsi="黑体" w:eastAsia="黑体" w:cs="黑体"/>
                <w:b w:val="0"/>
                <w:bCs w:val="0"/>
                <w:color w:val="auto"/>
                <w:sz w:val="22"/>
                <w:szCs w:val="22"/>
                <w:highlight w:val="none"/>
              </w:rPr>
              <w:t>条款响应</w:t>
            </w:r>
          </w:p>
        </w:tc>
        <w:tc>
          <w:tcPr>
            <w:tcW w:w="2184" w:type="dxa"/>
            <w:vAlign w:val="center"/>
          </w:tcPr>
          <w:p>
            <w:pPr>
              <w:spacing w:line="320" w:lineRule="exact"/>
              <w:ind w:left="-37" w:firstLine="68"/>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响应评价</w:t>
            </w:r>
          </w:p>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（负差/相同/正偏）</w:t>
            </w:r>
          </w:p>
        </w:tc>
        <w:tc>
          <w:tcPr>
            <w:tcW w:w="786"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lang w:eastAsia="zh-CN"/>
              </w:rPr>
            </w:pPr>
            <w:r>
              <w:rPr>
                <w:rFonts w:hint="eastAsia" w:ascii="黑体" w:hAnsi="黑体" w:eastAsia="黑体" w:cs="黑体"/>
                <w:b w:val="0"/>
                <w:bCs w:val="0"/>
                <w:color w:val="auto"/>
                <w:sz w:val="22"/>
                <w:szCs w:val="2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2"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341"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536"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84"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786" w:type="dxa"/>
          </w:tcPr>
          <w:p>
            <w:pPr>
              <w:adjustRightInd w:val="0"/>
              <w:snapToGrid w:val="0"/>
              <w:spacing w:line="360" w:lineRule="auto"/>
              <w:ind w:right="24"/>
              <w:rPr>
                <w:rFonts w:hint="eastAsia" w:ascii="黑体" w:hAnsi="黑体" w:eastAsia="黑体" w:cs="黑体"/>
                <w:bCs/>
                <w:color w:val="auto"/>
                <w:sz w:val="22"/>
                <w:szCs w:val="22"/>
                <w:highlight w:val="none"/>
              </w:rPr>
            </w:pPr>
          </w:p>
        </w:tc>
      </w:tr>
    </w:tbl>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1.本表只填写</w:t>
      </w:r>
      <w:r>
        <w:rPr>
          <w:rFonts w:hint="eastAsia" w:ascii="黑体" w:hAnsi="黑体" w:eastAsia="黑体" w:cs="黑体"/>
          <w:color w:val="auto"/>
          <w:sz w:val="22"/>
          <w:szCs w:val="22"/>
          <w:highlight w:val="none"/>
          <w:lang w:eastAsia="zh-CN"/>
        </w:rPr>
        <w:t>响应</w:t>
      </w:r>
      <w:r>
        <w:rPr>
          <w:rFonts w:hint="eastAsia" w:ascii="黑体" w:hAnsi="黑体" w:eastAsia="黑体" w:cs="黑体"/>
          <w:color w:val="auto"/>
          <w:sz w:val="22"/>
          <w:szCs w:val="22"/>
          <w:highlight w:val="none"/>
        </w:rPr>
        <w:t>文件中与</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文件有偏离（包括正偏离和负偏离）的内容，与</w:t>
      </w:r>
      <w:r>
        <w:rPr>
          <w:rFonts w:hint="eastAsia" w:ascii="黑体" w:hAnsi="黑体" w:eastAsia="黑体" w:cs="黑体"/>
          <w:color w:val="auto"/>
          <w:sz w:val="22"/>
          <w:szCs w:val="22"/>
          <w:highlight w:val="none"/>
          <w:lang w:eastAsia="zh-CN"/>
        </w:rPr>
        <w:t>磋商</w:t>
      </w:r>
      <w:r>
        <w:rPr>
          <w:rFonts w:hint="eastAsia" w:ascii="黑体" w:hAnsi="黑体" w:eastAsia="黑体" w:cs="黑体"/>
          <w:color w:val="auto"/>
          <w:sz w:val="22"/>
          <w:szCs w:val="22"/>
          <w:highlight w:val="none"/>
        </w:rPr>
        <w:t>文件要求完全一致的，不用在此表中列出，但必须提交空白表（须签字盖章）。</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2．供应商必须据实填写，不得虚假响应，否则将取消其中标资格，并按有关规定进处罚。</w:t>
      </w:r>
    </w:p>
    <w:p>
      <w:pPr>
        <w:rPr>
          <w:rFonts w:hint="eastAsia" w:ascii="黑体" w:hAnsi="黑体" w:eastAsia="黑体" w:cs="黑体"/>
          <w:color w:val="auto"/>
          <w:sz w:val="24"/>
          <w:szCs w:val="24"/>
          <w:highlight w:val="none"/>
        </w:rPr>
      </w:pPr>
    </w:p>
    <w:p>
      <w:pPr>
        <w:pStyle w:val="2"/>
        <w:rPr>
          <w:rFonts w:hint="eastAsia" w:ascii="黑体" w:hAnsi="黑体" w:eastAsia="黑体" w:cs="黑体"/>
          <w:color w:val="auto"/>
          <w:sz w:val="24"/>
          <w:szCs w:val="24"/>
          <w:highlight w:val="none"/>
        </w:rPr>
      </w:pPr>
    </w:p>
    <w:p>
      <w:pPr>
        <w:rPr>
          <w:rFonts w:hint="eastAsia" w:ascii="黑体" w:hAnsi="黑体" w:eastAsia="黑体" w:cs="黑体"/>
          <w:color w:val="auto"/>
          <w:sz w:val="24"/>
          <w:szCs w:val="24"/>
          <w:highlight w:val="none"/>
        </w:rPr>
      </w:pPr>
    </w:p>
    <w:p>
      <w:pPr>
        <w:spacing w:line="360" w:lineRule="auto"/>
        <w:ind w:right="-60"/>
        <w:jc w:val="both"/>
        <w:rPr>
          <w:rFonts w:hint="eastAsia" w:ascii="黑体" w:hAnsi="黑体" w:eastAsia="黑体" w:cs="黑体"/>
          <w:b/>
          <w:bCs/>
          <w:color w:val="auto"/>
          <w:sz w:val="24"/>
          <w:szCs w:val="24"/>
          <w:highlight w:val="none"/>
        </w:rPr>
      </w:pPr>
    </w:p>
    <w:p>
      <w:pPr>
        <w:spacing w:line="360" w:lineRule="auto"/>
        <w:ind w:firstLine="3960" w:firstLineChars="1800"/>
        <w:rPr>
          <w:rFonts w:hint="eastAsia" w:ascii="黑体" w:hAnsi="黑体" w:eastAsia="黑体" w:cs="黑体"/>
          <w:color w:val="auto"/>
          <w:sz w:val="22"/>
          <w:szCs w:val="22"/>
          <w:highlight w:val="none"/>
        </w:rPr>
      </w:pPr>
      <w:bookmarkStart w:id="245" w:name="_Toc5907"/>
      <w:bookmarkStart w:id="246" w:name="_Toc2396"/>
      <w:bookmarkStart w:id="247" w:name="_Toc2029"/>
      <w:bookmarkStart w:id="248" w:name="_Toc8863"/>
      <w:bookmarkStart w:id="249" w:name="_Toc8868"/>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lang w:val="zh-CN"/>
        </w:rPr>
        <w:t>（公章）</w:t>
      </w:r>
    </w:p>
    <w:p>
      <w:pPr>
        <w:spacing w:line="360" w:lineRule="auto"/>
        <w:ind w:firstLine="3080" w:firstLineChars="1400"/>
        <w:rPr>
          <w:rFonts w:hint="eastAsia" w:ascii="黑体" w:hAnsi="黑体" w:eastAsia="黑体" w:cs="黑体"/>
          <w:color w:val="auto"/>
          <w:sz w:val="22"/>
          <w:szCs w:val="22"/>
          <w:highlight w:val="none"/>
          <w:lang w:val="zh-CN"/>
        </w:rPr>
      </w:pPr>
    </w:p>
    <w:p>
      <w:pPr>
        <w:spacing w:line="360" w:lineRule="auto"/>
        <w:ind w:firstLine="3960" w:firstLineChars="1800"/>
        <w:rPr>
          <w:rFonts w:hint="eastAsia" w:ascii="黑体" w:hAnsi="黑体" w:eastAsia="黑体" w:cs="黑体"/>
          <w:color w:val="auto"/>
          <w:sz w:val="22"/>
          <w:szCs w:val="22"/>
          <w:highlight w:val="none"/>
          <w:lang w:val="zh-CN"/>
        </w:rPr>
      </w:pPr>
      <w:r>
        <w:rPr>
          <w:rFonts w:hint="eastAsia" w:ascii="黑体" w:hAnsi="黑体" w:eastAsia="黑体" w:cs="黑体"/>
          <w:bCs/>
          <w:caps/>
          <w:color w:val="auto"/>
          <w:sz w:val="22"/>
          <w:szCs w:val="22"/>
          <w:highlight w:val="none"/>
        </w:rPr>
        <w:t>法定代表人或其授权委托人</w:t>
      </w: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lang w:val="zh-CN"/>
        </w:rPr>
        <w:t>（签字）</w:t>
      </w:r>
    </w:p>
    <w:p>
      <w:pPr>
        <w:spacing w:line="360" w:lineRule="auto"/>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 xml:space="preserve"> </w:t>
      </w:r>
    </w:p>
    <w:p>
      <w:pPr>
        <w:spacing w:line="420" w:lineRule="exact"/>
        <w:ind w:firstLine="5060" w:firstLineChars="230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日期：</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w:t>
      </w:r>
    </w:p>
    <w:p>
      <w:pPr>
        <w:ind w:right="-60"/>
        <w:jc w:val="both"/>
        <w:rPr>
          <w:rFonts w:hint="eastAsia" w:ascii="黑体" w:hAnsi="黑体" w:eastAsia="黑体" w:cs="黑体"/>
          <w:b/>
          <w:bCs/>
          <w:color w:val="auto"/>
          <w:sz w:val="24"/>
          <w:szCs w:val="24"/>
          <w:lang w:val="en-US" w:eastAsia="zh-CN"/>
        </w:rPr>
      </w:pPr>
    </w:p>
    <w:p>
      <w:pPr>
        <w:pStyle w:val="19"/>
        <w:spacing w:line="360" w:lineRule="auto"/>
        <w:rPr>
          <w:rFonts w:hint="eastAsia" w:ascii="黑体" w:hAnsi="黑体" w:eastAsia="黑体" w:cs="黑体"/>
          <w:b/>
          <w:color w:val="auto"/>
          <w:sz w:val="24"/>
          <w:highlight w:val="none"/>
          <w:lang w:val="en-US" w:eastAsia="zh-CN"/>
        </w:rPr>
      </w:pPr>
    </w:p>
    <w:p>
      <w:pPr>
        <w:pStyle w:val="5"/>
        <w:widowControl/>
        <w:jc w:val="center"/>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格式2：类似项目</w:t>
      </w:r>
      <w:r>
        <w:rPr>
          <w:rFonts w:hint="eastAsia" w:ascii="黑体" w:hAnsi="黑体" w:eastAsia="黑体" w:cs="黑体"/>
          <w:b/>
          <w:color w:val="auto"/>
          <w:kern w:val="2"/>
          <w:sz w:val="24"/>
          <w:szCs w:val="24"/>
          <w:highlight w:val="none"/>
        </w:rPr>
        <w:t>业绩情况表</w:t>
      </w:r>
    </w:p>
    <w:tbl>
      <w:tblPr>
        <w:tblStyle w:val="29"/>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243"/>
        <w:gridCol w:w="1196"/>
        <w:gridCol w:w="1953"/>
        <w:gridCol w:w="10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51" w:hRule="atLeast"/>
          <w:jc w:val="center"/>
        </w:trPr>
        <w:tc>
          <w:tcPr>
            <w:tcW w:w="549"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序号</w:t>
            </w:r>
          </w:p>
        </w:tc>
        <w:tc>
          <w:tcPr>
            <w:tcW w:w="1097"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项目名称</w:t>
            </w:r>
          </w:p>
        </w:tc>
        <w:tc>
          <w:tcPr>
            <w:tcW w:w="2179"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项目内容</w:t>
            </w:r>
          </w:p>
        </w:tc>
        <w:tc>
          <w:tcPr>
            <w:tcW w:w="124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合同金额</w:t>
            </w:r>
          </w:p>
        </w:tc>
        <w:tc>
          <w:tcPr>
            <w:tcW w:w="1196"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客户</w:t>
            </w:r>
          </w:p>
        </w:tc>
        <w:tc>
          <w:tcPr>
            <w:tcW w:w="195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实施</w:t>
            </w:r>
            <w:r>
              <w:rPr>
                <w:rFonts w:hint="eastAsia" w:ascii="黑体" w:hAnsi="黑体" w:eastAsia="黑体" w:cs="黑体"/>
                <w:color w:val="auto"/>
                <w:sz w:val="22"/>
                <w:szCs w:val="22"/>
                <w:highlight w:val="none"/>
              </w:rPr>
              <w:t>日期</w:t>
            </w:r>
          </w:p>
        </w:tc>
        <w:tc>
          <w:tcPr>
            <w:tcW w:w="1078"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4" w:hRule="atLeast"/>
          <w:jc w:val="center"/>
        </w:trPr>
        <w:tc>
          <w:tcPr>
            <w:tcW w:w="549"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1097" w:type="dxa"/>
            <w:vAlign w:val="center"/>
          </w:tcPr>
          <w:p>
            <w:pPr>
              <w:spacing w:line="360" w:lineRule="auto"/>
              <w:jc w:val="center"/>
              <w:rPr>
                <w:rFonts w:hint="eastAsia" w:ascii="黑体" w:hAnsi="黑体" w:eastAsia="黑体" w:cs="黑体"/>
                <w:color w:val="auto"/>
                <w:sz w:val="22"/>
                <w:szCs w:val="22"/>
                <w:highlight w:val="none"/>
              </w:rPr>
            </w:pPr>
          </w:p>
        </w:tc>
        <w:tc>
          <w:tcPr>
            <w:tcW w:w="2179" w:type="dxa"/>
            <w:vAlign w:val="center"/>
          </w:tcPr>
          <w:p>
            <w:pPr>
              <w:spacing w:line="360" w:lineRule="auto"/>
              <w:jc w:val="center"/>
              <w:rPr>
                <w:rFonts w:hint="eastAsia" w:ascii="黑体" w:hAnsi="黑体" w:eastAsia="黑体" w:cs="黑体"/>
                <w:color w:val="auto"/>
                <w:sz w:val="22"/>
                <w:szCs w:val="22"/>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078" w:type="dxa"/>
          </w:tcPr>
          <w:p>
            <w:pPr>
              <w:spacing w:line="360" w:lineRule="auto"/>
              <w:jc w:val="center"/>
              <w:rPr>
                <w:rFonts w:hint="eastAsia" w:ascii="黑体" w:hAnsi="黑体" w:eastAsia="黑体" w:cs="黑体"/>
                <w:color w:val="auto"/>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1097" w:type="dxa"/>
            <w:vAlign w:val="center"/>
          </w:tcPr>
          <w:p>
            <w:pPr>
              <w:spacing w:line="360" w:lineRule="auto"/>
              <w:jc w:val="center"/>
              <w:rPr>
                <w:rFonts w:hint="eastAsia" w:ascii="黑体" w:hAnsi="黑体" w:eastAsia="黑体" w:cs="黑体"/>
                <w:color w:val="auto"/>
                <w:sz w:val="22"/>
                <w:szCs w:val="22"/>
                <w:highlight w:val="none"/>
              </w:rPr>
            </w:pPr>
          </w:p>
        </w:tc>
        <w:tc>
          <w:tcPr>
            <w:tcW w:w="2179" w:type="dxa"/>
            <w:vAlign w:val="center"/>
          </w:tcPr>
          <w:p>
            <w:pPr>
              <w:spacing w:line="360" w:lineRule="auto"/>
              <w:jc w:val="center"/>
              <w:rPr>
                <w:rFonts w:hint="eastAsia" w:ascii="黑体" w:hAnsi="黑体" w:eastAsia="黑体" w:cs="黑体"/>
                <w:color w:val="auto"/>
                <w:sz w:val="22"/>
                <w:szCs w:val="22"/>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078" w:type="dxa"/>
          </w:tcPr>
          <w:p>
            <w:pPr>
              <w:spacing w:line="360" w:lineRule="auto"/>
              <w:jc w:val="center"/>
              <w:rPr>
                <w:rFonts w:hint="eastAsia" w:ascii="黑体" w:hAnsi="黑体" w:eastAsia="黑体" w:cs="黑体"/>
                <w:color w:val="auto"/>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pPr>
              <w:spacing w:line="360" w:lineRule="auto"/>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w:t>
            </w:r>
          </w:p>
        </w:tc>
        <w:tc>
          <w:tcPr>
            <w:tcW w:w="1097" w:type="dxa"/>
            <w:vAlign w:val="center"/>
          </w:tcPr>
          <w:p>
            <w:pPr>
              <w:spacing w:line="360" w:lineRule="auto"/>
              <w:jc w:val="center"/>
              <w:rPr>
                <w:rFonts w:hint="eastAsia" w:ascii="黑体" w:hAnsi="黑体" w:eastAsia="黑体" w:cs="黑体"/>
                <w:color w:val="auto"/>
                <w:sz w:val="22"/>
                <w:szCs w:val="22"/>
                <w:highlight w:val="none"/>
              </w:rPr>
            </w:pPr>
          </w:p>
        </w:tc>
        <w:tc>
          <w:tcPr>
            <w:tcW w:w="2179" w:type="dxa"/>
            <w:vAlign w:val="center"/>
          </w:tcPr>
          <w:p>
            <w:pPr>
              <w:spacing w:line="360" w:lineRule="auto"/>
              <w:jc w:val="center"/>
              <w:rPr>
                <w:rFonts w:hint="eastAsia" w:ascii="黑体" w:hAnsi="黑体" w:eastAsia="黑体" w:cs="黑体"/>
                <w:color w:val="auto"/>
                <w:sz w:val="22"/>
                <w:szCs w:val="22"/>
                <w:highlight w:val="none"/>
              </w:rPr>
            </w:pPr>
          </w:p>
        </w:tc>
        <w:tc>
          <w:tcPr>
            <w:tcW w:w="124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196"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953" w:type="dxa"/>
            <w:tcBorders>
              <w:left w:val="single" w:color="auto" w:sz="4" w:space="0"/>
              <w:right w:val="single" w:color="auto" w:sz="4" w:space="0"/>
            </w:tcBorders>
            <w:vAlign w:val="center"/>
          </w:tcPr>
          <w:p>
            <w:pPr>
              <w:spacing w:line="360" w:lineRule="auto"/>
              <w:jc w:val="center"/>
              <w:rPr>
                <w:rFonts w:hint="eastAsia" w:ascii="黑体" w:hAnsi="黑体" w:eastAsia="黑体" w:cs="黑体"/>
                <w:color w:val="auto"/>
                <w:sz w:val="22"/>
                <w:szCs w:val="22"/>
                <w:highlight w:val="none"/>
              </w:rPr>
            </w:pPr>
          </w:p>
        </w:tc>
        <w:tc>
          <w:tcPr>
            <w:tcW w:w="1078" w:type="dxa"/>
          </w:tcPr>
          <w:p>
            <w:pPr>
              <w:spacing w:line="360" w:lineRule="auto"/>
              <w:jc w:val="center"/>
              <w:rPr>
                <w:rFonts w:hint="eastAsia" w:ascii="黑体" w:hAnsi="黑体" w:eastAsia="黑体" w:cs="黑体"/>
                <w:color w:val="auto"/>
                <w:sz w:val="22"/>
                <w:szCs w:val="22"/>
                <w:highlight w:val="none"/>
              </w:rPr>
            </w:pPr>
          </w:p>
        </w:tc>
      </w:tr>
    </w:tbl>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注：</w:t>
      </w:r>
      <w:r>
        <w:rPr>
          <w:rFonts w:hint="eastAsia" w:ascii="黑体" w:hAnsi="黑体" w:eastAsia="黑体" w:cs="黑体"/>
          <w:color w:val="auto"/>
          <w:sz w:val="22"/>
          <w:szCs w:val="22"/>
          <w:highlight w:val="none"/>
        </w:rPr>
        <w:t>表后</w:t>
      </w:r>
      <w:r>
        <w:rPr>
          <w:rFonts w:hint="eastAsia" w:ascii="黑体" w:hAnsi="黑体" w:eastAsia="黑体" w:cs="黑体"/>
          <w:color w:val="auto"/>
          <w:sz w:val="22"/>
          <w:szCs w:val="22"/>
          <w:highlight w:val="none"/>
          <w:lang w:val="en-US" w:eastAsia="zh-CN"/>
        </w:rPr>
        <w:t>按填报的业绩顺序</w:t>
      </w:r>
      <w:r>
        <w:rPr>
          <w:rFonts w:hint="eastAsia" w:ascii="黑体" w:hAnsi="黑体" w:eastAsia="黑体" w:cs="黑体"/>
          <w:color w:val="auto"/>
          <w:sz w:val="22"/>
          <w:szCs w:val="22"/>
          <w:highlight w:val="none"/>
        </w:rPr>
        <w:t>附</w:t>
      </w:r>
      <w:r>
        <w:rPr>
          <w:rFonts w:hint="eastAsia" w:ascii="黑体" w:hAnsi="黑体" w:eastAsia="黑体" w:cs="黑体"/>
          <w:color w:val="auto"/>
          <w:sz w:val="22"/>
          <w:szCs w:val="22"/>
          <w:highlight w:val="none"/>
          <w:lang w:val="en-US" w:eastAsia="zh-CN"/>
        </w:rPr>
        <w:t>证明材料</w:t>
      </w:r>
      <w:r>
        <w:rPr>
          <w:rFonts w:hint="eastAsia" w:ascii="黑体" w:hAnsi="黑体" w:eastAsia="黑体" w:cs="黑体"/>
          <w:color w:val="auto"/>
          <w:sz w:val="22"/>
          <w:szCs w:val="22"/>
          <w:highlight w:val="none"/>
        </w:rPr>
        <w:t>。</w:t>
      </w:r>
    </w:p>
    <w:p>
      <w:pPr>
        <w:pStyle w:val="120"/>
        <w:spacing w:line="400" w:lineRule="exact"/>
        <w:ind w:left="19" w:firstLine="0" w:firstLineChars="0"/>
        <w:jc w:val="center"/>
        <w:outlineLvl w:val="0"/>
        <w:rPr>
          <w:rFonts w:hint="eastAsia" w:ascii="黑体" w:hAnsi="黑体" w:eastAsia="黑体" w:cs="黑体"/>
          <w:color w:val="auto"/>
        </w:rPr>
      </w:pPr>
    </w:p>
    <w:p>
      <w:pPr>
        <w:tabs>
          <w:tab w:val="left" w:pos="0"/>
        </w:tabs>
        <w:spacing w:line="360" w:lineRule="auto"/>
        <w:jc w:val="center"/>
        <w:rPr>
          <w:rFonts w:hint="eastAsia" w:ascii="黑体" w:hAnsi="黑体" w:eastAsia="黑体" w:cs="黑体"/>
          <w:b/>
          <w:bCs/>
          <w:color w:val="auto"/>
          <w:sz w:val="22"/>
          <w:szCs w:val="22"/>
          <w:highlight w:val="none"/>
          <w:lang w:val="en-US" w:eastAsia="zh-CN"/>
        </w:rPr>
      </w:pPr>
    </w:p>
    <w:p>
      <w:pPr>
        <w:tabs>
          <w:tab w:val="left" w:pos="0"/>
        </w:tabs>
        <w:spacing w:line="360" w:lineRule="auto"/>
        <w:jc w:val="center"/>
        <w:rPr>
          <w:rFonts w:hint="eastAsia" w:ascii="黑体" w:hAnsi="黑体" w:eastAsia="黑体" w:cs="黑体"/>
          <w:b/>
          <w:bCs/>
          <w:color w:val="auto"/>
          <w:sz w:val="22"/>
          <w:szCs w:val="22"/>
          <w:highlight w:val="none"/>
          <w:lang w:val="en-US" w:eastAsia="zh-CN"/>
        </w:rPr>
      </w:pPr>
    </w:p>
    <w:p>
      <w:pPr>
        <w:tabs>
          <w:tab w:val="left" w:pos="0"/>
        </w:tabs>
        <w:spacing w:line="360" w:lineRule="auto"/>
        <w:jc w:val="center"/>
        <w:rPr>
          <w:rFonts w:hint="eastAsia" w:ascii="黑体" w:hAnsi="黑体" w:eastAsia="黑体" w:cs="黑体"/>
          <w:b/>
          <w:bCs/>
          <w:color w:val="auto"/>
          <w:sz w:val="22"/>
          <w:szCs w:val="22"/>
          <w:highlight w:val="none"/>
          <w:lang w:val="en-US" w:eastAsia="zh-CN"/>
        </w:rPr>
      </w:pPr>
    </w:p>
    <w:p>
      <w:pPr>
        <w:tabs>
          <w:tab w:val="left" w:pos="0"/>
        </w:tabs>
        <w:spacing w:line="360" w:lineRule="auto"/>
        <w:jc w:val="center"/>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pStyle w:val="43"/>
        <w:rPr>
          <w:rFonts w:hint="eastAsia" w:ascii="黑体" w:hAnsi="黑体" w:eastAsia="黑体" w:cs="黑体"/>
          <w:b/>
          <w:bCs/>
          <w:color w:val="auto"/>
          <w:sz w:val="22"/>
          <w:szCs w:val="22"/>
          <w:highlight w:val="none"/>
          <w:lang w:val="en-US" w:eastAsia="zh-CN"/>
        </w:rPr>
      </w:pPr>
    </w:p>
    <w:p>
      <w:pPr>
        <w:tabs>
          <w:tab w:val="left" w:pos="0"/>
        </w:tabs>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lang w:val="en-US" w:eastAsia="zh-CN"/>
        </w:rPr>
        <w:t>格式3：</w:t>
      </w:r>
      <w:r>
        <w:rPr>
          <w:rFonts w:hint="eastAsia" w:ascii="黑体" w:hAnsi="黑体" w:eastAsia="黑体" w:cs="黑体"/>
          <w:b/>
          <w:bCs/>
          <w:color w:val="auto"/>
          <w:sz w:val="22"/>
          <w:szCs w:val="22"/>
          <w:highlight w:val="none"/>
        </w:rPr>
        <w:t>项目负责人简历表</w:t>
      </w:r>
    </w:p>
    <w:p>
      <w:pPr>
        <w:pStyle w:val="14"/>
        <w:rPr>
          <w:rFonts w:hint="eastAsia" w:ascii="黑体" w:hAnsi="黑体" w:eastAsia="黑体" w:cs="黑体"/>
          <w:color w:val="auto"/>
          <w:sz w:val="22"/>
          <w:szCs w:val="22"/>
          <w:highlight w:val="none"/>
        </w:rPr>
      </w:pPr>
    </w:p>
    <w:tbl>
      <w:tblPr>
        <w:tblStyle w:val="2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姓       名</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性       别</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restart"/>
            <w:vAlign w:val="center"/>
          </w:tcPr>
          <w:p>
            <w:pPr>
              <w:spacing w:line="360" w:lineRule="auto"/>
              <w:jc w:val="center"/>
              <w:rPr>
                <w:rFonts w:hint="eastAsia" w:ascii="黑体" w:hAnsi="黑体" w:eastAsia="黑体" w:cs="黑体"/>
                <w:color w:val="auto"/>
                <w:sz w:val="22"/>
                <w:szCs w:val="22"/>
                <w:highlight w:val="none"/>
              </w:rPr>
            </w:pPr>
          </w:p>
          <w:p>
            <w:pPr>
              <w:spacing w:line="360" w:lineRule="auto"/>
              <w:jc w:val="center"/>
              <w:rPr>
                <w:rFonts w:hint="eastAsia" w:ascii="黑体" w:hAnsi="黑体" w:eastAsia="黑体" w:cs="黑体"/>
                <w:color w:val="auto"/>
                <w:sz w:val="22"/>
                <w:szCs w:val="22"/>
                <w:highlight w:val="none"/>
              </w:rPr>
            </w:pPr>
          </w:p>
          <w:p>
            <w:pPr>
              <w:spacing w:line="360" w:lineRule="auto"/>
              <w:jc w:val="center"/>
              <w:rPr>
                <w:rFonts w:hint="eastAsia" w:ascii="黑体" w:hAnsi="黑体" w:eastAsia="黑体" w:cs="黑体"/>
                <w:color w:val="auto"/>
                <w:sz w:val="22"/>
                <w:szCs w:val="22"/>
                <w:highlight w:val="none"/>
              </w:rPr>
            </w:pPr>
          </w:p>
          <w:p>
            <w:pPr>
              <w:spacing w:line="360" w:lineRule="auto"/>
              <w:jc w:val="center"/>
              <w:rPr>
                <w:rFonts w:hint="eastAsia" w:ascii="黑体" w:hAnsi="黑体" w:eastAsia="黑体" w:cs="黑体"/>
                <w:color w:val="auto"/>
                <w:sz w:val="22"/>
                <w:szCs w:val="22"/>
                <w:highlight w:val="none"/>
              </w:rPr>
            </w:pPr>
          </w:p>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年       龄</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职       务</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职       称</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毕 业 学 校</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毕 业 时 间</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所 学 专 业</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20" w:type="dxa"/>
            <w:vAlign w:val="center"/>
          </w:tcPr>
          <w:p>
            <w:pPr>
              <w:spacing w:line="360" w:lineRule="auto"/>
              <w:jc w:val="center"/>
              <w:rPr>
                <w:rFonts w:hint="eastAsia" w:ascii="黑体" w:hAnsi="黑体" w:eastAsia="黑体" w:cs="黑体"/>
                <w:color w:val="auto"/>
                <w:spacing w:val="-20"/>
                <w:sz w:val="22"/>
                <w:szCs w:val="22"/>
                <w:highlight w:val="none"/>
              </w:rPr>
            </w:pPr>
            <w:r>
              <w:rPr>
                <w:rFonts w:hint="eastAsia" w:ascii="黑体" w:hAnsi="黑体" w:eastAsia="黑体" w:cs="黑体"/>
                <w:color w:val="auto"/>
                <w:spacing w:val="-20"/>
                <w:sz w:val="22"/>
                <w:szCs w:val="22"/>
                <w:highlight w:val="none"/>
              </w:rPr>
              <w:t>专业技术资格证书</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 系 电 话</w:t>
            </w:r>
          </w:p>
        </w:tc>
        <w:tc>
          <w:tcPr>
            <w:tcW w:w="2340" w:type="dxa"/>
            <w:vAlign w:val="center"/>
          </w:tcPr>
          <w:p>
            <w:pPr>
              <w:spacing w:line="360" w:lineRule="auto"/>
              <w:jc w:val="center"/>
              <w:rPr>
                <w:rFonts w:hint="eastAsia" w:ascii="黑体" w:hAnsi="黑体" w:eastAsia="黑体" w:cs="黑体"/>
                <w:color w:val="auto"/>
                <w:sz w:val="22"/>
                <w:szCs w:val="22"/>
                <w:highlight w:val="none"/>
              </w:rPr>
            </w:pPr>
          </w:p>
        </w:tc>
        <w:tc>
          <w:tcPr>
            <w:tcW w:w="4518" w:type="dxa"/>
            <w:vMerge w:val="continue"/>
            <w:vAlign w:val="center"/>
          </w:tcPr>
          <w:p>
            <w:pP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252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拟在本项目中</w:t>
            </w:r>
          </w:p>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担任主要工作</w:t>
            </w:r>
          </w:p>
        </w:tc>
        <w:tc>
          <w:tcPr>
            <w:tcW w:w="6858" w:type="dxa"/>
            <w:gridSpan w:val="2"/>
            <w:vAlign w:val="center"/>
          </w:tcPr>
          <w:p>
            <w:pPr>
              <w:spacing w:line="360" w:lineRule="auto"/>
              <w:jc w:val="center"/>
              <w:rPr>
                <w:rFonts w:hint="eastAsia" w:ascii="黑体" w:hAnsi="黑体" w:eastAsia="黑体" w:cs="黑体"/>
                <w:color w:val="auto"/>
                <w:sz w:val="22"/>
                <w:szCs w:val="22"/>
                <w:highlight w:val="none"/>
              </w:rPr>
            </w:pPr>
          </w:p>
          <w:p>
            <w:pPr>
              <w:spacing w:line="360" w:lineRule="auto"/>
              <w:jc w:val="center"/>
              <w:rPr>
                <w:rFonts w:hint="eastAsia" w:ascii="黑体" w:hAnsi="黑体" w:eastAsia="黑体" w:cs="黑体"/>
                <w:color w:val="auto"/>
                <w:sz w:val="22"/>
                <w:szCs w:val="22"/>
                <w:highlight w:val="none"/>
              </w:rPr>
            </w:pPr>
          </w:p>
        </w:tc>
      </w:tr>
    </w:tbl>
    <w:p>
      <w:pPr>
        <w:pStyle w:val="19"/>
        <w:spacing w:line="360" w:lineRule="auto"/>
        <w:jc w:val="center"/>
        <w:rPr>
          <w:rFonts w:hint="eastAsia" w:ascii="黑体" w:hAnsi="黑体" w:eastAsia="黑体" w:cs="黑体"/>
          <w:b/>
          <w:bCs w:val="0"/>
          <w:color w:val="auto"/>
          <w:sz w:val="22"/>
          <w:szCs w:val="22"/>
          <w:highlight w:val="none"/>
          <w:lang w:val="en-US" w:eastAsia="zh-CN"/>
        </w:rPr>
      </w:pPr>
    </w:p>
    <w:p>
      <w:pPr>
        <w:pStyle w:val="19"/>
        <w:spacing w:line="360" w:lineRule="auto"/>
        <w:jc w:val="left"/>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注：</w:t>
      </w:r>
      <w:r>
        <w:rPr>
          <w:rFonts w:hint="eastAsia" w:ascii="黑体" w:hAnsi="黑体" w:eastAsia="黑体" w:cs="黑体"/>
          <w:color w:val="auto"/>
          <w:sz w:val="22"/>
          <w:szCs w:val="22"/>
          <w:highlight w:val="none"/>
        </w:rPr>
        <w:t>表后</w:t>
      </w:r>
      <w:r>
        <w:rPr>
          <w:rFonts w:hint="eastAsia" w:ascii="黑体" w:hAnsi="黑体" w:eastAsia="黑体" w:cs="黑体"/>
          <w:color w:val="auto"/>
          <w:sz w:val="22"/>
          <w:szCs w:val="22"/>
          <w:highlight w:val="none"/>
          <w:lang w:val="en-US" w:eastAsia="zh-CN"/>
        </w:rPr>
        <w:t>附业绩证明材料</w:t>
      </w:r>
      <w:r>
        <w:rPr>
          <w:rFonts w:hint="eastAsia" w:ascii="黑体" w:hAnsi="黑体" w:eastAsia="黑体" w:cs="黑体"/>
          <w:color w:val="auto"/>
          <w:sz w:val="22"/>
          <w:szCs w:val="22"/>
          <w:highlight w:val="none"/>
        </w:rPr>
        <w:t>。</w:t>
      </w:r>
    </w:p>
    <w:p>
      <w:pPr>
        <w:pStyle w:val="19"/>
        <w:spacing w:line="360" w:lineRule="auto"/>
        <w:jc w:val="center"/>
        <w:rPr>
          <w:rFonts w:hint="eastAsia" w:ascii="黑体" w:hAnsi="黑体" w:eastAsia="黑体" w:cs="黑体"/>
          <w:b/>
          <w:bCs w:val="0"/>
          <w:color w:val="auto"/>
          <w:sz w:val="22"/>
          <w:szCs w:val="22"/>
          <w:highlight w:val="none"/>
          <w:lang w:val="en-US" w:eastAsia="zh-CN"/>
        </w:rPr>
      </w:pPr>
    </w:p>
    <w:p>
      <w:pPr>
        <w:pStyle w:val="19"/>
        <w:spacing w:line="360" w:lineRule="auto"/>
        <w:jc w:val="center"/>
        <w:rPr>
          <w:rFonts w:hint="eastAsia" w:ascii="黑体" w:hAnsi="黑体" w:eastAsia="黑体" w:cs="黑体"/>
          <w:b/>
          <w:bCs w:val="0"/>
          <w:color w:val="auto"/>
          <w:sz w:val="22"/>
          <w:szCs w:val="22"/>
          <w:highlight w:val="none"/>
          <w:lang w:val="en-US" w:eastAsia="zh-CN"/>
        </w:rPr>
      </w:pPr>
    </w:p>
    <w:p>
      <w:pPr>
        <w:pStyle w:val="19"/>
        <w:spacing w:line="360" w:lineRule="auto"/>
        <w:jc w:val="center"/>
        <w:rPr>
          <w:rFonts w:hint="eastAsia" w:ascii="黑体" w:hAnsi="黑体" w:eastAsia="黑体" w:cs="黑体"/>
          <w:b/>
          <w:bCs w:val="0"/>
          <w:color w:val="auto"/>
          <w:sz w:val="22"/>
          <w:szCs w:val="22"/>
          <w:highlight w:val="none"/>
          <w:lang w:val="en-US" w:eastAsia="zh-CN"/>
        </w:rPr>
      </w:pPr>
    </w:p>
    <w:p>
      <w:pPr>
        <w:pStyle w:val="19"/>
        <w:spacing w:line="360" w:lineRule="auto"/>
        <w:jc w:val="center"/>
        <w:rPr>
          <w:rFonts w:hint="eastAsia" w:ascii="黑体" w:hAnsi="黑体" w:eastAsia="黑体" w:cs="黑体"/>
          <w:b/>
          <w:bCs w:val="0"/>
          <w:color w:val="auto"/>
          <w:sz w:val="22"/>
          <w:szCs w:val="22"/>
          <w:highlight w:val="none"/>
          <w:lang w:val="en-US" w:eastAsia="zh-CN"/>
        </w:rPr>
      </w:pPr>
    </w:p>
    <w:p>
      <w:pPr>
        <w:pStyle w:val="19"/>
        <w:spacing w:line="360" w:lineRule="auto"/>
        <w:jc w:val="center"/>
        <w:rPr>
          <w:rFonts w:hint="eastAsia" w:ascii="黑体" w:hAnsi="黑体" w:eastAsia="黑体" w:cs="黑体"/>
          <w:b/>
          <w:bCs w:val="0"/>
          <w:color w:val="auto"/>
          <w:sz w:val="22"/>
          <w:szCs w:val="22"/>
        </w:rPr>
      </w:pPr>
      <w:r>
        <w:rPr>
          <w:rFonts w:hint="eastAsia" w:ascii="黑体" w:hAnsi="黑体" w:eastAsia="黑体" w:cs="黑体"/>
          <w:b/>
          <w:bCs w:val="0"/>
          <w:color w:val="auto"/>
          <w:sz w:val="22"/>
          <w:szCs w:val="22"/>
          <w:highlight w:val="none"/>
          <w:lang w:val="en-US" w:eastAsia="zh-CN"/>
        </w:rPr>
        <w:t>格式4：</w:t>
      </w:r>
      <w:r>
        <w:rPr>
          <w:rFonts w:hint="eastAsia" w:ascii="黑体" w:hAnsi="黑体" w:eastAsia="黑体" w:cs="黑体"/>
          <w:b/>
          <w:bCs w:val="0"/>
          <w:color w:val="auto"/>
          <w:sz w:val="22"/>
          <w:szCs w:val="22"/>
        </w:rPr>
        <w:t>本项目拟投入人员汇总表</w:t>
      </w:r>
    </w:p>
    <w:tbl>
      <w:tblPr>
        <w:tblStyle w:val="2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83"/>
        <w:gridCol w:w="1213"/>
        <w:gridCol w:w="1322"/>
        <w:gridCol w:w="1240"/>
        <w:gridCol w:w="197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3"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序号</w:t>
            </w:r>
          </w:p>
        </w:tc>
        <w:tc>
          <w:tcPr>
            <w:tcW w:w="1483"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姓名</w:t>
            </w:r>
          </w:p>
        </w:tc>
        <w:tc>
          <w:tcPr>
            <w:tcW w:w="1213"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学历</w:t>
            </w:r>
          </w:p>
        </w:tc>
        <w:tc>
          <w:tcPr>
            <w:tcW w:w="1322"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职称</w:t>
            </w:r>
          </w:p>
        </w:tc>
        <w:tc>
          <w:tcPr>
            <w:tcW w:w="1240" w:type="dxa"/>
            <w:vAlign w:val="center"/>
          </w:tcPr>
          <w:p>
            <w:pPr>
              <w:pStyle w:val="15"/>
              <w:shd w:val="clear"/>
              <w:spacing w:line="360" w:lineRule="auto"/>
              <w:jc w:val="center"/>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工作年限</w:t>
            </w:r>
          </w:p>
        </w:tc>
        <w:tc>
          <w:tcPr>
            <w:tcW w:w="1978"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在本项目</w:t>
            </w:r>
          </w:p>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拟任职务</w:t>
            </w:r>
          </w:p>
        </w:tc>
        <w:tc>
          <w:tcPr>
            <w:tcW w:w="1309" w:type="dxa"/>
            <w:vAlign w:val="center"/>
          </w:tcPr>
          <w:p>
            <w:pPr>
              <w:pStyle w:val="15"/>
              <w:shd w:val="clear"/>
              <w:spacing w:line="360" w:lineRule="auto"/>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3" w:type="dxa"/>
          </w:tcPr>
          <w:p>
            <w:pPr>
              <w:shd w:val="clear"/>
              <w:spacing w:line="360" w:lineRule="auto"/>
              <w:jc w:val="center"/>
              <w:rPr>
                <w:rFonts w:hint="eastAsia" w:ascii="黑体" w:hAnsi="黑体" w:eastAsia="黑体" w:cs="黑体"/>
                <w:color w:val="auto"/>
                <w:sz w:val="22"/>
                <w:szCs w:val="22"/>
                <w:highlight w:val="none"/>
              </w:rPr>
            </w:pPr>
          </w:p>
        </w:tc>
        <w:tc>
          <w:tcPr>
            <w:tcW w:w="1483" w:type="dxa"/>
          </w:tcPr>
          <w:p>
            <w:pPr>
              <w:shd w:val="clear"/>
              <w:spacing w:line="360" w:lineRule="auto"/>
              <w:jc w:val="center"/>
              <w:rPr>
                <w:rFonts w:hint="eastAsia" w:ascii="黑体" w:hAnsi="黑体" w:eastAsia="黑体" w:cs="黑体"/>
                <w:color w:val="auto"/>
                <w:sz w:val="22"/>
                <w:szCs w:val="22"/>
                <w:highlight w:val="none"/>
              </w:rPr>
            </w:pPr>
          </w:p>
        </w:tc>
        <w:tc>
          <w:tcPr>
            <w:tcW w:w="1213" w:type="dxa"/>
          </w:tcPr>
          <w:p>
            <w:pPr>
              <w:shd w:val="clear"/>
              <w:spacing w:line="360" w:lineRule="auto"/>
              <w:jc w:val="center"/>
              <w:rPr>
                <w:rFonts w:hint="eastAsia" w:ascii="黑体" w:hAnsi="黑体" w:eastAsia="黑体" w:cs="黑体"/>
                <w:color w:val="auto"/>
                <w:sz w:val="22"/>
                <w:szCs w:val="22"/>
                <w:highlight w:val="none"/>
              </w:rPr>
            </w:pPr>
          </w:p>
        </w:tc>
        <w:tc>
          <w:tcPr>
            <w:tcW w:w="1322" w:type="dxa"/>
          </w:tcPr>
          <w:p>
            <w:pPr>
              <w:shd w:val="clear"/>
              <w:spacing w:line="360" w:lineRule="auto"/>
              <w:jc w:val="center"/>
              <w:rPr>
                <w:rFonts w:hint="eastAsia" w:ascii="黑体" w:hAnsi="黑体" w:eastAsia="黑体" w:cs="黑体"/>
                <w:color w:val="auto"/>
                <w:sz w:val="22"/>
                <w:szCs w:val="22"/>
                <w:highlight w:val="none"/>
              </w:rPr>
            </w:pPr>
          </w:p>
        </w:tc>
        <w:tc>
          <w:tcPr>
            <w:tcW w:w="1240" w:type="dxa"/>
          </w:tcPr>
          <w:p>
            <w:pPr>
              <w:shd w:val="clear"/>
              <w:spacing w:line="360" w:lineRule="auto"/>
              <w:jc w:val="center"/>
              <w:rPr>
                <w:rFonts w:hint="eastAsia" w:ascii="黑体" w:hAnsi="黑体" w:eastAsia="黑体" w:cs="黑体"/>
                <w:color w:val="auto"/>
                <w:sz w:val="22"/>
                <w:szCs w:val="22"/>
                <w:highlight w:val="none"/>
              </w:rPr>
            </w:pPr>
          </w:p>
        </w:tc>
        <w:tc>
          <w:tcPr>
            <w:tcW w:w="1978" w:type="dxa"/>
          </w:tcPr>
          <w:p>
            <w:pPr>
              <w:shd w:val="clear"/>
              <w:spacing w:line="360" w:lineRule="auto"/>
              <w:jc w:val="center"/>
              <w:rPr>
                <w:rFonts w:hint="eastAsia" w:ascii="黑体" w:hAnsi="黑体" w:eastAsia="黑体" w:cs="黑体"/>
                <w:color w:val="auto"/>
                <w:sz w:val="22"/>
                <w:szCs w:val="22"/>
                <w:highlight w:val="none"/>
              </w:rPr>
            </w:pPr>
          </w:p>
        </w:tc>
        <w:tc>
          <w:tcPr>
            <w:tcW w:w="1309" w:type="dxa"/>
          </w:tcPr>
          <w:p>
            <w:pPr>
              <w:shd w:val="clear"/>
              <w:spacing w:line="360" w:lineRule="auto"/>
              <w:jc w:val="center"/>
              <w:rPr>
                <w:rFonts w:hint="eastAsia" w:ascii="黑体" w:hAnsi="黑体" w:eastAsia="黑体" w:cs="黑体"/>
                <w:color w:val="auto"/>
                <w:sz w:val="22"/>
                <w:szCs w:val="22"/>
                <w:highlight w:val="none"/>
              </w:rPr>
            </w:pPr>
          </w:p>
        </w:tc>
      </w:tr>
    </w:tbl>
    <w:p>
      <w:pPr>
        <w:pStyle w:val="120"/>
        <w:ind w:firstLine="0" w:firstLineChars="0"/>
        <w:outlineLvl w:val="9"/>
        <w:rPr>
          <w:rFonts w:hint="eastAsia" w:ascii="黑体" w:hAnsi="黑体" w:eastAsia="黑体" w:cs="黑体"/>
          <w:color w:val="auto"/>
          <w:sz w:val="24"/>
          <w:szCs w:val="24"/>
        </w:rPr>
      </w:pPr>
    </w:p>
    <w:p>
      <w:pPr>
        <w:pStyle w:val="120"/>
        <w:spacing w:line="400" w:lineRule="exact"/>
        <w:ind w:left="19" w:firstLine="0" w:firstLineChars="0"/>
        <w:jc w:val="left"/>
        <w:outlineLvl w:val="0"/>
        <w:rPr>
          <w:rFonts w:hint="eastAsia" w:ascii="黑体" w:hAnsi="黑体" w:eastAsia="黑体" w:cs="黑体"/>
          <w:b w:val="0"/>
          <w:bCs w:val="0"/>
          <w:color w:val="auto"/>
          <w:sz w:val="22"/>
          <w:szCs w:val="22"/>
        </w:rPr>
      </w:pPr>
      <w:r>
        <w:rPr>
          <w:rFonts w:hint="eastAsia" w:ascii="黑体" w:hAnsi="黑体" w:eastAsia="黑体" w:cs="黑体"/>
          <w:b w:val="0"/>
          <w:bCs w:val="0"/>
          <w:color w:val="auto"/>
          <w:sz w:val="22"/>
          <w:szCs w:val="22"/>
        </w:rPr>
        <w:t>注：根据项目特点配备适合的专职专业人员；</w:t>
      </w:r>
      <w:r>
        <w:rPr>
          <w:rFonts w:hint="eastAsia" w:ascii="黑体" w:hAnsi="黑体" w:eastAsia="黑体" w:cs="黑体"/>
          <w:b w:val="0"/>
          <w:bCs w:val="0"/>
          <w:color w:val="auto"/>
          <w:sz w:val="22"/>
          <w:szCs w:val="22"/>
          <w:lang w:val="en-US" w:eastAsia="zh-CN"/>
        </w:rPr>
        <w:t>供应商</w:t>
      </w:r>
      <w:r>
        <w:rPr>
          <w:rFonts w:hint="eastAsia" w:ascii="黑体" w:hAnsi="黑体" w:eastAsia="黑体" w:cs="黑体"/>
          <w:b w:val="0"/>
          <w:bCs w:val="0"/>
          <w:color w:val="auto"/>
          <w:sz w:val="22"/>
          <w:szCs w:val="22"/>
        </w:rPr>
        <w:t>可自行对本表进行扩展，以能够完整体现拟用人员业务水平为原则。</w:t>
      </w: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pStyle w:val="120"/>
        <w:spacing w:line="400" w:lineRule="exact"/>
        <w:ind w:left="19" w:firstLine="0" w:firstLineChars="0"/>
        <w:jc w:val="center"/>
        <w:outlineLvl w:val="0"/>
        <w:rPr>
          <w:rFonts w:hint="eastAsia" w:ascii="黑体" w:hAnsi="黑体" w:eastAsia="黑体" w:cs="黑体"/>
          <w:color w:val="auto"/>
        </w:rPr>
      </w:pPr>
    </w:p>
    <w:p>
      <w:pPr>
        <w:tabs>
          <w:tab w:val="right" w:leader="dot" w:pos="9022"/>
        </w:tabs>
        <w:autoSpaceDE w:val="0"/>
        <w:autoSpaceDN w:val="0"/>
        <w:adjustRightInd w:val="0"/>
        <w:spacing w:line="520" w:lineRule="exact"/>
        <w:ind w:firstLine="540" w:firstLineChars="224"/>
        <w:rPr>
          <w:rFonts w:hint="eastAsia" w:ascii="黑体" w:hAnsi="黑体" w:eastAsia="黑体" w:cs="黑体"/>
          <w:b/>
          <w:bCs/>
          <w:caps/>
          <w:color w:val="auto"/>
          <w:sz w:val="24"/>
        </w:rPr>
      </w:pPr>
    </w:p>
    <w:p>
      <w:pPr>
        <w:tabs>
          <w:tab w:val="right" w:leader="dot" w:pos="9022"/>
        </w:tabs>
        <w:autoSpaceDE w:val="0"/>
        <w:autoSpaceDN w:val="0"/>
        <w:adjustRightInd w:val="0"/>
        <w:spacing w:line="520" w:lineRule="exact"/>
        <w:ind w:firstLine="540" w:firstLineChars="224"/>
        <w:rPr>
          <w:rFonts w:hint="eastAsia" w:ascii="黑体" w:hAnsi="黑体" w:eastAsia="黑体" w:cs="黑体"/>
          <w:b/>
          <w:bCs/>
          <w:caps/>
          <w:color w:val="auto"/>
          <w:sz w:val="24"/>
        </w:rPr>
      </w:pPr>
    </w:p>
    <w:p>
      <w:pPr>
        <w:tabs>
          <w:tab w:val="right" w:leader="dot" w:pos="9022"/>
        </w:tabs>
        <w:autoSpaceDE w:val="0"/>
        <w:autoSpaceDN w:val="0"/>
        <w:adjustRightInd w:val="0"/>
        <w:spacing w:line="520" w:lineRule="exact"/>
        <w:ind w:firstLine="540" w:firstLineChars="224"/>
        <w:rPr>
          <w:rFonts w:hint="eastAsia" w:ascii="黑体" w:hAnsi="黑体" w:eastAsia="黑体" w:cs="黑体"/>
          <w:b/>
          <w:bCs/>
          <w:caps/>
          <w:color w:val="auto"/>
          <w:sz w:val="24"/>
        </w:rPr>
      </w:pPr>
    </w:p>
    <w:p>
      <w:pPr>
        <w:tabs>
          <w:tab w:val="right" w:leader="dot" w:pos="9022"/>
        </w:tabs>
        <w:autoSpaceDE w:val="0"/>
        <w:autoSpaceDN w:val="0"/>
        <w:adjustRightInd w:val="0"/>
        <w:spacing w:line="520" w:lineRule="exact"/>
        <w:ind w:firstLine="540" w:firstLineChars="224"/>
        <w:rPr>
          <w:rFonts w:hint="eastAsia" w:ascii="黑体" w:hAnsi="黑体" w:eastAsia="黑体" w:cs="黑体"/>
          <w:b/>
          <w:bCs/>
          <w:caps/>
          <w:color w:val="auto"/>
          <w:sz w:val="24"/>
        </w:rPr>
      </w:pPr>
    </w:p>
    <w:p>
      <w:pPr>
        <w:pStyle w:val="19"/>
        <w:spacing w:line="360" w:lineRule="auto"/>
        <w:jc w:val="center"/>
        <w:rPr>
          <w:rFonts w:hint="eastAsia" w:ascii="黑体" w:hAnsi="黑体" w:eastAsia="黑体" w:cs="黑体"/>
          <w:b/>
          <w:color w:val="auto"/>
          <w:sz w:val="22"/>
          <w:szCs w:val="22"/>
          <w:highlight w:val="none"/>
          <w:lang w:val="en-US" w:eastAsia="zh-CN"/>
        </w:rPr>
      </w:pPr>
      <w:r>
        <w:rPr>
          <w:rFonts w:hint="eastAsia" w:ascii="黑体" w:hAnsi="黑体" w:eastAsia="黑体" w:cs="黑体"/>
          <w:b/>
          <w:color w:val="auto"/>
          <w:sz w:val="22"/>
          <w:szCs w:val="22"/>
          <w:highlight w:val="none"/>
          <w:lang w:val="en-US" w:eastAsia="zh-CN"/>
        </w:rPr>
        <w:t>格式5：拟投入本项目设备一览表</w:t>
      </w:r>
    </w:p>
    <w:tbl>
      <w:tblPr>
        <w:tblStyle w:val="30"/>
        <w:tblW w:w="9435"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993"/>
        <w:gridCol w:w="1396"/>
        <w:gridCol w:w="1397"/>
        <w:gridCol w:w="1397"/>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69" w:type="dxa"/>
            <w:vAlign w:val="center"/>
          </w:tcPr>
          <w:p>
            <w:pPr>
              <w:pStyle w:val="75"/>
              <w:spacing w:line="240" w:lineRule="auto"/>
              <w:jc w:val="center"/>
              <w:rPr>
                <w:rFonts w:hint="eastAsia" w:ascii="黑体" w:hAnsi="黑体" w:eastAsia="黑体" w:cs="黑体"/>
                <w:b/>
                <w:color w:val="auto"/>
                <w:w w:val="99"/>
                <w:sz w:val="22"/>
                <w:szCs w:val="22"/>
                <w:highlight w:val="none"/>
                <w:lang w:val="en-US" w:eastAsia="zh-CN"/>
              </w:rPr>
            </w:pPr>
            <w:r>
              <w:rPr>
                <w:rFonts w:hint="eastAsia" w:ascii="黑体" w:hAnsi="黑体" w:eastAsia="黑体" w:cs="黑体"/>
                <w:b/>
                <w:color w:val="auto"/>
                <w:w w:val="99"/>
                <w:sz w:val="22"/>
                <w:szCs w:val="22"/>
                <w:highlight w:val="none"/>
                <w:lang w:val="en-US" w:eastAsia="zh-CN"/>
              </w:rPr>
              <w:t>序号</w:t>
            </w:r>
          </w:p>
        </w:tc>
        <w:tc>
          <w:tcPr>
            <w:tcW w:w="1993" w:type="dxa"/>
            <w:vAlign w:val="center"/>
          </w:tcPr>
          <w:p>
            <w:pPr>
              <w:pStyle w:val="75"/>
              <w:spacing w:line="240" w:lineRule="auto"/>
              <w:jc w:val="center"/>
              <w:rPr>
                <w:rFonts w:hint="eastAsia" w:ascii="黑体" w:hAnsi="黑体" w:eastAsia="黑体" w:cs="黑体"/>
                <w:b/>
                <w:color w:val="auto"/>
                <w:w w:val="99"/>
                <w:sz w:val="22"/>
                <w:szCs w:val="22"/>
                <w:highlight w:val="none"/>
              </w:rPr>
            </w:pPr>
            <w:r>
              <w:rPr>
                <w:rFonts w:hint="eastAsia" w:ascii="黑体" w:hAnsi="黑体" w:eastAsia="黑体" w:cs="黑体"/>
                <w:b/>
                <w:color w:val="auto"/>
                <w:w w:val="99"/>
                <w:sz w:val="22"/>
                <w:szCs w:val="22"/>
                <w:highlight w:val="none"/>
                <w:lang w:val="en-US" w:eastAsia="en-US"/>
              </w:rPr>
              <w:t>仪器设备名称</w:t>
            </w:r>
          </w:p>
        </w:tc>
        <w:tc>
          <w:tcPr>
            <w:tcW w:w="1396" w:type="dxa"/>
            <w:vAlign w:val="center"/>
          </w:tcPr>
          <w:p>
            <w:pPr>
              <w:pStyle w:val="75"/>
              <w:spacing w:line="240" w:lineRule="auto"/>
              <w:jc w:val="center"/>
              <w:rPr>
                <w:rFonts w:hint="eastAsia" w:ascii="黑体" w:hAnsi="黑体" w:eastAsia="黑体" w:cs="黑体"/>
                <w:b/>
                <w:color w:val="auto"/>
                <w:w w:val="99"/>
                <w:sz w:val="22"/>
                <w:szCs w:val="22"/>
                <w:highlight w:val="none"/>
                <w:lang w:val="en-US" w:eastAsia="zh-CN"/>
              </w:rPr>
            </w:pPr>
            <w:r>
              <w:rPr>
                <w:rFonts w:hint="eastAsia" w:ascii="黑体" w:hAnsi="黑体" w:eastAsia="黑体" w:cs="黑体"/>
                <w:b/>
                <w:color w:val="auto"/>
                <w:w w:val="99"/>
                <w:sz w:val="22"/>
                <w:szCs w:val="22"/>
                <w:highlight w:val="none"/>
                <w:lang w:val="en-US" w:eastAsia="zh-CN"/>
              </w:rPr>
              <w:t>型号/规格</w:t>
            </w:r>
          </w:p>
        </w:tc>
        <w:tc>
          <w:tcPr>
            <w:tcW w:w="1397" w:type="dxa"/>
            <w:vAlign w:val="center"/>
          </w:tcPr>
          <w:p>
            <w:pPr>
              <w:pStyle w:val="75"/>
              <w:spacing w:line="240" w:lineRule="auto"/>
              <w:jc w:val="center"/>
              <w:rPr>
                <w:rFonts w:hint="eastAsia" w:ascii="黑体" w:hAnsi="黑体" w:eastAsia="黑体" w:cs="黑体"/>
                <w:b/>
                <w:color w:val="auto"/>
                <w:w w:val="99"/>
                <w:sz w:val="22"/>
                <w:szCs w:val="22"/>
                <w:highlight w:val="none"/>
                <w:lang w:val="en-US" w:eastAsia="zh-CN"/>
              </w:rPr>
            </w:pPr>
            <w:r>
              <w:rPr>
                <w:rFonts w:hint="eastAsia" w:ascii="黑体" w:hAnsi="黑体" w:eastAsia="黑体" w:cs="黑体"/>
                <w:b/>
                <w:color w:val="auto"/>
                <w:w w:val="99"/>
                <w:sz w:val="22"/>
                <w:szCs w:val="22"/>
                <w:highlight w:val="none"/>
                <w:lang w:val="en-US" w:eastAsia="zh-CN"/>
              </w:rPr>
              <w:t>单位</w:t>
            </w:r>
          </w:p>
        </w:tc>
        <w:tc>
          <w:tcPr>
            <w:tcW w:w="1397" w:type="dxa"/>
            <w:vAlign w:val="center"/>
          </w:tcPr>
          <w:p>
            <w:pPr>
              <w:pStyle w:val="75"/>
              <w:spacing w:line="240" w:lineRule="auto"/>
              <w:jc w:val="center"/>
              <w:rPr>
                <w:rFonts w:hint="eastAsia" w:ascii="黑体" w:hAnsi="黑体" w:eastAsia="黑体" w:cs="黑体"/>
                <w:b/>
                <w:color w:val="auto"/>
                <w:w w:val="99"/>
                <w:sz w:val="22"/>
                <w:szCs w:val="22"/>
                <w:highlight w:val="none"/>
                <w:lang w:val="en-US" w:eastAsia="zh-CN"/>
              </w:rPr>
            </w:pPr>
            <w:r>
              <w:rPr>
                <w:rFonts w:hint="eastAsia" w:ascii="黑体" w:hAnsi="黑体" w:eastAsia="黑体" w:cs="黑体"/>
                <w:b/>
                <w:color w:val="auto"/>
                <w:w w:val="99"/>
                <w:sz w:val="22"/>
                <w:szCs w:val="22"/>
                <w:highlight w:val="none"/>
                <w:lang w:val="en-US" w:eastAsia="zh-CN"/>
              </w:rPr>
              <w:t>数量</w:t>
            </w:r>
          </w:p>
        </w:tc>
        <w:tc>
          <w:tcPr>
            <w:tcW w:w="2083" w:type="dxa"/>
            <w:vAlign w:val="center"/>
          </w:tcPr>
          <w:p>
            <w:pPr>
              <w:pStyle w:val="75"/>
              <w:spacing w:line="240" w:lineRule="auto"/>
              <w:jc w:val="center"/>
              <w:rPr>
                <w:rFonts w:hint="eastAsia" w:ascii="黑体" w:hAnsi="黑体" w:eastAsia="黑体" w:cs="黑体"/>
                <w:b/>
                <w:color w:val="auto"/>
                <w:w w:val="99"/>
                <w:sz w:val="22"/>
                <w:szCs w:val="22"/>
                <w:highlight w:val="none"/>
                <w:lang w:val="en-US" w:eastAsia="zh-CN"/>
              </w:rPr>
            </w:pPr>
            <w:r>
              <w:rPr>
                <w:rFonts w:hint="eastAsia" w:ascii="黑体" w:hAnsi="黑体" w:eastAsia="黑体" w:cs="黑体"/>
                <w:b/>
                <w:color w:val="auto"/>
                <w:w w:val="99"/>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r>
              <w:rPr>
                <w:rFonts w:hint="eastAsia" w:ascii="黑体" w:hAnsi="黑体" w:eastAsia="黑体" w:cs="黑体"/>
                <w:b w:val="0"/>
                <w:bCs/>
                <w:color w:val="auto"/>
                <w:sz w:val="22"/>
                <w:szCs w:val="22"/>
                <w:highlight w:val="none"/>
                <w:vertAlign w:val="baseline"/>
                <w:lang w:val="en-US" w:eastAsia="zh-CN"/>
              </w:rPr>
              <w:t>1</w:t>
            </w: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r>
              <w:rPr>
                <w:rFonts w:hint="eastAsia" w:ascii="黑体" w:hAnsi="黑体" w:eastAsia="黑体" w:cs="黑体"/>
                <w:b w:val="0"/>
                <w:bCs/>
                <w:color w:val="auto"/>
                <w:sz w:val="22"/>
                <w:szCs w:val="22"/>
                <w:highlight w:val="none"/>
                <w:vertAlign w:val="baseline"/>
                <w:lang w:val="en-US" w:eastAsia="zh-CN"/>
              </w:rPr>
              <w:t>2</w:t>
            </w: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r>
              <w:rPr>
                <w:rFonts w:hint="eastAsia" w:ascii="黑体" w:hAnsi="黑体" w:eastAsia="黑体" w:cs="黑体"/>
                <w:b w:val="0"/>
                <w:bCs/>
                <w:color w:val="auto"/>
                <w:sz w:val="22"/>
                <w:szCs w:val="22"/>
                <w:highlight w:val="none"/>
                <w:vertAlign w:val="baseline"/>
                <w:lang w:val="en-US" w:eastAsia="zh-CN"/>
              </w:rPr>
              <w:t>3</w:t>
            </w: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r>
              <w:rPr>
                <w:rFonts w:hint="eastAsia" w:ascii="黑体" w:hAnsi="黑体" w:eastAsia="黑体" w:cs="黑体"/>
                <w:b w:val="0"/>
                <w:bCs/>
                <w:color w:val="auto"/>
                <w:sz w:val="22"/>
                <w:szCs w:val="22"/>
                <w:highlight w:val="none"/>
                <w:vertAlign w:val="baseline"/>
                <w:lang w:val="en-US" w:eastAsia="zh-CN"/>
              </w:rPr>
              <w:t>4</w:t>
            </w: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r>
              <w:rPr>
                <w:rFonts w:hint="eastAsia" w:ascii="黑体" w:hAnsi="黑体" w:eastAsia="黑体" w:cs="黑体"/>
                <w:b w:val="0"/>
                <w:bCs/>
                <w:color w:val="auto"/>
                <w:sz w:val="22"/>
                <w:szCs w:val="22"/>
                <w:highlight w:val="none"/>
                <w:vertAlign w:val="baseline"/>
                <w:lang w:val="en-US" w:eastAsia="zh-CN"/>
              </w:rPr>
              <w:t>......</w:t>
            </w: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pStyle w:val="19"/>
              <w:spacing w:line="360" w:lineRule="auto"/>
              <w:jc w:val="center"/>
              <w:rPr>
                <w:rFonts w:hint="eastAsia" w:ascii="黑体" w:hAnsi="黑体" w:eastAsia="黑体" w:cs="黑体"/>
                <w:b w:val="0"/>
                <w:bCs/>
                <w:color w:val="auto"/>
                <w:sz w:val="22"/>
                <w:szCs w:val="22"/>
                <w:highlight w:val="none"/>
                <w:vertAlign w:val="baseline"/>
                <w:lang w:val="en-US" w:eastAsia="zh-CN"/>
              </w:rPr>
            </w:pPr>
          </w:p>
        </w:tc>
        <w:tc>
          <w:tcPr>
            <w:tcW w:w="1993" w:type="dxa"/>
          </w:tcPr>
          <w:p>
            <w:pPr>
              <w:pStyle w:val="19"/>
              <w:spacing w:line="360" w:lineRule="auto"/>
              <w:rPr>
                <w:rFonts w:hint="eastAsia" w:ascii="黑体" w:hAnsi="黑体" w:eastAsia="黑体" w:cs="黑体"/>
                <w:b/>
                <w:color w:val="auto"/>
                <w:sz w:val="22"/>
                <w:szCs w:val="22"/>
                <w:highlight w:val="none"/>
                <w:vertAlign w:val="baseline"/>
              </w:rPr>
            </w:pPr>
          </w:p>
        </w:tc>
        <w:tc>
          <w:tcPr>
            <w:tcW w:w="1396"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1397" w:type="dxa"/>
          </w:tcPr>
          <w:p>
            <w:pPr>
              <w:pStyle w:val="19"/>
              <w:spacing w:line="360" w:lineRule="auto"/>
              <w:rPr>
                <w:rFonts w:hint="eastAsia" w:ascii="黑体" w:hAnsi="黑体" w:eastAsia="黑体" w:cs="黑体"/>
                <w:b/>
                <w:color w:val="auto"/>
                <w:sz w:val="22"/>
                <w:szCs w:val="22"/>
                <w:highlight w:val="none"/>
                <w:vertAlign w:val="baseline"/>
              </w:rPr>
            </w:pPr>
          </w:p>
        </w:tc>
        <w:tc>
          <w:tcPr>
            <w:tcW w:w="2083" w:type="dxa"/>
          </w:tcPr>
          <w:p>
            <w:pPr>
              <w:pStyle w:val="19"/>
              <w:spacing w:line="360" w:lineRule="auto"/>
              <w:rPr>
                <w:rFonts w:hint="eastAsia" w:ascii="黑体" w:hAnsi="黑体" w:eastAsia="黑体" w:cs="黑体"/>
                <w:b/>
                <w:color w:val="auto"/>
                <w:sz w:val="22"/>
                <w:szCs w:val="22"/>
                <w:highlight w:val="none"/>
                <w:vertAlign w:val="baseline"/>
              </w:rPr>
            </w:pPr>
          </w:p>
        </w:tc>
      </w:tr>
    </w:tbl>
    <w:p>
      <w:pPr>
        <w:tabs>
          <w:tab w:val="right" w:leader="dot" w:pos="9022"/>
        </w:tabs>
        <w:autoSpaceDE w:val="0"/>
        <w:autoSpaceDN w:val="0"/>
        <w:adjustRightInd w:val="0"/>
        <w:spacing w:line="520" w:lineRule="exact"/>
        <w:ind w:firstLine="540" w:firstLineChars="224"/>
        <w:rPr>
          <w:rFonts w:hint="eastAsia" w:ascii="黑体" w:hAnsi="黑体" w:eastAsia="黑体" w:cs="黑体"/>
          <w:b/>
          <w:bCs/>
          <w:caps/>
          <w:color w:val="auto"/>
          <w:sz w:val="24"/>
        </w:rPr>
      </w:pPr>
    </w:p>
    <w:p>
      <w:pPr>
        <w:tabs>
          <w:tab w:val="right" w:leader="dot" w:pos="9022"/>
        </w:tabs>
        <w:autoSpaceDE w:val="0"/>
        <w:autoSpaceDN w:val="0"/>
        <w:adjustRightInd w:val="0"/>
        <w:spacing w:line="520" w:lineRule="exact"/>
        <w:ind w:firstLine="540" w:firstLineChars="224"/>
        <w:rPr>
          <w:rFonts w:hint="eastAsia" w:ascii="黑体" w:hAnsi="黑体" w:eastAsia="黑体" w:cs="黑体"/>
          <w:color w:val="auto"/>
        </w:rPr>
      </w:pPr>
      <w:r>
        <w:rPr>
          <w:rFonts w:hint="eastAsia" w:ascii="黑体" w:hAnsi="黑体" w:eastAsia="黑体" w:cs="黑体"/>
          <w:b/>
          <w:bCs/>
          <w:caps/>
          <w:color w:val="auto"/>
          <w:sz w:val="24"/>
        </w:rPr>
        <w:br w:type="page"/>
      </w:r>
    </w:p>
    <w:bookmarkEnd w:id="242"/>
    <w:bookmarkEnd w:id="243"/>
    <w:bookmarkEnd w:id="244"/>
    <w:bookmarkEnd w:id="245"/>
    <w:bookmarkEnd w:id="246"/>
    <w:bookmarkEnd w:id="247"/>
    <w:bookmarkEnd w:id="248"/>
    <w:bookmarkEnd w:id="249"/>
    <w:p>
      <w:pPr>
        <w:numPr>
          <w:ilvl w:val="0"/>
          <w:numId w:val="0"/>
        </w:numPr>
        <w:spacing w:line="480" w:lineRule="exact"/>
        <w:ind w:left="840" w:leftChars="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第</w:t>
      </w:r>
      <w:r>
        <w:rPr>
          <w:rFonts w:hint="eastAsia" w:ascii="黑体" w:hAnsi="黑体" w:eastAsia="黑体" w:cs="黑体"/>
          <w:b/>
          <w:bCs/>
          <w:color w:val="auto"/>
          <w:sz w:val="32"/>
          <w:szCs w:val="32"/>
          <w:highlight w:val="none"/>
          <w:lang w:val="en-US" w:eastAsia="zh-CN"/>
        </w:rPr>
        <w:t>5部分</w:t>
      </w:r>
      <w:r>
        <w:rPr>
          <w:rFonts w:hint="eastAsia" w:ascii="黑体" w:hAnsi="黑体" w:eastAsia="黑体" w:cs="黑体"/>
          <w:b/>
          <w:bCs/>
          <w:color w:val="auto"/>
          <w:sz w:val="32"/>
          <w:szCs w:val="32"/>
          <w:highlight w:val="none"/>
        </w:rPr>
        <w:t xml:space="preserve"> 供应商认为有必要补充说明的事项</w:t>
      </w:r>
    </w:p>
    <w:p>
      <w:pPr>
        <w:pStyle w:val="2"/>
        <w:rPr>
          <w:rFonts w:hint="eastAsia" w:ascii="黑体" w:hAnsi="黑体" w:eastAsia="黑体" w:cs="黑体"/>
          <w:color w:val="auto"/>
          <w:sz w:val="22"/>
          <w:szCs w:val="22"/>
          <w:highlight w:val="none"/>
        </w:rPr>
      </w:pPr>
    </w:p>
    <w:p>
      <w:pPr>
        <w:spacing w:line="440" w:lineRule="exact"/>
        <w:ind w:firstLine="480" w:firstLineChars="200"/>
        <w:rPr>
          <w:rFonts w:hint="eastAsia" w:ascii="黑体" w:hAnsi="黑体" w:eastAsia="黑体" w:cs="黑体"/>
          <w:b/>
          <w:bCs/>
          <w:color w:val="auto"/>
          <w:sz w:val="24"/>
          <w:szCs w:val="24"/>
          <w:highlight w:val="none"/>
        </w:rPr>
      </w:pPr>
      <w:r>
        <w:rPr>
          <w:rFonts w:hint="eastAsia" w:ascii="黑体" w:hAnsi="黑体" w:eastAsia="黑体" w:cs="黑体"/>
          <w:b w:val="0"/>
          <w:bCs w:val="0"/>
          <w:color w:val="auto"/>
          <w:sz w:val="24"/>
          <w:szCs w:val="24"/>
          <w:highlight w:val="none"/>
        </w:rPr>
        <w:t>格式自定</w:t>
      </w:r>
      <w:r>
        <w:rPr>
          <w:rFonts w:hint="eastAsia" w:ascii="黑体" w:hAnsi="黑体" w:eastAsia="黑体" w:cs="黑体"/>
          <w:b w:val="0"/>
          <w:bCs w:val="0"/>
          <w:color w:val="auto"/>
          <w:sz w:val="24"/>
          <w:szCs w:val="24"/>
          <w:highlight w:val="none"/>
          <w:lang w:eastAsia="zh-CN"/>
        </w:rPr>
        <w:t>，</w:t>
      </w:r>
      <w:r>
        <w:rPr>
          <w:rFonts w:hint="eastAsia" w:ascii="黑体" w:hAnsi="黑体" w:eastAsia="黑体" w:cs="黑体"/>
          <w:b w:val="0"/>
          <w:bCs w:val="0"/>
          <w:color w:val="auto"/>
          <w:sz w:val="24"/>
          <w:szCs w:val="24"/>
          <w:highlight w:val="none"/>
          <w:lang w:val="en-US" w:eastAsia="zh-CN"/>
        </w:rPr>
        <w:t>供应商</w:t>
      </w:r>
      <w:r>
        <w:rPr>
          <w:rFonts w:hint="eastAsia" w:ascii="黑体" w:hAnsi="黑体" w:eastAsia="黑体" w:cs="黑体"/>
          <w:b w:val="0"/>
          <w:bCs w:val="0"/>
          <w:color w:val="auto"/>
          <w:sz w:val="24"/>
          <w:szCs w:val="24"/>
          <w:highlight w:val="none"/>
        </w:rPr>
        <w:t>认为有必要提供而增加其竞争性的其它资料</w:t>
      </w:r>
    </w:p>
    <w:p>
      <w:pPr>
        <w:spacing w:line="440" w:lineRule="exact"/>
        <w:ind w:firstLine="375" w:firstLineChars="170"/>
        <w:rPr>
          <w:rFonts w:hint="eastAsia" w:ascii="黑体" w:hAnsi="黑体" w:eastAsia="黑体" w:cs="黑体"/>
          <w:b/>
          <w:bCs/>
          <w:color w:val="auto"/>
          <w:sz w:val="22"/>
          <w:szCs w:val="22"/>
          <w:highlight w:val="none"/>
        </w:rPr>
      </w:pPr>
    </w:p>
    <w:p>
      <w:pPr>
        <w:spacing w:line="400" w:lineRule="exact"/>
        <w:jc w:val="both"/>
        <w:rPr>
          <w:rFonts w:hint="eastAsia" w:ascii="黑体" w:hAnsi="黑体" w:eastAsia="黑体" w:cs="黑体"/>
          <w:color w:val="auto"/>
          <w:sz w:val="22"/>
          <w:szCs w:val="22"/>
          <w:highlight w:val="none"/>
          <w:u w:val="single"/>
        </w:rPr>
      </w:pPr>
    </w:p>
    <w:p>
      <w:pPr>
        <w:spacing w:line="400" w:lineRule="exact"/>
        <w:ind w:firstLine="110" w:firstLineChars="50"/>
        <w:jc w:val="cente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rPr>
          <w:rFonts w:hint="eastAsia" w:ascii="黑体" w:hAnsi="黑体" w:eastAsia="黑体" w:cs="黑体"/>
          <w:color w:val="auto"/>
          <w:highlight w:val="none"/>
        </w:rPr>
      </w:pPr>
    </w:p>
    <w:p>
      <w:pPr>
        <w:pStyle w:val="2"/>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
        <w:ind w:left="0" w:leftChars="0" w:firstLine="0" w:firstLineChars="0"/>
        <w:rPr>
          <w:rFonts w:hint="eastAsia" w:ascii="黑体" w:hAnsi="黑体" w:eastAsia="黑体" w:cs="黑体"/>
          <w:color w:val="auto"/>
          <w:sz w:val="22"/>
          <w:szCs w:val="22"/>
          <w:highlight w:val="none"/>
          <w:u w:val="single"/>
        </w:rPr>
      </w:pPr>
    </w:p>
    <w:p>
      <w:pPr>
        <w:spacing w:line="400" w:lineRule="exact"/>
        <w:jc w:val="both"/>
        <w:rPr>
          <w:rFonts w:hint="eastAsia" w:ascii="黑体" w:hAnsi="黑体" w:eastAsia="黑体" w:cs="黑体"/>
          <w:b/>
          <w:bCs/>
          <w:color w:val="auto"/>
          <w:sz w:val="22"/>
          <w:szCs w:val="22"/>
          <w:highlight w:val="none"/>
          <w:u w:val="single"/>
        </w:rPr>
      </w:pPr>
    </w:p>
    <w:p>
      <w:pPr>
        <w:spacing w:line="400" w:lineRule="exact"/>
        <w:ind w:firstLine="161" w:firstLineChars="50"/>
        <w:jc w:val="center"/>
        <w:rPr>
          <w:rFonts w:hint="eastAsia" w:ascii="黑体" w:hAnsi="黑体" w:eastAsia="黑体" w:cs="黑体"/>
          <w:bCs/>
          <w:color w:val="auto"/>
          <w:sz w:val="32"/>
          <w:szCs w:val="32"/>
          <w:highlight w:val="none"/>
          <w:u w:val="none"/>
        </w:rPr>
      </w:pPr>
      <w:r>
        <w:rPr>
          <w:rFonts w:hint="eastAsia" w:ascii="黑体" w:hAnsi="黑体" w:eastAsia="黑体" w:cs="黑体"/>
          <w:b/>
          <w:bCs/>
          <w:color w:val="auto"/>
          <w:sz w:val="32"/>
          <w:szCs w:val="32"/>
          <w:highlight w:val="none"/>
          <w:u w:val="none"/>
        </w:rPr>
        <w:t>承诺书</w:t>
      </w:r>
    </w:p>
    <w:p>
      <w:pPr>
        <w:widowControl/>
        <w:spacing w:line="480" w:lineRule="exact"/>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陕西省政府采购磋商供应商</w:t>
      </w:r>
    </w:p>
    <w:p>
      <w:pPr>
        <w:widowControl/>
        <w:spacing w:line="480" w:lineRule="exact"/>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拒绝政府采购领域商业贿赂承诺书</w:t>
      </w:r>
    </w:p>
    <w:p>
      <w:pPr>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（执行陕财办采管[2006]21号文件）</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为响应党中央、国务院关于治理政府采购领域商业贿赂行为的号召，我公司在此庄严承诺：</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1、在参与政府采购活动中遵纪守法、诚信经营、公平竞标。</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2、不向政府采购人、采购代理机构和政府采购评审专家进行任何形式的商业贿赂以谋取交易机会。</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3、不向政府采购代理机构和采购人提供虚假资格文件或采用虚假应标方式参与政府采购市场竞争并谋取</w:t>
      </w:r>
      <w:r>
        <w:rPr>
          <w:rFonts w:hint="eastAsia" w:ascii="黑体" w:hAnsi="黑体" w:eastAsia="黑体" w:cs="黑体"/>
          <w:color w:val="auto"/>
          <w:sz w:val="22"/>
          <w:szCs w:val="22"/>
          <w:highlight w:val="none"/>
          <w:lang w:eastAsia="zh-CN"/>
        </w:rPr>
        <w:t>成交</w:t>
      </w:r>
      <w:r>
        <w:rPr>
          <w:rFonts w:hint="eastAsia" w:ascii="黑体" w:hAnsi="黑体" w:eastAsia="黑体" w:cs="黑体"/>
          <w:color w:val="auto"/>
          <w:sz w:val="22"/>
          <w:szCs w:val="22"/>
          <w:highlight w:val="none"/>
        </w:rPr>
        <w:t>、成交。</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4、不采取“围标、陪标”等商业欺诈手段获得政府采购定单。</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5、不采取不正当手段诋毁、排挤其他磋商供应商。</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6、不在提供商品和服务时“偷梁换柱、以次充好”损害采购人的合法权益。</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7、不与采购人、采购代理机构政府采购评审专家或其它磋商供应商恶意串通，进行质疑和投诉，维护政府采购市场秩序。</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8、尊重和接受政府采购监督管理部门的监督和政府采购代理机构磋商采购要求，承担因违约行为给采购人造成的损失。</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9、不发生其他有悖于政府采购公开、公平、公正和诚信原则的行为。</w:t>
      </w:r>
    </w:p>
    <w:p>
      <w:pPr>
        <w:widowControl/>
        <w:spacing w:line="480" w:lineRule="exact"/>
        <w:ind w:firstLine="440" w:firstLineChars="200"/>
        <w:rPr>
          <w:rFonts w:hint="eastAsia" w:ascii="黑体" w:hAnsi="黑体" w:eastAsia="黑体" w:cs="黑体"/>
          <w:color w:val="auto"/>
          <w:sz w:val="22"/>
          <w:szCs w:val="22"/>
          <w:highlight w:val="none"/>
        </w:rPr>
      </w:pP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承诺磋商供应商：（全称、盖章）</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（签字）：</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地  址：                      </w:t>
      </w:r>
    </w:p>
    <w:p>
      <w:pPr>
        <w:spacing w:line="480" w:lineRule="exact"/>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邮  编：</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电  话：                        </w:t>
      </w:r>
    </w:p>
    <w:p>
      <w:pPr>
        <w:spacing w:line="480" w:lineRule="exact"/>
        <w:ind w:firstLine="4620" w:firstLineChars="2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年  月  日</w:t>
      </w:r>
    </w:p>
    <w:p>
      <w:pPr>
        <w:spacing w:line="480" w:lineRule="exact"/>
        <w:outlineLvl w:val="0"/>
        <w:rPr>
          <w:rFonts w:hint="eastAsia" w:ascii="黑体" w:hAnsi="黑体" w:eastAsia="黑体" w:cs="黑体"/>
          <w:b/>
          <w:bCs/>
          <w:color w:val="auto"/>
          <w:sz w:val="32"/>
          <w:szCs w:val="32"/>
          <w:highlight w:val="none"/>
        </w:rPr>
      </w:pPr>
    </w:p>
    <w:p>
      <w:pPr>
        <w:pStyle w:val="2"/>
        <w:rPr>
          <w:rFonts w:hint="eastAsia" w:ascii="黑体" w:hAnsi="黑体" w:eastAsia="黑体" w:cs="黑体"/>
          <w:color w:val="auto"/>
          <w:highlight w:val="none"/>
        </w:rPr>
      </w:pPr>
    </w:p>
    <w:p>
      <w:pPr>
        <w:pStyle w:val="43"/>
        <w:ind w:left="0" w:leftChars="0" w:firstLine="0" w:firstLineChars="0"/>
        <w:rPr>
          <w:rFonts w:hint="eastAsia" w:ascii="黑体" w:hAnsi="黑体" w:eastAsia="黑体" w:cs="黑体"/>
          <w:color w:val="auto"/>
          <w:sz w:val="28"/>
          <w:szCs w:val="28"/>
          <w:highlight w:val="none"/>
        </w:rPr>
      </w:pPr>
    </w:p>
    <w:p>
      <w:pPr>
        <w:numPr>
          <w:ilvl w:val="0"/>
          <w:numId w:val="0"/>
        </w:numPr>
        <w:spacing w:line="480" w:lineRule="exact"/>
        <w:jc w:val="center"/>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第</w:t>
      </w:r>
      <w:r>
        <w:rPr>
          <w:rFonts w:hint="eastAsia" w:ascii="黑体" w:hAnsi="黑体" w:eastAsia="黑体" w:cs="黑体"/>
          <w:b/>
          <w:bCs/>
          <w:color w:val="auto"/>
          <w:sz w:val="32"/>
          <w:szCs w:val="32"/>
          <w:highlight w:val="none"/>
          <w:lang w:val="en-US" w:eastAsia="zh-CN"/>
        </w:rPr>
        <w:t>6部分</w:t>
      </w:r>
      <w:r>
        <w:rPr>
          <w:rFonts w:hint="eastAsia" w:ascii="黑体" w:hAnsi="黑体" w:eastAsia="黑体" w:cs="黑体"/>
          <w:b/>
          <w:bCs/>
          <w:color w:val="auto"/>
          <w:sz w:val="32"/>
          <w:szCs w:val="32"/>
          <w:highlight w:val="none"/>
        </w:rPr>
        <w:t xml:space="preserve"> 资格证明</w:t>
      </w:r>
      <w:bookmarkEnd w:id="226"/>
      <w:bookmarkEnd w:id="227"/>
      <w:bookmarkEnd w:id="228"/>
      <w:bookmarkEnd w:id="229"/>
      <w:bookmarkEnd w:id="230"/>
      <w:bookmarkEnd w:id="231"/>
      <w:bookmarkEnd w:id="232"/>
      <w:bookmarkEnd w:id="233"/>
    </w:p>
    <w:p>
      <w:pPr>
        <w:spacing w:line="360" w:lineRule="auto"/>
        <w:rPr>
          <w:rFonts w:hint="eastAsia" w:ascii="黑体" w:hAnsi="黑体" w:eastAsia="黑体" w:cs="黑体"/>
          <w:color w:val="auto"/>
          <w:highlight w:val="none"/>
        </w:rPr>
      </w:pPr>
    </w:p>
    <w:p>
      <w:pPr>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1.供应商按本节格式要求将资格证明材料附进磋商响应文件正副本内；</w:t>
      </w:r>
    </w:p>
    <w:p>
      <w:pPr>
        <w:pStyle w:val="2"/>
        <w:spacing w:line="360" w:lineRule="auto"/>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    2.提供相关内容格式如下：</w:t>
      </w:r>
    </w:p>
    <w:p>
      <w:pPr>
        <w:pStyle w:val="43"/>
        <w:numPr>
          <w:ilvl w:val="0"/>
          <w:numId w:val="0"/>
        </w:numPr>
        <w:rPr>
          <w:rFonts w:hint="eastAsia" w:ascii="黑体" w:hAnsi="黑体" w:eastAsia="黑体" w:cs="黑体"/>
          <w:color w:val="auto"/>
          <w:highlight w:val="none"/>
        </w:rPr>
      </w:pPr>
    </w:p>
    <w:p>
      <w:pPr>
        <w:pStyle w:val="14"/>
        <w:ind w:firstLine="562" w:firstLineChars="200"/>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ind w:firstLine="2008" w:firstLineChars="500"/>
        <w:rPr>
          <w:rFonts w:hint="eastAsia" w:ascii="黑体" w:hAnsi="黑体" w:eastAsia="黑体" w:cs="黑体"/>
          <w:b/>
          <w:bCs/>
          <w:color w:val="auto"/>
          <w:sz w:val="40"/>
          <w:szCs w:val="48"/>
          <w:highlight w:val="none"/>
          <w:lang w:val="en-US" w:eastAsia="zh-CN"/>
        </w:rPr>
      </w:pPr>
    </w:p>
    <w:p>
      <w:pPr>
        <w:pStyle w:val="2"/>
        <w:rPr>
          <w:rFonts w:hint="eastAsia" w:ascii="黑体" w:hAnsi="黑体" w:eastAsia="黑体" w:cs="黑体"/>
          <w:color w:val="auto"/>
          <w:highlight w:val="none"/>
          <w:lang w:val="en-US" w:eastAsia="zh-CN"/>
        </w:rPr>
      </w:pPr>
    </w:p>
    <w:p>
      <w:pPr>
        <w:ind w:firstLine="2409" w:firstLineChars="600"/>
        <w:rPr>
          <w:rFonts w:hint="eastAsia" w:ascii="黑体" w:hAnsi="黑体" w:eastAsia="黑体" w:cs="黑体"/>
          <w:b/>
          <w:bCs/>
          <w:color w:val="auto"/>
          <w:sz w:val="40"/>
          <w:szCs w:val="48"/>
          <w:highlight w:val="none"/>
          <w:lang w:val="en-US" w:eastAsia="zh-CN"/>
        </w:rPr>
      </w:pPr>
      <w:r>
        <w:rPr>
          <w:rFonts w:hint="eastAsia" w:ascii="黑体" w:hAnsi="黑体" w:eastAsia="黑体" w:cs="黑体"/>
          <w:b/>
          <w:bCs/>
          <w:color w:val="auto"/>
          <w:sz w:val="40"/>
          <w:szCs w:val="48"/>
          <w:highlight w:val="none"/>
          <w:lang w:val="en-US" w:eastAsia="zh-CN"/>
        </w:rPr>
        <w:t>供应商资格证明材料</w:t>
      </w:r>
    </w:p>
    <w:p>
      <w:pPr>
        <w:pStyle w:val="2"/>
        <w:rPr>
          <w:rFonts w:hint="eastAsia" w:ascii="黑体" w:hAnsi="黑体" w:eastAsia="黑体" w:cs="黑体"/>
          <w:color w:val="auto"/>
          <w:highlight w:val="none"/>
        </w:rPr>
      </w:pPr>
    </w:p>
    <w:p>
      <w:pPr>
        <w:rPr>
          <w:rFonts w:hint="eastAsia" w:ascii="黑体" w:hAnsi="黑体" w:eastAsia="黑体" w:cs="黑体"/>
          <w:color w:val="auto"/>
          <w:highlight w:val="none"/>
        </w:rPr>
      </w:pPr>
    </w:p>
    <w:p>
      <w:pPr>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
        <w:rPr>
          <w:rFonts w:hint="eastAsia" w:ascii="黑体" w:hAnsi="黑体" w:eastAsia="黑体" w:cs="黑体"/>
          <w:color w:val="auto"/>
          <w:highlight w:val="none"/>
        </w:rPr>
      </w:pPr>
    </w:p>
    <w:p>
      <w:pPr>
        <w:rPr>
          <w:rFonts w:hint="eastAsia" w:ascii="黑体" w:hAnsi="黑体" w:eastAsia="黑体" w:cs="黑体"/>
          <w:color w:val="auto"/>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rPr>
          <w:rFonts w:hint="eastAsia" w:ascii="黑体" w:hAnsi="黑体" w:eastAsia="黑体" w:cs="黑体"/>
          <w:color w:val="auto"/>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u w:val="single"/>
        </w:rPr>
      </w:pPr>
      <w:r>
        <w:rPr>
          <w:rFonts w:hint="eastAsia" w:ascii="黑体" w:hAnsi="黑体" w:eastAsia="黑体" w:cs="黑体"/>
          <w:b/>
          <w:bCs/>
          <w:color w:val="auto"/>
          <w:sz w:val="28"/>
          <w:szCs w:val="32"/>
          <w:highlight w:val="none"/>
        </w:rPr>
        <w:t>供 应 商：</w:t>
      </w:r>
      <w:r>
        <w:rPr>
          <w:rFonts w:hint="eastAsia" w:ascii="黑体" w:hAnsi="黑体" w:eastAsia="黑体" w:cs="黑体"/>
          <w:b/>
          <w:bCs/>
          <w:color w:val="auto"/>
          <w:sz w:val="28"/>
          <w:szCs w:val="32"/>
          <w:highlight w:val="none"/>
          <w:u w:val="single"/>
          <w:lang w:val="en-US" w:eastAsia="zh-CN"/>
        </w:rPr>
        <w:t xml:space="preserve">                                  </w:t>
      </w:r>
      <w:r>
        <w:rPr>
          <w:rFonts w:hint="eastAsia" w:ascii="黑体" w:hAnsi="黑体" w:eastAsia="黑体" w:cs="黑体"/>
          <w:b/>
          <w:bCs/>
          <w:color w:val="auto"/>
          <w:sz w:val="28"/>
          <w:szCs w:val="32"/>
          <w:highlight w:val="none"/>
          <w:u w:val="single"/>
        </w:rPr>
        <w:t>(公章)</w:t>
      </w:r>
    </w:p>
    <w:p>
      <w:pPr>
        <w:spacing w:line="360" w:lineRule="auto"/>
        <w:ind w:firstLine="498" w:firstLineChars="177"/>
        <w:outlineLvl w:val="0"/>
        <w:rPr>
          <w:rFonts w:hint="eastAsia" w:ascii="黑体" w:hAnsi="黑体" w:eastAsia="黑体" w:cs="黑体"/>
          <w:b/>
          <w:bCs/>
          <w:color w:val="auto"/>
          <w:sz w:val="28"/>
          <w:highlight w:val="none"/>
          <w:u w:val="single"/>
        </w:rPr>
      </w:pPr>
      <w:r>
        <w:rPr>
          <w:rFonts w:hint="eastAsia" w:ascii="黑体" w:hAnsi="黑体" w:eastAsia="黑体" w:cs="黑体"/>
          <w:b/>
          <w:bCs/>
          <w:color w:val="auto"/>
          <w:sz w:val="28"/>
          <w:highlight w:val="none"/>
          <w:u w:val="none"/>
        </w:rPr>
        <w:t>法定代表人或其授权委托人 ：</w:t>
      </w:r>
      <w:r>
        <w:rPr>
          <w:rFonts w:hint="eastAsia" w:ascii="黑体" w:hAnsi="黑体" w:eastAsia="黑体" w:cs="黑体"/>
          <w:b/>
          <w:bCs/>
          <w:color w:val="auto"/>
          <w:sz w:val="28"/>
          <w:highlight w:val="none"/>
          <w:u w:val="single"/>
        </w:rPr>
        <w:t xml:space="preserve"> </w:t>
      </w:r>
      <w:r>
        <w:rPr>
          <w:rFonts w:hint="eastAsia" w:ascii="黑体" w:hAnsi="黑体" w:eastAsia="黑体" w:cs="黑体"/>
          <w:b/>
          <w:bCs/>
          <w:color w:val="auto"/>
          <w:sz w:val="28"/>
          <w:highlight w:val="none"/>
          <w:u w:val="single"/>
          <w:lang w:val="en-US" w:eastAsia="zh-CN"/>
        </w:rPr>
        <w:t xml:space="preserve">        </w:t>
      </w:r>
      <w:r>
        <w:rPr>
          <w:rFonts w:hint="eastAsia" w:ascii="黑体" w:hAnsi="黑体" w:eastAsia="黑体" w:cs="黑体"/>
          <w:b/>
          <w:bCs/>
          <w:color w:val="auto"/>
          <w:sz w:val="28"/>
          <w:highlight w:val="none"/>
          <w:u w:val="single"/>
        </w:rPr>
        <w:t>（签字）</w:t>
      </w:r>
    </w:p>
    <w:p>
      <w:pPr>
        <w:spacing w:line="360" w:lineRule="auto"/>
        <w:ind w:firstLine="498" w:firstLineChars="177"/>
        <w:outlineLvl w:val="0"/>
        <w:rPr>
          <w:rFonts w:hint="eastAsia" w:ascii="黑体" w:hAnsi="黑体" w:eastAsia="黑体" w:cs="黑体"/>
          <w:b/>
          <w:bCs/>
          <w:color w:val="auto"/>
          <w:sz w:val="28"/>
          <w:highlight w:val="none"/>
          <w:u w:val="single"/>
          <w:lang w:val="en-US" w:eastAsia="zh-CN"/>
        </w:rPr>
      </w:pPr>
      <w:r>
        <w:rPr>
          <w:rFonts w:hint="eastAsia" w:ascii="黑体" w:hAnsi="黑体" w:eastAsia="黑体" w:cs="黑体"/>
          <w:b/>
          <w:bCs/>
          <w:color w:val="auto"/>
          <w:sz w:val="28"/>
          <w:highlight w:val="none"/>
        </w:rPr>
        <w:t>日    期：</w:t>
      </w:r>
      <w:r>
        <w:rPr>
          <w:rFonts w:hint="eastAsia" w:ascii="黑体" w:hAnsi="黑体" w:eastAsia="黑体" w:cs="黑体"/>
          <w:b/>
          <w:bCs/>
          <w:color w:val="auto"/>
          <w:sz w:val="28"/>
          <w:highlight w:val="none"/>
          <w:u w:val="single"/>
          <w:lang w:val="en-US" w:eastAsia="zh-CN"/>
        </w:rPr>
        <w:t xml:space="preserve">                                        </w:t>
      </w:r>
    </w:p>
    <w:p>
      <w:pPr>
        <w:rPr>
          <w:rFonts w:hint="eastAsia" w:ascii="黑体" w:hAnsi="黑体" w:eastAsia="黑体" w:cs="黑体"/>
          <w:color w:val="auto"/>
          <w:highlight w:val="none"/>
        </w:rPr>
      </w:pPr>
    </w:p>
    <w:p>
      <w:pPr>
        <w:pStyle w:val="14"/>
        <w:jc w:val="both"/>
        <w:outlineLvl w:val="0"/>
        <w:rPr>
          <w:rFonts w:hint="eastAsia" w:ascii="黑体" w:hAnsi="黑体" w:eastAsia="黑体" w:cs="黑体"/>
          <w:b/>
          <w:bCs/>
          <w:color w:val="auto"/>
          <w:sz w:val="24"/>
          <w:szCs w:val="24"/>
          <w:highlight w:val="none"/>
        </w:rPr>
      </w:pPr>
      <w:bookmarkStart w:id="250" w:name="_Toc12308"/>
    </w:p>
    <w:p>
      <w:pPr>
        <w:rPr>
          <w:rFonts w:hint="eastAsia" w:ascii="黑体" w:hAnsi="黑体" w:eastAsia="黑体" w:cs="黑体"/>
        </w:rPr>
      </w:pPr>
    </w:p>
    <w:p>
      <w:pPr>
        <w:pStyle w:val="14"/>
        <w:rPr>
          <w:rFonts w:hint="eastAsia" w:ascii="黑体" w:hAnsi="黑体" w:eastAsia="黑体" w:cs="黑体"/>
        </w:rPr>
      </w:pPr>
    </w:p>
    <w:p>
      <w:pPr>
        <w:rPr>
          <w:rFonts w:hint="eastAsia" w:ascii="黑体" w:hAnsi="黑体" w:eastAsia="黑体" w:cs="黑体"/>
        </w:rPr>
      </w:pPr>
    </w:p>
    <w:p>
      <w:pPr>
        <w:pStyle w:val="14"/>
        <w:rPr>
          <w:rFonts w:hint="eastAsia" w:ascii="黑体" w:hAnsi="黑体" w:eastAsia="黑体" w:cs="黑体"/>
        </w:rPr>
      </w:pPr>
    </w:p>
    <w:p>
      <w:pPr>
        <w:rPr>
          <w:rFonts w:hint="eastAsia" w:ascii="黑体" w:hAnsi="黑体" w:eastAsia="黑体" w:cs="黑体"/>
        </w:rPr>
      </w:pPr>
    </w:p>
    <w:p>
      <w:pPr>
        <w:pStyle w:val="14"/>
        <w:numPr>
          <w:ilvl w:val="0"/>
          <w:numId w:val="7"/>
        </w:numPr>
        <w:jc w:val="center"/>
        <w:outlineLvl w:val="0"/>
        <w:rPr>
          <w:rFonts w:hint="eastAsia" w:ascii="黑体" w:hAnsi="黑体" w:eastAsia="黑体" w:cs="黑体"/>
          <w:color w:val="auto"/>
          <w:sz w:val="22"/>
          <w:szCs w:val="22"/>
          <w:highlight w:val="none"/>
        </w:rPr>
      </w:pPr>
      <w:r>
        <w:rPr>
          <w:rFonts w:hint="eastAsia" w:ascii="黑体" w:hAnsi="黑体" w:eastAsia="黑体" w:cs="黑体"/>
          <w:b/>
          <w:bCs/>
          <w:color w:val="auto"/>
          <w:sz w:val="28"/>
          <w:szCs w:val="28"/>
          <w:highlight w:val="none"/>
          <w:lang w:val="en-US" w:eastAsia="zh-CN"/>
        </w:rPr>
        <w:t>供应商</w:t>
      </w:r>
      <w:r>
        <w:rPr>
          <w:rFonts w:hint="eastAsia" w:ascii="黑体" w:hAnsi="黑体" w:eastAsia="黑体" w:cs="黑体"/>
          <w:b/>
          <w:bCs/>
          <w:color w:val="auto"/>
          <w:sz w:val="28"/>
          <w:szCs w:val="28"/>
          <w:highlight w:val="none"/>
        </w:rPr>
        <w:t>基本情况表</w:t>
      </w:r>
      <w:bookmarkEnd w:id="250"/>
    </w:p>
    <w:p>
      <w:pPr>
        <w:numPr>
          <w:ilvl w:val="0"/>
          <w:numId w:val="0"/>
        </w:numPr>
        <w:rPr>
          <w:rFonts w:hint="eastAsia" w:ascii="黑体" w:hAnsi="黑体" w:eastAsia="黑体" w:cs="黑体"/>
          <w:sz w:val="22"/>
          <w:szCs w:val="22"/>
        </w:rPr>
      </w:pPr>
    </w:p>
    <w:tbl>
      <w:tblPr>
        <w:tblStyle w:val="29"/>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名称</w:t>
            </w:r>
          </w:p>
        </w:tc>
        <w:tc>
          <w:tcPr>
            <w:tcW w:w="7016" w:type="dxa"/>
            <w:gridSpan w:val="9"/>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统一社会信用代码</w:t>
            </w:r>
          </w:p>
        </w:tc>
        <w:tc>
          <w:tcPr>
            <w:tcW w:w="1416" w:type="dxa"/>
            <w:vAlign w:val="center"/>
          </w:tcPr>
          <w:p>
            <w:pPr>
              <w:topLinePunct/>
              <w:spacing w:line="440" w:lineRule="exact"/>
              <w:jc w:val="center"/>
              <w:rPr>
                <w:rFonts w:hint="eastAsia" w:ascii="黑体" w:hAnsi="黑体" w:eastAsia="黑体" w:cs="黑体"/>
                <w:color w:val="auto"/>
                <w:sz w:val="22"/>
                <w:szCs w:val="22"/>
                <w:highlight w:val="none"/>
              </w:rPr>
            </w:pPr>
          </w:p>
        </w:tc>
        <w:tc>
          <w:tcPr>
            <w:tcW w:w="1419"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注册资金</w:t>
            </w:r>
          </w:p>
        </w:tc>
        <w:tc>
          <w:tcPr>
            <w:tcW w:w="1418" w:type="dxa"/>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成立时间</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注册地址</w:t>
            </w:r>
          </w:p>
        </w:tc>
        <w:tc>
          <w:tcPr>
            <w:tcW w:w="4253" w:type="dxa"/>
            <w:gridSpan w:val="5"/>
            <w:vAlign w:val="center"/>
          </w:tcPr>
          <w:p>
            <w:pPr>
              <w:topLinePunct/>
              <w:spacing w:line="440" w:lineRule="exa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资产总额</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上年营业额</w:t>
            </w:r>
          </w:p>
        </w:tc>
        <w:tc>
          <w:tcPr>
            <w:tcW w:w="1416" w:type="dxa"/>
            <w:vAlign w:val="center"/>
          </w:tcPr>
          <w:p>
            <w:pPr>
              <w:topLinePunct/>
              <w:jc w:val="center"/>
              <w:rPr>
                <w:rFonts w:hint="eastAsia" w:ascii="黑体" w:hAnsi="黑体" w:eastAsia="黑体" w:cs="黑体"/>
                <w:color w:val="auto"/>
                <w:sz w:val="22"/>
                <w:szCs w:val="22"/>
                <w:highlight w:val="none"/>
              </w:rPr>
            </w:pPr>
          </w:p>
        </w:tc>
        <w:tc>
          <w:tcPr>
            <w:tcW w:w="1419"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员工总人数</w:t>
            </w:r>
          </w:p>
        </w:tc>
        <w:tc>
          <w:tcPr>
            <w:tcW w:w="1418" w:type="dxa"/>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企业类型</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法定代表人</w:t>
            </w:r>
          </w:p>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（单位负责人）</w:t>
            </w:r>
          </w:p>
        </w:tc>
        <w:tc>
          <w:tcPr>
            <w:tcW w:w="1416"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姓名</w:t>
            </w:r>
          </w:p>
        </w:tc>
        <w:tc>
          <w:tcPr>
            <w:tcW w:w="1419" w:type="dxa"/>
            <w:gridSpan w:val="3"/>
            <w:vMerge w:val="restart"/>
            <w:vAlign w:val="center"/>
          </w:tcPr>
          <w:p>
            <w:pPr>
              <w:topLinePunct/>
              <w:jc w:val="center"/>
              <w:rPr>
                <w:rFonts w:hint="eastAsia" w:ascii="黑体" w:hAnsi="黑体" w:eastAsia="黑体" w:cs="黑体"/>
                <w:color w:val="auto"/>
                <w:sz w:val="22"/>
                <w:szCs w:val="22"/>
                <w:highlight w:val="none"/>
              </w:rPr>
            </w:pPr>
          </w:p>
        </w:tc>
        <w:tc>
          <w:tcPr>
            <w:tcW w:w="1418"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电话</w:t>
            </w: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手机</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黑体" w:hAnsi="黑体" w:eastAsia="黑体" w:cs="黑体"/>
                <w:color w:val="auto"/>
                <w:sz w:val="22"/>
                <w:szCs w:val="22"/>
                <w:highlight w:val="none"/>
              </w:rPr>
            </w:pPr>
          </w:p>
        </w:tc>
        <w:tc>
          <w:tcPr>
            <w:tcW w:w="1416" w:type="dxa"/>
            <w:vMerge w:val="continue"/>
            <w:vAlign w:val="center"/>
          </w:tcPr>
          <w:p>
            <w:pPr>
              <w:topLinePunct/>
              <w:jc w:val="center"/>
              <w:rPr>
                <w:rFonts w:hint="eastAsia" w:ascii="黑体" w:hAnsi="黑体" w:eastAsia="黑体" w:cs="黑体"/>
                <w:color w:val="auto"/>
                <w:sz w:val="22"/>
                <w:szCs w:val="22"/>
                <w:highlight w:val="none"/>
              </w:rPr>
            </w:pPr>
          </w:p>
        </w:tc>
        <w:tc>
          <w:tcPr>
            <w:tcW w:w="1419" w:type="dxa"/>
            <w:gridSpan w:val="3"/>
            <w:vMerge w:val="continue"/>
            <w:vAlign w:val="center"/>
          </w:tcPr>
          <w:p>
            <w:pPr>
              <w:topLinePunct/>
              <w:jc w:val="center"/>
              <w:rPr>
                <w:rFonts w:hint="eastAsia" w:ascii="黑体" w:hAnsi="黑体" w:eastAsia="黑体" w:cs="黑体"/>
                <w:color w:val="auto"/>
                <w:sz w:val="22"/>
                <w:szCs w:val="22"/>
                <w:highlight w:val="none"/>
              </w:rPr>
            </w:pPr>
          </w:p>
        </w:tc>
        <w:tc>
          <w:tcPr>
            <w:tcW w:w="1418" w:type="dxa"/>
            <w:vMerge w:val="continue"/>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办公</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联系方式</w:t>
            </w:r>
          </w:p>
        </w:tc>
        <w:tc>
          <w:tcPr>
            <w:tcW w:w="1416"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联系人</w:t>
            </w:r>
          </w:p>
        </w:tc>
        <w:tc>
          <w:tcPr>
            <w:tcW w:w="1419" w:type="dxa"/>
            <w:gridSpan w:val="3"/>
            <w:vMerge w:val="restart"/>
            <w:vAlign w:val="center"/>
          </w:tcPr>
          <w:p>
            <w:pPr>
              <w:topLinePunct/>
              <w:jc w:val="center"/>
              <w:rPr>
                <w:rFonts w:hint="eastAsia" w:ascii="黑体" w:hAnsi="黑体" w:eastAsia="黑体" w:cs="黑体"/>
                <w:color w:val="auto"/>
                <w:sz w:val="22"/>
                <w:szCs w:val="22"/>
                <w:highlight w:val="none"/>
              </w:rPr>
            </w:pPr>
          </w:p>
        </w:tc>
        <w:tc>
          <w:tcPr>
            <w:tcW w:w="141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电话</w:t>
            </w:r>
          </w:p>
        </w:tc>
        <w:tc>
          <w:tcPr>
            <w:tcW w:w="2763" w:type="dxa"/>
            <w:gridSpan w:val="4"/>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0" w:hRule="atLeast"/>
        </w:trPr>
        <w:tc>
          <w:tcPr>
            <w:tcW w:w="1984" w:type="dxa"/>
            <w:vMerge w:val="continue"/>
            <w:vAlign w:val="center"/>
          </w:tcPr>
          <w:p>
            <w:pPr>
              <w:topLinePunct/>
              <w:jc w:val="center"/>
              <w:rPr>
                <w:rFonts w:hint="eastAsia" w:ascii="黑体" w:hAnsi="黑体" w:eastAsia="黑体" w:cs="黑体"/>
                <w:color w:val="auto"/>
                <w:sz w:val="22"/>
                <w:szCs w:val="22"/>
                <w:highlight w:val="none"/>
              </w:rPr>
            </w:pPr>
          </w:p>
        </w:tc>
        <w:tc>
          <w:tcPr>
            <w:tcW w:w="1416" w:type="dxa"/>
            <w:vMerge w:val="continue"/>
            <w:vAlign w:val="center"/>
          </w:tcPr>
          <w:p>
            <w:pPr>
              <w:topLinePunct/>
              <w:jc w:val="center"/>
              <w:rPr>
                <w:rFonts w:hint="eastAsia" w:ascii="黑体" w:hAnsi="黑体" w:eastAsia="黑体" w:cs="黑体"/>
                <w:color w:val="auto"/>
                <w:sz w:val="22"/>
                <w:szCs w:val="22"/>
                <w:highlight w:val="none"/>
              </w:rPr>
            </w:pPr>
          </w:p>
        </w:tc>
        <w:tc>
          <w:tcPr>
            <w:tcW w:w="1419" w:type="dxa"/>
            <w:gridSpan w:val="3"/>
            <w:vMerge w:val="continue"/>
            <w:vAlign w:val="center"/>
          </w:tcPr>
          <w:p>
            <w:pPr>
              <w:topLinePunct/>
              <w:jc w:val="center"/>
              <w:rPr>
                <w:rFonts w:hint="eastAsia" w:ascii="黑体" w:hAnsi="黑体" w:eastAsia="黑体" w:cs="黑体"/>
                <w:color w:val="auto"/>
                <w:sz w:val="22"/>
                <w:szCs w:val="22"/>
                <w:highlight w:val="none"/>
              </w:rPr>
            </w:pPr>
          </w:p>
        </w:tc>
        <w:tc>
          <w:tcPr>
            <w:tcW w:w="141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邮箱</w:t>
            </w:r>
          </w:p>
        </w:tc>
        <w:tc>
          <w:tcPr>
            <w:tcW w:w="2763" w:type="dxa"/>
            <w:gridSpan w:val="4"/>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基本账户开银行</w:t>
            </w:r>
          </w:p>
        </w:tc>
        <w:tc>
          <w:tcPr>
            <w:tcW w:w="2835" w:type="dxa"/>
            <w:gridSpan w:val="4"/>
            <w:vAlign w:val="center"/>
          </w:tcPr>
          <w:p>
            <w:pPr>
              <w:topLinePunct/>
              <w:spacing w:line="440" w:lineRule="exact"/>
              <w:jc w:val="center"/>
              <w:rPr>
                <w:rFonts w:hint="eastAsia" w:ascii="黑体" w:hAnsi="黑体" w:eastAsia="黑体" w:cs="黑体"/>
                <w:color w:val="auto"/>
                <w:sz w:val="22"/>
                <w:szCs w:val="22"/>
                <w:highlight w:val="none"/>
              </w:rPr>
            </w:pPr>
          </w:p>
        </w:tc>
        <w:tc>
          <w:tcPr>
            <w:tcW w:w="1985"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基本账户银行账号</w:t>
            </w:r>
          </w:p>
        </w:tc>
        <w:tc>
          <w:tcPr>
            <w:tcW w:w="2196" w:type="dxa"/>
            <w:gridSpan w:val="2"/>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关联企业情况（包括但不限于与</w:t>
            </w: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法定代表人为同一人或者存在控股、管理关系的不同单位）</w:t>
            </w:r>
          </w:p>
        </w:tc>
        <w:tc>
          <w:tcPr>
            <w:tcW w:w="7016" w:type="dxa"/>
            <w:gridSpan w:val="9"/>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应具备的资质证书</w:t>
            </w:r>
          </w:p>
        </w:tc>
        <w:tc>
          <w:tcPr>
            <w:tcW w:w="106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等级</w:t>
            </w:r>
          </w:p>
        </w:tc>
        <w:tc>
          <w:tcPr>
            <w:tcW w:w="1701"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类型</w:t>
            </w:r>
          </w:p>
        </w:tc>
        <w:tc>
          <w:tcPr>
            <w:tcW w:w="2623"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74"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供应商取得的相关证书</w:t>
            </w:r>
          </w:p>
        </w:tc>
        <w:tc>
          <w:tcPr>
            <w:tcW w:w="106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等级</w:t>
            </w:r>
          </w:p>
        </w:tc>
        <w:tc>
          <w:tcPr>
            <w:tcW w:w="1701"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类型</w:t>
            </w:r>
          </w:p>
        </w:tc>
        <w:tc>
          <w:tcPr>
            <w:tcW w:w="2623"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bl>
    <w:p>
      <w:pPr>
        <w:adjustRightInd w:val="0"/>
        <w:snapToGrid w:val="0"/>
        <w:spacing w:before="156" w:beforeLines="50"/>
        <w:ind w:left="630" w:hanging="660" w:hangingChars="3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说明：企业类型指大型、中型、小型、微型；上年营业收入、资产总额应与财务报表中的数据一致， 金额单位为万元。</w:t>
      </w:r>
    </w:p>
    <w:p>
      <w:pPr>
        <w:pStyle w:val="14"/>
        <w:spacing w:line="360" w:lineRule="auto"/>
        <w:jc w:val="left"/>
        <w:rPr>
          <w:rFonts w:hint="eastAsia" w:ascii="黑体" w:hAnsi="黑体" w:eastAsia="黑体" w:cs="黑体"/>
          <w:b/>
          <w:color w:val="auto"/>
          <w:sz w:val="22"/>
          <w:szCs w:val="22"/>
          <w:highlight w:val="none"/>
        </w:rPr>
      </w:pPr>
    </w:p>
    <w:p>
      <w:pPr>
        <w:rPr>
          <w:rFonts w:hint="eastAsia" w:ascii="黑体" w:hAnsi="黑体" w:eastAsia="黑体" w:cs="黑体"/>
          <w:color w:val="auto"/>
          <w:highlight w:val="none"/>
        </w:rPr>
      </w:pPr>
    </w:p>
    <w:p>
      <w:pPr>
        <w:pStyle w:val="2"/>
        <w:rPr>
          <w:rFonts w:hint="eastAsia" w:ascii="黑体" w:hAnsi="黑体" w:eastAsia="黑体" w:cs="黑体"/>
        </w:rPr>
      </w:pPr>
    </w:p>
    <w:p>
      <w:pPr>
        <w:rPr>
          <w:rFonts w:hint="eastAsia" w:ascii="黑体" w:hAnsi="黑体" w:eastAsia="黑体" w:cs="黑体"/>
        </w:rPr>
      </w:pPr>
    </w:p>
    <w:p>
      <w:pPr>
        <w:adjustRightInd w:val="0"/>
        <w:snapToGrid w:val="0"/>
        <w:spacing w:line="360" w:lineRule="auto"/>
        <w:jc w:val="both"/>
        <w:rPr>
          <w:rFonts w:hint="eastAsia" w:ascii="黑体" w:hAnsi="黑体" w:eastAsia="黑体" w:cs="黑体"/>
          <w:b/>
          <w:bCs/>
          <w:color w:val="auto"/>
          <w:sz w:val="24"/>
          <w:szCs w:val="24"/>
          <w:highlight w:val="none"/>
        </w:rPr>
      </w:pPr>
    </w:p>
    <w:p>
      <w:pPr>
        <w:numPr>
          <w:ilvl w:val="0"/>
          <w:numId w:val="0"/>
        </w:numPr>
        <w:adjustRightInd w:val="0"/>
        <w:snapToGrid w:val="0"/>
        <w:spacing w:line="360" w:lineRule="auto"/>
        <w:ind w:leftChars="0"/>
        <w:jc w:val="center"/>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1.1法定代表人（单位负责人）身份证明</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kern w:val="0"/>
          <w:sz w:val="22"/>
          <w:szCs w:val="22"/>
          <w:highlight w:val="none"/>
        </w:rPr>
        <w:t>名称：</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统一社会信用代码：</w:t>
      </w:r>
      <w:r>
        <w:rPr>
          <w:rFonts w:hint="eastAsia" w:ascii="黑体" w:hAnsi="黑体" w:eastAsia="黑体" w:cs="黑体"/>
          <w:color w:val="auto"/>
          <w:kern w:val="0"/>
          <w:sz w:val="22"/>
          <w:szCs w:val="22"/>
          <w:highlight w:val="none"/>
          <w:u w:val="singl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姓名：</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性别：</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年龄：</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职务：</w:t>
      </w:r>
      <w:r>
        <w:rPr>
          <w:rFonts w:hint="eastAsia" w:ascii="黑体" w:hAnsi="黑体" w:eastAsia="黑体" w:cs="黑体"/>
          <w:color w:val="auto"/>
          <w:kern w:val="0"/>
          <w:sz w:val="22"/>
          <w:szCs w:val="22"/>
          <w:highlight w:val="none"/>
          <w:u w:val="singl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系</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w:t>
      </w:r>
      <w:r>
        <w:rPr>
          <w:rFonts w:hint="eastAsia" w:ascii="黑体" w:hAnsi="黑体" w:eastAsia="黑体" w:cs="黑体"/>
          <w:color w:val="auto"/>
          <w:kern w:val="0"/>
          <w:sz w:val="22"/>
          <w:szCs w:val="22"/>
          <w:highlight w:val="none"/>
          <w:lang w:val="en-US" w:eastAsia="zh-CN"/>
        </w:rPr>
        <w:t>供应商</w:t>
      </w:r>
      <w:r>
        <w:rPr>
          <w:rFonts w:hint="eastAsia" w:ascii="黑体" w:hAnsi="黑体" w:eastAsia="黑体" w:cs="黑体"/>
          <w:color w:val="auto"/>
          <w:kern w:val="0"/>
          <w:sz w:val="22"/>
          <w:szCs w:val="22"/>
          <w:highlight w:val="none"/>
        </w:rPr>
        <w:t>名称）的法定代表人（单位负责人）。</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特此证明。</w:t>
      </w:r>
    </w:p>
    <w:p>
      <w:pPr>
        <w:autoSpaceDE w:val="0"/>
        <w:autoSpaceDN w:val="0"/>
        <w:adjustRightInd w:val="0"/>
        <w:snapToGrid w:val="0"/>
        <w:spacing w:before="156" w:beforeLines="50" w:line="360" w:lineRule="auto"/>
        <w:jc w:val="left"/>
        <w:rPr>
          <w:rFonts w:hint="eastAsia" w:ascii="黑体" w:hAnsi="黑体" w:eastAsia="黑体" w:cs="黑体"/>
          <w:color w:val="auto"/>
          <w:sz w:val="22"/>
          <w:szCs w:val="22"/>
          <w:highlight w:val="none"/>
        </w:rPr>
      </w:pP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附：法定代表人身份证复印件</w:t>
      </w:r>
    </w:p>
    <w:p>
      <w:pPr>
        <w:snapToGrid w:val="0"/>
        <w:spacing w:line="480" w:lineRule="auto"/>
        <w:rPr>
          <w:rFonts w:hint="eastAsia" w:ascii="黑体" w:hAnsi="黑体" w:eastAsia="黑体" w:cs="黑体"/>
          <w:color w:val="auto"/>
          <w:sz w:val="22"/>
          <w:szCs w:val="22"/>
          <w:highlight w:val="none"/>
        </w:rPr>
      </w:pPr>
    </w:p>
    <w:tbl>
      <w:tblPr>
        <w:tblStyle w:val="29"/>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黑体" w:hAnsi="黑体" w:eastAsia="黑体" w:cs="黑体"/>
                <w:color w:val="auto"/>
                <w:sz w:val="22"/>
                <w:szCs w:val="22"/>
                <w:highlight w:val="none"/>
              </w:rPr>
            </w:pPr>
          </w:p>
          <w:p>
            <w:pPr>
              <w:snapToGrid w:val="0"/>
              <w:spacing w:line="480" w:lineRule="auto"/>
              <w:jc w:val="center"/>
              <w:rPr>
                <w:rFonts w:hint="eastAsia" w:ascii="黑体" w:hAnsi="黑体" w:eastAsia="黑体" w:cs="黑体"/>
                <w:color w:val="auto"/>
                <w:sz w:val="22"/>
                <w:szCs w:val="22"/>
                <w:highlight w:val="none"/>
              </w:rPr>
            </w:pPr>
          </w:p>
          <w:p>
            <w:pPr>
              <w:autoSpaceDE w:val="0"/>
              <w:autoSpaceDN w:val="0"/>
              <w:adjustRightInd w:val="0"/>
              <w:snapToGrid w:val="0"/>
              <w:spacing w:before="156" w:beforeLines="50" w:line="360" w:lineRule="auto"/>
              <w:jc w:val="center"/>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法定代表人身份证复印件粘贴处</w:t>
            </w:r>
          </w:p>
          <w:p>
            <w:pPr>
              <w:snapToGrid w:val="0"/>
              <w:spacing w:line="480" w:lineRule="auto"/>
              <w:jc w:val="center"/>
              <w:rPr>
                <w:rFonts w:hint="eastAsia" w:ascii="黑体" w:hAnsi="黑体" w:eastAsia="黑体" w:cs="黑体"/>
                <w:color w:val="auto"/>
                <w:sz w:val="22"/>
                <w:szCs w:val="22"/>
                <w:highlight w:val="none"/>
              </w:rPr>
            </w:pPr>
          </w:p>
          <w:p>
            <w:pPr>
              <w:snapToGrid w:val="0"/>
              <w:spacing w:line="480" w:lineRule="auto"/>
              <w:jc w:val="center"/>
              <w:rPr>
                <w:rFonts w:hint="eastAsia" w:ascii="黑体" w:hAnsi="黑体" w:eastAsia="黑体" w:cs="黑体"/>
                <w:color w:val="auto"/>
                <w:sz w:val="22"/>
                <w:szCs w:val="22"/>
                <w:highlight w:val="none"/>
              </w:rPr>
            </w:pPr>
          </w:p>
        </w:tc>
      </w:tr>
    </w:tbl>
    <w:p>
      <w:pPr>
        <w:snapToGrid w:val="0"/>
        <w:spacing w:line="480" w:lineRule="auto"/>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adjustRightInd w:val="0"/>
        <w:snapToGrid w:val="0"/>
        <w:spacing w:line="360" w:lineRule="auto"/>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p>
    <w:p>
      <w:pPr>
        <w:pStyle w:val="2"/>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
        <w:rPr>
          <w:rFonts w:hint="eastAsia" w:ascii="黑体" w:hAnsi="黑体" w:eastAsia="黑体" w:cs="黑体"/>
        </w:rPr>
      </w:pPr>
    </w:p>
    <w:p>
      <w:pPr>
        <w:adjustRightInd w:val="0"/>
        <w:snapToGrid w:val="0"/>
        <w:spacing w:line="360" w:lineRule="auto"/>
        <w:ind w:right="420" w:firstLine="2860" w:firstLineChars="13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供应商名称：</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（盖单位章）</w:t>
      </w:r>
    </w:p>
    <w:p>
      <w:pPr>
        <w:adjustRightInd w:val="0"/>
        <w:snapToGrid w:val="0"/>
        <w:spacing w:line="360" w:lineRule="auto"/>
        <w:ind w:right="420" w:firstLine="5060" w:firstLineChars="2300"/>
        <w:rPr>
          <w:rFonts w:hint="eastAsia" w:ascii="黑体" w:hAnsi="黑体" w:eastAsia="黑体" w:cs="黑体"/>
          <w:color w:val="auto"/>
          <w:sz w:val="22"/>
          <w:szCs w:val="22"/>
          <w:highlight w:val="none"/>
        </w:rPr>
      </w:pPr>
    </w:p>
    <w:p>
      <w:pPr>
        <w:adjustRightInd w:val="0"/>
        <w:snapToGrid w:val="0"/>
        <w:spacing w:line="360" w:lineRule="auto"/>
        <w:ind w:right="420" w:firstLine="4455" w:firstLineChars="2025"/>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日期：</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 xml:space="preserve"> 年  月  日</w:t>
      </w: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说明：仅限法定代表人参加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时提供</w:t>
      </w:r>
    </w:p>
    <w:p>
      <w:pPr>
        <w:pStyle w:val="2"/>
        <w:rPr>
          <w:rFonts w:hint="eastAsia" w:ascii="黑体" w:hAnsi="黑体" w:eastAsia="黑体" w:cs="黑体"/>
          <w:sz w:val="22"/>
          <w:szCs w:val="22"/>
        </w:rPr>
      </w:pPr>
    </w:p>
    <w:p>
      <w:pPr>
        <w:rPr>
          <w:rFonts w:hint="eastAsia" w:ascii="黑体" w:hAnsi="黑体" w:eastAsia="黑体" w:cs="黑体"/>
        </w:rPr>
      </w:pPr>
    </w:p>
    <w:p>
      <w:pPr>
        <w:numPr>
          <w:ilvl w:val="0"/>
          <w:numId w:val="0"/>
        </w:numPr>
        <w:adjustRightInd w:val="0"/>
        <w:snapToGrid w:val="0"/>
        <w:spacing w:line="360" w:lineRule="auto"/>
        <w:ind w:leftChars="0" w:right="420" w:rightChars="0"/>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1.2</w:t>
      </w:r>
      <w:r>
        <w:rPr>
          <w:rFonts w:hint="eastAsia" w:ascii="黑体" w:hAnsi="黑体" w:eastAsia="黑体" w:cs="黑体"/>
          <w:b/>
          <w:bCs/>
          <w:color w:val="auto"/>
          <w:sz w:val="28"/>
          <w:szCs w:val="28"/>
          <w:highlight w:val="none"/>
        </w:rPr>
        <w:t>法定代表人授权委托书</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本人</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（姓名）系</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（供应商名称）的法定代表人（单位负责人），</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现委托</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（姓名）为我方代理人。代理人根据授权，以我方的名义签署、澄清确认、递交、撤回、修改</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（采购项目）磋商文件、签订合同和全权处理一切与之有关的事宜，</w:t>
      </w:r>
      <w:r>
        <w:rPr>
          <w:rFonts w:hint="eastAsia" w:ascii="黑体" w:hAnsi="黑体" w:eastAsia="黑体" w:cs="黑体"/>
          <w:color w:val="auto"/>
          <w:kern w:val="0"/>
          <w:sz w:val="22"/>
          <w:szCs w:val="22"/>
          <w:highlight w:val="none"/>
        </w:rPr>
        <w:t>其法律后果由我方承担。</w:t>
      </w:r>
    </w:p>
    <w:p>
      <w:pPr>
        <w:spacing w:line="48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委托期限</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日至</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w:t>
      </w:r>
    </w:p>
    <w:p>
      <w:pPr>
        <w:spacing w:line="480" w:lineRule="auto"/>
        <w:ind w:firstLine="440" w:firstLineChars="200"/>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代理人无转委托权。</w:t>
      </w:r>
    </w:p>
    <w:p>
      <w:pPr>
        <w:spacing w:line="360" w:lineRule="auto"/>
        <w:ind w:firstLine="440" w:firstLineChars="200"/>
        <w:rPr>
          <w:rFonts w:hint="eastAsia" w:ascii="黑体" w:hAnsi="黑体" w:eastAsia="黑体" w:cs="黑体"/>
          <w:color w:val="auto"/>
          <w:sz w:val="22"/>
          <w:szCs w:val="22"/>
          <w:highlight w:val="none"/>
        </w:rPr>
      </w:pPr>
    </w:p>
    <w:p>
      <w:pPr>
        <w:spacing w:line="360" w:lineRule="auto"/>
        <w:ind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附：法定代表人（单位负责人）身份证复印件</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zh-CN"/>
        </w:rPr>
        <w:t>委托代理人身份证复印件</w:t>
      </w:r>
    </w:p>
    <w:tbl>
      <w:tblPr>
        <w:tblStyle w:val="29"/>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委托代理人身份证复印件</w:t>
            </w:r>
          </w:p>
        </w:tc>
      </w:tr>
    </w:tbl>
    <w:p>
      <w:pPr>
        <w:ind w:firstLine="440" w:firstLineChars="200"/>
        <w:rPr>
          <w:rFonts w:hint="eastAsia" w:ascii="黑体" w:hAnsi="黑体" w:eastAsia="黑体" w:cs="黑体"/>
          <w:color w:val="auto"/>
          <w:sz w:val="22"/>
          <w:szCs w:val="22"/>
          <w:highlight w:val="none"/>
        </w:rPr>
      </w:pPr>
    </w:p>
    <w:p>
      <w:pPr>
        <w:ind w:firstLine="440" w:firstLineChars="200"/>
        <w:rPr>
          <w:rFonts w:hint="eastAsia" w:ascii="黑体" w:hAnsi="黑体" w:eastAsia="黑体" w:cs="黑体"/>
          <w:color w:val="auto"/>
          <w:sz w:val="22"/>
          <w:szCs w:val="22"/>
          <w:highlight w:val="none"/>
        </w:rPr>
      </w:pPr>
    </w:p>
    <w:p>
      <w:pPr>
        <w:ind w:firstLine="440" w:firstLineChars="200"/>
        <w:rPr>
          <w:rFonts w:hint="eastAsia" w:ascii="黑体" w:hAnsi="黑体" w:eastAsia="黑体" w:cs="黑体"/>
          <w:color w:val="auto"/>
          <w:sz w:val="22"/>
          <w:szCs w:val="22"/>
          <w:highlight w:val="none"/>
        </w:rPr>
      </w:pPr>
    </w:p>
    <w:p>
      <w:pPr>
        <w:ind w:firstLine="2640" w:firstLineChars="1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（盖单位章） </w:t>
      </w:r>
    </w:p>
    <w:p>
      <w:pPr>
        <w:ind w:firstLine="440" w:firstLineChars="200"/>
        <w:rPr>
          <w:rFonts w:hint="eastAsia" w:ascii="黑体" w:hAnsi="黑体" w:eastAsia="黑体" w:cs="黑体"/>
          <w:color w:val="auto"/>
          <w:sz w:val="22"/>
          <w:szCs w:val="22"/>
          <w:highlight w:val="none"/>
        </w:rPr>
      </w:pPr>
    </w:p>
    <w:p>
      <w:pPr>
        <w:ind w:firstLine="2640" w:firstLineChars="1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法定代表人（单位负责人）: </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（签字）</w:t>
      </w:r>
    </w:p>
    <w:p>
      <w:pPr>
        <w:ind w:firstLine="3630" w:firstLineChars="1650"/>
        <w:rPr>
          <w:rFonts w:hint="eastAsia" w:ascii="黑体" w:hAnsi="黑体" w:eastAsia="黑体" w:cs="黑体"/>
          <w:color w:val="auto"/>
          <w:sz w:val="22"/>
          <w:szCs w:val="22"/>
          <w:highlight w:val="none"/>
        </w:rPr>
      </w:pPr>
    </w:p>
    <w:p>
      <w:pPr>
        <w:ind w:firstLine="2640" w:firstLineChars="1200"/>
        <w:jc w:val="left"/>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身 份 证 号：</w:t>
      </w:r>
      <w:r>
        <w:rPr>
          <w:rFonts w:hint="eastAsia" w:ascii="黑体" w:hAnsi="黑体" w:eastAsia="黑体" w:cs="黑体"/>
          <w:color w:val="auto"/>
          <w:sz w:val="22"/>
          <w:szCs w:val="22"/>
          <w:highlight w:val="none"/>
          <w:u w:val="single"/>
        </w:rPr>
        <w:t xml:space="preserve">                               </w:t>
      </w:r>
    </w:p>
    <w:p>
      <w:pPr>
        <w:ind w:firstLine="3630" w:firstLineChars="1650"/>
        <w:rPr>
          <w:rFonts w:hint="eastAsia" w:ascii="黑体" w:hAnsi="黑体" w:eastAsia="黑体" w:cs="黑体"/>
          <w:color w:val="auto"/>
          <w:sz w:val="22"/>
          <w:szCs w:val="22"/>
          <w:highlight w:val="none"/>
        </w:rPr>
      </w:pPr>
    </w:p>
    <w:p>
      <w:pPr>
        <w:ind w:firstLine="2640" w:firstLineChars="1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委托代理人：</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（签字）     </w:t>
      </w:r>
    </w:p>
    <w:p>
      <w:pPr>
        <w:ind w:firstLine="2970" w:firstLineChars="1350"/>
        <w:jc w:val="left"/>
        <w:rPr>
          <w:rFonts w:hint="eastAsia" w:ascii="黑体" w:hAnsi="黑体" w:eastAsia="黑体" w:cs="黑体"/>
          <w:color w:val="auto"/>
          <w:sz w:val="22"/>
          <w:szCs w:val="22"/>
          <w:highlight w:val="none"/>
        </w:rPr>
      </w:pPr>
    </w:p>
    <w:p>
      <w:pPr>
        <w:ind w:firstLine="2640" w:firstLineChars="1200"/>
        <w:jc w:val="left"/>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身 份 证 号：</w:t>
      </w:r>
      <w:r>
        <w:rPr>
          <w:rFonts w:hint="eastAsia" w:ascii="黑体" w:hAnsi="黑体" w:eastAsia="黑体" w:cs="黑体"/>
          <w:color w:val="auto"/>
          <w:sz w:val="22"/>
          <w:szCs w:val="22"/>
          <w:highlight w:val="none"/>
          <w:u w:val="single"/>
        </w:rPr>
        <w:t xml:space="preserve">                               </w:t>
      </w:r>
    </w:p>
    <w:p>
      <w:pPr>
        <w:ind w:firstLine="440" w:firstLineChars="200"/>
        <w:rPr>
          <w:rFonts w:hint="eastAsia" w:ascii="黑体" w:hAnsi="黑体" w:eastAsia="黑体" w:cs="黑体"/>
          <w:color w:val="auto"/>
          <w:sz w:val="22"/>
          <w:szCs w:val="22"/>
          <w:highlight w:val="none"/>
        </w:rPr>
      </w:pPr>
    </w:p>
    <w:p>
      <w:pPr>
        <w:ind w:firstLine="2860" w:firstLineChars="130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rPr>
        <w:t>授权委托日期：20</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年</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月</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日</w:t>
      </w:r>
    </w:p>
    <w:p>
      <w:pPr>
        <w:ind w:firstLine="440" w:firstLineChars="200"/>
        <w:rPr>
          <w:rFonts w:hint="eastAsia" w:ascii="黑体" w:hAnsi="黑体" w:eastAsia="黑体" w:cs="黑体"/>
          <w:color w:val="auto"/>
          <w:sz w:val="22"/>
          <w:szCs w:val="22"/>
          <w:highlight w:val="none"/>
          <w:lang w:val="zh-CN"/>
        </w:rPr>
      </w:pPr>
    </w:p>
    <w:p>
      <w:pPr>
        <w:pStyle w:val="2"/>
        <w:rPr>
          <w:rFonts w:hint="eastAsia" w:ascii="黑体" w:hAnsi="黑体" w:eastAsia="黑体" w:cs="黑体"/>
          <w:lang w:val="zh-CN"/>
        </w:rPr>
      </w:pPr>
    </w:p>
    <w:p>
      <w:pP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说明：仅限委托代理人参加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lang w:val="zh-CN"/>
        </w:rPr>
        <w:t>时提供。</w:t>
      </w:r>
    </w:p>
    <w:p>
      <w:pPr>
        <w:pStyle w:val="2"/>
        <w:rPr>
          <w:rFonts w:hint="eastAsia" w:ascii="黑体" w:hAnsi="黑体" w:eastAsia="黑体" w:cs="黑体"/>
          <w:lang w:val="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2.</w:t>
      </w:r>
      <w:r>
        <w:rPr>
          <w:rFonts w:hint="eastAsia" w:ascii="黑体" w:hAnsi="黑体" w:eastAsia="黑体" w:cs="黑体"/>
          <w:sz w:val="22"/>
          <w:szCs w:val="22"/>
        </w:rPr>
        <w:t>具有独立承担民事责任能力的法人、其他组织或自然人，并出具合法有效的营业执照或事业单位法人证书等国家规定的相关证明，自然人参与的提供其身份证明</w:t>
      </w:r>
      <w:r>
        <w:rPr>
          <w:rFonts w:hint="eastAsia" w:ascii="黑体" w:hAnsi="黑体" w:eastAsia="黑体" w:cs="黑体"/>
          <w:sz w:val="22"/>
          <w:szCs w:val="22"/>
          <w:lang w:eastAsia="zh-CN"/>
        </w:rPr>
        <w:t>；</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3.</w:t>
      </w:r>
      <w:r>
        <w:rPr>
          <w:rFonts w:hint="eastAsia" w:ascii="黑体" w:hAnsi="黑体" w:eastAsia="黑体" w:cs="黑体"/>
          <w:sz w:val="22"/>
          <w:szCs w:val="22"/>
        </w:rPr>
        <w:t>提供</w:t>
      </w:r>
      <w:r>
        <w:rPr>
          <w:rFonts w:hint="eastAsia" w:ascii="黑体" w:hAnsi="黑体" w:eastAsia="黑体" w:cs="黑体"/>
          <w:sz w:val="22"/>
          <w:szCs w:val="22"/>
          <w:lang w:val="en-US" w:eastAsia="zh-CN"/>
        </w:rPr>
        <w:t>2020年至今</w:t>
      </w:r>
      <w:r>
        <w:rPr>
          <w:rFonts w:hint="eastAsia" w:ascii="黑体" w:hAnsi="黑体" w:eastAsia="黑体" w:cs="黑体"/>
          <w:sz w:val="22"/>
          <w:szCs w:val="22"/>
        </w:rPr>
        <w:t>任意1年度的完整有效的财务审计报告（成立时间至投标文件递交截止时间不足一年的可提供成立后任意时段的资产负债表），或开标时间前三个月内其基本存款账户开户银行出具的资信证明，或政府采购信用担保机构出具的投标担保函。其他组织和自然人提供银行出具的资信证明；</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4.</w:t>
      </w:r>
      <w:r>
        <w:rPr>
          <w:rFonts w:hint="eastAsia" w:ascii="黑体" w:hAnsi="黑体" w:eastAsia="黑体" w:cs="黑体"/>
          <w:sz w:val="22"/>
          <w:szCs w:val="22"/>
        </w:rPr>
        <w:t>税收缴纳证明：提供投标文件递交截止时间前</w:t>
      </w:r>
      <w:r>
        <w:rPr>
          <w:rFonts w:hint="eastAsia" w:ascii="黑体" w:hAnsi="黑体" w:eastAsia="黑体" w:cs="黑体"/>
          <w:sz w:val="22"/>
          <w:szCs w:val="22"/>
          <w:lang w:val="en-US" w:eastAsia="zh-CN"/>
        </w:rPr>
        <w:t>12</w:t>
      </w:r>
      <w:r>
        <w:rPr>
          <w:rFonts w:hint="eastAsia" w:ascii="黑体" w:hAnsi="黑体" w:eastAsia="黑体" w:cs="黑体"/>
          <w:sz w:val="22"/>
          <w:szCs w:val="22"/>
        </w:rPr>
        <w:t>个月内任意</w:t>
      </w:r>
      <w:r>
        <w:rPr>
          <w:rFonts w:hint="eastAsia" w:ascii="黑体" w:hAnsi="黑体" w:eastAsia="黑体" w:cs="黑体"/>
          <w:sz w:val="22"/>
          <w:szCs w:val="22"/>
          <w:lang w:val="en-US" w:eastAsia="zh-CN"/>
        </w:rPr>
        <w:t>1</w:t>
      </w:r>
      <w:r>
        <w:rPr>
          <w:rFonts w:hint="eastAsia" w:ascii="黑体" w:hAnsi="黑体" w:eastAsia="黑体" w:cs="黑体"/>
          <w:sz w:val="22"/>
          <w:szCs w:val="22"/>
        </w:rPr>
        <w:t>个月的缴费凭据；（依法免税的投标人应提供相关文件证明）；</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p>
    <w:p>
      <w:pPr>
        <w:pStyle w:val="2"/>
        <w:keepNext w:val="0"/>
        <w:keepLines w:val="0"/>
        <w:pageBreakBefore w:val="0"/>
        <w:widowControl w:val="0"/>
        <w:numPr>
          <w:ilvl w:val="0"/>
          <w:numId w:val="0"/>
        </w:numPr>
        <w:kinsoku/>
        <w:wordWrap/>
        <w:overflowPunct/>
        <w:topLinePunct w:val="0"/>
        <w:bidi w:val="0"/>
        <w:spacing w:after="0" w:afterAutospacing="0" w:line="240" w:lineRule="auto"/>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5.</w:t>
      </w:r>
      <w:r>
        <w:rPr>
          <w:rFonts w:hint="eastAsia" w:ascii="黑体" w:hAnsi="黑体" w:eastAsia="黑体" w:cs="黑体"/>
          <w:sz w:val="22"/>
          <w:szCs w:val="22"/>
        </w:rPr>
        <w:t>社会保障资金缴纳证明：提供投标文件递交截止时间前</w:t>
      </w:r>
      <w:r>
        <w:rPr>
          <w:rFonts w:hint="eastAsia" w:ascii="黑体" w:hAnsi="黑体" w:eastAsia="黑体" w:cs="黑体"/>
          <w:sz w:val="22"/>
          <w:szCs w:val="22"/>
          <w:lang w:val="en-US" w:eastAsia="zh-CN"/>
        </w:rPr>
        <w:t>12</w:t>
      </w:r>
      <w:r>
        <w:rPr>
          <w:rFonts w:hint="eastAsia" w:ascii="黑体" w:hAnsi="黑体" w:eastAsia="黑体" w:cs="黑体"/>
          <w:sz w:val="22"/>
          <w:szCs w:val="22"/>
        </w:rPr>
        <w:t>个月内任意</w:t>
      </w:r>
      <w:r>
        <w:rPr>
          <w:rFonts w:hint="eastAsia" w:ascii="黑体" w:hAnsi="黑体" w:eastAsia="黑体" w:cs="黑体"/>
          <w:sz w:val="22"/>
          <w:szCs w:val="22"/>
          <w:lang w:val="en-US" w:eastAsia="zh-CN"/>
        </w:rPr>
        <w:t>1</w:t>
      </w:r>
      <w:r>
        <w:rPr>
          <w:rFonts w:hint="eastAsia" w:ascii="黑体" w:hAnsi="黑体" w:eastAsia="黑体" w:cs="黑体"/>
          <w:sz w:val="22"/>
          <w:szCs w:val="22"/>
        </w:rPr>
        <w:t>个月的社会保障资金缴存单据或社保机构开具的社会保险参保缴费情况证明，依法不需要缴纳社会保障资金的单位应提供相关证明材料；</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6.</w:t>
      </w:r>
      <w:r>
        <w:rPr>
          <w:rFonts w:hint="eastAsia" w:ascii="黑体" w:hAnsi="黑体" w:eastAsia="黑体" w:cs="黑体"/>
          <w:sz w:val="22"/>
          <w:szCs w:val="22"/>
        </w:rPr>
        <w:t>提供具有履行本合同所必需的设备和专业技术能力的说明及承诺；</w:t>
      </w:r>
      <w:r>
        <w:rPr>
          <w:rFonts w:hint="eastAsia" w:ascii="黑体" w:hAnsi="黑体" w:eastAsia="黑体" w:cs="黑体"/>
          <w:sz w:val="22"/>
          <w:szCs w:val="22"/>
          <w:u w:val="single"/>
        </w:rPr>
        <w:t>（原件，格式内容自拟）</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atLeast"/>
        <w:ind w:leftChars="0"/>
        <w:jc w:val="left"/>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7.</w:t>
      </w:r>
      <w:r>
        <w:rPr>
          <w:rFonts w:hint="eastAsia" w:ascii="黑体" w:hAnsi="黑体" w:eastAsia="黑体" w:cs="黑体"/>
          <w:sz w:val="22"/>
          <w:szCs w:val="22"/>
        </w:rPr>
        <w:t>提供参加政府采购活动前三年内在经营活动中没有重大违法记录的书面声明</w:t>
      </w:r>
      <w:r>
        <w:rPr>
          <w:rFonts w:hint="eastAsia" w:ascii="黑体" w:hAnsi="黑体" w:eastAsia="黑体" w:cs="黑体"/>
          <w:sz w:val="22"/>
          <w:szCs w:val="22"/>
          <w:lang w:eastAsia="zh-CN"/>
        </w:rPr>
        <w:t>；</w:t>
      </w:r>
      <w:r>
        <w:rPr>
          <w:rFonts w:hint="eastAsia" w:ascii="黑体" w:hAnsi="黑体" w:eastAsia="黑体" w:cs="黑体"/>
          <w:sz w:val="22"/>
          <w:szCs w:val="22"/>
          <w:u w:val="single"/>
        </w:rPr>
        <w:t>（原件，格式内容自拟）</w:t>
      </w:r>
    </w:p>
    <w:p>
      <w:pPr>
        <w:pStyle w:val="2"/>
        <w:keepNext w:val="0"/>
        <w:keepLines w:val="0"/>
        <w:pageBreakBefore w:val="0"/>
        <w:widowControl w:val="0"/>
        <w:numPr>
          <w:ilvl w:val="0"/>
          <w:numId w:val="0"/>
        </w:numPr>
        <w:kinsoku/>
        <w:wordWrap/>
        <w:overflowPunct/>
        <w:topLinePunct w:val="0"/>
        <w:bidi w:val="0"/>
        <w:spacing w:after="0" w:line="240" w:lineRule="auto"/>
        <w:ind w:leftChars="0"/>
        <w:jc w:val="left"/>
        <w:textAlignment w:val="auto"/>
        <w:rPr>
          <w:rFonts w:hint="eastAsia" w:ascii="黑体" w:hAnsi="黑体" w:eastAsia="黑体" w:cs="黑体"/>
          <w:sz w:val="22"/>
          <w:szCs w:val="22"/>
          <w:lang w:eastAsia="zh-CN"/>
        </w:rPr>
      </w:pPr>
    </w:p>
    <w:p>
      <w:pPr>
        <w:pStyle w:val="14"/>
        <w:keepNext w:val="0"/>
        <w:keepLines w:val="0"/>
        <w:pageBreakBefore w:val="0"/>
        <w:widowControl w:val="0"/>
        <w:numPr>
          <w:ilvl w:val="0"/>
          <w:numId w:val="0"/>
        </w:numPr>
        <w:kinsoku/>
        <w:wordWrap/>
        <w:overflowPunct/>
        <w:topLinePunct w:val="0"/>
        <w:autoSpaceDE/>
        <w:autoSpaceDN/>
        <w:bidi w:val="0"/>
        <w:adjustRightInd/>
        <w:spacing w:after="0" w:line="380" w:lineRule="atLeast"/>
        <w:ind w:leftChars="0"/>
        <w:jc w:val="left"/>
        <w:textAlignment w:val="auto"/>
        <w:rPr>
          <w:rFonts w:hint="eastAsia" w:ascii="黑体" w:hAnsi="黑体" w:eastAsia="黑体" w:cs="黑体"/>
          <w:sz w:val="22"/>
          <w:szCs w:val="22"/>
          <w:u w:val="single"/>
        </w:rPr>
      </w:pPr>
      <w:r>
        <w:rPr>
          <w:rFonts w:hint="eastAsia" w:ascii="黑体" w:hAnsi="黑体" w:eastAsia="黑体" w:cs="黑体"/>
          <w:sz w:val="22"/>
          <w:szCs w:val="22"/>
          <w:lang w:val="en-US" w:eastAsia="zh-CN"/>
        </w:rPr>
        <w:t>8.供应商须具备自然资源部门颁发的地质灾害危险性评估甲级资质</w:t>
      </w:r>
      <w:r>
        <w:rPr>
          <w:rFonts w:hint="eastAsia" w:ascii="黑体" w:hAnsi="黑体" w:eastAsia="黑体" w:cs="黑体"/>
          <w:sz w:val="22"/>
          <w:szCs w:val="22"/>
        </w:rPr>
        <w:t>；</w:t>
      </w:r>
      <w:r>
        <w:rPr>
          <w:rFonts w:hint="eastAsia" w:ascii="黑体" w:hAnsi="黑体" w:eastAsia="黑体" w:cs="黑体"/>
          <w:sz w:val="22"/>
          <w:szCs w:val="22"/>
          <w:u w:val="single"/>
        </w:rPr>
        <w:t>（</w:t>
      </w:r>
      <w:r>
        <w:rPr>
          <w:rFonts w:hint="eastAsia" w:ascii="黑体" w:hAnsi="黑体" w:eastAsia="黑体" w:cs="黑体"/>
          <w:sz w:val="22"/>
          <w:szCs w:val="22"/>
          <w:u w:val="single"/>
          <w:lang w:val="en-US" w:eastAsia="zh-CN"/>
        </w:rPr>
        <w:t>材料清晰，加盖公章</w:t>
      </w:r>
      <w:r>
        <w:rPr>
          <w:rFonts w:hint="eastAsia" w:ascii="黑体" w:hAnsi="黑体" w:eastAsia="黑体" w:cs="黑体"/>
          <w:sz w:val="22"/>
          <w:szCs w:val="22"/>
          <w:u w:val="single"/>
        </w:rPr>
        <w:t>）</w:t>
      </w:r>
    </w:p>
    <w:p>
      <w:pPr>
        <w:keepNext w:val="0"/>
        <w:keepLines w:val="0"/>
        <w:pageBreakBefore w:val="0"/>
        <w:widowControl w:val="0"/>
        <w:numPr>
          <w:ilvl w:val="0"/>
          <w:numId w:val="0"/>
        </w:numPr>
        <w:kinsoku/>
        <w:wordWrap/>
        <w:overflowPunct/>
        <w:topLinePunct w:val="0"/>
        <w:bidi w:val="0"/>
        <w:spacing w:line="240" w:lineRule="auto"/>
        <w:ind w:leftChars="0"/>
        <w:jc w:val="left"/>
        <w:textAlignment w:val="auto"/>
        <w:rPr>
          <w:rFonts w:hint="eastAsia" w:ascii="黑体" w:hAnsi="黑体" w:eastAsia="黑体" w:cs="黑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atLeast"/>
        <w:jc w:val="left"/>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9.</w:t>
      </w:r>
      <w:r>
        <w:rPr>
          <w:rFonts w:hint="eastAsia" w:ascii="黑体" w:hAnsi="黑体" w:eastAsia="黑体" w:cs="黑体"/>
          <w:sz w:val="22"/>
          <w:szCs w:val="22"/>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黑体" w:hAnsi="黑体" w:eastAsia="黑体" w:cs="黑体"/>
          <w:sz w:val="22"/>
          <w:szCs w:val="22"/>
          <w:u w:val="single"/>
          <w:lang w:val="en-US" w:eastAsia="zh-CN"/>
        </w:rPr>
        <w:t>★此项由采购代理机构在磋商截止时间前3日内查询，查询结果以电子图片或者纸质版存档并作为资格审查资料的一部分，如相关失信记录已失效，供应商需提供相关证明资料，若没有则无需提供）</w:t>
      </w:r>
    </w:p>
    <w:p>
      <w:pPr>
        <w:pStyle w:val="2"/>
        <w:keepNext w:val="0"/>
        <w:keepLines w:val="0"/>
        <w:pageBreakBefore w:val="0"/>
        <w:widowControl w:val="0"/>
        <w:numPr>
          <w:ilvl w:val="0"/>
          <w:numId w:val="0"/>
        </w:numPr>
        <w:kinsoku/>
        <w:wordWrap/>
        <w:overflowPunct/>
        <w:topLinePunct w:val="0"/>
        <w:bidi w:val="0"/>
        <w:spacing w:after="0" w:line="240" w:lineRule="auto"/>
        <w:textAlignment w:val="auto"/>
        <w:rPr>
          <w:rFonts w:hint="eastAsia" w:ascii="黑体" w:hAnsi="黑体" w:eastAsia="黑体" w:cs="黑体"/>
          <w:lang w:val="en-US" w:eastAsia="zh-CN"/>
        </w:rPr>
      </w:pPr>
    </w:p>
    <w:p>
      <w:pPr>
        <w:rPr>
          <w:rFonts w:hint="eastAsia" w:ascii="黑体" w:hAnsi="黑体" w:eastAsia="黑体" w:cs="黑体"/>
          <w:color w:val="auto"/>
        </w:rPr>
      </w:pPr>
    </w:p>
    <w:p>
      <w:pPr>
        <w:pStyle w:val="2"/>
        <w:rPr>
          <w:rFonts w:hint="eastAsia" w:ascii="黑体" w:hAnsi="黑体" w:eastAsia="黑体" w:cs="黑体"/>
          <w:color w:val="auto"/>
        </w:rPr>
      </w:pPr>
    </w:p>
    <w:p>
      <w:pPr>
        <w:rPr>
          <w:rFonts w:hint="eastAsia" w:ascii="黑体" w:hAnsi="黑体" w:eastAsia="黑体" w:cs="黑体"/>
          <w:color w:val="auto"/>
        </w:rPr>
      </w:pPr>
    </w:p>
    <w:p>
      <w:pPr>
        <w:pStyle w:val="2"/>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rPr>
      </w:pPr>
    </w:p>
    <w:p>
      <w:pPr>
        <w:pStyle w:val="14"/>
        <w:rPr>
          <w:rFonts w:hint="eastAsia" w:ascii="黑体" w:hAnsi="黑体" w:eastAsia="黑体" w:cs="黑体"/>
          <w:b/>
          <w:bCs/>
          <w:color w:val="auto"/>
          <w:sz w:val="28"/>
          <w:szCs w:val="36"/>
          <w:highlight w:val="none"/>
        </w:rPr>
      </w:pPr>
      <w:r>
        <w:rPr>
          <w:rFonts w:hint="eastAsia" w:ascii="黑体" w:hAnsi="黑体" w:eastAsia="黑体" w:cs="黑体"/>
          <w:b/>
          <w:bCs/>
          <w:color w:val="auto"/>
          <w:sz w:val="28"/>
          <w:szCs w:val="36"/>
          <w:highlight w:val="none"/>
        </w:rPr>
        <w:t>格式A</w:t>
      </w:r>
      <w:bookmarkStart w:id="251" w:name="_Toc28598_WPSOffice_Level1"/>
      <w:bookmarkStart w:id="252" w:name="_Toc12103"/>
      <w:bookmarkStart w:id="253" w:name="_Toc396_WPSOffice_Level1"/>
      <w:bookmarkStart w:id="254" w:name="_Toc12611"/>
      <w:bookmarkStart w:id="255" w:name="_Toc3120"/>
      <w:bookmarkStart w:id="256" w:name="_Toc5088"/>
      <w:bookmarkStart w:id="257" w:name="_Toc16261_WPSOffice_Level1"/>
      <w:bookmarkStart w:id="258" w:name="_Toc10581_WPSOffice_Level1"/>
      <w:bookmarkStart w:id="259" w:name="_Toc32573"/>
    </w:p>
    <w:p>
      <w:pPr>
        <w:pStyle w:val="14"/>
        <w:jc w:val="center"/>
        <w:rPr>
          <w:rFonts w:hint="eastAsia" w:ascii="黑体" w:hAnsi="黑体" w:eastAsia="黑体" w:cs="黑体"/>
          <w:b/>
          <w:bCs/>
          <w:color w:val="auto"/>
          <w:sz w:val="28"/>
          <w:szCs w:val="36"/>
          <w:highlight w:val="none"/>
        </w:rPr>
      </w:pPr>
      <w:r>
        <w:rPr>
          <w:rFonts w:hint="eastAsia" w:ascii="黑体" w:hAnsi="黑体" w:eastAsia="黑体" w:cs="黑体"/>
          <w:b/>
          <w:bCs/>
          <w:color w:val="auto"/>
          <w:sz w:val="28"/>
          <w:szCs w:val="36"/>
          <w:highlight w:val="none"/>
        </w:rPr>
        <w:t>磋商响应文件正面标识式样</w:t>
      </w:r>
      <w:bookmarkEnd w:id="251"/>
      <w:bookmarkEnd w:id="252"/>
      <w:bookmarkEnd w:id="253"/>
      <w:bookmarkEnd w:id="254"/>
      <w:bookmarkEnd w:id="255"/>
      <w:bookmarkEnd w:id="256"/>
      <w:bookmarkEnd w:id="257"/>
      <w:bookmarkEnd w:id="258"/>
      <w:bookmarkEnd w:id="25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864" w:hRule="atLeast"/>
        </w:trPr>
        <w:tc>
          <w:tcPr>
            <w:tcW w:w="8522" w:type="dxa"/>
            <w:tcBorders>
              <w:top w:val="double" w:color="auto" w:sz="4" w:space="0"/>
              <w:left w:val="double" w:color="auto" w:sz="4" w:space="0"/>
              <w:bottom w:val="double" w:color="auto" w:sz="4" w:space="0"/>
              <w:right w:val="double" w:color="auto" w:sz="4" w:space="0"/>
            </w:tcBorders>
          </w:tcPr>
          <w:p>
            <w:pPr>
              <w:spacing w:line="440" w:lineRule="exact"/>
              <w:rPr>
                <w:rFonts w:hint="eastAsia" w:ascii="黑体" w:hAnsi="黑体" w:eastAsia="黑体" w:cs="黑体"/>
                <w:sz w:val="22"/>
                <w:szCs w:val="22"/>
              </w:rPr>
            </w:pPr>
            <w:r>
              <w:rPr>
                <w:rFonts w:hint="eastAsia" w:ascii="黑体" w:hAnsi="黑体" w:eastAsia="黑体" w:cs="黑体"/>
                <w:sz w:val="22"/>
                <w:szCs w:val="22"/>
              </w:rPr>
              <w:t>致：</w:t>
            </w:r>
            <w:r>
              <w:rPr>
                <w:rFonts w:hint="eastAsia" w:ascii="黑体" w:hAnsi="黑体" w:eastAsia="黑体" w:cs="黑体"/>
                <w:sz w:val="22"/>
                <w:szCs w:val="22"/>
                <w:lang w:eastAsia="zh-CN"/>
              </w:rPr>
              <w:t>同正项目管理有限公司</w:t>
            </w:r>
            <w:r>
              <w:rPr>
                <w:rFonts w:hint="eastAsia" w:ascii="黑体" w:hAnsi="黑体" w:eastAsia="黑体" w:cs="黑体"/>
                <w:sz w:val="22"/>
                <w:szCs w:val="22"/>
              </w:rPr>
              <w:t xml:space="preserve">      </w:t>
            </w:r>
          </w:p>
          <w:p>
            <w:pPr>
              <w:spacing w:line="440" w:lineRule="exact"/>
              <w:rPr>
                <w:rFonts w:hint="eastAsia" w:ascii="黑体" w:hAnsi="黑体" w:eastAsia="黑体" w:cs="黑体"/>
                <w:sz w:val="22"/>
                <w:szCs w:val="22"/>
                <w:lang w:eastAsia="zh-CN"/>
              </w:rPr>
            </w:pPr>
            <w:r>
              <w:rPr>
                <w:rFonts w:hint="eastAsia" w:ascii="黑体" w:hAnsi="黑体" w:eastAsia="黑体" w:cs="黑体"/>
                <w:sz w:val="22"/>
                <w:szCs w:val="22"/>
              </w:rPr>
              <w:t>项目名称：</w:t>
            </w:r>
          </w:p>
          <w:p>
            <w:pPr>
              <w:spacing w:line="440" w:lineRule="exact"/>
              <w:rPr>
                <w:rFonts w:hint="eastAsia" w:ascii="黑体" w:hAnsi="黑体" w:eastAsia="黑体" w:cs="黑体"/>
                <w:sz w:val="22"/>
                <w:szCs w:val="22"/>
              </w:rPr>
            </w:pPr>
            <w:r>
              <w:rPr>
                <w:rFonts w:hint="eastAsia" w:ascii="黑体" w:hAnsi="黑体" w:eastAsia="黑体" w:cs="黑体"/>
                <w:sz w:val="22"/>
                <w:szCs w:val="22"/>
              </w:rPr>
              <w:t>项目编号：</w:t>
            </w:r>
          </w:p>
          <w:p>
            <w:pPr>
              <w:spacing w:line="440" w:lineRule="exact"/>
              <w:jc w:val="center"/>
              <w:rPr>
                <w:rFonts w:hint="eastAsia" w:ascii="黑体" w:hAnsi="黑体" w:eastAsia="黑体" w:cs="黑体"/>
                <w:sz w:val="22"/>
                <w:szCs w:val="22"/>
              </w:rPr>
            </w:pPr>
          </w:p>
          <w:p>
            <w:pPr>
              <w:spacing w:line="440" w:lineRule="exact"/>
              <w:jc w:val="center"/>
              <w:rPr>
                <w:rFonts w:hint="eastAsia" w:ascii="黑体" w:hAnsi="黑体" w:eastAsia="黑体" w:cs="黑体"/>
                <w:b/>
                <w:bCs/>
                <w:sz w:val="22"/>
                <w:szCs w:val="22"/>
              </w:rPr>
            </w:pPr>
            <w:r>
              <w:rPr>
                <w:rFonts w:hint="eastAsia" w:ascii="黑体" w:hAnsi="黑体" w:eastAsia="黑体" w:cs="黑体"/>
                <w:b/>
                <w:bCs/>
                <w:sz w:val="22"/>
                <w:szCs w:val="22"/>
              </w:rPr>
              <w:t>磋 商 响 应 文 件（正本或副本）</w:t>
            </w:r>
          </w:p>
          <w:p>
            <w:pPr>
              <w:spacing w:line="440" w:lineRule="exact"/>
              <w:jc w:val="center"/>
              <w:rPr>
                <w:rFonts w:hint="eastAsia" w:ascii="黑体" w:hAnsi="黑体" w:eastAsia="黑体" w:cs="黑体"/>
                <w:b/>
                <w:bCs/>
                <w:sz w:val="22"/>
                <w:szCs w:val="22"/>
              </w:rPr>
            </w:pPr>
            <w:r>
              <w:rPr>
                <w:rFonts w:hint="eastAsia" w:ascii="黑体" w:hAnsi="黑体" w:eastAsia="黑体" w:cs="黑体"/>
                <w:b/>
                <w:bCs/>
                <w:sz w:val="22"/>
                <w:szCs w:val="22"/>
              </w:rPr>
              <w:t>（非</w:t>
            </w:r>
            <w:r>
              <w:rPr>
                <w:rFonts w:hint="eastAsia" w:ascii="黑体" w:hAnsi="黑体" w:eastAsia="黑体" w:cs="黑体"/>
                <w:b/>
                <w:bCs/>
                <w:sz w:val="22"/>
                <w:szCs w:val="22"/>
                <w:lang w:val="en-US" w:eastAsia="zh-CN"/>
              </w:rPr>
              <w:t>磋商</w:t>
            </w:r>
            <w:r>
              <w:rPr>
                <w:rFonts w:hint="eastAsia" w:ascii="黑体" w:hAnsi="黑体" w:eastAsia="黑体" w:cs="黑体"/>
                <w:b/>
                <w:bCs/>
                <w:sz w:val="22"/>
                <w:szCs w:val="22"/>
              </w:rPr>
              <w:t>大会不得启封）</w:t>
            </w:r>
          </w:p>
          <w:p>
            <w:pPr>
              <w:rPr>
                <w:rFonts w:hint="eastAsia" w:ascii="黑体" w:hAnsi="黑体" w:eastAsia="黑体" w:cs="黑体"/>
                <w:sz w:val="22"/>
                <w:szCs w:val="22"/>
              </w:rPr>
            </w:pPr>
          </w:p>
          <w:p>
            <w:pPr>
              <w:spacing w:line="440" w:lineRule="exact"/>
              <w:rPr>
                <w:rFonts w:hint="eastAsia" w:ascii="黑体" w:hAnsi="黑体" w:eastAsia="黑体" w:cs="黑体"/>
                <w:sz w:val="22"/>
                <w:szCs w:val="22"/>
              </w:rPr>
            </w:pPr>
            <w:r>
              <w:rPr>
                <w:rFonts w:hint="eastAsia" w:ascii="黑体" w:hAnsi="黑体" w:eastAsia="黑体" w:cs="黑体"/>
                <w:sz w:val="22"/>
                <w:szCs w:val="22"/>
              </w:rPr>
              <w:t>磋商供应商名称：（公章）</w:t>
            </w:r>
          </w:p>
          <w:p>
            <w:pPr>
              <w:spacing w:line="440" w:lineRule="exact"/>
              <w:rPr>
                <w:rFonts w:hint="eastAsia" w:ascii="黑体" w:hAnsi="黑体" w:eastAsia="黑体" w:cs="黑体"/>
                <w:sz w:val="22"/>
                <w:szCs w:val="22"/>
              </w:rPr>
            </w:pPr>
            <w:r>
              <w:rPr>
                <w:rFonts w:hint="eastAsia" w:ascii="黑体" w:hAnsi="黑体" w:eastAsia="黑体" w:cs="黑体"/>
                <w:sz w:val="22"/>
                <w:szCs w:val="22"/>
              </w:rPr>
              <w:t>邮    编：</w:t>
            </w:r>
          </w:p>
          <w:p>
            <w:pPr>
              <w:spacing w:line="440" w:lineRule="exact"/>
              <w:rPr>
                <w:rFonts w:hint="eastAsia" w:ascii="黑体" w:hAnsi="黑体" w:eastAsia="黑体" w:cs="黑体"/>
                <w:sz w:val="22"/>
                <w:szCs w:val="22"/>
              </w:rPr>
            </w:pPr>
            <w:r>
              <w:rPr>
                <w:rFonts w:hint="eastAsia" w:ascii="黑体" w:hAnsi="黑体" w:eastAsia="黑体" w:cs="黑体"/>
                <w:sz w:val="22"/>
                <w:szCs w:val="22"/>
              </w:rPr>
              <w:t xml:space="preserve">通讯地址：  </w:t>
            </w:r>
          </w:p>
          <w:p>
            <w:pPr>
              <w:spacing w:line="440" w:lineRule="exact"/>
              <w:rPr>
                <w:rFonts w:hint="eastAsia" w:ascii="黑体" w:hAnsi="黑体" w:eastAsia="黑体" w:cs="黑体"/>
                <w:color w:val="auto"/>
                <w:vertAlign w:val="baseline"/>
                <w:lang w:eastAsia="zh-CN"/>
              </w:rPr>
            </w:pPr>
            <w:r>
              <w:rPr>
                <w:rFonts w:hint="eastAsia" w:ascii="黑体" w:hAnsi="黑体" w:eastAsia="黑体" w:cs="黑体"/>
                <w:sz w:val="22"/>
                <w:szCs w:val="22"/>
              </w:rPr>
              <w:t>联系人电话：</w:t>
            </w:r>
          </w:p>
        </w:tc>
      </w:tr>
    </w:tbl>
    <w:p>
      <w:pPr>
        <w:rPr>
          <w:rFonts w:hint="eastAsia" w:ascii="黑体" w:hAnsi="黑体" w:eastAsia="黑体" w:cs="黑体"/>
          <w:color w:val="auto"/>
          <w:sz w:val="36"/>
          <w:szCs w:val="36"/>
          <w:highlight w:val="none"/>
        </w:rPr>
      </w:pPr>
    </w:p>
    <w:p>
      <w:pPr>
        <w:pStyle w:val="14"/>
        <w:rPr>
          <w:rFonts w:hint="eastAsia" w:ascii="黑体" w:hAnsi="黑体" w:eastAsia="黑体" w:cs="黑体"/>
          <w:b/>
          <w:color w:val="auto"/>
          <w:sz w:val="28"/>
          <w:szCs w:val="28"/>
          <w:highlight w:val="none"/>
          <w:lang w:val="en-US" w:eastAsia="zh-CN"/>
        </w:rPr>
      </w:pPr>
      <w:r>
        <w:rPr>
          <w:rFonts w:hint="eastAsia" w:ascii="黑体" w:hAnsi="黑体" w:eastAsia="黑体" w:cs="黑体"/>
          <w:b/>
          <w:bCs/>
          <w:color w:val="auto"/>
          <w:sz w:val="28"/>
          <w:szCs w:val="36"/>
          <w:highlight w:val="none"/>
        </w:rPr>
        <w:t>格式</w:t>
      </w:r>
      <w:r>
        <w:rPr>
          <w:rFonts w:hint="eastAsia" w:ascii="黑体" w:hAnsi="黑体" w:eastAsia="黑体" w:cs="黑体"/>
          <w:b/>
          <w:bCs/>
          <w:color w:val="auto"/>
          <w:sz w:val="28"/>
          <w:szCs w:val="36"/>
          <w:highlight w:val="none"/>
          <w:lang w:val="en-US" w:eastAsia="zh-CN"/>
        </w:rPr>
        <w:t>B</w:t>
      </w:r>
    </w:p>
    <w:p>
      <w:pPr>
        <w:jc w:val="center"/>
        <w:rPr>
          <w:rFonts w:hint="eastAsia" w:ascii="黑体" w:hAnsi="黑体" w:eastAsia="黑体" w:cs="黑体"/>
          <w:b/>
          <w:bCs/>
          <w:color w:val="auto"/>
          <w:sz w:val="28"/>
          <w:szCs w:val="36"/>
          <w:highlight w:val="none"/>
        </w:rPr>
      </w:pPr>
      <w:r>
        <w:rPr>
          <w:rFonts w:hint="eastAsia" w:ascii="黑体" w:hAnsi="黑体" w:eastAsia="黑体" w:cs="黑体"/>
          <w:b/>
          <w:bCs/>
          <w:color w:val="auto"/>
          <w:sz w:val="28"/>
          <w:szCs w:val="36"/>
          <w:highlight w:val="none"/>
          <w:lang w:val="en-US" w:eastAsia="zh-CN"/>
        </w:rPr>
        <w:t>报价</w:t>
      </w:r>
      <w:r>
        <w:rPr>
          <w:rFonts w:hint="eastAsia" w:ascii="黑体" w:hAnsi="黑体" w:eastAsia="黑体" w:cs="黑体"/>
          <w:b/>
          <w:bCs/>
          <w:color w:val="auto"/>
          <w:sz w:val="28"/>
          <w:szCs w:val="36"/>
          <w:highlight w:val="none"/>
        </w:rPr>
        <w:t>一览表封袋正面标识式样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44" w:hRule="atLeast"/>
        </w:trPr>
        <w:tc>
          <w:tcPr>
            <w:tcW w:w="8522" w:type="dxa"/>
            <w:tcBorders>
              <w:top w:val="double" w:color="auto" w:sz="4" w:space="0"/>
              <w:left w:val="double" w:color="auto" w:sz="4" w:space="0"/>
              <w:bottom w:val="double" w:color="auto" w:sz="4" w:space="0"/>
              <w:right w:val="double" w:color="auto" w:sz="4" w:space="0"/>
            </w:tcBorders>
          </w:tcPr>
          <w:p>
            <w:pPr>
              <w:spacing w:line="440" w:lineRule="exact"/>
              <w:rPr>
                <w:rFonts w:hint="eastAsia" w:ascii="黑体" w:hAnsi="黑体" w:eastAsia="黑体" w:cs="黑体"/>
                <w:sz w:val="22"/>
                <w:szCs w:val="22"/>
              </w:rPr>
            </w:pPr>
            <w:r>
              <w:rPr>
                <w:rFonts w:hint="eastAsia" w:ascii="黑体" w:hAnsi="黑体" w:eastAsia="黑体" w:cs="黑体"/>
                <w:sz w:val="22"/>
                <w:szCs w:val="22"/>
              </w:rPr>
              <w:t>致：</w:t>
            </w:r>
            <w:r>
              <w:rPr>
                <w:rFonts w:hint="eastAsia" w:ascii="黑体" w:hAnsi="黑体" w:eastAsia="黑体" w:cs="黑体"/>
                <w:sz w:val="22"/>
                <w:szCs w:val="22"/>
                <w:lang w:eastAsia="zh-CN"/>
              </w:rPr>
              <w:t>同正项目管理有限公司</w:t>
            </w:r>
            <w:r>
              <w:rPr>
                <w:rFonts w:hint="eastAsia" w:ascii="黑体" w:hAnsi="黑体" w:eastAsia="黑体" w:cs="黑体"/>
                <w:sz w:val="22"/>
                <w:szCs w:val="22"/>
              </w:rPr>
              <w:t xml:space="preserve">          </w:t>
            </w:r>
          </w:p>
          <w:p>
            <w:pPr>
              <w:spacing w:line="440" w:lineRule="exact"/>
              <w:rPr>
                <w:rFonts w:hint="eastAsia" w:ascii="黑体" w:hAnsi="黑体" w:eastAsia="黑体" w:cs="黑体"/>
                <w:sz w:val="22"/>
                <w:szCs w:val="22"/>
              </w:rPr>
            </w:pPr>
            <w:r>
              <w:rPr>
                <w:rFonts w:hint="eastAsia" w:ascii="黑体" w:hAnsi="黑体" w:eastAsia="黑体" w:cs="黑体"/>
                <w:sz w:val="22"/>
                <w:szCs w:val="22"/>
              </w:rPr>
              <w:t>项目名称：</w:t>
            </w:r>
          </w:p>
          <w:p>
            <w:pPr>
              <w:spacing w:line="440" w:lineRule="exact"/>
              <w:jc w:val="left"/>
              <w:rPr>
                <w:rFonts w:hint="eastAsia" w:ascii="黑体" w:hAnsi="黑体" w:eastAsia="黑体" w:cs="黑体"/>
                <w:sz w:val="22"/>
                <w:szCs w:val="22"/>
              </w:rPr>
            </w:pPr>
            <w:r>
              <w:rPr>
                <w:rFonts w:hint="eastAsia" w:ascii="黑体" w:hAnsi="黑体" w:eastAsia="黑体" w:cs="黑体"/>
                <w:sz w:val="22"/>
                <w:szCs w:val="22"/>
              </w:rPr>
              <w:t>项目编号：</w:t>
            </w:r>
          </w:p>
          <w:p>
            <w:pPr>
              <w:pStyle w:val="2"/>
              <w:rPr>
                <w:rFonts w:hint="eastAsia" w:ascii="黑体" w:hAnsi="黑体" w:eastAsia="黑体" w:cs="黑体"/>
              </w:rPr>
            </w:pPr>
          </w:p>
          <w:p>
            <w:pPr>
              <w:spacing w:line="440" w:lineRule="exact"/>
              <w:jc w:val="center"/>
              <w:rPr>
                <w:rFonts w:hint="eastAsia" w:ascii="黑体" w:hAnsi="黑体" w:eastAsia="黑体" w:cs="黑体"/>
                <w:b/>
                <w:bCs/>
                <w:sz w:val="22"/>
                <w:szCs w:val="22"/>
              </w:rPr>
            </w:pPr>
            <w:r>
              <w:rPr>
                <w:rFonts w:hint="eastAsia" w:ascii="黑体" w:hAnsi="黑体" w:eastAsia="黑体" w:cs="黑体"/>
                <w:b/>
                <w:bCs/>
                <w:sz w:val="22"/>
                <w:szCs w:val="22"/>
                <w:lang w:val="en-US" w:eastAsia="zh-CN"/>
              </w:rPr>
              <w:t>报价</w:t>
            </w:r>
            <w:r>
              <w:rPr>
                <w:rFonts w:hint="eastAsia" w:ascii="黑体" w:hAnsi="黑体" w:eastAsia="黑体" w:cs="黑体"/>
                <w:b/>
                <w:bCs/>
                <w:sz w:val="22"/>
                <w:szCs w:val="22"/>
              </w:rPr>
              <w:t>一览表及磋商响应文件电子U盘</w:t>
            </w:r>
          </w:p>
          <w:p>
            <w:pPr>
              <w:spacing w:line="440" w:lineRule="exact"/>
              <w:jc w:val="center"/>
              <w:rPr>
                <w:rFonts w:hint="eastAsia" w:ascii="黑体" w:hAnsi="黑体" w:eastAsia="黑体" w:cs="黑体"/>
                <w:b/>
                <w:bCs/>
                <w:sz w:val="22"/>
                <w:szCs w:val="22"/>
              </w:rPr>
            </w:pPr>
            <w:r>
              <w:rPr>
                <w:rFonts w:hint="eastAsia" w:ascii="黑体" w:hAnsi="黑体" w:eastAsia="黑体" w:cs="黑体"/>
                <w:b/>
                <w:bCs/>
                <w:sz w:val="22"/>
                <w:szCs w:val="22"/>
              </w:rPr>
              <w:t>（非</w:t>
            </w:r>
            <w:r>
              <w:rPr>
                <w:rFonts w:hint="eastAsia" w:ascii="黑体" w:hAnsi="黑体" w:eastAsia="黑体" w:cs="黑体"/>
                <w:b/>
                <w:bCs/>
                <w:sz w:val="22"/>
                <w:szCs w:val="22"/>
                <w:lang w:val="en-US" w:eastAsia="zh-CN"/>
              </w:rPr>
              <w:t>磋商</w:t>
            </w:r>
            <w:r>
              <w:rPr>
                <w:rFonts w:hint="eastAsia" w:ascii="黑体" w:hAnsi="黑体" w:eastAsia="黑体" w:cs="黑体"/>
                <w:b/>
                <w:bCs/>
                <w:sz w:val="22"/>
                <w:szCs w:val="22"/>
              </w:rPr>
              <w:t>大会不得启封）</w:t>
            </w:r>
          </w:p>
          <w:p>
            <w:pPr>
              <w:rPr>
                <w:rFonts w:hint="eastAsia" w:ascii="黑体" w:hAnsi="黑体" w:eastAsia="黑体" w:cs="黑体"/>
                <w:sz w:val="22"/>
                <w:szCs w:val="22"/>
              </w:rPr>
            </w:pPr>
          </w:p>
          <w:p>
            <w:pPr>
              <w:spacing w:line="440" w:lineRule="exact"/>
              <w:rPr>
                <w:rFonts w:hint="eastAsia" w:ascii="黑体" w:hAnsi="黑体" w:eastAsia="黑体" w:cs="黑体"/>
                <w:sz w:val="22"/>
                <w:szCs w:val="22"/>
              </w:rPr>
            </w:pPr>
            <w:r>
              <w:rPr>
                <w:rFonts w:hint="eastAsia" w:ascii="黑体" w:hAnsi="黑体" w:eastAsia="黑体" w:cs="黑体"/>
                <w:sz w:val="22"/>
                <w:szCs w:val="22"/>
              </w:rPr>
              <w:t>磋商供应商名称：（公章）</w:t>
            </w:r>
          </w:p>
          <w:p>
            <w:pPr>
              <w:rPr>
                <w:rFonts w:hint="eastAsia" w:ascii="黑体" w:hAnsi="黑体" w:eastAsia="黑体" w:cs="黑体"/>
                <w:sz w:val="22"/>
                <w:szCs w:val="22"/>
              </w:rPr>
            </w:pPr>
            <w:r>
              <w:rPr>
                <w:rFonts w:hint="eastAsia" w:ascii="黑体" w:hAnsi="黑体" w:eastAsia="黑体" w:cs="黑体"/>
                <w:sz w:val="22"/>
                <w:szCs w:val="22"/>
              </w:rPr>
              <w:t>封装内容：</w:t>
            </w:r>
            <w:r>
              <w:rPr>
                <w:rFonts w:hint="eastAsia" w:ascii="黑体" w:hAnsi="黑体" w:eastAsia="黑体" w:cs="黑体"/>
                <w:sz w:val="22"/>
                <w:szCs w:val="22"/>
                <w:lang w:val="en-US" w:eastAsia="zh-CN"/>
              </w:rPr>
              <w:t>报价</w:t>
            </w:r>
            <w:r>
              <w:rPr>
                <w:rFonts w:hint="eastAsia" w:ascii="黑体" w:hAnsi="黑体" w:eastAsia="黑体" w:cs="黑体"/>
                <w:sz w:val="22"/>
                <w:szCs w:val="22"/>
              </w:rPr>
              <w:t>一览表原件及磋商响应文件电子U盘</w:t>
            </w:r>
          </w:p>
          <w:p>
            <w:pPr>
              <w:rPr>
                <w:rFonts w:hint="eastAsia" w:ascii="黑体" w:hAnsi="黑体" w:eastAsia="黑体" w:cs="黑体"/>
                <w:sz w:val="22"/>
                <w:szCs w:val="22"/>
              </w:rPr>
            </w:pPr>
            <w:r>
              <w:rPr>
                <w:rFonts w:hint="eastAsia" w:ascii="黑体" w:hAnsi="黑体" w:eastAsia="黑体" w:cs="黑体"/>
                <w:sz w:val="22"/>
                <w:szCs w:val="22"/>
              </w:rPr>
              <w:t>邮    编：</w:t>
            </w:r>
          </w:p>
          <w:p>
            <w:pPr>
              <w:rPr>
                <w:rFonts w:hint="eastAsia" w:ascii="黑体" w:hAnsi="黑体" w:eastAsia="黑体" w:cs="黑体"/>
                <w:sz w:val="22"/>
                <w:szCs w:val="22"/>
              </w:rPr>
            </w:pPr>
            <w:r>
              <w:rPr>
                <w:rFonts w:hint="eastAsia" w:ascii="黑体" w:hAnsi="黑体" w:eastAsia="黑体" w:cs="黑体"/>
                <w:sz w:val="22"/>
                <w:szCs w:val="22"/>
              </w:rPr>
              <w:t xml:space="preserve">通讯地址：  </w:t>
            </w:r>
          </w:p>
          <w:p>
            <w:pPr>
              <w:rPr>
                <w:rFonts w:hint="eastAsia" w:ascii="黑体" w:hAnsi="黑体" w:eastAsia="黑体" w:cs="黑体"/>
                <w:color w:val="auto"/>
                <w:vertAlign w:val="baseline"/>
                <w:lang w:eastAsia="zh-CN"/>
              </w:rPr>
            </w:pPr>
            <w:r>
              <w:rPr>
                <w:rFonts w:hint="eastAsia" w:ascii="黑体" w:hAnsi="黑体" w:eastAsia="黑体" w:cs="黑体"/>
                <w:sz w:val="22"/>
                <w:szCs w:val="22"/>
              </w:rPr>
              <w:t>联系人电话：</w:t>
            </w:r>
          </w:p>
        </w:tc>
      </w:tr>
    </w:tbl>
    <w:p>
      <w:pPr>
        <w:pStyle w:val="14"/>
        <w:rPr>
          <w:rFonts w:hint="eastAsia" w:ascii="黑体" w:hAnsi="黑体" w:eastAsia="黑体" w:cs="黑体"/>
          <w:color w:val="auto"/>
          <w:sz w:val="22"/>
          <w:szCs w:val="28"/>
          <w:highlight w:val="none"/>
          <w:lang w:eastAsia="zh-CN"/>
        </w:rPr>
      </w:pPr>
    </w:p>
    <w:p>
      <w:pPr>
        <w:tabs>
          <w:tab w:val="left" w:pos="544"/>
        </w:tabs>
        <w:jc w:val="left"/>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格式C</w:t>
      </w:r>
    </w:p>
    <w:p>
      <w:pPr>
        <w:jc w:val="center"/>
        <w:rPr>
          <w:rFonts w:hint="eastAsia" w:ascii="黑体" w:hAnsi="黑体" w:eastAsia="黑体" w:cs="黑体"/>
          <w:b/>
          <w:bCs/>
          <w:color w:val="auto"/>
          <w:sz w:val="32"/>
          <w:szCs w:val="32"/>
          <w:highlight w:val="none"/>
        </w:rPr>
      </w:pPr>
      <w:r>
        <w:rPr>
          <w:rFonts w:hint="eastAsia" w:ascii="黑体" w:hAnsi="黑体" w:eastAsia="黑体" w:cs="黑体"/>
          <w:b/>
          <w:color w:val="auto"/>
          <w:sz w:val="28"/>
          <w:szCs w:val="28"/>
          <w:highlight w:val="none"/>
        </w:rPr>
        <w:t>资格证明文件封袋正面标识式样</w:t>
      </w:r>
    </w:p>
    <w:p>
      <w:pPr>
        <w:rPr>
          <w:rFonts w:hint="eastAsia" w:ascii="黑体" w:hAnsi="黑体" w:eastAsia="黑体" w:cs="黑体"/>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27" w:hRule="atLeast"/>
        </w:trPr>
        <w:tc>
          <w:tcPr>
            <w:tcW w:w="8522" w:type="dxa"/>
            <w:tcBorders>
              <w:top w:val="double" w:color="auto" w:sz="4" w:space="0"/>
              <w:left w:val="double" w:color="auto" w:sz="4" w:space="0"/>
              <w:bottom w:val="double" w:color="auto" w:sz="4" w:space="0"/>
              <w:right w:val="double" w:color="auto" w:sz="4" w:space="0"/>
            </w:tcBorders>
          </w:tcPr>
          <w:p>
            <w:pPr>
              <w:spacing w:line="440" w:lineRule="exact"/>
              <w:rPr>
                <w:rFonts w:hint="eastAsia" w:ascii="黑体" w:hAnsi="黑体" w:eastAsia="黑体" w:cs="黑体"/>
                <w:sz w:val="22"/>
                <w:szCs w:val="22"/>
              </w:rPr>
            </w:pPr>
            <w:r>
              <w:rPr>
                <w:rFonts w:hint="eastAsia" w:ascii="黑体" w:hAnsi="黑体" w:eastAsia="黑体" w:cs="黑体"/>
                <w:sz w:val="22"/>
                <w:szCs w:val="22"/>
              </w:rPr>
              <w:t>致：</w:t>
            </w:r>
            <w:r>
              <w:rPr>
                <w:rFonts w:hint="eastAsia" w:ascii="黑体" w:hAnsi="黑体" w:eastAsia="黑体" w:cs="黑体"/>
                <w:sz w:val="22"/>
                <w:szCs w:val="22"/>
                <w:lang w:eastAsia="zh-CN"/>
              </w:rPr>
              <w:t>同正项目管理有限公司</w:t>
            </w:r>
            <w:r>
              <w:rPr>
                <w:rFonts w:hint="eastAsia" w:ascii="黑体" w:hAnsi="黑体" w:eastAsia="黑体" w:cs="黑体"/>
                <w:sz w:val="22"/>
                <w:szCs w:val="22"/>
              </w:rPr>
              <w:t xml:space="preserve">        </w:t>
            </w:r>
          </w:p>
          <w:p>
            <w:pPr>
              <w:spacing w:line="440" w:lineRule="exact"/>
              <w:rPr>
                <w:rFonts w:hint="eastAsia" w:ascii="黑体" w:hAnsi="黑体" w:eastAsia="黑体" w:cs="黑体"/>
                <w:sz w:val="22"/>
                <w:szCs w:val="22"/>
              </w:rPr>
            </w:pPr>
            <w:r>
              <w:rPr>
                <w:rFonts w:hint="eastAsia" w:ascii="黑体" w:hAnsi="黑体" w:eastAsia="黑体" w:cs="黑体"/>
                <w:sz w:val="22"/>
                <w:szCs w:val="22"/>
              </w:rPr>
              <w:t>项目名称：</w:t>
            </w:r>
          </w:p>
          <w:p>
            <w:pPr>
              <w:spacing w:line="440" w:lineRule="exact"/>
              <w:jc w:val="left"/>
              <w:rPr>
                <w:rFonts w:hint="eastAsia" w:ascii="黑体" w:hAnsi="黑体" w:eastAsia="黑体" w:cs="黑体"/>
                <w:sz w:val="22"/>
                <w:szCs w:val="22"/>
              </w:rPr>
            </w:pPr>
            <w:r>
              <w:rPr>
                <w:rFonts w:hint="eastAsia" w:ascii="黑体" w:hAnsi="黑体" w:eastAsia="黑体" w:cs="黑体"/>
                <w:sz w:val="22"/>
                <w:szCs w:val="22"/>
              </w:rPr>
              <w:t>项目编号：</w:t>
            </w:r>
          </w:p>
          <w:p>
            <w:pPr>
              <w:spacing w:line="440" w:lineRule="exact"/>
              <w:jc w:val="center"/>
              <w:rPr>
                <w:rFonts w:hint="eastAsia" w:ascii="黑体" w:hAnsi="黑体" w:eastAsia="黑体" w:cs="黑体"/>
                <w:b/>
                <w:bCs/>
                <w:sz w:val="22"/>
                <w:szCs w:val="22"/>
              </w:rPr>
            </w:pPr>
          </w:p>
          <w:p>
            <w:pPr>
              <w:spacing w:line="440" w:lineRule="exact"/>
              <w:jc w:val="center"/>
              <w:rPr>
                <w:rFonts w:hint="eastAsia" w:ascii="黑体" w:hAnsi="黑体" w:eastAsia="黑体" w:cs="黑体"/>
                <w:b/>
                <w:bCs/>
                <w:sz w:val="22"/>
                <w:szCs w:val="22"/>
              </w:rPr>
            </w:pPr>
            <w:r>
              <w:rPr>
                <w:rFonts w:hint="eastAsia" w:ascii="黑体" w:hAnsi="黑体" w:eastAsia="黑体" w:cs="黑体"/>
                <w:b/>
                <w:bCs/>
                <w:sz w:val="22"/>
                <w:szCs w:val="22"/>
              </w:rPr>
              <w:t>资格证明文件</w:t>
            </w:r>
          </w:p>
          <w:p>
            <w:pPr>
              <w:pStyle w:val="2"/>
              <w:rPr>
                <w:rFonts w:hint="eastAsia" w:ascii="黑体" w:hAnsi="黑体" w:eastAsia="黑体" w:cs="黑体"/>
              </w:rPr>
            </w:pPr>
          </w:p>
          <w:p>
            <w:pPr>
              <w:spacing w:line="440" w:lineRule="exact"/>
              <w:rPr>
                <w:rFonts w:hint="eastAsia" w:ascii="黑体" w:hAnsi="黑体" w:eastAsia="黑体" w:cs="黑体"/>
                <w:sz w:val="22"/>
                <w:szCs w:val="22"/>
              </w:rPr>
            </w:pPr>
            <w:r>
              <w:rPr>
                <w:rFonts w:hint="eastAsia" w:ascii="黑体" w:hAnsi="黑体" w:eastAsia="黑体" w:cs="黑体"/>
                <w:sz w:val="22"/>
                <w:szCs w:val="22"/>
              </w:rPr>
              <w:t>磋商响应人名称：（公章）</w:t>
            </w:r>
          </w:p>
          <w:p>
            <w:pPr>
              <w:rPr>
                <w:rFonts w:hint="eastAsia" w:ascii="黑体" w:hAnsi="黑体" w:eastAsia="黑体" w:cs="黑体"/>
                <w:sz w:val="22"/>
                <w:szCs w:val="22"/>
              </w:rPr>
            </w:pPr>
            <w:r>
              <w:rPr>
                <w:rFonts w:hint="eastAsia" w:ascii="黑体" w:hAnsi="黑体" w:eastAsia="黑体" w:cs="黑体"/>
                <w:sz w:val="22"/>
                <w:szCs w:val="22"/>
              </w:rPr>
              <w:t xml:space="preserve">封装内容：资格证明文件 </w:t>
            </w:r>
          </w:p>
          <w:p>
            <w:pPr>
              <w:rPr>
                <w:rFonts w:hint="eastAsia" w:ascii="黑体" w:hAnsi="黑体" w:eastAsia="黑体" w:cs="黑体"/>
                <w:sz w:val="22"/>
                <w:szCs w:val="22"/>
              </w:rPr>
            </w:pPr>
            <w:r>
              <w:rPr>
                <w:rFonts w:hint="eastAsia" w:ascii="黑体" w:hAnsi="黑体" w:eastAsia="黑体" w:cs="黑体"/>
                <w:sz w:val="22"/>
                <w:szCs w:val="22"/>
              </w:rPr>
              <w:t>邮    编：</w:t>
            </w:r>
          </w:p>
          <w:p>
            <w:pPr>
              <w:rPr>
                <w:rFonts w:hint="eastAsia" w:ascii="黑体" w:hAnsi="黑体" w:eastAsia="黑体" w:cs="黑体"/>
                <w:sz w:val="22"/>
                <w:szCs w:val="22"/>
              </w:rPr>
            </w:pPr>
            <w:r>
              <w:rPr>
                <w:rFonts w:hint="eastAsia" w:ascii="黑体" w:hAnsi="黑体" w:eastAsia="黑体" w:cs="黑体"/>
                <w:sz w:val="22"/>
                <w:szCs w:val="22"/>
              </w:rPr>
              <w:t xml:space="preserve">通讯地址：  </w:t>
            </w:r>
          </w:p>
          <w:p>
            <w:pPr>
              <w:rPr>
                <w:rFonts w:hint="eastAsia" w:ascii="黑体" w:hAnsi="黑体" w:eastAsia="黑体" w:cs="黑体"/>
                <w:color w:val="auto"/>
                <w:vertAlign w:val="baseline"/>
                <w:lang w:eastAsia="zh-CN"/>
              </w:rPr>
            </w:pPr>
            <w:r>
              <w:rPr>
                <w:rFonts w:hint="eastAsia" w:ascii="黑体" w:hAnsi="黑体" w:eastAsia="黑体" w:cs="黑体"/>
                <w:sz w:val="22"/>
                <w:szCs w:val="22"/>
              </w:rPr>
              <w:t>联系人电话：</w:t>
            </w:r>
          </w:p>
        </w:tc>
      </w:tr>
    </w:tbl>
    <w:p>
      <w:pPr>
        <w:rPr>
          <w:rFonts w:hint="eastAsia" w:ascii="黑体" w:hAnsi="黑体" w:eastAsia="黑体" w:cs="黑体"/>
          <w:color w:val="auto"/>
          <w:lang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distribute"/>
      <w:rPr>
        <w:rFonts w:ascii="宋体" w:cs="宋体"/>
        <w:kern w:val="1"/>
        <w:sz w:val="24"/>
        <w:u w:val="single"/>
      </w:rPr>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jc w:val="distribute"/>
      <w:rPr>
        <w:sz w:val="28"/>
        <w:szCs w:val="28"/>
        <w:u w:val="single"/>
      </w:rPr>
    </w:pPr>
  </w:p>
  <w:p>
    <w:pPr>
      <w:pStyle w:val="20"/>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pPr>
    <w:r>
      <w:pict>
        <v:shape id="_x0000_s4097" o:spid="_x0000_s4097" o:spt="202" type="#_x0000_t202" style="position:absolute;left:0pt;margin-left:233.05pt;margin-top:51.15pt;height:22pt;width:127.65pt;mso-position-horizontal-relative:page;mso-position-vertical-relative:page;z-index:-251657216;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BZV7fK8AQAAcgMAAA4AAABkcnMvZTJvRG9jLnhtbK1T&#10;S27bMBDdF+gdCO5rSkaSNoLlAIGRokDRFkh7AJoiLQL8YUhb8gXaG3TVTfc9l8/RIW05abrJIhtq&#10;OBy+ee8NtbgZrSE7CVF719J6VlEinfCddpuWfvt69+YdJTFx13HjnWzpXkZ6s3z9ajGERs59700n&#10;gSCIi80QWtqnFBrGouil5XHmg3R4qDxYnnALG9YBHxDdGjavqis2eOgCeCFjxOzqeEhPiPAcQK+U&#10;FnLlxdZKl46oIA1PKCn2OkS6LGyVkiJ9VirKRExLUWkqKzbBeJ1XtlzwZgM89FqcKPDnUHiiyXLt&#10;sOkZasUTJ1vQ/0FZLcBHr9JMeMuOQoojqKKunnhz3/Mgixa0Ooaz6fHlYMWn3RcgumvpBSWOWxz4&#10;4eePw68/h9/fSZ3tGUJssOo+YF0ab/2Ij2bKR0xm1aMCm7+oh+A5mrs/myvHRES+dDWv68tLSgSe&#10;zd9eX1TFffZwO0BM76W3JActBRxe8ZTvPsaETLB0KsnNnL/TxpQBGvdPAgtzhmXqR4o5SuN6POlZ&#10;+26PcswHh1bmZzEFMAXrKdgG0Jse6RTRBRJHUcicnk2e9eN9afzwq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ETiDnZAAAACwEAAA8AAAAAAAAAAQAgAAAAIgAAAGRycy9kb3ducmV2LnhtbFBL&#10;AQIUABQAAAAIAIdO4kAWVe3yvAEAAHIDAAAOAAAAAAAAAAEAIAAAACgBAABkcnMvZTJvRG9jLnht&#10;bFBLBQYAAAAABgAGAFkBAABWBQAAAAA=&#10;">
          <v:path/>
          <v:fill on="f" focussize="0,0"/>
          <v:stroke on="f" joinstyle="miter"/>
          <v:imagedata o:title=""/>
          <o:lock v:ext="edit"/>
          <v:textbox inset="0mm,0mm,0mm,0mm">
            <w:txbxContent>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0"/>
        <w:left w:val="none" w:color="auto" w:sz="0" w:space="0"/>
        <w:bottom w:val="none" w:color="auto" w:sz="0" w:space="0"/>
        <w:right w:val="none" w:color="auto" w:sz="0" w:space="0"/>
      </w:pBdr>
      <w:jc w:val="distribute"/>
      <w:rPr>
        <w:sz w:val="28"/>
        <w:szCs w:val="28"/>
        <w:u w:val="single"/>
      </w:rPr>
    </w:pPr>
  </w:p>
  <w:p>
    <w:pPr>
      <w:pStyle w:val="20"/>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3D39"/>
    <w:multiLevelType w:val="singleLevel"/>
    <w:tmpl w:val="85B83D39"/>
    <w:lvl w:ilvl="0" w:tentative="0">
      <w:start w:val="1"/>
      <w:numFmt w:val="decimal"/>
      <w:suff w:val="space"/>
      <w:lvlText w:val="%1)"/>
      <w:lvlJc w:val="left"/>
    </w:lvl>
  </w:abstractNum>
  <w:abstractNum w:abstractNumId="1">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2">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3">
    <w:nsid w:val="E6E5FE70"/>
    <w:multiLevelType w:val="singleLevel"/>
    <w:tmpl w:val="E6E5FE70"/>
    <w:lvl w:ilvl="0" w:tentative="0">
      <w:start w:val="4"/>
      <w:numFmt w:val="chineseCounting"/>
      <w:suff w:val="space"/>
      <w:lvlText w:val="第%1章"/>
      <w:lvlJc w:val="left"/>
      <w:rPr>
        <w:rFonts w:hint="eastAsia"/>
      </w:rPr>
    </w:lvl>
  </w:abstractNum>
  <w:abstractNum w:abstractNumId="4">
    <w:nsid w:val="00000010"/>
    <w:multiLevelType w:val="multilevel"/>
    <w:tmpl w:val="00000010"/>
    <w:lvl w:ilvl="0" w:tentative="0">
      <w:start w:val="1"/>
      <w:numFmt w:val="decimal"/>
      <w:pStyle w:val="117"/>
      <w:suff w:val="nothing"/>
      <w:lvlText w:val="图%1："/>
      <w:lvlJc w:val="left"/>
      <w:pPr>
        <w:ind w:left="420" w:hanging="420"/>
      </w:pPr>
      <w:rPr>
        <w:rFonts w:hint="eastAsia"/>
      </w:rPr>
    </w:lvl>
    <w:lvl w:ilvl="1" w:tentative="0">
      <w:start w:val="3"/>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BD925C"/>
    <w:multiLevelType w:val="singleLevel"/>
    <w:tmpl w:val="42BD925C"/>
    <w:lvl w:ilvl="0" w:tentative="0">
      <w:start w:val="1"/>
      <w:numFmt w:val="decimal"/>
      <w:lvlText w:val="%1."/>
      <w:lvlJc w:val="left"/>
      <w:pPr>
        <w:tabs>
          <w:tab w:val="left" w:pos="312"/>
        </w:tabs>
      </w:pPr>
    </w:lvl>
  </w:abstractNum>
  <w:abstractNum w:abstractNumId="6">
    <w:nsid w:val="5EA65FF8"/>
    <w:multiLevelType w:val="singleLevel"/>
    <w:tmpl w:val="5EA65FF8"/>
    <w:lvl w:ilvl="0" w:tentative="0">
      <w:start w:val="1"/>
      <w:numFmt w:val="decimal"/>
      <w:suff w:val="nothing"/>
      <w:lvlText w:val="%1、"/>
      <w:lvlJc w:val="left"/>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xM2YzMWQxY2Q2MDQ3ZDM3OTI1M2U4YjkwYzIxYTIifQ=="/>
  </w:docVars>
  <w:rsids>
    <w:rsidRoot w:val="00172A27"/>
    <w:rsid w:val="00001E3E"/>
    <w:rsid w:val="00016E25"/>
    <w:rsid w:val="000217FC"/>
    <w:rsid w:val="000268B3"/>
    <w:rsid w:val="000309B0"/>
    <w:rsid w:val="00070CF5"/>
    <w:rsid w:val="000943E4"/>
    <w:rsid w:val="000B4728"/>
    <w:rsid w:val="00113AC9"/>
    <w:rsid w:val="001231CE"/>
    <w:rsid w:val="00151A66"/>
    <w:rsid w:val="001729FC"/>
    <w:rsid w:val="001777B0"/>
    <w:rsid w:val="001D728B"/>
    <w:rsid w:val="001F6DA6"/>
    <w:rsid w:val="00213A9A"/>
    <w:rsid w:val="00216547"/>
    <w:rsid w:val="00235CE9"/>
    <w:rsid w:val="00277496"/>
    <w:rsid w:val="00282800"/>
    <w:rsid w:val="002C5D30"/>
    <w:rsid w:val="00315C41"/>
    <w:rsid w:val="00330A4B"/>
    <w:rsid w:val="00333682"/>
    <w:rsid w:val="00334242"/>
    <w:rsid w:val="00344662"/>
    <w:rsid w:val="003503F9"/>
    <w:rsid w:val="003664D8"/>
    <w:rsid w:val="003800F0"/>
    <w:rsid w:val="0039386E"/>
    <w:rsid w:val="003B06C5"/>
    <w:rsid w:val="003C7B5B"/>
    <w:rsid w:val="003E306E"/>
    <w:rsid w:val="003F2433"/>
    <w:rsid w:val="003F3209"/>
    <w:rsid w:val="00415E52"/>
    <w:rsid w:val="00430BD9"/>
    <w:rsid w:val="00442642"/>
    <w:rsid w:val="0046364F"/>
    <w:rsid w:val="004A0532"/>
    <w:rsid w:val="004B0CAE"/>
    <w:rsid w:val="004D618B"/>
    <w:rsid w:val="004F554B"/>
    <w:rsid w:val="00513CFD"/>
    <w:rsid w:val="00523DCB"/>
    <w:rsid w:val="00536453"/>
    <w:rsid w:val="0054065F"/>
    <w:rsid w:val="0055574E"/>
    <w:rsid w:val="005657C2"/>
    <w:rsid w:val="005B5820"/>
    <w:rsid w:val="005E388A"/>
    <w:rsid w:val="00622090"/>
    <w:rsid w:val="006246E9"/>
    <w:rsid w:val="006267E9"/>
    <w:rsid w:val="00634650"/>
    <w:rsid w:val="006572AC"/>
    <w:rsid w:val="00685D3B"/>
    <w:rsid w:val="00695E48"/>
    <w:rsid w:val="006968F0"/>
    <w:rsid w:val="006A10DB"/>
    <w:rsid w:val="006A5091"/>
    <w:rsid w:val="00752F26"/>
    <w:rsid w:val="00760122"/>
    <w:rsid w:val="007773B8"/>
    <w:rsid w:val="00793EFD"/>
    <w:rsid w:val="007B06E9"/>
    <w:rsid w:val="007E30E5"/>
    <w:rsid w:val="007F58FB"/>
    <w:rsid w:val="0080386D"/>
    <w:rsid w:val="00811002"/>
    <w:rsid w:val="00823145"/>
    <w:rsid w:val="00895045"/>
    <w:rsid w:val="008A1D8C"/>
    <w:rsid w:val="008C15B1"/>
    <w:rsid w:val="008D27F9"/>
    <w:rsid w:val="008F0EF3"/>
    <w:rsid w:val="008F1895"/>
    <w:rsid w:val="00946010"/>
    <w:rsid w:val="00946A0C"/>
    <w:rsid w:val="00950B92"/>
    <w:rsid w:val="00985FBD"/>
    <w:rsid w:val="00992A19"/>
    <w:rsid w:val="00997EEF"/>
    <w:rsid w:val="009C15CF"/>
    <w:rsid w:val="009D254B"/>
    <w:rsid w:val="009F1CF7"/>
    <w:rsid w:val="00A42EFB"/>
    <w:rsid w:val="00A505B0"/>
    <w:rsid w:val="00A644B9"/>
    <w:rsid w:val="00A841A7"/>
    <w:rsid w:val="00A84A53"/>
    <w:rsid w:val="00AE18E4"/>
    <w:rsid w:val="00AE40CB"/>
    <w:rsid w:val="00AE7376"/>
    <w:rsid w:val="00B23131"/>
    <w:rsid w:val="00B50ADB"/>
    <w:rsid w:val="00B5443F"/>
    <w:rsid w:val="00B93626"/>
    <w:rsid w:val="00BB4DF3"/>
    <w:rsid w:val="00BF47C1"/>
    <w:rsid w:val="00C6028D"/>
    <w:rsid w:val="00C655C0"/>
    <w:rsid w:val="00C73824"/>
    <w:rsid w:val="00C8689B"/>
    <w:rsid w:val="00CA59CA"/>
    <w:rsid w:val="00CC020A"/>
    <w:rsid w:val="00D67B24"/>
    <w:rsid w:val="00D74BC1"/>
    <w:rsid w:val="00DC6664"/>
    <w:rsid w:val="00DF18A4"/>
    <w:rsid w:val="00DF7549"/>
    <w:rsid w:val="00E03E07"/>
    <w:rsid w:val="00E24F4D"/>
    <w:rsid w:val="00E72446"/>
    <w:rsid w:val="00EB1198"/>
    <w:rsid w:val="00EC3A14"/>
    <w:rsid w:val="00ED229B"/>
    <w:rsid w:val="00ED5DBF"/>
    <w:rsid w:val="00F135B2"/>
    <w:rsid w:val="00F2219C"/>
    <w:rsid w:val="00F52A02"/>
    <w:rsid w:val="00F558D1"/>
    <w:rsid w:val="00F61B64"/>
    <w:rsid w:val="00F722FF"/>
    <w:rsid w:val="00F743EB"/>
    <w:rsid w:val="00F81983"/>
    <w:rsid w:val="00F87518"/>
    <w:rsid w:val="00F90E80"/>
    <w:rsid w:val="00FA1E54"/>
    <w:rsid w:val="00FB4A82"/>
    <w:rsid w:val="00FC4313"/>
    <w:rsid w:val="01034E57"/>
    <w:rsid w:val="01043003"/>
    <w:rsid w:val="01096AB0"/>
    <w:rsid w:val="010F076C"/>
    <w:rsid w:val="01134C76"/>
    <w:rsid w:val="01153D52"/>
    <w:rsid w:val="011E0BAB"/>
    <w:rsid w:val="011F1122"/>
    <w:rsid w:val="012203B1"/>
    <w:rsid w:val="012515C4"/>
    <w:rsid w:val="01293FD4"/>
    <w:rsid w:val="012A5CDE"/>
    <w:rsid w:val="012E72AD"/>
    <w:rsid w:val="013356DD"/>
    <w:rsid w:val="01384F35"/>
    <w:rsid w:val="01405E2E"/>
    <w:rsid w:val="01432B0B"/>
    <w:rsid w:val="01462F19"/>
    <w:rsid w:val="014B73EA"/>
    <w:rsid w:val="015201D3"/>
    <w:rsid w:val="016074B6"/>
    <w:rsid w:val="016245C6"/>
    <w:rsid w:val="016320EC"/>
    <w:rsid w:val="016877A2"/>
    <w:rsid w:val="01695955"/>
    <w:rsid w:val="01752180"/>
    <w:rsid w:val="01752185"/>
    <w:rsid w:val="01791337"/>
    <w:rsid w:val="017F2E23"/>
    <w:rsid w:val="01876986"/>
    <w:rsid w:val="019305E9"/>
    <w:rsid w:val="019C7113"/>
    <w:rsid w:val="019F317D"/>
    <w:rsid w:val="019F7556"/>
    <w:rsid w:val="01A039D1"/>
    <w:rsid w:val="01A22C15"/>
    <w:rsid w:val="01A27D82"/>
    <w:rsid w:val="01A35FDD"/>
    <w:rsid w:val="01A822B8"/>
    <w:rsid w:val="01AD2508"/>
    <w:rsid w:val="01C52B8B"/>
    <w:rsid w:val="01D505DE"/>
    <w:rsid w:val="01DF2BF6"/>
    <w:rsid w:val="01E22320"/>
    <w:rsid w:val="01E30A6C"/>
    <w:rsid w:val="01E33883"/>
    <w:rsid w:val="01E541CE"/>
    <w:rsid w:val="01EB0255"/>
    <w:rsid w:val="01FD607A"/>
    <w:rsid w:val="020A63BE"/>
    <w:rsid w:val="02121603"/>
    <w:rsid w:val="02181200"/>
    <w:rsid w:val="0218567C"/>
    <w:rsid w:val="021E42CE"/>
    <w:rsid w:val="022950E4"/>
    <w:rsid w:val="022C46D0"/>
    <w:rsid w:val="022D16AF"/>
    <w:rsid w:val="02334DD1"/>
    <w:rsid w:val="02344F2A"/>
    <w:rsid w:val="02355B8D"/>
    <w:rsid w:val="023B49C8"/>
    <w:rsid w:val="023B60D9"/>
    <w:rsid w:val="023E52A8"/>
    <w:rsid w:val="023F1AE3"/>
    <w:rsid w:val="024502AE"/>
    <w:rsid w:val="024633B0"/>
    <w:rsid w:val="02492124"/>
    <w:rsid w:val="02502671"/>
    <w:rsid w:val="025A0673"/>
    <w:rsid w:val="025E4D0D"/>
    <w:rsid w:val="026B4810"/>
    <w:rsid w:val="027169F1"/>
    <w:rsid w:val="02724907"/>
    <w:rsid w:val="027601B9"/>
    <w:rsid w:val="027A56F0"/>
    <w:rsid w:val="02805574"/>
    <w:rsid w:val="028B42ED"/>
    <w:rsid w:val="0296306B"/>
    <w:rsid w:val="02973364"/>
    <w:rsid w:val="02A20EA0"/>
    <w:rsid w:val="02A84AAF"/>
    <w:rsid w:val="02AD38FD"/>
    <w:rsid w:val="02B250DA"/>
    <w:rsid w:val="02B51250"/>
    <w:rsid w:val="02B6715A"/>
    <w:rsid w:val="02B86FD1"/>
    <w:rsid w:val="02C90500"/>
    <w:rsid w:val="02CB3E9D"/>
    <w:rsid w:val="02CF66F6"/>
    <w:rsid w:val="02D61B19"/>
    <w:rsid w:val="02E408F7"/>
    <w:rsid w:val="02E47992"/>
    <w:rsid w:val="02EB6048"/>
    <w:rsid w:val="02ED323A"/>
    <w:rsid w:val="02EF069F"/>
    <w:rsid w:val="02F41EDC"/>
    <w:rsid w:val="02F77BFE"/>
    <w:rsid w:val="02FA6695"/>
    <w:rsid w:val="03070359"/>
    <w:rsid w:val="030A2C12"/>
    <w:rsid w:val="030A720E"/>
    <w:rsid w:val="030B2DD4"/>
    <w:rsid w:val="03107866"/>
    <w:rsid w:val="03147E15"/>
    <w:rsid w:val="031E230C"/>
    <w:rsid w:val="031E5885"/>
    <w:rsid w:val="032B20FF"/>
    <w:rsid w:val="03342C00"/>
    <w:rsid w:val="033910AA"/>
    <w:rsid w:val="033B547E"/>
    <w:rsid w:val="033F1104"/>
    <w:rsid w:val="033F5AFA"/>
    <w:rsid w:val="03497E21"/>
    <w:rsid w:val="03506B55"/>
    <w:rsid w:val="035904E7"/>
    <w:rsid w:val="03673737"/>
    <w:rsid w:val="03691750"/>
    <w:rsid w:val="036D32DB"/>
    <w:rsid w:val="037173B2"/>
    <w:rsid w:val="037A5F9E"/>
    <w:rsid w:val="037D24FF"/>
    <w:rsid w:val="037E249A"/>
    <w:rsid w:val="037F1B46"/>
    <w:rsid w:val="038C2E09"/>
    <w:rsid w:val="038D3131"/>
    <w:rsid w:val="039408B9"/>
    <w:rsid w:val="03941B8E"/>
    <w:rsid w:val="03956FBA"/>
    <w:rsid w:val="03971A75"/>
    <w:rsid w:val="0399107D"/>
    <w:rsid w:val="03A54305"/>
    <w:rsid w:val="03A910E8"/>
    <w:rsid w:val="03AF6D5E"/>
    <w:rsid w:val="03BA18E6"/>
    <w:rsid w:val="03BA790C"/>
    <w:rsid w:val="03BD259D"/>
    <w:rsid w:val="03C34D58"/>
    <w:rsid w:val="03CF5267"/>
    <w:rsid w:val="03CF75C5"/>
    <w:rsid w:val="03D41080"/>
    <w:rsid w:val="03D46922"/>
    <w:rsid w:val="03D82EC9"/>
    <w:rsid w:val="03DC7A85"/>
    <w:rsid w:val="03DD30A2"/>
    <w:rsid w:val="03DE5A5A"/>
    <w:rsid w:val="03E8296A"/>
    <w:rsid w:val="03EB3B1B"/>
    <w:rsid w:val="03F27B6D"/>
    <w:rsid w:val="03F56632"/>
    <w:rsid w:val="03F818A0"/>
    <w:rsid w:val="03F92BF3"/>
    <w:rsid w:val="04017478"/>
    <w:rsid w:val="040422D1"/>
    <w:rsid w:val="04061520"/>
    <w:rsid w:val="040D7AD6"/>
    <w:rsid w:val="04111911"/>
    <w:rsid w:val="04187271"/>
    <w:rsid w:val="041A06E4"/>
    <w:rsid w:val="041D5E3B"/>
    <w:rsid w:val="042E726A"/>
    <w:rsid w:val="043375BF"/>
    <w:rsid w:val="043F646B"/>
    <w:rsid w:val="0442031E"/>
    <w:rsid w:val="0448453E"/>
    <w:rsid w:val="044B2A28"/>
    <w:rsid w:val="044F12C9"/>
    <w:rsid w:val="044F71F2"/>
    <w:rsid w:val="045A6D61"/>
    <w:rsid w:val="046861D4"/>
    <w:rsid w:val="04686883"/>
    <w:rsid w:val="046D3E6E"/>
    <w:rsid w:val="046D69EB"/>
    <w:rsid w:val="047A4D4E"/>
    <w:rsid w:val="047C4BC4"/>
    <w:rsid w:val="047E434B"/>
    <w:rsid w:val="04872558"/>
    <w:rsid w:val="048955BC"/>
    <w:rsid w:val="048A59B1"/>
    <w:rsid w:val="048B3C99"/>
    <w:rsid w:val="049835BA"/>
    <w:rsid w:val="04A83B16"/>
    <w:rsid w:val="04B163DC"/>
    <w:rsid w:val="04B52385"/>
    <w:rsid w:val="04D82C1F"/>
    <w:rsid w:val="04D8344B"/>
    <w:rsid w:val="04F407FD"/>
    <w:rsid w:val="04F44214"/>
    <w:rsid w:val="04F65B79"/>
    <w:rsid w:val="04FA2D68"/>
    <w:rsid w:val="04FA7286"/>
    <w:rsid w:val="04FB6C34"/>
    <w:rsid w:val="04FD6B2F"/>
    <w:rsid w:val="05042944"/>
    <w:rsid w:val="05136D97"/>
    <w:rsid w:val="051534B6"/>
    <w:rsid w:val="051571B7"/>
    <w:rsid w:val="05213A87"/>
    <w:rsid w:val="05247124"/>
    <w:rsid w:val="05291721"/>
    <w:rsid w:val="0529752A"/>
    <w:rsid w:val="05302694"/>
    <w:rsid w:val="05304794"/>
    <w:rsid w:val="05327C4D"/>
    <w:rsid w:val="05345EEE"/>
    <w:rsid w:val="0535302A"/>
    <w:rsid w:val="053632DE"/>
    <w:rsid w:val="0538303E"/>
    <w:rsid w:val="053B7608"/>
    <w:rsid w:val="05463EDA"/>
    <w:rsid w:val="054662B7"/>
    <w:rsid w:val="054F5043"/>
    <w:rsid w:val="0553107A"/>
    <w:rsid w:val="055728B3"/>
    <w:rsid w:val="05573D16"/>
    <w:rsid w:val="055F491B"/>
    <w:rsid w:val="05602BCA"/>
    <w:rsid w:val="056411A9"/>
    <w:rsid w:val="056611EC"/>
    <w:rsid w:val="056A724D"/>
    <w:rsid w:val="056B1BF1"/>
    <w:rsid w:val="056B7416"/>
    <w:rsid w:val="056C1CD4"/>
    <w:rsid w:val="05750DAA"/>
    <w:rsid w:val="057A595D"/>
    <w:rsid w:val="05886F70"/>
    <w:rsid w:val="058921E4"/>
    <w:rsid w:val="05902CA9"/>
    <w:rsid w:val="05A46FE4"/>
    <w:rsid w:val="05A853C7"/>
    <w:rsid w:val="05AB50D7"/>
    <w:rsid w:val="05B22A76"/>
    <w:rsid w:val="05B25919"/>
    <w:rsid w:val="05BB5425"/>
    <w:rsid w:val="05C94EDD"/>
    <w:rsid w:val="05CC4C1D"/>
    <w:rsid w:val="05D43109"/>
    <w:rsid w:val="05E27F74"/>
    <w:rsid w:val="05E409C8"/>
    <w:rsid w:val="05E53E4E"/>
    <w:rsid w:val="05F24774"/>
    <w:rsid w:val="05F62598"/>
    <w:rsid w:val="05FE0CA7"/>
    <w:rsid w:val="06022418"/>
    <w:rsid w:val="06031DDE"/>
    <w:rsid w:val="060A331D"/>
    <w:rsid w:val="060A448A"/>
    <w:rsid w:val="060B4C5B"/>
    <w:rsid w:val="060F7468"/>
    <w:rsid w:val="06164C23"/>
    <w:rsid w:val="06173640"/>
    <w:rsid w:val="06333EB6"/>
    <w:rsid w:val="064B49D1"/>
    <w:rsid w:val="064F3725"/>
    <w:rsid w:val="06513AC4"/>
    <w:rsid w:val="06552525"/>
    <w:rsid w:val="065B27CF"/>
    <w:rsid w:val="06606BFB"/>
    <w:rsid w:val="06636668"/>
    <w:rsid w:val="06652463"/>
    <w:rsid w:val="066A660F"/>
    <w:rsid w:val="06744AC1"/>
    <w:rsid w:val="06772216"/>
    <w:rsid w:val="067C2781"/>
    <w:rsid w:val="067E4750"/>
    <w:rsid w:val="06844578"/>
    <w:rsid w:val="068970EC"/>
    <w:rsid w:val="068A3BCA"/>
    <w:rsid w:val="068B01AD"/>
    <w:rsid w:val="068E689B"/>
    <w:rsid w:val="06977527"/>
    <w:rsid w:val="069D0C78"/>
    <w:rsid w:val="069E365D"/>
    <w:rsid w:val="06A13BC3"/>
    <w:rsid w:val="06A7637D"/>
    <w:rsid w:val="06AA14EB"/>
    <w:rsid w:val="06AC1398"/>
    <w:rsid w:val="06AE2F9C"/>
    <w:rsid w:val="06B148B7"/>
    <w:rsid w:val="06BB3693"/>
    <w:rsid w:val="06BD404D"/>
    <w:rsid w:val="06BE245E"/>
    <w:rsid w:val="06C13B3D"/>
    <w:rsid w:val="06C74C25"/>
    <w:rsid w:val="06CC1A2E"/>
    <w:rsid w:val="06CD1A03"/>
    <w:rsid w:val="06D30C4E"/>
    <w:rsid w:val="06D4587E"/>
    <w:rsid w:val="06D80E87"/>
    <w:rsid w:val="06DF6A8F"/>
    <w:rsid w:val="06F45007"/>
    <w:rsid w:val="07013933"/>
    <w:rsid w:val="07016019"/>
    <w:rsid w:val="07081F72"/>
    <w:rsid w:val="07092891"/>
    <w:rsid w:val="070A4535"/>
    <w:rsid w:val="070F741B"/>
    <w:rsid w:val="07100982"/>
    <w:rsid w:val="07122F58"/>
    <w:rsid w:val="07141DA5"/>
    <w:rsid w:val="0716040F"/>
    <w:rsid w:val="071B4969"/>
    <w:rsid w:val="071C42A6"/>
    <w:rsid w:val="071F16B3"/>
    <w:rsid w:val="07253937"/>
    <w:rsid w:val="07293F8B"/>
    <w:rsid w:val="072E0AA7"/>
    <w:rsid w:val="07301488"/>
    <w:rsid w:val="07341190"/>
    <w:rsid w:val="07353087"/>
    <w:rsid w:val="073604F1"/>
    <w:rsid w:val="073F3950"/>
    <w:rsid w:val="07430B2C"/>
    <w:rsid w:val="074402CA"/>
    <w:rsid w:val="074B414C"/>
    <w:rsid w:val="074F3C37"/>
    <w:rsid w:val="075552F4"/>
    <w:rsid w:val="07561F1B"/>
    <w:rsid w:val="0757137B"/>
    <w:rsid w:val="07597281"/>
    <w:rsid w:val="075A6056"/>
    <w:rsid w:val="075B281B"/>
    <w:rsid w:val="07603C35"/>
    <w:rsid w:val="076234A2"/>
    <w:rsid w:val="07625617"/>
    <w:rsid w:val="07641A40"/>
    <w:rsid w:val="076E0DE3"/>
    <w:rsid w:val="077075FD"/>
    <w:rsid w:val="077857EA"/>
    <w:rsid w:val="07791F77"/>
    <w:rsid w:val="077C5CB6"/>
    <w:rsid w:val="077F390B"/>
    <w:rsid w:val="07824111"/>
    <w:rsid w:val="07890548"/>
    <w:rsid w:val="078D1C71"/>
    <w:rsid w:val="078D6717"/>
    <w:rsid w:val="078D7EC3"/>
    <w:rsid w:val="078F4751"/>
    <w:rsid w:val="07931119"/>
    <w:rsid w:val="07946DF6"/>
    <w:rsid w:val="07972C84"/>
    <w:rsid w:val="079C76D5"/>
    <w:rsid w:val="079D2AFD"/>
    <w:rsid w:val="079E75D7"/>
    <w:rsid w:val="07A34CB4"/>
    <w:rsid w:val="07A63B13"/>
    <w:rsid w:val="07B27516"/>
    <w:rsid w:val="07B40FAC"/>
    <w:rsid w:val="07BA4CE2"/>
    <w:rsid w:val="07C42378"/>
    <w:rsid w:val="07CC09EB"/>
    <w:rsid w:val="07CC2FD9"/>
    <w:rsid w:val="07CC6CE6"/>
    <w:rsid w:val="07E13D43"/>
    <w:rsid w:val="07E66925"/>
    <w:rsid w:val="07ED12A2"/>
    <w:rsid w:val="07F22DD4"/>
    <w:rsid w:val="07F83C6A"/>
    <w:rsid w:val="07FF34EF"/>
    <w:rsid w:val="080071A0"/>
    <w:rsid w:val="08061EF8"/>
    <w:rsid w:val="080652AA"/>
    <w:rsid w:val="080A51FE"/>
    <w:rsid w:val="080E7A18"/>
    <w:rsid w:val="08111219"/>
    <w:rsid w:val="08131E04"/>
    <w:rsid w:val="08182049"/>
    <w:rsid w:val="08257123"/>
    <w:rsid w:val="082A72E4"/>
    <w:rsid w:val="083B2064"/>
    <w:rsid w:val="08420856"/>
    <w:rsid w:val="08460390"/>
    <w:rsid w:val="085063AC"/>
    <w:rsid w:val="085446F9"/>
    <w:rsid w:val="085E0033"/>
    <w:rsid w:val="08674D52"/>
    <w:rsid w:val="08682AA5"/>
    <w:rsid w:val="0886629E"/>
    <w:rsid w:val="088D563F"/>
    <w:rsid w:val="088E0C28"/>
    <w:rsid w:val="08902385"/>
    <w:rsid w:val="0895702F"/>
    <w:rsid w:val="089A459D"/>
    <w:rsid w:val="089F2FED"/>
    <w:rsid w:val="08A24086"/>
    <w:rsid w:val="08A52E90"/>
    <w:rsid w:val="08B02DA3"/>
    <w:rsid w:val="08B3287F"/>
    <w:rsid w:val="08B64DF2"/>
    <w:rsid w:val="08BD16CF"/>
    <w:rsid w:val="08C4268E"/>
    <w:rsid w:val="08CE638B"/>
    <w:rsid w:val="08D232BE"/>
    <w:rsid w:val="08D6707D"/>
    <w:rsid w:val="08DA657F"/>
    <w:rsid w:val="08E04A39"/>
    <w:rsid w:val="08E74357"/>
    <w:rsid w:val="08EB205A"/>
    <w:rsid w:val="08F00C11"/>
    <w:rsid w:val="08F22F57"/>
    <w:rsid w:val="08FD2E27"/>
    <w:rsid w:val="08FD50F7"/>
    <w:rsid w:val="09000A48"/>
    <w:rsid w:val="09070C59"/>
    <w:rsid w:val="090B6EF4"/>
    <w:rsid w:val="09120CF8"/>
    <w:rsid w:val="0917392C"/>
    <w:rsid w:val="091B4075"/>
    <w:rsid w:val="092C2974"/>
    <w:rsid w:val="09423612"/>
    <w:rsid w:val="094844C0"/>
    <w:rsid w:val="0949313B"/>
    <w:rsid w:val="094967A7"/>
    <w:rsid w:val="094C01FC"/>
    <w:rsid w:val="095A0A12"/>
    <w:rsid w:val="0963647B"/>
    <w:rsid w:val="09650410"/>
    <w:rsid w:val="096B2A66"/>
    <w:rsid w:val="096C48A8"/>
    <w:rsid w:val="09703711"/>
    <w:rsid w:val="09762C68"/>
    <w:rsid w:val="09785D7D"/>
    <w:rsid w:val="098179F4"/>
    <w:rsid w:val="09881861"/>
    <w:rsid w:val="098B451D"/>
    <w:rsid w:val="099E55FA"/>
    <w:rsid w:val="09A03EDE"/>
    <w:rsid w:val="09A67401"/>
    <w:rsid w:val="09A84B40"/>
    <w:rsid w:val="09A97751"/>
    <w:rsid w:val="09AE362B"/>
    <w:rsid w:val="09B74044"/>
    <w:rsid w:val="09C57591"/>
    <w:rsid w:val="09CB1EE8"/>
    <w:rsid w:val="09D516AE"/>
    <w:rsid w:val="09D749CF"/>
    <w:rsid w:val="09D87DE5"/>
    <w:rsid w:val="09E152D9"/>
    <w:rsid w:val="09E824FB"/>
    <w:rsid w:val="09E94B82"/>
    <w:rsid w:val="09EA3764"/>
    <w:rsid w:val="09EF578D"/>
    <w:rsid w:val="09F5224A"/>
    <w:rsid w:val="09FD54C3"/>
    <w:rsid w:val="0A011554"/>
    <w:rsid w:val="0A0A189F"/>
    <w:rsid w:val="0A162A2C"/>
    <w:rsid w:val="0A176ACE"/>
    <w:rsid w:val="0A1F71AD"/>
    <w:rsid w:val="0A286CDE"/>
    <w:rsid w:val="0A310FDA"/>
    <w:rsid w:val="0A3225B5"/>
    <w:rsid w:val="0A330266"/>
    <w:rsid w:val="0A391CD5"/>
    <w:rsid w:val="0A526AB4"/>
    <w:rsid w:val="0A570314"/>
    <w:rsid w:val="0A5C689F"/>
    <w:rsid w:val="0A5F567A"/>
    <w:rsid w:val="0A640968"/>
    <w:rsid w:val="0A640D7D"/>
    <w:rsid w:val="0A727390"/>
    <w:rsid w:val="0A752C74"/>
    <w:rsid w:val="0A757573"/>
    <w:rsid w:val="0A7A6BC0"/>
    <w:rsid w:val="0A7B51F2"/>
    <w:rsid w:val="0A7C2321"/>
    <w:rsid w:val="0A7C75A0"/>
    <w:rsid w:val="0A8455AD"/>
    <w:rsid w:val="0A9E6806"/>
    <w:rsid w:val="0AA80EF3"/>
    <w:rsid w:val="0AAD7FE8"/>
    <w:rsid w:val="0AB225F0"/>
    <w:rsid w:val="0AB85257"/>
    <w:rsid w:val="0ABA17C6"/>
    <w:rsid w:val="0AC07AA8"/>
    <w:rsid w:val="0AC26682"/>
    <w:rsid w:val="0AC5125B"/>
    <w:rsid w:val="0AC76AAE"/>
    <w:rsid w:val="0AC93FB0"/>
    <w:rsid w:val="0ADB2CF4"/>
    <w:rsid w:val="0ADD1D6C"/>
    <w:rsid w:val="0AE45D42"/>
    <w:rsid w:val="0AEB5C7A"/>
    <w:rsid w:val="0AEC12CB"/>
    <w:rsid w:val="0AF018E5"/>
    <w:rsid w:val="0AF70504"/>
    <w:rsid w:val="0AF71CA7"/>
    <w:rsid w:val="0AFB15DF"/>
    <w:rsid w:val="0AFB3447"/>
    <w:rsid w:val="0AFD4D4A"/>
    <w:rsid w:val="0B006A9B"/>
    <w:rsid w:val="0B01568E"/>
    <w:rsid w:val="0B04223A"/>
    <w:rsid w:val="0B0620CF"/>
    <w:rsid w:val="0B147CDD"/>
    <w:rsid w:val="0B2C4FA0"/>
    <w:rsid w:val="0B3B1F64"/>
    <w:rsid w:val="0B3D11F6"/>
    <w:rsid w:val="0B3D246D"/>
    <w:rsid w:val="0B472137"/>
    <w:rsid w:val="0B5022AB"/>
    <w:rsid w:val="0B54499A"/>
    <w:rsid w:val="0B5506E6"/>
    <w:rsid w:val="0B5B02CC"/>
    <w:rsid w:val="0B5B2FF4"/>
    <w:rsid w:val="0B5D0113"/>
    <w:rsid w:val="0B5D77AC"/>
    <w:rsid w:val="0B5F1B77"/>
    <w:rsid w:val="0B60288D"/>
    <w:rsid w:val="0B6F17D3"/>
    <w:rsid w:val="0B6F4C8D"/>
    <w:rsid w:val="0B7621FA"/>
    <w:rsid w:val="0B77222F"/>
    <w:rsid w:val="0B7F686C"/>
    <w:rsid w:val="0B804D27"/>
    <w:rsid w:val="0B841710"/>
    <w:rsid w:val="0B860EB1"/>
    <w:rsid w:val="0B89205B"/>
    <w:rsid w:val="0B8C08FB"/>
    <w:rsid w:val="0B9804D6"/>
    <w:rsid w:val="0B9B737B"/>
    <w:rsid w:val="0B9F4F5C"/>
    <w:rsid w:val="0BA24EA7"/>
    <w:rsid w:val="0BA4260C"/>
    <w:rsid w:val="0BB53E3F"/>
    <w:rsid w:val="0BB82570"/>
    <w:rsid w:val="0BB95561"/>
    <w:rsid w:val="0BBE37AD"/>
    <w:rsid w:val="0BC102D2"/>
    <w:rsid w:val="0BC31997"/>
    <w:rsid w:val="0BC814CA"/>
    <w:rsid w:val="0BC8728A"/>
    <w:rsid w:val="0BCB5A75"/>
    <w:rsid w:val="0BD11E38"/>
    <w:rsid w:val="0BD22E3D"/>
    <w:rsid w:val="0BD2467B"/>
    <w:rsid w:val="0BE06388"/>
    <w:rsid w:val="0BE253B1"/>
    <w:rsid w:val="0BEC72DB"/>
    <w:rsid w:val="0BF37E80"/>
    <w:rsid w:val="0BF40511"/>
    <w:rsid w:val="0BFD603C"/>
    <w:rsid w:val="0BFF145D"/>
    <w:rsid w:val="0C050E76"/>
    <w:rsid w:val="0C304327"/>
    <w:rsid w:val="0C312DD0"/>
    <w:rsid w:val="0C3231B7"/>
    <w:rsid w:val="0C3B4378"/>
    <w:rsid w:val="0C3D0932"/>
    <w:rsid w:val="0C517E6C"/>
    <w:rsid w:val="0C52000E"/>
    <w:rsid w:val="0C550884"/>
    <w:rsid w:val="0C584FCE"/>
    <w:rsid w:val="0C597785"/>
    <w:rsid w:val="0C5C40D0"/>
    <w:rsid w:val="0C5E1531"/>
    <w:rsid w:val="0C6C00A7"/>
    <w:rsid w:val="0C6C7BC9"/>
    <w:rsid w:val="0C7F2E1A"/>
    <w:rsid w:val="0C81135D"/>
    <w:rsid w:val="0C84216E"/>
    <w:rsid w:val="0C874EE1"/>
    <w:rsid w:val="0C90592D"/>
    <w:rsid w:val="0C963536"/>
    <w:rsid w:val="0CA64952"/>
    <w:rsid w:val="0CA66E5D"/>
    <w:rsid w:val="0CAB5DC6"/>
    <w:rsid w:val="0CB01BC8"/>
    <w:rsid w:val="0CB139CF"/>
    <w:rsid w:val="0CB628CC"/>
    <w:rsid w:val="0CBB2DDD"/>
    <w:rsid w:val="0CC26A09"/>
    <w:rsid w:val="0CC26B10"/>
    <w:rsid w:val="0CC57CE1"/>
    <w:rsid w:val="0CD53E20"/>
    <w:rsid w:val="0CD94BEA"/>
    <w:rsid w:val="0CE5090A"/>
    <w:rsid w:val="0CEE3374"/>
    <w:rsid w:val="0CEE43C0"/>
    <w:rsid w:val="0CEE44B1"/>
    <w:rsid w:val="0CEE5CD5"/>
    <w:rsid w:val="0CEE7D34"/>
    <w:rsid w:val="0CF4499F"/>
    <w:rsid w:val="0CF85DDF"/>
    <w:rsid w:val="0CFA57D8"/>
    <w:rsid w:val="0CFD5B91"/>
    <w:rsid w:val="0D020256"/>
    <w:rsid w:val="0D0726CD"/>
    <w:rsid w:val="0D1165BF"/>
    <w:rsid w:val="0D137D31"/>
    <w:rsid w:val="0D1F5225"/>
    <w:rsid w:val="0D2B7A55"/>
    <w:rsid w:val="0D2C52E9"/>
    <w:rsid w:val="0D342E7C"/>
    <w:rsid w:val="0D376313"/>
    <w:rsid w:val="0D3B7091"/>
    <w:rsid w:val="0D3C2075"/>
    <w:rsid w:val="0D4039B7"/>
    <w:rsid w:val="0D436E2D"/>
    <w:rsid w:val="0D4410C1"/>
    <w:rsid w:val="0D45206F"/>
    <w:rsid w:val="0D4A473F"/>
    <w:rsid w:val="0D4B4319"/>
    <w:rsid w:val="0D504BF9"/>
    <w:rsid w:val="0D523E55"/>
    <w:rsid w:val="0D623D7E"/>
    <w:rsid w:val="0D6309D2"/>
    <w:rsid w:val="0D63314B"/>
    <w:rsid w:val="0D641868"/>
    <w:rsid w:val="0D6A7C92"/>
    <w:rsid w:val="0D736B37"/>
    <w:rsid w:val="0D7E4472"/>
    <w:rsid w:val="0D8E230C"/>
    <w:rsid w:val="0D952E8E"/>
    <w:rsid w:val="0D980A40"/>
    <w:rsid w:val="0DA304D9"/>
    <w:rsid w:val="0DAD657C"/>
    <w:rsid w:val="0DB016F1"/>
    <w:rsid w:val="0DB17FBA"/>
    <w:rsid w:val="0DB67654"/>
    <w:rsid w:val="0DB8485F"/>
    <w:rsid w:val="0DBF0492"/>
    <w:rsid w:val="0DC75B1D"/>
    <w:rsid w:val="0DCA1D93"/>
    <w:rsid w:val="0DCB57B7"/>
    <w:rsid w:val="0DD00E3F"/>
    <w:rsid w:val="0DD1256F"/>
    <w:rsid w:val="0DD6565C"/>
    <w:rsid w:val="0DE00EA7"/>
    <w:rsid w:val="0DE05871"/>
    <w:rsid w:val="0DE17919"/>
    <w:rsid w:val="0DE2500D"/>
    <w:rsid w:val="0DE25610"/>
    <w:rsid w:val="0DE35A42"/>
    <w:rsid w:val="0DE62CE1"/>
    <w:rsid w:val="0DE819AF"/>
    <w:rsid w:val="0DEF450C"/>
    <w:rsid w:val="0DF37D3F"/>
    <w:rsid w:val="0DF47DDD"/>
    <w:rsid w:val="0DF70DA6"/>
    <w:rsid w:val="0DF82B95"/>
    <w:rsid w:val="0E045BE3"/>
    <w:rsid w:val="0E116607"/>
    <w:rsid w:val="0E1747C5"/>
    <w:rsid w:val="0E1E1017"/>
    <w:rsid w:val="0E1E22D8"/>
    <w:rsid w:val="0E1E3623"/>
    <w:rsid w:val="0E2265F8"/>
    <w:rsid w:val="0E232785"/>
    <w:rsid w:val="0E2606C7"/>
    <w:rsid w:val="0E2728BD"/>
    <w:rsid w:val="0E2C1005"/>
    <w:rsid w:val="0E2F287D"/>
    <w:rsid w:val="0E334B94"/>
    <w:rsid w:val="0E350CB1"/>
    <w:rsid w:val="0E372CE1"/>
    <w:rsid w:val="0E3B7858"/>
    <w:rsid w:val="0E430958"/>
    <w:rsid w:val="0E451EAC"/>
    <w:rsid w:val="0E457081"/>
    <w:rsid w:val="0E457ECF"/>
    <w:rsid w:val="0E4C52FE"/>
    <w:rsid w:val="0E4D0D3E"/>
    <w:rsid w:val="0E4F27D5"/>
    <w:rsid w:val="0E643DBA"/>
    <w:rsid w:val="0E682482"/>
    <w:rsid w:val="0E6948C2"/>
    <w:rsid w:val="0E7025AA"/>
    <w:rsid w:val="0E703EC1"/>
    <w:rsid w:val="0E782D57"/>
    <w:rsid w:val="0E811AF7"/>
    <w:rsid w:val="0E8E40D8"/>
    <w:rsid w:val="0E8F5466"/>
    <w:rsid w:val="0E927B6D"/>
    <w:rsid w:val="0E975D96"/>
    <w:rsid w:val="0E976332"/>
    <w:rsid w:val="0E9B7CDB"/>
    <w:rsid w:val="0EA421F8"/>
    <w:rsid w:val="0EA55258"/>
    <w:rsid w:val="0EAF6971"/>
    <w:rsid w:val="0EB1427A"/>
    <w:rsid w:val="0EB17453"/>
    <w:rsid w:val="0EB5367C"/>
    <w:rsid w:val="0EBA5EF8"/>
    <w:rsid w:val="0EBB3A85"/>
    <w:rsid w:val="0EBF54B3"/>
    <w:rsid w:val="0EC7776F"/>
    <w:rsid w:val="0ED46DA9"/>
    <w:rsid w:val="0EE56691"/>
    <w:rsid w:val="0EE82611"/>
    <w:rsid w:val="0EEB5ADD"/>
    <w:rsid w:val="0EED2D5B"/>
    <w:rsid w:val="0EFD57CD"/>
    <w:rsid w:val="0EFF060B"/>
    <w:rsid w:val="0F0227BC"/>
    <w:rsid w:val="0F040FAF"/>
    <w:rsid w:val="0F0A5D32"/>
    <w:rsid w:val="0F0B7E63"/>
    <w:rsid w:val="0F1B6220"/>
    <w:rsid w:val="0F1F7446"/>
    <w:rsid w:val="0F3662D0"/>
    <w:rsid w:val="0F377A3E"/>
    <w:rsid w:val="0F386966"/>
    <w:rsid w:val="0F39623B"/>
    <w:rsid w:val="0F3B4C51"/>
    <w:rsid w:val="0F432717"/>
    <w:rsid w:val="0F563AD3"/>
    <w:rsid w:val="0F5E0331"/>
    <w:rsid w:val="0F60445F"/>
    <w:rsid w:val="0F661543"/>
    <w:rsid w:val="0F66521E"/>
    <w:rsid w:val="0F6D28EA"/>
    <w:rsid w:val="0F6E2388"/>
    <w:rsid w:val="0F6E4136"/>
    <w:rsid w:val="0F7015FC"/>
    <w:rsid w:val="0F7531AA"/>
    <w:rsid w:val="0F7B2947"/>
    <w:rsid w:val="0F7E7B3B"/>
    <w:rsid w:val="0F843B20"/>
    <w:rsid w:val="0FA07824"/>
    <w:rsid w:val="0FA86889"/>
    <w:rsid w:val="0FAB787D"/>
    <w:rsid w:val="0FB91667"/>
    <w:rsid w:val="0FBD6709"/>
    <w:rsid w:val="0FCD6161"/>
    <w:rsid w:val="0FCF1241"/>
    <w:rsid w:val="0FD04DF1"/>
    <w:rsid w:val="0FD50D53"/>
    <w:rsid w:val="0FDE0300"/>
    <w:rsid w:val="0FEE6347"/>
    <w:rsid w:val="0FF27688"/>
    <w:rsid w:val="0FF705D0"/>
    <w:rsid w:val="0FF74C8C"/>
    <w:rsid w:val="0FFA6620"/>
    <w:rsid w:val="0FFD5992"/>
    <w:rsid w:val="10060813"/>
    <w:rsid w:val="100A5F0B"/>
    <w:rsid w:val="1010305E"/>
    <w:rsid w:val="10136F7B"/>
    <w:rsid w:val="10195BAF"/>
    <w:rsid w:val="101A3E57"/>
    <w:rsid w:val="10272188"/>
    <w:rsid w:val="10297717"/>
    <w:rsid w:val="102C157C"/>
    <w:rsid w:val="103115CC"/>
    <w:rsid w:val="103143DF"/>
    <w:rsid w:val="10350915"/>
    <w:rsid w:val="103C4E07"/>
    <w:rsid w:val="103E68BB"/>
    <w:rsid w:val="10555B18"/>
    <w:rsid w:val="105633C5"/>
    <w:rsid w:val="105642D3"/>
    <w:rsid w:val="105D768D"/>
    <w:rsid w:val="106605B0"/>
    <w:rsid w:val="10691BC5"/>
    <w:rsid w:val="10797901"/>
    <w:rsid w:val="107A4390"/>
    <w:rsid w:val="107C500D"/>
    <w:rsid w:val="10826B78"/>
    <w:rsid w:val="10826E3B"/>
    <w:rsid w:val="10831130"/>
    <w:rsid w:val="1084295B"/>
    <w:rsid w:val="109841DE"/>
    <w:rsid w:val="109D5E49"/>
    <w:rsid w:val="10A108C0"/>
    <w:rsid w:val="10AA49BB"/>
    <w:rsid w:val="10AB2A85"/>
    <w:rsid w:val="10AD6046"/>
    <w:rsid w:val="10BC3B0C"/>
    <w:rsid w:val="10BE729D"/>
    <w:rsid w:val="10CA54CF"/>
    <w:rsid w:val="10CB0696"/>
    <w:rsid w:val="10CF44F2"/>
    <w:rsid w:val="10D20B4E"/>
    <w:rsid w:val="10D51D66"/>
    <w:rsid w:val="10D77959"/>
    <w:rsid w:val="10E24BEF"/>
    <w:rsid w:val="10E74BCE"/>
    <w:rsid w:val="10EA7D81"/>
    <w:rsid w:val="10F1787F"/>
    <w:rsid w:val="10F62CD4"/>
    <w:rsid w:val="10FC5772"/>
    <w:rsid w:val="11000096"/>
    <w:rsid w:val="110173B6"/>
    <w:rsid w:val="11032FA4"/>
    <w:rsid w:val="11077E4D"/>
    <w:rsid w:val="110E5BD1"/>
    <w:rsid w:val="110F0319"/>
    <w:rsid w:val="111034C9"/>
    <w:rsid w:val="11135623"/>
    <w:rsid w:val="1116582D"/>
    <w:rsid w:val="11171810"/>
    <w:rsid w:val="11196E17"/>
    <w:rsid w:val="112168A0"/>
    <w:rsid w:val="112616FB"/>
    <w:rsid w:val="113074E7"/>
    <w:rsid w:val="1131440B"/>
    <w:rsid w:val="11402091"/>
    <w:rsid w:val="114D7C45"/>
    <w:rsid w:val="115341EF"/>
    <w:rsid w:val="11560650"/>
    <w:rsid w:val="115F1D78"/>
    <w:rsid w:val="11631BA9"/>
    <w:rsid w:val="11641C95"/>
    <w:rsid w:val="116B02BD"/>
    <w:rsid w:val="116E2F51"/>
    <w:rsid w:val="11720664"/>
    <w:rsid w:val="11743CBB"/>
    <w:rsid w:val="11794860"/>
    <w:rsid w:val="117B0D8C"/>
    <w:rsid w:val="117D520B"/>
    <w:rsid w:val="117F107A"/>
    <w:rsid w:val="11812F52"/>
    <w:rsid w:val="118F1EFF"/>
    <w:rsid w:val="11933E8F"/>
    <w:rsid w:val="11A173FA"/>
    <w:rsid w:val="11A46922"/>
    <w:rsid w:val="11AB584E"/>
    <w:rsid w:val="11AE284C"/>
    <w:rsid w:val="11B44E58"/>
    <w:rsid w:val="11B851F2"/>
    <w:rsid w:val="11E24E91"/>
    <w:rsid w:val="11E9408B"/>
    <w:rsid w:val="11EB2900"/>
    <w:rsid w:val="11ED2C29"/>
    <w:rsid w:val="11F1499B"/>
    <w:rsid w:val="11F76FD8"/>
    <w:rsid w:val="11FC3090"/>
    <w:rsid w:val="11FF08E4"/>
    <w:rsid w:val="12056022"/>
    <w:rsid w:val="12076AE2"/>
    <w:rsid w:val="12076D1B"/>
    <w:rsid w:val="120E16EE"/>
    <w:rsid w:val="1212349F"/>
    <w:rsid w:val="122B27B2"/>
    <w:rsid w:val="122D5A9D"/>
    <w:rsid w:val="1230601B"/>
    <w:rsid w:val="12346BEC"/>
    <w:rsid w:val="12386B26"/>
    <w:rsid w:val="123C051C"/>
    <w:rsid w:val="123C6C59"/>
    <w:rsid w:val="12430890"/>
    <w:rsid w:val="124C3EDE"/>
    <w:rsid w:val="12661850"/>
    <w:rsid w:val="126976FD"/>
    <w:rsid w:val="126B3EC3"/>
    <w:rsid w:val="12752E4E"/>
    <w:rsid w:val="1279470E"/>
    <w:rsid w:val="127B1F72"/>
    <w:rsid w:val="127B3C54"/>
    <w:rsid w:val="127C427C"/>
    <w:rsid w:val="127F665A"/>
    <w:rsid w:val="1281717B"/>
    <w:rsid w:val="128408D7"/>
    <w:rsid w:val="12844FF2"/>
    <w:rsid w:val="128E33C1"/>
    <w:rsid w:val="12937F24"/>
    <w:rsid w:val="12957C43"/>
    <w:rsid w:val="1296069C"/>
    <w:rsid w:val="12970B38"/>
    <w:rsid w:val="1299771C"/>
    <w:rsid w:val="129A0534"/>
    <w:rsid w:val="129C41BA"/>
    <w:rsid w:val="12AA199A"/>
    <w:rsid w:val="12AA657F"/>
    <w:rsid w:val="12AB1CD2"/>
    <w:rsid w:val="12AB4CC0"/>
    <w:rsid w:val="12B03412"/>
    <w:rsid w:val="12C67BF6"/>
    <w:rsid w:val="12C74AB4"/>
    <w:rsid w:val="12CB0B63"/>
    <w:rsid w:val="12D678AF"/>
    <w:rsid w:val="12D97AA6"/>
    <w:rsid w:val="12E2527A"/>
    <w:rsid w:val="12E30F09"/>
    <w:rsid w:val="12E903BD"/>
    <w:rsid w:val="12F012BD"/>
    <w:rsid w:val="12F2576C"/>
    <w:rsid w:val="12F62DC0"/>
    <w:rsid w:val="1300557D"/>
    <w:rsid w:val="13040B84"/>
    <w:rsid w:val="13070B2A"/>
    <w:rsid w:val="130A4B6A"/>
    <w:rsid w:val="13112495"/>
    <w:rsid w:val="13171699"/>
    <w:rsid w:val="131815DD"/>
    <w:rsid w:val="131F02E3"/>
    <w:rsid w:val="132056F9"/>
    <w:rsid w:val="13212F58"/>
    <w:rsid w:val="1326440A"/>
    <w:rsid w:val="13264EF5"/>
    <w:rsid w:val="132A4818"/>
    <w:rsid w:val="13372A23"/>
    <w:rsid w:val="134058A3"/>
    <w:rsid w:val="13485D34"/>
    <w:rsid w:val="13491C91"/>
    <w:rsid w:val="135A2D3D"/>
    <w:rsid w:val="135E5722"/>
    <w:rsid w:val="136640DD"/>
    <w:rsid w:val="13676411"/>
    <w:rsid w:val="1367781A"/>
    <w:rsid w:val="136C3083"/>
    <w:rsid w:val="136F7D4E"/>
    <w:rsid w:val="13705D58"/>
    <w:rsid w:val="137B5CB9"/>
    <w:rsid w:val="13804B80"/>
    <w:rsid w:val="138434BD"/>
    <w:rsid w:val="138E57CD"/>
    <w:rsid w:val="139D1B69"/>
    <w:rsid w:val="13A73218"/>
    <w:rsid w:val="13BD49FA"/>
    <w:rsid w:val="13C20407"/>
    <w:rsid w:val="13C21B90"/>
    <w:rsid w:val="13D62AB5"/>
    <w:rsid w:val="13DF76C3"/>
    <w:rsid w:val="13E0017A"/>
    <w:rsid w:val="13E117D0"/>
    <w:rsid w:val="13E57E71"/>
    <w:rsid w:val="13F24292"/>
    <w:rsid w:val="13F66BED"/>
    <w:rsid w:val="13FB46EE"/>
    <w:rsid w:val="13FC2BEA"/>
    <w:rsid w:val="140F5055"/>
    <w:rsid w:val="141730BC"/>
    <w:rsid w:val="14180B0C"/>
    <w:rsid w:val="14186A03"/>
    <w:rsid w:val="142B0352"/>
    <w:rsid w:val="142D1A7D"/>
    <w:rsid w:val="14322EF6"/>
    <w:rsid w:val="143514F1"/>
    <w:rsid w:val="1436322E"/>
    <w:rsid w:val="143639C6"/>
    <w:rsid w:val="1438245F"/>
    <w:rsid w:val="14383ECC"/>
    <w:rsid w:val="143B4E65"/>
    <w:rsid w:val="144314F4"/>
    <w:rsid w:val="144C145E"/>
    <w:rsid w:val="14551D69"/>
    <w:rsid w:val="14554CD6"/>
    <w:rsid w:val="145C24B2"/>
    <w:rsid w:val="145D02B4"/>
    <w:rsid w:val="145F25A1"/>
    <w:rsid w:val="146B5EA2"/>
    <w:rsid w:val="146C6C05"/>
    <w:rsid w:val="146F0856"/>
    <w:rsid w:val="147057DD"/>
    <w:rsid w:val="147B4F8B"/>
    <w:rsid w:val="14877E67"/>
    <w:rsid w:val="148A60D6"/>
    <w:rsid w:val="14991C55"/>
    <w:rsid w:val="149945F4"/>
    <w:rsid w:val="149F3914"/>
    <w:rsid w:val="14A447A3"/>
    <w:rsid w:val="14A51A66"/>
    <w:rsid w:val="14A82B7D"/>
    <w:rsid w:val="14AC5114"/>
    <w:rsid w:val="14AD5701"/>
    <w:rsid w:val="14B346E6"/>
    <w:rsid w:val="14BE25AD"/>
    <w:rsid w:val="14BF6114"/>
    <w:rsid w:val="14C30A80"/>
    <w:rsid w:val="14C80FCD"/>
    <w:rsid w:val="14C94207"/>
    <w:rsid w:val="14C96EEB"/>
    <w:rsid w:val="14CA2BBD"/>
    <w:rsid w:val="14D13D67"/>
    <w:rsid w:val="14D7425D"/>
    <w:rsid w:val="14DA62A5"/>
    <w:rsid w:val="14E055EC"/>
    <w:rsid w:val="14E636B0"/>
    <w:rsid w:val="14E802FD"/>
    <w:rsid w:val="14EA47D4"/>
    <w:rsid w:val="14F16D96"/>
    <w:rsid w:val="14F57B17"/>
    <w:rsid w:val="14FC7E54"/>
    <w:rsid w:val="15024978"/>
    <w:rsid w:val="15051404"/>
    <w:rsid w:val="15093F8B"/>
    <w:rsid w:val="150C0D5B"/>
    <w:rsid w:val="150F2664"/>
    <w:rsid w:val="151512AE"/>
    <w:rsid w:val="151B72EB"/>
    <w:rsid w:val="151D1CD1"/>
    <w:rsid w:val="15207671"/>
    <w:rsid w:val="15286D09"/>
    <w:rsid w:val="153234C8"/>
    <w:rsid w:val="153905D9"/>
    <w:rsid w:val="153B285D"/>
    <w:rsid w:val="153D7E8C"/>
    <w:rsid w:val="15451E90"/>
    <w:rsid w:val="1548257C"/>
    <w:rsid w:val="15552DCC"/>
    <w:rsid w:val="155A4AA0"/>
    <w:rsid w:val="155C389D"/>
    <w:rsid w:val="155E332A"/>
    <w:rsid w:val="156066A0"/>
    <w:rsid w:val="15640886"/>
    <w:rsid w:val="15712E7C"/>
    <w:rsid w:val="15735D85"/>
    <w:rsid w:val="15752268"/>
    <w:rsid w:val="157638F5"/>
    <w:rsid w:val="15783A2A"/>
    <w:rsid w:val="15790F98"/>
    <w:rsid w:val="15801494"/>
    <w:rsid w:val="158437D1"/>
    <w:rsid w:val="158713C9"/>
    <w:rsid w:val="158957C9"/>
    <w:rsid w:val="158F23F6"/>
    <w:rsid w:val="15930D73"/>
    <w:rsid w:val="15956C76"/>
    <w:rsid w:val="15A03F03"/>
    <w:rsid w:val="15A50FA4"/>
    <w:rsid w:val="15A90F78"/>
    <w:rsid w:val="15AD595A"/>
    <w:rsid w:val="15B3586F"/>
    <w:rsid w:val="15CE2065"/>
    <w:rsid w:val="15E46F00"/>
    <w:rsid w:val="15E82E13"/>
    <w:rsid w:val="15EB4439"/>
    <w:rsid w:val="15F1063F"/>
    <w:rsid w:val="15F21407"/>
    <w:rsid w:val="15F2667D"/>
    <w:rsid w:val="15F67903"/>
    <w:rsid w:val="15F75EF5"/>
    <w:rsid w:val="160B5F53"/>
    <w:rsid w:val="160D00D8"/>
    <w:rsid w:val="16112275"/>
    <w:rsid w:val="161916C3"/>
    <w:rsid w:val="161A5018"/>
    <w:rsid w:val="161E0E87"/>
    <w:rsid w:val="161E1751"/>
    <w:rsid w:val="161E5D61"/>
    <w:rsid w:val="16230037"/>
    <w:rsid w:val="1624048D"/>
    <w:rsid w:val="16262312"/>
    <w:rsid w:val="162C59C6"/>
    <w:rsid w:val="16351280"/>
    <w:rsid w:val="163C2716"/>
    <w:rsid w:val="163F40ED"/>
    <w:rsid w:val="16400D3B"/>
    <w:rsid w:val="16585D70"/>
    <w:rsid w:val="1659719F"/>
    <w:rsid w:val="166E4092"/>
    <w:rsid w:val="166F45EF"/>
    <w:rsid w:val="167627E4"/>
    <w:rsid w:val="167D303A"/>
    <w:rsid w:val="167D7355"/>
    <w:rsid w:val="16830C80"/>
    <w:rsid w:val="1683786C"/>
    <w:rsid w:val="16866D91"/>
    <w:rsid w:val="169012F0"/>
    <w:rsid w:val="169B51E7"/>
    <w:rsid w:val="169C2427"/>
    <w:rsid w:val="169D21EE"/>
    <w:rsid w:val="169E36B3"/>
    <w:rsid w:val="16A12EA2"/>
    <w:rsid w:val="16A5520F"/>
    <w:rsid w:val="16AA5E0D"/>
    <w:rsid w:val="16BD0215"/>
    <w:rsid w:val="16C11A1C"/>
    <w:rsid w:val="16C87C17"/>
    <w:rsid w:val="16C90A88"/>
    <w:rsid w:val="16D05DDC"/>
    <w:rsid w:val="16D23844"/>
    <w:rsid w:val="16D37E6B"/>
    <w:rsid w:val="16DB6211"/>
    <w:rsid w:val="16E876EC"/>
    <w:rsid w:val="16ED44DA"/>
    <w:rsid w:val="16F046D6"/>
    <w:rsid w:val="16F6739D"/>
    <w:rsid w:val="16F778A1"/>
    <w:rsid w:val="16FA38D1"/>
    <w:rsid w:val="170451B6"/>
    <w:rsid w:val="17084BF7"/>
    <w:rsid w:val="170A6E3A"/>
    <w:rsid w:val="171658EE"/>
    <w:rsid w:val="171E16DF"/>
    <w:rsid w:val="17290B85"/>
    <w:rsid w:val="173968B8"/>
    <w:rsid w:val="173A4C3C"/>
    <w:rsid w:val="17494A62"/>
    <w:rsid w:val="174F34A7"/>
    <w:rsid w:val="175005C5"/>
    <w:rsid w:val="175846F3"/>
    <w:rsid w:val="175A3559"/>
    <w:rsid w:val="175E69A5"/>
    <w:rsid w:val="175F6D67"/>
    <w:rsid w:val="17633086"/>
    <w:rsid w:val="176E0D86"/>
    <w:rsid w:val="177F4500"/>
    <w:rsid w:val="17820010"/>
    <w:rsid w:val="178B287E"/>
    <w:rsid w:val="178C2FBD"/>
    <w:rsid w:val="178C3B95"/>
    <w:rsid w:val="178F50C3"/>
    <w:rsid w:val="178F77C3"/>
    <w:rsid w:val="179955D3"/>
    <w:rsid w:val="179B3FEB"/>
    <w:rsid w:val="179C5255"/>
    <w:rsid w:val="17B4105F"/>
    <w:rsid w:val="17B42B32"/>
    <w:rsid w:val="17BC558B"/>
    <w:rsid w:val="17C979DB"/>
    <w:rsid w:val="17CB2AA0"/>
    <w:rsid w:val="17D06F9B"/>
    <w:rsid w:val="17D55DCD"/>
    <w:rsid w:val="17DD00AB"/>
    <w:rsid w:val="17E35410"/>
    <w:rsid w:val="17E54381"/>
    <w:rsid w:val="17EA2191"/>
    <w:rsid w:val="17F049A0"/>
    <w:rsid w:val="17F054DB"/>
    <w:rsid w:val="17F72658"/>
    <w:rsid w:val="180001D8"/>
    <w:rsid w:val="1807337A"/>
    <w:rsid w:val="18085C0D"/>
    <w:rsid w:val="180F509F"/>
    <w:rsid w:val="1816180F"/>
    <w:rsid w:val="181844C9"/>
    <w:rsid w:val="181C1C05"/>
    <w:rsid w:val="18257D93"/>
    <w:rsid w:val="183153D3"/>
    <w:rsid w:val="183C07DC"/>
    <w:rsid w:val="18413BF7"/>
    <w:rsid w:val="184212AE"/>
    <w:rsid w:val="18486359"/>
    <w:rsid w:val="18504E7B"/>
    <w:rsid w:val="185223D1"/>
    <w:rsid w:val="18546F45"/>
    <w:rsid w:val="18561372"/>
    <w:rsid w:val="185A60CE"/>
    <w:rsid w:val="185D0CAD"/>
    <w:rsid w:val="185D2F9A"/>
    <w:rsid w:val="18636704"/>
    <w:rsid w:val="1868099B"/>
    <w:rsid w:val="18695722"/>
    <w:rsid w:val="18703B6A"/>
    <w:rsid w:val="187330D2"/>
    <w:rsid w:val="187839CE"/>
    <w:rsid w:val="187E5C8A"/>
    <w:rsid w:val="187F0F57"/>
    <w:rsid w:val="18811C3B"/>
    <w:rsid w:val="188D03EF"/>
    <w:rsid w:val="188D2130"/>
    <w:rsid w:val="1899245F"/>
    <w:rsid w:val="189E20EA"/>
    <w:rsid w:val="18A032D2"/>
    <w:rsid w:val="18A614A7"/>
    <w:rsid w:val="18AB6184"/>
    <w:rsid w:val="18AF12B1"/>
    <w:rsid w:val="18B01B8E"/>
    <w:rsid w:val="18B56288"/>
    <w:rsid w:val="18BF544C"/>
    <w:rsid w:val="18C57F7D"/>
    <w:rsid w:val="18C64FE3"/>
    <w:rsid w:val="18D50F26"/>
    <w:rsid w:val="18D6669C"/>
    <w:rsid w:val="18DA4920"/>
    <w:rsid w:val="18E57016"/>
    <w:rsid w:val="18E67433"/>
    <w:rsid w:val="18F22B89"/>
    <w:rsid w:val="18F93C51"/>
    <w:rsid w:val="18FD0096"/>
    <w:rsid w:val="18FF00AA"/>
    <w:rsid w:val="1902289E"/>
    <w:rsid w:val="19066249"/>
    <w:rsid w:val="19093875"/>
    <w:rsid w:val="19157D18"/>
    <w:rsid w:val="19180693"/>
    <w:rsid w:val="191F3E8D"/>
    <w:rsid w:val="1925096F"/>
    <w:rsid w:val="192664EE"/>
    <w:rsid w:val="192755C9"/>
    <w:rsid w:val="192D514B"/>
    <w:rsid w:val="192E154C"/>
    <w:rsid w:val="19333560"/>
    <w:rsid w:val="19376AFE"/>
    <w:rsid w:val="19414B97"/>
    <w:rsid w:val="19432E9B"/>
    <w:rsid w:val="194B56AB"/>
    <w:rsid w:val="194D5F17"/>
    <w:rsid w:val="194F4B12"/>
    <w:rsid w:val="194F63F5"/>
    <w:rsid w:val="195214E6"/>
    <w:rsid w:val="195711D2"/>
    <w:rsid w:val="195A7BD6"/>
    <w:rsid w:val="195D2555"/>
    <w:rsid w:val="19607DA0"/>
    <w:rsid w:val="196560A7"/>
    <w:rsid w:val="196D31ED"/>
    <w:rsid w:val="196F3042"/>
    <w:rsid w:val="197303CB"/>
    <w:rsid w:val="197A1953"/>
    <w:rsid w:val="197A4F59"/>
    <w:rsid w:val="197D7FCB"/>
    <w:rsid w:val="197E213A"/>
    <w:rsid w:val="197E51D9"/>
    <w:rsid w:val="19844E04"/>
    <w:rsid w:val="19893B9C"/>
    <w:rsid w:val="199E1ABC"/>
    <w:rsid w:val="19A8293B"/>
    <w:rsid w:val="19AC7A30"/>
    <w:rsid w:val="19B003FE"/>
    <w:rsid w:val="19B0257A"/>
    <w:rsid w:val="19B32BE3"/>
    <w:rsid w:val="19BA2203"/>
    <w:rsid w:val="19BA5B8F"/>
    <w:rsid w:val="19BF0118"/>
    <w:rsid w:val="19C26160"/>
    <w:rsid w:val="19D02286"/>
    <w:rsid w:val="19DF29F9"/>
    <w:rsid w:val="19E620CD"/>
    <w:rsid w:val="19ED2912"/>
    <w:rsid w:val="19FA7CCE"/>
    <w:rsid w:val="19FC224E"/>
    <w:rsid w:val="1A0E60A8"/>
    <w:rsid w:val="1A11228E"/>
    <w:rsid w:val="1A134258"/>
    <w:rsid w:val="1A143B2C"/>
    <w:rsid w:val="1A1B271A"/>
    <w:rsid w:val="1A1D3F50"/>
    <w:rsid w:val="1A22637F"/>
    <w:rsid w:val="1A255022"/>
    <w:rsid w:val="1A286979"/>
    <w:rsid w:val="1A404921"/>
    <w:rsid w:val="1A4D77FC"/>
    <w:rsid w:val="1A4E1DF3"/>
    <w:rsid w:val="1A556F6E"/>
    <w:rsid w:val="1A58629A"/>
    <w:rsid w:val="1A592616"/>
    <w:rsid w:val="1A5E39E2"/>
    <w:rsid w:val="1A5F5633"/>
    <w:rsid w:val="1A6E0C72"/>
    <w:rsid w:val="1A740461"/>
    <w:rsid w:val="1A7A2BE2"/>
    <w:rsid w:val="1A7C5EDA"/>
    <w:rsid w:val="1A8135ED"/>
    <w:rsid w:val="1A820F63"/>
    <w:rsid w:val="1A8D1BCF"/>
    <w:rsid w:val="1A912EEE"/>
    <w:rsid w:val="1A997B18"/>
    <w:rsid w:val="1A9C6710"/>
    <w:rsid w:val="1A9E3A87"/>
    <w:rsid w:val="1AA645D9"/>
    <w:rsid w:val="1AA87E5D"/>
    <w:rsid w:val="1AAC10B8"/>
    <w:rsid w:val="1AB466BF"/>
    <w:rsid w:val="1AB616D9"/>
    <w:rsid w:val="1AB97219"/>
    <w:rsid w:val="1ABD361D"/>
    <w:rsid w:val="1ABF4D1C"/>
    <w:rsid w:val="1AC04421"/>
    <w:rsid w:val="1ACE6EA7"/>
    <w:rsid w:val="1AD339E7"/>
    <w:rsid w:val="1AD512C3"/>
    <w:rsid w:val="1AD67034"/>
    <w:rsid w:val="1AEF165B"/>
    <w:rsid w:val="1AEF5FE3"/>
    <w:rsid w:val="1AFF61CA"/>
    <w:rsid w:val="1B0131D6"/>
    <w:rsid w:val="1B016F75"/>
    <w:rsid w:val="1B045EF3"/>
    <w:rsid w:val="1B0D439F"/>
    <w:rsid w:val="1B0F597A"/>
    <w:rsid w:val="1B174707"/>
    <w:rsid w:val="1B1E7405"/>
    <w:rsid w:val="1B2079C0"/>
    <w:rsid w:val="1B251FBD"/>
    <w:rsid w:val="1B352F97"/>
    <w:rsid w:val="1B3605A7"/>
    <w:rsid w:val="1B394617"/>
    <w:rsid w:val="1B397DD1"/>
    <w:rsid w:val="1B47057E"/>
    <w:rsid w:val="1B4F6459"/>
    <w:rsid w:val="1B5676D7"/>
    <w:rsid w:val="1B567C46"/>
    <w:rsid w:val="1B5B16BE"/>
    <w:rsid w:val="1B5C4949"/>
    <w:rsid w:val="1B600F6A"/>
    <w:rsid w:val="1B65327C"/>
    <w:rsid w:val="1B687462"/>
    <w:rsid w:val="1B6E5E85"/>
    <w:rsid w:val="1B7324D2"/>
    <w:rsid w:val="1B770817"/>
    <w:rsid w:val="1B792196"/>
    <w:rsid w:val="1B7F2AF5"/>
    <w:rsid w:val="1B810EE3"/>
    <w:rsid w:val="1B883468"/>
    <w:rsid w:val="1B892C29"/>
    <w:rsid w:val="1B905864"/>
    <w:rsid w:val="1BA16D2B"/>
    <w:rsid w:val="1BA54F80"/>
    <w:rsid w:val="1BAA59DF"/>
    <w:rsid w:val="1BB043CA"/>
    <w:rsid w:val="1BBE41D7"/>
    <w:rsid w:val="1BBF3289"/>
    <w:rsid w:val="1BC40802"/>
    <w:rsid w:val="1BD97324"/>
    <w:rsid w:val="1BDA7E41"/>
    <w:rsid w:val="1BDB68C3"/>
    <w:rsid w:val="1BDC4FC4"/>
    <w:rsid w:val="1BE212B3"/>
    <w:rsid w:val="1BE75809"/>
    <w:rsid w:val="1BE83E54"/>
    <w:rsid w:val="1BE9537A"/>
    <w:rsid w:val="1BEB5AC6"/>
    <w:rsid w:val="1BED25EA"/>
    <w:rsid w:val="1BED7657"/>
    <w:rsid w:val="1BF56719"/>
    <w:rsid w:val="1BF956CF"/>
    <w:rsid w:val="1BFB7E8A"/>
    <w:rsid w:val="1C055719"/>
    <w:rsid w:val="1C0876C1"/>
    <w:rsid w:val="1C142692"/>
    <w:rsid w:val="1C17697D"/>
    <w:rsid w:val="1C1A5E30"/>
    <w:rsid w:val="1C2010A0"/>
    <w:rsid w:val="1C2E32A6"/>
    <w:rsid w:val="1C427076"/>
    <w:rsid w:val="1C484298"/>
    <w:rsid w:val="1C490391"/>
    <w:rsid w:val="1C4B44BC"/>
    <w:rsid w:val="1C4E4ECC"/>
    <w:rsid w:val="1C4F2A34"/>
    <w:rsid w:val="1C5D6D87"/>
    <w:rsid w:val="1C611DFF"/>
    <w:rsid w:val="1C6175A6"/>
    <w:rsid w:val="1C6E67AE"/>
    <w:rsid w:val="1C6F0D48"/>
    <w:rsid w:val="1C73363F"/>
    <w:rsid w:val="1C7927F1"/>
    <w:rsid w:val="1C840A52"/>
    <w:rsid w:val="1C8838BA"/>
    <w:rsid w:val="1C932114"/>
    <w:rsid w:val="1C932998"/>
    <w:rsid w:val="1C965749"/>
    <w:rsid w:val="1C97215D"/>
    <w:rsid w:val="1C9D57BD"/>
    <w:rsid w:val="1CA87A52"/>
    <w:rsid w:val="1CAC2CB7"/>
    <w:rsid w:val="1CAE64BA"/>
    <w:rsid w:val="1CB264D0"/>
    <w:rsid w:val="1CB85F63"/>
    <w:rsid w:val="1CBE5B46"/>
    <w:rsid w:val="1CC56D2F"/>
    <w:rsid w:val="1CE16F9E"/>
    <w:rsid w:val="1CE72C15"/>
    <w:rsid w:val="1CF40B9E"/>
    <w:rsid w:val="1CF96B11"/>
    <w:rsid w:val="1CFD3CE6"/>
    <w:rsid w:val="1D05701F"/>
    <w:rsid w:val="1D0F188D"/>
    <w:rsid w:val="1D181B85"/>
    <w:rsid w:val="1D1C6EFF"/>
    <w:rsid w:val="1D1F4E9C"/>
    <w:rsid w:val="1D212871"/>
    <w:rsid w:val="1D361C80"/>
    <w:rsid w:val="1D3802BC"/>
    <w:rsid w:val="1D4020EB"/>
    <w:rsid w:val="1D467194"/>
    <w:rsid w:val="1D5357B3"/>
    <w:rsid w:val="1D552567"/>
    <w:rsid w:val="1D596885"/>
    <w:rsid w:val="1D5B5AA1"/>
    <w:rsid w:val="1D5B7056"/>
    <w:rsid w:val="1D660A59"/>
    <w:rsid w:val="1D6725A8"/>
    <w:rsid w:val="1D763860"/>
    <w:rsid w:val="1D7C0366"/>
    <w:rsid w:val="1D861C7D"/>
    <w:rsid w:val="1D8E71B6"/>
    <w:rsid w:val="1D9231FD"/>
    <w:rsid w:val="1D927726"/>
    <w:rsid w:val="1D951DF0"/>
    <w:rsid w:val="1D9A43BC"/>
    <w:rsid w:val="1D9E63E9"/>
    <w:rsid w:val="1DA10D1D"/>
    <w:rsid w:val="1DA66116"/>
    <w:rsid w:val="1DA67F64"/>
    <w:rsid w:val="1DAB521A"/>
    <w:rsid w:val="1DB046A2"/>
    <w:rsid w:val="1DB173CE"/>
    <w:rsid w:val="1DB5105A"/>
    <w:rsid w:val="1DB60133"/>
    <w:rsid w:val="1DB65305"/>
    <w:rsid w:val="1DB840AB"/>
    <w:rsid w:val="1DBA49EB"/>
    <w:rsid w:val="1DBB2C0A"/>
    <w:rsid w:val="1DC22CBF"/>
    <w:rsid w:val="1DC9308E"/>
    <w:rsid w:val="1DD1747E"/>
    <w:rsid w:val="1DD727D6"/>
    <w:rsid w:val="1DD763B6"/>
    <w:rsid w:val="1DDC02FC"/>
    <w:rsid w:val="1DDC108B"/>
    <w:rsid w:val="1DEE7CF7"/>
    <w:rsid w:val="1DF045FE"/>
    <w:rsid w:val="1DF27F59"/>
    <w:rsid w:val="1DF5319E"/>
    <w:rsid w:val="1DFD0625"/>
    <w:rsid w:val="1DFD38A2"/>
    <w:rsid w:val="1DFF1A0E"/>
    <w:rsid w:val="1E0008C9"/>
    <w:rsid w:val="1E033DFC"/>
    <w:rsid w:val="1E0F2FEF"/>
    <w:rsid w:val="1E0F7B22"/>
    <w:rsid w:val="1E114F52"/>
    <w:rsid w:val="1E1C2DF5"/>
    <w:rsid w:val="1E1D13F2"/>
    <w:rsid w:val="1E205477"/>
    <w:rsid w:val="1E2F53D8"/>
    <w:rsid w:val="1E320A01"/>
    <w:rsid w:val="1E325B96"/>
    <w:rsid w:val="1E350CA5"/>
    <w:rsid w:val="1E353F32"/>
    <w:rsid w:val="1E363964"/>
    <w:rsid w:val="1E3B4997"/>
    <w:rsid w:val="1E43651D"/>
    <w:rsid w:val="1E4478C4"/>
    <w:rsid w:val="1E4531C4"/>
    <w:rsid w:val="1E506F85"/>
    <w:rsid w:val="1E520595"/>
    <w:rsid w:val="1E5B61CE"/>
    <w:rsid w:val="1E5E0B01"/>
    <w:rsid w:val="1E6C3238"/>
    <w:rsid w:val="1E7964C0"/>
    <w:rsid w:val="1E7E0571"/>
    <w:rsid w:val="1E877173"/>
    <w:rsid w:val="1E887CC3"/>
    <w:rsid w:val="1E9305C3"/>
    <w:rsid w:val="1E962DC7"/>
    <w:rsid w:val="1EA55C2D"/>
    <w:rsid w:val="1EB742A5"/>
    <w:rsid w:val="1EB9343A"/>
    <w:rsid w:val="1EBB1926"/>
    <w:rsid w:val="1EC447DA"/>
    <w:rsid w:val="1ECA752C"/>
    <w:rsid w:val="1ED12401"/>
    <w:rsid w:val="1ED30A2D"/>
    <w:rsid w:val="1ED7065D"/>
    <w:rsid w:val="1EDB4112"/>
    <w:rsid w:val="1EE057A4"/>
    <w:rsid w:val="1EE34F45"/>
    <w:rsid w:val="1EE53DA2"/>
    <w:rsid w:val="1EE90515"/>
    <w:rsid w:val="1EE922B8"/>
    <w:rsid w:val="1EEE2C1C"/>
    <w:rsid w:val="1EF5213F"/>
    <w:rsid w:val="1EFB12D5"/>
    <w:rsid w:val="1EFC25D6"/>
    <w:rsid w:val="1F0A363E"/>
    <w:rsid w:val="1F103A91"/>
    <w:rsid w:val="1F153F4B"/>
    <w:rsid w:val="1F234701"/>
    <w:rsid w:val="1F2915F9"/>
    <w:rsid w:val="1F3464FE"/>
    <w:rsid w:val="1F4B6C84"/>
    <w:rsid w:val="1F5701D1"/>
    <w:rsid w:val="1F5B35CD"/>
    <w:rsid w:val="1F6301FC"/>
    <w:rsid w:val="1F6E3CDF"/>
    <w:rsid w:val="1F710BB1"/>
    <w:rsid w:val="1F7A578E"/>
    <w:rsid w:val="1F7C5AAA"/>
    <w:rsid w:val="1F7C77B8"/>
    <w:rsid w:val="1F7D573D"/>
    <w:rsid w:val="1F7F3B41"/>
    <w:rsid w:val="1F884358"/>
    <w:rsid w:val="1F8D1F13"/>
    <w:rsid w:val="1F8E13A8"/>
    <w:rsid w:val="1F8F3F0B"/>
    <w:rsid w:val="1F901EA7"/>
    <w:rsid w:val="1F950DE2"/>
    <w:rsid w:val="1FB6369B"/>
    <w:rsid w:val="1FB718AD"/>
    <w:rsid w:val="1FC17751"/>
    <w:rsid w:val="1FC7051B"/>
    <w:rsid w:val="1FC758B2"/>
    <w:rsid w:val="1FC868D6"/>
    <w:rsid w:val="1FCD2E98"/>
    <w:rsid w:val="1FCF1C1D"/>
    <w:rsid w:val="1FD04371"/>
    <w:rsid w:val="1FD528C2"/>
    <w:rsid w:val="1FD96838"/>
    <w:rsid w:val="1FDF3F78"/>
    <w:rsid w:val="1FE50B62"/>
    <w:rsid w:val="1FE95AC6"/>
    <w:rsid w:val="1FED3F40"/>
    <w:rsid w:val="1FEF345E"/>
    <w:rsid w:val="1FFB052A"/>
    <w:rsid w:val="1FFE0BAE"/>
    <w:rsid w:val="1FFE6CD2"/>
    <w:rsid w:val="20021A63"/>
    <w:rsid w:val="200C3BFB"/>
    <w:rsid w:val="201820E1"/>
    <w:rsid w:val="20196258"/>
    <w:rsid w:val="20205E65"/>
    <w:rsid w:val="20260F00"/>
    <w:rsid w:val="20270224"/>
    <w:rsid w:val="20273B26"/>
    <w:rsid w:val="20282555"/>
    <w:rsid w:val="2032049C"/>
    <w:rsid w:val="203502FF"/>
    <w:rsid w:val="203561AF"/>
    <w:rsid w:val="203634D8"/>
    <w:rsid w:val="203C307F"/>
    <w:rsid w:val="2042588D"/>
    <w:rsid w:val="20472AD3"/>
    <w:rsid w:val="20483EE0"/>
    <w:rsid w:val="204B2ABB"/>
    <w:rsid w:val="20561C3B"/>
    <w:rsid w:val="205A3EEF"/>
    <w:rsid w:val="206432FF"/>
    <w:rsid w:val="206703A7"/>
    <w:rsid w:val="20694C56"/>
    <w:rsid w:val="2073687E"/>
    <w:rsid w:val="207555C3"/>
    <w:rsid w:val="20787E17"/>
    <w:rsid w:val="20823EE5"/>
    <w:rsid w:val="208862DA"/>
    <w:rsid w:val="208A032A"/>
    <w:rsid w:val="208F45D4"/>
    <w:rsid w:val="208F6CA0"/>
    <w:rsid w:val="20947881"/>
    <w:rsid w:val="209D366C"/>
    <w:rsid w:val="20A334E4"/>
    <w:rsid w:val="20AC7C3E"/>
    <w:rsid w:val="20AF07AC"/>
    <w:rsid w:val="20B4199A"/>
    <w:rsid w:val="20B83F8E"/>
    <w:rsid w:val="20B93F2A"/>
    <w:rsid w:val="20BE4538"/>
    <w:rsid w:val="20BF1246"/>
    <w:rsid w:val="20C22534"/>
    <w:rsid w:val="20C4005A"/>
    <w:rsid w:val="20C54297"/>
    <w:rsid w:val="20C5635A"/>
    <w:rsid w:val="20CA3197"/>
    <w:rsid w:val="20CD76A5"/>
    <w:rsid w:val="20D92368"/>
    <w:rsid w:val="20DB0B22"/>
    <w:rsid w:val="20DC786E"/>
    <w:rsid w:val="20E112FC"/>
    <w:rsid w:val="20E543B8"/>
    <w:rsid w:val="20E63719"/>
    <w:rsid w:val="20EA2330"/>
    <w:rsid w:val="20EA59FB"/>
    <w:rsid w:val="20F42821"/>
    <w:rsid w:val="20FA1CCE"/>
    <w:rsid w:val="20FD7484"/>
    <w:rsid w:val="20FE6737"/>
    <w:rsid w:val="21066905"/>
    <w:rsid w:val="210D350A"/>
    <w:rsid w:val="210D6BC0"/>
    <w:rsid w:val="21231F1B"/>
    <w:rsid w:val="212E649E"/>
    <w:rsid w:val="212F0032"/>
    <w:rsid w:val="213276BA"/>
    <w:rsid w:val="213627B5"/>
    <w:rsid w:val="213E6513"/>
    <w:rsid w:val="21470942"/>
    <w:rsid w:val="21471EC6"/>
    <w:rsid w:val="214F0BD8"/>
    <w:rsid w:val="21520636"/>
    <w:rsid w:val="21570ECE"/>
    <w:rsid w:val="215A3C49"/>
    <w:rsid w:val="21657BF8"/>
    <w:rsid w:val="21700ECD"/>
    <w:rsid w:val="21854EB9"/>
    <w:rsid w:val="218617B3"/>
    <w:rsid w:val="2192120D"/>
    <w:rsid w:val="21941D90"/>
    <w:rsid w:val="21B46321"/>
    <w:rsid w:val="21CA1240"/>
    <w:rsid w:val="21CA280D"/>
    <w:rsid w:val="21CA37D6"/>
    <w:rsid w:val="21CD0527"/>
    <w:rsid w:val="21CD16FE"/>
    <w:rsid w:val="21D061AB"/>
    <w:rsid w:val="21D13380"/>
    <w:rsid w:val="21D41E53"/>
    <w:rsid w:val="21D67B41"/>
    <w:rsid w:val="21DA159C"/>
    <w:rsid w:val="21DD3D7F"/>
    <w:rsid w:val="21E5472C"/>
    <w:rsid w:val="21F33CC2"/>
    <w:rsid w:val="21F726B1"/>
    <w:rsid w:val="21F97DDA"/>
    <w:rsid w:val="21FB0AE1"/>
    <w:rsid w:val="21FF5A24"/>
    <w:rsid w:val="2203576F"/>
    <w:rsid w:val="2205091A"/>
    <w:rsid w:val="220B7F0B"/>
    <w:rsid w:val="222A2A28"/>
    <w:rsid w:val="222D5FB4"/>
    <w:rsid w:val="22335B48"/>
    <w:rsid w:val="224A27E1"/>
    <w:rsid w:val="22531AE5"/>
    <w:rsid w:val="225643F2"/>
    <w:rsid w:val="225978A1"/>
    <w:rsid w:val="225B69BA"/>
    <w:rsid w:val="2268192E"/>
    <w:rsid w:val="226F091C"/>
    <w:rsid w:val="22714564"/>
    <w:rsid w:val="227222C8"/>
    <w:rsid w:val="22811EA7"/>
    <w:rsid w:val="22834738"/>
    <w:rsid w:val="22880D46"/>
    <w:rsid w:val="22890DA5"/>
    <w:rsid w:val="228E44F3"/>
    <w:rsid w:val="22962320"/>
    <w:rsid w:val="229623CE"/>
    <w:rsid w:val="22971276"/>
    <w:rsid w:val="229C56D0"/>
    <w:rsid w:val="229D4DDD"/>
    <w:rsid w:val="22A8538B"/>
    <w:rsid w:val="22AF3D64"/>
    <w:rsid w:val="22AF53B3"/>
    <w:rsid w:val="22B16099"/>
    <w:rsid w:val="22C031F8"/>
    <w:rsid w:val="22C449BE"/>
    <w:rsid w:val="22C57F5D"/>
    <w:rsid w:val="22ED2B1D"/>
    <w:rsid w:val="22EE2949"/>
    <w:rsid w:val="22EE39DC"/>
    <w:rsid w:val="22F17DA2"/>
    <w:rsid w:val="22F24EAF"/>
    <w:rsid w:val="22F27B28"/>
    <w:rsid w:val="22FC2CAA"/>
    <w:rsid w:val="23082EBD"/>
    <w:rsid w:val="230950A0"/>
    <w:rsid w:val="23096864"/>
    <w:rsid w:val="230E0122"/>
    <w:rsid w:val="231717DB"/>
    <w:rsid w:val="2318643B"/>
    <w:rsid w:val="2318777A"/>
    <w:rsid w:val="231D4894"/>
    <w:rsid w:val="232C3B45"/>
    <w:rsid w:val="232D4A27"/>
    <w:rsid w:val="23307C29"/>
    <w:rsid w:val="23385A0C"/>
    <w:rsid w:val="233F1AF7"/>
    <w:rsid w:val="23403E1D"/>
    <w:rsid w:val="234174BF"/>
    <w:rsid w:val="23422AFB"/>
    <w:rsid w:val="234644E0"/>
    <w:rsid w:val="23505636"/>
    <w:rsid w:val="23623B5A"/>
    <w:rsid w:val="236A40ED"/>
    <w:rsid w:val="236B0FD3"/>
    <w:rsid w:val="23734BBB"/>
    <w:rsid w:val="237F0315"/>
    <w:rsid w:val="2388450C"/>
    <w:rsid w:val="23927244"/>
    <w:rsid w:val="23977B4D"/>
    <w:rsid w:val="239F0404"/>
    <w:rsid w:val="23AD1279"/>
    <w:rsid w:val="23B00EF1"/>
    <w:rsid w:val="23B95E70"/>
    <w:rsid w:val="23BE6B28"/>
    <w:rsid w:val="23C212E7"/>
    <w:rsid w:val="23C5141E"/>
    <w:rsid w:val="23CE4AD3"/>
    <w:rsid w:val="23D40657"/>
    <w:rsid w:val="23D93A5B"/>
    <w:rsid w:val="23E5240B"/>
    <w:rsid w:val="23E822B1"/>
    <w:rsid w:val="23EB5117"/>
    <w:rsid w:val="23EC5D1E"/>
    <w:rsid w:val="23EE3D82"/>
    <w:rsid w:val="23EF5723"/>
    <w:rsid w:val="23F127DA"/>
    <w:rsid w:val="23F56B1F"/>
    <w:rsid w:val="24045D87"/>
    <w:rsid w:val="24052E78"/>
    <w:rsid w:val="24084702"/>
    <w:rsid w:val="240E7578"/>
    <w:rsid w:val="24123DA9"/>
    <w:rsid w:val="241A0F99"/>
    <w:rsid w:val="241C01AD"/>
    <w:rsid w:val="24206D61"/>
    <w:rsid w:val="24231F59"/>
    <w:rsid w:val="24334A9E"/>
    <w:rsid w:val="243B1672"/>
    <w:rsid w:val="24405F3A"/>
    <w:rsid w:val="24410021"/>
    <w:rsid w:val="24417C14"/>
    <w:rsid w:val="2445127D"/>
    <w:rsid w:val="244902FE"/>
    <w:rsid w:val="24550FA2"/>
    <w:rsid w:val="245554B9"/>
    <w:rsid w:val="245636BF"/>
    <w:rsid w:val="245C4C5C"/>
    <w:rsid w:val="246776AB"/>
    <w:rsid w:val="246D00D0"/>
    <w:rsid w:val="24753EF8"/>
    <w:rsid w:val="248542C8"/>
    <w:rsid w:val="24882B80"/>
    <w:rsid w:val="248B0A06"/>
    <w:rsid w:val="248B343C"/>
    <w:rsid w:val="248E043E"/>
    <w:rsid w:val="24906E2C"/>
    <w:rsid w:val="249366A6"/>
    <w:rsid w:val="2494033E"/>
    <w:rsid w:val="24975A23"/>
    <w:rsid w:val="24A570EF"/>
    <w:rsid w:val="24A736F2"/>
    <w:rsid w:val="24AB2EFD"/>
    <w:rsid w:val="24B05601"/>
    <w:rsid w:val="24B4796E"/>
    <w:rsid w:val="24B64A7C"/>
    <w:rsid w:val="24BA707C"/>
    <w:rsid w:val="24C31D74"/>
    <w:rsid w:val="24C63DAC"/>
    <w:rsid w:val="24C832F8"/>
    <w:rsid w:val="24CD499F"/>
    <w:rsid w:val="24D66BAD"/>
    <w:rsid w:val="24D86CCB"/>
    <w:rsid w:val="24DB767F"/>
    <w:rsid w:val="24E171E0"/>
    <w:rsid w:val="24E24220"/>
    <w:rsid w:val="24E243EA"/>
    <w:rsid w:val="24E34511"/>
    <w:rsid w:val="24F1163A"/>
    <w:rsid w:val="24FA2B70"/>
    <w:rsid w:val="24FB2E91"/>
    <w:rsid w:val="250A79D7"/>
    <w:rsid w:val="250B2F3C"/>
    <w:rsid w:val="25146B20"/>
    <w:rsid w:val="251A3D6A"/>
    <w:rsid w:val="251B1C76"/>
    <w:rsid w:val="251C17B2"/>
    <w:rsid w:val="25240F82"/>
    <w:rsid w:val="25262D8D"/>
    <w:rsid w:val="252D6328"/>
    <w:rsid w:val="25352160"/>
    <w:rsid w:val="25383126"/>
    <w:rsid w:val="253D0D41"/>
    <w:rsid w:val="25411191"/>
    <w:rsid w:val="254171A3"/>
    <w:rsid w:val="25451C32"/>
    <w:rsid w:val="25470C0C"/>
    <w:rsid w:val="25472CDC"/>
    <w:rsid w:val="254E446C"/>
    <w:rsid w:val="25544501"/>
    <w:rsid w:val="255665C7"/>
    <w:rsid w:val="255721C3"/>
    <w:rsid w:val="255A63A1"/>
    <w:rsid w:val="256505BD"/>
    <w:rsid w:val="256A58A4"/>
    <w:rsid w:val="256C3D69"/>
    <w:rsid w:val="256E747A"/>
    <w:rsid w:val="2570337C"/>
    <w:rsid w:val="257513A3"/>
    <w:rsid w:val="257C522C"/>
    <w:rsid w:val="257F1B1A"/>
    <w:rsid w:val="2584425C"/>
    <w:rsid w:val="25852C6A"/>
    <w:rsid w:val="25954AA0"/>
    <w:rsid w:val="25975712"/>
    <w:rsid w:val="259C2622"/>
    <w:rsid w:val="25A42050"/>
    <w:rsid w:val="25A920CF"/>
    <w:rsid w:val="25A92A47"/>
    <w:rsid w:val="25B36E4F"/>
    <w:rsid w:val="25B47B0F"/>
    <w:rsid w:val="25B63EE9"/>
    <w:rsid w:val="25BA2728"/>
    <w:rsid w:val="25C1612A"/>
    <w:rsid w:val="25C74D49"/>
    <w:rsid w:val="25CC65BB"/>
    <w:rsid w:val="25D83FA9"/>
    <w:rsid w:val="25DD70A9"/>
    <w:rsid w:val="25E326B2"/>
    <w:rsid w:val="25F16AB4"/>
    <w:rsid w:val="25F211C5"/>
    <w:rsid w:val="25F71302"/>
    <w:rsid w:val="25F846D4"/>
    <w:rsid w:val="25FD723D"/>
    <w:rsid w:val="25FD729E"/>
    <w:rsid w:val="2603054D"/>
    <w:rsid w:val="2605113A"/>
    <w:rsid w:val="26061884"/>
    <w:rsid w:val="261A3D91"/>
    <w:rsid w:val="261C6242"/>
    <w:rsid w:val="261D5F1C"/>
    <w:rsid w:val="261E7D0B"/>
    <w:rsid w:val="262011D5"/>
    <w:rsid w:val="262275D1"/>
    <w:rsid w:val="2630217C"/>
    <w:rsid w:val="263E7016"/>
    <w:rsid w:val="263E73E7"/>
    <w:rsid w:val="26572046"/>
    <w:rsid w:val="265976FB"/>
    <w:rsid w:val="265A320F"/>
    <w:rsid w:val="265C58B3"/>
    <w:rsid w:val="26605580"/>
    <w:rsid w:val="26655212"/>
    <w:rsid w:val="26675F25"/>
    <w:rsid w:val="26686725"/>
    <w:rsid w:val="267663F9"/>
    <w:rsid w:val="26767784"/>
    <w:rsid w:val="26784270"/>
    <w:rsid w:val="268221DB"/>
    <w:rsid w:val="26884046"/>
    <w:rsid w:val="26887D7C"/>
    <w:rsid w:val="268A0EC8"/>
    <w:rsid w:val="2693649F"/>
    <w:rsid w:val="26984E2B"/>
    <w:rsid w:val="26993A9E"/>
    <w:rsid w:val="26A12EEC"/>
    <w:rsid w:val="26A16E5D"/>
    <w:rsid w:val="26A7025E"/>
    <w:rsid w:val="26AA3870"/>
    <w:rsid w:val="26B62676"/>
    <w:rsid w:val="26C2738A"/>
    <w:rsid w:val="26C3253E"/>
    <w:rsid w:val="26D5490E"/>
    <w:rsid w:val="26DD7F07"/>
    <w:rsid w:val="26E2398C"/>
    <w:rsid w:val="26E35557"/>
    <w:rsid w:val="26EA5383"/>
    <w:rsid w:val="26EC30B5"/>
    <w:rsid w:val="26F50AF6"/>
    <w:rsid w:val="26F9364B"/>
    <w:rsid w:val="26FD280E"/>
    <w:rsid w:val="27022AB8"/>
    <w:rsid w:val="270C13CE"/>
    <w:rsid w:val="27102996"/>
    <w:rsid w:val="27234462"/>
    <w:rsid w:val="2726689D"/>
    <w:rsid w:val="27312369"/>
    <w:rsid w:val="273367DA"/>
    <w:rsid w:val="27353546"/>
    <w:rsid w:val="273C0A20"/>
    <w:rsid w:val="273D0B66"/>
    <w:rsid w:val="27425130"/>
    <w:rsid w:val="274664DC"/>
    <w:rsid w:val="274C0242"/>
    <w:rsid w:val="274D0A55"/>
    <w:rsid w:val="274F0E1C"/>
    <w:rsid w:val="27512202"/>
    <w:rsid w:val="2753463D"/>
    <w:rsid w:val="275814FC"/>
    <w:rsid w:val="275A6A71"/>
    <w:rsid w:val="275C7794"/>
    <w:rsid w:val="2764526E"/>
    <w:rsid w:val="27662F92"/>
    <w:rsid w:val="276D7292"/>
    <w:rsid w:val="27704003"/>
    <w:rsid w:val="27802801"/>
    <w:rsid w:val="2789084D"/>
    <w:rsid w:val="27943723"/>
    <w:rsid w:val="279C1FEF"/>
    <w:rsid w:val="27AB2DB4"/>
    <w:rsid w:val="27B47111"/>
    <w:rsid w:val="27B54568"/>
    <w:rsid w:val="27B85025"/>
    <w:rsid w:val="27BD4D96"/>
    <w:rsid w:val="27C60B5C"/>
    <w:rsid w:val="27C82F01"/>
    <w:rsid w:val="27CA43CF"/>
    <w:rsid w:val="27CF275D"/>
    <w:rsid w:val="27D17308"/>
    <w:rsid w:val="27D53D70"/>
    <w:rsid w:val="27DA4607"/>
    <w:rsid w:val="27DC037F"/>
    <w:rsid w:val="27DF23B1"/>
    <w:rsid w:val="27E17DFF"/>
    <w:rsid w:val="27E20BE1"/>
    <w:rsid w:val="27E268D7"/>
    <w:rsid w:val="27E31A2E"/>
    <w:rsid w:val="27E46A67"/>
    <w:rsid w:val="27E666A0"/>
    <w:rsid w:val="27EA6CC1"/>
    <w:rsid w:val="27EF01FE"/>
    <w:rsid w:val="27EF101C"/>
    <w:rsid w:val="27EF442A"/>
    <w:rsid w:val="27FD085A"/>
    <w:rsid w:val="27FE25C4"/>
    <w:rsid w:val="280847CA"/>
    <w:rsid w:val="28087664"/>
    <w:rsid w:val="280D2E93"/>
    <w:rsid w:val="28110044"/>
    <w:rsid w:val="28141D23"/>
    <w:rsid w:val="281D15B4"/>
    <w:rsid w:val="28221817"/>
    <w:rsid w:val="282D63C4"/>
    <w:rsid w:val="283F4CAA"/>
    <w:rsid w:val="2844194E"/>
    <w:rsid w:val="28490EBF"/>
    <w:rsid w:val="28504854"/>
    <w:rsid w:val="285948CF"/>
    <w:rsid w:val="285E4CDB"/>
    <w:rsid w:val="285F42EB"/>
    <w:rsid w:val="286514A0"/>
    <w:rsid w:val="28681C13"/>
    <w:rsid w:val="286F66A2"/>
    <w:rsid w:val="28785865"/>
    <w:rsid w:val="28940D3B"/>
    <w:rsid w:val="289544F3"/>
    <w:rsid w:val="28986B17"/>
    <w:rsid w:val="28A442FD"/>
    <w:rsid w:val="28A72321"/>
    <w:rsid w:val="28A9293B"/>
    <w:rsid w:val="28AE6062"/>
    <w:rsid w:val="28B11EE6"/>
    <w:rsid w:val="28B121EF"/>
    <w:rsid w:val="28B465D8"/>
    <w:rsid w:val="28B70C27"/>
    <w:rsid w:val="28B76530"/>
    <w:rsid w:val="28BA7836"/>
    <w:rsid w:val="28BF7ED3"/>
    <w:rsid w:val="28C12A0C"/>
    <w:rsid w:val="28C2197F"/>
    <w:rsid w:val="28C5290C"/>
    <w:rsid w:val="28D02A74"/>
    <w:rsid w:val="28D177B8"/>
    <w:rsid w:val="28DC0EC0"/>
    <w:rsid w:val="28E079FB"/>
    <w:rsid w:val="28E82D54"/>
    <w:rsid w:val="28EA2D3A"/>
    <w:rsid w:val="28F20F4C"/>
    <w:rsid w:val="28F65471"/>
    <w:rsid w:val="28F9077A"/>
    <w:rsid w:val="28F93AB3"/>
    <w:rsid w:val="28FB105E"/>
    <w:rsid w:val="29052DC3"/>
    <w:rsid w:val="29060C75"/>
    <w:rsid w:val="290A565E"/>
    <w:rsid w:val="290B3F61"/>
    <w:rsid w:val="291F0AAB"/>
    <w:rsid w:val="291F3F63"/>
    <w:rsid w:val="292024ED"/>
    <w:rsid w:val="29224B74"/>
    <w:rsid w:val="29267CAD"/>
    <w:rsid w:val="29291A97"/>
    <w:rsid w:val="29296063"/>
    <w:rsid w:val="292A06EB"/>
    <w:rsid w:val="292A2C02"/>
    <w:rsid w:val="29324531"/>
    <w:rsid w:val="29342A37"/>
    <w:rsid w:val="2940547A"/>
    <w:rsid w:val="29425B0B"/>
    <w:rsid w:val="2944354B"/>
    <w:rsid w:val="294837F2"/>
    <w:rsid w:val="294E6D0B"/>
    <w:rsid w:val="29504EBA"/>
    <w:rsid w:val="295219A6"/>
    <w:rsid w:val="295A4168"/>
    <w:rsid w:val="29712E0B"/>
    <w:rsid w:val="29750868"/>
    <w:rsid w:val="297C49A4"/>
    <w:rsid w:val="297F5E64"/>
    <w:rsid w:val="29824698"/>
    <w:rsid w:val="29890E5B"/>
    <w:rsid w:val="298C0695"/>
    <w:rsid w:val="299C5958"/>
    <w:rsid w:val="29A3292C"/>
    <w:rsid w:val="29A33E08"/>
    <w:rsid w:val="29B27B49"/>
    <w:rsid w:val="29B54344"/>
    <w:rsid w:val="29BC6D5B"/>
    <w:rsid w:val="29BF1DF5"/>
    <w:rsid w:val="29C4731D"/>
    <w:rsid w:val="29CA6EA6"/>
    <w:rsid w:val="29CA787B"/>
    <w:rsid w:val="29CB509C"/>
    <w:rsid w:val="29D250CB"/>
    <w:rsid w:val="29D86A7F"/>
    <w:rsid w:val="29D90EEE"/>
    <w:rsid w:val="29DC6C80"/>
    <w:rsid w:val="29E12F4E"/>
    <w:rsid w:val="29E510F0"/>
    <w:rsid w:val="29EA541E"/>
    <w:rsid w:val="29EE62D5"/>
    <w:rsid w:val="29F06F6A"/>
    <w:rsid w:val="29F30DDB"/>
    <w:rsid w:val="29F8141A"/>
    <w:rsid w:val="29FB2613"/>
    <w:rsid w:val="29FB7F12"/>
    <w:rsid w:val="29FC310C"/>
    <w:rsid w:val="2A0140CD"/>
    <w:rsid w:val="2A0822D1"/>
    <w:rsid w:val="2A09769B"/>
    <w:rsid w:val="2A0D2AA5"/>
    <w:rsid w:val="2A116CCF"/>
    <w:rsid w:val="2A121344"/>
    <w:rsid w:val="2A1750BB"/>
    <w:rsid w:val="2A2356C2"/>
    <w:rsid w:val="2A301CF4"/>
    <w:rsid w:val="2A37105A"/>
    <w:rsid w:val="2A3D0244"/>
    <w:rsid w:val="2A3D21DE"/>
    <w:rsid w:val="2A3F5392"/>
    <w:rsid w:val="2A435AF3"/>
    <w:rsid w:val="2A4775F8"/>
    <w:rsid w:val="2A4A2F2C"/>
    <w:rsid w:val="2A4A3F4F"/>
    <w:rsid w:val="2A536790"/>
    <w:rsid w:val="2A564E60"/>
    <w:rsid w:val="2A5E4F8A"/>
    <w:rsid w:val="2A5F5834"/>
    <w:rsid w:val="2A670FF2"/>
    <w:rsid w:val="2A6B463B"/>
    <w:rsid w:val="2A6D00FC"/>
    <w:rsid w:val="2A7228D5"/>
    <w:rsid w:val="2A7F22E8"/>
    <w:rsid w:val="2A812FFC"/>
    <w:rsid w:val="2A8316C7"/>
    <w:rsid w:val="2A844CE7"/>
    <w:rsid w:val="2A861A8B"/>
    <w:rsid w:val="2A971114"/>
    <w:rsid w:val="2A9A704F"/>
    <w:rsid w:val="2A9A75A9"/>
    <w:rsid w:val="2A9C4CE5"/>
    <w:rsid w:val="2A9F1298"/>
    <w:rsid w:val="2AA54580"/>
    <w:rsid w:val="2AB90EB3"/>
    <w:rsid w:val="2ABE1FB8"/>
    <w:rsid w:val="2AC13DD7"/>
    <w:rsid w:val="2AC54AED"/>
    <w:rsid w:val="2AC84BEB"/>
    <w:rsid w:val="2ACF129B"/>
    <w:rsid w:val="2AD03086"/>
    <w:rsid w:val="2AD55135"/>
    <w:rsid w:val="2AD55D15"/>
    <w:rsid w:val="2AD729E2"/>
    <w:rsid w:val="2AD72AF4"/>
    <w:rsid w:val="2AE10551"/>
    <w:rsid w:val="2AE25574"/>
    <w:rsid w:val="2AE45AEE"/>
    <w:rsid w:val="2AE4768F"/>
    <w:rsid w:val="2AED4F1C"/>
    <w:rsid w:val="2AF13D97"/>
    <w:rsid w:val="2AF54342"/>
    <w:rsid w:val="2AF57B44"/>
    <w:rsid w:val="2AFE0733"/>
    <w:rsid w:val="2B041138"/>
    <w:rsid w:val="2B051B52"/>
    <w:rsid w:val="2B0A0444"/>
    <w:rsid w:val="2B0C2F00"/>
    <w:rsid w:val="2B0C72B1"/>
    <w:rsid w:val="2B1060D0"/>
    <w:rsid w:val="2B18080E"/>
    <w:rsid w:val="2B1B5080"/>
    <w:rsid w:val="2B1C1307"/>
    <w:rsid w:val="2B1C3012"/>
    <w:rsid w:val="2B1E2CA2"/>
    <w:rsid w:val="2B270D24"/>
    <w:rsid w:val="2B2C27B8"/>
    <w:rsid w:val="2B335E79"/>
    <w:rsid w:val="2B3C756E"/>
    <w:rsid w:val="2B45265A"/>
    <w:rsid w:val="2B481163"/>
    <w:rsid w:val="2B4D2AF4"/>
    <w:rsid w:val="2B517F38"/>
    <w:rsid w:val="2B580750"/>
    <w:rsid w:val="2B5C621A"/>
    <w:rsid w:val="2B5D00FC"/>
    <w:rsid w:val="2B604B42"/>
    <w:rsid w:val="2B6066E4"/>
    <w:rsid w:val="2B630DBF"/>
    <w:rsid w:val="2B6969E4"/>
    <w:rsid w:val="2B6C6528"/>
    <w:rsid w:val="2B791D82"/>
    <w:rsid w:val="2B8342E2"/>
    <w:rsid w:val="2B85198A"/>
    <w:rsid w:val="2B8C2DC1"/>
    <w:rsid w:val="2B923CE0"/>
    <w:rsid w:val="2B991C99"/>
    <w:rsid w:val="2B9956B4"/>
    <w:rsid w:val="2BA22E9F"/>
    <w:rsid w:val="2BAA522C"/>
    <w:rsid w:val="2BAF6231"/>
    <w:rsid w:val="2BB42E42"/>
    <w:rsid w:val="2BB72620"/>
    <w:rsid w:val="2BB72E35"/>
    <w:rsid w:val="2BBD2831"/>
    <w:rsid w:val="2BC42A42"/>
    <w:rsid w:val="2BCC7471"/>
    <w:rsid w:val="2BD4709B"/>
    <w:rsid w:val="2BD675C6"/>
    <w:rsid w:val="2BE43D03"/>
    <w:rsid w:val="2BE50C52"/>
    <w:rsid w:val="2BE64ABC"/>
    <w:rsid w:val="2BE752AD"/>
    <w:rsid w:val="2BE768F6"/>
    <w:rsid w:val="2BF55212"/>
    <w:rsid w:val="2BFA3B1E"/>
    <w:rsid w:val="2BFC2982"/>
    <w:rsid w:val="2C036A81"/>
    <w:rsid w:val="2C04179C"/>
    <w:rsid w:val="2C0D3D9B"/>
    <w:rsid w:val="2C10588C"/>
    <w:rsid w:val="2C175CA0"/>
    <w:rsid w:val="2C1A5FD8"/>
    <w:rsid w:val="2C2B07E9"/>
    <w:rsid w:val="2C2C6480"/>
    <w:rsid w:val="2C300E0E"/>
    <w:rsid w:val="2C354695"/>
    <w:rsid w:val="2C3753C7"/>
    <w:rsid w:val="2C3F1247"/>
    <w:rsid w:val="2C3F3DAC"/>
    <w:rsid w:val="2C461275"/>
    <w:rsid w:val="2C485605"/>
    <w:rsid w:val="2C6E4890"/>
    <w:rsid w:val="2C7B7A37"/>
    <w:rsid w:val="2C7C0F35"/>
    <w:rsid w:val="2C7D01AE"/>
    <w:rsid w:val="2C7E4E1E"/>
    <w:rsid w:val="2C817C0E"/>
    <w:rsid w:val="2C865A5A"/>
    <w:rsid w:val="2C893C16"/>
    <w:rsid w:val="2C8E4EAE"/>
    <w:rsid w:val="2C910971"/>
    <w:rsid w:val="2C91754E"/>
    <w:rsid w:val="2C946F09"/>
    <w:rsid w:val="2C9A60A4"/>
    <w:rsid w:val="2C9C17D4"/>
    <w:rsid w:val="2C9C3FED"/>
    <w:rsid w:val="2C9E7AA3"/>
    <w:rsid w:val="2CA04989"/>
    <w:rsid w:val="2CAE7103"/>
    <w:rsid w:val="2CB0161B"/>
    <w:rsid w:val="2CB03F96"/>
    <w:rsid w:val="2CBA67B5"/>
    <w:rsid w:val="2CBE6A82"/>
    <w:rsid w:val="2CDC1A1E"/>
    <w:rsid w:val="2CDD2207"/>
    <w:rsid w:val="2CE0091E"/>
    <w:rsid w:val="2CE367D5"/>
    <w:rsid w:val="2CF050A7"/>
    <w:rsid w:val="2CF2772F"/>
    <w:rsid w:val="2CF4366C"/>
    <w:rsid w:val="2CF81AFE"/>
    <w:rsid w:val="2CF85341"/>
    <w:rsid w:val="2CFB493E"/>
    <w:rsid w:val="2D0550A0"/>
    <w:rsid w:val="2D07370C"/>
    <w:rsid w:val="2D0B7B26"/>
    <w:rsid w:val="2D126C39"/>
    <w:rsid w:val="2D217B45"/>
    <w:rsid w:val="2D2F7924"/>
    <w:rsid w:val="2D313169"/>
    <w:rsid w:val="2D322903"/>
    <w:rsid w:val="2D322A6D"/>
    <w:rsid w:val="2D323C01"/>
    <w:rsid w:val="2D364E92"/>
    <w:rsid w:val="2D396567"/>
    <w:rsid w:val="2D3C3092"/>
    <w:rsid w:val="2D3D5D66"/>
    <w:rsid w:val="2D463B32"/>
    <w:rsid w:val="2D5436D2"/>
    <w:rsid w:val="2D543B68"/>
    <w:rsid w:val="2D5561EF"/>
    <w:rsid w:val="2D564CBD"/>
    <w:rsid w:val="2D5A7F5C"/>
    <w:rsid w:val="2D662E5E"/>
    <w:rsid w:val="2D740DEB"/>
    <w:rsid w:val="2D7B2E33"/>
    <w:rsid w:val="2D7C1000"/>
    <w:rsid w:val="2D7E2F0E"/>
    <w:rsid w:val="2D884D73"/>
    <w:rsid w:val="2D8C3E38"/>
    <w:rsid w:val="2D954BB9"/>
    <w:rsid w:val="2D963CD4"/>
    <w:rsid w:val="2D9A0342"/>
    <w:rsid w:val="2D9B65E7"/>
    <w:rsid w:val="2DA74E45"/>
    <w:rsid w:val="2DAA1FD8"/>
    <w:rsid w:val="2DAB4765"/>
    <w:rsid w:val="2DB267F3"/>
    <w:rsid w:val="2DC516C4"/>
    <w:rsid w:val="2DC85EB7"/>
    <w:rsid w:val="2DDD7A33"/>
    <w:rsid w:val="2DE54FB8"/>
    <w:rsid w:val="2DEA6823"/>
    <w:rsid w:val="2E00381F"/>
    <w:rsid w:val="2E0422E2"/>
    <w:rsid w:val="2E060932"/>
    <w:rsid w:val="2E073A6E"/>
    <w:rsid w:val="2E073C7C"/>
    <w:rsid w:val="2E074EF0"/>
    <w:rsid w:val="2E1B6448"/>
    <w:rsid w:val="2E1C325F"/>
    <w:rsid w:val="2E266580"/>
    <w:rsid w:val="2E2E5C99"/>
    <w:rsid w:val="2E34206E"/>
    <w:rsid w:val="2E351219"/>
    <w:rsid w:val="2E3835FE"/>
    <w:rsid w:val="2E4231F9"/>
    <w:rsid w:val="2E501070"/>
    <w:rsid w:val="2E5923BD"/>
    <w:rsid w:val="2E606683"/>
    <w:rsid w:val="2E690493"/>
    <w:rsid w:val="2E6F55C7"/>
    <w:rsid w:val="2E7B389F"/>
    <w:rsid w:val="2E820052"/>
    <w:rsid w:val="2E857C1B"/>
    <w:rsid w:val="2E8E1DB4"/>
    <w:rsid w:val="2E940A21"/>
    <w:rsid w:val="2E995DB1"/>
    <w:rsid w:val="2E9A4401"/>
    <w:rsid w:val="2EAE345E"/>
    <w:rsid w:val="2EB111F6"/>
    <w:rsid w:val="2EB623EA"/>
    <w:rsid w:val="2EC4391B"/>
    <w:rsid w:val="2EC72B9E"/>
    <w:rsid w:val="2ECD4157"/>
    <w:rsid w:val="2ED25561"/>
    <w:rsid w:val="2ED410F4"/>
    <w:rsid w:val="2ED834D9"/>
    <w:rsid w:val="2EE16002"/>
    <w:rsid w:val="2EE25664"/>
    <w:rsid w:val="2EEA3BA7"/>
    <w:rsid w:val="2EEB304D"/>
    <w:rsid w:val="2EEB72F0"/>
    <w:rsid w:val="2EEC0FA1"/>
    <w:rsid w:val="2EED7864"/>
    <w:rsid w:val="2EF24454"/>
    <w:rsid w:val="2EF409E5"/>
    <w:rsid w:val="2EF42A5C"/>
    <w:rsid w:val="2EF74DA9"/>
    <w:rsid w:val="2EFE06A8"/>
    <w:rsid w:val="2F0D7070"/>
    <w:rsid w:val="2F123D5A"/>
    <w:rsid w:val="2F132522"/>
    <w:rsid w:val="2F1545FF"/>
    <w:rsid w:val="2F172493"/>
    <w:rsid w:val="2F215BF0"/>
    <w:rsid w:val="2F247AAD"/>
    <w:rsid w:val="2F370591"/>
    <w:rsid w:val="2F3B2BE2"/>
    <w:rsid w:val="2F3E386C"/>
    <w:rsid w:val="2F474796"/>
    <w:rsid w:val="2F4F781A"/>
    <w:rsid w:val="2F566D63"/>
    <w:rsid w:val="2F5C0DA8"/>
    <w:rsid w:val="2F664AFF"/>
    <w:rsid w:val="2F683721"/>
    <w:rsid w:val="2F696DD2"/>
    <w:rsid w:val="2F6B1273"/>
    <w:rsid w:val="2F6D436B"/>
    <w:rsid w:val="2F71364F"/>
    <w:rsid w:val="2F737D16"/>
    <w:rsid w:val="2F7A0311"/>
    <w:rsid w:val="2F7B047E"/>
    <w:rsid w:val="2F7D49CE"/>
    <w:rsid w:val="2F8B16EF"/>
    <w:rsid w:val="2F8C5F73"/>
    <w:rsid w:val="2F8D3F79"/>
    <w:rsid w:val="2F9429B5"/>
    <w:rsid w:val="2F960885"/>
    <w:rsid w:val="2F9C28D3"/>
    <w:rsid w:val="2FA3585D"/>
    <w:rsid w:val="2FA8577D"/>
    <w:rsid w:val="2FAE6A10"/>
    <w:rsid w:val="2FB0488D"/>
    <w:rsid w:val="2FB65D80"/>
    <w:rsid w:val="2FBF6B30"/>
    <w:rsid w:val="2FC81C11"/>
    <w:rsid w:val="2FCA6E38"/>
    <w:rsid w:val="2FD3743B"/>
    <w:rsid w:val="2FD53D8B"/>
    <w:rsid w:val="2FD57359"/>
    <w:rsid w:val="2FD8030C"/>
    <w:rsid w:val="2FE770A6"/>
    <w:rsid w:val="2FEA6DBE"/>
    <w:rsid w:val="2FEF6DC7"/>
    <w:rsid w:val="2FF26D56"/>
    <w:rsid w:val="2FF57447"/>
    <w:rsid w:val="2FF975F4"/>
    <w:rsid w:val="2FFC17E2"/>
    <w:rsid w:val="2FFC7B3B"/>
    <w:rsid w:val="30022BC5"/>
    <w:rsid w:val="30030473"/>
    <w:rsid w:val="300671F8"/>
    <w:rsid w:val="300A1D5A"/>
    <w:rsid w:val="30142680"/>
    <w:rsid w:val="301971B4"/>
    <w:rsid w:val="301A5913"/>
    <w:rsid w:val="301D1535"/>
    <w:rsid w:val="301D214D"/>
    <w:rsid w:val="301E3417"/>
    <w:rsid w:val="301F4A4E"/>
    <w:rsid w:val="3020693E"/>
    <w:rsid w:val="30213595"/>
    <w:rsid w:val="302864B6"/>
    <w:rsid w:val="302A2E2F"/>
    <w:rsid w:val="302B203C"/>
    <w:rsid w:val="3032349C"/>
    <w:rsid w:val="303307CB"/>
    <w:rsid w:val="303B40F0"/>
    <w:rsid w:val="303D3985"/>
    <w:rsid w:val="3040035C"/>
    <w:rsid w:val="30457D0B"/>
    <w:rsid w:val="305B225F"/>
    <w:rsid w:val="305F1C89"/>
    <w:rsid w:val="306A75C3"/>
    <w:rsid w:val="306B2D8F"/>
    <w:rsid w:val="306B68EC"/>
    <w:rsid w:val="30771432"/>
    <w:rsid w:val="307971A2"/>
    <w:rsid w:val="307F3536"/>
    <w:rsid w:val="3089308E"/>
    <w:rsid w:val="308A26EB"/>
    <w:rsid w:val="308E41E1"/>
    <w:rsid w:val="30901D07"/>
    <w:rsid w:val="3092629B"/>
    <w:rsid w:val="309708DA"/>
    <w:rsid w:val="30A37E99"/>
    <w:rsid w:val="30A728A7"/>
    <w:rsid w:val="30A72F4A"/>
    <w:rsid w:val="30A85440"/>
    <w:rsid w:val="30B70A6B"/>
    <w:rsid w:val="30C44630"/>
    <w:rsid w:val="30C64273"/>
    <w:rsid w:val="30C72EA7"/>
    <w:rsid w:val="30CB17A9"/>
    <w:rsid w:val="30CB3913"/>
    <w:rsid w:val="30CC3413"/>
    <w:rsid w:val="30CE1750"/>
    <w:rsid w:val="30D64D0D"/>
    <w:rsid w:val="30D731FD"/>
    <w:rsid w:val="30D879A5"/>
    <w:rsid w:val="30DC13F0"/>
    <w:rsid w:val="30E53B50"/>
    <w:rsid w:val="30E65DCB"/>
    <w:rsid w:val="30E72CCD"/>
    <w:rsid w:val="30E736D8"/>
    <w:rsid w:val="30F24D6E"/>
    <w:rsid w:val="30F704BE"/>
    <w:rsid w:val="30F843EE"/>
    <w:rsid w:val="31022300"/>
    <w:rsid w:val="310426F5"/>
    <w:rsid w:val="31123E00"/>
    <w:rsid w:val="311C08C7"/>
    <w:rsid w:val="31265F9D"/>
    <w:rsid w:val="31340AB8"/>
    <w:rsid w:val="313C1B77"/>
    <w:rsid w:val="313E366F"/>
    <w:rsid w:val="31434FCB"/>
    <w:rsid w:val="31493476"/>
    <w:rsid w:val="314C1A34"/>
    <w:rsid w:val="31525FD2"/>
    <w:rsid w:val="31585EEA"/>
    <w:rsid w:val="3158696F"/>
    <w:rsid w:val="31665052"/>
    <w:rsid w:val="3168787D"/>
    <w:rsid w:val="316A15B7"/>
    <w:rsid w:val="316A2EEF"/>
    <w:rsid w:val="316B039D"/>
    <w:rsid w:val="31721E9E"/>
    <w:rsid w:val="31752B86"/>
    <w:rsid w:val="31774F8B"/>
    <w:rsid w:val="317B7061"/>
    <w:rsid w:val="31804F82"/>
    <w:rsid w:val="31850B26"/>
    <w:rsid w:val="31857392"/>
    <w:rsid w:val="31877AF9"/>
    <w:rsid w:val="31945827"/>
    <w:rsid w:val="31946461"/>
    <w:rsid w:val="3198678A"/>
    <w:rsid w:val="319B3432"/>
    <w:rsid w:val="319E5C1D"/>
    <w:rsid w:val="319F475B"/>
    <w:rsid w:val="31AC673D"/>
    <w:rsid w:val="31B478C1"/>
    <w:rsid w:val="31B75FCA"/>
    <w:rsid w:val="31BB4A9D"/>
    <w:rsid w:val="31C5483C"/>
    <w:rsid w:val="31C82429"/>
    <w:rsid w:val="31D538CD"/>
    <w:rsid w:val="31D92BDB"/>
    <w:rsid w:val="31DA68EE"/>
    <w:rsid w:val="31DD76C6"/>
    <w:rsid w:val="31E00A6C"/>
    <w:rsid w:val="31E40F6B"/>
    <w:rsid w:val="31E42757"/>
    <w:rsid w:val="31EA3522"/>
    <w:rsid w:val="31EB4D20"/>
    <w:rsid w:val="31F04028"/>
    <w:rsid w:val="31F1273D"/>
    <w:rsid w:val="31FD1B66"/>
    <w:rsid w:val="32030304"/>
    <w:rsid w:val="320C0B0A"/>
    <w:rsid w:val="3214262B"/>
    <w:rsid w:val="321D341F"/>
    <w:rsid w:val="3220022C"/>
    <w:rsid w:val="32222732"/>
    <w:rsid w:val="322418E0"/>
    <w:rsid w:val="322C3DA8"/>
    <w:rsid w:val="323446AD"/>
    <w:rsid w:val="32351D5A"/>
    <w:rsid w:val="3236628B"/>
    <w:rsid w:val="323A39FE"/>
    <w:rsid w:val="323B5411"/>
    <w:rsid w:val="323D37D5"/>
    <w:rsid w:val="32431401"/>
    <w:rsid w:val="32457FA7"/>
    <w:rsid w:val="3248797C"/>
    <w:rsid w:val="325B2730"/>
    <w:rsid w:val="325D436C"/>
    <w:rsid w:val="32637B73"/>
    <w:rsid w:val="326C4E4E"/>
    <w:rsid w:val="326E7586"/>
    <w:rsid w:val="32706586"/>
    <w:rsid w:val="32731003"/>
    <w:rsid w:val="327446C0"/>
    <w:rsid w:val="32843AED"/>
    <w:rsid w:val="3287346A"/>
    <w:rsid w:val="32885D15"/>
    <w:rsid w:val="328A4FE6"/>
    <w:rsid w:val="328C0BF4"/>
    <w:rsid w:val="328F1F84"/>
    <w:rsid w:val="32903855"/>
    <w:rsid w:val="329218EF"/>
    <w:rsid w:val="32981C46"/>
    <w:rsid w:val="32994216"/>
    <w:rsid w:val="329A6698"/>
    <w:rsid w:val="329C7A73"/>
    <w:rsid w:val="32A13444"/>
    <w:rsid w:val="32A25D21"/>
    <w:rsid w:val="32A80B7F"/>
    <w:rsid w:val="32B378B1"/>
    <w:rsid w:val="32B4779F"/>
    <w:rsid w:val="32BB6DE3"/>
    <w:rsid w:val="32BB712A"/>
    <w:rsid w:val="32BF6749"/>
    <w:rsid w:val="32C20F3B"/>
    <w:rsid w:val="32CA7E94"/>
    <w:rsid w:val="32D13A2C"/>
    <w:rsid w:val="32D5071C"/>
    <w:rsid w:val="32DB0040"/>
    <w:rsid w:val="32DC357C"/>
    <w:rsid w:val="32DD5CB9"/>
    <w:rsid w:val="32E4633A"/>
    <w:rsid w:val="32EC3AC9"/>
    <w:rsid w:val="32EE7A96"/>
    <w:rsid w:val="32F55E3C"/>
    <w:rsid w:val="32F66F99"/>
    <w:rsid w:val="3304097F"/>
    <w:rsid w:val="330842C4"/>
    <w:rsid w:val="331215C0"/>
    <w:rsid w:val="33150659"/>
    <w:rsid w:val="33152997"/>
    <w:rsid w:val="3321758E"/>
    <w:rsid w:val="33234249"/>
    <w:rsid w:val="33241EBA"/>
    <w:rsid w:val="33242BDA"/>
    <w:rsid w:val="33264757"/>
    <w:rsid w:val="333031CB"/>
    <w:rsid w:val="3331112B"/>
    <w:rsid w:val="33332418"/>
    <w:rsid w:val="33353039"/>
    <w:rsid w:val="333B0B6C"/>
    <w:rsid w:val="333B65F7"/>
    <w:rsid w:val="334112F8"/>
    <w:rsid w:val="33490893"/>
    <w:rsid w:val="334B38A8"/>
    <w:rsid w:val="334D25F3"/>
    <w:rsid w:val="33544A6D"/>
    <w:rsid w:val="33552A13"/>
    <w:rsid w:val="335922CC"/>
    <w:rsid w:val="335B4C3F"/>
    <w:rsid w:val="335B53DA"/>
    <w:rsid w:val="335D370E"/>
    <w:rsid w:val="336D129F"/>
    <w:rsid w:val="336E4F25"/>
    <w:rsid w:val="33726042"/>
    <w:rsid w:val="33744ECB"/>
    <w:rsid w:val="33777D8F"/>
    <w:rsid w:val="33840E46"/>
    <w:rsid w:val="33894C64"/>
    <w:rsid w:val="338F2E4F"/>
    <w:rsid w:val="33966BC8"/>
    <w:rsid w:val="339819E5"/>
    <w:rsid w:val="33B0785C"/>
    <w:rsid w:val="33B300E3"/>
    <w:rsid w:val="33BD7868"/>
    <w:rsid w:val="33BF0098"/>
    <w:rsid w:val="33C41CCE"/>
    <w:rsid w:val="33DC1707"/>
    <w:rsid w:val="33DC2D8C"/>
    <w:rsid w:val="33DC39DD"/>
    <w:rsid w:val="33DE3388"/>
    <w:rsid w:val="33DE703E"/>
    <w:rsid w:val="33E06629"/>
    <w:rsid w:val="33E10A32"/>
    <w:rsid w:val="33E1469D"/>
    <w:rsid w:val="33F57DAE"/>
    <w:rsid w:val="33F94928"/>
    <w:rsid w:val="34051EA6"/>
    <w:rsid w:val="340754EB"/>
    <w:rsid w:val="34111485"/>
    <w:rsid w:val="3411315F"/>
    <w:rsid w:val="34120D75"/>
    <w:rsid w:val="34196E6D"/>
    <w:rsid w:val="342310E4"/>
    <w:rsid w:val="342721C6"/>
    <w:rsid w:val="342739C8"/>
    <w:rsid w:val="34320F82"/>
    <w:rsid w:val="34395602"/>
    <w:rsid w:val="343E2B9A"/>
    <w:rsid w:val="344015BF"/>
    <w:rsid w:val="34425A8A"/>
    <w:rsid w:val="34445C50"/>
    <w:rsid w:val="345A7238"/>
    <w:rsid w:val="345B78CA"/>
    <w:rsid w:val="34621AD3"/>
    <w:rsid w:val="346D55D5"/>
    <w:rsid w:val="346D55EF"/>
    <w:rsid w:val="347A3F25"/>
    <w:rsid w:val="348558FB"/>
    <w:rsid w:val="348D02CF"/>
    <w:rsid w:val="348E5DE6"/>
    <w:rsid w:val="34950D56"/>
    <w:rsid w:val="34995595"/>
    <w:rsid w:val="349B76CB"/>
    <w:rsid w:val="349D752D"/>
    <w:rsid w:val="34A84410"/>
    <w:rsid w:val="34A864F8"/>
    <w:rsid w:val="34AE45F5"/>
    <w:rsid w:val="34AE6AE3"/>
    <w:rsid w:val="34AE6BFF"/>
    <w:rsid w:val="34B4160B"/>
    <w:rsid w:val="34B43E56"/>
    <w:rsid w:val="34B84F26"/>
    <w:rsid w:val="34BC59AB"/>
    <w:rsid w:val="34BD32E6"/>
    <w:rsid w:val="34C208FD"/>
    <w:rsid w:val="34C463DA"/>
    <w:rsid w:val="34C82055"/>
    <w:rsid w:val="34D66156"/>
    <w:rsid w:val="34D954F3"/>
    <w:rsid w:val="34E261C3"/>
    <w:rsid w:val="34E7437E"/>
    <w:rsid w:val="34EE56AF"/>
    <w:rsid w:val="34EF3700"/>
    <w:rsid w:val="34F70DF5"/>
    <w:rsid w:val="34FD45E0"/>
    <w:rsid w:val="351116CA"/>
    <w:rsid w:val="35115098"/>
    <w:rsid w:val="351A2027"/>
    <w:rsid w:val="351B53C2"/>
    <w:rsid w:val="352458DB"/>
    <w:rsid w:val="35307B8F"/>
    <w:rsid w:val="35380BBF"/>
    <w:rsid w:val="353E0879"/>
    <w:rsid w:val="35416D8A"/>
    <w:rsid w:val="35434609"/>
    <w:rsid w:val="355B6F7D"/>
    <w:rsid w:val="355F7EFA"/>
    <w:rsid w:val="35634C45"/>
    <w:rsid w:val="35724008"/>
    <w:rsid w:val="35776A49"/>
    <w:rsid w:val="357E4A3F"/>
    <w:rsid w:val="35824C4A"/>
    <w:rsid w:val="358E1DBE"/>
    <w:rsid w:val="359445DE"/>
    <w:rsid w:val="359C2B5C"/>
    <w:rsid w:val="35A2333E"/>
    <w:rsid w:val="35AD487E"/>
    <w:rsid w:val="35AF5AAB"/>
    <w:rsid w:val="35B25CA9"/>
    <w:rsid w:val="35B652A3"/>
    <w:rsid w:val="35C43765"/>
    <w:rsid w:val="35CF5144"/>
    <w:rsid w:val="35CF5813"/>
    <w:rsid w:val="35DA1794"/>
    <w:rsid w:val="35DA5093"/>
    <w:rsid w:val="35E27B3F"/>
    <w:rsid w:val="35E329CF"/>
    <w:rsid w:val="35E554BB"/>
    <w:rsid w:val="35EF12E0"/>
    <w:rsid w:val="35FF76FA"/>
    <w:rsid w:val="3600044A"/>
    <w:rsid w:val="36095779"/>
    <w:rsid w:val="36107446"/>
    <w:rsid w:val="361A3C58"/>
    <w:rsid w:val="361B0532"/>
    <w:rsid w:val="363328A8"/>
    <w:rsid w:val="363A462F"/>
    <w:rsid w:val="363E7FF9"/>
    <w:rsid w:val="36415AB7"/>
    <w:rsid w:val="364E1FF4"/>
    <w:rsid w:val="364F2AB9"/>
    <w:rsid w:val="365767BF"/>
    <w:rsid w:val="365A1B8B"/>
    <w:rsid w:val="365B403E"/>
    <w:rsid w:val="36685B46"/>
    <w:rsid w:val="366F6240"/>
    <w:rsid w:val="36722D6A"/>
    <w:rsid w:val="367433D2"/>
    <w:rsid w:val="367464D7"/>
    <w:rsid w:val="36757F57"/>
    <w:rsid w:val="36777D22"/>
    <w:rsid w:val="36792EFF"/>
    <w:rsid w:val="36835DB4"/>
    <w:rsid w:val="36845A4F"/>
    <w:rsid w:val="3686264B"/>
    <w:rsid w:val="36874BAC"/>
    <w:rsid w:val="368816D2"/>
    <w:rsid w:val="36883B00"/>
    <w:rsid w:val="36901E79"/>
    <w:rsid w:val="36933E60"/>
    <w:rsid w:val="369364EE"/>
    <w:rsid w:val="36950936"/>
    <w:rsid w:val="36984011"/>
    <w:rsid w:val="369938DF"/>
    <w:rsid w:val="369B6EA6"/>
    <w:rsid w:val="36A00CD6"/>
    <w:rsid w:val="36A62C3D"/>
    <w:rsid w:val="36A81837"/>
    <w:rsid w:val="36B12C89"/>
    <w:rsid w:val="36BC4A25"/>
    <w:rsid w:val="36C15D63"/>
    <w:rsid w:val="36CA5847"/>
    <w:rsid w:val="36CB6682"/>
    <w:rsid w:val="36D0522C"/>
    <w:rsid w:val="36D20A2B"/>
    <w:rsid w:val="36D87F64"/>
    <w:rsid w:val="36DB5CA6"/>
    <w:rsid w:val="36E460DB"/>
    <w:rsid w:val="36E55F4C"/>
    <w:rsid w:val="36EA2120"/>
    <w:rsid w:val="36EB56CA"/>
    <w:rsid w:val="36F15358"/>
    <w:rsid w:val="36F25567"/>
    <w:rsid w:val="36F53A2F"/>
    <w:rsid w:val="36FC372C"/>
    <w:rsid w:val="3708639D"/>
    <w:rsid w:val="370C40B1"/>
    <w:rsid w:val="370D027A"/>
    <w:rsid w:val="371B273C"/>
    <w:rsid w:val="371B44E7"/>
    <w:rsid w:val="371C4709"/>
    <w:rsid w:val="372067C3"/>
    <w:rsid w:val="37221716"/>
    <w:rsid w:val="37245EBB"/>
    <w:rsid w:val="37284563"/>
    <w:rsid w:val="37284B86"/>
    <w:rsid w:val="372B4E86"/>
    <w:rsid w:val="372C02AF"/>
    <w:rsid w:val="37332212"/>
    <w:rsid w:val="373B7CA8"/>
    <w:rsid w:val="37411FAD"/>
    <w:rsid w:val="3744519B"/>
    <w:rsid w:val="374B56AF"/>
    <w:rsid w:val="374E46DE"/>
    <w:rsid w:val="37516E24"/>
    <w:rsid w:val="375A7EC7"/>
    <w:rsid w:val="375D0A84"/>
    <w:rsid w:val="37682EB1"/>
    <w:rsid w:val="37752908"/>
    <w:rsid w:val="37783548"/>
    <w:rsid w:val="37863081"/>
    <w:rsid w:val="3790753E"/>
    <w:rsid w:val="379B61FD"/>
    <w:rsid w:val="379E0C4F"/>
    <w:rsid w:val="379F40E6"/>
    <w:rsid w:val="37A3092B"/>
    <w:rsid w:val="37A65A4A"/>
    <w:rsid w:val="37AA6032"/>
    <w:rsid w:val="37B15860"/>
    <w:rsid w:val="37B26A07"/>
    <w:rsid w:val="37C164F5"/>
    <w:rsid w:val="37C67AC0"/>
    <w:rsid w:val="37C72E52"/>
    <w:rsid w:val="37CC1B6B"/>
    <w:rsid w:val="37CF2BBD"/>
    <w:rsid w:val="37CF3B34"/>
    <w:rsid w:val="37D1316F"/>
    <w:rsid w:val="37D57FF7"/>
    <w:rsid w:val="37D74E1C"/>
    <w:rsid w:val="37DE7EC6"/>
    <w:rsid w:val="37E17833"/>
    <w:rsid w:val="37E3656C"/>
    <w:rsid w:val="37E61D99"/>
    <w:rsid w:val="37EF396F"/>
    <w:rsid w:val="37FE7E9E"/>
    <w:rsid w:val="3801173C"/>
    <w:rsid w:val="38043EE3"/>
    <w:rsid w:val="38155147"/>
    <w:rsid w:val="381A475A"/>
    <w:rsid w:val="381C34E4"/>
    <w:rsid w:val="38290169"/>
    <w:rsid w:val="382E48F7"/>
    <w:rsid w:val="38326AC5"/>
    <w:rsid w:val="383A3514"/>
    <w:rsid w:val="384F2559"/>
    <w:rsid w:val="384F46D6"/>
    <w:rsid w:val="385059D0"/>
    <w:rsid w:val="38651B49"/>
    <w:rsid w:val="386C5FE9"/>
    <w:rsid w:val="38702EF5"/>
    <w:rsid w:val="387142D0"/>
    <w:rsid w:val="387263B5"/>
    <w:rsid w:val="38774AEC"/>
    <w:rsid w:val="387E5C66"/>
    <w:rsid w:val="38856A31"/>
    <w:rsid w:val="38885992"/>
    <w:rsid w:val="38890E50"/>
    <w:rsid w:val="388A45E9"/>
    <w:rsid w:val="388A7940"/>
    <w:rsid w:val="388C6763"/>
    <w:rsid w:val="38945261"/>
    <w:rsid w:val="38A0122F"/>
    <w:rsid w:val="38AB0808"/>
    <w:rsid w:val="38B36F2C"/>
    <w:rsid w:val="38BA7784"/>
    <w:rsid w:val="38BE4E9B"/>
    <w:rsid w:val="38C13850"/>
    <w:rsid w:val="38C82433"/>
    <w:rsid w:val="38D156F6"/>
    <w:rsid w:val="38D87A7A"/>
    <w:rsid w:val="38DA0739"/>
    <w:rsid w:val="38DD7AB3"/>
    <w:rsid w:val="38EB1B4B"/>
    <w:rsid w:val="38EF3451"/>
    <w:rsid w:val="38F15CE8"/>
    <w:rsid w:val="38FB64A8"/>
    <w:rsid w:val="38FD5C97"/>
    <w:rsid w:val="38FF546C"/>
    <w:rsid w:val="39033292"/>
    <w:rsid w:val="39054FC0"/>
    <w:rsid w:val="390605B8"/>
    <w:rsid w:val="39063E33"/>
    <w:rsid w:val="39081F2A"/>
    <w:rsid w:val="390A2872"/>
    <w:rsid w:val="390C23CF"/>
    <w:rsid w:val="390D41C8"/>
    <w:rsid w:val="39100B66"/>
    <w:rsid w:val="39156A70"/>
    <w:rsid w:val="39190353"/>
    <w:rsid w:val="391C3760"/>
    <w:rsid w:val="391F253E"/>
    <w:rsid w:val="391F71E3"/>
    <w:rsid w:val="3923741E"/>
    <w:rsid w:val="39285E70"/>
    <w:rsid w:val="39316051"/>
    <w:rsid w:val="39410ABD"/>
    <w:rsid w:val="39537BB0"/>
    <w:rsid w:val="39563A62"/>
    <w:rsid w:val="39577D68"/>
    <w:rsid w:val="395F4CDE"/>
    <w:rsid w:val="39647832"/>
    <w:rsid w:val="396A3D03"/>
    <w:rsid w:val="396D73BC"/>
    <w:rsid w:val="396E2E01"/>
    <w:rsid w:val="3976279E"/>
    <w:rsid w:val="39771C72"/>
    <w:rsid w:val="39842420"/>
    <w:rsid w:val="3992797E"/>
    <w:rsid w:val="399305F8"/>
    <w:rsid w:val="399631D3"/>
    <w:rsid w:val="39995D60"/>
    <w:rsid w:val="399A58FD"/>
    <w:rsid w:val="39AB6A0C"/>
    <w:rsid w:val="39AD38B0"/>
    <w:rsid w:val="39B07546"/>
    <w:rsid w:val="39B1601B"/>
    <w:rsid w:val="39B56E03"/>
    <w:rsid w:val="39B67A82"/>
    <w:rsid w:val="39BB2114"/>
    <w:rsid w:val="39BD687A"/>
    <w:rsid w:val="39C562F9"/>
    <w:rsid w:val="39C65DA3"/>
    <w:rsid w:val="39D66090"/>
    <w:rsid w:val="39DB3D45"/>
    <w:rsid w:val="39DD5652"/>
    <w:rsid w:val="39DF64E5"/>
    <w:rsid w:val="39E05020"/>
    <w:rsid w:val="39E11A28"/>
    <w:rsid w:val="39E62AA8"/>
    <w:rsid w:val="39E6508D"/>
    <w:rsid w:val="39EF1216"/>
    <w:rsid w:val="39F04834"/>
    <w:rsid w:val="39F80F20"/>
    <w:rsid w:val="39FB6041"/>
    <w:rsid w:val="3A012EE9"/>
    <w:rsid w:val="3A046ACA"/>
    <w:rsid w:val="3A130136"/>
    <w:rsid w:val="3A190BCF"/>
    <w:rsid w:val="3A1C1095"/>
    <w:rsid w:val="3A1C2D2A"/>
    <w:rsid w:val="3A1C7ACE"/>
    <w:rsid w:val="3A262604"/>
    <w:rsid w:val="3A402EF7"/>
    <w:rsid w:val="3A4B7DB8"/>
    <w:rsid w:val="3A5013F5"/>
    <w:rsid w:val="3A640F10"/>
    <w:rsid w:val="3A684185"/>
    <w:rsid w:val="3A6F2140"/>
    <w:rsid w:val="3A724163"/>
    <w:rsid w:val="3A7631F2"/>
    <w:rsid w:val="3A793408"/>
    <w:rsid w:val="3A7D782F"/>
    <w:rsid w:val="3A8D0D1C"/>
    <w:rsid w:val="3A8E7033"/>
    <w:rsid w:val="3AA1542A"/>
    <w:rsid w:val="3AAF0BB6"/>
    <w:rsid w:val="3AB2246D"/>
    <w:rsid w:val="3AC37E2C"/>
    <w:rsid w:val="3AC4787E"/>
    <w:rsid w:val="3AC77FF6"/>
    <w:rsid w:val="3AD43C62"/>
    <w:rsid w:val="3ADA3581"/>
    <w:rsid w:val="3ADC7E42"/>
    <w:rsid w:val="3ADD02B9"/>
    <w:rsid w:val="3ADE0084"/>
    <w:rsid w:val="3AE909F4"/>
    <w:rsid w:val="3AF21076"/>
    <w:rsid w:val="3AF3014E"/>
    <w:rsid w:val="3AFB50FA"/>
    <w:rsid w:val="3AFE527A"/>
    <w:rsid w:val="3B061486"/>
    <w:rsid w:val="3B087E3E"/>
    <w:rsid w:val="3B0C3E1E"/>
    <w:rsid w:val="3B0F404A"/>
    <w:rsid w:val="3B117EE8"/>
    <w:rsid w:val="3B1C63AB"/>
    <w:rsid w:val="3B200B73"/>
    <w:rsid w:val="3B210A03"/>
    <w:rsid w:val="3B255741"/>
    <w:rsid w:val="3B292EB1"/>
    <w:rsid w:val="3B2A5983"/>
    <w:rsid w:val="3B2B17EB"/>
    <w:rsid w:val="3B311838"/>
    <w:rsid w:val="3B347DC9"/>
    <w:rsid w:val="3B3F0DFB"/>
    <w:rsid w:val="3B3F2BB6"/>
    <w:rsid w:val="3B3F6016"/>
    <w:rsid w:val="3B405225"/>
    <w:rsid w:val="3B425605"/>
    <w:rsid w:val="3B4263A9"/>
    <w:rsid w:val="3B476818"/>
    <w:rsid w:val="3B480CE4"/>
    <w:rsid w:val="3B4D48CE"/>
    <w:rsid w:val="3B5878C5"/>
    <w:rsid w:val="3B5D0920"/>
    <w:rsid w:val="3B6558FD"/>
    <w:rsid w:val="3B6B6C60"/>
    <w:rsid w:val="3B6C43FB"/>
    <w:rsid w:val="3B6F428D"/>
    <w:rsid w:val="3B712840"/>
    <w:rsid w:val="3B7364AD"/>
    <w:rsid w:val="3B754E17"/>
    <w:rsid w:val="3B761C8F"/>
    <w:rsid w:val="3B787504"/>
    <w:rsid w:val="3B7A2102"/>
    <w:rsid w:val="3B7E1293"/>
    <w:rsid w:val="3B81506E"/>
    <w:rsid w:val="3B8A6260"/>
    <w:rsid w:val="3B9221EB"/>
    <w:rsid w:val="3B942FB4"/>
    <w:rsid w:val="3B9A26E0"/>
    <w:rsid w:val="3BA90120"/>
    <w:rsid w:val="3BA968EC"/>
    <w:rsid w:val="3BB04AB1"/>
    <w:rsid w:val="3BBA63A2"/>
    <w:rsid w:val="3BBC1CA0"/>
    <w:rsid w:val="3BBD597A"/>
    <w:rsid w:val="3BC1314C"/>
    <w:rsid w:val="3BC1604D"/>
    <w:rsid w:val="3BC3422A"/>
    <w:rsid w:val="3BC73E0B"/>
    <w:rsid w:val="3BC8213D"/>
    <w:rsid w:val="3BD13CF5"/>
    <w:rsid w:val="3BD57116"/>
    <w:rsid w:val="3BDB64D3"/>
    <w:rsid w:val="3BE337DE"/>
    <w:rsid w:val="3BE831D6"/>
    <w:rsid w:val="3BEA288B"/>
    <w:rsid w:val="3BEC5090"/>
    <w:rsid w:val="3BF12FDE"/>
    <w:rsid w:val="3BF517E5"/>
    <w:rsid w:val="3BF56EA8"/>
    <w:rsid w:val="3BF66A21"/>
    <w:rsid w:val="3C005DF9"/>
    <w:rsid w:val="3C0845FD"/>
    <w:rsid w:val="3C134D81"/>
    <w:rsid w:val="3C192435"/>
    <w:rsid w:val="3C1C6B44"/>
    <w:rsid w:val="3C250295"/>
    <w:rsid w:val="3C261670"/>
    <w:rsid w:val="3C3130EA"/>
    <w:rsid w:val="3C355E58"/>
    <w:rsid w:val="3C365E4D"/>
    <w:rsid w:val="3C454DC1"/>
    <w:rsid w:val="3C4811FF"/>
    <w:rsid w:val="3C49029B"/>
    <w:rsid w:val="3C4954CB"/>
    <w:rsid w:val="3C4A2A75"/>
    <w:rsid w:val="3C4E7B3D"/>
    <w:rsid w:val="3C4F0F90"/>
    <w:rsid w:val="3C5E41C8"/>
    <w:rsid w:val="3C6504EB"/>
    <w:rsid w:val="3C6C5BAF"/>
    <w:rsid w:val="3C743DB0"/>
    <w:rsid w:val="3C7600D8"/>
    <w:rsid w:val="3C7719FC"/>
    <w:rsid w:val="3C7D78C1"/>
    <w:rsid w:val="3C831E99"/>
    <w:rsid w:val="3C8538A8"/>
    <w:rsid w:val="3C871DCC"/>
    <w:rsid w:val="3C893E21"/>
    <w:rsid w:val="3C8F1F0E"/>
    <w:rsid w:val="3C93198A"/>
    <w:rsid w:val="3CA1529C"/>
    <w:rsid w:val="3CA42D0B"/>
    <w:rsid w:val="3CA561B2"/>
    <w:rsid w:val="3CB03196"/>
    <w:rsid w:val="3CB17CF0"/>
    <w:rsid w:val="3CB311B9"/>
    <w:rsid w:val="3CB464DD"/>
    <w:rsid w:val="3CBB4C45"/>
    <w:rsid w:val="3CBC60AC"/>
    <w:rsid w:val="3CBE1E7F"/>
    <w:rsid w:val="3CC44DED"/>
    <w:rsid w:val="3CC75C01"/>
    <w:rsid w:val="3CC93932"/>
    <w:rsid w:val="3CCE7943"/>
    <w:rsid w:val="3CCF15EA"/>
    <w:rsid w:val="3CD25455"/>
    <w:rsid w:val="3CD77157"/>
    <w:rsid w:val="3CDF6121"/>
    <w:rsid w:val="3CE121A4"/>
    <w:rsid w:val="3CE34897"/>
    <w:rsid w:val="3CFB71EF"/>
    <w:rsid w:val="3D033860"/>
    <w:rsid w:val="3D035578"/>
    <w:rsid w:val="3D0732E0"/>
    <w:rsid w:val="3D156E43"/>
    <w:rsid w:val="3D1710FF"/>
    <w:rsid w:val="3D1D7521"/>
    <w:rsid w:val="3D2131A5"/>
    <w:rsid w:val="3D281D9E"/>
    <w:rsid w:val="3D393CAA"/>
    <w:rsid w:val="3D3F41E3"/>
    <w:rsid w:val="3D491BBB"/>
    <w:rsid w:val="3D4B45DF"/>
    <w:rsid w:val="3D4F12DE"/>
    <w:rsid w:val="3D516688"/>
    <w:rsid w:val="3D527DD3"/>
    <w:rsid w:val="3D5305F7"/>
    <w:rsid w:val="3D721BE3"/>
    <w:rsid w:val="3D735037"/>
    <w:rsid w:val="3D794709"/>
    <w:rsid w:val="3D7D6B03"/>
    <w:rsid w:val="3D7D71B9"/>
    <w:rsid w:val="3D7D7AB7"/>
    <w:rsid w:val="3D8A3F82"/>
    <w:rsid w:val="3D8C4E3F"/>
    <w:rsid w:val="3D97329D"/>
    <w:rsid w:val="3D9F7153"/>
    <w:rsid w:val="3DA00A69"/>
    <w:rsid w:val="3DA4753B"/>
    <w:rsid w:val="3DAB4D51"/>
    <w:rsid w:val="3DB01874"/>
    <w:rsid w:val="3DB12CC7"/>
    <w:rsid w:val="3DB559AB"/>
    <w:rsid w:val="3DBE086E"/>
    <w:rsid w:val="3DC25F38"/>
    <w:rsid w:val="3DC41242"/>
    <w:rsid w:val="3DC72AE0"/>
    <w:rsid w:val="3DC92739"/>
    <w:rsid w:val="3DD6614F"/>
    <w:rsid w:val="3DE34698"/>
    <w:rsid w:val="3DEA3AB9"/>
    <w:rsid w:val="3DEC1BCD"/>
    <w:rsid w:val="3DF456C1"/>
    <w:rsid w:val="3DF54D94"/>
    <w:rsid w:val="3DFC7262"/>
    <w:rsid w:val="3E053629"/>
    <w:rsid w:val="3E0A1494"/>
    <w:rsid w:val="3E0E2161"/>
    <w:rsid w:val="3E0E499D"/>
    <w:rsid w:val="3E122073"/>
    <w:rsid w:val="3E246831"/>
    <w:rsid w:val="3E266EC2"/>
    <w:rsid w:val="3E2A6BEF"/>
    <w:rsid w:val="3E327253"/>
    <w:rsid w:val="3E371A14"/>
    <w:rsid w:val="3E390543"/>
    <w:rsid w:val="3E42768F"/>
    <w:rsid w:val="3E49077E"/>
    <w:rsid w:val="3E4A15E4"/>
    <w:rsid w:val="3E4D7418"/>
    <w:rsid w:val="3E4F3C50"/>
    <w:rsid w:val="3E5325C6"/>
    <w:rsid w:val="3E5D339B"/>
    <w:rsid w:val="3E5D6F18"/>
    <w:rsid w:val="3E640E56"/>
    <w:rsid w:val="3E6521B3"/>
    <w:rsid w:val="3E6D59B7"/>
    <w:rsid w:val="3E7940CE"/>
    <w:rsid w:val="3E7C42BC"/>
    <w:rsid w:val="3E7E1EF1"/>
    <w:rsid w:val="3E7E485D"/>
    <w:rsid w:val="3E881438"/>
    <w:rsid w:val="3E88256E"/>
    <w:rsid w:val="3E8C62E5"/>
    <w:rsid w:val="3E9000D6"/>
    <w:rsid w:val="3E943109"/>
    <w:rsid w:val="3E950710"/>
    <w:rsid w:val="3E971026"/>
    <w:rsid w:val="3E9832B4"/>
    <w:rsid w:val="3E9B3363"/>
    <w:rsid w:val="3E9D4F7A"/>
    <w:rsid w:val="3EA510D3"/>
    <w:rsid w:val="3EA82911"/>
    <w:rsid w:val="3EAB51A9"/>
    <w:rsid w:val="3EB40C41"/>
    <w:rsid w:val="3EB61168"/>
    <w:rsid w:val="3EB977CC"/>
    <w:rsid w:val="3ED13959"/>
    <w:rsid w:val="3ED716A0"/>
    <w:rsid w:val="3EDE27D7"/>
    <w:rsid w:val="3EE020AB"/>
    <w:rsid w:val="3EE95064"/>
    <w:rsid w:val="3EEB096D"/>
    <w:rsid w:val="3EF62477"/>
    <w:rsid w:val="3EFC6D76"/>
    <w:rsid w:val="3F1627FC"/>
    <w:rsid w:val="3F1D0756"/>
    <w:rsid w:val="3F403E9F"/>
    <w:rsid w:val="3F414B6B"/>
    <w:rsid w:val="3F4659AC"/>
    <w:rsid w:val="3F4C1737"/>
    <w:rsid w:val="3F4C62E5"/>
    <w:rsid w:val="3F583F6D"/>
    <w:rsid w:val="3F5A4210"/>
    <w:rsid w:val="3F6800B8"/>
    <w:rsid w:val="3F6C3ABB"/>
    <w:rsid w:val="3F700544"/>
    <w:rsid w:val="3F7232D4"/>
    <w:rsid w:val="3F7602E5"/>
    <w:rsid w:val="3F784F71"/>
    <w:rsid w:val="3F7B347F"/>
    <w:rsid w:val="3F872501"/>
    <w:rsid w:val="3F8B508E"/>
    <w:rsid w:val="3F8E4BFC"/>
    <w:rsid w:val="3F993113"/>
    <w:rsid w:val="3F9F0006"/>
    <w:rsid w:val="3FA15ABC"/>
    <w:rsid w:val="3FBA2DE1"/>
    <w:rsid w:val="3FC9130B"/>
    <w:rsid w:val="3FCF2437"/>
    <w:rsid w:val="3FD56458"/>
    <w:rsid w:val="3FDA7D35"/>
    <w:rsid w:val="3FEA76A0"/>
    <w:rsid w:val="3FED4700"/>
    <w:rsid w:val="3FF00E44"/>
    <w:rsid w:val="3FF37BBC"/>
    <w:rsid w:val="3FF40009"/>
    <w:rsid w:val="3FF7245C"/>
    <w:rsid w:val="400812FB"/>
    <w:rsid w:val="40145494"/>
    <w:rsid w:val="40146FF9"/>
    <w:rsid w:val="40243246"/>
    <w:rsid w:val="40276765"/>
    <w:rsid w:val="402C7F26"/>
    <w:rsid w:val="40331329"/>
    <w:rsid w:val="403B298C"/>
    <w:rsid w:val="40455988"/>
    <w:rsid w:val="404B61D9"/>
    <w:rsid w:val="40536DE9"/>
    <w:rsid w:val="405A76C8"/>
    <w:rsid w:val="40637612"/>
    <w:rsid w:val="406572EF"/>
    <w:rsid w:val="40664F69"/>
    <w:rsid w:val="406B4CDA"/>
    <w:rsid w:val="40732AAD"/>
    <w:rsid w:val="40790754"/>
    <w:rsid w:val="407C1A1F"/>
    <w:rsid w:val="407F11A6"/>
    <w:rsid w:val="40811D0E"/>
    <w:rsid w:val="408500D5"/>
    <w:rsid w:val="408907CA"/>
    <w:rsid w:val="408C7A79"/>
    <w:rsid w:val="408E242D"/>
    <w:rsid w:val="409111BD"/>
    <w:rsid w:val="409158CA"/>
    <w:rsid w:val="40931252"/>
    <w:rsid w:val="40AF4933"/>
    <w:rsid w:val="40B44B88"/>
    <w:rsid w:val="40C6423C"/>
    <w:rsid w:val="40CA6521"/>
    <w:rsid w:val="40D86800"/>
    <w:rsid w:val="40D917AF"/>
    <w:rsid w:val="40D92F03"/>
    <w:rsid w:val="40DA4ED9"/>
    <w:rsid w:val="40DD4D46"/>
    <w:rsid w:val="40E35EA3"/>
    <w:rsid w:val="40E35EC2"/>
    <w:rsid w:val="40ED5921"/>
    <w:rsid w:val="41087027"/>
    <w:rsid w:val="410A27A5"/>
    <w:rsid w:val="411159B2"/>
    <w:rsid w:val="411A4954"/>
    <w:rsid w:val="411B1E26"/>
    <w:rsid w:val="412047BA"/>
    <w:rsid w:val="41212A0C"/>
    <w:rsid w:val="41214BFD"/>
    <w:rsid w:val="412820AF"/>
    <w:rsid w:val="412F7A60"/>
    <w:rsid w:val="41416A88"/>
    <w:rsid w:val="414D1B28"/>
    <w:rsid w:val="4151636A"/>
    <w:rsid w:val="415818E2"/>
    <w:rsid w:val="41596145"/>
    <w:rsid w:val="416C731F"/>
    <w:rsid w:val="417326F5"/>
    <w:rsid w:val="41732C2A"/>
    <w:rsid w:val="41753A6C"/>
    <w:rsid w:val="417E5963"/>
    <w:rsid w:val="41835391"/>
    <w:rsid w:val="418366AB"/>
    <w:rsid w:val="41893CF5"/>
    <w:rsid w:val="418B795C"/>
    <w:rsid w:val="418D7D3B"/>
    <w:rsid w:val="41931F28"/>
    <w:rsid w:val="41A83A08"/>
    <w:rsid w:val="41A971E8"/>
    <w:rsid w:val="41B10597"/>
    <w:rsid w:val="41B718B5"/>
    <w:rsid w:val="41C31810"/>
    <w:rsid w:val="41CB105F"/>
    <w:rsid w:val="41D222F7"/>
    <w:rsid w:val="41D270CC"/>
    <w:rsid w:val="41D57031"/>
    <w:rsid w:val="41D60881"/>
    <w:rsid w:val="41E70359"/>
    <w:rsid w:val="41E94A6F"/>
    <w:rsid w:val="41E962E7"/>
    <w:rsid w:val="41EA345A"/>
    <w:rsid w:val="41EC73E7"/>
    <w:rsid w:val="41F26A13"/>
    <w:rsid w:val="41FF6B4E"/>
    <w:rsid w:val="42051908"/>
    <w:rsid w:val="42083779"/>
    <w:rsid w:val="420A2734"/>
    <w:rsid w:val="420A73C5"/>
    <w:rsid w:val="420D7732"/>
    <w:rsid w:val="420E6648"/>
    <w:rsid w:val="420F3D88"/>
    <w:rsid w:val="42134546"/>
    <w:rsid w:val="42142DD2"/>
    <w:rsid w:val="42146665"/>
    <w:rsid w:val="421B7106"/>
    <w:rsid w:val="421D163E"/>
    <w:rsid w:val="4221679B"/>
    <w:rsid w:val="42217C51"/>
    <w:rsid w:val="422B5D33"/>
    <w:rsid w:val="423049FC"/>
    <w:rsid w:val="423263A2"/>
    <w:rsid w:val="42372323"/>
    <w:rsid w:val="423872DE"/>
    <w:rsid w:val="42403E94"/>
    <w:rsid w:val="42404609"/>
    <w:rsid w:val="42440BA1"/>
    <w:rsid w:val="42447A1F"/>
    <w:rsid w:val="42463094"/>
    <w:rsid w:val="424C5F21"/>
    <w:rsid w:val="424E5FF8"/>
    <w:rsid w:val="4255069A"/>
    <w:rsid w:val="42561003"/>
    <w:rsid w:val="42605752"/>
    <w:rsid w:val="42647A76"/>
    <w:rsid w:val="426A3A0D"/>
    <w:rsid w:val="42707808"/>
    <w:rsid w:val="427D4D85"/>
    <w:rsid w:val="427D65EC"/>
    <w:rsid w:val="428538FD"/>
    <w:rsid w:val="429207CF"/>
    <w:rsid w:val="429531AD"/>
    <w:rsid w:val="42A1256C"/>
    <w:rsid w:val="42A22B62"/>
    <w:rsid w:val="42A41372"/>
    <w:rsid w:val="42AB717C"/>
    <w:rsid w:val="42AF47AE"/>
    <w:rsid w:val="42B23A70"/>
    <w:rsid w:val="42B54AEB"/>
    <w:rsid w:val="42B67708"/>
    <w:rsid w:val="42BE1C33"/>
    <w:rsid w:val="42C2622E"/>
    <w:rsid w:val="42C70DDA"/>
    <w:rsid w:val="42CB0650"/>
    <w:rsid w:val="42CB6408"/>
    <w:rsid w:val="42CF6CAF"/>
    <w:rsid w:val="42DE4B11"/>
    <w:rsid w:val="42E251BF"/>
    <w:rsid w:val="42EE1401"/>
    <w:rsid w:val="42EE163A"/>
    <w:rsid w:val="42F80BA4"/>
    <w:rsid w:val="431357B5"/>
    <w:rsid w:val="43150A3B"/>
    <w:rsid w:val="431D144F"/>
    <w:rsid w:val="431E66A1"/>
    <w:rsid w:val="432257B3"/>
    <w:rsid w:val="432506A7"/>
    <w:rsid w:val="43302BBB"/>
    <w:rsid w:val="433C0FBF"/>
    <w:rsid w:val="4341730F"/>
    <w:rsid w:val="43432E7C"/>
    <w:rsid w:val="43456981"/>
    <w:rsid w:val="43456F90"/>
    <w:rsid w:val="43477E91"/>
    <w:rsid w:val="434A599E"/>
    <w:rsid w:val="43530E6F"/>
    <w:rsid w:val="43557AD9"/>
    <w:rsid w:val="4358701D"/>
    <w:rsid w:val="4359242C"/>
    <w:rsid w:val="43596F4F"/>
    <w:rsid w:val="43625840"/>
    <w:rsid w:val="43626C1D"/>
    <w:rsid w:val="43650C36"/>
    <w:rsid w:val="43664B49"/>
    <w:rsid w:val="43697925"/>
    <w:rsid w:val="4373087A"/>
    <w:rsid w:val="43794FA9"/>
    <w:rsid w:val="438230E5"/>
    <w:rsid w:val="43873704"/>
    <w:rsid w:val="43882CF5"/>
    <w:rsid w:val="438838B8"/>
    <w:rsid w:val="43984FA7"/>
    <w:rsid w:val="439D49E2"/>
    <w:rsid w:val="43A4164B"/>
    <w:rsid w:val="43A41FAA"/>
    <w:rsid w:val="43A550C4"/>
    <w:rsid w:val="43AC6F7A"/>
    <w:rsid w:val="43AE6822"/>
    <w:rsid w:val="43B1097B"/>
    <w:rsid w:val="43BC4B33"/>
    <w:rsid w:val="43BC71BD"/>
    <w:rsid w:val="43BF7264"/>
    <w:rsid w:val="43C2728F"/>
    <w:rsid w:val="43CC31BB"/>
    <w:rsid w:val="43CF258B"/>
    <w:rsid w:val="43D13412"/>
    <w:rsid w:val="43D551B0"/>
    <w:rsid w:val="43D61CCF"/>
    <w:rsid w:val="43D80B2A"/>
    <w:rsid w:val="43DB3EE9"/>
    <w:rsid w:val="43E270F3"/>
    <w:rsid w:val="43E64675"/>
    <w:rsid w:val="43F93504"/>
    <w:rsid w:val="44024DF9"/>
    <w:rsid w:val="440F2E34"/>
    <w:rsid w:val="44146A9A"/>
    <w:rsid w:val="441C5F05"/>
    <w:rsid w:val="441C672E"/>
    <w:rsid w:val="441E4BDC"/>
    <w:rsid w:val="441F0D39"/>
    <w:rsid w:val="442267C8"/>
    <w:rsid w:val="442400B0"/>
    <w:rsid w:val="44244BCB"/>
    <w:rsid w:val="44302BFC"/>
    <w:rsid w:val="44337FB9"/>
    <w:rsid w:val="444E3FB7"/>
    <w:rsid w:val="445B0AF7"/>
    <w:rsid w:val="4463072F"/>
    <w:rsid w:val="44692B43"/>
    <w:rsid w:val="446A68AD"/>
    <w:rsid w:val="446F1266"/>
    <w:rsid w:val="44703ED1"/>
    <w:rsid w:val="447836DD"/>
    <w:rsid w:val="447E3257"/>
    <w:rsid w:val="44885C00"/>
    <w:rsid w:val="44890522"/>
    <w:rsid w:val="4489659E"/>
    <w:rsid w:val="448E25A9"/>
    <w:rsid w:val="44983701"/>
    <w:rsid w:val="449B6F94"/>
    <w:rsid w:val="449C401E"/>
    <w:rsid w:val="449F0313"/>
    <w:rsid w:val="44A24290"/>
    <w:rsid w:val="44A52C5E"/>
    <w:rsid w:val="44B06339"/>
    <w:rsid w:val="44B453B7"/>
    <w:rsid w:val="44B62148"/>
    <w:rsid w:val="44CF45BE"/>
    <w:rsid w:val="44D432CF"/>
    <w:rsid w:val="44E82BA2"/>
    <w:rsid w:val="44EA7C30"/>
    <w:rsid w:val="44EC609C"/>
    <w:rsid w:val="44EF465A"/>
    <w:rsid w:val="44F02953"/>
    <w:rsid w:val="44F22D2D"/>
    <w:rsid w:val="44F8312A"/>
    <w:rsid w:val="44FE20A4"/>
    <w:rsid w:val="450722DF"/>
    <w:rsid w:val="45076522"/>
    <w:rsid w:val="45136F06"/>
    <w:rsid w:val="451A046B"/>
    <w:rsid w:val="45233410"/>
    <w:rsid w:val="4523610A"/>
    <w:rsid w:val="453308F1"/>
    <w:rsid w:val="454D6AD1"/>
    <w:rsid w:val="454F64A4"/>
    <w:rsid w:val="45505947"/>
    <w:rsid w:val="45537AA5"/>
    <w:rsid w:val="45596FC7"/>
    <w:rsid w:val="455A2059"/>
    <w:rsid w:val="455E6B73"/>
    <w:rsid w:val="455F1CBD"/>
    <w:rsid w:val="456019BA"/>
    <w:rsid w:val="456416C0"/>
    <w:rsid w:val="456F7F97"/>
    <w:rsid w:val="457058EB"/>
    <w:rsid w:val="457118E8"/>
    <w:rsid w:val="45752B20"/>
    <w:rsid w:val="45762886"/>
    <w:rsid w:val="457811A9"/>
    <w:rsid w:val="45856A63"/>
    <w:rsid w:val="45905417"/>
    <w:rsid w:val="45925C03"/>
    <w:rsid w:val="4599316C"/>
    <w:rsid w:val="459D018A"/>
    <w:rsid w:val="45A225AE"/>
    <w:rsid w:val="45AB1E36"/>
    <w:rsid w:val="45AD2F03"/>
    <w:rsid w:val="45AE3887"/>
    <w:rsid w:val="45B10D79"/>
    <w:rsid w:val="45B11879"/>
    <w:rsid w:val="45B33273"/>
    <w:rsid w:val="45B871D9"/>
    <w:rsid w:val="45C27438"/>
    <w:rsid w:val="45D1079E"/>
    <w:rsid w:val="45D25D77"/>
    <w:rsid w:val="45D725AF"/>
    <w:rsid w:val="45DE201D"/>
    <w:rsid w:val="45E0678A"/>
    <w:rsid w:val="45F46257"/>
    <w:rsid w:val="45F95D04"/>
    <w:rsid w:val="45FE770B"/>
    <w:rsid w:val="460A3EB2"/>
    <w:rsid w:val="460F4F81"/>
    <w:rsid w:val="46127344"/>
    <w:rsid w:val="4613078A"/>
    <w:rsid w:val="461D68A3"/>
    <w:rsid w:val="461E7DFB"/>
    <w:rsid w:val="4624149A"/>
    <w:rsid w:val="4625335D"/>
    <w:rsid w:val="462760A7"/>
    <w:rsid w:val="462C3E5D"/>
    <w:rsid w:val="462D4FF2"/>
    <w:rsid w:val="463738A8"/>
    <w:rsid w:val="463B0984"/>
    <w:rsid w:val="463D3464"/>
    <w:rsid w:val="463F7FE7"/>
    <w:rsid w:val="46430613"/>
    <w:rsid w:val="465C5C1F"/>
    <w:rsid w:val="4663018D"/>
    <w:rsid w:val="46654A51"/>
    <w:rsid w:val="466A2D59"/>
    <w:rsid w:val="467F664E"/>
    <w:rsid w:val="46803068"/>
    <w:rsid w:val="46831232"/>
    <w:rsid w:val="46851E0B"/>
    <w:rsid w:val="46853F02"/>
    <w:rsid w:val="468C2ECA"/>
    <w:rsid w:val="468F1343"/>
    <w:rsid w:val="46940EBA"/>
    <w:rsid w:val="469F5D97"/>
    <w:rsid w:val="46A07E13"/>
    <w:rsid w:val="46A07F46"/>
    <w:rsid w:val="46A84705"/>
    <w:rsid w:val="46AD3CBF"/>
    <w:rsid w:val="46BE1238"/>
    <w:rsid w:val="46C105D9"/>
    <w:rsid w:val="46C3272B"/>
    <w:rsid w:val="46C479DF"/>
    <w:rsid w:val="46CC15BC"/>
    <w:rsid w:val="46CD5833"/>
    <w:rsid w:val="46D07D8F"/>
    <w:rsid w:val="46D56633"/>
    <w:rsid w:val="46D709DD"/>
    <w:rsid w:val="46DA0E73"/>
    <w:rsid w:val="46DE689C"/>
    <w:rsid w:val="46E23CD2"/>
    <w:rsid w:val="46E92B06"/>
    <w:rsid w:val="46F21B51"/>
    <w:rsid w:val="46F44DD9"/>
    <w:rsid w:val="470A3B3A"/>
    <w:rsid w:val="470C4453"/>
    <w:rsid w:val="47104B62"/>
    <w:rsid w:val="47175B97"/>
    <w:rsid w:val="47180E78"/>
    <w:rsid w:val="471C7948"/>
    <w:rsid w:val="4720020C"/>
    <w:rsid w:val="47370519"/>
    <w:rsid w:val="473D5421"/>
    <w:rsid w:val="473E21FC"/>
    <w:rsid w:val="47421C7E"/>
    <w:rsid w:val="474346EC"/>
    <w:rsid w:val="475E1F41"/>
    <w:rsid w:val="475E6B0D"/>
    <w:rsid w:val="47602E80"/>
    <w:rsid w:val="476409C8"/>
    <w:rsid w:val="476D30A7"/>
    <w:rsid w:val="47775DA0"/>
    <w:rsid w:val="477F7800"/>
    <w:rsid w:val="478453D0"/>
    <w:rsid w:val="4785403C"/>
    <w:rsid w:val="4785797A"/>
    <w:rsid w:val="47931FD5"/>
    <w:rsid w:val="47937247"/>
    <w:rsid w:val="47991EC0"/>
    <w:rsid w:val="479A61F3"/>
    <w:rsid w:val="47A037F9"/>
    <w:rsid w:val="47A36A10"/>
    <w:rsid w:val="47A411A1"/>
    <w:rsid w:val="47A966F1"/>
    <w:rsid w:val="47AA41DB"/>
    <w:rsid w:val="47AB60FD"/>
    <w:rsid w:val="47AD48BB"/>
    <w:rsid w:val="47AE1F4A"/>
    <w:rsid w:val="47B15523"/>
    <w:rsid w:val="47C73049"/>
    <w:rsid w:val="47CD4FF0"/>
    <w:rsid w:val="47CE37AF"/>
    <w:rsid w:val="47EB5FBB"/>
    <w:rsid w:val="47ED3267"/>
    <w:rsid w:val="47ED7853"/>
    <w:rsid w:val="47F47268"/>
    <w:rsid w:val="47F52137"/>
    <w:rsid w:val="480450BC"/>
    <w:rsid w:val="480B24B4"/>
    <w:rsid w:val="480D7C89"/>
    <w:rsid w:val="480F3B01"/>
    <w:rsid w:val="48152D93"/>
    <w:rsid w:val="481C6E68"/>
    <w:rsid w:val="481E5043"/>
    <w:rsid w:val="482004D9"/>
    <w:rsid w:val="48202656"/>
    <w:rsid w:val="482563B7"/>
    <w:rsid w:val="482718C7"/>
    <w:rsid w:val="48283C76"/>
    <w:rsid w:val="482A5A18"/>
    <w:rsid w:val="482D7C01"/>
    <w:rsid w:val="48353D17"/>
    <w:rsid w:val="48380F08"/>
    <w:rsid w:val="48393E06"/>
    <w:rsid w:val="483B3DE9"/>
    <w:rsid w:val="483E502C"/>
    <w:rsid w:val="48403BBB"/>
    <w:rsid w:val="484E7693"/>
    <w:rsid w:val="485465DE"/>
    <w:rsid w:val="486810BC"/>
    <w:rsid w:val="486E52D5"/>
    <w:rsid w:val="48710302"/>
    <w:rsid w:val="48741761"/>
    <w:rsid w:val="48776572"/>
    <w:rsid w:val="4878607B"/>
    <w:rsid w:val="487D2952"/>
    <w:rsid w:val="4882795C"/>
    <w:rsid w:val="48853CC3"/>
    <w:rsid w:val="48874181"/>
    <w:rsid w:val="4888600F"/>
    <w:rsid w:val="488A2686"/>
    <w:rsid w:val="48901BA7"/>
    <w:rsid w:val="48970BDD"/>
    <w:rsid w:val="489D0E79"/>
    <w:rsid w:val="48A01926"/>
    <w:rsid w:val="48A66B75"/>
    <w:rsid w:val="48AB5A46"/>
    <w:rsid w:val="48B4534F"/>
    <w:rsid w:val="48B52BB1"/>
    <w:rsid w:val="48B56ACE"/>
    <w:rsid w:val="48BF0F83"/>
    <w:rsid w:val="48BF5F1D"/>
    <w:rsid w:val="48C10DE4"/>
    <w:rsid w:val="48CF282B"/>
    <w:rsid w:val="48CF5638"/>
    <w:rsid w:val="48CF63D1"/>
    <w:rsid w:val="48D16F09"/>
    <w:rsid w:val="48D254A8"/>
    <w:rsid w:val="48DB2772"/>
    <w:rsid w:val="48DD2424"/>
    <w:rsid w:val="48F013F9"/>
    <w:rsid w:val="48FF1459"/>
    <w:rsid w:val="48FF7CAD"/>
    <w:rsid w:val="49003346"/>
    <w:rsid w:val="490E5A67"/>
    <w:rsid w:val="490E6001"/>
    <w:rsid w:val="491144C7"/>
    <w:rsid w:val="49136CEA"/>
    <w:rsid w:val="49196974"/>
    <w:rsid w:val="491A265E"/>
    <w:rsid w:val="492970EC"/>
    <w:rsid w:val="492E010A"/>
    <w:rsid w:val="493A5878"/>
    <w:rsid w:val="493F332F"/>
    <w:rsid w:val="49416E06"/>
    <w:rsid w:val="494B7CD7"/>
    <w:rsid w:val="4958213F"/>
    <w:rsid w:val="495C25E7"/>
    <w:rsid w:val="495C632F"/>
    <w:rsid w:val="496161CE"/>
    <w:rsid w:val="496D1D2D"/>
    <w:rsid w:val="4973264F"/>
    <w:rsid w:val="497621BB"/>
    <w:rsid w:val="497B0CBE"/>
    <w:rsid w:val="497E2BEC"/>
    <w:rsid w:val="4986132B"/>
    <w:rsid w:val="498B5309"/>
    <w:rsid w:val="498E3757"/>
    <w:rsid w:val="49924247"/>
    <w:rsid w:val="49932E75"/>
    <w:rsid w:val="499A4867"/>
    <w:rsid w:val="499C0F86"/>
    <w:rsid w:val="49A31BD5"/>
    <w:rsid w:val="49B338A0"/>
    <w:rsid w:val="49B36D3F"/>
    <w:rsid w:val="49B46D82"/>
    <w:rsid w:val="49B8377E"/>
    <w:rsid w:val="49BE397A"/>
    <w:rsid w:val="49C0078F"/>
    <w:rsid w:val="49C72C3F"/>
    <w:rsid w:val="49D03F94"/>
    <w:rsid w:val="49D81FB2"/>
    <w:rsid w:val="49D917E1"/>
    <w:rsid w:val="49DD6EF4"/>
    <w:rsid w:val="49E4736C"/>
    <w:rsid w:val="49E61653"/>
    <w:rsid w:val="49E910DC"/>
    <w:rsid w:val="49EA68D4"/>
    <w:rsid w:val="49EB73CA"/>
    <w:rsid w:val="49EC47F3"/>
    <w:rsid w:val="49F206AB"/>
    <w:rsid w:val="49F36E45"/>
    <w:rsid w:val="49F87577"/>
    <w:rsid w:val="49F96717"/>
    <w:rsid w:val="49FC2FF6"/>
    <w:rsid w:val="4A1862C2"/>
    <w:rsid w:val="4A1E4972"/>
    <w:rsid w:val="4A284C7C"/>
    <w:rsid w:val="4A321AEF"/>
    <w:rsid w:val="4A3E5DEF"/>
    <w:rsid w:val="4A4651F2"/>
    <w:rsid w:val="4A482F5D"/>
    <w:rsid w:val="4A4A7762"/>
    <w:rsid w:val="4A526E3F"/>
    <w:rsid w:val="4A543D3C"/>
    <w:rsid w:val="4A69564B"/>
    <w:rsid w:val="4A6D1112"/>
    <w:rsid w:val="4A6E2D33"/>
    <w:rsid w:val="4A724F2D"/>
    <w:rsid w:val="4A767E21"/>
    <w:rsid w:val="4A7A2F7F"/>
    <w:rsid w:val="4A811D6A"/>
    <w:rsid w:val="4A82495E"/>
    <w:rsid w:val="4A83270A"/>
    <w:rsid w:val="4A847FA5"/>
    <w:rsid w:val="4A8835F7"/>
    <w:rsid w:val="4A9133F5"/>
    <w:rsid w:val="4A9209C9"/>
    <w:rsid w:val="4A9217EE"/>
    <w:rsid w:val="4A9401EE"/>
    <w:rsid w:val="4A9A6C3B"/>
    <w:rsid w:val="4A9B5A87"/>
    <w:rsid w:val="4AAC3588"/>
    <w:rsid w:val="4AB27B28"/>
    <w:rsid w:val="4AB515BF"/>
    <w:rsid w:val="4AB63D60"/>
    <w:rsid w:val="4AB8697B"/>
    <w:rsid w:val="4ABA7828"/>
    <w:rsid w:val="4AC12010"/>
    <w:rsid w:val="4AC241FD"/>
    <w:rsid w:val="4AC5588E"/>
    <w:rsid w:val="4ACA2712"/>
    <w:rsid w:val="4ACA6F28"/>
    <w:rsid w:val="4ACE54AE"/>
    <w:rsid w:val="4AD16450"/>
    <w:rsid w:val="4AE66C9B"/>
    <w:rsid w:val="4AE82826"/>
    <w:rsid w:val="4AEF386B"/>
    <w:rsid w:val="4AF83E87"/>
    <w:rsid w:val="4AF92E3E"/>
    <w:rsid w:val="4B0025AE"/>
    <w:rsid w:val="4B0B4444"/>
    <w:rsid w:val="4B0F6ECF"/>
    <w:rsid w:val="4B1675C2"/>
    <w:rsid w:val="4B180E1F"/>
    <w:rsid w:val="4B1D367F"/>
    <w:rsid w:val="4B1E705C"/>
    <w:rsid w:val="4B2140D9"/>
    <w:rsid w:val="4B283BC7"/>
    <w:rsid w:val="4B374D49"/>
    <w:rsid w:val="4B3A1A9A"/>
    <w:rsid w:val="4B3F5DA0"/>
    <w:rsid w:val="4B446639"/>
    <w:rsid w:val="4B4674A0"/>
    <w:rsid w:val="4B4841DC"/>
    <w:rsid w:val="4B4A3D7E"/>
    <w:rsid w:val="4B5E2E72"/>
    <w:rsid w:val="4B600B4D"/>
    <w:rsid w:val="4B742175"/>
    <w:rsid w:val="4B792497"/>
    <w:rsid w:val="4B8503C5"/>
    <w:rsid w:val="4B851ED9"/>
    <w:rsid w:val="4B866E47"/>
    <w:rsid w:val="4B881902"/>
    <w:rsid w:val="4B8A0D83"/>
    <w:rsid w:val="4B8B013E"/>
    <w:rsid w:val="4B8B76D7"/>
    <w:rsid w:val="4B8D4F6F"/>
    <w:rsid w:val="4B933438"/>
    <w:rsid w:val="4B964478"/>
    <w:rsid w:val="4B9C6F16"/>
    <w:rsid w:val="4B9D37FE"/>
    <w:rsid w:val="4BA127CB"/>
    <w:rsid w:val="4BAF16E1"/>
    <w:rsid w:val="4BB051A9"/>
    <w:rsid w:val="4BB53D5C"/>
    <w:rsid w:val="4BBB673C"/>
    <w:rsid w:val="4BC10BAC"/>
    <w:rsid w:val="4BC5715A"/>
    <w:rsid w:val="4BC919E2"/>
    <w:rsid w:val="4BD770F2"/>
    <w:rsid w:val="4BEF7DC6"/>
    <w:rsid w:val="4BF12203"/>
    <w:rsid w:val="4BF342DA"/>
    <w:rsid w:val="4BFD0485"/>
    <w:rsid w:val="4BFE4C29"/>
    <w:rsid w:val="4C000F3D"/>
    <w:rsid w:val="4C017854"/>
    <w:rsid w:val="4C04660E"/>
    <w:rsid w:val="4C07336D"/>
    <w:rsid w:val="4C082453"/>
    <w:rsid w:val="4C0B37A0"/>
    <w:rsid w:val="4C0B4751"/>
    <w:rsid w:val="4C0C5932"/>
    <w:rsid w:val="4C18303D"/>
    <w:rsid w:val="4C1A4F8A"/>
    <w:rsid w:val="4C223979"/>
    <w:rsid w:val="4C293B66"/>
    <w:rsid w:val="4C392685"/>
    <w:rsid w:val="4C3B3FD4"/>
    <w:rsid w:val="4C465518"/>
    <w:rsid w:val="4C492858"/>
    <w:rsid w:val="4C4B0D80"/>
    <w:rsid w:val="4C4B19D1"/>
    <w:rsid w:val="4C4C08D3"/>
    <w:rsid w:val="4C4D7B34"/>
    <w:rsid w:val="4C530370"/>
    <w:rsid w:val="4C5857D0"/>
    <w:rsid w:val="4C696F91"/>
    <w:rsid w:val="4C6B71D8"/>
    <w:rsid w:val="4C6D0DEC"/>
    <w:rsid w:val="4C7506BF"/>
    <w:rsid w:val="4C784444"/>
    <w:rsid w:val="4C795D27"/>
    <w:rsid w:val="4C7F2F3B"/>
    <w:rsid w:val="4C856040"/>
    <w:rsid w:val="4C863F4F"/>
    <w:rsid w:val="4C8753FB"/>
    <w:rsid w:val="4C8D1225"/>
    <w:rsid w:val="4C8D15AA"/>
    <w:rsid w:val="4C956FC0"/>
    <w:rsid w:val="4C9F67E0"/>
    <w:rsid w:val="4CA22F28"/>
    <w:rsid w:val="4CAA1F74"/>
    <w:rsid w:val="4CAC5042"/>
    <w:rsid w:val="4CBA4F09"/>
    <w:rsid w:val="4CBB26C8"/>
    <w:rsid w:val="4CC2242C"/>
    <w:rsid w:val="4CC26F3C"/>
    <w:rsid w:val="4CCE7188"/>
    <w:rsid w:val="4CCF2AB1"/>
    <w:rsid w:val="4CD55219"/>
    <w:rsid w:val="4CD677AB"/>
    <w:rsid w:val="4CD925A0"/>
    <w:rsid w:val="4CDF5A71"/>
    <w:rsid w:val="4CE27936"/>
    <w:rsid w:val="4CE50FF4"/>
    <w:rsid w:val="4CEA3EA2"/>
    <w:rsid w:val="4CEE7575"/>
    <w:rsid w:val="4CF62AEF"/>
    <w:rsid w:val="4CFC13FE"/>
    <w:rsid w:val="4CFF53E0"/>
    <w:rsid w:val="4D0D641F"/>
    <w:rsid w:val="4D0D6F14"/>
    <w:rsid w:val="4D1002BC"/>
    <w:rsid w:val="4D101C3A"/>
    <w:rsid w:val="4D151ABA"/>
    <w:rsid w:val="4D190ACD"/>
    <w:rsid w:val="4D1B69A4"/>
    <w:rsid w:val="4D1D3EFD"/>
    <w:rsid w:val="4D203FBB"/>
    <w:rsid w:val="4D205A88"/>
    <w:rsid w:val="4D2E00B9"/>
    <w:rsid w:val="4D3449B3"/>
    <w:rsid w:val="4D371EE4"/>
    <w:rsid w:val="4D3C48C9"/>
    <w:rsid w:val="4D3E571F"/>
    <w:rsid w:val="4D4371A8"/>
    <w:rsid w:val="4D4C4071"/>
    <w:rsid w:val="4D4F37FE"/>
    <w:rsid w:val="4D5123C6"/>
    <w:rsid w:val="4D583FD4"/>
    <w:rsid w:val="4D5C7D62"/>
    <w:rsid w:val="4D623BC4"/>
    <w:rsid w:val="4D651BC2"/>
    <w:rsid w:val="4D764380"/>
    <w:rsid w:val="4D797A6F"/>
    <w:rsid w:val="4D861083"/>
    <w:rsid w:val="4D971F13"/>
    <w:rsid w:val="4D9E498F"/>
    <w:rsid w:val="4D9F59E5"/>
    <w:rsid w:val="4DA41EDF"/>
    <w:rsid w:val="4DA643B3"/>
    <w:rsid w:val="4DA94689"/>
    <w:rsid w:val="4DA95B31"/>
    <w:rsid w:val="4DAF4ED9"/>
    <w:rsid w:val="4DB37A81"/>
    <w:rsid w:val="4DB53202"/>
    <w:rsid w:val="4DBD1662"/>
    <w:rsid w:val="4DBF2DAF"/>
    <w:rsid w:val="4DC2278F"/>
    <w:rsid w:val="4DC36B90"/>
    <w:rsid w:val="4DC70015"/>
    <w:rsid w:val="4DCF5438"/>
    <w:rsid w:val="4DD14F9F"/>
    <w:rsid w:val="4DD76D6F"/>
    <w:rsid w:val="4DD93F24"/>
    <w:rsid w:val="4DD9572C"/>
    <w:rsid w:val="4DDA7402"/>
    <w:rsid w:val="4DDE7E49"/>
    <w:rsid w:val="4DE57D99"/>
    <w:rsid w:val="4DE66A92"/>
    <w:rsid w:val="4DE6704E"/>
    <w:rsid w:val="4DF66924"/>
    <w:rsid w:val="4DFA7811"/>
    <w:rsid w:val="4DFE1F46"/>
    <w:rsid w:val="4E023111"/>
    <w:rsid w:val="4E03444D"/>
    <w:rsid w:val="4E0B041B"/>
    <w:rsid w:val="4E0F1A70"/>
    <w:rsid w:val="4E110555"/>
    <w:rsid w:val="4E1771BE"/>
    <w:rsid w:val="4E1B3EB6"/>
    <w:rsid w:val="4E225815"/>
    <w:rsid w:val="4E273FA4"/>
    <w:rsid w:val="4E323300"/>
    <w:rsid w:val="4E3264B4"/>
    <w:rsid w:val="4E3A5924"/>
    <w:rsid w:val="4E4631AF"/>
    <w:rsid w:val="4E4E7137"/>
    <w:rsid w:val="4E50267E"/>
    <w:rsid w:val="4E554C43"/>
    <w:rsid w:val="4E554C8F"/>
    <w:rsid w:val="4E5C776C"/>
    <w:rsid w:val="4E5D2ED7"/>
    <w:rsid w:val="4E5D78B4"/>
    <w:rsid w:val="4E606918"/>
    <w:rsid w:val="4E614E64"/>
    <w:rsid w:val="4E6B0267"/>
    <w:rsid w:val="4E764934"/>
    <w:rsid w:val="4E810057"/>
    <w:rsid w:val="4E8278F9"/>
    <w:rsid w:val="4E8461A2"/>
    <w:rsid w:val="4E880A1B"/>
    <w:rsid w:val="4E9B16F6"/>
    <w:rsid w:val="4EA52B5C"/>
    <w:rsid w:val="4EAD0B3C"/>
    <w:rsid w:val="4EB5727D"/>
    <w:rsid w:val="4EB76BAC"/>
    <w:rsid w:val="4EBC1F4A"/>
    <w:rsid w:val="4EC1082B"/>
    <w:rsid w:val="4EC30082"/>
    <w:rsid w:val="4ECA4646"/>
    <w:rsid w:val="4ECD4A7F"/>
    <w:rsid w:val="4ED27537"/>
    <w:rsid w:val="4ED62824"/>
    <w:rsid w:val="4ED66454"/>
    <w:rsid w:val="4EE34645"/>
    <w:rsid w:val="4EF4687A"/>
    <w:rsid w:val="4EF523AD"/>
    <w:rsid w:val="4EFE1B25"/>
    <w:rsid w:val="4EFE649A"/>
    <w:rsid w:val="4F006159"/>
    <w:rsid w:val="4F0C4717"/>
    <w:rsid w:val="4F102A9E"/>
    <w:rsid w:val="4F130C3E"/>
    <w:rsid w:val="4F1C55EB"/>
    <w:rsid w:val="4F20435C"/>
    <w:rsid w:val="4F2068BF"/>
    <w:rsid w:val="4F265E90"/>
    <w:rsid w:val="4F271B58"/>
    <w:rsid w:val="4F32048D"/>
    <w:rsid w:val="4F3829B7"/>
    <w:rsid w:val="4F3903E0"/>
    <w:rsid w:val="4F3A51D7"/>
    <w:rsid w:val="4F400385"/>
    <w:rsid w:val="4F465B59"/>
    <w:rsid w:val="4F551B82"/>
    <w:rsid w:val="4F5608BF"/>
    <w:rsid w:val="4F571E0E"/>
    <w:rsid w:val="4F597299"/>
    <w:rsid w:val="4F5D0789"/>
    <w:rsid w:val="4F5F4FC9"/>
    <w:rsid w:val="4F6665FD"/>
    <w:rsid w:val="4F6C4B8B"/>
    <w:rsid w:val="4F6F7322"/>
    <w:rsid w:val="4F7349A0"/>
    <w:rsid w:val="4F794BDC"/>
    <w:rsid w:val="4F7C0869"/>
    <w:rsid w:val="4F820F5D"/>
    <w:rsid w:val="4F88217B"/>
    <w:rsid w:val="4F9547EC"/>
    <w:rsid w:val="4F9C09BE"/>
    <w:rsid w:val="4F9E2A25"/>
    <w:rsid w:val="4F9F115C"/>
    <w:rsid w:val="4F9F38BD"/>
    <w:rsid w:val="4FA72A57"/>
    <w:rsid w:val="4FA73473"/>
    <w:rsid w:val="4FA9629E"/>
    <w:rsid w:val="4FB05ACA"/>
    <w:rsid w:val="4FC62ADF"/>
    <w:rsid w:val="4FC77F19"/>
    <w:rsid w:val="4FCB5B8A"/>
    <w:rsid w:val="4FD24D00"/>
    <w:rsid w:val="4FD56299"/>
    <w:rsid w:val="4FD86760"/>
    <w:rsid w:val="4FD95A4B"/>
    <w:rsid w:val="4FE07A39"/>
    <w:rsid w:val="4FE45773"/>
    <w:rsid w:val="4FE71930"/>
    <w:rsid w:val="4FEC2242"/>
    <w:rsid w:val="4FED1BDF"/>
    <w:rsid w:val="4FF370E6"/>
    <w:rsid w:val="4FFA287C"/>
    <w:rsid w:val="50045CCC"/>
    <w:rsid w:val="50055B12"/>
    <w:rsid w:val="5005648E"/>
    <w:rsid w:val="500663B0"/>
    <w:rsid w:val="50092323"/>
    <w:rsid w:val="500A3BE8"/>
    <w:rsid w:val="500D7DDB"/>
    <w:rsid w:val="5010702B"/>
    <w:rsid w:val="5017437F"/>
    <w:rsid w:val="50266687"/>
    <w:rsid w:val="5030502F"/>
    <w:rsid w:val="503D76C1"/>
    <w:rsid w:val="503E7F27"/>
    <w:rsid w:val="5045398E"/>
    <w:rsid w:val="50470B5B"/>
    <w:rsid w:val="50581CD7"/>
    <w:rsid w:val="5059216A"/>
    <w:rsid w:val="505D0E38"/>
    <w:rsid w:val="505D28A7"/>
    <w:rsid w:val="506348DD"/>
    <w:rsid w:val="50662266"/>
    <w:rsid w:val="506704C1"/>
    <w:rsid w:val="50687F90"/>
    <w:rsid w:val="506965F3"/>
    <w:rsid w:val="50722D7F"/>
    <w:rsid w:val="50826F74"/>
    <w:rsid w:val="508A4882"/>
    <w:rsid w:val="509124E4"/>
    <w:rsid w:val="50920C07"/>
    <w:rsid w:val="509326EF"/>
    <w:rsid w:val="50940F47"/>
    <w:rsid w:val="509E5922"/>
    <w:rsid w:val="50A078EC"/>
    <w:rsid w:val="50A733E4"/>
    <w:rsid w:val="50AB7FE5"/>
    <w:rsid w:val="50AC1C0B"/>
    <w:rsid w:val="50AF1BE4"/>
    <w:rsid w:val="50AF3096"/>
    <w:rsid w:val="50B0569F"/>
    <w:rsid w:val="50B14018"/>
    <w:rsid w:val="50B24C62"/>
    <w:rsid w:val="50B378E7"/>
    <w:rsid w:val="50BA2512"/>
    <w:rsid w:val="50BC096E"/>
    <w:rsid w:val="50BE59D7"/>
    <w:rsid w:val="50C82E64"/>
    <w:rsid w:val="50C946C0"/>
    <w:rsid w:val="50C94F3E"/>
    <w:rsid w:val="50C95288"/>
    <w:rsid w:val="50CA2E11"/>
    <w:rsid w:val="50D6600E"/>
    <w:rsid w:val="50E14E4C"/>
    <w:rsid w:val="50E36E98"/>
    <w:rsid w:val="50F64C9E"/>
    <w:rsid w:val="50F64EAD"/>
    <w:rsid w:val="50FC5EAA"/>
    <w:rsid w:val="50FE5929"/>
    <w:rsid w:val="510008AB"/>
    <w:rsid w:val="51076D34"/>
    <w:rsid w:val="51082C2B"/>
    <w:rsid w:val="511A54D8"/>
    <w:rsid w:val="511B51C5"/>
    <w:rsid w:val="51326EC4"/>
    <w:rsid w:val="51351F21"/>
    <w:rsid w:val="513C7E66"/>
    <w:rsid w:val="513D5484"/>
    <w:rsid w:val="51403F1E"/>
    <w:rsid w:val="514C35D0"/>
    <w:rsid w:val="515210F1"/>
    <w:rsid w:val="51597A9B"/>
    <w:rsid w:val="515C5A24"/>
    <w:rsid w:val="515E50B1"/>
    <w:rsid w:val="515F0966"/>
    <w:rsid w:val="5160572D"/>
    <w:rsid w:val="516733D0"/>
    <w:rsid w:val="51790E8E"/>
    <w:rsid w:val="51865F1F"/>
    <w:rsid w:val="518D6DAD"/>
    <w:rsid w:val="518F5FB7"/>
    <w:rsid w:val="519330A9"/>
    <w:rsid w:val="5196149A"/>
    <w:rsid w:val="51A86C4C"/>
    <w:rsid w:val="51AC06EC"/>
    <w:rsid w:val="51B076D8"/>
    <w:rsid w:val="51B17F91"/>
    <w:rsid w:val="51B35025"/>
    <w:rsid w:val="51B66629"/>
    <w:rsid w:val="51B827F6"/>
    <w:rsid w:val="51B849A0"/>
    <w:rsid w:val="51BA4743"/>
    <w:rsid w:val="51C70891"/>
    <w:rsid w:val="51D11935"/>
    <w:rsid w:val="51D32BCD"/>
    <w:rsid w:val="51DC0D06"/>
    <w:rsid w:val="51E245DC"/>
    <w:rsid w:val="51E65978"/>
    <w:rsid w:val="51E75981"/>
    <w:rsid w:val="52032F97"/>
    <w:rsid w:val="52114B87"/>
    <w:rsid w:val="52133489"/>
    <w:rsid w:val="52137CEA"/>
    <w:rsid w:val="52143CA5"/>
    <w:rsid w:val="5219104F"/>
    <w:rsid w:val="521C77AA"/>
    <w:rsid w:val="522462FB"/>
    <w:rsid w:val="52290ED6"/>
    <w:rsid w:val="522D7B75"/>
    <w:rsid w:val="523115C9"/>
    <w:rsid w:val="52314BAE"/>
    <w:rsid w:val="52392094"/>
    <w:rsid w:val="523B15F2"/>
    <w:rsid w:val="524025DA"/>
    <w:rsid w:val="524349D3"/>
    <w:rsid w:val="52456604"/>
    <w:rsid w:val="52462F70"/>
    <w:rsid w:val="525334B1"/>
    <w:rsid w:val="526203BC"/>
    <w:rsid w:val="52636E29"/>
    <w:rsid w:val="526A7AFF"/>
    <w:rsid w:val="526C45D5"/>
    <w:rsid w:val="526E1420"/>
    <w:rsid w:val="527E5A0B"/>
    <w:rsid w:val="52904514"/>
    <w:rsid w:val="52915248"/>
    <w:rsid w:val="52984584"/>
    <w:rsid w:val="529A7982"/>
    <w:rsid w:val="529C5B4E"/>
    <w:rsid w:val="52B94AAA"/>
    <w:rsid w:val="52BD5D5B"/>
    <w:rsid w:val="52C12A87"/>
    <w:rsid w:val="52CC749D"/>
    <w:rsid w:val="52E33AC0"/>
    <w:rsid w:val="52E9650A"/>
    <w:rsid w:val="52EA56D1"/>
    <w:rsid w:val="52F00446"/>
    <w:rsid w:val="52F048D4"/>
    <w:rsid w:val="52F25BD4"/>
    <w:rsid w:val="52FD16EC"/>
    <w:rsid w:val="53043968"/>
    <w:rsid w:val="530671F8"/>
    <w:rsid w:val="53075335"/>
    <w:rsid w:val="530A2D88"/>
    <w:rsid w:val="530B51DF"/>
    <w:rsid w:val="530D4FE1"/>
    <w:rsid w:val="530E771F"/>
    <w:rsid w:val="531425FA"/>
    <w:rsid w:val="531B4E80"/>
    <w:rsid w:val="532669BD"/>
    <w:rsid w:val="53274F14"/>
    <w:rsid w:val="532A6B2B"/>
    <w:rsid w:val="533242ED"/>
    <w:rsid w:val="5333729E"/>
    <w:rsid w:val="53423AC7"/>
    <w:rsid w:val="53430A03"/>
    <w:rsid w:val="5347772F"/>
    <w:rsid w:val="5354660A"/>
    <w:rsid w:val="5354676C"/>
    <w:rsid w:val="535919FF"/>
    <w:rsid w:val="53591B21"/>
    <w:rsid w:val="536B7E56"/>
    <w:rsid w:val="536E7408"/>
    <w:rsid w:val="53770C3C"/>
    <w:rsid w:val="53773A83"/>
    <w:rsid w:val="537B5836"/>
    <w:rsid w:val="537C01FE"/>
    <w:rsid w:val="537E2392"/>
    <w:rsid w:val="537E65E6"/>
    <w:rsid w:val="53821816"/>
    <w:rsid w:val="53893B0F"/>
    <w:rsid w:val="53980D4F"/>
    <w:rsid w:val="539D019E"/>
    <w:rsid w:val="539E2330"/>
    <w:rsid w:val="53A0750E"/>
    <w:rsid w:val="53AA13F4"/>
    <w:rsid w:val="53B42813"/>
    <w:rsid w:val="53BA3903"/>
    <w:rsid w:val="53BB5665"/>
    <w:rsid w:val="53C62BFE"/>
    <w:rsid w:val="53CF51B6"/>
    <w:rsid w:val="53DB0A24"/>
    <w:rsid w:val="53EB0C5A"/>
    <w:rsid w:val="53ED3E9F"/>
    <w:rsid w:val="540327AA"/>
    <w:rsid w:val="54056EA3"/>
    <w:rsid w:val="540713D8"/>
    <w:rsid w:val="54080BB7"/>
    <w:rsid w:val="54093970"/>
    <w:rsid w:val="541505B5"/>
    <w:rsid w:val="54193549"/>
    <w:rsid w:val="541961EF"/>
    <w:rsid w:val="541A7BC5"/>
    <w:rsid w:val="54233B6C"/>
    <w:rsid w:val="54260491"/>
    <w:rsid w:val="54382642"/>
    <w:rsid w:val="543E2B33"/>
    <w:rsid w:val="54406B40"/>
    <w:rsid w:val="544762D1"/>
    <w:rsid w:val="544A741E"/>
    <w:rsid w:val="545D3A1D"/>
    <w:rsid w:val="545E72F5"/>
    <w:rsid w:val="5465628C"/>
    <w:rsid w:val="54672E50"/>
    <w:rsid w:val="54741658"/>
    <w:rsid w:val="547B4334"/>
    <w:rsid w:val="54837309"/>
    <w:rsid w:val="548602C5"/>
    <w:rsid w:val="54875072"/>
    <w:rsid w:val="54953CED"/>
    <w:rsid w:val="54971391"/>
    <w:rsid w:val="54A01DB1"/>
    <w:rsid w:val="54A639B8"/>
    <w:rsid w:val="54AB5282"/>
    <w:rsid w:val="54AC2B5B"/>
    <w:rsid w:val="54BF7165"/>
    <w:rsid w:val="54C4584A"/>
    <w:rsid w:val="54C67554"/>
    <w:rsid w:val="54CB37CB"/>
    <w:rsid w:val="54CD3EE6"/>
    <w:rsid w:val="54D45DB6"/>
    <w:rsid w:val="54DD218B"/>
    <w:rsid w:val="54F874F0"/>
    <w:rsid w:val="54FF7A03"/>
    <w:rsid w:val="55014323"/>
    <w:rsid w:val="550F67C0"/>
    <w:rsid w:val="551C0238"/>
    <w:rsid w:val="551E7258"/>
    <w:rsid w:val="55201E61"/>
    <w:rsid w:val="552175A4"/>
    <w:rsid w:val="552245E1"/>
    <w:rsid w:val="553425CD"/>
    <w:rsid w:val="55493C5A"/>
    <w:rsid w:val="55662566"/>
    <w:rsid w:val="557604A1"/>
    <w:rsid w:val="557E5681"/>
    <w:rsid w:val="558019B4"/>
    <w:rsid w:val="5582052D"/>
    <w:rsid w:val="5585670B"/>
    <w:rsid w:val="55866DBA"/>
    <w:rsid w:val="55893A52"/>
    <w:rsid w:val="558A5E75"/>
    <w:rsid w:val="55906139"/>
    <w:rsid w:val="559166EA"/>
    <w:rsid w:val="559B249D"/>
    <w:rsid w:val="55A32679"/>
    <w:rsid w:val="55A61B44"/>
    <w:rsid w:val="55B31E70"/>
    <w:rsid w:val="55B717FC"/>
    <w:rsid w:val="55BA2624"/>
    <w:rsid w:val="55BA5562"/>
    <w:rsid w:val="55CF25A3"/>
    <w:rsid w:val="55D11016"/>
    <w:rsid w:val="55E91198"/>
    <w:rsid w:val="55F374F1"/>
    <w:rsid w:val="55F92061"/>
    <w:rsid w:val="55F943A8"/>
    <w:rsid w:val="560772CF"/>
    <w:rsid w:val="560920FC"/>
    <w:rsid w:val="56113C15"/>
    <w:rsid w:val="56146B31"/>
    <w:rsid w:val="561917FF"/>
    <w:rsid w:val="563D044D"/>
    <w:rsid w:val="56435BB0"/>
    <w:rsid w:val="56496330"/>
    <w:rsid w:val="564C2015"/>
    <w:rsid w:val="56533194"/>
    <w:rsid w:val="565802EE"/>
    <w:rsid w:val="56642398"/>
    <w:rsid w:val="56682342"/>
    <w:rsid w:val="566914B7"/>
    <w:rsid w:val="566A66EF"/>
    <w:rsid w:val="56722A8A"/>
    <w:rsid w:val="56724FFF"/>
    <w:rsid w:val="56731DFF"/>
    <w:rsid w:val="56791780"/>
    <w:rsid w:val="56793002"/>
    <w:rsid w:val="567D6126"/>
    <w:rsid w:val="56825453"/>
    <w:rsid w:val="56847368"/>
    <w:rsid w:val="56876401"/>
    <w:rsid w:val="56892E58"/>
    <w:rsid w:val="568A640B"/>
    <w:rsid w:val="568E4B17"/>
    <w:rsid w:val="569371F1"/>
    <w:rsid w:val="569F1149"/>
    <w:rsid w:val="56A27892"/>
    <w:rsid w:val="56AF0889"/>
    <w:rsid w:val="56C42C33"/>
    <w:rsid w:val="56C43249"/>
    <w:rsid w:val="56D52A22"/>
    <w:rsid w:val="56D84CA4"/>
    <w:rsid w:val="56E27355"/>
    <w:rsid w:val="56EB375C"/>
    <w:rsid w:val="56F463B6"/>
    <w:rsid w:val="570154A3"/>
    <w:rsid w:val="5702619C"/>
    <w:rsid w:val="57055D74"/>
    <w:rsid w:val="57096B20"/>
    <w:rsid w:val="570B1838"/>
    <w:rsid w:val="57106E4E"/>
    <w:rsid w:val="57140D4A"/>
    <w:rsid w:val="571D3C15"/>
    <w:rsid w:val="57223823"/>
    <w:rsid w:val="57273F67"/>
    <w:rsid w:val="572A6162"/>
    <w:rsid w:val="57327807"/>
    <w:rsid w:val="57351DA3"/>
    <w:rsid w:val="573A4204"/>
    <w:rsid w:val="573F6BF7"/>
    <w:rsid w:val="57411900"/>
    <w:rsid w:val="57421EBF"/>
    <w:rsid w:val="57464641"/>
    <w:rsid w:val="574F6EEC"/>
    <w:rsid w:val="576F4505"/>
    <w:rsid w:val="57723C25"/>
    <w:rsid w:val="57724698"/>
    <w:rsid w:val="57734BBD"/>
    <w:rsid w:val="578655A3"/>
    <w:rsid w:val="579C3533"/>
    <w:rsid w:val="579C55B7"/>
    <w:rsid w:val="57A100F6"/>
    <w:rsid w:val="57A1743D"/>
    <w:rsid w:val="57A37855"/>
    <w:rsid w:val="57A50A09"/>
    <w:rsid w:val="57A50C2A"/>
    <w:rsid w:val="57A73623"/>
    <w:rsid w:val="57AE0B41"/>
    <w:rsid w:val="57AF0E48"/>
    <w:rsid w:val="57AF7381"/>
    <w:rsid w:val="57B8367E"/>
    <w:rsid w:val="57B94181"/>
    <w:rsid w:val="57BC2C7C"/>
    <w:rsid w:val="57BF2EFD"/>
    <w:rsid w:val="57BF33BA"/>
    <w:rsid w:val="57BF7092"/>
    <w:rsid w:val="57C00EC4"/>
    <w:rsid w:val="57C57BE5"/>
    <w:rsid w:val="57C61885"/>
    <w:rsid w:val="57C66A5B"/>
    <w:rsid w:val="57C85277"/>
    <w:rsid w:val="57CA2A6B"/>
    <w:rsid w:val="57D823B7"/>
    <w:rsid w:val="57DA0C33"/>
    <w:rsid w:val="57DD068E"/>
    <w:rsid w:val="57DD4F82"/>
    <w:rsid w:val="57DF5271"/>
    <w:rsid w:val="57ED3CA2"/>
    <w:rsid w:val="57F46D0A"/>
    <w:rsid w:val="57F64296"/>
    <w:rsid w:val="57F646C7"/>
    <w:rsid w:val="57F768F1"/>
    <w:rsid w:val="57FC4979"/>
    <w:rsid w:val="58071D0E"/>
    <w:rsid w:val="58093BB0"/>
    <w:rsid w:val="580C53F4"/>
    <w:rsid w:val="5813050E"/>
    <w:rsid w:val="581349B8"/>
    <w:rsid w:val="5814296E"/>
    <w:rsid w:val="5815269C"/>
    <w:rsid w:val="581C40FD"/>
    <w:rsid w:val="58233ECF"/>
    <w:rsid w:val="582625B1"/>
    <w:rsid w:val="58284E53"/>
    <w:rsid w:val="58292F5E"/>
    <w:rsid w:val="582E1C82"/>
    <w:rsid w:val="582F3781"/>
    <w:rsid w:val="58301BAD"/>
    <w:rsid w:val="58422BCF"/>
    <w:rsid w:val="585511E9"/>
    <w:rsid w:val="58556208"/>
    <w:rsid w:val="58556620"/>
    <w:rsid w:val="587C0C3F"/>
    <w:rsid w:val="588E5A75"/>
    <w:rsid w:val="58905493"/>
    <w:rsid w:val="58996587"/>
    <w:rsid w:val="589A10C5"/>
    <w:rsid w:val="589B5467"/>
    <w:rsid w:val="58A55DF2"/>
    <w:rsid w:val="58A6776F"/>
    <w:rsid w:val="58A901FD"/>
    <w:rsid w:val="58A90AD0"/>
    <w:rsid w:val="58AB08CC"/>
    <w:rsid w:val="58AC00AB"/>
    <w:rsid w:val="58B81D0A"/>
    <w:rsid w:val="58BA16B3"/>
    <w:rsid w:val="58BA7662"/>
    <w:rsid w:val="58BC2F51"/>
    <w:rsid w:val="58BE095E"/>
    <w:rsid w:val="58D025E2"/>
    <w:rsid w:val="58E768A6"/>
    <w:rsid w:val="58F645BE"/>
    <w:rsid w:val="58FA4868"/>
    <w:rsid w:val="58FA4CF5"/>
    <w:rsid w:val="58FB717F"/>
    <w:rsid w:val="58FF717A"/>
    <w:rsid w:val="59043AB0"/>
    <w:rsid w:val="591075D9"/>
    <w:rsid w:val="59133142"/>
    <w:rsid w:val="59163E9B"/>
    <w:rsid w:val="591E759E"/>
    <w:rsid w:val="59214AB8"/>
    <w:rsid w:val="59226F7A"/>
    <w:rsid w:val="59227C07"/>
    <w:rsid w:val="59236E75"/>
    <w:rsid w:val="592A69D3"/>
    <w:rsid w:val="592B3494"/>
    <w:rsid w:val="592D3BBA"/>
    <w:rsid w:val="59304790"/>
    <w:rsid w:val="59351F35"/>
    <w:rsid w:val="59466179"/>
    <w:rsid w:val="594B1607"/>
    <w:rsid w:val="594E0799"/>
    <w:rsid w:val="594F3C5E"/>
    <w:rsid w:val="595153A2"/>
    <w:rsid w:val="59571FE3"/>
    <w:rsid w:val="59586FE3"/>
    <w:rsid w:val="595A5842"/>
    <w:rsid w:val="595D4E9C"/>
    <w:rsid w:val="5964373A"/>
    <w:rsid w:val="596B4D7E"/>
    <w:rsid w:val="597340E8"/>
    <w:rsid w:val="59752BEF"/>
    <w:rsid w:val="59793F38"/>
    <w:rsid w:val="597D0C9F"/>
    <w:rsid w:val="598473F2"/>
    <w:rsid w:val="59875AED"/>
    <w:rsid w:val="5994273A"/>
    <w:rsid w:val="59950BEE"/>
    <w:rsid w:val="5998267E"/>
    <w:rsid w:val="59991B7E"/>
    <w:rsid w:val="5999582C"/>
    <w:rsid w:val="599967D1"/>
    <w:rsid w:val="59A40C15"/>
    <w:rsid w:val="59A75EA3"/>
    <w:rsid w:val="59A93E14"/>
    <w:rsid w:val="59B13180"/>
    <w:rsid w:val="59B166C6"/>
    <w:rsid w:val="59B80902"/>
    <w:rsid w:val="59B85968"/>
    <w:rsid w:val="59BD33FA"/>
    <w:rsid w:val="59D01FE1"/>
    <w:rsid w:val="59DD2225"/>
    <w:rsid w:val="59DF3EAD"/>
    <w:rsid w:val="59E15404"/>
    <w:rsid w:val="59E75AFB"/>
    <w:rsid w:val="59EA6922"/>
    <w:rsid w:val="59EB0943"/>
    <w:rsid w:val="59EC192C"/>
    <w:rsid w:val="59EF2877"/>
    <w:rsid w:val="59F20964"/>
    <w:rsid w:val="59F52E20"/>
    <w:rsid w:val="59F818E3"/>
    <w:rsid w:val="59F85AE0"/>
    <w:rsid w:val="5A12636E"/>
    <w:rsid w:val="5A1457BF"/>
    <w:rsid w:val="5A160C1F"/>
    <w:rsid w:val="5A182593"/>
    <w:rsid w:val="5A1867EA"/>
    <w:rsid w:val="5A22013A"/>
    <w:rsid w:val="5A2925AA"/>
    <w:rsid w:val="5A294643"/>
    <w:rsid w:val="5A364753"/>
    <w:rsid w:val="5A3F4665"/>
    <w:rsid w:val="5A437B62"/>
    <w:rsid w:val="5A482510"/>
    <w:rsid w:val="5A4B06CC"/>
    <w:rsid w:val="5A54159E"/>
    <w:rsid w:val="5A60749D"/>
    <w:rsid w:val="5A637FB1"/>
    <w:rsid w:val="5A730066"/>
    <w:rsid w:val="5A79307D"/>
    <w:rsid w:val="5A7D2A4C"/>
    <w:rsid w:val="5A871177"/>
    <w:rsid w:val="5A932270"/>
    <w:rsid w:val="5A981768"/>
    <w:rsid w:val="5A9A35FE"/>
    <w:rsid w:val="5A9A5426"/>
    <w:rsid w:val="5A9B35FD"/>
    <w:rsid w:val="5AA33193"/>
    <w:rsid w:val="5AA40310"/>
    <w:rsid w:val="5AA60AB1"/>
    <w:rsid w:val="5AB4714B"/>
    <w:rsid w:val="5AB5491E"/>
    <w:rsid w:val="5AB84C8D"/>
    <w:rsid w:val="5AB84CF8"/>
    <w:rsid w:val="5ABC5B1F"/>
    <w:rsid w:val="5ABE1FE2"/>
    <w:rsid w:val="5ABE5AE6"/>
    <w:rsid w:val="5ABE78FA"/>
    <w:rsid w:val="5AC47AC6"/>
    <w:rsid w:val="5AD13CD8"/>
    <w:rsid w:val="5AE11F4F"/>
    <w:rsid w:val="5AE6383C"/>
    <w:rsid w:val="5AEF0E45"/>
    <w:rsid w:val="5AEF451A"/>
    <w:rsid w:val="5AF06850"/>
    <w:rsid w:val="5AFA77DC"/>
    <w:rsid w:val="5AFD2779"/>
    <w:rsid w:val="5AFE1C7E"/>
    <w:rsid w:val="5AFF7905"/>
    <w:rsid w:val="5B052023"/>
    <w:rsid w:val="5B0A1840"/>
    <w:rsid w:val="5B1A64ED"/>
    <w:rsid w:val="5B1B6E4F"/>
    <w:rsid w:val="5B1C2371"/>
    <w:rsid w:val="5B1C4F2C"/>
    <w:rsid w:val="5B292A3F"/>
    <w:rsid w:val="5B390F2D"/>
    <w:rsid w:val="5B413925"/>
    <w:rsid w:val="5B4B54A7"/>
    <w:rsid w:val="5B4D5F05"/>
    <w:rsid w:val="5B5449A4"/>
    <w:rsid w:val="5B5837CC"/>
    <w:rsid w:val="5B5B22FA"/>
    <w:rsid w:val="5B5B58F2"/>
    <w:rsid w:val="5B5E7D45"/>
    <w:rsid w:val="5B5F1318"/>
    <w:rsid w:val="5B626360"/>
    <w:rsid w:val="5B652A7B"/>
    <w:rsid w:val="5B653DEA"/>
    <w:rsid w:val="5B685446"/>
    <w:rsid w:val="5B71790E"/>
    <w:rsid w:val="5B775125"/>
    <w:rsid w:val="5B877B3C"/>
    <w:rsid w:val="5B907D0A"/>
    <w:rsid w:val="5B9C6F02"/>
    <w:rsid w:val="5BA26431"/>
    <w:rsid w:val="5BA45136"/>
    <w:rsid w:val="5BA7075E"/>
    <w:rsid w:val="5BAD317A"/>
    <w:rsid w:val="5BB02C7D"/>
    <w:rsid w:val="5BB46942"/>
    <w:rsid w:val="5BBC78FE"/>
    <w:rsid w:val="5BC9491D"/>
    <w:rsid w:val="5BCF0B44"/>
    <w:rsid w:val="5BD0414C"/>
    <w:rsid w:val="5BD14DFE"/>
    <w:rsid w:val="5BD40DE5"/>
    <w:rsid w:val="5BD61BDC"/>
    <w:rsid w:val="5BDB0A65"/>
    <w:rsid w:val="5BDB6475"/>
    <w:rsid w:val="5BDC4486"/>
    <w:rsid w:val="5BDC6366"/>
    <w:rsid w:val="5BE32B22"/>
    <w:rsid w:val="5BE35CBC"/>
    <w:rsid w:val="5BE37666"/>
    <w:rsid w:val="5BE71E7D"/>
    <w:rsid w:val="5BE72873"/>
    <w:rsid w:val="5BEE3192"/>
    <w:rsid w:val="5BF4421B"/>
    <w:rsid w:val="5BF925A6"/>
    <w:rsid w:val="5BFF508D"/>
    <w:rsid w:val="5C0531E9"/>
    <w:rsid w:val="5C09057E"/>
    <w:rsid w:val="5C0B0F80"/>
    <w:rsid w:val="5C151250"/>
    <w:rsid w:val="5C180C7F"/>
    <w:rsid w:val="5C195B69"/>
    <w:rsid w:val="5C1C7BC9"/>
    <w:rsid w:val="5C2B7C8C"/>
    <w:rsid w:val="5C2F5FC8"/>
    <w:rsid w:val="5C343A58"/>
    <w:rsid w:val="5C381B56"/>
    <w:rsid w:val="5C383A45"/>
    <w:rsid w:val="5C3A5762"/>
    <w:rsid w:val="5C422B9A"/>
    <w:rsid w:val="5C456957"/>
    <w:rsid w:val="5C4832D4"/>
    <w:rsid w:val="5C485073"/>
    <w:rsid w:val="5C486A6C"/>
    <w:rsid w:val="5C507948"/>
    <w:rsid w:val="5C5310F9"/>
    <w:rsid w:val="5C554888"/>
    <w:rsid w:val="5C5B6DBD"/>
    <w:rsid w:val="5C5D1C5C"/>
    <w:rsid w:val="5C5D6F29"/>
    <w:rsid w:val="5C5E034A"/>
    <w:rsid w:val="5C5E47EB"/>
    <w:rsid w:val="5C5F36CD"/>
    <w:rsid w:val="5C635172"/>
    <w:rsid w:val="5C6601FF"/>
    <w:rsid w:val="5C6637D6"/>
    <w:rsid w:val="5C68379A"/>
    <w:rsid w:val="5C6C4A69"/>
    <w:rsid w:val="5C6E42C6"/>
    <w:rsid w:val="5C726994"/>
    <w:rsid w:val="5C763BF7"/>
    <w:rsid w:val="5C816A46"/>
    <w:rsid w:val="5C824B29"/>
    <w:rsid w:val="5C87394F"/>
    <w:rsid w:val="5C9A49BA"/>
    <w:rsid w:val="5C9D2BC2"/>
    <w:rsid w:val="5CAC1351"/>
    <w:rsid w:val="5CAE1CBE"/>
    <w:rsid w:val="5CAE6E81"/>
    <w:rsid w:val="5CB419F0"/>
    <w:rsid w:val="5CB46804"/>
    <w:rsid w:val="5CB477B2"/>
    <w:rsid w:val="5CB776DF"/>
    <w:rsid w:val="5CB8180D"/>
    <w:rsid w:val="5CC43312"/>
    <w:rsid w:val="5CC76903"/>
    <w:rsid w:val="5CCB66C7"/>
    <w:rsid w:val="5CCD6310"/>
    <w:rsid w:val="5CD157D7"/>
    <w:rsid w:val="5CD2431F"/>
    <w:rsid w:val="5CD5321B"/>
    <w:rsid w:val="5CE22928"/>
    <w:rsid w:val="5CE24CB2"/>
    <w:rsid w:val="5CE37F6D"/>
    <w:rsid w:val="5CEB1EEF"/>
    <w:rsid w:val="5CEC76CD"/>
    <w:rsid w:val="5CED37DC"/>
    <w:rsid w:val="5D0430FB"/>
    <w:rsid w:val="5D0F2E5C"/>
    <w:rsid w:val="5D107345"/>
    <w:rsid w:val="5D144C70"/>
    <w:rsid w:val="5D183BE2"/>
    <w:rsid w:val="5D194995"/>
    <w:rsid w:val="5D1B7E7E"/>
    <w:rsid w:val="5D2710BE"/>
    <w:rsid w:val="5D274DDD"/>
    <w:rsid w:val="5D316F1A"/>
    <w:rsid w:val="5D31752D"/>
    <w:rsid w:val="5D3973FA"/>
    <w:rsid w:val="5D3B7FD4"/>
    <w:rsid w:val="5D404BF7"/>
    <w:rsid w:val="5D466147"/>
    <w:rsid w:val="5D4926AD"/>
    <w:rsid w:val="5D4938E3"/>
    <w:rsid w:val="5D4D2C3D"/>
    <w:rsid w:val="5D5D0A92"/>
    <w:rsid w:val="5D600B0D"/>
    <w:rsid w:val="5D606AA9"/>
    <w:rsid w:val="5D635E9A"/>
    <w:rsid w:val="5D647BA5"/>
    <w:rsid w:val="5D6550DA"/>
    <w:rsid w:val="5D66316A"/>
    <w:rsid w:val="5D686E8E"/>
    <w:rsid w:val="5D6E11A2"/>
    <w:rsid w:val="5D6F2167"/>
    <w:rsid w:val="5D731755"/>
    <w:rsid w:val="5D7A6760"/>
    <w:rsid w:val="5D824110"/>
    <w:rsid w:val="5D8C6C4B"/>
    <w:rsid w:val="5DA4636D"/>
    <w:rsid w:val="5DAA057E"/>
    <w:rsid w:val="5DAF566E"/>
    <w:rsid w:val="5DB54164"/>
    <w:rsid w:val="5DBC6B07"/>
    <w:rsid w:val="5DCF1352"/>
    <w:rsid w:val="5DD50C23"/>
    <w:rsid w:val="5DD5485D"/>
    <w:rsid w:val="5DDD55C7"/>
    <w:rsid w:val="5DE0373A"/>
    <w:rsid w:val="5DE71F00"/>
    <w:rsid w:val="5DEC1CA0"/>
    <w:rsid w:val="5DED7EE9"/>
    <w:rsid w:val="5DF03995"/>
    <w:rsid w:val="5DF60C2D"/>
    <w:rsid w:val="5DF86742"/>
    <w:rsid w:val="5DFF58C5"/>
    <w:rsid w:val="5E094317"/>
    <w:rsid w:val="5E101415"/>
    <w:rsid w:val="5E1611EE"/>
    <w:rsid w:val="5E1D18E5"/>
    <w:rsid w:val="5E2422BE"/>
    <w:rsid w:val="5E267319"/>
    <w:rsid w:val="5E387BC1"/>
    <w:rsid w:val="5E390321"/>
    <w:rsid w:val="5E3C06BC"/>
    <w:rsid w:val="5E3F11E2"/>
    <w:rsid w:val="5E445881"/>
    <w:rsid w:val="5E466388"/>
    <w:rsid w:val="5E4B038C"/>
    <w:rsid w:val="5E4B0B81"/>
    <w:rsid w:val="5E4B1D3D"/>
    <w:rsid w:val="5E4F470F"/>
    <w:rsid w:val="5E5C6217"/>
    <w:rsid w:val="5E5E507E"/>
    <w:rsid w:val="5E60690D"/>
    <w:rsid w:val="5E646C2A"/>
    <w:rsid w:val="5E680254"/>
    <w:rsid w:val="5E7772DF"/>
    <w:rsid w:val="5E781DDA"/>
    <w:rsid w:val="5E7D2684"/>
    <w:rsid w:val="5E811B1B"/>
    <w:rsid w:val="5E8741D5"/>
    <w:rsid w:val="5E8819C0"/>
    <w:rsid w:val="5E8C24E3"/>
    <w:rsid w:val="5E993CE3"/>
    <w:rsid w:val="5EA1300A"/>
    <w:rsid w:val="5EA70638"/>
    <w:rsid w:val="5EA849AB"/>
    <w:rsid w:val="5EAA7B88"/>
    <w:rsid w:val="5EB520BF"/>
    <w:rsid w:val="5EB74076"/>
    <w:rsid w:val="5EBD11AF"/>
    <w:rsid w:val="5EBE22DA"/>
    <w:rsid w:val="5EC34F8E"/>
    <w:rsid w:val="5EC944B2"/>
    <w:rsid w:val="5ECA3607"/>
    <w:rsid w:val="5ECF0B26"/>
    <w:rsid w:val="5ED038A7"/>
    <w:rsid w:val="5ED27ECA"/>
    <w:rsid w:val="5EDB3A3B"/>
    <w:rsid w:val="5EF1496C"/>
    <w:rsid w:val="5EF614C6"/>
    <w:rsid w:val="5EFE60C1"/>
    <w:rsid w:val="5F085708"/>
    <w:rsid w:val="5F086176"/>
    <w:rsid w:val="5F103644"/>
    <w:rsid w:val="5F112306"/>
    <w:rsid w:val="5F113A2F"/>
    <w:rsid w:val="5F132C7E"/>
    <w:rsid w:val="5F154AE0"/>
    <w:rsid w:val="5F1C0A86"/>
    <w:rsid w:val="5F253F8F"/>
    <w:rsid w:val="5F270656"/>
    <w:rsid w:val="5F395B98"/>
    <w:rsid w:val="5F3A3545"/>
    <w:rsid w:val="5F3B6B68"/>
    <w:rsid w:val="5F3C05A8"/>
    <w:rsid w:val="5F3D5401"/>
    <w:rsid w:val="5F3F28CB"/>
    <w:rsid w:val="5F431663"/>
    <w:rsid w:val="5F47261C"/>
    <w:rsid w:val="5F4822EE"/>
    <w:rsid w:val="5F4C7478"/>
    <w:rsid w:val="5F5755A3"/>
    <w:rsid w:val="5F6677BA"/>
    <w:rsid w:val="5F7439C8"/>
    <w:rsid w:val="5F824579"/>
    <w:rsid w:val="5F873346"/>
    <w:rsid w:val="5F904527"/>
    <w:rsid w:val="5F934D29"/>
    <w:rsid w:val="5F9452EC"/>
    <w:rsid w:val="5F9E72D8"/>
    <w:rsid w:val="5FA06A01"/>
    <w:rsid w:val="5FB64697"/>
    <w:rsid w:val="5FB83166"/>
    <w:rsid w:val="5FB92BAE"/>
    <w:rsid w:val="5FC1162D"/>
    <w:rsid w:val="5FC439F5"/>
    <w:rsid w:val="5FC52ECB"/>
    <w:rsid w:val="5FCE123D"/>
    <w:rsid w:val="5FD0361E"/>
    <w:rsid w:val="5FD73333"/>
    <w:rsid w:val="5FD74616"/>
    <w:rsid w:val="5FE01AB3"/>
    <w:rsid w:val="5FE201B9"/>
    <w:rsid w:val="5FEA6956"/>
    <w:rsid w:val="5FEC4CE3"/>
    <w:rsid w:val="5FF45838"/>
    <w:rsid w:val="5FF9321B"/>
    <w:rsid w:val="60022174"/>
    <w:rsid w:val="60081331"/>
    <w:rsid w:val="601854BF"/>
    <w:rsid w:val="60313B3C"/>
    <w:rsid w:val="60330F55"/>
    <w:rsid w:val="603911C4"/>
    <w:rsid w:val="603A214E"/>
    <w:rsid w:val="60406AFE"/>
    <w:rsid w:val="60472620"/>
    <w:rsid w:val="604B26B6"/>
    <w:rsid w:val="60526761"/>
    <w:rsid w:val="605360B1"/>
    <w:rsid w:val="60583761"/>
    <w:rsid w:val="605839A1"/>
    <w:rsid w:val="605A7912"/>
    <w:rsid w:val="6061152B"/>
    <w:rsid w:val="60634A02"/>
    <w:rsid w:val="607639CB"/>
    <w:rsid w:val="607F27CE"/>
    <w:rsid w:val="60807590"/>
    <w:rsid w:val="608775C3"/>
    <w:rsid w:val="608C627B"/>
    <w:rsid w:val="608E0339"/>
    <w:rsid w:val="60993151"/>
    <w:rsid w:val="609F4F79"/>
    <w:rsid w:val="60A950C7"/>
    <w:rsid w:val="60B20495"/>
    <w:rsid w:val="60B279D1"/>
    <w:rsid w:val="60C14B67"/>
    <w:rsid w:val="60C73D61"/>
    <w:rsid w:val="60CD1EC4"/>
    <w:rsid w:val="60CF1EE0"/>
    <w:rsid w:val="60D53F97"/>
    <w:rsid w:val="60D653EB"/>
    <w:rsid w:val="60DF14F3"/>
    <w:rsid w:val="60DF434C"/>
    <w:rsid w:val="60E3472E"/>
    <w:rsid w:val="60E530F9"/>
    <w:rsid w:val="60EB158E"/>
    <w:rsid w:val="60ED6693"/>
    <w:rsid w:val="60F079FA"/>
    <w:rsid w:val="60F80D1F"/>
    <w:rsid w:val="60FB7297"/>
    <w:rsid w:val="61015055"/>
    <w:rsid w:val="610541F1"/>
    <w:rsid w:val="610A7DC5"/>
    <w:rsid w:val="610D0299"/>
    <w:rsid w:val="61194589"/>
    <w:rsid w:val="611B2CA8"/>
    <w:rsid w:val="61291D1B"/>
    <w:rsid w:val="612B1745"/>
    <w:rsid w:val="612E4AA0"/>
    <w:rsid w:val="613634F8"/>
    <w:rsid w:val="61366EA1"/>
    <w:rsid w:val="613A1697"/>
    <w:rsid w:val="613A343D"/>
    <w:rsid w:val="613D6D16"/>
    <w:rsid w:val="614359F3"/>
    <w:rsid w:val="6148320B"/>
    <w:rsid w:val="614A4146"/>
    <w:rsid w:val="614B3DDA"/>
    <w:rsid w:val="614D53FF"/>
    <w:rsid w:val="614F5735"/>
    <w:rsid w:val="616232BF"/>
    <w:rsid w:val="61677FB2"/>
    <w:rsid w:val="6171169E"/>
    <w:rsid w:val="61716A7A"/>
    <w:rsid w:val="617331FA"/>
    <w:rsid w:val="617A3C4B"/>
    <w:rsid w:val="618436D4"/>
    <w:rsid w:val="61892F99"/>
    <w:rsid w:val="618B5A4F"/>
    <w:rsid w:val="618E232A"/>
    <w:rsid w:val="618F4DC9"/>
    <w:rsid w:val="619347EE"/>
    <w:rsid w:val="619A5276"/>
    <w:rsid w:val="619B4EA5"/>
    <w:rsid w:val="619E7B72"/>
    <w:rsid w:val="61A06517"/>
    <w:rsid w:val="61A13084"/>
    <w:rsid w:val="61AB7B14"/>
    <w:rsid w:val="61AD119C"/>
    <w:rsid w:val="61AD77E7"/>
    <w:rsid w:val="61AF177D"/>
    <w:rsid w:val="61B03575"/>
    <w:rsid w:val="61B11C2F"/>
    <w:rsid w:val="61B65485"/>
    <w:rsid w:val="61B85182"/>
    <w:rsid w:val="61B86B83"/>
    <w:rsid w:val="61B95D2E"/>
    <w:rsid w:val="61BB6DE9"/>
    <w:rsid w:val="61C423E2"/>
    <w:rsid w:val="61C63E6C"/>
    <w:rsid w:val="61C8375E"/>
    <w:rsid w:val="61CE550E"/>
    <w:rsid w:val="61D34813"/>
    <w:rsid w:val="61E90A4C"/>
    <w:rsid w:val="61E93797"/>
    <w:rsid w:val="61F5762E"/>
    <w:rsid w:val="61FD2F89"/>
    <w:rsid w:val="61FE4E29"/>
    <w:rsid w:val="61FE5335"/>
    <w:rsid w:val="61FE5783"/>
    <w:rsid w:val="62064757"/>
    <w:rsid w:val="62086862"/>
    <w:rsid w:val="620D05CF"/>
    <w:rsid w:val="620D78A2"/>
    <w:rsid w:val="620E2EF0"/>
    <w:rsid w:val="620F68DF"/>
    <w:rsid w:val="6210237A"/>
    <w:rsid w:val="62165654"/>
    <w:rsid w:val="621B17F2"/>
    <w:rsid w:val="621E68C3"/>
    <w:rsid w:val="62210161"/>
    <w:rsid w:val="62276D39"/>
    <w:rsid w:val="622E7560"/>
    <w:rsid w:val="622F4441"/>
    <w:rsid w:val="6244782D"/>
    <w:rsid w:val="624519B6"/>
    <w:rsid w:val="62452E71"/>
    <w:rsid w:val="62484A61"/>
    <w:rsid w:val="624D35E5"/>
    <w:rsid w:val="624F55AE"/>
    <w:rsid w:val="62584DC2"/>
    <w:rsid w:val="62597826"/>
    <w:rsid w:val="62716F31"/>
    <w:rsid w:val="627C6BCB"/>
    <w:rsid w:val="62825379"/>
    <w:rsid w:val="628B27B0"/>
    <w:rsid w:val="62917095"/>
    <w:rsid w:val="62917220"/>
    <w:rsid w:val="62952E4D"/>
    <w:rsid w:val="62964C4E"/>
    <w:rsid w:val="629A7140"/>
    <w:rsid w:val="629C1DD3"/>
    <w:rsid w:val="62A13769"/>
    <w:rsid w:val="62A301F2"/>
    <w:rsid w:val="62AE1FCC"/>
    <w:rsid w:val="62AF563B"/>
    <w:rsid w:val="62B33E47"/>
    <w:rsid w:val="62B73388"/>
    <w:rsid w:val="62C11098"/>
    <w:rsid w:val="62C15ECD"/>
    <w:rsid w:val="62C9185E"/>
    <w:rsid w:val="62CF53DF"/>
    <w:rsid w:val="62D434DC"/>
    <w:rsid w:val="62D569EE"/>
    <w:rsid w:val="62DF42D0"/>
    <w:rsid w:val="62E36FE8"/>
    <w:rsid w:val="62E71A8B"/>
    <w:rsid w:val="62EB7606"/>
    <w:rsid w:val="62EC7367"/>
    <w:rsid w:val="62ED2BB5"/>
    <w:rsid w:val="62ED33FE"/>
    <w:rsid w:val="62FB4E56"/>
    <w:rsid w:val="62FD4CA5"/>
    <w:rsid w:val="63064D8F"/>
    <w:rsid w:val="6307735C"/>
    <w:rsid w:val="63272997"/>
    <w:rsid w:val="633D6ED4"/>
    <w:rsid w:val="6340035B"/>
    <w:rsid w:val="63510C49"/>
    <w:rsid w:val="6356064C"/>
    <w:rsid w:val="635B0469"/>
    <w:rsid w:val="635F07F3"/>
    <w:rsid w:val="63626C83"/>
    <w:rsid w:val="63654381"/>
    <w:rsid w:val="636C7B02"/>
    <w:rsid w:val="637644E0"/>
    <w:rsid w:val="63783CE6"/>
    <w:rsid w:val="6378490A"/>
    <w:rsid w:val="637D5515"/>
    <w:rsid w:val="637E3A83"/>
    <w:rsid w:val="637E5A94"/>
    <w:rsid w:val="637F0FF3"/>
    <w:rsid w:val="6385174E"/>
    <w:rsid w:val="63893025"/>
    <w:rsid w:val="638C5BA9"/>
    <w:rsid w:val="638E2691"/>
    <w:rsid w:val="639368F9"/>
    <w:rsid w:val="63950EC9"/>
    <w:rsid w:val="639E67EB"/>
    <w:rsid w:val="639E7B4C"/>
    <w:rsid w:val="63A17724"/>
    <w:rsid w:val="63A17BC1"/>
    <w:rsid w:val="63A726C1"/>
    <w:rsid w:val="63B0157E"/>
    <w:rsid w:val="63B379DA"/>
    <w:rsid w:val="63BA6FE8"/>
    <w:rsid w:val="63C416EC"/>
    <w:rsid w:val="63CD06A6"/>
    <w:rsid w:val="63DB6AE2"/>
    <w:rsid w:val="63DF72F7"/>
    <w:rsid w:val="63E44E9B"/>
    <w:rsid w:val="63E622ED"/>
    <w:rsid w:val="63EF077C"/>
    <w:rsid w:val="63F66CF2"/>
    <w:rsid w:val="63F706C7"/>
    <w:rsid w:val="63F950C2"/>
    <w:rsid w:val="63FD4369"/>
    <w:rsid w:val="64017758"/>
    <w:rsid w:val="640E2F5D"/>
    <w:rsid w:val="640F3214"/>
    <w:rsid w:val="64127C63"/>
    <w:rsid w:val="64174988"/>
    <w:rsid w:val="64192E1E"/>
    <w:rsid w:val="641A5E40"/>
    <w:rsid w:val="64240FAD"/>
    <w:rsid w:val="644276AE"/>
    <w:rsid w:val="644B71CC"/>
    <w:rsid w:val="6450587B"/>
    <w:rsid w:val="6458353B"/>
    <w:rsid w:val="645C7B76"/>
    <w:rsid w:val="645E771A"/>
    <w:rsid w:val="64605279"/>
    <w:rsid w:val="646337DC"/>
    <w:rsid w:val="646572C4"/>
    <w:rsid w:val="647148EC"/>
    <w:rsid w:val="64760C38"/>
    <w:rsid w:val="647A32CC"/>
    <w:rsid w:val="647B112B"/>
    <w:rsid w:val="648D30C7"/>
    <w:rsid w:val="648F5992"/>
    <w:rsid w:val="64904827"/>
    <w:rsid w:val="64921612"/>
    <w:rsid w:val="64943AF8"/>
    <w:rsid w:val="64962F07"/>
    <w:rsid w:val="64972A92"/>
    <w:rsid w:val="64A8477E"/>
    <w:rsid w:val="64AC6BE3"/>
    <w:rsid w:val="64AF774F"/>
    <w:rsid w:val="64BB0B12"/>
    <w:rsid w:val="64BB5CD7"/>
    <w:rsid w:val="64BE6875"/>
    <w:rsid w:val="64C60845"/>
    <w:rsid w:val="64CF782B"/>
    <w:rsid w:val="64D30479"/>
    <w:rsid w:val="64E07AB4"/>
    <w:rsid w:val="64E178BD"/>
    <w:rsid w:val="64E8309D"/>
    <w:rsid w:val="64EF13EB"/>
    <w:rsid w:val="64F91464"/>
    <w:rsid w:val="64FE4F1C"/>
    <w:rsid w:val="65001F4E"/>
    <w:rsid w:val="6502023B"/>
    <w:rsid w:val="65020964"/>
    <w:rsid w:val="65065134"/>
    <w:rsid w:val="650A71C7"/>
    <w:rsid w:val="650B3064"/>
    <w:rsid w:val="650D0D8B"/>
    <w:rsid w:val="65117E2E"/>
    <w:rsid w:val="65167D27"/>
    <w:rsid w:val="65275DA3"/>
    <w:rsid w:val="652F3FDE"/>
    <w:rsid w:val="65305214"/>
    <w:rsid w:val="65362C8F"/>
    <w:rsid w:val="653A3B41"/>
    <w:rsid w:val="653B2B33"/>
    <w:rsid w:val="6543021F"/>
    <w:rsid w:val="65436640"/>
    <w:rsid w:val="65456098"/>
    <w:rsid w:val="65490755"/>
    <w:rsid w:val="654F4770"/>
    <w:rsid w:val="654F7AF9"/>
    <w:rsid w:val="65560C72"/>
    <w:rsid w:val="655B364E"/>
    <w:rsid w:val="65605D66"/>
    <w:rsid w:val="65614666"/>
    <w:rsid w:val="65682A86"/>
    <w:rsid w:val="656A652D"/>
    <w:rsid w:val="65750EF0"/>
    <w:rsid w:val="657D1172"/>
    <w:rsid w:val="657F0456"/>
    <w:rsid w:val="6583605B"/>
    <w:rsid w:val="6585618C"/>
    <w:rsid w:val="658912E9"/>
    <w:rsid w:val="658C2E2E"/>
    <w:rsid w:val="65940E5B"/>
    <w:rsid w:val="6598537B"/>
    <w:rsid w:val="65AC7C7B"/>
    <w:rsid w:val="65AE2786"/>
    <w:rsid w:val="65BB6885"/>
    <w:rsid w:val="65BB6F90"/>
    <w:rsid w:val="65BC2E51"/>
    <w:rsid w:val="65CB78C9"/>
    <w:rsid w:val="65CC4A89"/>
    <w:rsid w:val="65D8291F"/>
    <w:rsid w:val="65DD775A"/>
    <w:rsid w:val="65E74EA0"/>
    <w:rsid w:val="65E7702B"/>
    <w:rsid w:val="65EE71AF"/>
    <w:rsid w:val="65F033ED"/>
    <w:rsid w:val="65F22528"/>
    <w:rsid w:val="65F371FD"/>
    <w:rsid w:val="65F60D98"/>
    <w:rsid w:val="66064ACA"/>
    <w:rsid w:val="66066B0A"/>
    <w:rsid w:val="6607502B"/>
    <w:rsid w:val="660758C0"/>
    <w:rsid w:val="660B55CD"/>
    <w:rsid w:val="660D2DD5"/>
    <w:rsid w:val="6618123B"/>
    <w:rsid w:val="6618793D"/>
    <w:rsid w:val="662039E4"/>
    <w:rsid w:val="66246CFC"/>
    <w:rsid w:val="662937B7"/>
    <w:rsid w:val="662C16CA"/>
    <w:rsid w:val="662D2FE1"/>
    <w:rsid w:val="663F5766"/>
    <w:rsid w:val="66403855"/>
    <w:rsid w:val="66432344"/>
    <w:rsid w:val="66462CD7"/>
    <w:rsid w:val="66500A15"/>
    <w:rsid w:val="66581AB1"/>
    <w:rsid w:val="665B6D0B"/>
    <w:rsid w:val="666806A8"/>
    <w:rsid w:val="66763AA4"/>
    <w:rsid w:val="66860EDB"/>
    <w:rsid w:val="66937F37"/>
    <w:rsid w:val="66976A91"/>
    <w:rsid w:val="669A38C5"/>
    <w:rsid w:val="669E4341"/>
    <w:rsid w:val="66A05D32"/>
    <w:rsid w:val="66A30FC8"/>
    <w:rsid w:val="66A344C7"/>
    <w:rsid w:val="66A66A97"/>
    <w:rsid w:val="66AF77F1"/>
    <w:rsid w:val="66B639C0"/>
    <w:rsid w:val="66C4682D"/>
    <w:rsid w:val="66C616F6"/>
    <w:rsid w:val="66C75C1F"/>
    <w:rsid w:val="66CA7019"/>
    <w:rsid w:val="66D00B27"/>
    <w:rsid w:val="66D86AEC"/>
    <w:rsid w:val="66DE2CA9"/>
    <w:rsid w:val="66E64652"/>
    <w:rsid w:val="66F1466A"/>
    <w:rsid w:val="66F16386"/>
    <w:rsid w:val="66F30FFF"/>
    <w:rsid w:val="66F33B73"/>
    <w:rsid w:val="66F44D0A"/>
    <w:rsid w:val="66F5101E"/>
    <w:rsid w:val="66F83B86"/>
    <w:rsid w:val="66FB408B"/>
    <w:rsid w:val="670A3BD0"/>
    <w:rsid w:val="67224850"/>
    <w:rsid w:val="67226B22"/>
    <w:rsid w:val="67280C2B"/>
    <w:rsid w:val="6746467E"/>
    <w:rsid w:val="674942A1"/>
    <w:rsid w:val="675704C9"/>
    <w:rsid w:val="675C0EE3"/>
    <w:rsid w:val="675F07B3"/>
    <w:rsid w:val="67600FE1"/>
    <w:rsid w:val="676157A1"/>
    <w:rsid w:val="67636216"/>
    <w:rsid w:val="67650778"/>
    <w:rsid w:val="676905E0"/>
    <w:rsid w:val="67722A06"/>
    <w:rsid w:val="67781C81"/>
    <w:rsid w:val="677A51E7"/>
    <w:rsid w:val="677E4FA4"/>
    <w:rsid w:val="678F5A83"/>
    <w:rsid w:val="67902B1F"/>
    <w:rsid w:val="679B1194"/>
    <w:rsid w:val="679D0EA5"/>
    <w:rsid w:val="67A00C1E"/>
    <w:rsid w:val="67AE46F6"/>
    <w:rsid w:val="67B710D4"/>
    <w:rsid w:val="67B93AA8"/>
    <w:rsid w:val="67BF471E"/>
    <w:rsid w:val="67C47C17"/>
    <w:rsid w:val="67C86E8A"/>
    <w:rsid w:val="67C90054"/>
    <w:rsid w:val="67CD339E"/>
    <w:rsid w:val="67D53EC8"/>
    <w:rsid w:val="67D92E51"/>
    <w:rsid w:val="67DB3F0A"/>
    <w:rsid w:val="67DD0E9C"/>
    <w:rsid w:val="67E16479"/>
    <w:rsid w:val="67E437ED"/>
    <w:rsid w:val="67EA7EE2"/>
    <w:rsid w:val="67EB6B2C"/>
    <w:rsid w:val="67ED1552"/>
    <w:rsid w:val="68006E59"/>
    <w:rsid w:val="6803497A"/>
    <w:rsid w:val="680A262C"/>
    <w:rsid w:val="680B589E"/>
    <w:rsid w:val="680F5B88"/>
    <w:rsid w:val="680F5EA3"/>
    <w:rsid w:val="68116615"/>
    <w:rsid w:val="68167499"/>
    <w:rsid w:val="682D2B98"/>
    <w:rsid w:val="683A01CF"/>
    <w:rsid w:val="684F4A98"/>
    <w:rsid w:val="685551FE"/>
    <w:rsid w:val="68560470"/>
    <w:rsid w:val="68563052"/>
    <w:rsid w:val="686B482C"/>
    <w:rsid w:val="686E3691"/>
    <w:rsid w:val="686E4A96"/>
    <w:rsid w:val="68707B84"/>
    <w:rsid w:val="68732989"/>
    <w:rsid w:val="68734C81"/>
    <w:rsid w:val="687635CF"/>
    <w:rsid w:val="687A6DAF"/>
    <w:rsid w:val="687C10F2"/>
    <w:rsid w:val="68844511"/>
    <w:rsid w:val="68865FC7"/>
    <w:rsid w:val="68867B44"/>
    <w:rsid w:val="68881AF3"/>
    <w:rsid w:val="68907DEF"/>
    <w:rsid w:val="68910AFC"/>
    <w:rsid w:val="68923B67"/>
    <w:rsid w:val="68984D72"/>
    <w:rsid w:val="689B2525"/>
    <w:rsid w:val="689C7684"/>
    <w:rsid w:val="68A60179"/>
    <w:rsid w:val="68B03ED7"/>
    <w:rsid w:val="68C05AC6"/>
    <w:rsid w:val="68C80C07"/>
    <w:rsid w:val="68C969FD"/>
    <w:rsid w:val="68CA7EB4"/>
    <w:rsid w:val="68D44B62"/>
    <w:rsid w:val="68D80FC5"/>
    <w:rsid w:val="68DC1753"/>
    <w:rsid w:val="68DF29E8"/>
    <w:rsid w:val="68E63EB3"/>
    <w:rsid w:val="68E765FD"/>
    <w:rsid w:val="68EF720B"/>
    <w:rsid w:val="68F1307D"/>
    <w:rsid w:val="68FE478A"/>
    <w:rsid w:val="69024BF4"/>
    <w:rsid w:val="69062CE5"/>
    <w:rsid w:val="690C046B"/>
    <w:rsid w:val="6918272E"/>
    <w:rsid w:val="691A60D8"/>
    <w:rsid w:val="691A691A"/>
    <w:rsid w:val="691B4820"/>
    <w:rsid w:val="691C0FFA"/>
    <w:rsid w:val="691C1682"/>
    <w:rsid w:val="691D59D5"/>
    <w:rsid w:val="69243D0E"/>
    <w:rsid w:val="692E22DF"/>
    <w:rsid w:val="69305FC0"/>
    <w:rsid w:val="69403DAC"/>
    <w:rsid w:val="694A569D"/>
    <w:rsid w:val="694B72F1"/>
    <w:rsid w:val="694F3733"/>
    <w:rsid w:val="695E74F1"/>
    <w:rsid w:val="695F2847"/>
    <w:rsid w:val="69695CC5"/>
    <w:rsid w:val="6969714C"/>
    <w:rsid w:val="696A0640"/>
    <w:rsid w:val="696A3E20"/>
    <w:rsid w:val="69747710"/>
    <w:rsid w:val="697D75D3"/>
    <w:rsid w:val="69821C51"/>
    <w:rsid w:val="698576BA"/>
    <w:rsid w:val="69881D2B"/>
    <w:rsid w:val="698A1361"/>
    <w:rsid w:val="699F29DF"/>
    <w:rsid w:val="69A27F00"/>
    <w:rsid w:val="69A72905"/>
    <w:rsid w:val="69A77C01"/>
    <w:rsid w:val="69A9653A"/>
    <w:rsid w:val="69AB4C58"/>
    <w:rsid w:val="69B34BF3"/>
    <w:rsid w:val="69B46639"/>
    <w:rsid w:val="69BB0AC1"/>
    <w:rsid w:val="69BC3914"/>
    <w:rsid w:val="69BC3D0C"/>
    <w:rsid w:val="69BE1614"/>
    <w:rsid w:val="69C10F26"/>
    <w:rsid w:val="69C12F99"/>
    <w:rsid w:val="69C16512"/>
    <w:rsid w:val="69C32FAC"/>
    <w:rsid w:val="69D15A39"/>
    <w:rsid w:val="69D36676"/>
    <w:rsid w:val="69DB2932"/>
    <w:rsid w:val="69E77EE2"/>
    <w:rsid w:val="69ED4AF2"/>
    <w:rsid w:val="69EF69B6"/>
    <w:rsid w:val="69F1016A"/>
    <w:rsid w:val="69F21B1D"/>
    <w:rsid w:val="69F62B67"/>
    <w:rsid w:val="69F71975"/>
    <w:rsid w:val="69FA18C6"/>
    <w:rsid w:val="69FF372D"/>
    <w:rsid w:val="6A077463"/>
    <w:rsid w:val="6A123270"/>
    <w:rsid w:val="6A177820"/>
    <w:rsid w:val="6A1C5DDE"/>
    <w:rsid w:val="6A1D2A49"/>
    <w:rsid w:val="6A1D5CF1"/>
    <w:rsid w:val="6A222CC8"/>
    <w:rsid w:val="6A2F0F53"/>
    <w:rsid w:val="6A465F04"/>
    <w:rsid w:val="6A4B3F72"/>
    <w:rsid w:val="6A573CFC"/>
    <w:rsid w:val="6A5901AF"/>
    <w:rsid w:val="6A5F33B7"/>
    <w:rsid w:val="6A606019"/>
    <w:rsid w:val="6A64221D"/>
    <w:rsid w:val="6A692867"/>
    <w:rsid w:val="6A6A2F73"/>
    <w:rsid w:val="6A6B394B"/>
    <w:rsid w:val="6A6C65E9"/>
    <w:rsid w:val="6A714A83"/>
    <w:rsid w:val="6A7410D8"/>
    <w:rsid w:val="6A812A85"/>
    <w:rsid w:val="6A814500"/>
    <w:rsid w:val="6A832157"/>
    <w:rsid w:val="6A842D77"/>
    <w:rsid w:val="6A892FEE"/>
    <w:rsid w:val="6A8B6AC0"/>
    <w:rsid w:val="6A8E70A1"/>
    <w:rsid w:val="6A94668F"/>
    <w:rsid w:val="6A96592A"/>
    <w:rsid w:val="6A966D62"/>
    <w:rsid w:val="6A9B00AC"/>
    <w:rsid w:val="6AA3734E"/>
    <w:rsid w:val="6AAD217E"/>
    <w:rsid w:val="6AB00D4A"/>
    <w:rsid w:val="6ABE0634"/>
    <w:rsid w:val="6AC62B14"/>
    <w:rsid w:val="6AC63F9C"/>
    <w:rsid w:val="6AC81AC2"/>
    <w:rsid w:val="6ACF29B4"/>
    <w:rsid w:val="6ACF56CE"/>
    <w:rsid w:val="6AD16DFB"/>
    <w:rsid w:val="6AD466B8"/>
    <w:rsid w:val="6AD659A2"/>
    <w:rsid w:val="6AD76A46"/>
    <w:rsid w:val="6AD920AB"/>
    <w:rsid w:val="6ADC2ECA"/>
    <w:rsid w:val="6ADE0CCD"/>
    <w:rsid w:val="6AE36F20"/>
    <w:rsid w:val="6AE969F1"/>
    <w:rsid w:val="6AF74438"/>
    <w:rsid w:val="6AF86576"/>
    <w:rsid w:val="6B0D5727"/>
    <w:rsid w:val="6B0E2C5C"/>
    <w:rsid w:val="6B0F0BA0"/>
    <w:rsid w:val="6B0F40B5"/>
    <w:rsid w:val="6B116C80"/>
    <w:rsid w:val="6B2950B9"/>
    <w:rsid w:val="6B2E0FBB"/>
    <w:rsid w:val="6B485C06"/>
    <w:rsid w:val="6B495D2A"/>
    <w:rsid w:val="6B4C2A16"/>
    <w:rsid w:val="6B500670"/>
    <w:rsid w:val="6B593FBD"/>
    <w:rsid w:val="6B634D30"/>
    <w:rsid w:val="6B785296"/>
    <w:rsid w:val="6B7C73D7"/>
    <w:rsid w:val="6B83470D"/>
    <w:rsid w:val="6B897AD7"/>
    <w:rsid w:val="6B990F69"/>
    <w:rsid w:val="6B9A57D3"/>
    <w:rsid w:val="6B9F6823"/>
    <w:rsid w:val="6BA87257"/>
    <w:rsid w:val="6BAC1122"/>
    <w:rsid w:val="6BAC3CED"/>
    <w:rsid w:val="6BB92841"/>
    <w:rsid w:val="6BBD571E"/>
    <w:rsid w:val="6BC04643"/>
    <w:rsid w:val="6BC06C1F"/>
    <w:rsid w:val="6BCA38C9"/>
    <w:rsid w:val="6BCC3A2D"/>
    <w:rsid w:val="6BD207C5"/>
    <w:rsid w:val="6BD414E2"/>
    <w:rsid w:val="6BD634DE"/>
    <w:rsid w:val="6BDB01D4"/>
    <w:rsid w:val="6BE257CB"/>
    <w:rsid w:val="6BEA5A68"/>
    <w:rsid w:val="6BEF4CAD"/>
    <w:rsid w:val="6BFA74DF"/>
    <w:rsid w:val="6C0018E0"/>
    <w:rsid w:val="6C0566B4"/>
    <w:rsid w:val="6C0871AD"/>
    <w:rsid w:val="6C0A67ED"/>
    <w:rsid w:val="6C0C4EA8"/>
    <w:rsid w:val="6C0C7705"/>
    <w:rsid w:val="6C161A70"/>
    <w:rsid w:val="6C183C20"/>
    <w:rsid w:val="6C192EBE"/>
    <w:rsid w:val="6C1A3154"/>
    <w:rsid w:val="6C2B6F0F"/>
    <w:rsid w:val="6C3071EA"/>
    <w:rsid w:val="6C376DB5"/>
    <w:rsid w:val="6C395DE7"/>
    <w:rsid w:val="6C530D20"/>
    <w:rsid w:val="6C557385"/>
    <w:rsid w:val="6C613F7C"/>
    <w:rsid w:val="6C6B6BA9"/>
    <w:rsid w:val="6C8A7178"/>
    <w:rsid w:val="6C8C733B"/>
    <w:rsid w:val="6C8D0198"/>
    <w:rsid w:val="6C8E3D48"/>
    <w:rsid w:val="6C9055EF"/>
    <w:rsid w:val="6C975BF0"/>
    <w:rsid w:val="6C9A123C"/>
    <w:rsid w:val="6CA227CC"/>
    <w:rsid w:val="6CA25159"/>
    <w:rsid w:val="6CAD08D8"/>
    <w:rsid w:val="6CB12A2A"/>
    <w:rsid w:val="6CB52CF3"/>
    <w:rsid w:val="6CB70F6C"/>
    <w:rsid w:val="6CC05F0D"/>
    <w:rsid w:val="6CC11FA1"/>
    <w:rsid w:val="6CCD06A5"/>
    <w:rsid w:val="6CD20554"/>
    <w:rsid w:val="6CDA33BC"/>
    <w:rsid w:val="6CDF502A"/>
    <w:rsid w:val="6CEA228A"/>
    <w:rsid w:val="6CEB2F1B"/>
    <w:rsid w:val="6CEB5339"/>
    <w:rsid w:val="6CEC63D9"/>
    <w:rsid w:val="6CEE4DCE"/>
    <w:rsid w:val="6CF56D03"/>
    <w:rsid w:val="6CFD0541"/>
    <w:rsid w:val="6D024C06"/>
    <w:rsid w:val="6D1051EA"/>
    <w:rsid w:val="6D1F3DE8"/>
    <w:rsid w:val="6D256AE7"/>
    <w:rsid w:val="6D2927DA"/>
    <w:rsid w:val="6D2C7965"/>
    <w:rsid w:val="6D2D3A8A"/>
    <w:rsid w:val="6D3119E0"/>
    <w:rsid w:val="6D364707"/>
    <w:rsid w:val="6D374EB1"/>
    <w:rsid w:val="6D3C0545"/>
    <w:rsid w:val="6D4371FB"/>
    <w:rsid w:val="6D440F82"/>
    <w:rsid w:val="6D4B42A5"/>
    <w:rsid w:val="6D535020"/>
    <w:rsid w:val="6D54588F"/>
    <w:rsid w:val="6D597E2E"/>
    <w:rsid w:val="6D620590"/>
    <w:rsid w:val="6D68133A"/>
    <w:rsid w:val="6D6B359E"/>
    <w:rsid w:val="6D6F5BBE"/>
    <w:rsid w:val="6D6F6BD1"/>
    <w:rsid w:val="6D721BC3"/>
    <w:rsid w:val="6D7579D6"/>
    <w:rsid w:val="6D862616"/>
    <w:rsid w:val="6D894D56"/>
    <w:rsid w:val="6D8A7502"/>
    <w:rsid w:val="6D8E3A62"/>
    <w:rsid w:val="6D9303C0"/>
    <w:rsid w:val="6D941F8F"/>
    <w:rsid w:val="6D953443"/>
    <w:rsid w:val="6D9944AA"/>
    <w:rsid w:val="6D9C46FC"/>
    <w:rsid w:val="6D9D76CE"/>
    <w:rsid w:val="6D9D7E64"/>
    <w:rsid w:val="6DA2484C"/>
    <w:rsid w:val="6DA70769"/>
    <w:rsid w:val="6DAA4DCD"/>
    <w:rsid w:val="6DAA6483"/>
    <w:rsid w:val="6DAB1110"/>
    <w:rsid w:val="6DB838E1"/>
    <w:rsid w:val="6DB83B51"/>
    <w:rsid w:val="6DB843CD"/>
    <w:rsid w:val="6DB858F7"/>
    <w:rsid w:val="6DBB496B"/>
    <w:rsid w:val="6DBF2656"/>
    <w:rsid w:val="6DC12804"/>
    <w:rsid w:val="6DC568E2"/>
    <w:rsid w:val="6DCD727E"/>
    <w:rsid w:val="6DCF53EC"/>
    <w:rsid w:val="6DDD0482"/>
    <w:rsid w:val="6DDF11A6"/>
    <w:rsid w:val="6DE364DF"/>
    <w:rsid w:val="6DE508F7"/>
    <w:rsid w:val="6DF36B69"/>
    <w:rsid w:val="6DF608A4"/>
    <w:rsid w:val="6DFA7B50"/>
    <w:rsid w:val="6DFB0400"/>
    <w:rsid w:val="6DFD3B75"/>
    <w:rsid w:val="6E04023B"/>
    <w:rsid w:val="6E111432"/>
    <w:rsid w:val="6E19468B"/>
    <w:rsid w:val="6E1A224F"/>
    <w:rsid w:val="6E1D0376"/>
    <w:rsid w:val="6E214E48"/>
    <w:rsid w:val="6E2261FE"/>
    <w:rsid w:val="6E261EA1"/>
    <w:rsid w:val="6E26520A"/>
    <w:rsid w:val="6E324BEA"/>
    <w:rsid w:val="6E391FCD"/>
    <w:rsid w:val="6E475211"/>
    <w:rsid w:val="6E49223D"/>
    <w:rsid w:val="6E583A91"/>
    <w:rsid w:val="6E5E6A49"/>
    <w:rsid w:val="6E5F098F"/>
    <w:rsid w:val="6E604F2E"/>
    <w:rsid w:val="6E606C6F"/>
    <w:rsid w:val="6E641117"/>
    <w:rsid w:val="6E653088"/>
    <w:rsid w:val="6E6A4AE2"/>
    <w:rsid w:val="6E6C6560"/>
    <w:rsid w:val="6E781A51"/>
    <w:rsid w:val="6E786A25"/>
    <w:rsid w:val="6E80505E"/>
    <w:rsid w:val="6E8C53D6"/>
    <w:rsid w:val="6E8D0098"/>
    <w:rsid w:val="6E91041D"/>
    <w:rsid w:val="6E913D48"/>
    <w:rsid w:val="6E916406"/>
    <w:rsid w:val="6E934195"/>
    <w:rsid w:val="6E9854C6"/>
    <w:rsid w:val="6E9A62BB"/>
    <w:rsid w:val="6E9D4A47"/>
    <w:rsid w:val="6EA746E8"/>
    <w:rsid w:val="6EAD5BDB"/>
    <w:rsid w:val="6EB9307E"/>
    <w:rsid w:val="6EBC751A"/>
    <w:rsid w:val="6EBD00EB"/>
    <w:rsid w:val="6EBE3F24"/>
    <w:rsid w:val="6EC01205"/>
    <w:rsid w:val="6EC958AD"/>
    <w:rsid w:val="6ECA3C33"/>
    <w:rsid w:val="6ECB1257"/>
    <w:rsid w:val="6ED16295"/>
    <w:rsid w:val="6ED51B18"/>
    <w:rsid w:val="6ED547AD"/>
    <w:rsid w:val="6ED913F1"/>
    <w:rsid w:val="6EE11906"/>
    <w:rsid w:val="6EE53A41"/>
    <w:rsid w:val="6EEF69FF"/>
    <w:rsid w:val="6EF42618"/>
    <w:rsid w:val="6EF552E2"/>
    <w:rsid w:val="6EF82671"/>
    <w:rsid w:val="6F097123"/>
    <w:rsid w:val="6F127ED3"/>
    <w:rsid w:val="6F174DC6"/>
    <w:rsid w:val="6F1A48B6"/>
    <w:rsid w:val="6F1B3411"/>
    <w:rsid w:val="6F1D2AFC"/>
    <w:rsid w:val="6F1E30E4"/>
    <w:rsid w:val="6F2B3FF7"/>
    <w:rsid w:val="6F317A8C"/>
    <w:rsid w:val="6F3B2D28"/>
    <w:rsid w:val="6F400E3E"/>
    <w:rsid w:val="6F4059E0"/>
    <w:rsid w:val="6F531BEC"/>
    <w:rsid w:val="6F5D48DC"/>
    <w:rsid w:val="6F6358F8"/>
    <w:rsid w:val="6F672FA0"/>
    <w:rsid w:val="6F6F69FB"/>
    <w:rsid w:val="6F7C7167"/>
    <w:rsid w:val="6F8B50F1"/>
    <w:rsid w:val="6F936230"/>
    <w:rsid w:val="6F971B36"/>
    <w:rsid w:val="6F9A6D4B"/>
    <w:rsid w:val="6F9F295F"/>
    <w:rsid w:val="6FAC7D4B"/>
    <w:rsid w:val="6FB94AD5"/>
    <w:rsid w:val="6FBA3348"/>
    <w:rsid w:val="6FBF60A8"/>
    <w:rsid w:val="6FC46D68"/>
    <w:rsid w:val="6FC84312"/>
    <w:rsid w:val="6FCC48E9"/>
    <w:rsid w:val="6FCD76FD"/>
    <w:rsid w:val="6FCF0781"/>
    <w:rsid w:val="6FD04583"/>
    <w:rsid w:val="6FDC3780"/>
    <w:rsid w:val="6FDE1C6D"/>
    <w:rsid w:val="6FEA0F79"/>
    <w:rsid w:val="6FF17B45"/>
    <w:rsid w:val="6FF34E68"/>
    <w:rsid w:val="6FF45107"/>
    <w:rsid w:val="6FFF6F4C"/>
    <w:rsid w:val="70056F1C"/>
    <w:rsid w:val="700B24FD"/>
    <w:rsid w:val="700C06A3"/>
    <w:rsid w:val="70132897"/>
    <w:rsid w:val="70182C21"/>
    <w:rsid w:val="701A5CAB"/>
    <w:rsid w:val="7022553F"/>
    <w:rsid w:val="702C28D1"/>
    <w:rsid w:val="702D3EEE"/>
    <w:rsid w:val="702E0C56"/>
    <w:rsid w:val="703934F8"/>
    <w:rsid w:val="703A6645"/>
    <w:rsid w:val="703A748F"/>
    <w:rsid w:val="703D6899"/>
    <w:rsid w:val="703F3085"/>
    <w:rsid w:val="70433400"/>
    <w:rsid w:val="704A0B30"/>
    <w:rsid w:val="70532E81"/>
    <w:rsid w:val="705474FD"/>
    <w:rsid w:val="70564041"/>
    <w:rsid w:val="705B69B6"/>
    <w:rsid w:val="705F0998"/>
    <w:rsid w:val="705F1779"/>
    <w:rsid w:val="705F1EF4"/>
    <w:rsid w:val="70613EA8"/>
    <w:rsid w:val="70634850"/>
    <w:rsid w:val="706E310B"/>
    <w:rsid w:val="706F1482"/>
    <w:rsid w:val="70717761"/>
    <w:rsid w:val="7072323E"/>
    <w:rsid w:val="70757FF6"/>
    <w:rsid w:val="70773E6C"/>
    <w:rsid w:val="7090107B"/>
    <w:rsid w:val="70942D3A"/>
    <w:rsid w:val="70977AB6"/>
    <w:rsid w:val="70990302"/>
    <w:rsid w:val="70A12191"/>
    <w:rsid w:val="70B42C1F"/>
    <w:rsid w:val="70B53120"/>
    <w:rsid w:val="70C22AF2"/>
    <w:rsid w:val="70C525FF"/>
    <w:rsid w:val="70D00490"/>
    <w:rsid w:val="70E73B5E"/>
    <w:rsid w:val="70EA6773"/>
    <w:rsid w:val="70EE2BBA"/>
    <w:rsid w:val="70F45EC1"/>
    <w:rsid w:val="70F56C85"/>
    <w:rsid w:val="70FA67AC"/>
    <w:rsid w:val="70FF7713"/>
    <w:rsid w:val="71027266"/>
    <w:rsid w:val="710B44B6"/>
    <w:rsid w:val="710D1835"/>
    <w:rsid w:val="71257E93"/>
    <w:rsid w:val="7127374B"/>
    <w:rsid w:val="71273A55"/>
    <w:rsid w:val="712E4F5A"/>
    <w:rsid w:val="712F5656"/>
    <w:rsid w:val="713664E2"/>
    <w:rsid w:val="713945E7"/>
    <w:rsid w:val="713B73DA"/>
    <w:rsid w:val="713D1A60"/>
    <w:rsid w:val="714025F2"/>
    <w:rsid w:val="714479C8"/>
    <w:rsid w:val="7145764C"/>
    <w:rsid w:val="714B7D5D"/>
    <w:rsid w:val="714E3EB3"/>
    <w:rsid w:val="715971CC"/>
    <w:rsid w:val="715A41CC"/>
    <w:rsid w:val="715B7258"/>
    <w:rsid w:val="716122E9"/>
    <w:rsid w:val="71630B05"/>
    <w:rsid w:val="716508E8"/>
    <w:rsid w:val="71672441"/>
    <w:rsid w:val="71687B5B"/>
    <w:rsid w:val="716E2E39"/>
    <w:rsid w:val="71702546"/>
    <w:rsid w:val="717A163C"/>
    <w:rsid w:val="71854728"/>
    <w:rsid w:val="71867D1C"/>
    <w:rsid w:val="718F2C06"/>
    <w:rsid w:val="71906834"/>
    <w:rsid w:val="71941BE4"/>
    <w:rsid w:val="71A1299B"/>
    <w:rsid w:val="71A32941"/>
    <w:rsid w:val="71A6097D"/>
    <w:rsid w:val="71A83981"/>
    <w:rsid w:val="71AA6EDF"/>
    <w:rsid w:val="71AD4BFA"/>
    <w:rsid w:val="71AE2694"/>
    <w:rsid w:val="71B425B0"/>
    <w:rsid w:val="71BB472D"/>
    <w:rsid w:val="71C20328"/>
    <w:rsid w:val="71C711F6"/>
    <w:rsid w:val="71CC28D4"/>
    <w:rsid w:val="71CF558C"/>
    <w:rsid w:val="71D31A80"/>
    <w:rsid w:val="71D41B23"/>
    <w:rsid w:val="71D46698"/>
    <w:rsid w:val="71DB2B4B"/>
    <w:rsid w:val="71DD6193"/>
    <w:rsid w:val="71DF766B"/>
    <w:rsid w:val="71E54716"/>
    <w:rsid w:val="71F50E9B"/>
    <w:rsid w:val="71F6354B"/>
    <w:rsid w:val="71FD1295"/>
    <w:rsid w:val="71FE401B"/>
    <w:rsid w:val="72040255"/>
    <w:rsid w:val="720402AF"/>
    <w:rsid w:val="72043E35"/>
    <w:rsid w:val="7214383E"/>
    <w:rsid w:val="721546C8"/>
    <w:rsid w:val="7217045E"/>
    <w:rsid w:val="722921E8"/>
    <w:rsid w:val="722D7B5A"/>
    <w:rsid w:val="722F2394"/>
    <w:rsid w:val="7231619E"/>
    <w:rsid w:val="72465360"/>
    <w:rsid w:val="725672D4"/>
    <w:rsid w:val="725D087C"/>
    <w:rsid w:val="725D6EF7"/>
    <w:rsid w:val="725E2D19"/>
    <w:rsid w:val="726A345E"/>
    <w:rsid w:val="726B3BE0"/>
    <w:rsid w:val="72722CD4"/>
    <w:rsid w:val="727316EF"/>
    <w:rsid w:val="72797073"/>
    <w:rsid w:val="727B4954"/>
    <w:rsid w:val="728C71F8"/>
    <w:rsid w:val="728D32C2"/>
    <w:rsid w:val="728E18FB"/>
    <w:rsid w:val="728E7A41"/>
    <w:rsid w:val="729130E1"/>
    <w:rsid w:val="729254D2"/>
    <w:rsid w:val="72954D25"/>
    <w:rsid w:val="72A72180"/>
    <w:rsid w:val="72A76461"/>
    <w:rsid w:val="72B170C3"/>
    <w:rsid w:val="72B50B7E"/>
    <w:rsid w:val="72B56DCF"/>
    <w:rsid w:val="72B6119D"/>
    <w:rsid w:val="72B62B48"/>
    <w:rsid w:val="72B72279"/>
    <w:rsid w:val="72BF19FC"/>
    <w:rsid w:val="72C57DBA"/>
    <w:rsid w:val="72CD4FD5"/>
    <w:rsid w:val="72CD65D7"/>
    <w:rsid w:val="72DB2CFB"/>
    <w:rsid w:val="72DF7EF5"/>
    <w:rsid w:val="72E84230"/>
    <w:rsid w:val="72ED7062"/>
    <w:rsid w:val="72EE1D43"/>
    <w:rsid w:val="72EF4EC0"/>
    <w:rsid w:val="72F445C7"/>
    <w:rsid w:val="72F56679"/>
    <w:rsid w:val="72FB793C"/>
    <w:rsid w:val="72FE123E"/>
    <w:rsid w:val="730F2162"/>
    <w:rsid w:val="73123F59"/>
    <w:rsid w:val="73170C3F"/>
    <w:rsid w:val="73182516"/>
    <w:rsid w:val="73263ED3"/>
    <w:rsid w:val="732A139F"/>
    <w:rsid w:val="732B26C7"/>
    <w:rsid w:val="733527F5"/>
    <w:rsid w:val="73407855"/>
    <w:rsid w:val="7345482E"/>
    <w:rsid w:val="73474A39"/>
    <w:rsid w:val="73474A3D"/>
    <w:rsid w:val="734F3A57"/>
    <w:rsid w:val="735555BD"/>
    <w:rsid w:val="735904B3"/>
    <w:rsid w:val="735C6312"/>
    <w:rsid w:val="73600047"/>
    <w:rsid w:val="736042F2"/>
    <w:rsid w:val="736431F1"/>
    <w:rsid w:val="736E0772"/>
    <w:rsid w:val="736F3422"/>
    <w:rsid w:val="73774417"/>
    <w:rsid w:val="73775DBE"/>
    <w:rsid w:val="73807B08"/>
    <w:rsid w:val="73886292"/>
    <w:rsid w:val="73915515"/>
    <w:rsid w:val="73977EA1"/>
    <w:rsid w:val="73B8183B"/>
    <w:rsid w:val="73BB1770"/>
    <w:rsid w:val="73BB2E44"/>
    <w:rsid w:val="73C21FDB"/>
    <w:rsid w:val="73C62E42"/>
    <w:rsid w:val="73C67FC2"/>
    <w:rsid w:val="73CB7E67"/>
    <w:rsid w:val="73D03795"/>
    <w:rsid w:val="73E95652"/>
    <w:rsid w:val="73EC341E"/>
    <w:rsid w:val="73F26529"/>
    <w:rsid w:val="73F5437A"/>
    <w:rsid w:val="73F61D7A"/>
    <w:rsid w:val="73FD2776"/>
    <w:rsid w:val="73FE5F31"/>
    <w:rsid w:val="74015245"/>
    <w:rsid w:val="74101909"/>
    <w:rsid w:val="74101D76"/>
    <w:rsid w:val="74120FBC"/>
    <w:rsid w:val="74131194"/>
    <w:rsid w:val="74240BDD"/>
    <w:rsid w:val="742830E0"/>
    <w:rsid w:val="742B4D5F"/>
    <w:rsid w:val="743537AD"/>
    <w:rsid w:val="743C6C92"/>
    <w:rsid w:val="743D3029"/>
    <w:rsid w:val="74404222"/>
    <w:rsid w:val="7441504E"/>
    <w:rsid w:val="7441668C"/>
    <w:rsid w:val="74426780"/>
    <w:rsid w:val="74451B6E"/>
    <w:rsid w:val="74471CA9"/>
    <w:rsid w:val="744B6DE1"/>
    <w:rsid w:val="744C1B9A"/>
    <w:rsid w:val="744C1FE0"/>
    <w:rsid w:val="744E3EF7"/>
    <w:rsid w:val="74556FBB"/>
    <w:rsid w:val="74584A42"/>
    <w:rsid w:val="74630153"/>
    <w:rsid w:val="74724CE2"/>
    <w:rsid w:val="748C6553"/>
    <w:rsid w:val="74910E9F"/>
    <w:rsid w:val="749A31D8"/>
    <w:rsid w:val="749E25D9"/>
    <w:rsid w:val="74AB0105"/>
    <w:rsid w:val="74AB4F7F"/>
    <w:rsid w:val="74B04D19"/>
    <w:rsid w:val="74B06B49"/>
    <w:rsid w:val="74B96C78"/>
    <w:rsid w:val="74BD6E05"/>
    <w:rsid w:val="74C652C4"/>
    <w:rsid w:val="74CF1101"/>
    <w:rsid w:val="74D23C51"/>
    <w:rsid w:val="74D61A21"/>
    <w:rsid w:val="74ED4BCC"/>
    <w:rsid w:val="74EF0B40"/>
    <w:rsid w:val="74F75874"/>
    <w:rsid w:val="74F8785C"/>
    <w:rsid w:val="74FB22FD"/>
    <w:rsid w:val="74FD2AC8"/>
    <w:rsid w:val="750326CE"/>
    <w:rsid w:val="75094C83"/>
    <w:rsid w:val="750A341D"/>
    <w:rsid w:val="750E4351"/>
    <w:rsid w:val="75105179"/>
    <w:rsid w:val="75142A0C"/>
    <w:rsid w:val="751945D3"/>
    <w:rsid w:val="75216A60"/>
    <w:rsid w:val="75226309"/>
    <w:rsid w:val="752B6B0A"/>
    <w:rsid w:val="752C0641"/>
    <w:rsid w:val="752E2E69"/>
    <w:rsid w:val="7537311B"/>
    <w:rsid w:val="75393AB8"/>
    <w:rsid w:val="7539491F"/>
    <w:rsid w:val="753B6661"/>
    <w:rsid w:val="753F7299"/>
    <w:rsid w:val="7545634F"/>
    <w:rsid w:val="75573F10"/>
    <w:rsid w:val="755B1F40"/>
    <w:rsid w:val="756264FF"/>
    <w:rsid w:val="75687357"/>
    <w:rsid w:val="75692D04"/>
    <w:rsid w:val="756D7E92"/>
    <w:rsid w:val="75713888"/>
    <w:rsid w:val="757354D0"/>
    <w:rsid w:val="757D774A"/>
    <w:rsid w:val="757F2C5B"/>
    <w:rsid w:val="758605F0"/>
    <w:rsid w:val="758608A5"/>
    <w:rsid w:val="7588490A"/>
    <w:rsid w:val="7589009F"/>
    <w:rsid w:val="758C348C"/>
    <w:rsid w:val="75904CC6"/>
    <w:rsid w:val="7593525C"/>
    <w:rsid w:val="75974CFA"/>
    <w:rsid w:val="759F1C61"/>
    <w:rsid w:val="75A22138"/>
    <w:rsid w:val="75A43692"/>
    <w:rsid w:val="75AD00A7"/>
    <w:rsid w:val="75B01F50"/>
    <w:rsid w:val="75B57674"/>
    <w:rsid w:val="75B65C42"/>
    <w:rsid w:val="75B72E2B"/>
    <w:rsid w:val="75B77BCE"/>
    <w:rsid w:val="75BA46FD"/>
    <w:rsid w:val="75BB55A0"/>
    <w:rsid w:val="75BC73A4"/>
    <w:rsid w:val="75C00300"/>
    <w:rsid w:val="75C630A2"/>
    <w:rsid w:val="75CB0F4F"/>
    <w:rsid w:val="75CE1AC0"/>
    <w:rsid w:val="75D100CB"/>
    <w:rsid w:val="75D91027"/>
    <w:rsid w:val="75DC5CC1"/>
    <w:rsid w:val="75E43528"/>
    <w:rsid w:val="75E6360A"/>
    <w:rsid w:val="75E8481D"/>
    <w:rsid w:val="75F26974"/>
    <w:rsid w:val="75F75F42"/>
    <w:rsid w:val="76032E06"/>
    <w:rsid w:val="76044E8B"/>
    <w:rsid w:val="76156DAC"/>
    <w:rsid w:val="76230A34"/>
    <w:rsid w:val="76292467"/>
    <w:rsid w:val="762A76C9"/>
    <w:rsid w:val="763043A4"/>
    <w:rsid w:val="763078CE"/>
    <w:rsid w:val="76320737"/>
    <w:rsid w:val="76367F9E"/>
    <w:rsid w:val="76394B94"/>
    <w:rsid w:val="7639789B"/>
    <w:rsid w:val="763A5BB1"/>
    <w:rsid w:val="763C7605"/>
    <w:rsid w:val="764026BE"/>
    <w:rsid w:val="76417105"/>
    <w:rsid w:val="7642152F"/>
    <w:rsid w:val="76494D27"/>
    <w:rsid w:val="76497D42"/>
    <w:rsid w:val="764B080A"/>
    <w:rsid w:val="764C4FAF"/>
    <w:rsid w:val="764E0A9E"/>
    <w:rsid w:val="764E0DB5"/>
    <w:rsid w:val="76521A92"/>
    <w:rsid w:val="765D2ED4"/>
    <w:rsid w:val="766355AF"/>
    <w:rsid w:val="766565E4"/>
    <w:rsid w:val="766719F2"/>
    <w:rsid w:val="766B2A9C"/>
    <w:rsid w:val="766D176F"/>
    <w:rsid w:val="766D43C0"/>
    <w:rsid w:val="76707EF4"/>
    <w:rsid w:val="76775EE9"/>
    <w:rsid w:val="767770F4"/>
    <w:rsid w:val="767A66F6"/>
    <w:rsid w:val="767B13B1"/>
    <w:rsid w:val="76802E9D"/>
    <w:rsid w:val="76811BD9"/>
    <w:rsid w:val="76836629"/>
    <w:rsid w:val="768667FF"/>
    <w:rsid w:val="76883A31"/>
    <w:rsid w:val="769625AA"/>
    <w:rsid w:val="769644EC"/>
    <w:rsid w:val="769C1F68"/>
    <w:rsid w:val="769E784A"/>
    <w:rsid w:val="769F5712"/>
    <w:rsid w:val="76A7599F"/>
    <w:rsid w:val="76A83241"/>
    <w:rsid w:val="76A90578"/>
    <w:rsid w:val="76AE20E0"/>
    <w:rsid w:val="76AE34B1"/>
    <w:rsid w:val="76B17425"/>
    <w:rsid w:val="76B56816"/>
    <w:rsid w:val="76B958A6"/>
    <w:rsid w:val="76C276D6"/>
    <w:rsid w:val="76CB6D39"/>
    <w:rsid w:val="76CE66B2"/>
    <w:rsid w:val="76CE72CC"/>
    <w:rsid w:val="76D50C55"/>
    <w:rsid w:val="76DD4AB9"/>
    <w:rsid w:val="76DD609C"/>
    <w:rsid w:val="76E25E71"/>
    <w:rsid w:val="76E53F72"/>
    <w:rsid w:val="76E63C15"/>
    <w:rsid w:val="76E91601"/>
    <w:rsid w:val="76E972F4"/>
    <w:rsid w:val="76EA2DC0"/>
    <w:rsid w:val="76F03C7A"/>
    <w:rsid w:val="76F8203F"/>
    <w:rsid w:val="76F95706"/>
    <w:rsid w:val="76FC4B17"/>
    <w:rsid w:val="76FD4BB5"/>
    <w:rsid w:val="76FE475A"/>
    <w:rsid w:val="76FE6B25"/>
    <w:rsid w:val="770941BC"/>
    <w:rsid w:val="770A0645"/>
    <w:rsid w:val="770C71DA"/>
    <w:rsid w:val="770E2F52"/>
    <w:rsid w:val="77125FA3"/>
    <w:rsid w:val="77142F7D"/>
    <w:rsid w:val="77156159"/>
    <w:rsid w:val="771675E7"/>
    <w:rsid w:val="771B2D63"/>
    <w:rsid w:val="771F0CBB"/>
    <w:rsid w:val="7724434E"/>
    <w:rsid w:val="772C3762"/>
    <w:rsid w:val="773118A8"/>
    <w:rsid w:val="77353169"/>
    <w:rsid w:val="77367E6B"/>
    <w:rsid w:val="77374F06"/>
    <w:rsid w:val="77397748"/>
    <w:rsid w:val="773B5694"/>
    <w:rsid w:val="774774FD"/>
    <w:rsid w:val="774D57A4"/>
    <w:rsid w:val="774F597E"/>
    <w:rsid w:val="77562203"/>
    <w:rsid w:val="775D2D49"/>
    <w:rsid w:val="775E4434"/>
    <w:rsid w:val="775F7965"/>
    <w:rsid w:val="77617A82"/>
    <w:rsid w:val="776A1130"/>
    <w:rsid w:val="776C1A27"/>
    <w:rsid w:val="77747A94"/>
    <w:rsid w:val="77767150"/>
    <w:rsid w:val="7785133B"/>
    <w:rsid w:val="77856D29"/>
    <w:rsid w:val="77897277"/>
    <w:rsid w:val="778C7D7D"/>
    <w:rsid w:val="77900F70"/>
    <w:rsid w:val="77903D1B"/>
    <w:rsid w:val="77956359"/>
    <w:rsid w:val="779605C7"/>
    <w:rsid w:val="77A470C8"/>
    <w:rsid w:val="77A90061"/>
    <w:rsid w:val="77AB6AAF"/>
    <w:rsid w:val="77AF2797"/>
    <w:rsid w:val="77B4184C"/>
    <w:rsid w:val="77BD508B"/>
    <w:rsid w:val="77D34FE8"/>
    <w:rsid w:val="77D42BB9"/>
    <w:rsid w:val="77D74093"/>
    <w:rsid w:val="77D84E67"/>
    <w:rsid w:val="77DB55EA"/>
    <w:rsid w:val="77DC343A"/>
    <w:rsid w:val="77EE1098"/>
    <w:rsid w:val="77F35CA4"/>
    <w:rsid w:val="77F5303F"/>
    <w:rsid w:val="77F64C0D"/>
    <w:rsid w:val="77FA26A5"/>
    <w:rsid w:val="77FD6007"/>
    <w:rsid w:val="78066C7C"/>
    <w:rsid w:val="78076EAD"/>
    <w:rsid w:val="78097B92"/>
    <w:rsid w:val="78147AD8"/>
    <w:rsid w:val="7815376C"/>
    <w:rsid w:val="7819106A"/>
    <w:rsid w:val="781B2C31"/>
    <w:rsid w:val="781D2DD5"/>
    <w:rsid w:val="78206F33"/>
    <w:rsid w:val="78224EA9"/>
    <w:rsid w:val="78234736"/>
    <w:rsid w:val="78242921"/>
    <w:rsid w:val="782609F0"/>
    <w:rsid w:val="782913D2"/>
    <w:rsid w:val="782C7737"/>
    <w:rsid w:val="782F75EE"/>
    <w:rsid w:val="78301B42"/>
    <w:rsid w:val="7836140F"/>
    <w:rsid w:val="78386DF2"/>
    <w:rsid w:val="7839147F"/>
    <w:rsid w:val="783942D5"/>
    <w:rsid w:val="784024BD"/>
    <w:rsid w:val="784C2AE1"/>
    <w:rsid w:val="784D5216"/>
    <w:rsid w:val="785048A9"/>
    <w:rsid w:val="785F466B"/>
    <w:rsid w:val="786108E0"/>
    <w:rsid w:val="7867238C"/>
    <w:rsid w:val="786C7F30"/>
    <w:rsid w:val="78703335"/>
    <w:rsid w:val="78715D9D"/>
    <w:rsid w:val="78792829"/>
    <w:rsid w:val="787E5EB6"/>
    <w:rsid w:val="788420CF"/>
    <w:rsid w:val="7884775C"/>
    <w:rsid w:val="788F3687"/>
    <w:rsid w:val="78916540"/>
    <w:rsid w:val="78965D8D"/>
    <w:rsid w:val="789B244E"/>
    <w:rsid w:val="789B63B1"/>
    <w:rsid w:val="789C6F74"/>
    <w:rsid w:val="78A51694"/>
    <w:rsid w:val="78A76BDA"/>
    <w:rsid w:val="78AA0403"/>
    <w:rsid w:val="78AB1D6E"/>
    <w:rsid w:val="78AC1978"/>
    <w:rsid w:val="78B10193"/>
    <w:rsid w:val="78B60CAD"/>
    <w:rsid w:val="78B96502"/>
    <w:rsid w:val="78BA3A78"/>
    <w:rsid w:val="78BB1AC1"/>
    <w:rsid w:val="78CF5D2F"/>
    <w:rsid w:val="78D37B29"/>
    <w:rsid w:val="78D66AE6"/>
    <w:rsid w:val="78D74710"/>
    <w:rsid w:val="78DF6761"/>
    <w:rsid w:val="78E02053"/>
    <w:rsid w:val="78E24696"/>
    <w:rsid w:val="78F66C7C"/>
    <w:rsid w:val="78F77226"/>
    <w:rsid w:val="78F77935"/>
    <w:rsid w:val="78FB5138"/>
    <w:rsid w:val="790B649C"/>
    <w:rsid w:val="79144124"/>
    <w:rsid w:val="791C6A5E"/>
    <w:rsid w:val="791D619B"/>
    <w:rsid w:val="793C3369"/>
    <w:rsid w:val="794B0A50"/>
    <w:rsid w:val="794B1A7B"/>
    <w:rsid w:val="794B43B3"/>
    <w:rsid w:val="794F737D"/>
    <w:rsid w:val="795300E3"/>
    <w:rsid w:val="7957532A"/>
    <w:rsid w:val="795F40AD"/>
    <w:rsid w:val="79684FA8"/>
    <w:rsid w:val="796D2349"/>
    <w:rsid w:val="79733413"/>
    <w:rsid w:val="79764D82"/>
    <w:rsid w:val="797F6406"/>
    <w:rsid w:val="79817A0B"/>
    <w:rsid w:val="79861C12"/>
    <w:rsid w:val="79865680"/>
    <w:rsid w:val="79866F76"/>
    <w:rsid w:val="7987411C"/>
    <w:rsid w:val="798D4C6B"/>
    <w:rsid w:val="7995460A"/>
    <w:rsid w:val="79970833"/>
    <w:rsid w:val="799D05BD"/>
    <w:rsid w:val="799E5D19"/>
    <w:rsid w:val="79A01D48"/>
    <w:rsid w:val="79A41A39"/>
    <w:rsid w:val="79A92E48"/>
    <w:rsid w:val="79AB3728"/>
    <w:rsid w:val="79B32A92"/>
    <w:rsid w:val="79B9220B"/>
    <w:rsid w:val="79BF222B"/>
    <w:rsid w:val="79C03224"/>
    <w:rsid w:val="79C11B37"/>
    <w:rsid w:val="79CD0EA3"/>
    <w:rsid w:val="79D6240C"/>
    <w:rsid w:val="79E90D34"/>
    <w:rsid w:val="79EB74C6"/>
    <w:rsid w:val="79F42388"/>
    <w:rsid w:val="79F47C2E"/>
    <w:rsid w:val="79FE52E2"/>
    <w:rsid w:val="7A005634"/>
    <w:rsid w:val="7A090DDF"/>
    <w:rsid w:val="7A091740"/>
    <w:rsid w:val="7A1578AD"/>
    <w:rsid w:val="7A177BA5"/>
    <w:rsid w:val="7A1C2847"/>
    <w:rsid w:val="7A21378D"/>
    <w:rsid w:val="7A235F0B"/>
    <w:rsid w:val="7A2A6996"/>
    <w:rsid w:val="7A2D439D"/>
    <w:rsid w:val="7A342206"/>
    <w:rsid w:val="7A3649D6"/>
    <w:rsid w:val="7A372AE1"/>
    <w:rsid w:val="7A3A1A31"/>
    <w:rsid w:val="7A4A5F2B"/>
    <w:rsid w:val="7A4C2AA1"/>
    <w:rsid w:val="7A5275FA"/>
    <w:rsid w:val="7A5757E1"/>
    <w:rsid w:val="7A6A7D82"/>
    <w:rsid w:val="7A6B0F57"/>
    <w:rsid w:val="7A6B1119"/>
    <w:rsid w:val="7A6B3591"/>
    <w:rsid w:val="7A6D67F3"/>
    <w:rsid w:val="7A6D75E1"/>
    <w:rsid w:val="7A8546C4"/>
    <w:rsid w:val="7A8F2288"/>
    <w:rsid w:val="7A9100F4"/>
    <w:rsid w:val="7A940685"/>
    <w:rsid w:val="7A9A6164"/>
    <w:rsid w:val="7AA00365"/>
    <w:rsid w:val="7AA008BF"/>
    <w:rsid w:val="7AA356A0"/>
    <w:rsid w:val="7AAF691A"/>
    <w:rsid w:val="7AB07E27"/>
    <w:rsid w:val="7AC22F6D"/>
    <w:rsid w:val="7AC52E5C"/>
    <w:rsid w:val="7AC55AD7"/>
    <w:rsid w:val="7AC71A87"/>
    <w:rsid w:val="7AC753BE"/>
    <w:rsid w:val="7AC96944"/>
    <w:rsid w:val="7ACF0210"/>
    <w:rsid w:val="7AD037C5"/>
    <w:rsid w:val="7AD25A85"/>
    <w:rsid w:val="7AD415DC"/>
    <w:rsid w:val="7AE04651"/>
    <w:rsid w:val="7AE1078A"/>
    <w:rsid w:val="7AE351DC"/>
    <w:rsid w:val="7AEB1571"/>
    <w:rsid w:val="7AF55237"/>
    <w:rsid w:val="7AF81F4F"/>
    <w:rsid w:val="7AFC176E"/>
    <w:rsid w:val="7B01661A"/>
    <w:rsid w:val="7B035C65"/>
    <w:rsid w:val="7B0D10F7"/>
    <w:rsid w:val="7B11550D"/>
    <w:rsid w:val="7B144C5E"/>
    <w:rsid w:val="7B1759DD"/>
    <w:rsid w:val="7B187154"/>
    <w:rsid w:val="7B192028"/>
    <w:rsid w:val="7B1C6262"/>
    <w:rsid w:val="7B1E1292"/>
    <w:rsid w:val="7B20265F"/>
    <w:rsid w:val="7B2213E5"/>
    <w:rsid w:val="7B224D6D"/>
    <w:rsid w:val="7B277B51"/>
    <w:rsid w:val="7B283721"/>
    <w:rsid w:val="7B2C7F44"/>
    <w:rsid w:val="7B2F1187"/>
    <w:rsid w:val="7B3E3B15"/>
    <w:rsid w:val="7B3F2018"/>
    <w:rsid w:val="7B451BCB"/>
    <w:rsid w:val="7B4A50F2"/>
    <w:rsid w:val="7B4D34B7"/>
    <w:rsid w:val="7B5A4E10"/>
    <w:rsid w:val="7B5E09C5"/>
    <w:rsid w:val="7B6012FE"/>
    <w:rsid w:val="7B6142A9"/>
    <w:rsid w:val="7B65510B"/>
    <w:rsid w:val="7B6B4091"/>
    <w:rsid w:val="7B704FE0"/>
    <w:rsid w:val="7B7415A4"/>
    <w:rsid w:val="7B813EA7"/>
    <w:rsid w:val="7B8B436C"/>
    <w:rsid w:val="7B9444B6"/>
    <w:rsid w:val="7B995799"/>
    <w:rsid w:val="7B9F0E94"/>
    <w:rsid w:val="7BA05797"/>
    <w:rsid w:val="7BB02AD6"/>
    <w:rsid w:val="7BBA24F2"/>
    <w:rsid w:val="7BBC2DC0"/>
    <w:rsid w:val="7BC05687"/>
    <w:rsid w:val="7BC12295"/>
    <w:rsid w:val="7BC94F34"/>
    <w:rsid w:val="7BD00872"/>
    <w:rsid w:val="7BD92B03"/>
    <w:rsid w:val="7BDC4C58"/>
    <w:rsid w:val="7BE32678"/>
    <w:rsid w:val="7BED120E"/>
    <w:rsid w:val="7BEE5BD7"/>
    <w:rsid w:val="7BF02BF6"/>
    <w:rsid w:val="7BF7188D"/>
    <w:rsid w:val="7C037C51"/>
    <w:rsid w:val="7C0D6D73"/>
    <w:rsid w:val="7C151EB2"/>
    <w:rsid w:val="7C1F553A"/>
    <w:rsid w:val="7C20699A"/>
    <w:rsid w:val="7C22148C"/>
    <w:rsid w:val="7C2B22A9"/>
    <w:rsid w:val="7C2C2180"/>
    <w:rsid w:val="7C2F4D95"/>
    <w:rsid w:val="7C350572"/>
    <w:rsid w:val="7C3D7D87"/>
    <w:rsid w:val="7C48543E"/>
    <w:rsid w:val="7C4C0138"/>
    <w:rsid w:val="7C4C797E"/>
    <w:rsid w:val="7C4F2D9E"/>
    <w:rsid w:val="7C4F5B37"/>
    <w:rsid w:val="7C606CC4"/>
    <w:rsid w:val="7C690F47"/>
    <w:rsid w:val="7C6E713D"/>
    <w:rsid w:val="7C740BBE"/>
    <w:rsid w:val="7C757442"/>
    <w:rsid w:val="7C765821"/>
    <w:rsid w:val="7C7839A1"/>
    <w:rsid w:val="7C7920DC"/>
    <w:rsid w:val="7C7E1D3D"/>
    <w:rsid w:val="7C826BB3"/>
    <w:rsid w:val="7C8C1BB0"/>
    <w:rsid w:val="7C8D3B69"/>
    <w:rsid w:val="7C905938"/>
    <w:rsid w:val="7C9639F4"/>
    <w:rsid w:val="7CA2567E"/>
    <w:rsid w:val="7CAD17DE"/>
    <w:rsid w:val="7CAD4B07"/>
    <w:rsid w:val="7CB03082"/>
    <w:rsid w:val="7CBA552E"/>
    <w:rsid w:val="7CCA0363"/>
    <w:rsid w:val="7CCA60F7"/>
    <w:rsid w:val="7CD61AD2"/>
    <w:rsid w:val="7CDB703D"/>
    <w:rsid w:val="7CDC4F24"/>
    <w:rsid w:val="7CDE027E"/>
    <w:rsid w:val="7CE55BEF"/>
    <w:rsid w:val="7CE66D63"/>
    <w:rsid w:val="7CE76EE4"/>
    <w:rsid w:val="7CEC1208"/>
    <w:rsid w:val="7CEE079B"/>
    <w:rsid w:val="7CF624BE"/>
    <w:rsid w:val="7CFB3A42"/>
    <w:rsid w:val="7D023878"/>
    <w:rsid w:val="7D04392D"/>
    <w:rsid w:val="7D043D81"/>
    <w:rsid w:val="7D067310"/>
    <w:rsid w:val="7D085788"/>
    <w:rsid w:val="7D1007CA"/>
    <w:rsid w:val="7D126841"/>
    <w:rsid w:val="7D1E1F65"/>
    <w:rsid w:val="7D203B9E"/>
    <w:rsid w:val="7D2169DA"/>
    <w:rsid w:val="7D2C48D5"/>
    <w:rsid w:val="7D2E33D5"/>
    <w:rsid w:val="7D3B6B31"/>
    <w:rsid w:val="7D3B6C0C"/>
    <w:rsid w:val="7D4B318A"/>
    <w:rsid w:val="7D4F1BCF"/>
    <w:rsid w:val="7D504D7D"/>
    <w:rsid w:val="7D5458B6"/>
    <w:rsid w:val="7D5E2FC4"/>
    <w:rsid w:val="7D61461D"/>
    <w:rsid w:val="7D616FBF"/>
    <w:rsid w:val="7D6476B6"/>
    <w:rsid w:val="7D6733BC"/>
    <w:rsid w:val="7D825D7B"/>
    <w:rsid w:val="7D8B10EE"/>
    <w:rsid w:val="7D8E7922"/>
    <w:rsid w:val="7D962653"/>
    <w:rsid w:val="7D9714DE"/>
    <w:rsid w:val="7D995258"/>
    <w:rsid w:val="7DA375A0"/>
    <w:rsid w:val="7DA519E3"/>
    <w:rsid w:val="7DA95783"/>
    <w:rsid w:val="7DAB14FB"/>
    <w:rsid w:val="7DAD2E7F"/>
    <w:rsid w:val="7DB24038"/>
    <w:rsid w:val="7DB35614"/>
    <w:rsid w:val="7DB65BA2"/>
    <w:rsid w:val="7DB763BC"/>
    <w:rsid w:val="7DC56C78"/>
    <w:rsid w:val="7DCA32F8"/>
    <w:rsid w:val="7DD07A4C"/>
    <w:rsid w:val="7DDB16B4"/>
    <w:rsid w:val="7DDC55AA"/>
    <w:rsid w:val="7DE54181"/>
    <w:rsid w:val="7DE74E4E"/>
    <w:rsid w:val="7DE97BC9"/>
    <w:rsid w:val="7DF24CFE"/>
    <w:rsid w:val="7DF36C18"/>
    <w:rsid w:val="7DF42F88"/>
    <w:rsid w:val="7DFA4230"/>
    <w:rsid w:val="7E000249"/>
    <w:rsid w:val="7E050007"/>
    <w:rsid w:val="7E074257"/>
    <w:rsid w:val="7E0E0854"/>
    <w:rsid w:val="7E123328"/>
    <w:rsid w:val="7E126FDF"/>
    <w:rsid w:val="7E131C1D"/>
    <w:rsid w:val="7E1B7432"/>
    <w:rsid w:val="7E1C48CE"/>
    <w:rsid w:val="7E20521A"/>
    <w:rsid w:val="7E264252"/>
    <w:rsid w:val="7E280143"/>
    <w:rsid w:val="7E2D6BAB"/>
    <w:rsid w:val="7E2E44C0"/>
    <w:rsid w:val="7E2F15F3"/>
    <w:rsid w:val="7E353DC3"/>
    <w:rsid w:val="7E3910E5"/>
    <w:rsid w:val="7E406F57"/>
    <w:rsid w:val="7E476427"/>
    <w:rsid w:val="7E4E543D"/>
    <w:rsid w:val="7E53198E"/>
    <w:rsid w:val="7E537C48"/>
    <w:rsid w:val="7E5A648D"/>
    <w:rsid w:val="7E5C3476"/>
    <w:rsid w:val="7E5F22E5"/>
    <w:rsid w:val="7E615AB1"/>
    <w:rsid w:val="7E61769B"/>
    <w:rsid w:val="7E63044A"/>
    <w:rsid w:val="7E674F33"/>
    <w:rsid w:val="7E703664"/>
    <w:rsid w:val="7E761BD3"/>
    <w:rsid w:val="7E781ACB"/>
    <w:rsid w:val="7E7B151D"/>
    <w:rsid w:val="7E7B47E6"/>
    <w:rsid w:val="7E8439E4"/>
    <w:rsid w:val="7E895EDA"/>
    <w:rsid w:val="7E8B6C36"/>
    <w:rsid w:val="7E91276E"/>
    <w:rsid w:val="7EA808F3"/>
    <w:rsid w:val="7EB23379"/>
    <w:rsid w:val="7EB80474"/>
    <w:rsid w:val="7EB8641C"/>
    <w:rsid w:val="7EBD11AE"/>
    <w:rsid w:val="7EC26085"/>
    <w:rsid w:val="7EC37424"/>
    <w:rsid w:val="7EC52D96"/>
    <w:rsid w:val="7EC825E0"/>
    <w:rsid w:val="7EC9546C"/>
    <w:rsid w:val="7ECD0EEB"/>
    <w:rsid w:val="7ECF0119"/>
    <w:rsid w:val="7ED92401"/>
    <w:rsid w:val="7EDD6A57"/>
    <w:rsid w:val="7EE46C93"/>
    <w:rsid w:val="7EE95644"/>
    <w:rsid w:val="7F0807FB"/>
    <w:rsid w:val="7F084C7B"/>
    <w:rsid w:val="7F1B3C51"/>
    <w:rsid w:val="7F1F5566"/>
    <w:rsid w:val="7F246F5F"/>
    <w:rsid w:val="7F265E5B"/>
    <w:rsid w:val="7F2B0560"/>
    <w:rsid w:val="7F322E29"/>
    <w:rsid w:val="7F3366BB"/>
    <w:rsid w:val="7F433492"/>
    <w:rsid w:val="7F47325A"/>
    <w:rsid w:val="7F480AD8"/>
    <w:rsid w:val="7F4B59F3"/>
    <w:rsid w:val="7F5708A2"/>
    <w:rsid w:val="7F5B4BDF"/>
    <w:rsid w:val="7F5C75DE"/>
    <w:rsid w:val="7F5F40D1"/>
    <w:rsid w:val="7F6424F7"/>
    <w:rsid w:val="7F791219"/>
    <w:rsid w:val="7F7A1202"/>
    <w:rsid w:val="7F8219EB"/>
    <w:rsid w:val="7F8244DD"/>
    <w:rsid w:val="7F826E67"/>
    <w:rsid w:val="7F914FC4"/>
    <w:rsid w:val="7F916218"/>
    <w:rsid w:val="7FA911FE"/>
    <w:rsid w:val="7FBC7767"/>
    <w:rsid w:val="7FC01800"/>
    <w:rsid w:val="7FC60CA0"/>
    <w:rsid w:val="7FCE1EBD"/>
    <w:rsid w:val="7FD3226B"/>
    <w:rsid w:val="7FD370FA"/>
    <w:rsid w:val="7FD64829"/>
    <w:rsid w:val="7FE16783"/>
    <w:rsid w:val="7FEB1250"/>
    <w:rsid w:val="7FEB38AC"/>
    <w:rsid w:val="7FF12202"/>
    <w:rsid w:val="7FFB5C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iPriority="99" w:semiHidden="0"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5"/>
    <w:qFormat/>
    <w:uiPriority w:val="99"/>
    <w:pPr>
      <w:spacing w:before="300" w:after="150" w:line="17" w:lineRule="atLeast"/>
      <w:jc w:val="left"/>
      <w:outlineLvl w:val="0"/>
    </w:pPr>
    <w:rPr>
      <w:rFonts w:ascii="宋体" w:hAnsi="宋体"/>
      <w:b/>
      <w:kern w:val="44"/>
      <w:sz w:val="54"/>
      <w:szCs w:val="54"/>
    </w:rPr>
  </w:style>
  <w:style w:type="paragraph" w:styleId="5">
    <w:name w:val="heading 2"/>
    <w:basedOn w:val="1"/>
    <w:next w:val="6"/>
    <w:link w:val="46"/>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47"/>
    <w:qFormat/>
    <w:uiPriority w:val="99"/>
    <w:pPr>
      <w:keepNext/>
      <w:keepLines/>
      <w:spacing w:line="360" w:lineRule="auto"/>
      <w:outlineLvl w:val="2"/>
    </w:pPr>
    <w:rPr>
      <w:rFonts w:ascii="Times New Roman" w:hAnsi="Times New Roman"/>
      <w:b/>
      <w:sz w:val="24"/>
      <w:szCs w:val="20"/>
    </w:rPr>
  </w:style>
  <w:style w:type="paragraph" w:styleId="8">
    <w:name w:val="heading 4"/>
    <w:basedOn w:val="1"/>
    <w:next w:val="1"/>
    <w:link w:val="48"/>
    <w:qFormat/>
    <w:uiPriority w:val="99"/>
    <w:pPr>
      <w:keepNext/>
      <w:outlineLvl w:val="3"/>
    </w:pPr>
    <w:rPr>
      <w:color w:val="FF0000"/>
      <w:sz w:val="28"/>
      <w:u w:val="single"/>
    </w:rPr>
  </w:style>
  <w:style w:type="paragraph" w:styleId="9">
    <w:name w:val="heading 6"/>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61"/>
    <w:qFormat/>
    <w:uiPriority w:val="99"/>
    <w:pPr>
      <w:spacing w:after="120" w:line="240" w:lineRule="auto"/>
      <w:ind w:left="420" w:leftChars="200" w:firstLine="420" w:firstLineChars="200"/>
    </w:pPr>
    <w:rPr>
      <w:rFonts w:ascii="Times New Roman" w:hAnsi="Times New Roman"/>
      <w:sz w:val="21"/>
      <w:szCs w:val="24"/>
    </w:rPr>
  </w:style>
  <w:style w:type="paragraph" w:styleId="3">
    <w:name w:val="Body Text Indent"/>
    <w:basedOn w:val="1"/>
    <w:link w:val="52"/>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6">
    <w:name w:val="Normal Indent"/>
    <w:basedOn w:val="1"/>
    <w:next w:val="2"/>
    <w:qFormat/>
    <w:uiPriority w:val="99"/>
    <w:pPr>
      <w:ind w:firstLine="420"/>
    </w:pPr>
    <w:rPr>
      <w:szCs w:val="20"/>
    </w:rPr>
  </w:style>
  <w:style w:type="paragraph" w:styleId="10">
    <w:name w:val="table of authorities"/>
    <w:basedOn w:val="1"/>
    <w:next w:val="1"/>
    <w:qFormat/>
    <w:uiPriority w:val="99"/>
    <w:pPr>
      <w:ind w:left="420" w:leftChars="200"/>
    </w:pPr>
  </w:style>
  <w:style w:type="paragraph" w:styleId="11">
    <w:name w:val="caption"/>
    <w:basedOn w:val="1"/>
    <w:next w:val="1"/>
    <w:qFormat/>
    <w:locked/>
    <w:uiPriority w:val="0"/>
    <w:pPr>
      <w:ind w:firstLine="0" w:firstLineChars="0"/>
    </w:pPr>
    <w:rPr>
      <w:rFonts w:ascii="Calibri Light" w:hAnsi="Calibri Light" w:eastAsia="黑体"/>
      <w:sz w:val="20"/>
      <w:szCs w:val="20"/>
    </w:rPr>
  </w:style>
  <w:style w:type="paragraph" w:styleId="12">
    <w:name w:val="annotation text"/>
    <w:basedOn w:val="1"/>
    <w:link w:val="50"/>
    <w:qFormat/>
    <w:uiPriority w:val="99"/>
    <w:pPr>
      <w:jc w:val="left"/>
    </w:pPr>
  </w:style>
  <w:style w:type="paragraph" w:styleId="13">
    <w:name w:val="Salutation"/>
    <w:basedOn w:val="1"/>
    <w:next w:val="1"/>
    <w:link w:val="51"/>
    <w:qFormat/>
    <w:uiPriority w:val="99"/>
    <w:rPr>
      <w:sz w:val="24"/>
      <w:szCs w:val="20"/>
    </w:rPr>
  </w:style>
  <w:style w:type="paragraph" w:styleId="14">
    <w:name w:val="Body Text"/>
    <w:basedOn w:val="1"/>
    <w:next w:val="1"/>
    <w:link w:val="49"/>
    <w:qFormat/>
    <w:uiPriority w:val="99"/>
    <w:pPr>
      <w:spacing w:after="120"/>
    </w:pPr>
  </w:style>
  <w:style w:type="paragraph" w:styleId="15">
    <w:name w:val="Plain Text"/>
    <w:basedOn w:val="1"/>
    <w:link w:val="53"/>
    <w:qFormat/>
    <w:uiPriority w:val="99"/>
    <w:rPr>
      <w:rFonts w:ascii="宋体" w:hAnsi="宋体"/>
      <w:szCs w:val="21"/>
    </w:rPr>
  </w:style>
  <w:style w:type="paragraph" w:styleId="16">
    <w:name w:val="Date"/>
    <w:basedOn w:val="1"/>
    <w:next w:val="1"/>
    <w:link w:val="54"/>
    <w:qFormat/>
    <w:uiPriority w:val="99"/>
    <w:pPr>
      <w:ind w:left="2500" w:leftChars="2500"/>
    </w:pPr>
    <w:rPr>
      <w:rFonts w:ascii="仿宋_GB2312" w:eastAsia="仿宋_GB2312"/>
      <w:color w:val="000000"/>
      <w:kern w:val="0"/>
      <w:sz w:val="32"/>
    </w:rPr>
  </w:style>
  <w:style w:type="paragraph" w:styleId="17">
    <w:name w:val="Body Text Indent 2"/>
    <w:basedOn w:val="1"/>
    <w:link w:val="55"/>
    <w:qFormat/>
    <w:uiPriority w:val="99"/>
    <w:pPr>
      <w:spacing w:after="120" w:line="480" w:lineRule="auto"/>
      <w:ind w:left="420" w:leftChars="200"/>
    </w:pPr>
  </w:style>
  <w:style w:type="paragraph" w:styleId="18">
    <w:name w:val="Balloon Text"/>
    <w:basedOn w:val="1"/>
    <w:link w:val="56"/>
    <w:qFormat/>
    <w:uiPriority w:val="99"/>
    <w:rPr>
      <w:sz w:val="18"/>
      <w:szCs w:val="18"/>
    </w:rPr>
  </w:style>
  <w:style w:type="paragraph" w:styleId="19">
    <w:name w:val="footer"/>
    <w:basedOn w:val="1"/>
    <w:next w:val="14"/>
    <w:link w:val="57"/>
    <w:qFormat/>
    <w:uiPriority w:val="99"/>
    <w:pPr>
      <w:tabs>
        <w:tab w:val="center" w:pos="4153"/>
        <w:tab w:val="right" w:pos="8306"/>
      </w:tabs>
      <w:snapToGrid w:val="0"/>
      <w:jc w:val="left"/>
    </w:pPr>
    <w:rPr>
      <w:sz w:val="18"/>
    </w:rPr>
  </w:style>
  <w:style w:type="paragraph" w:styleId="20">
    <w:name w:val="header"/>
    <w:basedOn w:val="1"/>
    <w:next w:val="21"/>
    <w:link w:val="5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1">
    <w:name w:val="自定义页眉"/>
    <w:basedOn w:val="20"/>
    <w:qFormat/>
    <w:uiPriority w:val="0"/>
    <w:pPr>
      <w:pBdr>
        <w:bottom w:val="thickThinMediumGap" w:color="auto" w:sz="18" w:space="1"/>
      </w:pBdr>
    </w:pPr>
    <w:rPr>
      <w:rFonts w:eastAsia="华文行楷"/>
      <w:sz w:val="21"/>
    </w:rPr>
  </w:style>
  <w:style w:type="paragraph" w:styleId="22">
    <w:name w:val="toc 1"/>
    <w:basedOn w:val="1"/>
    <w:next w:val="1"/>
    <w:semiHidden/>
    <w:qFormat/>
    <w:uiPriority w:val="99"/>
    <w:pPr>
      <w:tabs>
        <w:tab w:val="right" w:leader="dot" w:pos="9016"/>
      </w:tabs>
    </w:pPr>
    <w:rPr>
      <w:rFonts w:eastAsia="华文中宋"/>
      <w:b/>
      <w:sz w:val="24"/>
    </w:rPr>
  </w:style>
  <w:style w:type="paragraph" w:styleId="23">
    <w:name w:val="List"/>
    <w:basedOn w:val="1"/>
    <w:qFormat/>
    <w:locked/>
    <w:uiPriority w:val="0"/>
    <w:pPr>
      <w:widowControl/>
      <w:tabs>
        <w:tab w:val="left" w:pos="454"/>
        <w:tab w:val="left" w:pos="1050"/>
      </w:tabs>
      <w:spacing w:after="120" w:line="360" w:lineRule="auto"/>
      <w:ind w:left="454" w:hanging="454"/>
      <w:jc w:val="left"/>
    </w:pPr>
    <w:rPr>
      <w:kern w:val="0"/>
      <w:sz w:val="28"/>
      <w:szCs w:val="20"/>
    </w:rPr>
  </w:style>
  <w:style w:type="paragraph" w:styleId="24">
    <w:name w:val="Body Text Indent 3"/>
    <w:basedOn w:val="1"/>
    <w:link w:val="59"/>
    <w:qFormat/>
    <w:uiPriority w:val="99"/>
    <w:pPr>
      <w:autoSpaceDE w:val="0"/>
      <w:autoSpaceDN w:val="0"/>
      <w:adjustRightInd w:val="0"/>
      <w:ind w:firstLine="570"/>
    </w:pPr>
    <w:rPr>
      <w:kern w:val="0"/>
      <w:sz w:val="32"/>
      <w:szCs w:val="32"/>
    </w:rPr>
  </w:style>
  <w:style w:type="paragraph" w:styleId="25">
    <w:name w:val="Body Text 2"/>
    <w:basedOn w:val="1"/>
    <w:unhideWhenUsed/>
    <w:qFormat/>
    <w:locked/>
    <w:uiPriority w:val="99"/>
    <w:pPr>
      <w:spacing w:after="120" w:line="480" w:lineRule="auto"/>
    </w:pPr>
  </w:style>
  <w:style w:type="paragraph" w:styleId="26">
    <w:name w:val="Normal (Web)"/>
    <w:basedOn w:val="1"/>
    <w:qFormat/>
    <w:uiPriority w:val="99"/>
    <w:pPr>
      <w:widowControl/>
      <w:spacing w:before="100" w:beforeAutospacing="1" w:after="100" w:afterAutospacing="1"/>
      <w:jc w:val="left"/>
    </w:pPr>
    <w:rPr>
      <w:rFonts w:ascii="宋体" w:hAnsi="宋体" w:cs="宋体"/>
      <w:sz w:val="24"/>
    </w:rPr>
  </w:style>
  <w:style w:type="paragraph" w:styleId="27">
    <w:name w:val="annotation subject"/>
    <w:basedOn w:val="12"/>
    <w:next w:val="12"/>
    <w:link w:val="104"/>
    <w:semiHidden/>
    <w:qFormat/>
    <w:uiPriority w:val="99"/>
    <w:rPr>
      <w:b/>
      <w:bCs/>
    </w:rPr>
  </w:style>
  <w:style w:type="paragraph" w:styleId="28">
    <w:name w:val="Body Text First Indent"/>
    <w:basedOn w:val="14"/>
    <w:next w:val="2"/>
    <w:link w:val="60"/>
    <w:qFormat/>
    <w:uiPriority w:val="99"/>
    <w:pPr>
      <w:ind w:firstLine="420" w:firstLineChars="100"/>
    </w:pPr>
    <w:rPr>
      <w:rFonts w:ascii="Times New Roman" w:hAnsi="Times New Roman"/>
      <w:sz w:val="18"/>
      <w:szCs w:val="18"/>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color w:val="555555"/>
      <w:sz w:val="21"/>
      <w:szCs w:val="21"/>
      <w:bdr w:val="single" w:color="CCCCCC" w:sz="6" w:space="0"/>
      <w:shd w:val="clear" w:color="auto" w:fill="FFFFFF"/>
    </w:rPr>
  </w:style>
  <w:style w:type="character" w:styleId="33">
    <w:name w:val="page number"/>
    <w:basedOn w:val="31"/>
    <w:qFormat/>
    <w:uiPriority w:val="99"/>
    <w:rPr>
      <w:rFonts w:cs="Times New Roman"/>
    </w:rPr>
  </w:style>
  <w:style w:type="character" w:styleId="34">
    <w:name w:val="FollowedHyperlink"/>
    <w:basedOn w:val="31"/>
    <w:qFormat/>
    <w:uiPriority w:val="99"/>
    <w:rPr>
      <w:rFonts w:cs="Times New Roman"/>
      <w:color w:val="333333"/>
      <w:u w:val="none"/>
    </w:rPr>
  </w:style>
  <w:style w:type="character" w:styleId="35">
    <w:name w:val="Emphasis"/>
    <w:basedOn w:val="31"/>
    <w:qFormat/>
    <w:uiPriority w:val="99"/>
    <w:rPr>
      <w:rFonts w:cs="Times New Roman"/>
    </w:rPr>
  </w:style>
  <w:style w:type="character" w:styleId="36">
    <w:name w:val="HTML Definition"/>
    <w:basedOn w:val="31"/>
    <w:qFormat/>
    <w:uiPriority w:val="99"/>
    <w:rPr>
      <w:rFonts w:cs="Times New Roman"/>
      <w:i/>
    </w:rPr>
  </w:style>
  <w:style w:type="character" w:styleId="37">
    <w:name w:val="Hyperlink"/>
    <w:basedOn w:val="31"/>
    <w:qFormat/>
    <w:uiPriority w:val="99"/>
    <w:rPr>
      <w:rFonts w:cs="Times New Roman"/>
      <w:color w:val="333333"/>
      <w:u w:val="none"/>
    </w:rPr>
  </w:style>
  <w:style w:type="character" w:styleId="38">
    <w:name w:val="HTML Code"/>
    <w:basedOn w:val="31"/>
    <w:qFormat/>
    <w:uiPriority w:val="99"/>
    <w:rPr>
      <w:rFonts w:ascii="Consolas" w:hAnsi="Consolas" w:cs="Consolas"/>
      <w:color w:val="C7254E"/>
      <w:sz w:val="21"/>
      <w:szCs w:val="21"/>
      <w:shd w:val="clear" w:color="auto" w:fill="F9F2F4"/>
    </w:rPr>
  </w:style>
  <w:style w:type="character" w:styleId="39">
    <w:name w:val="annotation reference"/>
    <w:basedOn w:val="31"/>
    <w:qFormat/>
    <w:uiPriority w:val="99"/>
    <w:rPr>
      <w:rFonts w:cs="Times New Roman"/>
      <w:sz w:val="21"/>
    </w:rPr>
  </w:style>
  <w:style w:type="character" w:styleId="40">
    <w:name w:val="HTML Keyboard"/>
    <w:basedOn w:val="31"/>
    <w:qFormat/>
    <w:uiPriority w:val="99"/>
    <w:rPr>
      <w:rFonts w:ascii="Consolas" w:hAnsi="Consolas" w:cs="Consolas"/>
      <w:color w:val="FFFFFF"/>
      <w:sz w:val="21"/>
      <w:szCs w:val="21"/>
      <w:shd w:val="clear" w:color="auto" w:fill="333333"/>
    </w:rPr>
  </w:style>
  <w:style w:type="character" w:styleId="41">
    <w:name w:val="HTML Sample"/>
    <w:basedOn w:val="31"/>
    <w:qFormat/>
    <w:uiPriority w:val="99"/>
    <w:rPr>
      <w:rFonts w:ascii="Consolas" w:hAnsi="Consolas" w:cs="Consolas"/>
      <w:sz w:val="21"/>
      <w:szCs w:val="21"/>
    </w:rPr>
  </w:style>
  <w:style w:type="paragraph" w:customStyle="1" w:styleId="42">
    <w:name w:val="正文1"/>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43">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4">
    <w:name w:val="Normal Indent1"/>
    <w:basedOn w:val="1"/>
    <w:qFormat/>
    <w:uiPriority w:val="99"/>
    <w:pPr>
      <w:spacing w:line="660" w:lineRule="exact"/>
      <w:ind w:firstLine="720" w:firstLineChars="200"/>
    </w:pPr>
    <w:rPr>
      <w:rFonts w:eastAsia="楷体_GB2312"/>
    </w:rPr>
  </w:style>
  <w:style w:type="character" w:customStyle="1" w:styleId="45">
    <w:name w:val="标题 1 Char"/>
    <w:basedOn w:val="31"/>
    <w:link w:val="4"/>
    <w:qFormat/>
    <w:locked/>
    <w:uiPriority w:val="99"/>
    <w:rPr>
      <w:rFonts w:ascii="Calibri" w:hAnsi="Calibri" w:cs="Times New Roman"/>
      <w:b/>
      <w:bCs/>
      <w:kern w:val="44"/>
      <w:sz w:val="44"/>
      <w:szCs w:val="44"/>
    </w:rPr>
  </w:style>
  <w:style w:type="character" w:customStyle="1" w:styleId="46">
    <w:name w:val="标题 2 Char"/>
    <w:basedOn w:val="31"/>
    <w:link w:val="5"/>
    <w:semiHidden/>
    <w:qFormat/>
    <w:locked/>
    <w:uiPriority w:val="99"/>
    <w:rPr>
      <w:rFonts w:ascii="Cambria" w:hAnsi="Cambria" w:eastAsia="宋体" w:cs="Times New Roman"/>
      <w:b/>
      <w:bCs/>
      <w:sz w:val="32"/>
      <w:szCs w:val="32"/>
    </w:rPr>
  </w:style>
  <w:style w:type="character" w:customStyle="1" w:styleId="47">
    <w:name w:val="标题 3 Char"/>
    <w:basedOn w:val="31"/>
    <w:link w:val="7"/>
    <w:semiHidden/>
    <w:qFormat/>
    <w:locked/>
    <w:uiPriority w:val="99"/>
    <w:rPr>
      <w:rFonts w:ascii="Calibri" w:hAnsi="Calibri" w:cs="Times New Roman"/>
      <w:b/>
      <w:bCs/>
      <w:sz w:val="32"/>
      <w:szCs w:val="32"/>
    </w:rPr>
  </w:style>
  <w:style w:type="character" w:customStyle="1" w:styleId="48">
    <w:name w:val="标题 4 Char"/>
    <w:basedOn w:val="31"/>
    <w:link w:val="8"/>
    <w:semiHidden/>
    <w:qFormat/>
    <w:locked/>
    <w:uiPriority w:val="99"/>
    <w:rPr>
      <w:rFonts w:ascii="Cambria" w:hAnsi="Cambria" w:eastAsia="宋体" w:cs="Times New Roman"/>
      <w:b/>
      <w:bCs/>
      <w:sz w:val="28"/>
      <w:szCs w:val="28"/>
    </w:rPr>
  </w:style>
  <w:style w:type="character" w:customStyle="1" w:styleId="49">
    <w:name w:val="正文文本 Char"/>
    <w:basedOn w:val="31"/>
    <w:link w:val="14"/>
    <w:semiHidden/>
    <w:qFormat/>
    <w:locked/>
    <w:uiPriority w:val="99"/>
    <w:rPr>
      <w:rFonts w:ascii="Calibri" w:hAnsi="Calibri" w:cs="Times New Roman"/>
      <w:sz w:val="24"/>
      <w:szCs w:val="24"/>
    </w:rPr>
  </w:style>
  <w:style w:type="character" w:customStyle="1" w:styleId="50">
    <w:name w:val="批注文字 Char"/>
    <w:basedOn w:val="31"/>
    <w:link w:val="12"/>
    <w:semiHidden/>
    <w:qFormat/>
    <w:locked/>
    <w:uiPriority w:val="99"/>
    <w:rPr>
      <w:rFonts w:ascii="Calibri" w:hAnsi="Calibri" w:cs="Times New Roman"/>
      <w:sz w:val="24"/>
      <w:szCs w:val="24"/>
    </w:rPr>
  </w:style>
  <w:style w:type="character" w:customStyle="1" w:styleId="51">
    <w:name w:val="称呼 Char"/>
    <w:basedOn w:val="31"/>
    <w:link w:val="13"/>
    <w:semiHidden/>
    <w:qFormat/>
    <w:locked/>
    <w:uiPriority w:val="99"/>
    <w:rPr>
      <w:rFonts w:ascii="Calibri" w:hAnsi="Calibri" w:cs="Times New Roman"/>
      <w:sz w:val="24"/>
      <w:szCs w:val="24"/>
    </w:rPr>
  </w:style>
  <w:style w:type="character" w:customStyle="1" w:styleId="52">
    <w:name w:val="正文文本缩进 Char"/>
    <w:basedOn w:val="31"/>
    <w:link w:val="3"/>
    <w:semiHidden/>
    <w:qFormat/>
    <w:locked/>
    <w:uiPriority w:val="99"/>
    <w:rPr>
      <w:rFonts w:ascii="Calibri" w:hAnsi="Calibri" w:cs="Times New Roman"/>
      <w:sz w:val="24"/>
      <w:szCs w:val="24"/>
    </w:rPr>
  </w:style>
  <w:style w:type="character" w:customStyle="1" w:styleId="53">
    <w:name w:val="纯文本 Char"/>
    <w:basedOn w:val="31"/>
    <w:link w:val="15"/>
    <w:semiHidden/>
    <w:qFormat/>
    <w:locked/>
    <w:uiPriority w:val="99"/>
    <w:rPr>
      <w:rFonts w:ascii="宋体" w:hAnsi="Courier New" w:cs="Courier New"/>
      <w:sz w:val="21"/>
      <w:szCs w:val="21"/>
    </w:rPr>
  </w:style>
  <w:style w:type="character" w:customStyle="1" w:styleId="54">
    <w:name w:val="日期 Char"/>
    <w:basedOn w:val="31"/>
    <w:link w:val="16"/>
    <w:semiHidden/>
    <w:qFormat/>
    <w:locked/>
    <w:uiPriority w:val="99"/>
    <w:rPr>
      <w:rFonts w:ascii="Calibri" w:hAnsi="Calibri" w:cs="Times New Roman"/>
      <w:sz w:val="24"/>
      <w:szCs w:val="24"/>
    </w:rPr>
  </w:style>
  <w:style w:type="character" w:customStyle="1" w:styleId="55">
    <w:name w:val="正文文本缩进 2 Char"/>
    <w:basedOn w:val="31"/>
    <w:link w:val="17"/>
    <w:semiHidden/>
    <w:qFormat/>
    <w:locked/>
    <w:uiPriority w:val="99"/>
    <w:rPr>
      <w:rFonts w:ascii="Calibri" w:hAnsi="Calibri" w:cs="Times New Roman"/>
      <w:sz w:val="24"/>
      <w:szCs w:val="24"/>
    </w:rPr>
  </w:style>
  <w:style w:type="character" w:customStyle="1" w:styleId="56">
    <w:name w:val="批注框文本 Char"/>
    <w:basedOn w:val="31"/>
    <w:link w:val="18"/>
    <w:qFormat/>
    <w:locked/>
    <w:uiPriority w:val="99"/>
    <w:rPr>
      <w:rFonts w:ascii="Calibri" w:hAnsi="Calibri" w:eastAsia="宋体" w:cs="Times New Roman"/>
      <w:kern w:val="2"/>
      <w:sz w:val="18"/>
      <w:szCs w:val="18"/>
    </w:rPr>
  </w:style>
  <w:style w:type="character" w:customStyle="1" w:styleId="57">
    <w:name w:val="页脚 Char"/>
    <w:basedOn w:val="31"/>
    <w:link w:val="19"/>
    <w:semiHidden/>
    <w:qFormat/>
    <w:locked/>
    <w:uiPriority w:val="99"/>
    <w:rPr>
      <w:rFonts w:ascii="Calibri" w:hAnsi="Calibri" w:cs="Times New Roman"/>
      <w:sz w:val="18"/>
      <w:szCs w:val="18"/>
    </w:rPr>
  </w:style>
  <w:style w:type="character" w:customStyle="1" w:styleId="58">
    <w:name w:val="页眉 Char"/>
    <w:basedOn w:val="31"/>
    <w:link w:val="20"/>
    <w:semiHidden/>
    <w:qFormat/>
    <w:locked/>
    <w:uiPriority w:val="99"/>
    <w:rPr>
      <w:rFonts w:ascii="Calibri" w:hAnsi="Calibri" w:cs="Times New Roman"/>
      <w:sz w:val="18"/>
      <w:szCs w:val="18"/>
    </w:rPr>
  </w:style>
  <w:style w:type="character" w:customStyle="1" w:styleId="59">
    <w:name w:val="正文文本缩进 3 Char"/>
    <w:basedOn w:val="31"/>
    <w:link w:val="24"/>
    <w:semiHidden/>
    <w:qFormat/>
    <w:locked/>
    <w:uiPriority w:val="99"/>
    <w:rPr>
      <w:rFonts w:ascii="Calibri" w:hAnsi="Calibri" w:cs="Times New Roman"/>
      <w:sz w:val="16"/>
      <w:szCs w:val="16"/>
    </w:rPr>
  </w:style>
  <w:style w:type="character" w:customStyle="1" w:styleId="60">
    <w:name w:val="正文首行缩进 Char"/>
    <w:basedOn w:val="49"/>
    <w:link w:val="28"/>
    <w:semiHidden/>
    <w:qFormat/>
    <w:locked/>
    <w:uiPriority w:val="99"/>
  </w:style>
  <w:style w:type="character" w:customStyle="1" w:styleId="61">
    <w:name w:val="正文首行缩进 2 Char"/>
    <w:basedOn w:val="52"/>
    <w:link w:val="2"/>
    <w:semiHidden/>
    <w:qFormat/>
    <w:locked/>
    <w:uiPriority w:val="99"/>
  </w:style>
  <w:style w:type="paragraph" w:customStyle="1" w:styleId="62">
    <w:name w:val="Char"/>
    <w:basedOn w:val="1"/>
    <w:qFormat/>
    <w:uiPriority w:val="99"/>
    <w:pPr>
      <w:spacing w:line="360" w:lineRule="auto"/>
    </w:pPr>
    <w:rPr>
      <w:rFonts w:ascii="仿宋_GB2312" w:eastAsia="仿宋_GB2312"/>
      <w:b/>
      <w:sz w:val="32"/>
    </w:rPr>
  </w:style>
  <w:style w:type="paragraph" w:customStyle="1" w:styleId="63">
    <w:name w:val="TOC 标题1"/>
    <w:basedOn w:val="4"/>
    <w:next w:val="1"/>
    <w:qFormat/>
    <w:uiPriority w:val="99"/>
    <w:pPr>
      <w:outlineLvl w:val="9"/>
    </w:pPr>
    <w:rPr>
      <w:rFonts w:ascii="Calibri" w:hAnsi="Calibri"/>
    </w:rPr>
  </w:style>
  <w:style w:type="paragraph" w:customStyle="1" w:styleId="64">
    <w:name w:val="正文+首行缩进2字符"/>
    <w:basedOn w:val="1"/>
    <w:qFormat/>
    <w:uiPriority w:val="99"/>
    <w:pPr>
      <w:adjustRightInd w:val="0"/>
      <w:snapToGrid w:val="0"/>
      <w:spacing w:before="100" w:beforeAutospacing="1" w:after="100" w:afterAutospacing="1"/>
    </w:pPr>
    <w:rPr>
      <w:rFonts w:ascii="宋体" w:hAnsi="宋体"/>
      <w:spacing w:val="10"/>
      <w:kern w:val="0"/>
    </w:rPr>
  </w:style>
  <w:style w:type="paragraph" w:customStyle="1" w:styleId="65">
    <w:name w:val="title13"/>
    <w:basedOn w:val="1"/>
    <w:qFormat/>
    <w:uiPriority w:val="99"/>
    <w:pPr>
      <w:spacing w:before="150"/>
      <w:jc w:val="left"/>
    </w:pPr>
    <w:rPr>
      <w:b/>
      <w:kern w:val="0"/>
      <w:sz w:val="22"/>
      <w:szCs w:val="22"/>
    </w:rPr>
  </w:style>
  <w:style w:type="paragraph" w:customStyle="1" w:styleId="66">
    <w:name w:val="列出段落1"/>
    <w:basedOn w:val="1"/>
    <w:qFormat/>
    <w:uiPriority w:val="99"/>
    <w:pPr>
      <w:ind w:firstLine="420" w:firstLineChars="200"/>
    </w:pPr>
  </w:style>
  <w:style w:type="paragraph" w:customStyle="1" w:styleId="67">
    <w:name w:val="WPSOffice手动目录 1"/>
    <w:qFormat/>
    <w:uiPriority w:val="99"/>
    <w:rPr>
      <w:rFonts w:ascii="Times New Roman" w:hAnsi="Times New Roman" w:eastAsia="宋体" w:cs="Times New Roman"/>
      <w:lang w:val="en-US" w:eastAsia="zh-CN" w:bidi="ar-SA"/>
    </w:rPr>
  </w:style>
  <w:style w:type="paragraph" w:customStyle="1" w:styleId="68">
    <w:name w:val="Char1"/>
    <w:basedOn w:val="1"/>
    <w:qFormat/>
    <w:uiPriority w:val="99"/>
    <w:rPr>
      <w:rFonts w:ascii="Times New Roman" w:hAnsi="Times New Roman"/>
      <w:szCs w:val="21"/>
    </w:rPr>
  </w:style>
  <w:style w:type="paragraph" w:customStyle="1" w:styleId="69">
    <w:name w:val="title11"/>
    <w:basedOn w:val="1"/>
    <w:qFormat/>
    <w:uiPriority w:val="99"/>
    <w:pPr>
      <w:spacing w:before="150" w:line="450" w:lineRule="atLeast"/>
      <w:jc w:val="left"/>
    </w:pPr>
    <w:rPr>
      <w:b/>
      <w:kern w:val="0"/>
      <w:sz w:val="24"/>
    </w:rPr>
  </w:style>
  <w:style w:type="paragraph" w:customStyle="1" w:styleId="70">
    <w:name w:val="Char Char4 Char Char Char Char"/>
    <w:basedOn w:val="1"/>
    <w:qFormat/>
    <w:uiPriority w:val="99"/>
    <w:pPr>
      <w:spacing w:line="440" w:lineRule="atLeast"/>
      <w:ind w:firstLine="482" w:firstLineChars="200"/>
    </w:pPr>
    <w:rPr>
      <w:rFonts w:ascii="宋体" w:hAnsi="宋体"/>
      <w:b/>
      <w:color w:val="000000"/>
      <w:sz w:val="24"/>
    </w:rPr>
  </w:style>
  <w:style w:type="paragraph" w:customStyle="1" w:styleId="7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2">
    <w:name w:val="title1"/>
    <w:basedOn w:val="1"/>
    <w:qFormat/>
    <w:uiPriority w:val="99"/>
    <w:pPr>
      <w:spacing w:before="150" w:line="450" w:lineRule="atLeast"/>
      <w:jc w:val="left"/>
    </w:pPr>
    <w:rPr>
      <w:b/>
      <w:kern w:val="0"/>
      <w:sz w:val="24"/>
    </w:rPr>
  </w:style>
  <w:style w:type="paragraph" w:customStyle="1" w:styleId="73">
    <w:name w:val="列出段落11"/>
    <w:basedOn w:val="1"/>
    <w:qFormat/>
    <w:uiPriority w:val="99"/>
    <w:pPr>
      <w:ind w:firstLine="420" w:firstLineChars="200"/>
    </w:pPr>
  </w:style>
  <w:style w:type="paragraph" w:customStyle="1" w:styleId="74">
    <w:name w:val="1正文"/>
    <w:basedOn w:val="26"/>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5">
    <w:name w:val="Table Paragraph"/>
    <w:basedOn w:val="1"/>
    <w:qFormat/>
    <w:uiPriority w:val="99"/>
    <w:rPr>
      <w:rFonts w:ascii="宋体" w:hAnsi="宋体" w:cs="宋体"/>
      <w:lang w:val="zh-CN"/>
    </w:rPr>
  </w:style>
  <w:style w:type="paragraph" w:customStyle="1" w:styleId="76">
    <w:name w:val="xl48"/>
    <w:basedOn w:val="1"/>
    <w:qFormat/>
    <w:uiPriority w:val="99"/>
    <w:pPr>
      <w:widowControl/>
      <w:pBdr>
        <w:bottom w:val="single" w:color="auto" w:sz="4" w:space="0"/>
      </w:pBdr>
      <w:spacing w:before="100" w:beforeAutospacing="1" w:after="100" w:afterAutospacing="1"/>
      <w:jc w:val="center"/>
    </w:pPr>
    <w:rPr>
      <w:kern w:val="0"/>
      <w:sz w:val="24"/>
    </w:rPr>
  </w:style>
  <w:style w:type="paragraph" w:customStyle="1" w:styleId="77">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styleId="78">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
    <w:name w:val="reader-word-layer reader-word-s34-5"/>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title12"/>
    <w:basedOn w:val="1"/>
    <w:qFormat/>
    <w:uiPriority w:val="99"/>
    <w:pPr>
      <w:spacing w:before="150"/>
      <w:jc w:val="left"/>
    </w:pPr>
    <w:rPr>
      <w:b/>
      <w:kern w:val="0"/>
      <w:sz w:val="22"/>
      <w:szCs w:val="22"/>
    </w:rPr>
  </w:style>
  <w:style w:type="character" w:customStyle="1" w:styleId="81">
    <w:name w:val="button"/>
    <w:basedOn w:val="31"/>
    <w:qFormat/>
    <w:uiPriority w:val="99"/>
    <w:rPr>
      <w:rFonts w:cs="Times New Roman"/>
    </w:rPr>
  </w:style>
  <w:style w:type="character" w:customStyle="1" w:styleId="82">
    <w:name w:val="old"/>
    <w:basedOn w:val="31"/>
    <w:qFormat/>
    <w:uiPriority w:val="99"/>
    <w:rPr>
      <w:rFonts w:cs="Times New Roman"/>
      <w:color w:val="999999"/>
    </w:rPr>
  </w:style>
  <w:style w:type="character" w:customStyle="1" w:styleId="83">
    <w:name w:val="indent"/>
    <w:basedOn w:val="31"/>
    <w:qFormat/>
    <w:uiPriority w:val="99"/>
    <w:rPr>
      <w:rFonts w:cs="Times New Roman"/>
    </w:rPr>
  </w:style>
  <w:style w:type="character" w:customStyle="1" w:styleId="84">
    <w:name w:val="tmpztreemove_arrow"/>
    <w:basedOn w:val="31"/>
    <w:qFormat/>
    <w:uiPriority w:val="99"/>
    <w:rPr>
      <w:rFonts w:cs="Times New Roman"/>
      <w:shd w:val="clear" w:color="auto" w:fill="FFFFFF"/>
    </w:rPr>
  </w:style>
  <w:style w:type="character" w:customStyle="1" w:styleId="85">
    <w:name w:val="font21"/>
    <w:basedOn w:val="31"/>
    <w:qFormat/>
    <w:uiPriority w:val="99"/>
    <w:rPr>
      <w:rFonts w:ascii="宋体" w:hAnsi="宋体" w:eastAsia="宋体" w:cs="宋体"/>
      <w:color w:val="333333"/>
      <w:sz w:val="24"/>
      <w:szCs w:val="24"/>
      <w:u w:val="none"/>
    </w:rPr>
  </w:style>
  <w:style w:type="character" w:customStyle="1" w:styleId="86">
    <w:name w:val="hour_pm"/>
    <w:basedOn w:val="31"/>
    <w:qFormat/>
    <w:uiPriority w:val="99"/>
    <w:rPr>
      <w:rFonts w:cs="Times New Roman"/>
    </w:rPr>
  </w:style>
  <w:style w:type="character" w:customStyle="1" w:styleId="87">
    <w:name w:val="hour_am"/>
    <w:basedOn w:val="31"/>
    <w:qFormat/>
    <w:uiPriority w:val="99"/>
    <w:rPr>
      <w:rFonts w:cs="Times New Roman"/>
    </w:rPr>
  </w:style>
  <w:style w:type="character" w:customStyle="1" w:styleId="88">
    <w:name w:val="hover3"/>
    <w:basedOn w:val="31"/>
    <w:qFormat/>
    <w:uiPriority w:val="99"/>
    <w:rPr>
      <w:rFonts w:cs="Times New Roman"/>
      <w:shd w:val="clear" w:color="auto" w:fill="EEEEEE"/>
    </w:rPr>
  </w:style>
  <w:style w:type="character" w:customStyle="1" w:styleId="89">
    <w:name w:val="glyphicon4"/>
    <w:basedOn w:val="31"/>
    <w:qFormat/>
    <w:uiPriority w:val="99"/>
    <w:rPr>
      <w:rFonts w:cs="Times New Roman"/>
    </w:rPr>
  </w:style>
  <w:style w:type="character" w:customStyle="1" w:styleId="90">
    <w:name w:val="beforeinfotext"/>
    <w:basedOn w:val="31"/>
    <w:qFormat/>
    <w:uiPriority w:val="99"/>
    <w:rPr>
      <w:rFonts w:cs="Times New Roman"/>
      <w:color w:val="666666"/>
    </w:rPr>
  </w:style>
  <w:style w:type="character" w:customStyle="1" w:styleId="91">
    <w:name w:val="proollist"/>
    <w:basedOn w:val="31"/>
    <w:qFormat/>
    <w:uiPriority w:val="99"/>
    <w:rPr>
      <w:rFonts w:cs="Times New Roman"/>
    </w:rPr>
  </w:style>
  <w:style w:type="character" w:customStyle="1" w:styleId="92">
    <w:name w:val="stclosebtn"/>
    <w:basedOn w:val="31"/>
    <w:qFormat/>
    <w:uiPriority w:val="99"/>
    <w:rPr>
      <w:rFonts w:cs="Times New Roman"/>
    </w:rPr>
  </w:style>
  <w:style w:type="character" w:customStyle="1" w:styleId="93">
    <w:name w:val="phone"/>
    <w:basedOn w:val="31"/>
    <w:qFormat/>
    <w:uiPriority w:val="99"/>
    <w:rPr>
      <w:rFonts w:cs="Times New Roman"/>
      <w:color w:val="FF8833"/>
      <w:sz w:val="18"/>
      <w:szCs w:val="18"/>
    </w:rPr>
  </w:style>
  <w:style w:type="character" w:customStyle="1" w:styleId="94">
    <w:name w:val="number"/>
    <w:basedOn w:val="31"/>
    <w:qFormat/>
    <w:uiPriority w:val="99"/>
    <w:rPr>
      <w:rFonts w:cs="Times New Roman"/>
      <w:color w:val="FF8833"/>
      <w:sz w:val="18"/>
      <w:szCs w:val="18"/>
    </w:rPr>
  </w:style>
  <w:style w:type="character" w:customStyle="1" w:styleId="95">
    <w:name w:val="active6"/>
    <w:basedOn w:val="31"/>
    <w:qFormat/>
    <w:uiPriority w:val="99"/>
    <w:rPr>
      <w:rFonts w:cs="Times New Roman"/>
      <w:color w:val="00FF00"/>
      <w:shd w:val="clear" w:color="auto" w:fill="000000"/>
    </w:rPr>
  </w:style>
  <w:style w:type="character" w:customStyle="1" w:styleId="96">
    <w:name w:val="span-long"/>
    <w:basedOn w:val="31"/>
    <w:qFormat/>
    <w:uiPriority w:val="99"/>
    <w:rPr>
      <w:rFonts w:cs="Times New Roman"/>
    </w:rPr>
  </w:style>
  <w:style w:type="character" w:customStyle="1" w:styleId="97">
    <w:name w:val="input-direction"/>
    <w:basedOn w:val="31"/>
    <w:qFormat/>
    <w:uiPriority w:val="99"/>
    <w:rPr>
      <w:rFonts w:cs="Times New Roman"/>
      <w:color w:val="FF6600"/>
    </w:rPr>
  </w:style>
  <w:style w:type="character" w:customStyle="1" w:styleId="98">
    <w:name w:val="hilite6"/>
    <w:basedOn w:val="31"/>
    <w:qFormat/>
    <w:uiPriority w:val="99"/>
    <w:rPr>
      <w:rFonts w:cs="Times New Roman"/>
      <w:color w:val="FFFFFF"/>
      <w:shd w:val="clear" w:color="auto" w:fill="666677"/>
    </w:rPr>
  </w:style>
  <w:style w:type="character" w:customStyle="1" w:styleId="99">
    <w:name w:val="hilite"/>
    <w:basedOn w:val="31"/>
    <w:qFormat/>
    <w:uiPriority w:val="99"/>
    <w:rPr>
      <w:rFonts w:cs="Times New Roman"/>
      <w:color w:val="FFFFFF"/>
      <w:shd w:val="clear" w:color="auto" w:fill="666677"/>
    </w:rPr>
  </w:style>
  <w:style w:type="character" w:customStyle="1" w:styleId="100">
    <w:name w:val="active"/>
    <w:basedOn w:val="31"/>
    <w:qFormat/>
    <w:uiPriority w:val="99"/>
    <w:rPr>
      <w:rFonts w:cs="Times New Roman"/>
      <w:color w:val="00FF00"/>
      <w:shd w:val="clear" w:color="auto" w:fill="000000"/>
    </w:rPr>
  </w:style>
  <w:style w:type="paragraph" w:customStyle="1" w:styleId="101">
    <w:name w:val="List Paragraph1"/>
    <w:basedOn w:val="1"/>
    <w:qFormat/>
    <w:uiPriority w:val="99"/>
    <w:pPr>
      <w:ind w:firstLine="420" w:firstLineChars="200"/>
    </w:pPr>
    <w:rPr>
      <w:szCs w:val="22"/>
    </w:rPr>
  </w:style>
  <w:style w:type="character" w:customStyle="1" w:styleId="102">
    <w:name w:val="font31"/>
    <w:basedOn w:val="31"/>
    <w:qFormat/>
    <w:uiPriority w:val="99"/>
    <w:rPr>
      <w:rFonts w:ascii="Times New Roman" w:hAnsi="Times New Roman" w:cs="Times New Roman"/>
      <w:color w:val="000000"/>
      <w:sz w:val="18"/>
      <w:szCs w:val="18"/>
      <w:u w:val="none"/>
    </w:rPr>
  </w:style>
  <w:style w:type="character" w:customStyle="1" w:styleId="103">
    <w:name w:val="font121"/>
    <w:basedOn w:val="31"/>
    <w:qFormat/>
    <w:uiPriority w:val="99"/>
    <w:rPr>
      <w:rFonts w:ascii="宋体" w:hAnsi="宋体" w:eastAsia="宋体" w:cs="宋体"/>
      <w:color w:val="000000"/>
      <w:sz w:val="18"/>
      <w:szCs w:val="18"/>
      <w:u w:val="none"/>
    </w:rPr>
  </w:style>
  <w:style w:type="character" w:customStyle="1" w:styleId="104">
    <w:name w:val="批注主题 Char"/>
    <w:basedOn w:val="50"/>
    <w:link w:val="27"/>
    <w:semiHidden/>
    <w:qFormat/>
    <w:locked/>
    <w:uiPriority w:val="99"/>
    <w:rPr>
      <w:b/>
      <w:bCs/>
    </w:rPr>
  </w:style>
  <w:style w:type="paragraph" w:customStyle="1" w:styleId="105">
    <w:name w:val="4"/>
    <w:basedOn w:val="1"/>
    <w:qFormat/>
    <w:uiPriority w:val="99"/>
    <w:pPr>
      <w:ind w:firstLine="480"/>
    </w:pPr>
    <w:rPr>
      <w:rFonts w:cs="宋体"/>
      <w:sz w:val="24"/>
      <w:szCs w:val="20"/>
    </w:rPr>
  </w:style>
  <w:style w:type="paragraph" w:customStyle="1" w:styleId="106">
    <w:name w:val="正文文本 (2)"/>
    <w:basedOn w:val="1"/>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7">
    <w:name w:val="无间隔1"/>
    <w:qFormat/>
    <w:uiPriority w:val="1"/>
    <w:pPr>
      <w:widowControl w:val="0"/>
    </w:pPr>
    <w:rPr>
      <w:rFonts w:ascii="Calibri" w:hAnsi="Calibri" w:eastAsia="宋体" w:cs="Times New Roman"/>
      <w:kern w:val="2"/>
      <w:sz w:val="21"/>
      <w:szCs w:val="22"/>
      <w:lang w:val="en-US" w:eastAsia="zh-CN" w:bidi="ar-SA"/>
    </w:rPr>
  </w:style>
  <w:style w:type="character" w:customStyle="1" w:styleId="108">
    <w:name w:val="first-child"/>
    <w:basedOn w:val="31"/>
    <w:qFormat/>
    <w:uiPriority w:val="0"/>
  </w:style>
  <w:style w:type="character" w:customStyle="1" w:styleId="109">
    <w:name w:val="fl_r2"/>
    <w:basedOn w:val="31"/>
    <w:qFormat/>
    <w:uiPriority w:val="0"/>
    <w:rPr>
      <w:color w:val="666666"/>
      <w:sz w:val="18"/>
      <w:szCs w:val="18"/>
    </w:rPr>
  </w:style>
  <w:style w:type="character" w:customStyle="1" w:styleId="110">
    <w:name w:val="time"/>
    <w:basedOn w:val="31"/>
    <w:qFormat/>
    <w:uiPriority w:val="0"/>
  </w:style>
  <w:style w:type="paragraph" w:customStyle="1" w:styleId="111">
    <w:name w:val="正文缩进1"/>
    <w:basedOn w:val="1"/>
    <w:qFormat/>
    <w:uiPriority w:val="0"/>
    <w:pPr>
      <w:ind w:firstLine="420" w:firstLineChars="200"/>
    </w:pPr>
  </w:style>
  <w:style w:type="character" w:customStyle="1" w:styleId="112">
    <w:name w:val="glyphicon3"/>
    <w:basedOn w:val="31"/>
    <w:qFormat/>
    <w:uiPriority w:val="0"/>
  </w:style>
  <w:style w:type="table" w:customStyle="1" w:styleId="113">
    <w:name w:val="Table Normal"/>
    <w:semiHidden/>
    <w:unhideWhenUsed/>
    <w:qFormat/>
    <w:uiPriority w:val="0"/>
    <w:tblPr>
      <w:tblCellMar>
        <w:top w:w="0" w:type="dxa"/>
        <w:left w:w="0" w:type="dxa"/>
        <w:bottom w:w="0" w:type="dxa"/>
        <w:right w:w="0" w:type="dxa"/>
      </w:tblCellMar>
    </w:tblPr>
  </w:style>
  <w:style w:type="paragraph" w:customStyle="1" w:styleId="114">
    <w:name w:val="List Paragraph"/>
    <w:basedOn w:val="1"/>
    <w:qFormat/>
    <w:uiPriority w:val="99"/>
    <w:pPr>
      <w:ind w:firstLine="420" w:firstLineChars="200"/>
    </w:pPr>
  </w:style>
  <w:style w:type="paragraph" w:customStyle="1" w:styleId="115">
    <w:name w:val="Default"/>
    <w:basedOn w:val="1"/>
    <w:qFormat/>
    <w:uiPriority w:val="0"/>
    <w:pPr>
      <w:autoSpaceDE w:val="0"/>
      <w:autoSpaceDN w:val="0"/>
      <w:adjustRightInd w:val="0"/>
      <w:jc w:val="left"/>
    </w:pPr>
    <w:rPr>
      <w:rFonts w:ascii="仿宋" w:hAnsi="仿宋"/>
      <w:color w:val="000000"/>
      <w:kern w:val="0"/>
      <w:sz w:val="24"/>
      <w:szCs w:val="24"/>
    </w:rPr>
  </w:style>
  <w:style w:type="paragraph" w:customStyle="1" w:styleId="116">
    <w:name w:val="06-正文"/>
    <w:basedOn w:val="1"/>
    <w:qFormat/>
    <w:uiPriority w:val="0"/>
    <w:pPr>
      <w:ind w:firstLine="480"/>
    </w:pPr>
    <w:rPr>
      <w:rFonts w:cs="Arial"/>
      <w:kern w:val="0"/>
      <w:szCs w:val="32"/>
    </w:rPr>
  </w:style>
  <w:style w:type="paragraph" w:customStyle="1" w:styleId="117">
    <w:name w:val="07-图注"/>
    <w:basedOn w:val="11"/>
    <w:next w:val="1"/>
    <w:qFormat/>
    <w:uiPriority w:val="0"/>
    <w:pPr>
      <w:numPr>
        <w:ilvl w:val="0"/>
        <w:numId w:val="1"/>
      </w:numPr>
      <w:jc w:val="center"/>
    </w:pPr>
    <w:rPr>
      <w:rFonts w:ascii="Arial" w:hAnsi="Arial" w:eastAsia="宋体" w:cs="Arial"/>
      <w:b/>
      <w:kern w:val="0"/>
      <w:sz w:val="24"/>
      <w:szCs w:val="24"/>
    </w:rPr>
  </w:style>
  <w:style w:type="paragraph" w:customStyle="1" w:styleId="118">
    <w:name w:val="08-表注1"/>
    <w:basedOn w:val="11"/>
    <w:next w:val="1"/>
    <w:qFormat/>
    <w:uiPriority w:val="0"/>
    <w:pPr>
      <w:spacing w:after="60"/>
      <w:ind w:left="420" w:hanging="420"/>
      <w:jc w:val="center"/>
    </w:pPr>
    <w:rPr>
      <w:rFonts w:ascii="Arial" w:hAnsi="Arial" w:eastAsia="宋体" w:cs="Times New Roman"/>
      <w:b/>
      <w:sz w:val="21"/>
      <w:szCs w:val="21"/>
      <w:lang w:val="zh-CN" w:eastAsia="zh-CN"/>
    </w:rPr>
  </w:style>
  <w:style w:type="paragraph" w:customStyle="1" w:styleId="119">
    <w:name w:val="09-插入表"/>
    <w:basedOn w:val="1"/>
    <w:qFormat/>
    <w:uiPriority w:val="0"/>
    <w:pPr>
      <w:jc w:val="left"/>
    </w:pPr>
    <w:rPr>
      <w:sz w:val="21"/>
      <w:szCs w:val="21"/>
    </w:rPr>
  </w:style>
  <w:style w:type="paragraph" w:customStyle="1" w:styleId="12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21">
    <w:name w:val="表格文字中"/>
    <w:basedOn w:val="1"/>
    <w:qFormat/>
    <w:uiPriority w:val="0"/>
    <w:pPr>
      <w:adjustRightInd w:val="0"/>
      <w:snapToGrid w:val="0"/>
      <w:ind w:left="22" w:leftChars="8"/>
      <w:jc w:val="center"/>
    </w:pPr>
    <w:rPr>
      <w:kern w:val="0"/>
      <w:szCs w:val="24"/>
    </w:rPr>
  </w:style>
  <w:style w:type="paragraph" w:customStyle="1" w:styleId="12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table" w:customStyle="1" w:styleId="123">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32826</Words>
  <Characters>34890</Characters>
  <Lines>0</Lines>
  <Paragraphs>0</Paragraphs>
  <TotalTime>1</TotalTime>
  <ScaleCrop>false</ScaleCrop>
  <LinksUpToDate>false</LinksUpToDate>
  <CharactersWithSpaces>36664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2021-03-19T13:07:00Z</dcterms:created>
  <dc:creator>Administrator</dc:creator>
  <cp:lastModifiedBy>Administrator</cp:lastModifiedBy>
  <cp:lastPrinted>2023-02-17T08:13:00Z</cp:lastPrinted>
  <dcterms:modified xsi:type="dcterms:W3CDTF">2023-03-15T04:09:26Z</dcterms:modified>
  <dc:title>政府采购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637914548_btnclosed</vt:lpwstr>
  </property>
  <property fmtid="{D5CDD505-2E9C-101B-9397-08002B2CF9AE}" pid="4" name="ICV">
    <vt:lpwstr>3094848EBBC84F2CAA431D52805CF42E</vt:lpwstr>
  </property>
</Properties>
</file>