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0"/>
        </w:tabs>
        <w:autoSpaceDE w:val="0"/>
        <w:autoSpaceDN w:val="0"/>
        <w:adjustRightInd w:val="0"/>
        <w:spacing w:line="360" w:lineRule="auto"/>
        <w:ind w:right="640"/>
        <w:rPr>
          <w:rFonts w:ascii="仿宋" w:hAnsi="仿宋" w:eastAsia="仿宋" w:cs="仿宋"/>
          <w:b/>
          <w:bCs/>
          <w:sz w:val="32"/>
          <w:szCs w:val="32"/>
          <w:lang w:val="zh-CN"/>
        </w:rPr>
      </w:pPr>
      <w:r>
        <w:rPr>
          <w:rFonts w:ascii="仿宋" w:hAnsi="仿宋" w:eastAsia="仿宋" w:cs="仿宋"/>
          <w:b/>
          <w:bCs/>
          <w:sz w:val="32"/>
          <w:szCs w:val="32"/>
          <w:lang w:val="zh-CN"/>
        </w:rPr>
        <w:drawing>
          <wp:anchor distT="0" distB="0" distL="114300" distR="114300" simplePos="0" relativeHeight="251660288" behindDoc="0" locked="0" layoutInCell="1" allowOverlap="1">
            <wp:simplePos x="0" y="0"/>
            <wp:positionH relativeFrom="column">
              <wp:posOffset>-698500</wp:posOffset>
            </wp:positionH>
            <wp:positionV relativeFrom="paragraph">
              <wp:posOffset>-857250</wp:posOffset>
            </wp:positionV>
            <wp:extent cx="7132320" cy="10689590"/>
            <wp:effectExtent l="0" t="0" r="11430" b="16510"/>
            <wp:wrapSquare wrapText="bothSides"/>
            <wp:docPr id="2" name="图片 2" descr="971f24e78ca58af553a4ae725f5ec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71f24e78ca58af553a4ae725f5ecbf"/>
                    <pic:cNvPicPr>
                      <a:picLocks noChangeAspect="1"/>
                    </pic:cNvPicPr>
                  </pic:nvPicPr>
                  <pic:blipFill>
                    <a:blip r:embed="rId11"/>
                    <a:stretch>
                      <a:fillRect/>
                    </a:stretch>
                  </pic:blipFill>
                  <pic:spPr>
                    <a:xfrm>
                      <a:off x="0" y="0"/>
                      <a:ext cx="7132320" cy="10689590"/>
                    </a:xfrm>
                    <a:prstGeom prst="rect">
                      <a:avLst/>
                    </a:prstGeom>
                  </pic:spPr>
                </pic:pic>
              </a:graphicData>
            </a:graphic>
          </wp:anchor>
        </w:drawing>
      </w:r>
    </w:p>
    <w:p>
      <w:pPr>
        <w:tabs>
          <w:tab w:val="left" w:pos="5670"/>
        </w:tabs>
        <w:autoSpaceDE w:val="0"/>
        <w:autoSpaceDN w:val="0"/>
        <w:adjustRightInd w:val="0"/>
        <w:spacing w:line="360" w:lineRule="auto"/>
        <w:ind w:right="640"/>
        <w:rPr>
          <w:rFonts w:ascii="仿宋" w:hAnsi="仿宋" w:eastAsia="仿宋" w:cs="仿宋"/>
          <w:b/>
          <w:bCs/>
          <w:sz w:val="32"/>
          <w:szCs w:val="32"/>
          <w:lang w:val="zh-CN"/>
        </w:rPr>
      </w:pPr>
      <w:r>
        <w:rPr>
          <w:rFonts w:hint="eastAsia" w:ascii="仿宋" w:hAnsi="仿宋" w:eastAsia="仿宋" w:cs="仿宋"/>
          <w:b/>
          <w:bCs/>
          <w:sz w:val="32"/>
          <w:szCs w:val="32"/>
          <w:lang w:val="zh-CN"/>
        </w:rPr>
        <w:t>政府采购项目</w:t>
      </w:r>
    </w:p>
    <w:p>
      <w:pPr>
        <w:tabs>
          <w:tab w:val="left" w:pos="5670"/>
        </w:tabs>
        <w:autoSpaceDE w:val="0"/>
        <w:autoSpaceDN w:val="0"/>
        <w:adjustRightInd w:val="0"/>
        <w:spacing w:line="360" w:lineRule="auto"/>
        <w:ind w:right="640"/>
        <w:rPr>
          <w:rFonts w:ascii="仿宋" w:hAnsi="仿宋" w:eastAsia="仿宋" w:cs="仿宋"/>
          <w:b/>
          <w:bCs/>
          <w:sz w:val="32"/>
          <w:szCs w:val="32"/>
          <w:lang w:val="zh-CN"/>
        </w:rPr>
      </w:pPr>
      <w:r>
        <w:rPr>
          <w:rFonts w:hint="eastAsia" w:ascii="仿宋" w:hAnsi="仿宋" w:eastAsia="仿宋" w:cs="仿宋"/>
          <w:b/>
          <w:bCs/>
          <w:sz w:val="32"/>
          <w:szCs w:val="32"/>
          <w:lang w:val="zh-CN"/>
        </w:rPr>
        <w:t>政采编号：ZCSP-镇巴县-2023-00069</w:t>
      </w:r>
    </w:p>
    <w:p>
      <w:pPr>
        <w:tabs>
          <w:tab w:val="left" w:pos="5670"/>
        </w:tabs>
        <w:autoSpaceDE w:val="0"/>
        <w:autoSpaceDN w:val="0"/>
        <w:adjustRightInd w:val="0"/>
        <w:spacing w:line="360" w:lineRule="auto"/>
        <w:rPr>
          <w:rFonts w:ascii="仿宋" w:hAnsi="仿宋" w:eastAsia="仿宋" w:cs="仿宋"/>
          <w:b/>
          <w:bCs/>
          <w:sz w:val="32"/>
          <w:szCs w:val="32"/>
        </w:rPr>
      </w:pPr>
      <w:r>
        <w:rPr>
          <w:rFonts w:hint="eastAsia" w:ascii="仿宋" w:hAnsi="仿宋" w:eastAsia="仿宋" w:cs="仿宋"/>
          <w:b/>
          <w:bCs/>
          <w:sz w:val="32"/>
          <w:szCs w:val="32"/>
          <w:lang w:val="zh-CN"/>
        </w:rPr>
        <w:t>项目编号：</w:t>
      </w:r>
      <w:r>
        <w:rPr>
          <w:rFonts w:hint="eastAsia" w:ascii="仿宋" w:hAnsi="仿宋" w:eastAsia="仿宋" w:cs="仿宋"/>
          <w:b/>
          <w:bCs/>
          <w:sz w:val="32"/>
          <w:szCs w:val="32"/>
        </w:rPr>
        <w:t>DX2023-166</w:t>
      </w:r>
    </w:p>
    <w:p>
      <w:pPr>
        <w:tabs>
          <w:tab w:val="left" w:pos="5670"/>
        </w:tabs>
        <w:autoSpaceDE w:val="0"/>
        <w:autoSpaceDN w:val="0"/>
        <w:adjustRightInd w:val="0"/>
        <w:spacing w:line="360" w:lineRule="auto"/>
        <w:ind w:firstLine="300"/>
        <w:rPr>
          <w:rFonts w:ascii="仿宋" w:hAnsi="仿宋" w:eastAsia="仿宋" w:cs="仿宋"/>
          <w:b/>
          <w:sz w:val="32"/>
          <w:szCs w:val="32"/>
        </w:rPr>
      </w:pPr>
    </w:p>
    <w:p>
      <w:pPr>
        <w:tabs>
          <w:tab w:val="left" w:pos="5670"/>
        </w:tabs>
        <w:autoSpaceDE w:val="0"/>
        <w:autoSpaceDN w:val="0"/>
        <w:adjustRightInd w:val="0"/>
        <w:spacing w:line="360" w:lineRule="auto"/>
        <w:ind w:firstLine="300"/>
        <w:rPr>
          <w:rFonts w:ascii="仿宋" w:hAnsi="仿宋" w:eastAsia="仿宋" w:cs="仿宋"/>
          <w:b/>
          <w:sz w:val="28"/>
          <w:szCs w:val="28"/>
        </w:rPr>
      </w:pPr>
      <w:r>
        <w:rPr>
          <w:rFonts w:hint="eastAsia" w:ascii="仿宋" w:hAnsi="仿宋" w:eastAsia="仿宋" w:cs="仿宋"/>
          <w:b/>
          <w:sz w:val="32"/>
          <w:szCs w:val="32"/>
        </w:rPr>
        <w:t xml:space="preserve"> </w:t>
      </w:r>
    </w:p>
    <w:p>
      <w:pPr>
        <w:tabs>
          <w:tab w:val="left" w:pos="5670"/>
        </w:tabs>
        <w:autoSpaceDE w:val="0"/>
        <w:autoSpaceDN w:val="0"/>
        <w:adjustRightInd w:val="0"/>
        <w:spacing w:line="360" w:lineRule="auto"/>
        <w:jc w:val="center"/>
        <w:rPr>
          <w:rFonts w:ascii="仿宋" w:hAnsi="仿宋" w:eastAsia="仿宋" w:cs="仿宋"/>
          <w:b/>
          <w:bCs/>
          <w:sz w:val="40"/>
          <w:szCs w:val="40"/>
          <w:lang w:val="zh-CN"/>
        </w:rPr>
      </w:pPr>
    </w:p>
    <w:p>
      <w:pPr>
        <w:tabs>
          <w:tab w:val="left" w:pos="5670"/>
        </w:tabs>
        <w:autoSpaceDE w:val="0"/>
        <w:autoSpaceDN w:val="0"/>
        <w:adjustRightInd w:val="0"/>
        <w:spacing w:line="360" w:lineRule="auto"/>
        <w:jc w:val="center"/>
        <w:rPr>
          <w:rFonts w:ascii="宋体" w:hAnsi="宋体" w:cs="宋体"/>
          <w:b/>
          <w:bCs/>
          <w:sz w:val="40"/>
          <w:szCs w:val="40"/>
        </w:rPr>
      </w:pPr>
      <w:r>
        <w:rPr>
          <w:rFonts w:hint="eastAsia" w:ascii="宋体" w:hAnsi="宋体" w:cs="宋体"/>
          <w:b/>
          <w:bCs/>
          <w:sz w:val="40"/>
          <w:szCs w:val="40"/>
        </w:rPr>
        <w:t>镇巴县人民医院PACS及肺小结节智能诊断系统</w:t>
      </w:r>
    </w:p>
    <w:p>
      <w:pPr>
        <w:tabs>
          <w:tab w:val="left" w:pos="5670"/>
        </w:tabs>
        <w:autoSpaceDE w:val="0"/>
        <w:autoSpaceDN w:val="0"/>
        <w:adjustRightInd w:val="0"/>
        <w:spacing w:line="360" w:lineRule="auto"/>
        <w:jc w:val="center"/>
        <w:rPr>
          <w:rFonts w:ascii="宋体" w:hAnsi="宋体" w:cs="宋体"/>
          <w:b/>
          <w:bCs/>
          <w:sz w:val="32"/>
          <w:szCs w:val="32"/>
        </w:rPr>
      </w:pPr>
      <w:r>
        <w:rPr>
          <w:rFonts w:hint="eastAsia" w:ascii="宋体" w:hAnsi="宋体" w:cs="宋体"/>
          <w:b/>
          <w:bCs/>
          <w:sz w:val="40"/>
          <w:szCs w:val="40"/>
        </w:rPr>
        <w:t>采购项目</w:t>
      </w:r>
    </w:p>
    <w:p>
      <w:pPr>
        <w:tabs>
          <w:tab w:val="left" w:pos="5670"/>
        </w:tabs>
        <w:autoSpaceDE w:val="0"/>
        <w:autoSpaceDN w:val="0"/>
        <w:adjustRightInd w:val="0"/>
        <w:spacing w:line="360" w:lineRule="auto"/>
        <w:jc w:val="center"/>
        <w:rPr>
          <w:rFonts w:ascii="宋体" w:hAnsi="宋体" w:cs="宋体"/>
          <w:b/>
          <w:bCs/>
          <w:sz w:val="40"/>
          <w:szCs w:val="40"/>
        </w:rPr>
      </w:pPr>
      <w:r>
        <w:rPr>
          <w:rFonts w:hint="eastAsia" w:ascii="宋体" w:hAnsi="宋体" w:cs="宋体"/>
          <w:b/>
          <w:bCs/>
          <w:sz w:val="40"/>
          <w:szCs w:val="40"/>
        </w:rPr>
        <w:t>（包1：PACS系统）</w:t>
      </w:r>
    </w:p>
    <w:p>
      <w:pPr>
        <w:tabs>
          <w:tab w:val="left" w:pos="5670"/>
        </w:tabs>
        <w:autoSpaceDE w:val="0"/>
        <w:autoSpaceDN w:val="0"/>
        <w:adjustRightInd w:val="0"/>
        <w:spacing w:line="360" w:lineRule="auto"/>
        <w:rPr>
          <w:rFonts w:ascii="宋体" w:hAnsi="宋体" w:cs="宋体"/>
          <w:b/>
          <w:bCs/>
          <w:sz w:val="44"/>
          <w:szCs w:val="44"/>
        </w:rPr>
      </w:pPr>
    </w:p>
    <w:p>
      <w:pPr>
        <w:tabs>
          <w:tab w:val="left" w:pos="5670"/>
        </w:tabs>
        <w:autoSpaceDE w:val="0"/>
        <w:autoSpaceDN w:val="0"/>
        <w:adjustRightInd w:val="0"/>
        <w:spacing w:line="360" w:lineRule="auto"/>
        <w:jc w:val="center"/>
        <w:rPr>
          <w:rFonts w:ascii="宋体" w:hAnsi="宋体" w:cs="宋体"/>
          <w:b/>
          <w:sz w:val="44"/>
          <w:szCs w:val="44"/>
        </w:rPr>
      </w:pPr>
      <w:r>
        <w:rPr>
          <w:rFonts w:hint="eastAsia" w:ascii="宋体" w:hAnsi="宋体" w:cs="宋体"/>
          <w:b/>
          <w:bCs/>
          <w:sz w:val="44"/>
          <w:szCs w:val="44"/>
        </w:rPr>
        <w:t xml:space="preserve">招 </w:t>
      </w:r>
      <w:r>
        <w:rPr>
          <w:rFonts w:hint="eastAsia" w:ascii="宋体" w:hAnsi="宋体" w:cs="宋体"/>
          <w:b/>
          <w:bCs/>
          <w:sz w:val="44"/>
          <w:szCs w:val="44"/>
          <w:lang w:val="zh-CN"/>
        </w:rPr>
        <w:t>标</w:t>
      </w:r>
      <w:r>
        <w:rPr>
          <w:rFonts w:hint="eastAsia" w:ascii="宋体" w:hAnsi="宋体" w:cs="宋体"/>
          <w:b/>
          <w:bCs/>
          <w:sz w:val="44"/>
          <w:szCs w:val="44"/>
        </w:rPr>
        <w:t xml:space="preserve"> </w:t>
      </w:r>
      <w:r>
        <w:rPr>
          <w:rFonts w:hint="eastAsia" w:ascii="宋体" w:hAnsi="宋体" w:cs="宋体"/>
          <w:b/>
          <w:bCs/>
          <w:sz w:val="44"/>
          <w:szCs w:val="44"/>
          <w:lang w:val="zh-CN"/>
        </w:rPr>
        <w:t>文</w:t>
      </w:r>
      <w:r>
        <w:rPr>
          <w:rFonts w:hint="eastAsia" w:ascii="宋体" w:hAnsi="宋体" w:cs="宋体"/>
          <w:b/>
          <w:bCs/>
          <w:sz w:val="44"/>
          <w:szCs w:val="44"/>
        </w:rPr>
        <w:t xml:space="preserve"> </w:t>
      </w:r>
      <w:r>
        <w:rPr>
          <w:rFonts w:hint="eastAsia" w:ascii="宋体" w:hAnsi="宋体" w:cs="宋体"/>
          <w:b/>
          <w:bCs/>
          <w:sz w:val="44"/>
          <w:szCs w:val="44"/>
          <w:lang w:val="zh-CN"/>
        </w:rPr>
        <w:t>件</w:t>
      </w:r>
      <w:r>
        <w:rPr>
          <w:rFonts w:hint="eastAsia" w:ascii="宋体" w:hAnsi="宋体" w:cs="宋体"/>
          <w:b/>
          <w:sz w:val="44"/>
          <w:szCs w:val="44"/>
        </w:rPr>
        <w:t xml:space="preserve"> </w:t>
      </w:r>
    </w:p>
    <w:p>
      <w:pPr>
        <w:tabs>
          <w:tab w:val="left" w:pos="5670"/>
        </w:tabs>
        <w:autoSpaceDE w:val="0"/>
        <w:autoSpaceDN w:val="0"/>
        <w:adjustRightInd w:val="0"/>
        <w:spacing w:line="360" w:lineRule="auto"/>
        <w:rPr>
          <w:rFonts w:ascii="仿宋" w:hAnsi="仿宋" w:eastAsia="仿宋" w:cs="仿宋"/>
          <w:b/>
          <w:bCs/>
          <w:sz w:val="32"/>
          <w:szCs w:val="32"/>
          <w:lang w:val="zh-CN"/>
        </w:rPr>
      </w:pPr>
    </w:p>
    <w:p>
      <w:pPr>
        <w:pStyle w:val="21"/>
        <w:ind w:firstLine="321"/>
        <w:rPr>
          <w:rFonts w:ascii="仿宋" w:hAnsi="仿宋" w:eastAsia="仿宋" w:cs="仿宋"/>
          <w:b/>
          <w:bCs/>
          <w:sz w:val="32"/>
          <w:szCs w:val="32"/>
          <w:lang w:val="zh-CN"/>
        </w:rPr>
      </w:pPr>
    </w:p>
    <w:p>
      <w:pPr>
        <w:pStyle w:val="21"/>
        <w:ind w:firstLine="321"/>
        <w:rPr>
          <w:rFonts w:ascii="仿宋" w:hAnsi="仿宋" w:eastAsia="仿宋" w:cs="仿宋"/>
          <w:b/>
          <w:bCs/>
          <w:sz w:val="32"/>
          <w:szCs w:val="32"/>
          <w:lang w:val="zh-CN"/>
        </w:rPr>
      </w:pPr>
    </w:p>
    <w:p>
      <w:pPr>
        <w:autoSpaceDE w:val="0"/>
        <w:autoSpaceDN w:val="0"/>
        <w:adjustRightInd w:val="0"/>
        <w:snapToGrid w:val="0"/>
        <w:spacing w:line="360" w:lineRule="auto"/>
        <w:ind w:firstLine="1606" w:firstLineChars="500"/>
        <w:rPr>
          <w:rFonts w:ascii="仿宋" w:hAnsi="仿宋" w:eastAsia="仿宋" w:cs="仿宋"/>
          <w:b/>
          <w:bCs/>
          <w:sz w:val="32"/>
          <w:szCs w:val="32"/>
          <w:lang w:val="zh-CN"/>
        </w:rPr>
      </w:pPr>
      <w:r>
        <w:rPr>
          <w:rFonts w:hint="eastAsia" w:ascii="仿宋" w:hAnsi="仿宋" w:eastAsia="仿宋" w:cs="仿宋"/>
          <w:b/>
          <w:bCs/>
          <w:sz w:val="32"/>
          <w:szCs w:val="32"/>
          <w:lang w:val="zh-CN"/>
        </w:rPr>
        <w:t>采</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购</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人：镇巴县人民医院</w:t>
      </w:r>
    </w:p>
    <w:p>
      <w:pPr>
        <w:tabs>
          <w:tab w:val="left" w:pos="5670"/>
        </w:tabs>
        <w:autoSpaceDE w:val="0"/>
        <w:autoSpaceDN w:val="0"/>
        <w:adjustRightInd w:val="0"/>
        <w:spacing w:line="360" w:lineRule="auto"/>
        <w:jc w:val="center"/>
        <w:rPr>
          <w:rFonts w:ascii="仿宋" w:hAnsi="仿宋" w:eastAsia="仿宋" w:cs="仿宋"/>
          <w:b/>
          <w:bCs/>
          <w:sz w:val="32"/>
          <w:szCs w:val="32"/>
        </w:rPr>
      </w:pPr>
      <w:r>
        <w:rPr>
          <w:rFonts w:hint="eastAsia" w:ascii="仿宋" w:hAnsi="仿宋" w:eastAsia="仿宋" w:cs="仿宋"/>
          <w:b/>
          <w:bCs/>
          <w:sz w:val="32"/>
          <w:szCs w:val="32"/>
          <w:lang w:val="zh-CN"/>
        </w:rPr>
        <w:t>采购代理机构：陕西笃信招标有限公司</w:t>
      </w:r>
      <w:r>
        <w:rPr>
          <w:rFonts w:hint="eastAsia" w:ascii="仿宋" w:hAnsi="仿宋" w:eastAsia="仿宋" w:cs="仿宋"/>
          <w:b/>
          <w:bCs/>
          <w:sz w:val="32"/>
          <w:szCs w:val="32"/>
        </w:rPr>
        <w:t xml:space="preserve"> </w:t>
      </w:r>
    </w:p>
    <w:p>
      <w:pPr>
        <w:tabs>
          <w:tab w:val="left" w:pos="5460"/>
        </w:tabs>
        <w:autoSpaceDE w:val="0"/>
        <w:autoSpaceDN w:val="0"/>
        <w:adjustRightInd w:val="0"/>
        <w:spacing w:line="360" w:lineRule="auto"/>
        <w:jc w:val="center"/>
        <w:rPr>
          <w:rFonts w:ascii="仿宋" w:hAnsi="仿宋" w:eastAsia="仿宋" w:cs="仿宋"/>
          <w:b/>
          <w:bCs/>
          <w:sz w:val="32"/>
          <w:szCs w:val="32"/>
        </w:rPr>
      </w:pPr>
      <w:r>
        <w:rPr>
          <w:rFonts w:hint="eastAsia" w:ascii="仿宋" w:hAnsi="仿宋" w:eastAsia="仿宋" w:cs="仿宋"/>
          <w:b/>
          <w:bCs/>
          <w:sz w:val="32"/>
          <w:szCs w:val="32"/>
          <w:lang w:val="zh-CN"/>
        </w:rPr>
        <w:t>二零二</w:t>
      </w:r>
      <w:r>
        <w:rPr>
          <w:rFonts w:hint="eastAsia" w:ascii="仿宋" w:hAnsi="仿宋" w:eastAsia="仿宋" w:cs="仿宋"/>
          <w:b/>
          <w:bCs/>
          <w:sz w:val="32"/>
          <w:szCs w:val="32"/>
        </w:rPr>
        <w:t>三</w:t>
      </w:r>
      <w:r>
        <w:rPr>
          <w:rFonts w:hint="eastAsia" w:ascii="仿宋" w:hAnsi="仿宋" w:eastAsia="仿宋" w:cs="仿宋"/>
          <w:b/>
          <w:bCs/>
          <w:sz w:val="32"/>
          <w:szCs w:val="32"/>
          <w:lang w:val="zh-CN"/>
        </w:rPr>
        <w:t>年</w:t>
      </w:r>
      <w:r>
        <w:rPr>
          <w:rFonts w:hint="eastAsia" w:ascii="仿宋" w:hAnsi="仿宋" w:eastAsia="仿宋" w:cs="仿宋"/>
          <w:b/>
          <w:bCs/>
          <w:sz w:val="32"/>
          <w:szCs w:val="32"/>
        </w:rPr>
        <w:t>五</w:t>
      </w:r>
      <w:r>
        <w:rPr>
          <w:rFonts w:hint="eastAsia" w:ascii="仿宋" w:hAnsi="仿宋" w:eastAsia="仿宋" w:cs="仿宋"/>
          <w:b/>
          <w:bCs/>
          <w:sz w:val="32"/>
          <w:szCs w:val="32"/>
          <w:lang w:val="zh-CN"/>
        </w:rPr>
        <w:t>月</w:t>
      </w:r>
    </w:p>
    <w:p>
      <w:bookmarkStart w:id="0" w:name="_Toc6076"/>
      <w:bookmarkStart w:id="1" w:name="_Toc475451543"/>
      <w:bookmarkStart w:id="2" w:name="_Toc20047"/>
    </w:p>
    <w:p>
      <w:pPr>
        <w:spacing w:line="360" w:lineRule="auto"/>
        <w:jc w:val="center"/>
        <w:rPr>
          <w:rFonts w:ascii="仿宋" w:hAnsi="仿宋" w:eastAsia="仿宋" w:cs="仿宋"/>
          <w:sz w:val="28"/>
          <w:szCs w:val="28"/>
        </w:rPr>
      </w:pPr>
      <w:r>
        <w:rPr>
          <w:rFonts w:hint="eastAsia" w:ascii="仿宋" w:hAnsi="仿宋" w:eastAsia="仿宋" w:cs="仿宋"/>
        </w:rPr>
        <w:br w:type="page"/>
      </w:r>
      <w:bookmarkStart w:id="3" w:name="_Toc4593"/>
      <w:bookmarkStart w:id="4" w:name="_Toc20135"/>
      <w:bookmarkStart w:id="5" w:name="_Toc25835"/>
      <w:bookmarkStart w:id="6" w:name="_Toc22159"/>
      <w:r>
        <w:rPr>
          <w:rFonts w:hint="eastAsia" w:ascii="仿宋" w:hAnsi="仿宋" w:eastAsia="仿宋" w:cs="仿宋"/>
          <w:b/>
          <w:bCs/>
          <w:sz w:val="28"/>
          <w:szCs w:val="28"/>
        </w:rPr>
        <w:t>目  录</w:t>
      </w:r>
      <w:bookmarkStart w:id="7" w:name="_Toc31037"/>
    </w:p>
    <w:p>
      <w:pPr>
        <w:pStyle w:val="16"/>
        <w:tabs>
          <w:tab w:val="right" w:leader="dot" w:pos="9072"/>
          <w:tab w:val="clear" w:pos="9060"/>
        </w:tabs>
      </w:pPr>
      <w:r>
        <w:rPr>
          <w:rFonts w:hint="eastAsia" w:ascii="仿宋" w:hAnsi="仿宋" w:eastAsia="仿宋" w:cs="仿宋"/>
          <w:szCs w:val="21"/>
        </w:rPr>
        <w:fldChar w:fldCharType="begin"/>
      </w:r>
      <w:r>
        <w:rPr>
          <w:rFonts w:hint="eastAsia" w:ascii="仿宋" w:hAnsi="仿宋" w:eastAsia="仿宋" w:cs="仿宋"/>
          <w:szCs w:val="21"/>
        </w:rPr>
        <w:instrText xml:space="preserve">TOC \o "1-3" \h \u </w:instrText>
      </w:r>
      <w:r>
        <w:rPr>
          <w:rFonts w:hint="eastAsia" w:ascii="仿宋" w:hAnsi="仿宋" w:eastAsia="仿宋" w:cs="仿宋"/>
          <w:szCs w:val="21"/>
        </w:rPr>
        <w:fldChar w:fldCharType="separate"/>
      </w:r>
      <w:r>
        <w:fldChar w:fldCharType="begin"/>
      </w:r>
      <w:r>
        <w:instrText xml:space="preserve"> HYPERLINK \l "_Toc6366" </w:instrText>
      </w:r>
      <w:r>
        <w:fldChar w:fldCharType="separate"/>
      </w:r>
      <w:r>
        <w:rPr>
          <w:rFonts w:hint="eastAsia" w:ascii="仿宋" w:hAnsi="仿宋" w:eastAsia="仿宋" w:cs="仿宋"/>
          <w:szCs w:val="32"/>
          <w:lang w:val="zh-CN"/>
        </w:rPr>
        <w:t>第一部分  招标公告</w:t>
      </w:r>
      <w:r>
        <w:tab/>
      </w:r>
      <w:r>
        <w:fldChar w:fldCharType="begin"/>
      </w:r>
      <w:r>
        <w:instrText xml:space="preserve"> PAGEREF _Toc6366 \h </w:instrText>
      </w:r>
      <w:r>
        <w:fldChar w:fldCharType="separate"/>
      </w:r>
      <w:r>
        <w:t>4</w:t>
      </w:r>
      <w:r>
        <w:fldChar w:fldCharType="end"/>
      </w:r>
      <w:r>
        <w:fldChar w:fldCharType="end"/>
      </w:r>
    </w:p>
    <w:p>
      <w:pPr>
        <w:pStyle w:val="16"/>
        <w:tabs>
          <w:tab w:val="right" w:leader="dot" w:pos="9072"/>
          <w:tab w:val="clear" w:pos="9060"/>
        </w:tabs>
      </w:pPr>
      <w:r>
        <w:fldChar w:fldCharType="begin"/>
      </w:r>
      <w:r>
        <w:instrText xml:space="preserve"> HYPERLINK \l "_Toc4089" </w:instrText>
      </w:r>
      <w:r>
        <w:fldChar w:fldCharType="separate"/>
      </w:r>
      <w:r>
        <w:rPr>
          <w:rFonts w:hint="eastAsia" w:ascii="仿宋" w:hAnsi="仿宋" w:eastAsia="仿宋" w:cs="仿宋"/>
          <w:szCs w:val="32"/>
          <w:lang w:val="zh-CN"/>
        </w:rPr>
        <w:t>第二部分</w:t>
      </w:r>
      <w:r>
        <w:rPr>
          <w:rFonts w:hint="eastAsia" w:ascii="仿宋" w:hAnsi="仿宋" w:eastAsia="仿宋" w:cs="仿宋"/>
          <w:szCs w:val="32"/>
        </w:rPr>
        <w:t xml:space="preserve">  </w:t>
      </w:r>
      <w:r>
        <w:rPr>
          <w:rFonts w:hint="eastAsia" w:ascii="仿宋" w:hAnsi="仿宋" w:eastAsia="仿宋" w:cs="仿宋"/>
          <w:szCs w:val="32"/>
          <w:lang w:val="zh-CN"/>
        </w:rPr>
        <w:t>投标人须知</w:t>
      </w:r>
      <w:r>
        <w:tab/>
      </w:r>
      <w:r>
        <w:fldChar w:fldCharType="begin"/>
      </w:r>
      <w:r>
        <w:instrText xml:space="preserve"> PAGEREF _Toc4089 \h </w:instrText>
      </w:r>
      <w:r>
        <w:fldChar w:fldCharType="separate"/>
      </w:r>
      <w:r>
        <w:t>8</w:t>
      </w:r>
      <w:r>
        <w:fldChar w:fldCharType="end"/>
      </w:r>
      <w:r>
        <w:fldChar w:fldCharType="end"/>
      </w:r>
    </w:p>
    <w:p>
      <w:pPr>
        <w:pStyle w:val="18"/>
        <w:tabs>
          <w:tab w:val="right" w:leader="dot" w:pos="9072"/>
          <w:tab w:val="clear" w:pos="9060"/>
        </w:tabs>
      </w:pPr>
      <w:r>
        <w:fldChar w:fldCharType="begin"/>
      </w:r>
      <w:r>
        <w:instrText xml:space="preserve"> HYPERLINK \l "_Toc10661" </w:instrText>
      </w:r>
      <w:r>
        <w:fldChar w:fldCharType="separate"/>
      </w:r>
      <w:r>
        <w:rPr>
          <w:rFonts w:hint="eastAsia" w:ascii="仿宋" w:hAnsi="仿宋" w:eastAsia="仿宋" w:cs="仿宋"/>
          <w:bCs/>
          <w:szCs w:val="24"/>
          <w:lang w:val="zh-CN"/>
        </w:rPr>
        <w:t>一、总则</w:t>
      </w:r>
      <w:r>
        <w:tab/>
      </w:r>
      <w:r>
        <w:fldChar w:fldCharType="begin"/>
      </w:r>
      <w:r>
        <w:instrText xml:space="preserve"> PAGEREF _Toc10661 \h </w:instrText>
      </w:r>
      <w:r>
        <w:fldChar w:fldCharType="separate"/>
      </w:r>
      <w:r>
        <w:t>11</w:t>
      </w:r>
      <w:r>
        <w:fldChar w:fldCharType="end"/>
      </w:r>
      <w:r>
        <w:fldChar w:fldCharType="end"/>
      </w:r>
    </w:p>
    <w:p>
      <w:pPr>
        <w:pStyle w:val="11"/>
        <w:tabs>
          <w:tab w:val="right" w:leader="dot" w:pos="9072"/>
        </w:tabs>
      </w:pPr>
      <w:r>
        <w:fldChar w:fldCharType="begin"/>
      </w:r>
      <w:r>
        <w:instrText xml:space="preserve"> HYPERLINK \l "_Toc8407" </w:instrText>
      </w:r>
      <w:r>
        <w:fldChar w:fldCharType="separate"/>
      </w:r>
      <w:r>
        <w:rPr>
          <w:rFonts w:hint="eastAsia" w:ascii="仿宋" w:hAnsi="仿宋" w:eastAsia="仿宋" w:cs="仿宋"/>
          <w:bCs/>
          <w:szCs w:val="24"/>
          <w:lang w:val="zh-CN"/>
        </w:rPr>
        <w:t>（一）适用范围</w:t>
      </w:r>
      <w:r>
        <w:tab/>
      </w:r>
      <w:r>
        <w:fldChar w:fldCharType="begin"/>
      </w:r>
      <w:r>
        <w:instrText xml:space="preserve"> PAGEREF _Toc8407 \h </w:instrText>
      </w:r>
      <w:r>
        <w:fldChar w:fldCharType="separate"/>
      </w:r>
      <w:r>
        <w:t>11</w:t>
      </w:r>
      <w:r>
        <w:fldChar w:fldCharType="end"/>
      </w:r>
      <w:r>
        <w:fldChar w:fldCharType="end"/>
      </w:r>
    </w:p>
    <w:p>
      <w:pPr>
        <w:pStyle w:val="11"/>
        <w:tabs>
          <w:tab w:val="right" w:leader="dot" w:pos="9072"/>
        </w:tabs>
      </w:pPr>
      <w:r>
        <w:fldChar w:fldCharType="begin"/>
      </w:r>
      <w:r>
        <w:instrText xml:space="preserve"> HYPERLINK \l "_Toc27411" </w:instrText>
      </w:r>
      <w:r>
        <w:fldChar w:fldCharType="separate"/>
      </w:r>
      <w:r>
        <w:rPr>
          <w:rFonts w:hint="eastAsia" w:ascii="仿宋" w:hAnsi="仿宋" w:eastAsia="仿宋" w:cs="仿宋"/>
          <w:bCs/>
          <w:szCs w:val="24"/>
          <w:lang w:val="zh-CN"/>
        </w:rPr>
        <w:t>（二）名词解释</w:t>
      </w:r>
      <w:r>
        <w:tab/>
      </w:r>
      <w:r>
        <w:fldChar w:fldCharType="begin"/>
      </w:r>
      <w:r>
        <w:instrText xml:space="preserve"> PAGEREF _Toc27411 \h </w:instrText>
      </w:r>
      <w:r>
        <w:fldChar w:fldCharType="separate"/>
      </w:r>
      <w:r>
        <w:t>11</w:t>
      </w:r>
      <w:r>
        <w:fldChar w:fldCharType="end"/>
      </w:r>
      <w:r>
        <w:fldChar w:fldCharType="end"/>
      </w:r>
    </w:p>
    <w:p>
      <w:pPr>
        <w:pStyle w:val="18"/>
        <w:tabs>
          <w:tab w:val="right" w:leader="dot" w:pos="9072"/>
          <w:tab w:val="clear" w:pos="9060"/>
        </w:tabs>
      </w:pPr>
      <w:r>
        <w:fldChar w:fldCharType="begin"/>
      </w:r>
      <w:r>
        <w:instrText xml:space="preserve"> HYPERLINK \l "_Toc18325" </w:instrText>
      </w:r>
      <w:r>
        <w:fldChar w:fldCharType="separate"/>
      </w:r>
      <w:r>
        <w:rPr>
          <w:rFonts w:hint="eastAsia" w:ascii="仿宋" w:hAnsi="仿宋" w:eastAsia="仿宋" w:cs="仿宋"/>
          <w:bCs/>
          <w:szCs w:val="24"/>
          <w:lang w:val="zh-CN"/>
        </w:rPr>
        <w:t>二、招标文件</w:t>
      </w:r>
      <w:r>
        <w:tab/>
      </w:r>
      <w:r>
        <w:fldChar w:fldCharType="begin"/>
      </w:r>
      <w:r>
        <w:instrText xml:space="preserve"> PAGEREF _Toc18325 \h </w:instrText>
      </w:r>
      <w:r>
        <w:fldChar w:fldCharType="separate"/>
      </w:r>
      <w:r>
        <w:t>11</w:t>
      </w:r>
      <w:r>
        <w:fldChar w:fldCharType="end"/>
      </w:r>
      <w:r>
        <w:fldChar w:fldCharType="end"/>
      </w:r>
    </w:p>
    <w:p>
      <w:pPr>
        <w:pStyle w:val="11"/>
        <w:tabs>
          <w:tab w:val="right" w:leader="dot" w:pos="9072"/>
        </w:tabs>
      </w:pPr>
      <w:r>
        <w:fldChar w:fldCharType="begin"/>
      </w:r>
      <w:r>
        <w:instrText xml:space="preserve"> HYPERLINK \l "_Toc24667" </w:instrText>
      </w:r>
      <w:r>
        <w:fldChar w:fldCharType="separate"/>
      </w:r>
      <w:r>
        <w:rPr>
          <w:rFonts w:hint="eastAsia" w:ascii="仿宋" w:hAnsi="仿宋" w:eastAsia="仿宋" w:cs="仿宋"/>
          <w:szCs w:val="24"/>
          <w:lang w:val="zh-CN"/>
        </w:rPr>
        <w:t>（一）招标文件的组成</w:t>
      </w:r>
      <w:r>
        <w:tab/>
      </w:r>
      <w:r>
        <w:fldChar w:fldCharType="begin"/>
      </w:r>
      <w:r>
        <w:instrText xml:space="preserve"> PAGEREF _Toc24667 \h </w:instrText>
      </w:r>
      <w:r>
        <w:fldChar w:fldCharType="separate"/>
      </w:r>
      <w:r>
        <w:t>11</w:t>
      </w:r>
      <w:r>
        <w:fldChar w:fldCharType="end"/>
      </w:r>
      <w:r>
        <w:fldChar w:fldCharType="end"/>
      </w:r>
    </w:p>
    <w:p>
      <w:pPr>
        <w:pStyle w:val="11"/>
        <w:tabs>
          <w:tab w:val="right" w:leader="dot" w:pos="9072"/>
        </w:tabs>
      </w:pPr>
      <w:r>
        <w:fldChar w:fldCharType="begin"/>
      </w:r>
      <w:r>
        <w:instrText xml:space="preserve"> HYPERLINK \l "_Toc11099" </w:instrText>
      </w:r>
      <w:r>
        <w:fldChar w:fldCharType="separate"/>
      </w:r>
      <w:r>
        <w:rPr>
          <w:rFonts w:hint="eastAsia" w:ascii="仿宋" w:hAnsi="仿宋" w:eastAsia="仿宋" w:cs="仿宋"/>
          <w:bCs/>
          <w:szCs w:val="24"/>
        </w:rPr>
        <w:t>（二）</w:t>
      </w:r>
      <w:r>
        <w:rPr>
          <w:rFonts w:hint="eastAsia" w:ascii="仿宋" w:hAnsi="仿宋" w:eastAsia="仿宋" w:cs="仿宋"/>
          <w:bCs/>
          <w:szCs w:val="24"/>
          <w:lang w:val="zh-CN"/>
        </w:rPr>
        <w:t>招标文件的修改或澄清</w:t>
      </w:r>
      <w:r>
        <w:tab/>
      </w:r>
      <w:r>
        <w:fldChar w:fldCharType="begin"/>
      </w:r>
      <w:r>
        <w:instrText xml:space="preserve"> PAGEREF _Toc11099 \h </w:instrText>
      </w:r>
      <w:r>
        <w:fldChar w:fldCharType="separate"/>
      </w:r>
      <w:r>
        <w:t>11</w:t>
      </w:r>
      <w:r>
        <w:fldChar w:fldCharType="end"/>
      </w:r>
      <w:r>
        <w:fldChar w:fldCharType="end"/>
      </w:r>
    </w:p>
    <w:p>
      <w:pPr>
        <w:pStyle w:val="11"/>
        <w:tabs>
          <w:tab w:val="right" w:leader="dot" w:pos="9072"/>
        </w:tabs>
      </w:pPr>
      <w:r>
        <w:fldChar w:fldCharType="begin"/>
      </w:r>
      <w:r>
        <w:instrText xml:space="preserve"> HYPERLINK \l "_Toc27094" </w:instrText>
      </w:r>
      <w:r>
        <w:fldChar w:fldCharType="separate"/>
      </w:r>
      <w:r>
        <w:rPr>
          <w:rFonts w:hint="eastAsia" w:ascii="仿宋" w:hAnsi="仿宋" w:eastAsia="仿宋" w:cs="仿宋"/>
          <w:bCs/>
          <w:szCs w:val="24"/>
        </w:rPr>
        <w:t>（三）</w:t>
      </w:r>
      <w:r>
        <w:rPr>
          <w:rFonts w:hint="eastAsia" w:ascii="仿宋" w:hAnsi="仿宋" w:eastAsia="仿宋" w:cs="仿宋"/>
          <w:bCs/>
          <w:szCs w:val="24"/>
          <w:lang w:val="zh-CN"/>
        </w:rPr>
        <w:t>招标文件的询问、质疑及答复</w:t>
      </w:r>
      <w:r>
        <w:tab/>
      </w:r>
      <w:r>
        <w:fldChar w:fldCharType="begin"/>
      </w:r>
      <w:r>
        <w:instrText xml:space="preserve"> PAGEREF _Toc27094 \h </w:instrText>
      </w:r>
      <w:r>
        <w:fldChar w:fldCharType="separate"/>
      </w:r>
      <w:r>
        <w:t>11</w:t>
      </w:r>
      <w:r>
        <w:fldChar w:fldCharType="end"/>
      </w:r>
      <w:r>
        <w:fldChar w:fldCharType="end"/>
      </w:r>
    </w:p>
    <w:p>
      <w:pPr>
        <w:pStyle w:val="11"/>
        <w:tabs>
          <w:tab w:val="right" w:leader="dot" w:pos="9072"/>
        </w:tabs>
      </w:pPr>
      <w:r>
        <w:fldChar w:fldCharType="begin"/>
      </w:r>
      <w:r>
        <w:instrText xml:space="preserve"> HYPERLINK \l "_Toc29087" </w:instrText>
      </w:r>
      <w:r>
        <w:fldChar w:fldCharType="separate"/>
      </w:r>
      <w:r>
        <w:rPr>
          <w:rFonts w:hint="eastAsia" w:ascii="仿宋" w:hAnsi="仿宋" w:eastAsia="仿宋" w:cs="仿宋"/>
          <w:bCs/>
          <w:szCs w:val="24"/>
          <w:lang w:val="zh-CN"/>
        </w:rPr>
        <w:t>（四）招标文件的解释权</w:t>
      </w:r>
      <w:r>
        <w:tab/>
      </w:r>
      <w:r>
        <w:fldChar w:fldCharType="begin"/>
      </w:r>
      <w:r>
        <w:instrText xml:space="preserve"> PAGEREF _Toc29087 \h </w:instrText>
      </w:r>
      <w:r>
        <w:fldChar w:fldCharType="separate"/>
      </w:r>
      <w:r>
        <w:t>12</w:t>
      </w:r>
      <w:r>
        <w:fldChar w:fldCharType="end"/>
      </w:r>
      <w:r>
        <w:fldChar w:fldCharType="end"/>
      </w:r>
    </w:p>
    <w:p>
      <w:pPr>
        <w:pStyle w:val="18"/>
        <w:tabs>
          <w:tab w:val="right" w:leader="dot" w:pos="9072"/>
          <w:tab w:val="clear" w:pos="9060"/>
        </w:tabs>
      </w:pPr>
      <w:r>
        <w:fldChar w:fldCharType="begin"/>
      </w:r>
      <w:r>
        <w:instrText xml:space="preserve"> HYPERLINK \l "_Toc27527" </w:instrText>
      </w:r>
      <w:r>
        <w:fldChar w:fldCharType="separate"/>
      </w:r>
      <w:r>
        <w:rPr>
          <w:rFonts w:hint="eastAsia" w:ascii="仿宋" w:hAnsi="仿宋" w:eastAsia="仿宋" w:cs="仿宋"/>
          <w:szCs w:val="24"/>
          <w:lang w:val="zh-CN"/>
        </w:rPr>
        <w:t>三、投标要求</w:t>
      </w:r>
      <w:r>
        <w:tab/>
      </w:r>
      <w:r>
        <w:fldChar w:fldCharType="begin"/>
      </w:r>
      <w:r>
        <w:instrText xml:space="preserve"> PAGEREF _Toc27527 \h </w:instrText>
      </w:r>
      <w:r>
        <w:fldChar w:fldCharType="separate"/>
      </w:r>
      <w:r>
        <w:t>12</w:t>
      </w:r>
      <w:r>
        <w:fldChar w:fldCharType="end"/>
      </w:r>
      <w:r>
        <w:fldChar w:fldCharType="end"/>
      </w:r>
    </w:p>
    <w:p>
      <w:pPr>
        <w:pStyle w:val="11"/>
        <w:tabs>
          <w:tab w:val="right" w:leader="dot" w:pos="9072"/>
        </w:tabs>
      </w:pPr>
      <w:r>
        <w:fldChar w:fldCharType="begin"/>
      </w:r>
      <w:r>
        <w:instrText xml:space="preserve"> HYPERLINK \l "_Toc31031" </w:instrText>
      </w:r>
      <w:r>
        <w:fldChar w:fldCharType="separate"/>
      </w:r>
      <w:r>
        <w:rPr>
          <w:rFonts w:hint="eastAsia" w:ascii="仿宋" w:hAnsi="仿宋" w:eastAsia="仿宋" w:cs="仿宋"/>
          <w:bCs/>
          <w:szCs w:val="24"/>
        </w:rPr>
        <w:t>（一）投标内容</w:t>
      </w:r>
      <w:r>
        <w:tab/>
      </w:r>
      <w:r>
        <w:fldChar w:fldCharType="begin"/>
      </w:r>
      <w:r>
        <w:instrText xml:space="preserve"> PAGEREF _Toc31031 \h </w:instrText>
      </w:r>
      <w:r>
        <w:fldChar w:fldCharType="separate"/>
      </w:r>
      <w:r>
        <w:t>12</w:t>
      </w:r>
      <w:r>
        <w:fldChar w:fldCharType="end"/>
      </w:r>
      <w:r>
        <w:fldChar w:fldCharType="end"/>
      </w:r>
    </w:p>
    <w:p>
      <w:pPr>
        <w:pStyle w:val="11"/>
        <w:tabs>
          <w:tab w:val="right" w:leader="dot" w:pos="9072"/>
        </w:tabs>
      </w:pPr>
      <w:r>
        <w:fldChar w:fldCharType="begin"/>
      </w:r>
      <w:r>
        <w:instrText xml:space="preserve"> HYPERLINK \l "_Toc4186" </w:instrText>
      </w:r>
      <w:r>
        <w:fldChar w:fldCharType="separate"/>
      </w:r>
      <w:r>
        <w:rPr>
          <w:rFonts w:hint="eastAsia" w:ascii="仿宋" w:hAnsi="仿宋" w:eastAsia="仿宋" w:cs="仿宋"/>
          <w:szCs w:val="24"/>
        </w:rPr>
        <w:t>（二）</w:t>
      </w:r>
      <w:r>
        <w:rPr>
          <w:rFonts w:hint="eastAsia" w:ascii="仿宋" w:hAnsi="仿宋" w:eastAsia="仿宋" w:cs="仿宋"/>
          <w:szCs w:val="24"/>
          <w:lang w:val="zh-CN"/>
        </w:rPr>
        <w:t>合格的投标人要求（包1：PACS系统）</w:t>
      </w:r>
      <w:r>
        <w:tab/>
      </w:r>
      <w:r>
        <w:fldChar w:fldCharType="begin"/>
      </w:r>
      <w:r>
        <w:instrText xml:space="preserve"> PAGEREF _Toc4186 \h </w:instrText>
      </w:r>
      <w:r>
        <w:fldChar w:fldCharType="separate"/>
      </w:r>
      <w:r>
        <w:t>12</w:t>
      </w:r>
      <w:r>
        <w:fldChar w:fldCharType="end"/>
      </w:r>
      <w:r>
        <w:fldChar w:fldCharType="end"/>
      </w:r>
    </w:p>
    <w:p>
      <w:pPr>
        <w:pStyle w:val="11"/>
        <w:tabs>
          <w:tab w:val="right" w:leader="dot" w:pos="9072"/>
        </w:tabs>
      </w:pPr>
      <w:r>
        <w:fldChar w:fldCharType="begin"/>
      </w:r>
      <w:r>
        <w:instrText xml:space="preserve"> HYPERLINK \l "_Toc13065" </w:instrText>
      </w:r>
      <w:r>
        <w:fldChar w:fldCharType="separate"/>
      </w:r>
      <w:r>
        <w:rPr>
          <w:rFonts w:hint="eastAsia" w:ascii="仿宋" w:hAnsi="仿宋" w:eastAsia="仿宋" w:cs="仿宋"/>
          <w:bCs/>
          <w:szCs w:val="24"/>
        </w:rPr>
        <w:t>（三）</w:t>
      </w:r>
      <w:r>
        <w:rPr>
          <w:rFonts w:hint="eastAsia" w:ascii="仿宋" w:hAnsi="仿宋" w:eastAsia="仿宋" w:cs="仿宋"/>
          <w:bCs/>
          <w:szCs w:val="24"/>
          <w:lang w:val="zh-CN"/>
        </w:rPr>
        <w:t>限制投标要求</w:t>
      </w:r>
      <w:r>
        <w:tab/>
      </w:r>
      <w:r>
        <w:fldChar w:fldCharType="begin"/>
      </w:r>
      <w:r>
        <w:instrText xml:space="preserve"> PAGEREF _Toc13065 \h </w:instrText>
      </w:r>
      <w:r>
        <w:fldChar w:fldCharType="separate"/>
      </w:r>
      <w:r>
        <w:t>13</w:t>
      </w:r>
      <w:r>
        <w:fldChar w:fldCharType="end"/>
      </w:r>
      <w:r>
        <w:fldChar w:fldCharType="end"/>
      </w:r>
    </w:p>
    <w:p>
      <w:pPr>
        <w:pStyle w:val="11"/>
        <w:tabs>
          <w:tab w:val="right" w:leader="dot" w:pos="9072"/>
        </w:tabs>
      </w:pPr>
      <w:r>
        <w:fldChar w:fldCharType="begin"/>
      </w:r>
      <w:r>
        <w:instrText xml:space="preserve"> HYPERLINK \l "_Toc22691" </w:instrText>
      </w:r>
      <w:r>
        <w:fldChar w:fldCharType="separate"/>
      </w:r>
      <w:r>
        <w:rPr>
          <w:rFonts w:hint="eastAsia" w:ascii="仿宋" w:hAnsi="仿宋" w:eastAsia="仿宋" w:cs="仿宋"/>
          <w:bCs/>
          <w:szCs w:val="24"/>
        </w:rPr>
        <w:t>（四）</w:t>
      </w:r>
      <w:r>
        <w:rPr>
          <w:rFonts w:hint="eastAsia" w:ascii="仿宋" w:hAnsi="仿宋" w:eastAsia="仿宋" w:cs="仿宋"/>
          <w:bCs/>
          <w:szCs w:val="24"/>
          <w:lang w:val="zh-CN"/>
        </w:rPr>
        <w:t>投标文件有效期</w:t>
      </w:r>
      <w:r>
        <w:tab/>
      </w:r>
      <w:r>
        <w:fldChar w:fldCharType="begin"/>
      </w:r>
      <w:r>
        <w:instrText xml:space="preserve"> PAGEREF _Toc22691 \h </w:instrText>
      </w:r>
      <w:r>
        <w:fldChar w:fldCharType="separate"/>
      </w:r>
      <w:r>
        <w:t>13</w:t>
      </w:r>
      <w:r>
        <w:fldChar w:fldCharType="end"/>
      </w:r>
      <w:r>
        <w:fldChar w:fldCharType="end"/>
      </w:r>
    </w:p>
    <w:p>
      <w:pPr>
        <w:pStyle w:val="11"/>
        <w:tabs>
          <w:tab w:val="right" w:leader="dot" w:pos="9072"/>
        </w:tabs>
      </w:pPr>
      <w:r>
        <w:fldChar w:fldCharType="begin"/>
      </w:r>
      <w:r>
        <w:instrText xml:space="preserve"> HYPERLINK \l "_Toc11540" </w:instrText>
      </w:r>
      <w:r>
        <w:fldChar w:fldCharType="separate"/>
      </w:r>
      <w:r>
        <w:rPr>
          <w:rFonts w:hint="eastAsia" w:ascii="仿宋" w:hAnsi="仿宋" w:eastAsia="仿宋" w:cs="仿宋"/>
          <w:szCs w:val="24"/>
          <w:lang w:val="zh-CN"/>
        </w:rPr>
        <w:t>（五）投标文件的编写要求</w:t>
      </w:r>
      <w:r>
        <w:tab/>
      </w:r>
      <w:r>
        <w:fldChar w:fldCharType="begin"/>
      </w:r>
      <w:r>
        <w:instrText xml:space="preserve"> PAGEREF _Toc11540 \h </w:instrText>
      </w:r>
      <w:r>
        <w:fldChar w:fldCharType="separate"/>
      </w:r>
      <w:r>
        <w:t>13</w:t>
      </w:r>
      <w:r>
        <w:fldChar w:fldCharType="end"/>
      </w:r>
      <w:r>
        <w:fldChar w:fldCharType="end"/>
      </w:r>
    </w:p>
    <w:p>
      <w:pPr>
        <w:pStyle w:val="11"/>
        <w:tabs>
          <w:tab w:val="right" w:leader="dot" w:pos="9072"/>
        </w:tabs>
      </w:pPr>
      <w:r>
        <w:fldChar w:fldCharType="begin"/>
      </w:r>
      <w:r>
        <w:instrText xml:space="preserve"> HYPERLINK \l "_Toc21876" </w:instrText>
      </w:r>
      <w:r>
        <w:fldChar w:fldCharType="separate"/>
      </w:r>
      <w:r>
        <w:rPr>
          <w:rFonts w:hint="eastAsia" w:ascii="仿宋" w:hAnsi="仿宋" w:eastAsia="仿宋" w:cs="仿宋"/>
          <w:szCs w:val="24"/>
          <w:lang w:val="zh-CN"/>
        </w:rPr>
        <w:t>（六）投标报价要求</w:t>
      </w:r>
      <w:r>
        <w:tab/>
      </w:r>
      <w:r>
        <w:fldChar w:fldCharType="begin"/>
      </w:r>
      <w:r>
        <w:instrText xml:space="preserve"> PAGEREF _Toc21876 \h </w:instrText>
      </w:r>
      <w:r>
        <w:fldChar w:fldCharType="separate"/>
      </w:r>
      <w:r>
        <w:t>14</w:t>
      </w:r>
      <w:r>
        <w:fldChar w:fldCharType="end"/>
      </w:r>
      <w:r>
        <w:fldChar w:fldCharType="end"/>
      </w:r>
    </w:p>
    <w:p>
      <w:pPr>
        <w:pStyle w:val="11"/>
        <w:tabs>
          <w:tab w:val="right" w:leader="dot" w:pos="9072"/>
        </w:tabs>
      </w:pPr>
      <w:r>
        <w:fldChar w:fldCharType="begin"/>
      </w:r>
      <w:r>
        <w:instrText xml:space="preserve"> HYPERLINK \l "_Toc19177" </w:instrText>
      </w:r>
      <w:r>
        <w:fldChar w:fldCharType="separate"/>
      </w:r>
      <w:r>
        <w:rPr>
          <w:rFonts w:hint="eastAsia" w:ascii="仿宋" w:hAnsi="仿宋" w:eastAsia="仿宋" w:cs="仿宋"/>
          <w:szCs w:val="24"/>
          <w:lang w:val="zh-CN"/>
        </w:rPr>
        <w:t>（七）投标文件的式样和签署</w:t>
      </w:r>
      <w:r>
        <w:tab/>
      </w:r>
      <w:r>
        <w:fldChar w:fldCharType="begin"/>
      </w:r>
      <w:r>
        <w:instrText xml:space="preserve"> PAGEREF _Toc19177 \h </w:instrText>
      </w:r>
      <w:r>
        <w:fldChar w:fldCharType="separate"/>
      </w:r>
      <w:r>
        <w:t>15</w:t>
      </w:r>
      <w:r>
        <w:fldChar w:fldCharType="end"/>
      </w:r>
      <w:r>
        <w:fldChar w:fldCharType="end"/>
      </w:r>
    </w:p>
    <w:p>
      <w:pPr>
        <w:pStyle w:val="11"/>
        <w:tabs>
          <w:tab w:val="right" w:leader="dot" w:pos="9072"/>
        </w:tabs>
      </w:pPr>
      <w:r>
        <w:fldChar w:fldCharType="begin"/>
      </w:r>
      <w:r>
        <w:instrText xml:space="preserve"> HYPERLINK \l "_Toc16318" </w:instrText>
      </w:r>
      <w:r>
        <w:fldChar w:fldCharType="separate"/>
      </w:r>
      <w:r>
        <w:rPr>
          <w:rFonts w:hint="eastAsia" w:ascii="仿宋" w:hAnsi="仿宋" w:eastAsia="仿宋" w:cs="仿宋"/>
          <w:szCs w:val="24"/>
          <w:lang w:val="zh-CN"/>
        </w:rPr>
        <w:t>（</w:t>
      </w:r>
      <w:r>
        <w:rPr>
          <w:rFonts w:hint="eastAsia" w:ascii="仿宋" w:hAnsi="仿宋" w:eastAsia="仿宋" w:cs="仿宋"/>
          <w:szCs w:val="24"/>
        </w:rPr>
        <w:t>八</w:t>
      </w:r>
      <w:r>
        <w:rPr>
          <w:rFonts w:hint="eastAsia" w:ascii="仿宋" w:hAnsi="仿宋" w:eastAsia="仿宋" w:cs="仿宋"/>
          <w:szCs w:val="24"/>
          <w:lang w:val="zh-CN"/>
        </w:rPr>
        <w:t>）投标文件的密封和提交</w:t>
      </w:r>
      <w:r>
        <w:tab/>
      </w:r>
      <w:r>
        <w:fldChar w:fldCharType="begin"/>
      </w:r>
      <w:r>
        <w:instrText xml:space="preserve"> PAGEREF _Toc16318 \h </w:instrText>
      </w:r>
      <w:r>
        <w:fldChar w:fldCharType="separate"/>
      </w:r>
      <w:r>
        <w:t>15</w:t>
      </w:r>
      <w:r>
        <w:fldChar w:fldCharType="end"/>
      </w:r>
      <w:r>
        <w:fldChar w:fldCharType="end"/>
      </w:r>
    </w:p>
    <w:p>
      <w:pPr>
        <w:pStyle w:val="18"/>
        <w:tabs>
          <w:tab w:val="right" w:leader="dot" w:pos="9072"/>
          <w:tab w:val="clear" w:pos="9060"/>
        </w:tabs>
      </w:pPr>
      <w:r>
        <w:fldChar w:fldCharType="begin"/>
      </w:r>
      <w:r>
        <w:instrText xml:space="preserve"> HYPERLINK \l "_Toc16081" </w:instrText>
      </w:r>
      <w:r>
        <w:fldChar w:fldCharType="separate"/>
      </w:r>
      <w:r>
        <w:rPr>
          <w:rFonts w:hint="eastAsia" w:ascii="仿宋" w:hAnsi="仿宋" w:eastAsia="仿宋" w:cs="仿宋"/>
          <w:szCs w:val="24"/>
          <w:lang w:val="zh-CN"/>
        </w:rPr>
        <w:t>四、开标</w:t>
      </w:r>
      <w:r>
        <w:tab/>
      </w:r>
      <w:r>
        <w:fldChar w:fldCharType="begin"/>
      </w:r>
      <w:r>
        <w:instrText xml:space="preserve"> PAGEREF _Toc16081 \h </w:instrText>
      </w:r>
      <w:r>
        <w:fldChar w:fldCharType="separate"/>
      </w:r>
      <w:r>
        <w:t>16</w:t>
      </w:r>
      <w:r>
        <w:fldChar w:fldCharType="end"/>
      </w:r>
      <w:r>
        <w:fldChar w:fldCharType="end"/>
      </w:r>
    </w:p>
    <w:p>
      <w:pPr>
        <w:pStyle w:val="18"/>
        <w:tabs>
          <w:tab w:val="right" w:leader="dot" w:pos="9072"/>
          <w:tab w:val="clear" w:pos="9060"/>
        </w:tabs>
      </w:pPr>
      <w:r>
        <w:fldChar w:fldCharType="begin"/>
      </w:r>
      <w:r>
        <w:instrText xml:space="preserve"> HYPERLINK \l "_Toc20825" </w:instrText>
      </w:r>
      <w:r>
        <w:fldChar w:fldCharType="separate"/>
      </w:r>
      <w:r>
        <w:rPr>
          <w:rFonts w:hint="eastAsia" w:ascii="仿宋" w:hAnsi="仿宋" w:eastAsia="仿宋" w:cs="仿宋"/>
          <w:szCs w:val="24"/>
          <w:lang w:val="zh-CN"/>
        </w:rPr>
        <w:t>五、评标</w:t>
      </w:r>
      <w:r>
        <w:tab/>
      </w:r>
      <w:r>
        <w:fldChar w:fldCharType="begin"/>
      </w:r>
      <w:r>
        <w:instrText xml:space="preserve"> PAGEREF _Toc20825 \h </w:instrText>
      </w:r>
      <w:r>
        <w:fldChar w:fldCharType="separate"/>
      </w:r>
      <w:r>
        <w:t>17</w:t>
      </w:r>
      <w:r>
        <w:fldChar w:fldCharType="end"/>
      </w:r>
      <w:r>
        <w:fldChar w:fldCharType="end"/>
      </w:r>
    </w:p>
    <w:p>
      <w:pPr>
        <w:pStyle w:val="18"/>
        <w:tabs>
          <w:tab w:val="right" w:leader="dot" w:pos="9072"/>
          <w:tab w:val="clear" w:pos="9060"/>
        </w:tabs>
      </w:pPr>
      <w:r>
        <w:fldChar w:fldCharType="begin"/>
      </w:r>
      <w:r>
        <w:instrText xml:space="preserve"> HYPERLINK \l "_Toc12587" </w:instrText>
      </w:r>
      <w:r>
        <w:fldChar w:fldCharType="separate"/>
      </w:r>
      <w:r>
        <w:rPr>
          <w:rFonts w:hint="eastAsia" w:ascii="仿宋" w:hAnsi="仿宋" w:eastAsia="仿宋" w:cs="仿宋"/>
          <w:szCs w:val="24"/>
          <w:lang w:val="zh-CN"/>
        </w:rPr>
        <w:t>六、评标程序及评标办法</w:t>
      </w:r>
      <w:r>
        <w:tab/>
      </w:r>
      <w:r>
        <w:fldChar w:fldCharType="begin"/>
      </w:r>
      <w:r>
        <w:instrText xml:space="preserve"> PAGEREF _Toc12587 \h </w:instrText>
      </w:r>
      <w:r>
        <w:fldChar w:fldCharType="separate"/>
      </w:r>
      <w:r>
        <w:t>17</w:t>
      </w:r>
      <w:r>
        <w:fldChar w:fldCharType="end"/>
      </w:r>
      <w:r>
        <w:fldChar w:fldCharType="end"/>
      </w:r>
    </w:p>
    <w:p>
      <w:pPr>
        <w:pStyle w:val="11"/>
        <w:tabs>
          <w:tab w:val="right" w:leader="dot" w:pos="9072"/>
        </w:tabs>
      </w:pPr>
      <w:r>
        <w:fldChar w:fldCharType="begin"/>
      </w:r>
      <w:r>
        <w:instrText xml:space="preserve"> HYPERLINK \l "_Toc14182" </w:instrText>
      </w:r>
      <w:r>
        <w:fldChar w:fldCharType="separate"/>
      </w:r>
      <w:r>
        <w:rPr>
          <w:rFonts w:hint="eastAsia" w:ascii="仿宋" w:hAnsi="仿宋" w:eastAsia="仿宋" w:cs="仿宋"/>
          <w:szCs w:val="24"/>
        </w:rPr>
        <w:t>（一）投标文件初审</w:t>
      </w:r>
      <w:r>
        <w:tab/>
      </w:r>
      <w:r>
        <w:fldChar w:fldCharType="begin"/>
      </w:r>
      <w:r>
        <w:instrText xml:space="preserve"> PAGEREF _Toc14182 \h </w:instrText>
      </w:r>
      <w:r>
        <w:fldChar w:fldCharType="separate"/>
      </w:r>
      <w:r>
        <w:t>17</w:t>
      </w:r>
      <w:r>
        <w:fldChar w:fldCharType="end"/>
      </w:r>
      <w:r>
        <w:fldChar w:fldCharType="end"/>
      </w:r>
    </w:p>
    <w:p>
      <w:pPr>
        <w:pStyle w:val="11"/>
        <w:tabs>
          <w:tab w:val="right" w:leader="dot" w:pos="9072"/>
        </w:tabs>
      </w:pPr>
      <w:r>
        <w:fldChar w:fldCharType="begin"/>
      </w:r>
      <w:r>
        <w:instrText xml:space="preserve"> HYPERLINK \l "_Toc12242" </w:instrText>
      </w:r>
      <w:r>
        <w:fldChar w:fldCharType="separate"/>
      </w:r>
      <w:r>
        <w:rPr>
          <w:rFonts w:hint="eastAsia" w:ascii="仿宋" w:hAnsi="仿宋" w:eastAsia="仿宋" w:cs="仿宋"/>
          <w:szCs w:val="24"/>
          <w:lang w:val="zh-CN"/>
        </w:rPr>
        <w:t>（二）投标文件的澄清、说明或者补正</w:t>
      </w:r>
      <w:r>
        <w:tab/>
      </w:r>
      <w:r>
        <w:fldChar w:fldCharType="begin"/>
      </w:r>
      <w:r>
        <w:instrText xml:space="preserve"> PAGEREF _Toc12242 \h </w:instrText>
      </w:r>
      <w:r>
        <w:fldChar w:fldCharType="separate"/>
      </w:r>
      <w:r>
        <w:t>20</w:t>
      </w:r>
      <w:r>
        <w:fldChar w:fldCharType="end"/>
      </w:r>
      <w:r>
        <w:fldChar w:fldCharType="end"/>
      </w:r>
    </w:p>
    <w:p>
      <w:pPr>
        <w:pStyle w:val="11"/>
        <w:tabs>
          <w:tab w:val="right" w:leader="dot" w:pos="9072"/>
        </w:tabs>
      </w:pPr>
      <w:r>
        <w:fldChar w:fldCharType="begin"/>
      </w:r>
      <w:r>
        <w:instrText xml:space="preserve"> HYPERLINK \l "_Toc28840" </w:instrText>
      </w:r>
      <w:r>
        <w:fldChar w:fldCharType="separate"/>
      </w:r>
      <w:r>
        <w:rPr>
          <w:rFonts w:hint="eastAsia" w:ascii="仿宋" w:hAnsi="仿宋" w:eastAsia="仿宋" w:cs="仿宋"/>
          <w:szCs w:val="24"/>
          <w:lang w:val="zh-CN"/>
        </w:rPr>
        <w:t>（三）比较与评价</w:t>
      </w:r>
      <w:r>
        <w:tab/>
      </w:r>
      <w:r>
        <w:fldChar w:fldCharType="begin"/>
      </w:r>
      <w:r>
        <w:instrText xml:space="preserve"> PAGEREF _Toc28840 \h </w:instrText>
      </w:r>
      <w:r>
        <w:fldChar w:fldCharType="separate"/>
      </w:r>
      <w:r>
        <w:t>20</w:t>
      </w:r>
      <w:r>
        <w:fldChar w:fldCharType="end"/>
      </w:r>
      <w:r>
        <w:fldChar w:fldCharType="end"/>
      </w:r>
    </w:p>
    <w:p>
      <w:pPr>
        <w:pStyle w:val="11"/>
        <w:tabs>
          <w:tab w:val="right" w:leader="dot" w:pos="9072"/>
        </w:tabs>
      </w:pPr>
      <w:r>
        <w:fldChar w:fldCharType="begin"/>
      </w:r>
      <w:r>
        <w:instrText xml:space="preserve"> HYPERLINK \l "_Toc3459" </w:instrText>
      </w:r>
      <w:r>
        <w:fldChar w:fldCharType="separate"/>
      </w:r>
      <w:r>
        <w:rPr>
          <w:rFonts w:hint="eastAsia" w:ascii="仿宋" w:hAnsi="仿宋" w:eastAsia="仿宋" w:cs="仿宋"/>
          <w:szCs w:val="24"/>
          <w:lang w:val="zh-CN"/>
        </w:rPr>
        <w:t>（四）推荐中标候选人名单</w:t>
      </w:r>
      <w:r>
        <w:tab/>
      </w:r>
      <w:r>
        <w:fldChar w:fldCharType="begin"/>
      </w:r>
      <w:r>
        <w:instrText xml:space="preserve"> PAGEREF _Toc3459 \h </w:instrText>
      </w:r>
      <w:r>
        <w:fldChar w:fldCharType="separate"/>
      </w:r>
      <w:r>
        <w:t>23</w:t>
      </w:r>
      <w:r>
        <w:fldChar w:fldCharType="end"/>
      </w:r>
      <w:r>
        <w:fldChar w:fldCharType="end"/>
      </w:r>
    </w:p>
    <w:p>
      <w:pPr>
        <w:pStyle w:val="18"/>
        <w:tabs>
          <w:tab w:val="right" w:leader="dot" w:pos="9072"/>
          <w:tab w:val="clear" w:pos="9060"/>
        </w:tabs>
      </w:pPr>
      <w:r>
        <w:fldChar w:fldCharType="begin"/>
      </w:r>
      <w:r>
        <w:instrText xml:space="preserve"> HYPERLINK \l "_Toc16330" </w:instrText>
      </w:r>
      <w:r>
        <w:fldChar w:fldCharType="separate"/>
      </w:r>
      <w:r>
        <w:rPr>
          <w:rFonts w:hint="eastAsia" w:ascii="仿宋" w:hAnsi="仿宋" w:eastAsia="仿宋" w:cs="仿宋"/>
          <w:szCs w:val="24"/>
          <w:lang w:val="zh-CN"/>
        </w:rPr>
        <w:t>七、确定中标投标人</w:t>
      </w:r>
      <w:r>
        <w:tab/>
      </w:r>
      <w:r>
        <w:fldChar w:fldCharType="begin"/>
      </w:r>
      <w:r>
        <w:instrText xml:space="preserve"> PAGEREF _Toc16330 \h </w:instrText>
      </w:r>
      <w:r>
        <w:fldChar w:fldCharType="separate"/>
      </w:r>
      <w:r>
        <w:t>23</w:t>
      </w:r>
      <w:r>
        <w:fldChar w:fldCharType="end"/>
      </w:r>
      <w:r>
        <w:fldChar w:fldCharType="end"/>
      </w:r>
    </w:p>
    <w:p>
      <w:pPr>
        <w:pStyle w:val="18"/>
        <w:tabs>
          <w:tab w:val="right" w:leader="dot" w:pos="9072"/>
          <w:tab w:val="clear" w:pos="9060"/>
        </w:tabs>
      </w:pPr>
      <w:r>
        <w:fldChar w:fldCharType="begin"/>
      </w:r>
      <w:r>
        <w:instrText xml:space="preserve"> HYPERLINK \l "_Toc22939" </w:instrText>
      </w:r>
      <w:r>
        <w:fldChar w:fldCharType="separate"/>
      </w:r>
      <w:r>
        <w:rPr>
          <w:rFonts w:hint="eastAsia" w:ascii="仿宋" w:hAnsi="仿宋" w:eastAsia="仿宋" w:cs="仿宋"/>
          <w:szCs w:val="24"/>
          <w:lang w:val="zh-CN"/>
        </w:rPr>
        <w:t>八、合同</w:t>
      </w:r>
      <w:r>
        <w:tab/>
      </w:r>
      <w:r>
        <w:fldChar w:fldCharType="begin"/>
      </w:r>
      <w:r>
        <w:instrText xml:space="preserve"> PAGEREF _Toc22939 \h </w:instrText>
      </w:r>
      <w:r>
        <w:fldChar w:fldCharType="separate"/>
      </w:r>
      <w:r>
        <w:t>24</w:t>
      </w:r>
      <w:r>
        <w:fldChar w:fldCharType="end"/>
      </w:r>
      <w:r>
        <w:fldChar w:fldCharType="end"/>
      </w:r>
    </w:p>
    <w:p>
      <w:pPr>
        <w:pStyle w:val="18"/>
        <w:tabs>
          <w:tab w:val="right" w:leader="dot" w:pos="9072"/>
          <w:tab w:val="clear" w:pos="9060"/>
        </w:tabs>
      </w:pPr>
      <w:r>
        <w:fldChar w:fldCharType="begin"/>
      </w:r>
      <w:r>
        <w:instrText xml:space="preserve"> HYPERLINK \l "_Toc22699" </w:instrText>
      </w:r>
      <w:r>
        <w:fldChar w:fldCharType="separate"/>
      </w:r>
      <w:r>
        <w:rPr>
          <w:rFonts w:hint="eastAsia" w:ascii="仿宋" w:hAnsi="仿宋" w:eastAsia="仿宋" w:cs="仿宋"/>
          <w:szCs w:val="24"/>
          <w:lang w:val="zh-CN"/>
        </w:rPr>
        <w:t>九、中标服务费</w:t>
      </w:r>
      <w:r>
        <w:tab/>
      </w:r>
      <w:r>
        <w:fldChar w:fldCharType="begin"/>
      </w:r>
      <w:r>
        <w:instrText xml:space="preserve"> PAGEREF _Toc22699 \h </w:instrText>
      </w:r>
      <w:r>
        <w:fldChar w:fldCharType="separate"/>
      </w:r>
      <w:r>
        <w:t>24</w:t>
      </w:r>
      <w:r>
        <w:fldChar w:fldCharType="end"/>
      </w:r>
      <w:r>
        <w:fldChar w:fldCharType="end"/>
      </w:r>
    </w:p>
    <w:p>
      <w:pPr>
        <w:pStyle w:val="18"/>
        <w:tabs>
          <w:tab w:val="right" w:leader="dot" w:pos="9072"/>
          <w:tab w:val="clear" w:pos="9060"/>
        </w:tabs>
      </w:pPr>
      <w:r>
        <w:fldChar w:fldCharType="begin"/>
      </w:r>
      <w:r>
        <w:instrText xml:space="preserve"> HYPERLINK \l "_Toc6822" </w:instrText>
      </w:r>
      <w:r>
        <w:fldChar w:fldCharType="separate"/>
      </w:r>
      <w:r>
        <w:rPr>
          <w:rFonts w:hint="eastAsia" w:ascii="仿宋" w:hAnsi="仿宋" w:eastAsia="仿宋" w:cs="仿宋"/>
          <w:szCs w:val="24"/>
          <w:lang w:val="zh-CN"/>
        </w:rPr>
        <w:t>十、废标或者采购方式的变更</w:t>
      </w:r>
      <w:r>
        <w:tab/>
      </w:r>
      <w:r>
        <w:fldChar w:fldCharType="begin"/>
      </w:r>
      <w:r>
        <w:instrText xml:space="preserve"> PAGEREF _Toc6822 \h </w:instrText>
      </w:r>
      <w:r>
        <w:fldChar w:fldCharType="separate"/>
      </w:r>
      <w:r>
        <w:t>25</w:t>
      </w:r>
      <w:r>
        <w:fldChar w:fldCharType="end"/>
      </w:r>
      <w:r>
        <w:fldChar w:fldCharType="end"/>
      </w:r>
    </w:p>
    <w:p>
      <w:pPr>
        <w:pStyle w:val="11"/>
        <w:tabs>
          <w:tab w:val="right" w:leader="dot" w:pos="9072"/>
        </w:tabs>
      </w:pPr>
      <w:r>
        <w:fldChar w:fldCharType="begin"/>
      </w:r>
      <w:r>
        <w:instrText xml:space="preserve"> HYPERLINK \l "_Toc26912" </w:instrText>
      </w:r>
      <w:r>
        <w:fldChar w:fldCharType="separate"/>
      </w:r>
      <w:r>
        <w:rPr>
          <w:rFonts w:hint="eastAsia" w:ascii="仿宋" w:hAnsi="仿宋" w:eastAsia="仿宋" w:cs="仿宋"/>
          <w:szCs w:val="24"/>
          <w:lang w:val="zh-CN"/>
        </w:rPr>
        <w:t>（一）废标</w:t>
      </w:r>
      <w:r>
        <w:tab/>
      </w:r>
      <w:r>
        <w:fldChar w:fldCharType="begin"/>
      </w:r>
      <w:r>
        <w:instrText xml:space="preserve"> PAGEREF _Toc26912 \h </w:instrText>
      </w:r>
      <w:r>
        <w:fldChar w:fldCharType="separate"/>
      </w:r>
      <w:r>
        <w:t>25</w:t>
      </w:r>
      <w:r>
        <w:fldChar w:fldCharType="end"/>
      </w:r>
      <w:r>
        <w:fldChar w:fldCharType="end"/>
      </w:r>
    </w:p>
    <w:p>
      <w:pPr>
        <w:pStyle w:val="11"/>
        <w:tabs>
          <w:tab w:val="right" w:leader="dot" w:pos="9072"/>
        </w:tabs>
      </w:pPr>
      <w:r>
        <w:fldChar w:fldCharType="begin"/>
      </w:r>
      <w:r>
        <w:instrText xml:space="preserve"> HYPERLINK \l "_Toc2717" </w:instrText>
      </w:r>
      <w:r>
        <w:fldChar w:fldCharType="separate"/>
      </w:r>
      <w:r>
        <w:rPr>
          <w:rFonts w:hint="eastAsia" w:ascii="仿宋" w:hAnsi="仿宋" w:eastAsia="仿宋" w:cs="仿宋"/>
          <w:szCs w:val="24"/>
          <w:lang w:val="zh-CN"/>
        </w:rPr>
        <w:t>（二）采购方式的变更</w:t>
      </w:r>
      <w:r>
        <w:tab/>
      </w:r>
      <w:r>
        <w:fldChar w:fldCharType="begin"/>
      </w:r>
      <w:r>
        <w:instrText xml:space="preserve"> PAGEREF _Toc2717 \h </w:instrText>
      </w:r>
      <w:r>
        <w:fldChar w:fldCharType="separate"/>
      </w:r>
      <w:r>
        <w:t>25</w:t>
      </w:r>
      <w:r>
        <w:fldChar w:fldCharType="end"/>
      </w:r>
      <w:r>
        <w:fldChar w:fldCharType="end"/>
      </w:r>
    </w:p>
    <w:p>
      <w:pPr>
        <w:pStyle w:val="18"/>
        <w:tabs>
          <w:tab w:val="right" w:leader="dot" w:pos="9072"/>
          <w:tab w:val="clear" w:pos="9060"/>
        </w:tabs>
      </w:pPr>
      <w:r>
        <w:fldChar w:fldCharType="begin"/>
      </w:r>
      <w:r>
        <w:instrText xml:space="preserve"> HYPERLINK \l "_Toc24794" </w:instrText>
      </w:r>
      <w:r>
        <w:fldChar w:fldCharType="separate"/>
      </w:r>
      <w:r>
        <w:rPr>
          <w:rFonts w:hint="eastAsia" w:ascii="仿宋" w:hAnsi="仿宋" w:eastAsia="仿宋" w:cs="仿宋"/>
          <w:szCs w:val="24"/>
          <w:lang w:val="zh-CN"/>
        </w:rPr>
        <w:t>十一、需要落实的政府采购政策</w:t>
      </w:r>
      <w:r>
        <w:tab/>
      </w:r>
      <w:r>
        <w:fldChar w:fldCharType="begin"/>
      </w:r>
      <w:r>
        <w:instrText xml:space="preserve"> PAGEREF _Toc24794 \h </w:instrText>
      </w:r>
      <w:r>
        <w:fldChar w:fldCharType="separate"/>
      </w:r>
      <w:r>
        <w:t>25</w:t>
      </w:r>
      <w:r>
        <w:fldChar w:fldCharType="end"/>
      </w:r>
      <w:r>
        <w:fldChar w:fldCharType="end"/>
      </w:r>
    </w:p>
    <w:p>
      <w:pPr>
        <w:pStyle w:val="18"/>
        <w:tabs>
          <w:tab w:val="right" w:leader="dot" w:pos="9072"/>
          <w:tab w:val="clear" w:pos="9060"/>
        </w:tabs>
      </w:pPr>
      <w:r>
        <w:fldChar w:fldCharType="begin"/>
      </w:r>
      <w:r>
        <w:instrText xml:space="preserve"> HYPERLINK \l "_Toc18874" </w:instrText>
      </w:r>
      <w:r>
        <w:fldChar w:fldCharType="separate"/>
      </w:r>
      <w:r>
        <w:rPr>
          <w:rFonts w:hint="eastAsia" w:ascii="仿宋" w:hAnsi="仿宋" w:eastAsia="仿宋" w:cs="仿宋"/>
          <w:szCs w:val="24"/>
          <w:lang w:val="zh-CN"/>
        </w:rPr>
        <w:t>十二、质疑与投诉</w:t>
      </w:r>
      <w:r>
        <w:tab/>
      </w:r>
      <w:r>
        <w:fldChar w:fldCharType="begin"/>
      </w:r>
      <w:r>
        <w:instrText xml:space="preserve"> PAGEREF _Toc18874 \h </w:instrText>
      </w:r>
      <w:r>
        <w:fldChar w:fldCharType="separate"/>
      </w:r>
      <w:r>
        <w:t>28</w:t>
      </w:r>
      <w:r>
        <w:fldChar w:fldCharType="end"/>
      </w:r>
      <w:r>
        <w:fldChar w:fldCharType="end"/>
      </w:r>
    </w:p>
    <w:p>
      <w:pPr>
        <w:pStyle w:val="11"/>
        <w:tabs>
          <w:tab w:val="right" w:leader="dot" w:pos="9072"/>
        </w:tabs>
      </w:pPr>
      <w:r>
        <w:fldChar w:fldCharType="begin"/>
      </w:r>
      <w:r>
        <w:instrText xml:space="preserve"> HYPERLINK \l "_Toc14661" </w:instrText>
      </w:r>
      <w:r>
        <w:fldChar w:fldCharType="separate"/>
      </w:r>
      <w:r>
        <w:rPr>
          <w:rFonts w:hint="eastAsia" w:ascii="仿宋" w:hAnsi="仿宋" w:eastAsia="仿宋" w:cs="仿宋"/>
          <w:bCs/>
          <w:szCs w:val="24"/>
          <w:lang w:val="zh-CN"/>
        </w:rPr>
        <w:t>（一）质疑</w:t>
      </w:r>
      <w:r>
        <w:tab/>
      </w:r>
      <w:r>
        <w:fldChar w:fldCharType="begin"/>
      </w:r>
      <w:r>
        <w:instrText xml:space="preserve"> PAGEREF _Toc14661 \h </w:instrText>
      </w:r>
      <w:r>
        <w:fldChar w:fldCharType="separate"/>
      </w:r>
      <w:r>
        <w:t>28</w:t>
      </w:r>
      <w:r>
        <w:fldChar w:fldCharType="end"/>
      </w:r>
      <w:r>
        <w:fldChar w:fldCharType="end"/>
      </w:r>
    </w:p>
    <w:p>
      <w:pPr>
        <w:pStyle w:val="11"/>
        <w:tabs>
          <w:tab w:val="right" w:leader="dot" w:pos="9072"/>
        </w:tabs>
      </w:pPr>
      <w:r>
        <w:fldChar w:fldCharType="begin"/>
      </w:r>
      <w:r>
        <w:instrText xml:space="preserve"> HYPERLINK \l "_Toc25935" </w:instrText>
      </w:r>
      <w:r>
        <w:fldChar w:fldCharType="separate"/>
      </w:r>
      <w:r>
        <w:rPr>
          <w:rFonts w:hint="eastAsia" w:ascii="仿宋" w:hAnsi="仿宋" w:eastAsia="仿宋" w:cs="仿宋"/>
          <w:bCs/>
          <w:szCs w:val="24"/>
          <w:lang w:val="zh-CN"/>
        </w:rPr>
        <w:t>（二）投诉</w:t>
      </w:r>
      <w:r>
        <w:tab/>
      </w:r>
      <w:r>
        <w:fldChar w:fldCharType="begin"/>
      </w:r>
      <w:r>
        <w:instrText xml:space="preserve"> PAGEREF _Toc25935 \h </w:instrText>
      </w:r>
      <w:r>
        <w:fldChar w:fldCharType="separate"/>
      </w:r>
      <w:r>
        <w:t>29</w:t>
      </w:r>
      <w:r>
        <w:fldChar w:fldCharType="end"/>
      </w:r>
      <w:r>
        <w:fldChar w:fldCharType="end"/>
      </w:r>
    </w:p>
    <w:p>
      <w:pPr>
        <w:pStyle w:val="16"/>
        <w:tabs>
          <w:tab w:val="right" w:leader="dot" w:pos="9072"/>
          <w:tab w:val="clear" w:pos="9060"/>
        </w:tabs>
      </w:pPr>
      <w:r>
        <w:fldChar w:fldCharType="begin"/>
      </w:r>
      <w:r>
        <w:instrText xml:space="preserve"> HYPERLINK \l "_Toc17824" </w:instrText>
      </w:r>
      <w:r>
        <w:fldChar w:fldCharType="separate"/>
      </w:r>
      <w:r>
        <w:rPr>
          <w:rFonts w:hint="eastAsia" w:ascii="仿宋" w:hAnsi="仿宋" w:eastAsia="仿宋" w:cs="仿宋"/>
          <w:szCs w:val="32"/>
        </w:rPr>
        <w:t xml:space="preserve">第三部分  </w:t>
      </w:r>
      <w:r>
        <w:rPr>
          <w:rFonts w:hint="eastAsia" w:ascii="仿宋" w:hAnsi="仿宋" w:eastAsia="仿宋" w:cs="仿宋"/>
          <w:szCs w:val="32"/>
          <w:lang w:val="zh-CN"/>
        </w:rPr>
        <w:t>招标内容及要求</w:t>
      </w:r>
      <w:r>
        <w:tab/>
      </w:r>
      <w:r>
        <w:fldChar w:fldCharType="begin"/>
      </w:r>
      <w:r>
        <w:instrText xml:space="preserve"> PAGEREF _Toc17824 \h </w:instrText>
      </w:r>
      <w:r>
        <w:fldChar w:fldCharType="separate"/>
      </w:r>
      <w:r>
        <w:t>30</w:t>
      </w:r>
      <w:r>
        <w:fldChar w:fldCharType="end"/>
      </w:r>
      <w:r>
        <w:fldChar w:fldCharType="end"/>
      </w:r>
    </w:p>
    <w:p>
      <w:pPr>
        <w:pStyle w:val="16"/>
        <w:tabs>
          <w:tab w:val="right" w:leader="dot" w:pos="9072"/>
          <w:tab w:val="clear" w:pos="9060"/>
        </w:tabs>
      </w:pPr>
      <w:r>
        <w:fldChar w:fldCharType="begin"/>
      </w:r>
      <w:r>
        <w:instrText xml:space="preserve"> HYPERLINK \l "_Toc14859" </w:instrText>
      </w:r>
      <w:r>
        <w:fldChar w:fldCharType="separate"/>
      </w:r>
      <w:r>
        <w:rPr>
          <w:rFonts w:hint="eastAsia" w:ascii="仿宋" w:hAnsi="仿宋" w:eastAsia="仿宋" w:cs="仿宋"/>
          <w:szCs w:val="32"/>
          <w:lang w:val="zh-CN"/>
        </w:rPr>
        <w:t>第四部分 合同条款及格式</w:t>
      </w:r>
      <w:r>
        <w:tab/>
      </w:r>
      <w:r>
        <w:fldChar w:fldCharType="begin"/>
      </w:r>
      <w:r>
        <w:instrText xml:space="preserve"> PAGEREF _Toc14859 \h </w:instrText>
      </w:r>
      <w:r>
        <w:fldChar w:fldCharType="separate"/>
      </w:r>
      <w:r>
        <w:t>60</w:t>
      </w:r>
      <w:r>
        <w:fldChar w:fldCharType="end"/>
      </w:r>
      <w:r>
        <w:fldChar w:fldCharType="end"/>
      </w:r>
    </w:p>
    <w:p>
      <w:pPr>
        <w:pStyle w:val="16"/>
        <w:tabs>
          <w:tab w:val="right" w:leader="dot" w:pos="9072"/>
          <w:tab w:val="clear" w:pos="9060"/>
        </w:tabs>
      </w:pPr>
      <w:r>
        <w:fldChar w:fldCharType="begin"/>
      </w:r>
      <w:r>
        <w:instrText xml:space="preserve"> HYPERLINK \l "_Toc5283" </w:instrText>
      </w:r>
      <w:r>
        <w:fldChar w:fldCharType="separate"/>
      </w:r>
      <w:r>
        <w:rPr>
          <w:rFonts w:hint="eastAsia" w:ascii="仿宋" w:hAnsi="仿宋" w:eastAsia="仿宋" w:cs="仿宋"/>
          <w:bCs/>
          <w:szCs w:val="32"/>
          <w:lang w:val="zh-CN"/>
        </w:rPr>
        <w:t>第五部分</w:t>
      </w:r>
      <w:r>
        <w:rPr>
          <w:rFonts w:hint="eastAsia" w:ascii="仿宋" w:hAnsi="仿宋" w:eastAsia="仿宋" w:cs="仿宋"/>
          <w:bCs/>
          <w:szCs w:val="32"/>
        </w:rPr>
        <w:t xml:space="preserve">  投标文件格式</w:t>
      </w:r>
      <w:r>
        <w:tab/>
      </w:r>
      <w:r>
        <w:fldChar w:fldCharType="begin"/>
      </w:r>
      <w:r>
        <w:instrText xml:space="preserve"> PAGEREF _Toc5283 \h </w:instrText>
      </w:r>
      <w:r>
        <w:fldChar w:fldCharType="separate"/>
      </w:r>
      <w:r>
        <w:t>68</w:t>
      </w:r>
      <w:r>
        <w:fldChar w:fldCharType="end"/>
      </w:r>
      <w:r>
        <w:fldChar w:fldCharType="end"/>
      </w:r>
    </w:p>
    <w:p>
      <w:pPr>
        <w:pStyle w:val="18"/>
        <w:tabs>
          <w:tab w:val="right" w:leader="dot" w:pos="9072"/>
          <w:tab w:val="clear" w:pos="9060"/>
        </w:tabs>
      </w:pPr>
      <w:r>
        <w:fldChar w:fldCharType="begin"/>
      </w:r>
      <w:r>
        <w:instrText xml:space="preserve"> HYPERLINK \l "_Toc13697" </w:instrText>
      </w:r>
      <w:r>
        <w:fldChar w:fldCharType="separate"/>
      </w:r>
      <w:r>
        <w:rPr>
          <w:rFonts w:hint="eastAsia" w:ascii="仿宋" w:hAnsi="仿宋" w:eastAsia="仿宋" w:cs="仿宋"/>
          <w:bCs/>
          <w:szCs w:val="15"/>
          <w:lang w:val="zh-CN"/>
        </w:rPr>
        <w:t>一、投标函</w:t>
      </w:r>
      <w:r>
        <w:tab/>
      </w:r>
      <w:r>
        <w:fldChar w:fldCharType="begin"/>
      </w:r>
      <w:r>
        <w:instrText xml:space="preserve"> PAGEREF _Toc13697 \h </w:instrText>
      </w:r>
      <w:r>
        <w:fldChar w:fldCharType="separate"/>
      </w:r>
      <w:r>
        <w:t>70</w:t>
      </w:r>
      <w:r>
        <w:fldChar w:fldCharType="end"/>
      </w:r>
      <w:r>
        <w:fldChar w:fldCharType="end"/>
      </w:r>
    </w:p>
    <w:p>
      <w:pPr>
        <w:pStyle w:val="18"/>
        <w:tabs>
          <w:tab w:val="right" w:leader="dot" w:pos="9072"/>
          <w:tab w:val="clear" w:pos="9060"/>
        </w:tabs>
      </w:pPr>
      <w:r>
        <w:fldChar w:fldCharType="begin"/>
      </w:r>
      <w:r>
        <w:instrText xml:space="preserve"> HYPERLINK \l "_Toc30818" </w:instrText>
      </w:r>
      <w:r>
        <w:fldChar w:fldCharType="separate"/>
      </w:r>
      <w:r>
        <w:rPr>
          <w:rFonts w:hint="eastAsia" w:ascii="仿宋" w:hAnsi="仿宋" w:eastAsia="仿宋" w:cs="仿宋"/>
          <w:szCs w:val="15"/>
          <w:lang w:val="zh-CN"/>
        </w:rPr>
        <w:t>二、开标一览表（唱标报告）</w:t>
      </w:r>
      <w:r>
        <w:tab/>
      </w:r>
      <w:r>
        <w:fldChar w:fldCharType="begin"/>
      </w:r>
      <w:r>
        <w:instrText xml:space="preserve"> PAGEREF _Toc30818 \h </w:instrText>
      </w:r>
      <w:r>
        <w:fldChar w:fldCharType="separate"/>
      </w:r>
      <w:r>
        <w:t>72</w:t>
      </w:r>
      <w:r>
        <w:fldChar w:fldCharType="end"/>
      </w:r>
      <w:r>
        <w:fldChar w:fldCharType="end"/>
      </w:r>
    </w:p>
    <w:p>
      <w:pPr>
        <w:pStyle w:val="18"/>
        <w:tabs>
          <w:tab w:val="right" w:leader="dot" w:pos="9072"/>
          <w:tab w:val="clear" w:pos="9060"/>
        </w:tabs>
      </w:pPr>
      <w:r>
        <w:fldChar w:fldCharType="begin"/>
      </w:r>
      <w:r>
        <w:instrText xml:space="preserve"> HYPERLINK \l "_Toc22783" </w:instrText>
      </w:r>
      <w:r>
        <w:fldChar w:fldCharType="separate"/>
      </w:r>
      <w:r>
        <w:rPr>
          <w:rFonts w:hint="eastAsia" w:ascii="仿宋" w:hAnsi="仿宋" w:eastAsia="仿宋" w:cs="仿宋"/>
          <w:szCs w:val="32"/>
        </w:rPr>
        <w:t>三、分项报价表</w:t>
      </w:r>
      <w:r>
        <w:tab/>
      </w:r>
      <w:r>
        <w:fldChar w:fldCharType="begin"/>
      </w:r>
      <w:r>
        <w:instrText xml:space="preserve"> PAGEREF _Toc22783 \h </w:instrText>
      </w:r>
      <w:r>
        <w:fldChar w:fldCharType="separate"/>
      </w:r>
      <w:r>
        <w:t>73</w:t>
      </w:r>
      <w:r>
        <w:fldChar w:fldCharType="end"/>
      </w:r>
      <w:r>
        <w:fldChar w:fldCharType="end"/>
      </w:r>
    </w:p>
    <w:p>
      <w:pPr>
        <w:pStyle w:val="18"/>
        <w:tabs>
          <w:tab w:val="right" w:leader="dot" w:pos="9072"/>
          <w:tab w:val="clear" w:pos="9060"/>
        </w:tabs>
      </w:pPr>
      <w:r>
        <w:fldChar w:fldCharType="begin"/>
      </w:r>
      <w:r>
        <w:instrText xml:space="preserve"> HYPERLINK \l "_Toc11864" </w:instrText>
      </w:r>
      <w:r>
        <w:fldChar w:fldCharType="separate"/>
      </w:r>
      <w:r>
        <w:rPr>
          <w:rFonts w:hint="eastAsia" w:ascii="仿宋" w:hAnsi="仿宋" w:eastAsia="仿宋" w:cs="仿宋"/>
          <w:szCs w:val="32"/>
          <w:lang w:val="zh-CN"/>
        </w:rPr>
        <w:t>四、投标人资格证明文件</w:t>
      </w:r>
      <w:r>
        <w:tab/>
      </w:r>
      <w:r>
        <w:fldChar w:fldCharType="begin"/>
      </w:r>
      <w:r>
        <w:instrText xml:space="preserve"> PAGEREF _Toc11864 \h </w:instrText>
      </w:r>
      <w:r>
        <w:fldChar w:fldCharType="separate"/>
      </w:r>
      <w:r>
        <w:t>74</w:t>
      </w:r>
      <w:r>
        <w:fldChar w:fldCharType="end"/>
      </w:r>
      <w:r>
        <w:fldChar w:fldCharType="end"/>
      </w:r>
    </w:p>
    <w:p>
      <w:pPr>
        <w:pStyle w:val="18"/>
        <w:tabs>
          <w:tab w:val="right" w:leader="dot" w:pos="9072"/>
          <w:tab w:val="clear" w:pos="9060"/>
        </w:tabs>
      </w:pPr>
      <w:r>
        <w:fldChar w:fldCharType="begin"/>
      </w:r>
      <w:r>
        <w:instrText xml:space="preserve"> HYPERLINK \l "_Toc12270" </w:instrText>
      </w:r>
      <w:r>
        <w:fldChar w:fldCharType="separate"/>
      </w:r>
      <w:r>
        <w:rPr>
          <w:rFonts w:hint="eastAsia" w:ascii="仿宋" w:hAnsi="仿宋" w:eastAsia="仿宋" w:cs="仿宋"/>
          <w:szCs w:val="32"/>
          <w:lang w:val="zh-CN"/>
        </w:rPr>
        <w:t>五、合同主要条款偏离表</w:t>
      </w:r>
      <w:r>
        <w:tab/>
      </w:r>
      <w:r>
        <w:fldChar w:fldCharType="begin"/>
      </w:r>
      <w:r>
        <w:instrText xml:space="preserve"> PAGEREF _Toc12270 \h </w:instrText>
      </w:r>
      <w:r>
        <w:fldChar w:fldCharType="separate"/>
      </w:r>
      <w:r>
        <w:t>88</w:t>
      </w:r>
      <w:r>
        <w:fldChar w:fldCharType="end"/>
      </w:r>
      <w:r>
        <w:fldChar w:fldCharType="end"/>
      </w:r>
    </w:p>
    <w:p>
      <w:pPr>
        <w:pStyle w:val="18"/>
        <w:tabs>
          <w:tab w:val="right" w:leader="dot" w:pos="9072"/>
          <w:tab w:val="clear" w:pos="9060"/>
        </w:tabs>
      </w:pPr>
      <w:r>
        <w:fldChar w:fldCharType="begin"/>
      </w:r>
      <w:r>
        <w:instrText xml:space="preserve"> HYPERLINK \l "_Toc12478" </w:instrText>
      </w:r>
      <w:r>
        <w:fldChar w:fldCharType="separate"/>
      </w:r>
      <w:r>
        <w:rPr>
          <w:rFonts w:hint="eastAsia" w:ascii="仿宋" w:hAnsi="仿宋" w:eastAsia="仿宋" w:cs="仿宋"/>
          <w:szCs w:val="21"/>
          <w:lang w:val="zh-CN"/>
        </w:rPr>
        <w:t>六、技术规格偏离表</w:t>
      </w:r>
      <w:r>
        <w:tab/>
      </w:r>
      <w:r>
        <w:fldChar w:fldCharType="begin"/>
      </w:r>
      <w:r>
        <w:instrText xml:space="preserve"> PAGEREF _Toc12478 \h </w:instrText>
      </w:r>
      <w:r>
        <w:fldChar w:fldCharType="separate"/>
      </w:r>
      <w:r>
        <w:t>89</w:t>
      </w:r>
      <w:r>
        <w:fldChar w:fldCharType="end"/>
      </w:r>
      <w:r>
        <w:fldChar w:fldCharType="end"/>
      </w:r>
    </w:p>
    <w:p>
      <w:pPr>
        <w:pStyle w:val="18"/>
        <w:tabs>
          <w:tab w:val="right" w:leader="dot" w:pos="9072"/>
          <w:tab w:val="clear" w:pos="9060"/>
        </w:tabs>
      </w:pPr>
      <w:r>
        <w:fldChar w:fldCharType="begin"/>
      </w:r>
      <w:r>
        <w:instrText xml:space="preserve"> HYPERLINK \l "_Toc15948" </w:instrText>
      </w:r>
      <w:r>
        <w:fldChar w:fldCharType="separate"/>
      </w:r>
      <w:r>
        <w:rPr>
          <w:rFonts w:hint="eastAsia" w:ascii="仿宋" w:hAnsi="仿宋" w:eastAsia="仿宋" w:cs="仿宋"/>
          <w:szCs w:val="21"/>
        </w:rPr>
        <w:t>七、</w:t>
      </w:r>
      <w:r>
        <w:rPr>
          <w:rFonts w:hint="eastAsia" w:ascii="仿宋" w:hAnsi="仿宋" w:eastAsia="仿宋" w:cs="仿宋"/>
          <w:szCs w:val="32"/>
        </w:rPr>
        <w:t>技术方案</w:t>
      </w:r>
      <w:r>
        <w:tab/>
      </w:r>
      <w:r>
        <w:fldChar w:fldCharType="begin"/>
      </w:r>
      <w:r>
        <w:instrText xml:space="preserve"> PAGEREF _Toc15948 \h </w:instrText>
      </w:r>
      <w:r>
        <w:fldChar w:fldCharType="separate"/>
      </w:r>
      <w:r>
        <w:t>90</w:t>
      </w:r>
      <w:r>
        <w:fldChar w:fldCharType="end"/>
      </w:r>
      <w:r>
        <w:fldChar w:fldCharType="end"/>
      </w:r>
    </w:p>
    <w:p>
      <w:pPr>
        <w:pStyle w:val="18"/>
        <w:tabs>
          <w:tab w:val="right" w:leader="dot" w:pos="9072"/>
          <w:tab w:val="clear" w:pos="9060"/>
        </w:tabs>
      </w:pPr>
      <w:r>
        <w:fldChar w:fldCharType="begin"/>
      </w:r>
      <w:r>
        <w:instrText xml:space="preserve"> HYPERLINK \l "_Toc17301" </w:instrText>
      </w:r>
      <w:r>
        <w:fldChar w:fldCharType="separate"/>
      </w:r>
      <w:r>
        <w:rPr>
          <w:rFonts w:hint="eastAsia" w:ascii="仿宋" w:hAnsi="仿宋" w:eastAsia="仿宋" w:cs="仿宋"/>
          <w:szCs w:val="32"/>
        </w:rPr>
        <w:t>八、售后服务及培训方案</w:t>
      </w:r>
      <w:r>
        <w:tab/>
      </w:r>
      <w:r>
        <w:fldChar w:fldCharType="begin"/>
      </w:r>
      <w:r>
        <w:instrText xml:space="preserve"> PAGEREF _Toc17301 \h </w:instrText>
      </w:r>
      <w:r>
        <w:fldChar w:fldCharType="separate"/>
      </w:r>
      <w:r>
        <w:t>91</w:t>
      </w:r>
      <w:r>
        <w:fldChar w:fldCharType="end"/>
      </w:r>
      <w:r>
        <w:fldChar w:fldCharType="end"/>
      </w:r>
    </w:p>
    <w:p>
      <w:pPr>
        <w:pStyle w:val="18"/>
        <w:tabs>
          <w:tab w:val="right" w:leader="dot" w:pos="9072"/>
          <w:tab w:val="clear" w:pos="9060"/>
        </w:tabs>
      </w:pPr>
      <w:r>
        <w:fldChar w:fldCharType="begin"/>
      </w:r>
      <w:r>
        <w:instrText xml:space="preserve"> HYPERLINK \l "_Toc20496" </w:instrText>
      </w:r>
      <w:r>
        <w:fldChar w:fldCharType="separate"/>
      </w:r>
      <w:r>
        <w:rPr>
          <w:rFonts w:hint="eastAsia" w:ascii="仿宋" w:hAnsi="仿宋" w:eastAsia="仿宋" w:cs="仿宋"/>
          <w:szCs w:val="32"/>
        </w:rPr>
        <w:t>九、近年业绩的有关证明材料</w:t>
      </w:r>
      <w:r>
        <w:tab/>
      </w:r>
      <w:r>
        <w:fldChar w:fldCharType="begin"/>
      </w:r>
      <w:r>
        <w:instrText xml:space="preserve"> PAGEREF _Toc20496 \h </w:instrText>
      </w:r>
      <w:r>
        <w:fldChar w:fldCharType="separate"/>
      </w:r>
      <w:r>
        <w:t>92</w:t>
      </w:r>
      <w:r>
        <w:fldChar w:fldCharType="end"/>
      </w:r>
      <w:r>
        <w:fldChar w:fldCharType="end"/>
      </w:r>
    </w:p>
    <w:p>
      <w:pPr>
        <w:pStyle w:val="18"/>
        <w:tabs>
          <w:tab w:val="right" w:leader="dot" w:pos="9072"/>
          <w:tab w:val="clear" w:pos="9060"/>
        </w:tabs>
      </w:pPr>
      <w:r>
        <w:fldChar w:fldCharType="begin"/>
      </w:r>
      <w:r>
        <w:instrText xml:space="preserve"> HYPERLINK \l "_Toc8976" </w:instrText>
      </w:r>
      <w:r>
        <w:fldChar w:fldCharType="separate"/>
      </w:r>
      <w:r>
        <w:rPr>
          <w:rFonts w:hint="eastAsia" w:ascii="仿宋" w:hAnsi="仿宋" w:eastAsia="仿宋" w:cs="仿宋"/>
        </w:rPr>
        <w:t>十</w:t>
      </w:r>
      <w:r>
        <w:rPr>
          <w:rFonts w:hint="eastAsia" w:ascii="仿宋" w:hAnsi="仿宋" w:eastAsia="仿宋" w:cs="仿宋"/>
          <w:szCs w:val="32"/>
        </w:rPr>
        <w:t>、投标人企业关系关联承诺书</w:t>
      </w:r>
      <w:r>
        <w:tab/>
      </w:r>
      <w:r>
        <w:fldChar w:fldCharType="begin"/>
      </w:r>
      <w:r>
        <w:instrText xml:space="preserve"> PAGEREF _Toc8976 \h </w:instrText>
      </w:r>
      <w:r>
        <w:fldChar w:fldCharType="separate"/>
      </w:r>
      <w:r>
        <w:t>93</w:t>
      </w:r>
      <w:r>
        <w:fldChar w:fldCharType="end"/>
      </w:r>
      <w:r>
        <w:fldChar w:fldCharType="end"/>
      </w:r>
    </w:p>
    <w:p>
      <w:pPr>
        <w:pStyle w:val="18"/>
        <w:tabs>
          <w:tab w:val="right" w:leader="dot" w:pos="9072"/>
          <w:tab w:val="clear" w:pos="9060"/>
        </w:tabs>
      </w:pPr>
      <w:r>
        <w:fldChar w:fldCharType="begin"/>
      </w:r>
      <w:r>
        <w:instrText xml:space="preserve"> HYPERLINK \l "_Toc6248" </w:instrText>
      </w:r>
      <w:r>
        <w:fldChar w:fldCharType="separate"/>
      </w:r>
      <w:r>
        <w:rPr>
          <w:rFonts w:hint="eastAsia" w:ascii="仿宋" w:hAnsi="仿宋" w:eastAsia="仿宋" w:cs="仿宋"/>
          <w:kern w:val="0"/>
          <w:szCs w:val="24"/>
          <w:lang w:val="zh-CN"/>
        </w:rPr>
        <w:t>十</w:t>
      </w:r>
      <w:r>
        <w:rPr>
          <w:rFonts w:hint="eastAsia" w:ascii="仿宋" w:hAnsi="仿宋" w:eastAsia="仿宋" w:cs="仿宋"/>
          <w:kern w:val="0"/>
          <w:szCs w:val="24"/>
        </w:rPr>
        <w:t>一</w:t>
      </w:r>
      <w:r>
        <w:rPr>
          <w:rFonts w:hint="eastAsia" w:ascii="仿宋" w:hAnsi="仿宋" w:eastAsia="仿宋" w:cs="仿宋"/>
          <w:kern w:val="0"/>
          <w:szCs w:val="24"/>
          <w:lang w:val="zh-CN"/>
        </w:rPr>
        <w:t>、投标人廉洁自律承诺书</w:t>
      </w:r>
      <w:r>
        <w:tab/>
      </w:r>
      <w:r>
        <w:fldChar w:fldCharType="begin"/>
      </w:r>
      <w:r>
        <w:instrText xml:space="preserve"> PAGEREF _Toc6248 \h </w:instrText>
      </w:r>
      <w:r>
        <w:fldChar w:fldCharType="separate"/>
      </w:r>
      <w:r>
        <w:t>94</w:t>
      </w:r>
      <w:r>
        <w:fldChar w:fldCharType="end"/>
      </w:r>
      <w:r>
        <w:fldChar w:fldCharType="end"/>
      </w:r>
    </w:p>
    <w:p>
      <w:pPr>
        <w:pStyle w:val="18"/>
        <w:tabs>
          <w:tab w:val="right" w:leader="dot" w:pos="9072"/>
          <w:tab w:val="clear" w:pos="9060"/>
        </w:tabs>
      </w:pPr>
      <w:r>
        <w:fldChar w:fldCharType="begin"/>
      </w:r>
      <w:r>
        <w:instrText xml:space="preserve"> HYPERLINK \l "_Toc9795" </w:instrText>
      </w:r>
      <w:r>
        <w:fldChar w:fldCharType="separate"/>
      </w:r>
      <w:r>
        <w:rPr>
          <w:rFonts w:hint="eastAsia" w:ascii="仿宋" w:hAnsi="仿宋" w:eastAsia="仿宋" w:cs="仿宋"/>
          <w:szCs w:val="21"/>
        </w:rPr>
        <w:t>十二</w:t>
      </w:r>
      <w:r>
        <w:rPr>
          <w:rFonts w:hint="eastAsia" w:ascii="仿宋" w:hAnsi="仿宋" w:eastAsia="仿宋" w:cs="仿宋"/>
          <w:szCs w:val="24"/>
          <w:lang w:val="zh-CN"/>
        </w:rPr>
        <w:t>、投标人认为有必要补充说明的事项</w:t>
      </w:r>
      <w:r>
        <w:tab/>
      </w:r>
      <w:r>
        <w:fldChar w:fldCharType="begin"/>
      </w:r>
      <w:r>
        <w:instrText xml:space="preserve"> PAGEREF _Toc9795 \h </w:instrText>
      </w:r>
      <w:r>
        <w:fldChar w:fldCharType="separate"/>
      </w:r>
      <w:r>
        <w:t>95</w:t>
      </w:r>
      <w:r>
        <w:fldChar w:fldCharType="end"/>
      </w:r>
      <w:r>
        <w:fldChar w:fldCharType="end"/>
      </w:r>
    </w:p>
    <w:p>
      <w:pPr>
        <w:pStyle w:val="3"/>
        <w:keepLines/>
        <w:pageBreakBefore/>
        <w:spacing w:line="360" w:lineRule="auto"/>
        <w:rPr>
          <w:rFonts w:ascii="仿宋" w:hAnsi="仿宋" w:eastAsia="仿宋" w:cs="仿宋"/>
          <w:kern w:val="2"/>
          <w:sz w:val="32"/>
          <w:szCs w:val="32"/>
          <w:lang w:val="zh-CN"/>
        </w:rPr>
      </w:pPr>
      <w:r>
        <w:rPr>
          <w:rFonts w:hint="eastAsia" w:ascii="仿宋" w:hAnsi="仿宋" w:eastAsia="仿宋" w:cs="仿宋"/>
          <w:szCs w:val="21"/>
        </w:rPr>
        <w:fldChar w:fldCharType="end"/>
      </w:r>
      <w:bookmarkEnd w:id="0"/>
      <w:bookmarkEnd w:id="1"/>
      <w:bookmarkEnd w:id="2"/>
      <w:bookmarkEnd w:id="3"/>
      <w:bookmarkEnd w:id="4"/>
      <w:bookmarkEnd w:id="5"/>
      <w:bookmarkEnd w:id="6"/>
      <w:bookmarkEnd w:id="7"/>
      <w:bookmarkStart w:id="8" w:name="_Toc18314"/>
      <w:bookmarkStart w:id="9" w:name="_Toc6366"/>
      <w:bookmarkStart w:id="10" w:name="_Toc31741"/>
      <w:bookmarkStart w:id="11" w:name="_Toc28539"/>
      <w:bookmarkStart w:id="12" w:name="_Toc786"/>
      <w:bookmarkStart w:id="13" w:name="_Toc26996"/>
      <w:bookmarkStart w:id="14" w:name="_Toc6649"/>
      <w:bookmarkStart w:id="15" w:name="_Toc16458"/>
      <w:bookmarkStart w:id="16" w:name="_Toc14692"/>
      <w:bookmarkStart w:id="17" w:name="_Toc475451544"/>
      <w:r>
        <w:rPr>
          <w:rFonts w:hint="eastAsia" w:ascii="仿宋" w:hAnsi="仿宋" w:eastAsia="仿宋" w:cs="仿宋"/>
          <w:kern w:val="2"/>
          <w:sz w:val="32"/>
          <w:szCs w:val="32"/>
          <w:lang w:val="zh-CN"/>
        </w:rPr>
        <w:t>第一部分  招标公告</w:t>
      </w:r>
      <w:bookmarkEnd w:id="8"/>
      <w:bookmarkEnd w:id="9"/>
    </w:p>
    <w:p>
      <w:pPr>
        <w:pStyle w:val="19"/>
        <w:spacing w:before="0" w:beforeAutospacing="0" w:after="0" w:afterAutospacing="0" w:line="420" w:lineRule="exact"/>
        <w:ind w:firstLine="480"/>
        <w:jc w:val="both"/>
        <w:textAlignment w:val="baseline"/>
        <w:rPr>
          <w:rFonts w:ascii="仿宋" w:hAnsi="仿宋" w:eastAsia="仿宋" w:cs="仿宋"/>
          <w:shd w:val="clear" w:color="auto" w:fill="FFFFFF"/>
          <w:lang w:val="zh-CN"/>
        </w:rPr>
      </w:pPr>
      <w:r>
        <w:rPr>
          <w:rFonts w:hint="eastAsia" w:ascii="仿宋" w:hAnsi="仿宋" w:eastAsia="仿宋" w:cs="仿宋"/>
          <w:shd w:val="clear" w:color="auto" w:fill="FFFFFF"/>
          <w:lang w:val="zh-CN"/>
        </w:rPr>
        <w:t>项目概况</w:t>
      </w:r>
    </w:p>
    <w:p>
      <w:pPr>
        <w:pStyle w:val="19"/>
        <w:spacing w:before="0" w:beforeAutospacing="0" w:after="0" w:afterAutospacing="0" w:line="420" w:lineRule="exact"/>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lang w:val="zh-CN"/>
        </w:rPr>
        <w:t>镇巴县人民医院PACS及肺小结节智能诊断系统采购项目的潜在投标人应在西安经济技术开发区凤城十一路与文景路十字文景商务广场B座8层获取招标文件，并于 202</w:t>
      </w:r>
      <w:r>
        <w:rPr>
          <w:rFonts w:hint="eastAsia" w:ascii="仿宋" w:hAnsi="仿宋" w:eastAsia="仿宋" w:cs="仿宋"/>
          <w:shd w:val="clear" w:color="auto" w:fill="FFFFFF"/>
        </w:rPr>
        <w:t>3</w:t>
      </w:r>
      <w:r>
        <w:rPr>
          <w:rFonts w:hint="eastAsia" w:ascii="仿宋" w:hAnsi="仿宋" w:eastAsia="仿宋" w:cs="仿宋"/>
          <w:shd w:val="clear" w:color="auto" w:fill="FFFFFF"/>
          <w:lang w:val="zh-CN"/>
        </w:rPr>
        <w:t>年</w:t>
      </w:r>
      <w:r>
        <w:rPr>
          <w:rFonts w:hint="eastAsia" w:ascii="仿宋" w:hAnsi="仿宋" w:eastAsia="仿宋" w:cs="仿宋"/>
          <w:shd w:val="clear" w:color="auto" w:fill="FFFFFF"/>
        </w:rPr>
        <w:t>5</w:t>
      </w:r>
      <w:r>
        <w:rPr>
          <w:rFonts w:hint="eastAsia" w:ascii="仿宋" w:hAnsi="仿宋" w:eastAsia="仿宋" w:cs="仿宋"/>
          <w:shd w:val="clear" w:color="auto" w:fill="FFFFFF"/>
          <w:lang w:val="zh-CN"/>
        </w:rPr>
        <w:t>月</w:t>
      </w:r>
      <w:r>
        <w:rPr>
          <w:rFonts w:hint="eastAsia" w:ascii="仿宋" w:hAnsi="仿宋" w:eastAsia="仿宋" w:cs="仿宋"/>
          <w:shd w:val="clear" w:color="auto" w:fill="FFFFFF"/>
        </w:rPr>
        <w:t>30</w:t>
      </w:r>
      <w:r>
        <w:rPr>
          <w:rFonts w:hint="eastAsia" w:ascii="仿宋" w:hAnsi="仿宋" w:eastAsia="仿宋" w:cs="仿宋"/>
          <w:shd w:val="clear" w:color="auto" w:fill="FFFFFF"/>
          <w:lang w:val="zh-CN"/>
        </w:rPr>
        <w:t>日</w:t>
      </w:r>
      <w:r>
        <w:rPr>
          <w:rFonts w:hint="eastAsia" w:ascii="仿宋" w:hAnsi="仿宋" w:eastAsia="仿宋" w:cs="仿宋"/>
          <w:shd w:val="clear" w:color="auto" w:fill="FFFFFF"/>
        </w:rPr>
        <w:t>09</w:t>
      </w:r>
      <w:r>
        <w:rPr>
          <w:rFonts w:hint="eastAsia" w:ascii="仿宋" w:hAnsi="仿宋" w:eastAsia="仿宋" w:cs="仿宋"/>
          <w:shd w:val="clear" w:color="auto" w:fill="FFFFFF"/>
          <w:lang w:val="zh-CN"/>
        </w:rPr>
        <w:t>时</w:t>
      </w:r>
      <w:r>
        <w:rPr>
          <w:rFonts w:hint="eastAsia" w:ascii="仿宋" w:hAnsi="仿宋" w:eastAsia="仿宋" w:cs="仿宋"/>
          <w:shd w:val="clear" w:color="auto" w:fill="FFFFFF"/>
        </w:rPr>
        <w:t>00</w:t>
      </w:r>
      <w:r>
        <w:rPr>
          <w:rFonts w:hint="eastAsia" w:ascii="仿宋" w:hAnsi="仿宋" w:eastAsia="仿宋" w:cs="仿宋"/>
          <w:shd w:val="clear" w:color="auto" w:fill="FFFFFF"/>
          <w:lang w:val="zh-CN"/>
        </w:rPr>
        <w:t>分（北京时间）前递交投标文件。</w:t>
      </w:r>
    </w:p>
    <w:p>
      <w:pPr>
        <w:spacing w:line="420" w:lineRule="exact"/>
        <w:rPr>
          <w:rFonts w:ascii="仿宋" w:hAnsi="仿宋" w:eastAsia="仿宋" w:cs="仿宋"/>
          <w:kern w:val="0"/>
          <w:sz w:val="24"/>
          <w:szCs w:val="24"/>
          <w:shd w:val="clear" w:color="auto" w:fill="FFFFFF"/>
        </w:rPr>
      </w:pPr>
      <w:r>
        <w:rPr>
          <w:rFonts w:hint="eastAsia" w:ascii="仿宋" w:hAnsi="仿宋" w:eastAsia="仿宋" w:cs="仿宋"/>
          <w:b/>
          <w:bCs/>
          <w:kern w:val="0"/>
          <w:sz w:val="24"/>
          <w:szCs w:val="24"/>
          <w:shd w:val="clear" w:color="auto" w:fill="FFFFFF"/>
        </w:rPr>
        <w:t>一、项目基本情况</w:t>
      </w:r>
    </w:p>
    <w:p>
      <w:pPr>
        <w:pStyle w:val="19"/>
        <w:spacing w:before="0" w:beforeAutospacing="0" w:after="0" w:afterAutospacing="0" w:line="420" w:lineRule="exact"/>
        <w:ind w:firstLine="480" w:firstLineChars="20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项目编号：DX2023-166</w:t>
      </w:r>
    </w:p>
    <w:p>
      <w:pPr>
        <w:pStyle w:val="19"/>
        <w:spacing w:before="0" w:beforeAutospacing="0" w:after="0" w:afterAutospacing="0" w:line="420" w:lineRule="exact"/>
        <w:ind w:firstLine="480" w:firstLineChars="20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项目名称：镇巴县人民医院PACS及肺小结节智能诊断系统采购项目</w:t>
      </w:r>
    </w:p>
    <w:p>
      <w:pPr>
        <w:pStyle w:val="19"/>
        <w:spacing w:before="0" w:beforeAutospacing="0" w:after="0" w:afterAutospacing="0" w:line="420" w:lineRule="exact"/>
        <w:ind w:firstLine="480" w:firstLineChars="20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采购方式：公开招标</w:t>
      </w:r>
    </w:p>
    <w:p>
      <w:pPr>
        <w:pStyle w:val="19"/>
        <w:spacing w:before="0" w:beforeAutospacing="0" w:after="0" w:afterAutospacing="0" w:line="420" w:lineRule="exact"/>
        <w:ind w:firstLine="480" w:firstLineChars="20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预算金额：2500000.00元</w:t>
      </w:r>
    </w:p>
    <w:p>
      <w:pPr>
        <w:pStyle w:val="19"/>
        <w:spacing w:before="0" w:beforeAutospacing="0" w:after="0" w:afterAutospacing="0" w:line="420" w:lineRule="exact"/>
        <w:ind w:firstLine="480" w:firstLineChars="20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采购需求：</w:t>
      </w:r>
    </w:p>
    <w:p>
      <w:pPr>
        <w:pStyle w:val="19"/>
        <w:spacing w:before="0" w:beforeAutospacing="0" w:after="0" w:afterAutospacing="0" w:line="420" w:lineRule="exact"/>
        <w:ind w:firstLine="480" w:firstLineChars="20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合同包1(PACS系统):</w:t>
      </w:r>
    </w:p>
    <w:p>
      <w:pPr>
        <w:pStyle w:val="19"/>
        <w:spacing w:before="0" w:beforeAutospacing="0" w:after="0" w:afterAutospacing="0" w:line="420" w:lineRule="exact"/>
        <w:ind w:firstLine="480" w:firstLineChars="20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合同包预算金额：2000000.00元</w:t>
      </w:r>
    </w:p>
    <w:p>
      <w:pPr>
        <w:pStyle w:val="19"/>
        <w:spacing w:before="0" w:beforeAutospacing="0" w:after="0" w:afterAutospacing="0" w:line="420" w:lineRule="exact"/>
        <w:ind w:firstLine="480" w:firstLineChars="20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合同包最高限价：2000000.00元</w:t>
      </w:r>
    </w:p>
    <w:tbl>
      <w:tblPr>
        <w:tblStyle w:val="23"/>
        <w:tblW w:w="9750" w:type="dxa"/>
        <w:tblInd w:w="-204" w:type="dxa"/>
        <w:tblLayout w:type="autofit"/>
        <w:tblCellMar>
          <w:top w:w="0" w:type="dxa"/>
          <w:left w:w="0" w:type="dxa"/>
          <w:bottom w:w="0" w:type="dxa"/>
          <w:right w:w="0" w:type="dxa"/>
        </w:tblCellMar>
      </w:tblPr>
      <w:tblGrid>
        <w:gridCol w:w="1031"/>
        <w:gridCol w:w="1454"/>
        <w:gridCol w:w="1522"/>
        <w:gridCol w:w="1052"/>
        <w:gridCol w:w="1302"/>
        <w:gridCol w:w="1440"/>
        <w:gridCol w:w="1949"/>
      </w:tblGrid>
      <w:tr>
        <w:tblPrEx>
          <w:tblCellMar>
            <w:top w:w="0" w:type="dxa"/>
            <w:left w:w="0" w:type="dxa"/>
            <w:bottom w:w="0" w:type="dxa"/>
            <w:right w:w="0" w:type="dxa"/>
          </w:tblCellMar>
        </w:tblPrEx>
        <w:trPr>
          <w:trHeight w:val="1128" w:hRule="atLeast"/>
          <w:tblHeader/>
        </w:trPr>
        <w:tc>
          <w:tcPr>
            <w:tcW w:w="10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品目号</w:t>
            </w:r>
          </w:p>
        </w:tc>
        <w:tc>
          <w:tcPr>
            <w:tcW w:w="14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品目名称</w:t>
            </w:r>
          </w:p>
        </w:tc>
        <w:tc>
          <w:tcPr>
            <w:tcW w:w="152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采购标的</w:t>
            </w:r>
          </w:p>
        </w:tc>
        <w:tc>
          <w:tcPr>
            <w:tcW w:w="105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数量</w:t>
            </w:r>
          </w:p>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（单位）</w:t>
            </w:r>
          </w:p>
        </w:tc>
        <w:tc>
          <w:tcPr>
            <w:tcW w:w="130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技术规格、参数及要求</w:t>
            </w:r>
          </w:p>
        </w:tc>
        <w:tc>
          <w:tcPr>
            <w:tcW w:w="144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品目预算(元)</w:t>
            </w:r>
          </w:p>
        </w:tc>
        <w:tc>
          <w:tcPr>
            <w:tcW w:w="194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最高限价(元)</w:t>
            </w:r>
          </w:p>
        </w:tc>
      </w:tr>
      <w:tr>
        <w:tblPrEx>
          <w:tblCellMar>
            <w:top w:w="0" w:type="dxa"/>
            <w:left w:w="0" w:type="dxa"/>
            <w:bottom w:w="0" w:type="dxa"/>
            <w:right w:w="0" w:type="dxa"/>
          </w:tblCellMar>
        </w:tblPrEx>
        <w:trPr>
          <w:trHeight w:val="610" w:hRule="atLeast"/>
        </w:trPr>
        <w:tc>
          <w:tcPr>
            <w:tcW w:w="10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bookmarkStart w:id="506" w:name="_GoBack" w:colFirst="2" w:colLast="5"/>
            <w:r>
              <w:rPr>
                <w:rFonts w:hint="eastAsia" w:ascii="仿宋" w:hAnsi="仿宋" w:eastAsia="仿宋" w:cs="仿宋"/>
                <w:kern w:val="0"/>
                <w:sz w:val="24"/>
                <w:szCs w:val="24"/>
                <w:shd w:val="clear" w:color="auto" w:fill="FFFFFF"/>
              </w:rPr>
              <w:t>1-1</w:t>
            </w:r>
          </w:p>
        </w:tc>
        <w:tc>
          <w:tcPr>
            <w:tcW w:w="14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其他信息技术服务</w:t>
            </w:r>
          </w:p>
        </w:tc>
        <w:tc>
          <w:tcPr>
            <w:tcW w:w="152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PACS系统</w:t>
            </w:r>
          </w:p>
        </w:tc>
        <w:tc>
          <w:tcPr>
            <w:tcW w:w="105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1套</w:t>
            </w:r>
          </w:p>
        </w:tc>
        <w:tc>
          <w:tcPr>
            <w:tcW w:w="130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详见采购文件</w:t>
            </w:r>
          </w:p>
        </w:tc>
        <w:tc>
          <w:tcPr>
            <w:tcW w:w="144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2000000.00</w:t>
            </w:r>
          </w:p>
        </w:tc>
        <w:tc>
          <w:tcPr>
            <w:tcW w:w="194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2000000.00</w:t>
            </w:r>
          </w:p>
        </w:tc>
      </w:tr>
      <w:bookmarkEnd w:id="506"/>
    </w:tbl>
    <w:p>
      <w:pPr>
        <w:pStyle w:val="19"/>
        <w:spacing w:before="0" w:beforeAutospacing="0" w:after="0" w:afterAutospacing="0" w:line="420" w:lineRule="exact"/>
        <w:ind w:firstLine="480" w:firstLineChars="20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本合同包不接受联合体投标</w:t>
      </w:r>
    </w:p>
    <w:p>
      <w:pPr>
        <w:pStyle w:val="19"/>
        <w:spacing w:before="0" w:beforeAutospacing="0" w:after="0" w:afterAutospacing="0" w:line="420" w:lineRule="exact"/>
        <w:ind w:firstLine="480" w:firstLineChars="20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合同履行期限：无</w:t>
      </w:r>
      <w:r>
        <w:rPr>
          <w:rFonts w:hint="eastAsia" w:ascii="仿宋" w:hAnsi="仿宋" w:eastAsia="仿宋" w:cs="仿宋"/>
          <w:shd w:val="clear" w:color="auto" w:fill="FFFFFF"/>
        </w:rPr>
        <w:tab/>
      </w:r>
    </w:p>
    <w:p>
      <w:pPr>
        <w:pStyle w:val="19"/>
        <w:spacing w:before="0" w:beforeAutospacing="0" w:after="0" w:afterAutospacing="0" w:line="420" w:lineRule="exact"/>
        <w:ind w:firstLine="480" w:firstLineChars="20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合同包2(肺小结节智能诊断系统):</w:t>
      </w:r>
    </w:p>
    <w:p>
      <w:pPr>
        <w:pStyle w:val="19"/>
        <w:spacing w:before="0" w:beforeAutospacing="0" w:after="0" w:afterAutospacing="0" w:line="420" w:lineRule="exact"/>
        <w:ind w:firstLine="480" w:firstLineChars="20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合同包预算金额：500000.00元</w:t>
      </w:r>
    </w:p>
    <w:p>
      <w:pPr>
        <w:pStyle w:val="19"/>
        <w:spacing w:before="0" w:beforeAutospacing="0" w:after="0" w:afterAutospacing="0" w:line="420" w:lineRule="exact"/>
        <w:ind w:firstLine="480" w:firstLineChars="20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合同包最高限价：500000.00元</w:t>
      </w:r>
    </w:p>
    <w:tbl>
      <w:tblPr>
        <w:tblStyle w:val="23"/>
        <w:tblW w:w="9750" w:type="dxa"/>
        <w:tblInd w:w="-204" w:type="dxa"/>
        <w:tblLayout w:type="autofit"/>
        <w:tblCellMar>
          <w:top w:w="0" w:type="dxa"/>
          <w:left w:w="0" w:type="dxa"/>
          <w:bottom w:w="0" w:type="dxa"/>
          <w:right w:w="0" w:type="dxa"/>
        </w:tblCellMar>
      </w:tblPr>
      <w:tblGrid>
        <w:gridCol w:w="1031"/>
        <w:gridCol w:w="1454"/>
        <w:gridCol w:w="1311"/>
        <w:gridCol w:w="1080"/>
        <w:gridCol w:w="1485"/>
        <w:gridCol w:w="1440"/>
        <w:gridCol w:w="1949"/>
      </w:tblGrid>
      <w:tr>
        <w:tblPrEx>
          <w:tblCellMar>
            <w:top w:w="0" w:type="dxa"/>
            <w:left w:w="0" w:type="dxa"/>
            <w:bottom w:w="0" w:type="dxa"/>
            <w:right w:w="0" w:type="dxa"/>
          </w:tblCellMar>
        </w:tblPrEx>
        <w:trPr>
          <w:trHeight w:val="845" w:hRule="atLeast"/>
          <w:tblHeader/>
        </w:trPr>
        <w:tc>
          <w:tcPr>
            <w:tcW w:w="10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品目号</w:t>
            </w:r>
          </w:p>
        </w:tc>
        <w:tc>
          <w:tcPr>
            <w:tcW w:w="14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品目名称</w:t>
            </w:r>
          </w:p>
        </w:tc>
        <w:tc>
          <w:tcPr>
            <w:tcW w:w="131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采购标的</w:t>
            </w:r>
          </w:p>
        </w:tc>
        <w:tc>
          <w:tcPr>
            <w:tcW w:w="10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数量</w:t>
            </w:r>
          </w:p>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（单位）</w:t>
            </w:r>
          </w:p>
        </w:tc>
        <w:tc>
          <w:tcPr>
            <w:tcW w:w="14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技术规格、参数及要求</w:t>
            </w:r>
          </w:p>
        </w:tc>
        <w:tc>
          <w:tcPr>
            <w:tcW w:w="144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品目预算(元)</w:t>
            </w:r>
          </w:p>
        </w:tc>
        <w:tc>
          <w:tcPr>
            <w:tcW w:w="194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最高限价(元)</w:t>
            </w:r>
          </w:p>
        </w:tc>
      </w:tr>
      <w:tr>
        <w:tblPrEx>
          <w:tblCellMar>
            <w:top w:w="0" w:type="dxa"/>
            <w:left w:w="0" w:type="dxa"/>
            <w:bottom w:w="0" w:type="dxa"/>
            <w:right w:w="0" w:type="dxa"/>
          </w:tblCellMar>
        </w:tblPrEx>
        <w:trPr>
          <w:trHeight w:val="610" w:hRule="atLeast"/>
        </w:trPr>
        <w:tc>
          <w:tcPr>
            <w:tcW w:w="10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2-1</w:t>
            </w:r>
          </w:p>
        </w:tc>
        <w:tc>
          <w:tcPr>
            <w:tcW w:w="14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其他信息技术服务</w:t>
            </w:r>
          </w:p>
        </w:tc>
        <w:tc>
          <w:tcPr>
            <w:tcW w:w="131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肺小结节智能诊断系统</w:t>
            </w:r>
          </w:p>
        </w:tc>
        <w:tc>
          <w:tcPr>
            <w:tcW w:w="10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1套</w:t>
            </w:r>
          </w:p>
        </w:tc>
        <w:tc>
          <w:tcPr>
            <w:tcW w:w="14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详见采购文件</w:t>
            </w:r>
          </w:p>
        </w:tc>
        <w:tc>
          <w:tcPr>
            <w:tcW w:w="144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500000.00</w:t>
            </w:r>
          </w:p>
        </w:tc>
        <w:tc>
          <w:tcPr>
            <w:tcW w:w="194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420" w:lineRule="exact"/>
              <w:jc w:val="center"/>
              <w:textAlignment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500000.00</w:t>
            </w:r>
          </w:p>
        </w:tc>
      </w:tr>
    </w:tbl>
    <w:p>
      <w:pPr>
        <w:pStyle w:val="19"/>
        <w:spacing w:before="0" w:beforeAutospacing="0" w:after="0" w:afterAutospacing="0" w:line="420" w:lineRule="exact"/>
        <w:ind w:firstLine="480" w:firstLineChars="20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本合同包不接受联合体投标</w:t>
      </w:r>
    </w:p>
    <w:p>
      <w:pPr>
        <w:pStyle w:val="19"/>
        <w:spacing w:before="0" w:beforeAutospacing="0" w:after="0" w:afterAutospacing="0" w:line="420" w:lineRule="exact"/>
        <w:ind w:firstLine="480" w:firstLineChars="20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合同履行期限：无</w:t>
      </w:r>
    </w:p>
    <w:p>
      <w:pPr>
        <w:pStyle w:val="19"/>
        <w:spacing w:before="0" w:beforeAutospacing="0" w:after="0" w:afterAutospacing="0" w:line="460" w:lineRule="exact"/>
        <w:jc w:val="both"/>
        <w:textAlignment w:val="baseline"/>
        <w:rPr>
          <w:rFonts w:ascii="仿宋" w:hAnsi="仿宋" w:eastAsia="仿宋" w:cs="仿宋"/>
          <w:b/>
          <w:bCs/>
          <w:shd w:val="clear" w:color="auto" w:fill="FFFFFF"/>
        </w:rPr>
      </w:pPr>
      <w:r>
        <w:rPr>
          <w:rFonts w:hint="eastAsia" w:ascii="仿宋" w:hAnsi="仿宋" w:eastAsia="仿宋" w:cs="仿宋"/>
          <w:b/>
          <w:bCs/>
          <w:shd w:val="clear" w:color="auto" w:fill="FFFFFF"/>
        </w:rPr>
        <w:t>二、申请人的资格要求：</w:t>
      </w:r>
    </w:p>
    <w:p>
      <w:pPr>
        <w:pStyle w:val="19"/>
        <w:spacing w:before="0" w:beforeAutospacing="0" w:after="0" w:afterAutospacing="0" w:line="360" w:lineRule="auto"/>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1.满足《中华人民共和国政府采购法》第二十二条规定;</w:t>
      </w:r>
    </w:p>
    <w:p>
      <w:pPr>
        <w:pStyle w:val="19"/>
        <w:spacing w:before="0" w:beforeAutospacing="0" w:after="0" w:afterAutospacing="0" w:line="360" w:lineRule="auto"/>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2.落实政府采购政策需满足的资格要求：</w:t>
      </w:r>
    </w:p>
    <w:p>
      <w:pPr>
        <w:pStyle w:val="19"/>
        <w:spacing w:before="0" w:beforeAutospacing="0" w:after="0" w:afterAutospacing="0" w:line="360" w:lineRule="auto"/>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合同包1(PACS系统)落实政府采购政策需满足的资格要求如下:</w:t>
      </w:r>
    </w:p>
    <w:p>
      <w:pPr>
        <w:pStyle w:val="19"/>
        <w:spacing w:before="0" w:beforeAutospacing="0" w:after="0" w:afterAutospacing="0" w:line="360" w:lineRule="auto"/>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非专门面向中小企业采购项目</w:t>
      </w:r>
    </w:p>
    <w:p>
      <w:pPr>
        <w:pStyle w:val="19"/>
        <w:spacing w:before="0" w:beforeAutospacing="0" w:after="0" w:afterAutospacing="0" w:line="360" w:lineRule="auto"/>
        <w:ind w:firstLine="480" w:firstLineChars="20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合同包2(肺小结节智能诊断系统)落实政府采购政策需满足的资格要求如下:</w:t>
      </w:r>
    </w:p>
    <w:p>
      <w:pPr>
        <w:pStyle w:val="19"/>
        <w:spacing w:before="0" w:beforeAutospacing="0" w:after="0" w:afterAutospacing="0" w:line="360" w:lineRule="auto"/>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非专门面向中小企业采购项目</w:t>
      </w:r>
    </w:p>
    <w:p>
      <w:pPr>
        <w:pStyle w:val="19"/>
        <w:spacing w:before="0" w:beforeAutospacing="0" w:after="0" w:afterAutospacing="0" w:line="360" w:lineRule="auto"/>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3.本项目的特定资格要求：</w:t>
      </w:r>
    </w:p>
    <w:p>
      <w:pPr>
        <w:pStyle w:val="19"/>
        <w:spacing w:before="0" w:beforeAutospacing="0" w:after="0" w:afterAutospacing="0" w:line="360" w:lineRule="auto"/>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合同包1(PACS系统)特定资格要求如下:</w:t>
      </w:r>
    </w:p>
    <w:p>
      <w:pPr>
        <w:pStyle w:val="19"/>
        <w:spacing w:before="0" w:beforeAutospacing="0" w:after="0" w:afterAutospacing="0" w:line="360" w:lineRule="auto"/>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（1）法定代表人授权书及被授权人身份证，并且提供有效的劳动合同或投标截止前六个月内任意一个月养老保险缴纳证明（法人参加只需提供法定代表人身份证明）；</w:t>
      </w:r>
    </w:p>
    <w:p>
      <w:pPr>
        <w:pStyle w:val="19"/>
        <w:spacing w:before="0" w:beforeAutospacing="0" w:after="0" w:afterAutospacing="0" w:line="360" w:lineRule="auto"/>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（2）符合《财政部关于在政府采购活动中查询及使用信用记录有关问题的通知》（财库【2016】125号）文件中信用查询的要求；（此项由采购人与采购代理单位在开标时查询，以现场查询为准）；</w:t>
      </w:r>
    </w:p>
    <w:p>
      <w:pPr>
        <w:pStyle w:val="19"/>
        <w:spacing w:before="0" w:beforeAutospacing="0" w:after="0" w:afterAutospacing="0" w:line="360" w:lineRule="auto"/>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合同包2(肺小结节智能诊断系统)特定资格要求如下:</w:t>
      </w:r>
    </w:p>
    <w:p>
      <w:pPr>
        <w:pStyle w:val="19"/>
        <w:spacing w:before="0" w:beforeAutospacing="0" w:after="0" w:afterAutospacing="0" w:line="360" w:lineRule="auto"/>
        <w:ind w:firstLine="480"/>
        <w:jc w:val="both"/>
        <w:textAlignment w:val="baseline"/>
        <w:rPr>
          <w:rFonts w:ascii="仿宋" w:hAnsi="仿宋" w:eastAsia="仿宋" w:cs="仿宋"/>
          <w:lang w:val="zh-CN"/>
        </w:rPr>
      </w:pPr>
      <w:r>
        <w:rPr>
          <w:rFonts w:hint="eastAsia" w:ascii="仿宋" w:hAnsi="仿宋" w:eastAsia="仿宋" w:cs="仿宋"/>
          <w:lang w:val="zh-CN"/>
        </w:rPr>
        <w:t>同合同包1</w:t>
      </w:r>
    </w:p>
    <w:p>
      <w:pPr>
        <w:pStyle w:val="19"/>
        <w:spacing w:before="0" w:beforeAutospacing="0" w:after="0" w:afterAutospacing="0" w:line="460" w:lineRule="exact"/>
        <w:jc w:val="both"/>
        <w:textAlignment w:val="baseline"/>
        <w:rPr>
          <w:rFonts w:ascii="仿宋" w:hAnsi="仿宋" w:eastAsia="仿宋" w:cs="仿宋"/>
          <w:b/>
          <w:bCs/>
          <w:shd w:val="clear" w:color="auto" w:fill="FFFFFF"/>
        </w:rPr>
      </w:pPr>
      <w:r>
        <w:rPr>
          <w:rFonts w:hint="eastAsia" w:ascii="仿宋" w:hAnsi="仿宋" w:eastAsia="仿宋" w:cs="仿宋"/>
          <w:b/>
          <w:bCs/>
          <w:shd w:val="clear" w:color="auto" w:fill="FFFFFF"/>
        </w:rPr>
        <w:t>三、获取招标文件</w:t>
      </w: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时间：2023年5月6日至2023年5月12日，每天上午 09:00:00 至 12:00:00 ，下午14:00:00 至17:00:00（北京时间,法定节假日除外）</w:t>
      </w: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地点：西安经济技术开发区凤城十一路与文景路十字文景商务广场B座8层</w:t>
      </w: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方式：现场获取</w:t>
      </w: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售价：300.00元/标段</w:t>
      </w:r>
    </w:p>
    <w:p>
      <w:pPr>
        <w:pStyle w:val="19"/>
        <w:spacing w:before="0" w:beforeAutospacing="0" w:after="0" w:afterAutospacing="0" w:line="460" w:lineRule="exact"/>
        <w:jc w:val="both"/>
        <w:textAlignment w:val="baseline"/>
        <w:rPr>
          <w:rFonts w:ascii="仿宋" w:hAnsi="仿宋" w:eastAsia="仿宋" w:cs="仿宋"/>
          <w:b/>
          <w:bCs/>
          <w:shd w:val="clear" w:color="auto" w:fill="FFFFFF"/>
        </w:rPr>
      </w:pPr>
      <w:r>
        <w:rPr>
          <w:rFonts w:hint="eastAsia" w:ascii="仿宋" w:hAnsi="仿宋" w:eastAsia="仿宋" w:cs="仿宋"/>
          <w:b/>
          <w:bCs/>
          <w:shd w:val="clear" w:color="auto" w:fill="FFFFFF"/>
        </w:rPr>
        <w:t>四、提交投标文件截止时间、开标时间和地点</w:t>
      </w:r>
    </w:p>
    <w:p>
      <w:pPr>
        <w:pStyle w:val="19"/>
        <w:spacing w:before="0" w:beforeAutospacing="0" w:after="0" w:afterAutospacing="0" w:line="460" w:lineRule="exact"/>
        <w:ind w:left="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2023年5月30日 09</w:t>
      </w:r>
      <w:r>
        <w:rPr>
          <w:rFonts w:hint="eastAsia" w:ascii="仿宋" w:hAnsi="仿宋" w:eastAsia="仿宋" w:cs="仿宋"/>
          <w:shd w:val="clear" w:color="auto" w:fill="FFFFFF"/>
          <w:lang w:val="zh-CN"/>
        </w:rPr>
        <w:t>时</w:t>
      </w:r>
      <w:r>
        <w:rPr>
          <w:rFonts w:hint="eastAsia" w:ascii="仿宋" w:hAnsi="仿宋" w:eastAsia="仿宋" w:cs="仿宋"/>
          <w:shd w:val="clear" w:color="auto" w:fill="FFFFFF"/>
        </w:rPr>
        <w:t>00</w:t>
      </w:r>
      <w:r>
        <w:rPr>
          <w:rFonts w:hint="eastAsia" w:ascii="仿宋" w:hAnsi="仿宋" w:eastAsia="仿宋" w:cs="仿宋"/>
          <w:shd w:val="clear" w:color="auto" w:fill="FFFFFF"/>
          <w:lang w:val="zh-CN"/>
        </w:rPr>
        <w:t>分</w:t>
      </w:r>
      <w:r>
        <w:rPr>
          <w:rFonts w:hint="eastAsia" w:ascii="仿宋" w:hAnsi="仿宋" w:eastAsia="仿宋" w:cs="仿宋"/>
          <w:shd w:val="clear" w:color="auto" w:fill="FFFFFF"/>
        </w:rPr>
        <w:t>00秒 （北京时间）</w:t>
      </w:r>
    </w:p>
    <w:p>
      <w:pPr>
        <w:pStyle w:val="19"/>
        <w:spacing w:before="0" w:beforeAutospacing="0" w:after="0" w:afterAutospacing="0" w:line="460" w:lineRule="exact"/>
        <w:ind w:left="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地点：西安经济技术开发区凤城十一路与文景路十字文景商务广场B座8层</w:t>
      </w:r>
    </w:p>
    <w:p>
      <w:pPr>
        <w:pStyle w:val="19"/>
        <w:spacing w:before="0" w:beforeAutospacing="0" w:after="0" w:afterAutospacing="0" w:line="460" w:lineRule="exact"/>
        <w:jc w:val="both"/>
        <w:textAlignment w:val="baseline"/>
        <w:rPr>
          <w:rFonts w:ascii="仿宋" w:hAnsi="仿宋" w:eastAsia="仿宋" w:cs="仿宋"/>
          <w:b/>
          <w:bCs/>
          <w:shd w:val="clear" w:color="auto" w:fill="FFFFFF"/>
        </w:rPr>
      </w:pPr>
      <w:r>
        <w:rPr>
          <w:rFonts w:hint="eastAsia" w:ascii="仿宋" w:hAnsi="仿宋" w:eastAsia="仿宋" w:cs="仿宋"/>
          <w:b/>
          <w:bCs/>
          <w:shd w:val="clear" w:color="auto" w:fill="FFFFFF"/>
        </w:rPr>
        <w:t>五、公告期限</w:t>
      </w:r>
    </w:p>
    <w:p>
      <w:pPr>
        <w:pStyle w:val="19"/>
        <w:spacing w:before="0" w:beforeAutospacing="0" w:after="0" w:afterAutospacing="0" w:line="460" w:lineRule="exact"/>
        <w:ind w:left="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自本公告发布之日起5个工作日。</w:t>
      </w:r>
    </w:p>
    <w:p>
      <w:pPr>
        <w:pStyle w:val="19"/>
        <w:spacing w:before="0" w:beforeAutospacing="0" w:after="0" w:afterAutospacing="0" w:line="460" w:lineRule="exact"/>
        <w:jc w:val="both"/>
        <w:textAlignment w:val="baseline"/>
        <w:rPr>
          <w:rFonts w:ascii="仿宋" w:hAnsi="仿宋" w:eastAsia="仿宋" w:cs="仿宋"/>
          <w:b/>
          <w:bCs/>
          <w:shd w:val="clear" w:color="auto" w:fill="FFFFFF"/>
        </w:rPr>
      </w:pPr>
      <w:r>
        <w:rPr>
          <w:rFonts w:hint="eastAsia" w:ascii="仿宋" w:hAnsi="仿宋" w:eastAsia="仿宋" w:cs="仿宋"/>
          <w:b/>
          <w:bCs/>
          <w:shd w:val="clear" w:color="auto" w:fill="FFFFFF"/>
        </w:rPr>
        <w:t>六、其他补充事宜</w:t>
      </w:r>
    </w:p>
    <w:p>
      <w:pPr>
        <w:spacing w:line="360" w:lineRule="auto"/>
        <w:ind w:firstLine="480" w:firstLineChars="200"/>
        <w:rPr>
          <w:rFonts w:ascii="仿宋" w:hAnsi="仿宋" w:eastAsia="仿宋" w:cs="仿宋"/>
          <w:b/>
          <w:bCs/>
          <w:color w:val="333333"/>
          <w:sz w:val="24"/>
          <w:szCs w:val="24"/>
          <w:shd w:val="clear" w:color="auto" w:fill="FFFFFF"/>
        </w:rPr>
      </w:pPr>
      <w:r>
        <w:rPr>
          <w:rFonts w:hint="eastAsia" w:ascii="仿宋" w:hAnsi="仿宋" w:eastAsia="仿宋" w:cs="仿宋"/>
          <w:sz w:val="24"/>
          <w:szCs w:val="24"/>
        </w:rPr>
        <w:t>1、购买招标文件时请携带单位介绍信原件、经办人身份证原件及复印件（加盖公司鲜章）。</w:t>
      </w:r>
    </w:p>
    <w:p>
      <w:pPr>
        <w:pStyle w:val="19"/>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2、执行的其他政府采购政策：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（1）《政府采购促进中小企业发展管理办法》财库〔2020〕46号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（2）《财政部 司法部关于政府采购支持监狱企业发展有关问题的通知》财库[2014]68号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（3）《财政部 发展改革委 生态环境部 市场监管总局关于调整优化节能产品、环境标志产品政府采购执行机制的通知》（财库〔2019〕9号）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（4）《财政部 国家发展改革委关于印发〈节能产品政府采购实施意见〉的通知》（财库[2004]185号）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（5）《财政部环保总局关于环境标志产品政府采购实施的意见》财库[2006]90号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（6）《三部门联合发布关于促进残疾人就业政府采购政策的通知》（财库[2017]141号）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（7）《陕西省中小企业政府采购信用融资办法》（陕财办采〔2018〕23号）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（8）《国务院办公厅关于建立政府强制采购节能产品制度的通知》（国办发〔2007〕51号）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（9）《财政部 国务院扶贫办关于运用政府采购政策支持脱贫攻坚的通知》（财库〔2019〕27号）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（10）《财政部住房城乡建设部工业和信息化部关于扩大政府采购绿色建材促进建筑品质提升政策实施范围的通知》（财库〔2022〕35号）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3、投标文件中凡是需要法定代表人盖章之处，非法人单位的负责人均参照执行。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4、分支机构参与投标时，投标文件中应附法人出具的授权书。法人只能授权一家分支机构参与投标，且不能与分支机构同时参与投标。分支机构须提供自己的资格要求证明文件。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5、投标人如不参与项目投标，需在递交文件截止时间前一日以书面形式告知项目联系人（邮箱号：</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"mailto:2059407584@qq.com),否则采购代理机构将向财政部门反映，供应商一年内累计出现三次该情形，将被监管部门记录为失信被执行人。" </w:instrText>
      </w:r>
      <w:r>
        <w:rPr>
          <w:rFonts w:hint="eastAsia" w:ascii="仿宋" w:hAnsi="仿宋" w:eastAsia="仿宋" w:cs="仿宋"/>
          <w:sz w:val="24"/>
          <w:szCs w:val="24"/>
        </w:rPr>
        <w:fldChar w:fldCharType="separate"/>
      </w:r>
      <w:r>
        <w:rPr>
          <w:rFonts w:hint="eastAsia" w:ascii="仿宋" w:hAnsi="仿宋" w:eastAsia="仿宋" w:cs="仿宋"/>
          <w:sz w:val="24"/>
          <w:szCs w:val="24"/>
        </w:rPr>
        <w:t>2059407584@qq.com),否则采购代理机构将向财政部门反映，投标人一年内累计出现三次该情形，将被监管部门记录为失信被执行人。</w:t>
      </w:r>
      <w:r>
        <w:rPr>
          <w:rFonts w:hint="eastAsia" w:ascii="仿宋" w:hAnsi="仿宋" w:eastAsia="仿宋" w:cs="仿宋"/>
          <w:sz w:val="24"/>
          <w:szCs w:val="24"/>
        </w:rPr>
        <w:fldChar w:fldCharType="end"/>
      </w:r>
    </w:p>
    <w:p>
      <w:pPr>
        <w:pStyle w:val="19"/>
        <w:spacing w:before="0" w:beforeAutospacing="0" w:after="0" w:afterAutospacing="0" w:line="460" w:lineRule="exact"/>
        <w:jc w:val="both"/>
        <w:textAlignment w:val="baseline"/>
        <w:rPr>
          <w:rFonts w:ascii="仿宋" w:hAnsi="仿宋" w:eastAsia="仿宋" w:cs="仿宋"/>
          <w:b/>
          <w:bCs/>
          <w:shd w:val="clear" w:color="auto" w:fill="FFFFFF"/>
          <w:lang w:bidi="ar"/>
        </w:rPr>
      </w:pPr>
      <w:r>
        <w:rPr>
          <w:rFonts w:hint="eastAsia" w:ascii="仿宋" w:hAnsi="仿宋" w:eastAsia="仿宋" w:cs="仿宋"/>
          <w:b/>
          <w:bCs/>
          <w:shd w:val="clear" w:color="auto" w:fill="FFFFFF"/>
          <w:lang w:bidi="ar"/>
        </w:rPr>
        <w:t>七、对本次招标提出询问，请按以下方式联系。</w:t>
      </w:r>
    </w:p>
    <w:p>
      <w:pPr>
        <w:pStyle w:val="19"/>
        <w:spacing w:before="0" w:beforeAutospacing="0" w:after="0" w:afterAutospacing="0" w:line="460" w:lineRule="exact"/>
        <w:ind w:firstLine="240" w:firstLineChars="100"/>
        <w:jc w:val="both"/>
        <w:textAlignment w:val="baseline"/>
        <w:rPr>
          <w:rFonts w:ascii="仿宋" w:hAnsi="仿宋" w:eastAsia="仿宋" w:cs="仿宋"/>
          <w:shd w:val="clear" w:color="auto" w:fill="FFFFFF"/>
          <w:lang w:bidi="ar"/>
        </w:rPr>
      </w:pPr>
      <w:r>
        <w:rPr>
          <w:rFonts w:hint="eastAsia" w:ascii="仿宋" w:hAnsi="仿宋" w:eastAsia="仿宋" w:cs="仿宋"/>
          <w:shd w:val="clear" w:color="auto" w:fill="FFFFFF"/>
          <w:lang w:bidi="ar"/>
        </w:rPr>
        <w:t>1.釆购人信息</w:t>
      </w:r>
    </w:p>
    <w:p>
      <w:pPr>
        <w:pStyle w:val="19"/>
        <w:spacing w:before="0" w:beforeAutospacing="0" w:after="0" w:afterAutospacing="0" w:line="460" w:lineRule="exact"/>
        <w:ind w:firstLine="480" w:firstLineChars="200"/>
        <w:jc w:val="both"/>
        <w:textAlignment w:val="baseline"/>
        <w:rPr>
          <w:rFonts w:ascii="仿宋" w:hAnsi="仿宋" w:eastAsia="仿宋" w:cs="仿宋"/>
          <w:shd w:val="clear" w:color="auto" w:fill="FFFFFF"/>
          <w:lang w:bidi="ar"/>
        </w:rPr>
      </w:pPr>
      <w:r>
        <w:rPr>
          <w:rFonts w:hint="eastAsia" w:ascii="仿宋" w:hAnsi="仿宋" w:eastAsia="仿宋" w:cs="仿宋"/>
          <w:shd w:val="clear" w:color="auto" w:fill="FFFFFF"/>
          <w:lang w:bidi="ar"/>
        </w:rPr>
        <w:t>采购人名称：</w:t>
      </w:r>
      <w:r>
        <w:rPr>
          <w:rFonts w:hint="eastAsia" w:ascii="仿宋" w:hAnsi="仿宋" w:eastAsia="仿宋" w:cs="仿宋"/>
          <w:shd w:val="clear" w:color="auto" w:fill="FFFFFF"/>
          <w:lang w:val="zh-CN"/>
        </w:rPr>
        <w:t>镇巴县人民医院</w:t>
      </w:r>
    </w:p>
    <w:p>
      <w:pPr>
        <w:spacing w:line="460" w:lineRule="exact"/>
        <w:ind w:firstLine="480" w:firstLineChars="200"/>
        <w:rPr>
          <w:rFonts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bidi="ar"/>
        </w:rPr>
        <w:t>地址：镇巴县泾洋镇新街43号</w:t>
      </w:r>
    </w:p>
    <w:p>
      <w:pPr>
        <w:spacing w:line="460" w:lineRule="exact"/>
        <w:ind w:firstLine="480" w:firstLineChars="200"/>
        <w:rPr>
          <w:rFonts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bidi="ar"/>
        </w:rPr>
        <w:t>联系方式：0916-6716505</w:t>
      </w:r>
    </w:p>
    <w:p>
      <w:pPr>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2.釆购代理机构信息</w:t>
      </w:r>
    </w:p>
    <w:p>
      <w:pPr>
        <w:pStyle w:val="19"/>
        <w:spacing w:before="0" w:beforeAutospacing="0" w:after="0" w:afterAutospacing="0" w:line="460" w:lineRule="exact"/>
        <w:ind w:firstLine="480"/>
        <w:jc w:val="both"/>
        <w:textAlignment w:val="baseline"/>
        <w:rPr>
          <w:rFonts w:ascii="仿宋" w:hAnsi="仿宋" w:eastAsia="仿宋" w:cs="仿宋"/>
        </w:rPr>
      </w:pPr>
      <w:r>
        <w:rPr>
          <w:rFonts w:hint="eastAsia" w:ascii="仿宋" w:hAnsi="仿宋" w:eastAsia="仿宋" w:cs="仿宋"/>
          <w:shd w:val="clear" w:color="auto" w:fill="FFFFFF"/>
        </w:rPr>
        <w:t>名称：陕西笃信招标有限公司</w:t>
      </w:r>
    </w:p>
    <w:p>
      <w:pPr>
        <w:pStyle w:val="19"/>
        <w:spacing w:before="0" w:beforeAutospacing="0" w:after="0" w:afterAutospacing="0" w:line="460" w:lineRule="exact"/>
        <w:ind w:firstLine="480"/>
        <w:jc w:val="both"/>
        <w:textAlignment w:val="baseline"/>
        <w:rPr>
          <w:rFonts w:ascii="仿宋" w:hAnsi="仿宋" w:eastAsia="仿宋" w:cs="仿宋"/>
        </w:rPr>
      </w:pPr>
      <w:r>
        <w:rPr>
          <w:rFonts w:hint="eastAsia" w:ascii="仿宋" w:hAnsi="仿宋" w:eastAsia="仿宋" w:cs="仿宋"/>
          <w:shd w:val="clear" w:color="auto" w:fill="FFFFFF"/>
        </w:rPr>
        <w:t>地址：西安经济技术开发区凤城十一路与文景路十字文景商务广场B座8层</w:t>
      </w:r>
    </w:p>
    <w:p>
      <w:pPr>
        <w:pStyle w:val="19"/>
        <w:spacing w:before="0" w:beforeAutospacing="0" w:after="0" w:afterAutospacing="0" w:line="460" w:lineRule="exact"/>
        <w:ind w:firstLine="480"/>
        <w:jc w:val="both"/>
        <w:textAlignment w:val="baseline"/>
        <w:rPr>
          <w:rFonts w:ascii="仿宋" w:hAnsi="仿宋" w:eastAsia="仿宋" w:cs="仿宋"/>
        </w:rPr>
      </w:pPr>
      <w:r>
        <w:rPr>
          <w:rFonts w:hint="eastAsia" w:ascii="仿宋" w:hAnsi="仿宋" w:eastAsia="仿宋" w:cs="仿宋"/>
          <w:shd w:val="clear" w:color="auto" w:fill="FFFFFF"/>
        </w:rPr>
        <w:t>联系方式：029-86253389</w:t>
      </w:r>
    </w:p>
    <w:p>
      <w:pPr>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3.项目联系方式</w:t>
      </w:r>
    </w:p>
    <w:p>
      <w:pPr>
        <w:pStyle w:val="19"/>
        <w:spacing w:before="0" w:beforeAutospacing="0" w:after="0" w:afterAutospacing="0" w:line="460" w:lineRule="exact"/>
        <w:ind w:firstLine="480"/>
        <w:jc w:val="both"/>
        <w:textAlignment w:val="baseline"/>
        <w:rPr>
          <w:rFonts w:ascii="仿宋" w:hAnsi="仿宋" w:eastAsia="仿宋" w:cs="仿宋"/>
        </w:rPr>
      </w:pPr>
      <w:r>
        <w:rPr>
          <w:rFonts w:hint="eastAsia" w:ascii="仿宋" w:hAnsi="仿宋" w:eastAsia="仿宋" w:cs="仿宋"/>
          <w:shd w:val="clear" w:color="auto" w:fill="FFFFFF"/>
        </w:rPr>
        <w:t>项目联系人：贺培文、张亚娜</w:t>
      </w:r>
      <w:r>
        <w:rPr>
          <w:rFonts w:hint="eastAsia"/>
        </w:rPr>
        <w:t>、</w:t>
      </w:r>
      <w:r>
        <w:rPr>
          <w:rFonts w:hint="eastAsia" w:ascii="仿宋" w:hAnsi="仿宋" w:eastAsia="仿宋" w:cs="仿宋"/>
          <w:shd w:val="clear" w:color="auto" w:fill="FFFFFF"/>
        </w:rPr>
        <w:t>李纪旋</w:t>
      </w: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电话：029-86253389</w:t>
      </w: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p>
    <w:p>
      <w:pPr>
        <w:rPr>
          <w:rFonts w:ascii="仿宋" w:hAnsi="仿宋" w:eastAsia="仿宋" w:cs="仿宋"/>
          <w:sz w:val="32"/>
          <w:szCs w:val="32"/>
          <w:lang w:val="zh-CN"/>
        </w:rPr>
      </w:pPr>
      <w:r>
        <w:rPr>
          <w:rFonts w:hint="eastAsia" w:ascii="仿宋" w:hAnsi="仿宋" w:eastAsia="仿宋" w:cs="仿宋"/>
          <w:sz w:val="32"/>
          <w:szCs w:val="32"/>
          <w:lang w:val="zh-CN"/>
        </w:rPr>
        <w:br w:type="page"/>
      </w:r>
    </w:p>
    <w:p>
      <w:pPr>
        <w:pStyle w:val="3"/>
        <w:spacing w:line="360" w:lineRule="auto"/>
        <w:rPr>
          <w:rFonts w:ascii="仿宋" w:hAnsi="仿宋" w:eastAsia="仿宋" w:cs="仿宋"/>
          <w:szCs w:val="44"/>
          <w:lang w:val="zh-CN"/>
        </w:rPr>
      </w:pPr>
      <w:bookmarkStart w:id="18" w:name="_Toc4089"/>
      <w:r>
        <w:rPr>
          <w:rFonts w:hint="eastAsia" w:ascii="仿宋" w:hAnsi="仿宋" w:eastAsia="仿宋" w:cs="仿宋"/>
          <w:sz w:val="32"/>
          <w:szCs w:val="32"/>
          <w:lang w:val="zh-CN"/>
        </w:rPr>
        <w:t>第二部分</w:t>
      </w:r>
      <w:r>
        <w:rPr>
          <w:rFonts w:hint="eastAsia" w:ascii="仿宋" w:hAnsi="仿宋" w:eastAsia="仿宋" w:cs="仿宋"/>
          <w:sz w:val="32"/>
          <w:szCs w:val="32"/>
        </w:rPr>
        <w:t xml:space="preserve">  </w:t>
      </w:r>
      <w:r>
        <w:rPr>
          <w:rFonts w:hint="eastAsia" w:ascii="仿宋" w:hAnsi="仿宋" w:eastAsia="仿宋" w:cs="仿宋"/>
          <w:sz w:val="32"/>
          <w:szCs w:val="32"/>
          <w:lang w:val="zh-CN"/>
        </w:rPr>
        <w:t>投标人须知</w:t>
      </w:r>
      <w:bookmarkEnd w:id="10"/>
      <w:bookmarkEnd w:id="11"/>
      <w:bookmarkEnd w:id="12"/>
      <w:bookmarkEnd w:id="13"/>
      <w:bookmarkEnd w:id="14"/>
      <w:bookmarkEnd w:id="15"/>
      <w:bookmarkEnd w:id="16"/>
      <w:bookmarkEnd w:id="18"/>
    </w:p>
    <w:p>
      <w:pPr>
        <w:jc w:val="center"/>
        <w:rPr>
          <w:rFonts w:ascii="仿宋" w:hAnsi="仿宋" w:eastAsia="仿宋" w:cs="仿宋"/>
          <w:b/>
          <w:bCs/>
          <w:sz w:val="32"/>
          <w:szCs w:val="32"/>
          <w:lang w:val="zh-CN"/>
        </w:rPr>
      </w:pPr>
      <w:r>
        <w:rPr>
          <w:rFonts w:hint="eastAsia" w:ascii="仿宋" w:hAnsi="仿宋" w:eastAsia="仿宋" w:cs="仿宋"/>
          <w:b/>
          <w:bCs/>
          <w:sz w:val="32"/>
          <w:szCs w:val="32"/>
          <w:lang w:val="zh-CN"/>
        </w:rPr>
        <w:t>投标人须知前附表</w:t>
      </w:r>
    </w:p>
    <w:tbl>
      <w:tblPr>
        <w:tblStyle w:val="23"/>
        <w:tblW w:w="10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180"/>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条款</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条款名称</w:t>
            </w:r>
          </w:p>
        </w:tc>
        <w:tc>
          <w:tcPr>
            <w:tcW w:w="697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采购人</w:t>
            </w:r>
          </w:p>
        </w:tc>
        <w:tc>
          <w:tcPr>
            <w:tcW w:w="6974"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采购人名称：镇巴县人民医院</w:t>
            </w:r>
          </w:p>
          <w:p>
            <w:pPr>
              <w:spacing w:line="360" w:lineRule="auto"/>
              <w:jc w:val="left"/>
              <w:rPr>
                <w:rFonts w:ascii="仿宋" w:hAnsi="仿宋" w:eastAsia="仿宋" w:cs="仿宋"/>
                <w:sz w:val="24"/>
                <w:szCs w:val="24"/>
              </w:rPr>
            </w:pPr>
            <w:r>
              <w:rPr>
                <w:rFonts w:hint="eastAsia" w:ascii="仿宋" w:hAnsi="仿宋" w:eastAsia="仿宋" w:cs="仿宋"/>
                <w:sz w:val="24"/>
                <w:szCs w:val="24"/>
              </w:rPr>
              <w:t>地址：镇巴县泾洋镇新街43号</w:t>
            </w:r>
          </w:p>
          <w:p>
            <w:pPr>
              <w:spacing w:line="360" w:lineRule="auto"/>
              <w:jc w:val="left"/>
              <w:rPr>
                <w:rFonts w:ascii="仿宋" w:hAnsi="仿宋" w:eastAsia="仿宋" w:cs="仿宋"/>
                <w:sz w:val="24"/>
                <w:szCs w:val="24"/>
              </w:rPr>
            </w:pPr>
            <w:r>
              <w:rPr>
                <w:rFonts w:hint="eastAsia" w:ascii="仿宋" w:hAnsi="仿宋" w:eastAsia="仿宋" w:cs="仿宋"/>
                <w:sz w:val="24"/>
                <w:szCs w:val="24"/>
              </w:rPr>
              <w:t>联系方式：0916-6716505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采购代理机构</w:t>
            </w:r>
          </w:p>
        </w:tc>
        <w:tc>
          <w:tcPr>
            <w:tcW w:w="6974"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名称：陕西笃信招标有限公司</w:t>
            </w:r>
          </w:p>
          <w:p>
            <w:pPr>
              <w:spacing w:line="360" w:lineRule="auto"/>
              <w:jc w:val="left"/>
              <w:rPr>
                <w:rFonts w:ascii="仿宋" w:hAnsi="仿宋" w:eastAsia="仿宋" w:cs="仿宋"/>
                <w:sz w:val="24"/>
                <w:szCs w:val="24"/>
              </w:rPr>
            </w:pPr>
            <w:r>
              <w:rPr>
                <w:rFonts w:hint="eastAsia" w:ascii="仿宋" w:hAnsi="仿宋" w:eastAsia="仿宋" w:cs="仿宋"/>
                <w:sz w:val="24"/>
                <w:szCs w:val="24"/>
              </w:rPr>
              <w:t>地址：西安经济技术开发区凤城十一路与文景路十字文景商务广场B座8层</w:t>
            </w:r>
          </w:p>
          <w:p>
            <w:pPr>
              <w:spacing w:line="360" w:lineRule="auto"/>
              <w:jc w:val="left"/>
              <w:rPr>
                <w:rFonts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shd w:val="clear" w:color="auto" w:fill="FFFFFF"/>
              </w:rPr>
              <w:t>贺培文、张亚娜</w:t>
            </w:r>
            <w:r>
              <w:rPr>
                <w:rFonts w:hint="eastAsia"/>
              </w:rPr>
              <w:t>、</w:t>
            </w:r>
            <w:r>
              <w:rPr>
                <w:rFonts w:hint="eastAsia" w:ascii="仿宋" w:hAnsi="仿宋" w:eastAsia="仿宋" w:cs="仿宋"/>
                <w:sz w:val="24"/>
                <w:szCs w:val="24"/>
                <w:shd w:val="clear" w:color="auto" w:fill="FFFFFF"/>
              </w:rPr>
              <w:t>李纪旋</w:t>
            </w:r>
          </w:p>
          <w:p>
            <w:pPr>
              <w:spacing w:line="360" w:lineRule="auto"/>
              <w:jc w:val="left"/>
              <w:rPr>
                <w:rFonts w:ascii="仿宋" w:hAnsi="仿宋" w:eastAsia="仿宋" w:cs="仿宋"/>
                <w:sz w:val="24"/>
                <w:szCs w:val="24"/>
              </w:rPr>
            </w:pPr>
            <w:r>
              <w:rPr>
                <w:rFonts w:hint="eastAsia" w:ascii="仿宋" w:hAnsi="仿宋" w:eastAsia="仿宋" w:cs="仿宋"/>
                <w:sz w:val="24"/>
                <w:szCs w:val="24"/>
              </w:rPr>
              <w:t>联系电话：029-86253389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项目名称</w:t>
            </w:r>
          </w:p>
        </w:tc>
        <w:tc>
          <w:tcPr>
            <w:tcW w:w="6974"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镇巴县人民医院PACS及肺小结节智能诊断系统采购项目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包号及名称</w:t>
            </w:r>
          </w:p>
        </w:tc>
        <w:tc>
          <w:tcPr>
            <w:tcW w:w="6974"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包1：PACS系统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招标文件发售时间</w:t>
            </w:r>
          </w:p>
        </w:tc>
        <w:tc>
          <w:tcPr>
            <w:tcW w:w="6974"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shd w:val="clear" w:color="auto" w:fill="FFFFFF"/>
              </w:rPr>
              <w:t>2023年5月6日至2023年5月12日</w:t>
            </w:r>
            <w:r>
              <w:rPr>
                <w:rFonts w:hint="eastAsia" w:ascii="仿宋" w:hAnsi="仿宋" w:eastAsia="仿宋" w:cs="仿宋"/>
                <w:sz w:val="24"/>
                <w:szCs w:val="24"/>
              </w:rPr>
              <w:t>，每天上午 09:00:00 至 12:00:00 ，下午 14:00:00 至 17:00:00 （北京时间,法定节假日除外）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6</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资金来源</w:t>
            </w:r>
          </w:p>
        </w:tc>
        <w:tc>
          <w:tcPr>
            <w:tcW w:w="6974"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7</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采购预算</w:t>
            </w:r>
          </w:p>
        </w:tc>
        <w:tc>
          <w:tcPr>
            <w:tcW w:w="6974" w:type="dxa"/>
            <w:vAlign w:val="center"/>
          </w:tcPr>
          <w:p>
            <w:pPr>
              <w:spacing w:line="360" w:lineRule="auto"/>
              <w:rPr>
                <w:rFonts w:ascii="仿宋" w:hAnsi="仿宋" w:eastAsia="仿宋" w:cs="仿宋"/>
                <w:sz w:val="24"/>
                <w:szCs w:val="24"/>
              </w:rPr>
            </w:pPr>
            <w:r>
              <w:rPr>
                <w:rFonts w:hint="eastAsia" w:ascii="仿宋" w:hAnsi="仿宋" w:eastAsia="仿宋" w:cs="仿宋"/>
                <w:kern w:val="0"/>
                <w:sz w:val="24"/>
                <w:szCs w:val="24"/>
                <w:shd w:val="clear" w:color="auto" w:fill="FFFFFF"/>
              </w:rPr>
              <w:t>2000000.00元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8</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最高限价</w:t>
            </w:r>
          </w:p>
        </w:tc>
        <w:tc>
          <w:tcPr>
            <w:tcW w:w="6974" w:type="dxa"/>
            <w:vAlign w:val="center"/>
          </w:tcPr>
          <w:p>
            <w:pPr>
              <w:spacing w:line="360" w:lineRule="auto"/>
              <w:jc w:val="left"/>
              <w:rPr>
                <w:rFonts w:ascii="仿宋" w:hAnsi="仿宋" w:eastAsia="仿宋" w:cs="仿宋"/>
                <w:sz w:val="24"/>
                <w:szCs w:val="24"/>
              </w:rPr>
            </w:pPr>
            <w:r>
              <w:rPr>
                <w:rFonts w:hint="eastAsia" w:ascii="仿宋" w:hAnsi="仿宋" w:eastAsia="仿宋" w:cs="仿宋"/>
                <w:kern w:val="0"/>
                <w:sz w:val="24"/>
                <w:szCs w:val="24"/>
                <w:shd w:val="clear" w:color="auto" w:fill="FFFFFF"/>
              </w:rPr>
              <w:t>2000000.00元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9</w:t>
            </w:r>
          </w:p>
        </w:tc>
        <w:tc>
          <w:tcPr>
            <w:tcW w:w="2180" w:type="dxa"/>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服务期</w:t>
            </w:r>
          </w:p>
        </w:tc>
        <w:tc>
          <w:tcPr>
            <w:tcW w:w="6974" w:type="dxa"/>
            <w:shd w:val="clear" w:color="auto" w:fill="auto"/>
            <w:vAlign w:val="center"/>
          </w:tcPr>
          <w:p>
            <w:pPr>
              <w:tabs>
                <w:tab w:val="left" w:pos="480"/>
              </w:tabs>
              <w:spacing w:line="360" w:lineRule="auto"/>
              <w:rPr>
                <w:rFonts w:ascii="仿宋" w:hAnsi="仿宋" w:eastAsia="仿宋" w:cs="仿宋"/>
                <w:sz w:val="24"/>
                <w:szCs w:val="24"/>
              </w:rPr>
            </w:pPr>
            <w:r>
              <w:rPr>
                <w:rFonts w:hint="eastAsia" w:ascii="仿宋" w:hAnsi="仿宋" w:eastAsia="仿宋" w:cs="仿宋"/>
                <w:sz w:val="24"/>
                <w:szCs w:val="24"/>
                <w:lang w:val="en-US" w:eastAsia="zh-CN"/>
              </w:rPr>
              <w:t>9</w:t>
            </w:r>
            <w:r>
              <w:rPr>
                <w:rFonts w:ascii="仿宋" w:hAnsi="仿宋" w:eastAsia="仿宋" w:cs="仿宋"/>
                <w:sz w:val="24"/>
                <w:szCs w:val="24"/>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10</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交货地点</w:t>
            </w:r>
          </w:p>
        </w:tc>
        <w:tc>
          <w:tcPr>
            <w:tcW w:w="6974"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11</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投标文件递交截止时间</w:t>
            </w:r>
          </w:p>
        </w:tc>
        <w:tc>
          <w:tcPr>
            <w:tcW w:w="6974" w:type="dxa"/>
            <w:vAlign w:val="center"/>
          </w:tcPr>
          <w:p>
            <w:pPr>
              <w:snapToGrid w:val="0"/>
              <w:spacing w:line="360" w:lineRule="auto"/>
              <w:rPr>
                <w:rFonts w:ascii="仿宋" w:hAnsi="仿宋" w:eastAsia="仿宋" w:cs="仿宋"/>
                <w:sz w:val="24"/>
                <w:szCs w:val="24"/>
              </w:rPr>
            </w:pPr>
            <w:r>
              <w:rPr>
                <w:rFonts w:hint="eastAsia" w:ascii="仿宋" w:hAnsi="仿宋" w:eastAsia="仿宋" w:cs="仿宋"/>
                <w:kern w:val="0"/>
                <w:sz w:val="24"/>
                <w:szCs w:val="24"/>
              </w:rPr>
              <w:t>2023年5月30日 09时00分00秒（北京时间）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12</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递交投标文件地点</w:t>
            </w:r>
          </w:p>
        </w:tc>
        <w:tc>
          <w:tcPr>
            <w:tcW w:w="6974"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西安经济技术开发区凤城十一路与文景路十字文景商务广场B座8层开标室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13</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投标人资格要求</w:t>
            </w:r>
          </w:p>
        </w:tc>
        <w:tc>
          <w:tcPr>
            <w:tcW w:w="6974" w:type="dxa"/>
            <w:vAlign w:val="center"/>
          </w:tcPr>
          <w:p>
            <w:pPr>
              <w:snapToGri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资质要求同招标公告。</w:t>
            </w:r>
          </w:p>
          <w:p>
            <w:pPr>
              <w:spacing w:line="360" w:lineRule="auto"/>
              <w:ind w:firstLine="480" w:firstLineChars="200"/>
              <w:jc w:val="left"/>
              <w:rPr>
                <w:rFonts w:ascii="仿宋" w:hAnsi="仿宋" w:eastAsia="仿宋" w:cs="仿宋"/>
                <w:bCs/>
                <w:sz w:val="24"/>
                <w:szCs w:val="24"/>
                <w:lang w:val="zh-CN"/>
              </w:rPr>
            </w:pPr>
            <w:r>
              <w:rPr>
                <w:rFonts w:hint="eastAsia" w:ascii="仿宋" w:hAnsi="仿宋" w:eastAsia="仿宋" w:cs="仿宋"/>
                <w:bCs/>
                <w:sz w:val="24"/>
                <w:szCs w:val="24"/>
                <w:lang w:val="zh-CN"/>
              </w:rPr>
              <w:t>以上资质均为必备资质，并在投标文件中附资质复印件加盖公章。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rPr>
              <w:t>必备资质中</w:t>
            </w:r>
            <w:r>
              <w:rPr>
                <w:rFonts w:hint="eastAsia" w:ascii="仿宋" w:hAnsi="仿宋" w:eastAsia="仿宋" w:cs="仿宋"/>
                <w:bCs/>
                <w:sz w:val="24"/>
                <w:szCs w:val="24"/>
                <w:lang w:val="zh-CN"/>
              </w:rPr>
              <w:t>缺一项或某项达不到要求，按无效文件处理。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14</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投标保证金</w:t>
            </w:r>
          </w:p>
        </w:tc>
        <w:tc>
          <w:tcPr>
            <w:tcW w:w="6974" w:type="dxa"/>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在投标截止前到账。</w:t>
            </w:r>
          </w:p>
          <w:p>
            <w:pPr>
              <w:spacing w:line="360" w:lineRule="auto"/>
              <w:rPr>
                <w:rFonts w:eastAsia="仿宋"/>
              </w:rPr>
            </w:pPr>
            <w:r>
              <w:rPr>
                <w:rFonts w:hint="eastAsia" w:ascii="仿宋" w:hAnsi="仿宋" w:eastAsia="仿宋" w:cs="仿宋"/>
                <w:sz w:val="24"/>
                <w:szCs w:val="24"/>
              </w:rPr>
              <w:t>投标保证金的金额：人民币壹万元整（￥10000.00元）</w:t>
            </w:r>
          </w:p>
          <w:p>
            <w:pPr>
              <w:spacing w:line="360" w:lineRule="auto"/>
              <w:jc w:val="left"/>
              <w:rPr>
                <w:rFonts w:ascii="仿宋" w:hAnsi="仿宋" w:eastAsia="仿宋" w:cs="仿宋"/>
                <w:sz w:val="24"/>
                <w:szCs w:val="24"/>
              </w:rPr>
            </w:pPr>
            <w:r>
              <w:rPr>
                <w:rFonts w:hint="eastAsia" w:ascii="仿宋" w:hAnsi="仿宋" w:eastAsia="仿宋" w:cs="仿宋"/>
                <w:sz w:val="24"/>
                <w:szCs w:val="24"/>
              </w:rPr>
              <w:t>开户名称：</w:t>
            </w:r>
            <w:r>
              <w:rPr>
                <w:rFonts w:hint="eastAsia" w:ascii="仿宋" w:hAnsi="仿宋" w:eastAsia="仿宋" w:cs="仿宋"/>
                <w:kern w:val="0"/>
                <w:sz w:val="24"/>
                <w:szCs w:val="24"/>
              </w:rPr>
              <w:t>陕西笃信招标有限公司</w:t>
            </w:r>
          </w:p>
          <w:p>
            <w:pPr>
              <w:spacing w:line="360" w:lineRule="auto"/>
              <w:jc w:val="left"/>
              <w:rPr>
                <w:rFonts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kern w:val="0"/>
                <w:sz w:val="24"/>
                <w:szCs w:val="24"/>
              </w:rPr>
              <w:t>中国建设银行股份有限公司西安劳动北路支行</w:t>
            </w:r>
          </w:p>
          <w:p>
            <w:pPr>
              <w:tabs>
                <w:tab w:val="left" w:pos="9030"/>
              </w:tabs>
              <w:snapToGrid w:val="0"/>
              <w:spacing w:line="360" w:lineRule="auto"/>
              <w:ind w:right="-65"/>
              <w:rPr>
                <w:rFonts w:ascii="仿宋" w:hAnsi="仿宋" w:eastAsia="仿宋" w:cs="仿宋"/>
                <w:sz w:val="24"/>
                <w:szCs w:val="24"/>
              </w:rPr>
            </w:pPr>
            <w:r>
              <w:rPr>
                <w:rFonts w:hint="eastAsia" w:ascii="仿宋" w:hAnsi="仿宋" w:eastAsia="仿宋" w:cs="仿宋"/>
                <w:sz w:val="24"/>
                <w:szCs w:val="24"/>
              </w:rPr>
              <w:t>账 号：</w:t>
            </w:r>
            <w:r>
              <w:rPr>
                <w:rFonts w:hint="eastAsia" w:ascii="仿宋" w:hAnsi="仿宋" w:eastAsia="仿宋" w:cs="仿宋"/>
                <w:kern w:val="0"/>
                <w:sz w:val="24"/>
                <w:szCs w:val="24"/>
              </w:rPr>
              <w:t>61050174390000000193</w:t>
            </w:r>
          </w:p>
          <w:p>
            <w:pPr>
              <w:spacing w:line="360" w:lineRule="auto"/>
              <w:jc w:val="left"/>
              <w:rPr>
                <w:rFonts w:ascii="仿宋" w:hAnsi="仿宋" w:eastAsia="仿宋" w:cs="仿宋"/>
                <w:bCs/>
                <w:sz w:val="24"/>
                <w:szCs w:val="24"/>
              </w:rPr>
            </w:pPr>
            <w:r>
              <w:rPr>
                <w:rFonts w:hint="eastAsia" w:ascii="仿宋" w:hAnsi="仿宋" w:eastAsia="仿宋" w:cs="仿宋"/>
                <w:sz w:val="24"/>
                <w:szCs w:val="24"/>
              </w:rPr>
              <w:t>投标保证金缴纳后将投标保证金缴纳凭证附在响应文件中。投标保证金缴纳凭证作为投标保证金缴纳的唯一证据，否则投标按无效响应处理。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15</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投标文件份数</w:t>
            </w:r>
          </w:p>
        </w:tc>
        <w:tc>
          <w:tcPr>
            <w:tcW w:w="6974" w:type="dxa"/>
            <w:vAlign w:val="center"/>
          </w:tcPr>
          <w:p>
            <w:pPr>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正本 1份，副本3份，电子版1份（PDF和word文档格式，正本U盘存储，如因U盘问题导致文件无法打开，责任自负）</w:t>
            </w:r>
          </w:p>
          <w:p>
            <w:pPr>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注：</w:t>
            </w:r>
          </w:p>
          <w:p>
            <w:pPr>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1.招标文件中“第五部分 四、投标人资格证明文件”单独胶装成册1本，与投标文件正本一同密封。</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rPr>
              <w:t>2.单独胶装的投标人资格证明文件与投标文件正本中资格不一致时，以投标文件正本为准。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16</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投标人对投标文件提出质疑的截止时间</w:t>
            </w:r>
          </w:p>
        </w:tc>
        <w:tc>
          <w:tcPr>
            <w:tcW w:w="6974"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lang w:val="zh-CN"/>
              </w:rPr>
              <w:t>投标人在招标文件、开标过程、中标结果使自己的权益受到损害的</w:t>
            </w:r>
            <w:r>
              <w:rPr>
                <w:rFonts w:hint="eastAsia" w:ascii="仿宋" w:hAnsi="仿宋" w:eastAsia="仿宋" w:cs="仿宋"/>
                <w:sz w:val="24"/>
                <w:szCs w:val="24"/>
              </w:rPr>
              <w:t>，</w:t>
            </w:r>
            <w:r>
              <w:rPr>
                <w:rFonts w:hint="eastAsia" w:ascii="仿宋" w:hAnsi="仿宋" w:eastAsia="仿宋" w:cs="仿宋"/>
                <w:sz w:val="24"/>
                <w:szCs w:val="24"/>
                <w:lang w:val="zh-CN"/>
              </w:rPr>
              <w:t>可以在知道或者应知其权益受到损害之日起七个工作日内</w:t>
            </w:r>
            <w:r>
              <w:rPr>
                <w:rFonts w:hint="eastAsia" w:ascii="仿宋" w:hAnsi="仿宋" w:eastAsia="仿宋" w:cs="仿宋"/>
                <w:sz w:val="24"/>
                <w:szCs w:val="24"/>
              </w:rPr>
              <w:t>，</w:t>
            </w:r>
            <w:r>
              <w:rPr>
                <w:rFonts w:hint="eastAsia" w:ascii="仿宋" w:hAnsi="仿宋" w:eastAsia="仿宋" w:cs="仿宋"/>
                <w:sz w:val="24"/>
                <w:szCs w:val="24"/>
                <w:lang w:val="zh-CN"/>
              </w:rPr>
              <w:t>以书面形式向采购代理机构提出</w:t>
            </w:r>
            <w:r>
              <w:rPr>
                <w:rFonts w:hint="eastAsia" w:ascii="仿宋" w:hAnsi="仿宋" w:eastAsia="仿宋" w:cs="仿宋"/>
                <w:sz w:val="24"/>
                <w:szCs w:val="24"/>
              </w:rPr>
              <w:t>（同时须将此书面文件电子版一份发送至采购代理机构电子邮箱，电子邮件：2059407584@qq.com），</w:t>
            </w:r>
            <w:r>
              <w:rPr>
                <w:rFonts w:hint="eastAsia" w:ascii="仿宋" w:hAnsi="仿宋" w:eastAsia="仿宋" w:cs="仿宋"/>
                <w:sz w:val="24"/>
                <w:szCs w:val="24"/>
                <w:lang w:val="zh-CN"/>
              </w:rPr>
              <w:t>采购代理机构将予以答复</w:t>
            </w:r>
            <w:r>
              <w:rPr>
                <w:rFonts w:hint="eastAsia" w:ascii="仿宋" w:hAnsi="仿宋" w:eastAsia="仿宋" w:cs="仿宋"/>
                <w:sz w:val="24"/>
                <w:szCs w:val="24"/>
              </w:rPr>
              <w:t>，</w:t>
            </w:r>
            <w:r>
              <w:rPr>
                <w:rFonts w:hint="eastAsia" w:ascii="仿宋" w:hAnsi="仿宋" w:eastAsia="仿宋" w:cs="仿宋"/>
                <w:sz w:val="24"/>
                <w:szCs w:val="24"/>
                <w:lang w:val="zh-CN"/>
              </w:rPr>
              <w:t>以书面形式发给所有获取招标文件的投标人</w:t>
            </w:r>
            <w:r>
              <w:rPr>
                <w:rFonts w:hint="eastAsia" w:ascii="仿宋" w:hAnsi="仿宋" w:eastAsia="仿宋" w:cs="仿宋"/>
                <w:sz w:val="24"/>
                <w:szCs w:val="24"/>
              </w:rPr>
              <w:t>，</w:t>
            </w:r>
            <w:r>
              <w:rPr>
                <w:rFonts w:hint="eastAsia" w:ascii="仿宋" w:hAnsi="仿宋" w:eastAsia="仿宋" w:cs="仿宋"/>
                <w:sz w:val="24"/>
                <w:szCs w:val="24"/>
                <w:lang w:val="zh-CN"/>
              </w:rPr>
              <w:t>但不指明问题的来源。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17</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投标人确认收到澄清或者修改的时间</w:t>
            </w:r>
          </w:p>
        </w:tc>
        <w:tc>
          <w:tcPr>
            <w:tcW w:w="6974"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在收到相应澄清或答疑文件后24小时内。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18</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投标有效期</w:t>
            </w:r>
          </w:p>
        </w:tc>
        <w:tc>
          <w:tcPr>
            <w:tcW w:w="6974"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不少于90日历日（自开标之日起）。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19</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是否接受</w:t>
            </w:r>
          </w:p>
          <w:p>
            <w:pPr>
              <w:spacing w:line="360" w:lineRule="auto"/>
              <w:jc w:val="center"/>
              <w:rPr>
                <w:rFonts w:ascii="仿宋" w:hAnsi="仿宋" w:eastAsia="仿宋" w:cs="仿宋"/>
                <w:sz w:val="24"/>
                <w:szCs w:val="24"/>
              </w:rPr>
            </w:pPr>
            <w:r>
              <w:rPr>
                <w:rFonts w:hint="eastAsia" w:ascii="仿宋" w:hAnsi="仿宋" w:eastAsia="仿宋" w:cs="仿宋"/>
                <w:sz w:val="24"/>
                <w:szCs w:val="24"/>
              </w:rPr>
              <w:t>联合体投标</w:t>
            </w:r>
          </w:p>
        </w:tc>
        <w:tc>
          <w:tcPr>
            <w:tcW w:w="6974"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20</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答疑会</w:t>
            </w:r>
          </w:p>
        </w:tc>
        <w:tc>
          <w:tcPr>
            <w:tcW w:w="6974"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21</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投标文件装订要求</w:t>
            </w:r>
          </w:p>
        </w:tc>
        <w:tc>
          <w:tcPr>
            <w:tcW w:w="6974"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投标文件建议双面打印，应牢固装订成册，不可插页抽页。牢固装订成册是指用适当的办法,书脊涂有胶粘剂以保证投标文件不至于散开或用简单办法不能将任何一页在没有任何损坏的情况下取出或插入。各种用活页夹、文件夹、塑料方便式书脊（插入式或穿孔式）装订均不认为是牢固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22</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投标文件的签署要求</w:t>
            </w:r>
          </w:p>
        </w:tc>
        <w:tc>
          <w:tcPr>
            <w:tcW w:w="6974" w:type="dxa"/>
            <w:vAlign w:val="center"/>
          </w:tcPr>
          <w:p>
            <w:pPr>
              <w:spacing w:line="360" w:lineRule="auto"/>
              <w:rPr>
                <w:rFonts w:ascii="仿宋" w:hAnsi="仿宋" w:eastAsia="仿宋" w:cs="仿宋"/>
                <w:bCs/>
                <w:sz w:val="24"/>
                <w:szCs w:val="24"/>
              </w:rPr>
            </w:pPr>
            <w:r>
              <w:rPr>
                <w:rFonts w:hint="eastAsia" w:ascii="仿宋" w:hAnsi="仿宋" w:eastAsia="仿宋" w:cs="仿宋"/>
                <w:sz w:val="24"/>
                <w:szCs w:val="24"/>
                <w:lang w:val="zh-CN"/>
              </w:rPr>
              <w:t>投标文件应加盖投标人红色公章</w:t>
            </w:r>
            <w:r>
              <w:rPr>
                <w:rFonts w:hint="eastAsia" w:ascii="仿宋" w:hAnsi="仿宋" w:eastAsia="仿宋" w:cs="仿宋"/>
                <w:bCs/>
                <w:sz w:val="24"/>
                <w:szCs w:val="24"/>
              </w:rPr>
              <w:t>并按照招标文件要求由法定代表人（或授权代表人）签字。</w:t>
            </w:r>
          </w:p>
          <w:p>
            <w:pPr>
              <w:spacing w:line="360" w:lineRule="auto"/>
              <w:rPr>
                <w:rFonts w:ascii="仿宋" w:hAnsi="仿宋" w:eastAsia="仿宋" w:cs="仿宋"/>
                <w:sz w:val="24"/>
                <w:szCs w:val="24"/>
              </w:rPr>
            </w:pPr>
            <w:r>
              <w:rPr>
                <w:rFonts w:hint="eastAsia" w:ascii="仿宋" w:hAnsi="仿宋" w:eastAsia="仿宋" w:cs="仿宋"/>
                <w:bCs/>
                <w:sz w:val="24"/>
                <w:szCs w:val="24"/>
              </w:rPr>
              <w:t>注：副本可以为正本的复印件。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23</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投标文件密封</w:t>
            </w:r>
          </w:p>
        </w:tc>
        <w:tc>
          <w:tcPr>
            <w:tcW w:w="6974" w:type="dxa"/>
            <w:vAlign w:val="center"/>
          </w:tcPr>
          <w:p>
            <w:pPr>
              <w:tabs>
                <w:tab w:val="left" w:pos="9030"/>
              </w:tabs>
              <w:snapToGrid w:val="0"/>
              <w:spacing w:line="360" w:lineRule="auto"/>
              <w:ind w:right="-65"/>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）投标人应将投标文件分为</w:t>
            </w:r>
            <w:r>
              <w:rPr>
                <w:rFonts w:hint="eastAsia" w:ascii="仿宋" w:hAnsi="仿宋" w:eastAsia="仿宋" w:cs="仿宋"/>
                <w:sz w:val="24"/>
                <w:szCs w:val="24"/>
              </w:rPr>
              <w:t>3个包装袋。</w:t>
            </w:r>
            <w:r>
              <w:rPr>
                <w:rFonts w:hint="eastAsia" w:ascii="仿宋" w:hAnsi="仿宋" w:eastAsia="仿宋" w:cs="仿宋"/>
                <w:sz w:val="24"/>
                <w:szCs w:val="24"/>
                <w:lang w:val="zh-CN"/>
              </w:rPr>
              <w:t>正本单独密封、所有副本密封，投标文件电子版单独密封且在外层包装上标明字样。</w:t>
            </w:r>
          </w:p>
          <w:p>
            <w:pPr>
              <w:tabs>
                <w:tab w:val="left" w:pos="9030"/>
              </w:tabs>
              <w:snapToGrid w:val="0"/>
              <w:spacing w:line="360" w:lineRule="auto"/>
              <w:ind w:right="-65"/>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外层包装应加封条密封，在封线处加盖公章（骑缝章），标明项目编号、包号、项目名称，投标人全称（公章）、在</w:t>
            </w:r>
            <w:r>
              <w:rPr>
                <w:rFonts w:hint="eastAsia" w:ascii="仿宋" w:hAnsi="仿宋" w:eastAsia="仿宋" w:cs="仿宋"/>
                <w:sz w:val="24"/>
                <w:szCs w:val="24"/>
              </w:rPr>
              <w:t>XXXX年XX月XX日XX：XX前不得启封</w:t>
            </w:r>
            <w:r>
              <w:rPr>
                <w:rFonts w:hint="eastAsia" w:ascii="仿宋" w:hAnsi="仿宋" w:eastAsia="仿宋" w:cs="仿宋"/>
                <w:sz w:val="24"/>
                <w:szCs w:val="24"/>
                <w:lang w:val="zh-CN"/>
              </w:rPr>
              <w:t>等内容。</w:t>
            </w:r>
          </w:p>
          <w:p>
            <w:pPr>
              <w:spacing w:line="360" w:lineRule="auto"/>
              <w:jc w:val="left"/>
              <w:rPr>
                <w:rFonts w:ascii="仿宋" w:hAnsi="仿宋" w:eastAsia="仿宋" w:cs="仿宋"/>
                <w:sz w:val="24"/>
                <w:szCs w:val="24"/>
              </w:rPr>
            </w:pPr>
            <w:r>
              <w:rPr>
                <w:rFonts w:hint="eastAsia" w:ascii="仿宋" w:hAnsi="仿宋" w:eastAsia="仿宋" w:cs="仿宋"/>
                <w:b/>
                <w:bCs/>
                <w:sz w:val="24"/>
                <w:szCs w:val="24"/>
              </w:rPr>
              <w:t>注：如果投标文件未按要求密封和加写标记，采购代理机构将不予接受。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24</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结果公告公示媒体</w:t>
            </w:r>
          </w:p>
        </w:tc>
        <w:tc>
          <w:tcPr>
            <w:tcW w:w="6974"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9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25</w:t>
            </w:r>
          </w:p>
        </w:tc>
        <w:tc>
          <w:tcPr>
            <w:tcW w:w="21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中标服务费</w:t>
            </w:r>
          </w:p>
        </w:tc>
        <w:tc>
          <w:tcPr>
            <w:tcW w:w="6974"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参照国家计委关于《招标代理服务收费管理暂行办法》（计价格[2002]1980号）、《国家发展改革委办公厅关于招标代理服务收费有关问题的通知》（发改价格[2003]857号）、《国家发展改革委关于进一步放开建设项目专业服务价格的通知》；本项目招标代理服务费由成交投标人在中标结果公示期满后三个工作日内按照标准支付给招标代理机构。（代理报酬的币种：人民币，汇率：无）</w:t>
            </w:r>
          </w:p>
        </w:tc>
      </w:tr>
    </w:tbl>
    <w:p>
      <w:pPr>
        <w:pStyle w:val="14"/>
        <w:rPr>
          <w:lang w:val="zh-CN"/>
        </w:rPr>
      </w:pPr>
    </w:p>
    <w:p>
      <w:pPr>
        <w:pageBreakBefore/>
        <w:spacing w:line="360" w:lineRule="auto"/>
        <w:ind w:firstLine="482" w:firstLineChars="200"/>
        <w:outlineLvl w:val="1"/>
        <w:rPr>
          <w:rFonts w:ascii="仿宋" w:hAnsi="仿宋" w:eastAsia="仿宋" w:cs="仿宋"/>
          <w:b/>
          <w:bCs/>
          <w:sz w:val="24"/>
          <w:szCs w:val="24"/>
          <w:lang w:val="zh-CN"/>
        </w:rPr>
      </w:pPr>
      <w:bookmarkStart w:id="19" w:name="_Toc26858"/>
      <w:bookmarkStart w:id="20" w:name="_Toc24650"/>
      <w:bookmarkStart w:id="21" w:name="_Toc8779"/>
      <w:bookmarkStart w:id="22" w:name="_Toc10661"/>
      <w:bookmarkStart w:id="23" w:name="_Toc28753"/>
      <w:bookmarkStart w:id="24" w:name="_Toc29439"/>
      <w:bookmarkStart w:id="25" w:name="_Toc3130"/>
      <w:bookmarkStart w:id="26" w:name="_Toc31912"/>
      <w:r>
        <w:rPr>
          <w:rFonts w:hint="eastAsia" w:ascii="仿宋" w:hAnsi="仿宋" w:eastAsia="仿宋" w:cs="仿宋"/>
          <w:b/>
          <w:bCs/>
          <w:sz w:val="24"/>
          <w:szCs w:val="24"/>
          <w:lang w:val="zh-CN"/>
        </w:rPr>
        <w:t>一、总则</w:t>
      </w:r>
      <w:bookmarkEnd w:id="19"/>
      <w:bookmarkEnd w:id="20"/>
      <w:bookmarkEnd w:id="21"/>
      <w:bookmarkEnd w:id="22"/>
      <w:bookmarkEnd w:id="23"/>
      <w:bookmarkEnd w:id="24"/>
      <w:bookmarkEnd w:id="25"/>
      <w:bookmarkEnd w:id="26"/>
    </w:p>
    <w:p>
      <w:pPr>
        <w:spacing w:line="360" w:lineRule="auto"/>
        <w:ind w:firstLine="482" w:firstLineChars="200"/>
        <w:outlineLvl w:val="2"/>
        <w:rPr>
          <w:rFonts w:ascii="仿宋" w:hAnsi="仿宋" w:eastAsia="仿宋" w:cs="仿宋"/>
          <w:sz w:val="24"/>
          <w:szCs w:val="24"/>
          <w:lang w:val="zh-CN"/>
        </w:rPr>
      </w:pPr>
      <w:bookmarkStart w:id="27" w:name="_Toc20"/>
      <w:bookmarkStart w:id="28" w:name="_Toc6093"/>
      <w:bookmarkStart w:id="29" w:name="_Toc7648"/>
      <w:bookmarkStart w:id="30" w:name="_Toc5427"/>
      <w:bookmarkStart w:id="31" w:name="_Toc17517"/>
      <w:bookmarkStart w:id="32" w:name="_Toc14386"/>
      <w:bookmarkStart w:id="33" w:name="_Toc29110"/>
      <w:bookmarkStart w:id="34" w:name="_Toc8407"/>
      <w:bookmarkStart w:id="35" w:name="_Toc6337"/>
      <w:r>
        <w:rPr>
          <w:rFonts w:hint="eastAsia" w:ascii="仿宋" w:hAnsi="仿宋" w:eastAsia="仿宋" w:cs="仿宋"/>
          <w:b/>
          <w:bCs/>
          <w:sz w:val="24"/>
          <w:szCs w:val="24"/>
          <w:lang w:val="zh-CN"/>
        </w:rPr>
        <w:t>（一）适用范围</w:t>
      </w:r>
      <w:bookmarkEnd w:id="27"/>
      <w:bookmarkEnd w:id="28"/>
      <w:bookmarkEnd w:id="29"/>
      <w:bookmarkEnd w:id="30"/>
      <w:bookmarkEnd w:id="31"/>
      <w:bookmarkEnd w:id="32"/>
      <w:bookmarkEnd w:id="33"/>
      <w:bookmarkEnd w:id="34"/>
      <w:bookmarkEnd w:id="35"/>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1、本招标文件仅适用于本次招标所述的镇巴县人民医院PACS及肺小结节智能诊断系统采购项目采购活动。</w:t>
      </w:r>
    </w:p>
    <w:bookmarkEnd w:id="17"/>
    <w:p>
      <w:pPr>
        <w:spacing w:line="360" w:lineRule="auto"/>
        <w:ind w:firstLine="482" w:firstLineChars="200"/>
        <w:outlineLvl w:val="2"/>
        <w:rPr>
          <w:rFonts w:ascii="仿宋" w:hAnsi="仿宋" w:eastAsia="仿宋" w:cs="仿宋"/>
          <w:sz w:val="24"/>
          <w:szCs w:val="24"/>
          <w:lang w:val="zh-CN"/>
        </w:rPr>
      </w:pPr>
      <w:bookmarkStart w:id="36" w:name="_Toc20921"/>
      <w:bookmarkStart w:id="37" w:name="_Toc11334"/>
      <w:bookmarkStart w:id="38" w:name="_Toc26769"/>
      <w:bookmarkStart w:id="39" w:name="_Toc5174"/>
      <w:bookmarkStart w:id="40" w:name="_Toc27411"/>
      <w:bookmarkStart w:id="41" w:name="_Toc25233"/>
      <w:bookmarkStart w:id="42" w:name="_Toc97"/>
      <w:bookmarkStart w:id="43" w:name="_Toc20501"/>
      <w:bookmarkStart w:id="44" w:name="_Toc18376"/>
      <w:r>
        <w:rPr>
          <w:rFonts w:hint="eastAsia" w:ascii="仿宋" w:hAnsi="仿宋" w:eastAsia="仿宋" w:cs="仿宋"/>
          <w:b/>
          <w:bCs/>
          <w:sz w:val="24"/>
          <w:szCs w:val="24"/>
          <w:lang w:val="zh-CN"/>
        </w:rPr>
        <w:t>（二）名词解释</w:t>
      </w:r>
      <w:bookmarkEnd w:id="36"/>
      <w:bookmarkEnd w:id="37"/>
      <w:bookmarkEnd w:id="38"/>
      <w:bookmarkEnd w:id="39"/>
      <w:bookmarkEnd w:id="40"/>
      <w:bookmarkEnd w:id="41"/>
      <w:bookmarkEnd w:id="42"/>
      <w:bookmarkEnd w:id="43"/>
      <w:bookmarkEnd w:id="44"/>
    </w:p>
    <w:p>
      <w:pPr>
        <w:autoSpaceDE w:val="0"/>
        <w:autoSpaceDN w:val="0"/>
        <w:adjustRightInd w:val="0"/>
        <w:spacing w:line="360" w:lineRule="auto"/>
        <w:ind w:firstLine="480" w:firstLineChars="200"/>
        <w:rPr>
          <w:rFonts w:ascii="仿宋" w:hAnsi="仿宋" w:eastAsia="仿宋" w:cs="仿宋"/>
          <w:kern w:val="0"/>
          <w:sz w:val="24"/>
          <w:szCs w:val="24"/>
        </w:rPr>
      </w:pPr>
      <w:r>
        <w:rPr>
          <w:rFonts w:hint="eastAsia" w:ascii="仿宋" w:hAnsi="仿宋" w:eastAsia="仿宋" w:cs="仿宋"/>
          <w:sz w:val="24"/>
          <w:szCs w:val="24"/>
        </w:rPr>
        <w:t>1、</w:t>
      </w:r>
      <w:r>
        <w:rPr>
          <w:rFonts w:hint="eastAsia" w:ascii="仿宋" w:hAnsi="仿宋" w:eastAsia="仿宋" w:cs="仿宋"/>
          <w:sz w:val="24"/>
          <w:szCs w:val="24"/>
          <w:lang w:val="zh-CN"/>
        </w:rPr>
        <w:t>采购人：</w:t>
      </w:r>
      <w:r>
        <w:rPr>
          <w:rFonts w:hint="eastAsia" w:ascii="仿宋" w:hAnsi="仿宋" w:eastAsia="仿宋" w:cs="仿宋"/>
          <w:sz w:val="24"/>
          <w:szCs w:val="24"/>
        </w:rPr>
        <w:t>镇巴县人民医院</w:t>
      </w:r>
    </w:p>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监督机构：镇巴县财政局</w:t>
      </w:r>
    </w:p>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招标代理机构：陕西笃信招标有限公司</w:t>
      </w:r>
    </w:p>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投标人：响应招标、参加投标竞争的法人、其他组织或者自然人。</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5、</w:t>
      </w:r>
      <w:r>
        <w:rPr>
          <w:rFonts w:hint="eastAsia" w:ascii="仿宋" w:hAnsi="仿宋" w:eastAsia="仿宋" w:cs="仿宋"/>
          <w:sz w:val="24"/>
          <w:szCs w:val="24"/>
          <w:lang w:val="zh-CN"/>
        </w:rPr>
        <w:t>招标文件：含澄清、修改内容的书面资料和招标文件格式的统称。</w:t>
      </w:r>
    </w:p>
    <w:p>
      <w:pPr>
        <w:autoSpaceDE w:val="0"/>
        <w:autoSpaceDN w:val="0"/>
        <w:adjustRightInd w:val="0"/>
        <w:snapToGrid w:val="0"/>
        <w:spacing w:line="360" w:lineRule="auto"/>
        <w:ind w:firstLine="482" w:firstLineChars="200"/>
        <w:outlineLvl w:val="1"/>
        <w:rPr>
          <w:rFonts w:ascii="仿宋" w:hAnsi="仿宋" w:eastAsia="仿宋" w:cs="仿宋"/>
          <w:b/>
          <w:bCs/>
          <w:sz w:val="24"/>
          <w:szCs w:val="24"/>
          <w:lang w:val="zh-CN"/>
        </w:rPr>
      </w:pPr>
      <w:bookmarkStart w:id="45" w:name="_Toc18325"/>
      <w:bookmarkStart w:id="46" w:name="_Toc18136"/>
      <w:bookmarkStart w:id="47" w:name="_Toc32052"/>
      <w:bookmarkStart w:id="48" w:name="_Toc13475"/>
      <w:bookmarkStart w:id="49" w:name="_Toc24956"/>
      <w:bookmarkStart w:id="50" w:name="_Toc5144"/>
      <w:bookmarkStart w:id="51" w:name="_Toc29138"/>
      <w:bookmarkStart w:id="52" w:name="_Toc7846"/>
      <w:r>
        <w:rPr>
          <w:rFonts w:hint="eastAsia" w:ascii="仿宋" w:hAnsi="仿宋" w:eastAsia="仿宋" w:cs="仿宋"/>
          <w:b/>
          <w:bCs/>
          <w:sz w:val="24"/>
          <w:szCs w:val="24"/>
          <w:lang w:val="zh-CN"/>
        </w:rPr>
        <w:t>二、招标文件</w:t>
      </w:r>
      <w:bookmarkEnd w:id="45"/>
      <w:bookmarkEnd w:id="46"/>
      <w:bookmarkEnd w:id="47"/>
      <w:bookmarkEnd w:id="48"/>
      <w:bookmarkEnd w:id="49"/>
      <w:bookmarkEnd w:id="50"/>
      <w:bookmarkEnd w:id="51"/>
      <w:bookmarkEnd w:id="52"/>
    </w:p>
    <w:p>
      <w:pPr>
        <w:autoSpaceDE w:val="0"/>
        <w:autoSpaceDN w:val="0"/>
        <w:adjustRightInd w:val="0"/>
        <w:snapToGrid w:val="0"/>
        <w:spacing w:line="360" w:lineRule="auto"/>
        <w:ind w:firstLine="482" w:firstLineChars="200"/>
        <w:outlineLvl w:val="2"/>
        <w:rPr>
          <w:rFonts w:ascii="仿宋" w:hAnsi="仿宋" w:eastAsia="仿宋" w:cs="仿宋"/>
          <w:b/>
          <w:sz w:val="24"/>
          <w:szCs w:val="24"/>
          <w:lang w:val="zh-CN"/>
        </w:rPr>
      </w:pPr>
      <w:bookmarkStart w:id="53" w:name="_Toc24239"/>
      <w:bookmarkStart w:id="54" w:name="_Toc22798"/>
      <w:bookmarkStart w:id="55" w:name="_Toc1837"/>
      <w:bookmarkStart w:id="56" w:name="_Toc24667"/>
      <w:bookmarkStart w:id="57" w:name="_Toc23894"/>
      <w:bookmarkStart w:id="58" w:name="_Toc21955"/>
      <w:bookmarkStart w:id="59" w:name="_Toc27613"/>
      <w:bookmarkStart w:id="60" w:name="_Toc19188"/>
      <w:bookmarkStart w:id="61" w:name="_Toc16573"/>
      <w:r>
        <w:rPr>
          <w:rFonts w:hint="eastAsia" w:ascii="仿宋" w:hAnsi="仿宋" w:eastAsia="仿宋" w:cs="仿宋"/>
          <w:b/>
          <w:sz w:val="24"/>
          <w:szCs w:val="24"/>
          <w:lang w:val="zh-CN"/>
        </w:rPr>
        <w:t>（一）招标文件</w:t>
      </w:r>
      <w:bookmarkEnd w:id="53"/>
      <w:bookmarkEnd w:id="54"/>
      <w:bookmarkEnd w:id="55"/>
      <w:r>
        <w:rPr>
          <w:rFonts w:hint="eastAsia" w:ascii="仿宋" w:hAnsi="仿宋" w:eastAsia="仿宋" w:cs="仿宋"/>
          <w:b/>
          <w:sz w:val="24"/>
          <w:szCs w:val="24"/>
          <w:lang w:val="zh-CN"/>
        </w:rPr>
        <w:t>的组成</w:t>
      </w:r>
      <w:bookmarkEnd w:id="56"/>
      <w:bookmarkEnd w:id="57"/>
      <w:bookmarkEnd w:id="58"/>
      <w:bookmarkEnd w:id="59"/>
      <w:bookmarkEnd w:id="60"/>
      <w:bookmarkEnd w:id="61"/>
      <w:r>
        <w:rPr>
          <w:rFonts w:hint="eastAsia" w:ascii="仿宋" w:hAnsi="仿宋" w:eastAsia="仿宋" w:cs="仿宋"/>
          <w:b/>
          <w:sz w:val="24"/>
          <w:szCs w:val="24"/>
          <w:lang w:val="zh-CN"/>
        </w:rPr>
        <w:t xml:space="preserve">   </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招标文件以中文编制，招标文件包括六部分，各投标人应根据招标文件中的所有内容及要求提交全部资料。</w:t>
      </w:r>
    </w:p>
    <w:p>
      <w:pPr>
        <w:autoSpaceDE w:val="0"/>
        <w:autoSpaceDN w:val="0"/>
        <w:adjustRightInd w:val="0"/>
        <w:snapToGrid w:val="0"/>
        <w:spacing w:line="360" w:lineRule="auto"/>
        <w:ind w:firstLine="570"/>
        <w:rPr>
          <w:rFonts w:ascii="仿宋" w:hAnsi="仿宋" w:eastAsia="仿宋" w:cs="仿宋"/>
          <w:sz w:val="24"/>
          <w:szCs w:val="24"/>
          <w:lang w:val="zh-CN"/>
        </w:rPr>
      </w:pPr>
      <w:r>
        <w:rPr>
          <w:rFonts w:hint="eastAsia" w:ascii="仿宋" w:hAnsi="仿宋" w:eastAsia="仿宋" w:cs="仿宋"/>
          <w:sz w:val="24"/>
          <w:szCs w:val="24"/>
          <w:lang w:val="zh-CN"/>
        </w:rPr>
        <w:t>招标文件是根据本项目的特点和需求编制，包括以下内容：</w:t>
      </w:r>
    </w:p>
    <w:p>
      <w:pPr>
        <w:autoSpaceDE w:val="0"/>
        <w:autoSpaceDN w:val="0"/>
        <w:adjustRightInd w:val="0"/>
        <w:snapToGrid w:val="0"/>
        <w:spacing w:line="360" w:lineRule="auto"/>
        <w:ind w:firstLine="57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招标公告</w:t>
      </w:r>
    </w:p>
    <w:p>
      <w:pPr>
        <w:autoSpaceDE w:val="0"/>
        <w:autoSpaceDN w:val="0"/>
        <w:adjustRightInd w:val="0"/>
        <w:snapToGrid w:val="0"/>
        <w:spacing w:line="360" w:lineRule="auto"/>
        <w:ind w:firstLine="57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投标人须知</w:t>
      </w:r>
    </w:p>
    <w:p>
      <w:pPr>
        <w:autoSpaceDE w:val="0"/>
        <w:autoSpaceDN w:val="0"/>
        <w:adjustRightInd w:val="0"/>
        <w:snapToGrid w:val="0"/>
        <w:spacing w:line="360" w:lineRule="auto"/>
        <w:ind w:firstLine="57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招标内容及要求</w:t>
      </w:r>
    </w:p>
    <w:p>
      <w:pPr>
        <w:autoSpaceDE w:val="0"/>
        <w:autoSpaceDN w:val="0"/>
        <w:adjustRightInd w:val="0"/>
        <w:snapToGrid w:val="0"/>
        <w:spacing w:line="360" w:lineRule="auto"/>
        <w:ind w:firstLine="570"/>
        <w:rPr>
          <w:rFonts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合同主要条款及格式</w:t>
      </w:r>
    </w:p>
    <w:p>
      <w:pPr>
        <w:autoSpaceDE w:val="0"/>
        <w:autoSpaceDN w:val="0"/>
        <w:adjustRightInd w:val="0"/>
        <w:snapToGrid w:val="0"/>
        <w:spacing w:line="360" w:lineRule="auto"/>
        <w:ind w:firstLine="570"/>
        <w:rPr>
          <w:rFonts w:ascii="仿宋" w:hAnsi="仿宋" w:eastAsia="仿宋" w:cs="仿宋"/>
          <w:sz w:val="24"/>
          <w:szCs w:val="24"/>
        </w:rPr>
      </w:pPr>
      <w:bookmarkStart w:id="62" w:name="_Toc6936"/>
      <w:bookmarkStart w:id="63" w:name="_Toc26386"/>
      <w:bookmarkStart w:id="64" w:name="_Toc16787"/>
      <w:bookmarkStart w:id="65" w:name="_Toc9208"/>
      <w:bookmarkStart w:id="66" w:name="_Toc31680"/>
      <w:bookmarkStart w:id="67" w:name="_Toc21971"/>
      <w:bookmarkStart w:id="68" w:name="_Toc28098"/>
      <w:bookmarkStart w:id="69" w:name="_Toc15799"/>
      <w:r>
        <w:rPr>
          <w:rFonts w:hint="eastAsia" w:ascii="仿宋" w:hAnsi="仿宋" w:eastAsia="仿宋" w:cs="仿宋"/>
          <w:sz w:val="24"/>
          <w:szCs w:val="24"/>
        </w:rPr>
        <w:t>（5）投标文件格式</w:t>
      </w:r>
    </w:p>
    <w:p>
      <w:pPr>
        <w:autoSpaceDE w:val="0"/>
        <w:autoSpaceDN w:val="0"/>
        <w:adjustRightInd w:val="0"/>
        <w:snapToGrid w:val="0"/>
        <w:spacing w:line="360" w:lineRule="auto"/>
        <w:ind w:firstLine="482" w:firstLineChars="200"/>
        <w:outlineLvl w:val="2"/>
        <w:rPr>
          <w:rFonts w:ascii="仿宋" w:hAnsi="仿宋" w:eastAsia="仿宋" w:cs="仿宋"/>
          <w:sz w:val="24"/>
          <w:szCs w:val="24"/>
          <w:lang w:val="zh-CN"/>
        </w:rPr>
      </w:pPr>
      <w:bookmarkStart w:id="70" w:name="_Toc11099"/>
      <w:r>
        <w:rPr>
          <w:rFonts w:hint="eastAsia" w:ascii="仿宋" w:hAnsi="仿宋" w:eastAsia="仿宋" w:cs="仿宋"/>
          <w:b/>
          <w:bCs/>
          <w:sz w:val="24"/>
          <w:szCs w:val="24"/>
        </w:rPr>
        <w:t>（二）</w:t>
      </w:r>
      <w:r>
        <w:rPr>
          <w:rFonts w:hint="eastAsia" w:ascii="仿宋" w:hAnsi="仿宋" w:eastAsia="仿宋" w:cs="仿宋"/>
          <w:b/>
          <w:bCs/>
          <w:sz w:val="24"/>
          <w:szCs w:val="24"/>
          <w:lang w:val="zh-CN"/>
        </w:rPr>
        <w:t>招标文件的修改或澄清</w:t>
      </w:r>
      <w:bookmarkEnd w:id="62"/>
      <w:bookmarkEnd w:id="63"/>
      <w:bookmarkEnd w:id="64"/>
      <w:bookmarkEnd w:id="65"/>
      <w:bookmarkEnd w:id="66"/>
      <w:bookmarkEnd w:id="67"/>
      <w:bookmarkEnd w:id="68"/>
      <w:bookmarkEnd w:id="69"/>
      <w:bookmarkEnd w:id="70"/>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如果招标文件进行必要的澄清或者修改，将在发布招标公告的财政部门指定媒体上由采购代理机构发布更正公告，并以书面形式通知所有获取招标文件的单位。澄清或者修改的内容可能影响投标文件编制的，不足</w:t>
      </w:r>
      <w:r>
        <w:rPr>
          <w:rFonts w:hint="eastAsia" w:ascii="仿宋" w:hAnsi="仿宋" w:eastAsia="仿宋" w:cs="仿宋"/>
          <w:sz w:val="24"/>
          <w:szCs w:val="24"/>
        </w:rPr>
        <w:t>15日</w:t>
      </w:r>
      <w:r>
        <w:rPr>
          <w:rFonts w:hint="eastAsia" w:ascii="仿宋" w:hAnsi="仿宋" w:eastAsia="仿宋" w:cs="仿宋"/>
          <w:sz w:val="24"/>
          <w:szCs w:val="24"/>
          <w:lang w:val="zh-CN"/>
        </w:rPr>
        <w:t>的，采购代理机构将顺延提交投标文件的截止时间。澄清或者修改的内容为招标文件的组成部分。</w:t>
      </w:r>
    </w:p>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投标人在收到澄清或修改文件后，应在一个工作日内以书面形式（加盖公章）向采购代理机构予以确认。</w:t>
      </w:r>
    </w:p>
    <w:p>
      <w:pPr>
        <w:autoSpaceDE w:val="0"/>
        <w:autoSpaceDN w:val="0"/>
        <w:adjustRightInd w:val="0"/>
        <w:snapToGrid w:val="0"/>
        <w:spacing w:line="360" w:lineRule="auto"/>
        <w:ind w:firstLine="482" w:firstLineChars="200"/>
        <w:outlineLvl w:val="2"/>
        <w:rPr>
          <w:rFonts w:ascii="仿宋" w:hAnsi="仿宋" w:eastAsia="仿宋" w:cs="仿宋"/>
          <w:sz w:val="24"/>
          <w:szCs w:val="24"/>
          <w:lang w:val="zh-CN"/>
        </w:rPr>
      </w:pPr>
      <w:bookmarkStart w:id="71" w:name="_Toc31132"/>
      <w:bookmarkStart w:id="72" w:name="_Toc12617"/>
      <w:bookmarkStart w:id="73" w:name="_Toc19583"/>
      <w:bookmarkStart w:id="74" w:name="_Toc21498"/>
      <w:bookmarkStart w:id="75" w:name="_Toc17894"/>
      <w:bookmarkStart w:id="76" w:name="_Toc12729"/>
      <w:bookmarkStart w:id="77" w:name="_Toc27094"/>
      <w:bookmarkStart w:id="78" w:name="_Toc1550"/>
      <w:bookmarkStart w:id="79" w:name="_Toc2929"/>
      <w:r>
        <w:rPr>
          <w:rFonts w:hint="eastAsia" w:ascii="仿宋" w:hAnsi="仿宋" w:eastAsia="仿宋" w:cs="仿宋"/>
          <w:b/>
          <w:bCs/>
          <w:sz w:val="24"/>
          <w:szCs w:val="24"/>
        </w:rPr>
        <w:t>（三）</w:t>
      </w:r>
      <w:r>
        <w:rPr>
          <w:rFonts w:hint="eastAsia" w:ascii="仿宋" w:hAnsi="仿宋" w:eastAsia="仿宋" w:cs="仿宋"/>
          <w:b/>
          <w:bCs/>
          <w:sz w:val="24"/>
          <w:szCs w:val="24"/>
          <w:lang w:val="zh-CN"/>
        </w:rPr>
        <w:t>招标文件的询问、质疑及答复</w:t>
      </w:r>
      <w:bookmarkEnd w:id="71"/>
      <w:bookmarkEnd w:id="72"/>
      <w:bookmarkEnd w:id="73"/>
      <w:bookmarkEnd w:id="74"/>
      <w:bookmarkEnd w:id="75"/>
      <w:bookmarkEnd w:id="76"/>
      <w:bookmarkEnd w:id="77"/>
      <w:bookmarkEnd w:id="78"/>
      <w:bookmarkEnd w:id="79"/>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投标人应仔细阅读和检查招标文件的全部内容。如发现缺页或附件不全，应及时向采购代理机构提出，以便补齐。</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投标人认为招标文件、招标过程、中标或者成交结果使自己的权益受到损害的，可以在知道或者应知其权益受到损害之日起7个工作日内，以书面形式向采购人、采购代理机构提出质疑，在此之后提出的询问和质疑均为无效，采购代理机构不予受理。</w:t>
      </w:r>
    </w:p>
    <w:p>
      <w:pPr>
        <w:pStyle w:val="19"/>
        <w:spacing w:before="0" w:beforeAutospacing="0" w:after="0" w:afterAutospacing="0" w:line="360" w:lineRule="auto"/>
        <w:ind w:firstLine="480" w:firstLineChars="200"/>
        <w:jc w:val="both"/>
        <w:rPr>
          <w:rFonts w:ascii="仿宋" w:hAnsi="仿宋" w:eastAsia="仿宋" w:cs="仿宋"/>
          <w:lang w:val="zh-CN"/>
        </w:rPr>
      </w:pPr>
      <w:r>
        <w:rPr>
          <w:rFonts w:hint="eastAsia" w:ascii="仿宋" w:hAnsi="仿宋" w:eastAsia="仿宋" w:cs="仿宋"/>
        </w:rPr>
        <w:t>3、</w:t>
      </w:r>
      <w:r>
        <w:rPr>
          <w:rFonts w:hint="eastAsia" w:ascii="仿宋" w:hAnsi="仿宋" w:eastAsia="仿宋" w:cs="仿宋"/>
          <w:lang w:val="zh-CN"/>
        </w:rPr>
        <w:t>投标人提出质疑应当有明确的请求和必要的证明材料。</w:t>
      </w:r>
    </w:p>
    <w:p>
      <w:pPr>
        <w:pStyle w:val="19"/>
        <w:spacing w:before="0" w:beforeAutospacing="0" w:after="0" w:afterAutospacing="0" w:line="360" w:lineRule="auto"/>
        <w:ind w:firstLine="480" w:firstLineChars="200"/>
        <w:jc w:val="both"/>
        <w:rPr>
          <w:rFonts w:ascii="仿宋" w:hAnsi="仿宋" w:eastAsia="仿宋" w:cs="仿宋"/>
          <w:lang w:val="zh-CN"/>
        </w:rPr>
      </w:pPr>
      <w:r>
        <w:rPr>
          <w:rFonts w:hint="eastAsia" w:ascii="仿宋" w:hAnsi="仿宋" w:eastAsia="仿宋" w:cs="仿宋"/>
        </w:rPr>
        <w:t>4、</w:t>
      </w:r>
      <w:r>
        <w:rPr>
          <w:rFonts w:hint="eastAsia" w:ascii="仿宋" w:hAnsi="仿宋" w:eastAsia="仿宋" w:cs="仿宋"/>
          <w:lang w:val="zh-CN"/>
        </w:rPr>
        <w:t>对于在规定时间内收到的投标人依法提出的询问或者质疑，采购代理机构将按程序在三个工作日内答复询问，七个工作日内答复质疑。</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5、</w:t>
      </w:r>
      <w:r>
        <w:rPr>
          <w:rFonts w:hint="eastAsia" w:ascii="仿宋" w:hAnsi="仿宋" w:eastAsia="仿宋" w:cs="仿宋"/>
          <w:sz w:val="24"/>
          <w:szCs w:val="24"/>
          <w:lang w:val="zh-CN"/>
        </w:rPr>
        <w:t>投标人在收到答复后，应在两个工作日内以书面形式（加盖公章）向采购代理机构予以确认。</w:t>
      </w:r>
    </w:p>
    <w:p>
      <w:pPr>
        <w:autoSpaceDE w:val="0"/>
        <w:autoSpaceDN w:val="0"/>
        <w:adjustRightInd w:val="0"/>
        <w:snapToGrid w:val="0"/>
        <w:spacing w:line="360" w:lineRule="auto"/>
        <w:ind w:firstLine="482" w:firstLineChars="200"/>
        <w:outlineLvl w:val="2"/>
        <w:rPr>
          <w:rFonts w:ascii="仿宋" w:hAnsi="仿宋" w:eastAsia="仿宋" w:cs="仿宋"/>
          <w:sz w:val="24"/>
          <w:szCs w:val="24"/>
          <w:lang w:val="zh-CN"/>
        </w:rPr>
      </w:pPr>
      <w:bookmarkStart w:id="80" w:name="_Toc27651"/>
      <w:bookmarkStart w:id="81" w:name="_Toc23823"/>
      <w:bookmarkStart w:id="82" w:name="_Toc29087"/>
      <w:bookmarkStart w:id="83" w:name="_Toc17969"/>
      <w:bookmarkStart w:id="84" w:name="_Toc16614"/>
      <w:bookmarkStart w:id="85" w:name="_Toc27857"/>
      <w:bookmarkStart w:id="86" w:name="_Toc1801"/>
      <w:bookmarkStart w:id="87" w:name="_Toc16954"/>
      <w:bookmarkStart w:id="88" w:name="_Toc28965"/>
      <w:r>
        <w:rPr>
          <w:rFonts w:hint="eastAsia" w:ascii="仿宋" w:hAnsi="仿宋" w:eastAsia="仿宋" w:cs="仿宋"/>
          <w:b/>
          <w:bCs/>
          <w:sz w:val="24"/>
          <w:szCs w:val="24"/>
          <w:lang w:val="zh-CN"/>
        </w:rPr>
        <w:t>（四）招标文件的解释权</w:t>
      </w:r>
      <w:bookmarkEnd w:id="80"/>
      <w:bookmarkEnd w:id="81"/>
      <w:bookmarkEnd w:id="82"/>
      <w:bookmarkEnd w:id="83"/>
      <w:bookmarkEnd w:id="84"/>
      <w:bookmarkEnd w:id="85"/>
      <w:bookmarkEnd w:id="86"/>
      <w:bookmarkEnd w:id="87"/>
      <w:bookmarkEnd w:id="88"/>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投标人必须从采购代理机构获取招标文件，投标人自行转让或复制招标文件视为无效，招标文件仅作为本次招标使用。</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zh-CN"/>
        </w:rPr>
        <w:t>招标文件的解释权归采购代理机构。</w:t>
      </w:r>
    </w:p>
    <w:p>
      <w:pPr>
        <w:autoSpaceDE w:val="0"/>
        <w:autoSpaceDN w:val="0"/>
        <w:adjustRightInd w:val="0"/>
        <w:snapToGrid w:val="0"/>
        <w:spacing w:line="360" w:lineRule="auto"/>
        <w:ind w:firstLine="482" w:firstLineChars="200"/>
        <w:outlineLvl w:val="1"/>
        <w:rPr>
          <w:rFonts w:ascii="仿宋" w:hAnsi="仿宋" w:eastAsia="仿宋" w:cs="仿宋"/>
          <w:b/>
          <w:sz w:val="24"/>
          <w:szCs w:val="24"/>
          <w:lang w:val="zh-CN"/>
        </w:rPr>
      </w:pPr>
      <w:bookmarkStart w:id="89" w:name="_Toc549"/>
      <w:bookmarkStart w:id="90" w:name="_Toc12572"/>
      <w:bookmarkStart w:id="91" w:name="_Toc27527"/>
      <w:bookmarkStart w:id="92" w:name="_Toc16073"/>
      <w:bookmarkStart w:id="93" w:name="_Toc30757"/>
      <w:bookmarkStart w:id="94" w:name="_Toc8593"/>
      <w:bookmarkStart w:id="95" w:name="_Toc25911"/>
      <w:bookmarkStart w:id="96" w:name="_Toc13377"/>
      <w:r>
        <w:rPr>
          <w:rFonts w:hint="eastAsia" w:ascii="仿宋" w:hAnsi="仿宋" w:eastAsia="仿宋" w:cs="仿宋"/>
          <w:b/>
          <w:sz w:val="24"/>
          <w:szCs w:val="24"/>
          <w:lang w:val="zh-CN"/>
        </w:rPr>
        <w:t>三、投标要求</w:t>
      </w:r>
      <w:bookmarkEnd w:id="89"/>
      <w:bookmarkEnd w:id="90"/>
      <w:bookmarkEnd w:id="91"/>
      <w:bookmarkEnd w:id="92"/>
      <w:bookmarkEnd w:id="93"/>
      <w:bookmarkEnd w:id="94"/>
      <w:bookmarkEnd w:id="95"/>
      <w:bookmarkEnd w:id="96"/>
    </w:p>
    <w:p>
      <w:pPr>
        <w:snapToGrid w:val="0"/>
        <w:spacing w:line="360" w:lineRule="auto"/>
        <w:ind w:firstLine="482" w:firstLineChars="200"/>
        <w:outlineLvl w:val="2"/>
        <w:rPr>
          <w:rFonts w:ascii="仿宋" w:hAnsi="仿宋" w:eastAsia="仿宋" w:cs="仿宋"/>
          <w:sz w:val="24"/>
          <w:szCs w:val="24"/>
        </w:rPr>
      </w:pPr>
      <w:bookmarkStart w:id="97" w:name="_Toc6311"/>
      <w:bookmarkStart w:id="98" w:name="_Toc9714"/>
      <w:bookmarkStart w:id="99" w:name="_Toc9226"/>
      <w:bookmarkStart w:id="100" w:name="_Toc7693"/>
      <w:bookmarkStart w:id="101" w:name="_Toc17014"/>
      <w:bookmarkStart w:id="102" w:name="_Toc5035"/>
      <w:bookmarkStart w:id="103" w:name="_Toc31031"/>
      <w:bookmarkStart w:id="104" w:name="_Toc12545"/>
      <w:bookmarkStart w:id="105" w:name="_Toc95"/>
      <w:r>
        <w:rPr>
          <w:rFonts w:hint="eastAsia" w:ascii="仿宋" w:hAnsi="仿宋" w:eastAsia="仿宋" w:cs="仿宋"/>
          <w:b/>
          <w:bCs/>
          <w:sz w:val="24"/>
          <w:szCs w:val="24"/>
        </w:rPr>
        <w:t>（一）投标内容</w:t>
      </w:r>
      <w:bookmarkEnd w:id="97"/>
      <w:bookmarkEnd w:id="98"/>
      <w:bookmarkEnd w:id="99"/>
      <w:bookmarkEnd w:id="100"/>
      <w:bookmarkEnd w:id="101"/>
      <w:bookmarkEnd w:id="102"/>
      <w:bookmarkEnd w:id="103"/>
      <w:bookmarkEnd w:id="104"/>
      <w:bookmarkEnd w:id="105"/>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本次招标内容为镇巴县人民医院PACS及肺小结节智能诊断系统采购项目，</w:t>
      </w:r>
      <w:r>
        <w:rPr>
          <w:rFonts w:hint="eastAsia" w:ascii="仿宋" w:hAnsi="仿宋" w:eastAsia="仿宋" w:cs="仿宋"/>
          <w:bCs/>
          <w:sz w:val="24"/>
          <w:szCs w:val="24"/>
        </w:rPr>
        <w:t>各投标人</w:t>
      </w:r>
      <w:r>
        <w:rPr>
          <w:rFonts w:hint="eastAsia" w:ascii="仿宋" w:hAnsi="仿宋" w:eastAsia="仿宋" w:cs="仿宋"/>
          <w:sz w:val="24"/>
          <w:szCs w:val="24"/>
        </w:rPr>
        <w:t>应仔细阅读招标文件中的所有事项、格式、条款和要求，对招标文件的全部</w:t>
      </w:r>
      <w:r>
        <w:rPr>
          <w:rFonts w:hint="eastAsia" w:ascii="仿宋" w:hAnsi="仿宋" w:eastAsia="仿宋" w:cs="仿宋"/>
          <w:bCs/>
          <w:sz w:val="24"/>
          <w:szCs w:val="24"/>
        </w:rPr>
        <w:t>内容及要求做出实质性响应，提交相应资料。不得在其中选项投标或将其中内容再行分解，否则投标无效。</w:t>
      </w:r>
    </w:p>
    <w:p>
      <w:pPr>
        <w:autoSpaceDE w:val="0"/>
        <w:autoSpaceDN w:val="0"/>
        <w:adjustRightInd w:val="0"/>
        <w:spacing w:line="360" w:lineRule="auto"/>
        <w:ind w:firstLine="482" w:firstLineChars="200"/>
        <w:outlineLvl w:val="2"/>
        <w:rPr>
          <w:rFonts w:ascii="仿宋" w:hAnsi="仿宋" w:eastAsia="仿宋" w:cs="仿宋"/>
          <w:b/>
          <w:sz w:val="24"/>
          <w:szCs w:val="24"/>
          <w:lang w:val="zh-CN"/>
        </w:rPr>
      </w:pPr>
      <w:bookmarkStart w:id="106" w:name="_Toc16292"/>
      <w:bookmarkStart w:id="107" w:name="_Toc16899"/>
      <w:bookmarkStart w:id="108" w:name="_Toc21302"/>
      <w:bookmarkStart w:id="109" w:name="_Toc6567"/>
      <w:bookmarkStart w:id="110" w:name="_Toc2941"/>
      <w:bookmarkStart w:id="111" w:name="_Toc8899"/>
      <w:bookmarkStart w:id="112" w:name="_Toc15084"/>
      <w:bookmarkStart w:id="113" w:name="_Toc27262"/>
      <w:bookmarkStart w:id="114" w:name="_Toc4186"/>
      <w:r>
        <w:rPr>
          <w:rFonts w:hint="eastAsia" w:ascii="仿宋" w:hAnsi="仿宋" w:eastAsia="仿宋" w:cs="仿宋"/>
          <w:b/>
          <w:sz w:val="24"/>
          <w:szCs w:val="24"/>
        </w:rPr>
        <w:t>（二）</w:t>
      </w:r>
      <w:r>
        <w:rPr>
          <w:rFonts w:hint="eastAsia" w:ascii="仿宋" w:hAnsi="仿宋" w:eastAsia="仿宋" w:cs="仿宋"/>
          <w:b/>
          <w:sz w:val="24"/>
          <w:szCs w:val="24"/>
          <w:lang w:val="zh-CN"/>
        </w:rPr>
        <w:t>合格的投标人要求</w:t>
      </w:r>
      <w:bookmarkEnd w:id="106"/>
      <w:bookmarkEnd w:id="107"/>
      <w:bookmarkEnd w:id="108"/>
      <w:bookmarkEnd w:id="109"/>
      <w:bookmarkEnd w:id="110"/>
      <w:bookmarkEnd w:id="111"/>
      <w:bookmarkEnd w:id="112"/>
      <w:bookmarkEnd w:id="113"/>
      <w:r>
        <w:rPr>
          <w:rFonts w:hint="eastAsia" w:ascii="仿宋" w:hAnsi="仿宋" w:eastAsia="仿宋" w:cs="仿宋"/>
          <w:b/>
          <w:sz w:val="24"/>
          <w:szCs w:val="24"/>
          <w:lang w:val="zh-CN"/>
        </w:rPr>
        <w:t>（包1：PACS系统）</w:t>
      </w:r>
      <w:bookmarkEnd w:id="114"/>
    </w:p>
    <w:p>
      <w:pPr>
        <w:spacing w:line="360" w:lineRule="auto"/>
        <w:ind w:firstLine="482" w:firstLineChars="200"/>
        <w:rPr>
          <w:rFonts w:ascii="仿宋" w:hAnsi="仿宋" w:eastAsia="仿宋" w:cs="仿宋"/>
          <w:b/>
          <w:bCs/>
          <w:sz w:val="24"/>
          <w:szCs w:val="24"/>
        </w:rPr>
      </w:pPr>
      <w:bookmarkStart w:id="115" w:name="_Toc15273"/>
      <w:bookmarkStart w:id="116" w:name="_Toc29705"/>
      <w:bookmarkStart w:id="117" w:name="_Toc12028"/>
      <w:bookmarkStart w:id="118" w:name="_Toc28737"/>
      <w:bookmarkStart w:id="119" w:name="_Toc3918"/>
      <w:bookmarkStart w:id="120" w:name="_Toc15017"/>
      <w:bookmarkStart w:id="121" w:name="_Toc2160"/>
      <w:bookmarkStart w:id="122" w:name="_Toc16392"/>
      <w:r>
        <w:rPr>
          <w:rFonts w:hint="eastAsia" w:ascii="仿宋" w:hAnsi="仿宋" w:eastAsia="仿宋" w:cs="仿宋"/>
          <w:b/>
          <w:bCs/>
          <w:sz w:val="24"/>
          <w:szCs w:val="24"/>
        </w:rPr>
        <w:t>1、基本资格条件：符合《中华人民共和国政府采购法》第二十二条的规定；</w:t>
      </w: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（1）提供统一社会信用代码的营业执照或其他组织经营的合法凭证或自然人的提供身份证明文件；</w:t>
      </w: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2）财务状况报告：提供具有财务审计资质单位出具的2021或2022年度财务报告或开标前六个月内其基本账户银行出具的资信证明或财政部门认可的政府采购专业担保机构出具的担保函，以上形式的证明资料提供任何一种即可；</w:t>
      </w: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（3）税收缴纳证明：提供已缴纳的 2022年1月1日以来至少一个月的纳税证明或完税证明，纳税证明或完税证明上应有代收机构或税务机关的公章或业务专用章。依法免税的投标人应提供相关文件证明；</w:t>
      </w: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（4）社会保障资金缴纳证明：提供已缴存的 2022年1月1日以来至少一个月的社会保障资金缴存单据或社保机构开具的社会保险参保缴费情况证明。成立时间至提交投标文件截止时间不足一个月或依法不需要缴纳社会保障资金的投标人应提供相关文件证明；</w:t>
      </w: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（5）出具履行合同所必需的设备和专业技术能力的书面声明；</w:t>
      </w: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（6）出具参加本次政府采购活动的书面声明；</w:t>
      </w:r>
    </w:p>
    <w:p>
      <w:pPr>
        <w:spacing w:line="360" w:lineRule="auto"/>
        <w:ind w:firstLine="482" w:firstLineChars="200"/>
        <w:rPr>
          <w:rFonts w:ascii="仿宋" w:hAnsi="仿宋" w:eastAsia="仿宋" w:cs="仿宋"/>
          <w:sz w:val="24"/>
          <w:szCs w:val="24"/>
        </w:rPr>
      </w:pPr>
      <w:r>
        <w:rPr>
          <w:rFonts w:hint="eastAsia" w:ascii="仿宋" w:hAnsi="仿宋" w:eastAsia="仿宋" w:cs="仿宋"/>
          <w:b/>
          <w:bCs/>
          <w:sz w:val="24"/>
          <w:szCs w:val="24"/>
        </w:rPr>
        <w:t>2、特定资格条件：</w:t>
      </w: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（1）法定代表人授权书及被授权人身份证，并且提供有效的劳动合同或投标截止前六个月内任意一个月养老保险缴纳证明（法人参加只需提供法定代表人身份证明）；</w:t>
      </w: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（2）符合《财政部关于在政府采购活动中查询及使用信用记录有关问题的通知》（财库【2016】125号）文件中信用查询的要求；（此项由采购人与采购代理单位在开标时查询，以现场查询为准）；</w:t>
      </w:r>
    </w:p>
    <w:p>
      <w:pPr>
        <w:autoSpaceDE w:val="0"/>
        <w:autoSpaceDN w:val="0"/>
        <w:adjustRightInd w:val="0"/>
        <w:spacing w:line="360" w:lineRule="auto"/>
        <w:ind w:firstLine="482" w:firstLineChars="200"/>
        <w:outlineLvl w:val="2"/>
        <w:rPr>
          <w:rFonts w:ascii="仿宋" w:hAnsi="仿宋" w:eastAsia="仿宋" w:cs="仿宋"/>
          <w:b/>
          <w:bCs/>
          <w:sz w:val="24"/>
          <w:szCs w:val="24"/>
        </w:rPr>
      </w:pPr>
      <w:bookmarkStart w:id="123" w:name="_Toc13065"/>
      <w:r>
        <w:rPr>
          <w:rFonts w:hint="eastAsia" w:ascii="仿宋" w:hAnsi="仿宋" w:eastAsia="仿宋" w:cs="仿宋"/>
          <w:b/>
          <w:bCs/>
          <w:sz w:val="24"/>
          <w:szCs w:val="24"/>
        </w:rPr>
        <w:t>（三）</w:t>
      </w:r>
      <w:r>
        <w:rPr>
          <w:rFonts w:hint="eastAsia" w:ascii="仿宋" w:hAnsi="仿宋" w:eastAsia="仿宋" w:cs="仿宋"/>
          <w:b/>
          <w:bCs/>
          <w:sz w:val="24"/>
          <w:szCs w:val="24"/>
          <w:lang w:val="zh-CN"/>
        </w:rPr>
        <w:t>限制投标要求</w:t>
      </w:r>
      <w:bookmarkEnd w:id="115"/>
      <w:bookmarkEnd w:id="116"/>
      <w:bookmarkEnd w:id="117"/>
      <w:bookmarkEnd w:id="118"/>
      <w:bookmarkEnd w:id="119"/>
      <w:bookmarkEnd w:id="120"/>
      <w:bookmarkEnd w:id="121"/>
      <w:bookmarkEnd w:id="122"/>
      <w:bookmarkEnd w:id="123"/>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投标人单位负责人为同一人或者存在直接控股、管理关系的不同投标人，不得参加同一项目或同一标段的政府采购活动。</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除单一来源采购项目外，为采购项目提供过整体设计、规范编制或者项目管理、监理、检测等服务的</w:t>
      </w:r>
      <w:r>
        <w:rPr>
          <w:rFonts w:hint="eastAsia" w:ascii="仿宋" w:hAnsi="仿宋" w:eastAsia="仿宋" w:cs="仿宋"/>
          <w:sz w:val="24"/>
          <w:szCs w:val="24"/>
        </w:rPr>
        <w:t>投标人</w:t>
      </w:r>
      <w:r>
        <w:rPr>
          <w:rFonts w:hint="eastAsia" w:ascii="仿宋" w:hAnsi="仿宋" w:eastAsia="仿宋" w:cs="仿宋"/>
          <w:sz w:val="24"/>
          <w:szCs w:val="24"/>
          <w:lang w:val="zh-CN"/>
        </w:rPr>
        <w:t>，不得再参加同一项目的其他采购活动。</w:t>
      </w:r>
    </w:p>
    <w:p>
      <w:pPr>
        <w:autoSpaceDE w:val="0"/>
        <w:autoSpaceDN w:val="0"/>
        <w:adjustRightIn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rPr>
        <w:t>3、</w:t>
      </w:r>
      <w:r>
        <w:rPr>
          <w:rFonts w:hint="eastAsia" w:ascii="仿宋" w:hAnsi="仿宋" w:eastAsia="仿宋" w:cs="仿宋"/>
          <w:bCs/>
          <w:sz w:val="24"/>
          <w:szCs w:val="24"/>
          <w:lang w:val="zh-CN"/>
        </w:rPr>
        <w:t>对列入失信被执行人、重大税收违法案件当事人名单、政府采购严重违法失信行为记录名单及其他不符合《中华人民共和国政府采购法》第二十二条规定条件的</w:t>
      </w:r>
      <w:r>
        <w:rPr>
          <w:rFonts w:hint="eastAsia" w:ascii="仿宋" w:hAnsi="仿宋" w:eastAsia="仿宋" w:cs="仿宋"/>
          <w:bCs/>
          <w:sz w:val="24"/>
          <w:szCs w:val="24"/>
        </w:rPr>
        <w:t>投标人</w:t>
      </w:r>
      <w:r>
        <w:rPr>
          <w:rFonts w:hint="eastAsia" w:ascii="仿宋" w:hAnsi="仿宋" w:eastAsia="仿宋" w:cs="仿宋"/>
          <w:bCs/>
          <w:sz w:val="24"/>
          <w:szCs w:val="24"/>
          <w:lang w:val="zh-CN"/>
        </w:rPr>
        <w:t>，采购代理机构将拒绝其参与政府采购活动。</w:t>
      </w:r>
    </w:p>
    <w:p>
      <w:pPr>
        <w:autoSpaceDE w:val="0"/>
        <w:autoSpaceDN w:val="0"/>
        <w:adjustRightInd w:val="0"/>
        <w:spacing w:line="360" w:lineRule="auto"/>
        <w:ind w:firstLine="482" w:firstLineChars="200"/>
        <w:rPr>
          <w:rFonts w:ascii="仿宋" w:hAnsi="仿宋" w:eastAsia="仿宋" w:cs="仿宋"/>
          <w:bCs/>
          <w:sz w:val="24"/>
          <w:szCs w:val="24"/>
        </w:rPr>
      </w:pPr>
      <w:r>
        <w:rPr>
          <w:rFonts w:hint="eastAsia" w:ascii="仿宋" w:hAnsi="仿宋" w:eastAsia="仿宋" w:cs="仿宋"/>
          <w:b/>
          <w:sz w:val="24"/>
          <w:szCs w:val="24"/>
        </w:rPr>
        <w:t>4、</w:t>
      </w:r>
      <w:r>
        <w:rPr>
          <w:rFonts w:hint="eastAsia" w:ascii="仿宋" w:hAnsi="仿宋" w:eastAsia="仿宋" w:cs="仿宋"/>
          <w:b/>
          <w:sz w:val="24"/>
          <w:szCs w:val="24"/>
          <w:lang w:val="zh-CN"/>
        </w:rPr>
        <w:t>本次招标项目不接受联合体</w:t>
      </w:r>
      <w:r>
        <w:rPr>
          <w:rFonts w:hint="eastAsia" w:ascii="仿宋" w:hAnsi="仿宋" w:eastAsia="仿宋" w:cs="仿宋"/>
          <w:b/>
          <w:sz w:val="24"/>
          <w:szCs w:val="24"/>
        </w:rPr>
        <w:t>投</w:t>
      </w:r>
      <w:r>
        <w:rPr>
          <w:rFonts w:hint="eastAsia" w:ascii="仿宋" w:hAnsi="仿宋" w:eastAsia="仿宋" w:cs="仿宋"/>
          <w:b/>
          <w:sz w:val="24"/>
          <w:szCs w:val="24"/>
          <w:lang w:val="zh-CN"/>
        </w:rPr>
        <w:t>标</w:t>
      </w:r>
      <w:r>
        <w:rPr>
          <w:rFonts w:hint="eastAsia" w:ascii="仿宋" w:hAnsi="仿宋" w:eastAsia="仿宋" w:cs="仿宋"/>
          <w:bCs/>
          <w:sz w:val="24"/>
          <w:szCs w:val="24"/>
          <w:lang w:val="zh-CN"/>
        </w:rPr>
        <w:t>。</w:t>
      </w:r>
    </w:p>
    <w:p>
      <w:pPr>
        <w:tabs>
          <w:tab w:val="left" w:pos="9030"/>
        </w:tabs>
        <w:snapToGrid w:val="0"/>
        <w:spacing w:line="360" w:lineRule="auto"/>
        <w:ind w:right="-65" w:firstLine="482" w:firstLineChars="200"/>
        <w:outlineLvl w:val="2"/>
        <w:rPr>
          <w:rFonts w:ascii="仿宋" w:hAnsi="仿宋" w:eastAsia="仿宋" w:cs="仿宋"/>
          <w:b/>
          <w:bCs/>
          <w:sz w:val="24"/>
          <w:szCs w:val="24"/>
          <w:lang w:val="zh-CN"/>
        </w:rPr>
      </w:pPr>
      <w:bookmarkStart w:id="124" w:name="_Toc17603"/>
      <w:bookmarkStart w:id="125" w:name="_Toc18636"/>
      <w:bookmarkStart w:id="126" w:name="_Toc1281"/>
      <w:bookmarkStart w:id="127" w:name="_Toc9223"/>
      <w:bookmarkStart w:id="128" w:name="_Toc22691"/>
      <w:bookmarkStart w:id="129" w:name="_Toc29714"/>
      <w:bookmarkStart w:id="130" w:name="_Toc2643"/>
      <w:bookmarkStart w:id="131" w:name="_Toc12838"/>
      <w:bookmarkStart w:id="132" w:name="_Toc7380"/>
      <w:r>
        <w:rPr>
          <w:rFonts w:hint="eastAsia" w:ascii="仿宋" w:hAnsi="仿宋" w:eastAsia="仿宋" w:cs="仿宋"/>
          <w:b/>
          <w:bCs/>
          <w:sz w:val="24"/>
          <w:szCs w:val="24"/>
        </w:rPr>
        <w:t>（四）</w:t>
      </w:r>
      <w:r>
        <w:rPr>
          <w:rFonts w:hint="eastAsia" w:ascii="仿宋" w:hAnsi="仿宋" w:eastAsia="仿宋" w:cs="仿宋"/>
          <w:b/>
          <w:bCs/>
          <w:sz w:val="24"/>
          <w:szCs w:val="24"/>
          <w:lang w:val="zh-CN"/>
        </w:rPr>
        <w:t>投标文件有效期</w:t>
      </w:r>
      <w:bookmarkEnd w:id="124"/>
      <w:bookmarkEnd w:id="125"/>
      <w:bookmarkEnd w:id="126"/>
      <w:bookmarkEnd w:id="127"/>
      <w:bookmarkEnd w:id="128"/>
      <w:bookmarkEnd w:id="129"/>
      <w:bookmarkEnd w:id="130"/>
      <w:bookmarkEnd w:id="131"/>
      <w:bookmarkEnd w:id="132"/>
    </w:p>
    <w:p>
      <w:pPr>
        <w:tabs>
          <w:tab w:val="left" w:pos="9030"/>
        </w:tabs>
        <w:snapToGrid w:val="0"/>
        <w:spacing w:line="360" w:lineRule="auto"/>
        <w:ind w:right="-65" w:firstLine="480" w:firstLineChars="200"/>
        <w:rPr>
          <w:rFonts w:ascii="仿宋" w:hAnsi="仿宋" w:eastAsia="仿宋" w:cs="仿宋"/>
          <w:bCs/>
          <w:sz w:val="24"/>
          <w:szCs w:val="24"/>
          <w:lang w:val="zh-CN"/>
        </w:rPr>
      </w:pPr>
      <w:r>
        <w:rPr>
          <w:rFonts w:hint="eastAsia" w:ascii="仿宋" w:hAnsi="仿宋" w:eastAsia="仿宋" w:cs="仿宋"/>
          <w:sz w:val="24"/>
          <w:szCs w:val="24"/>
          <w:lang w:val="zh-CN"/>
        </w:rPr>
        <w:t>投标文件有效期为自开标之日起90个日历日，在有效期内投标文件对投标人具有法律约束力，以保证采购人完成评标、定标以及合同签订事项。中标人的投标文件有效期自动延长至合同执行完毕。</w:t>
      </w:r>
    </w:p>
    <w:p>
      <w:pPr>
        <w:autoSpaceDE w:val="0"/>
        <w:autoSpaceDN w:val="0"/>
        <w:adjustRightInd w:val="0"/>
        <w:snapToGrid w:val="0"/>
        <w:spacing w:line="360" w:lineRule="auto"/>
        <w:ind w:firstLine="482" w:firstLineChars="200"/>
        <w:outlineLvl w:val="2"/>
        <w:rPr>
          <w:rFonts w:ascii="仿宋" w:hAnsi="仿宋" w:eastAsia="仿宋" w:cs="仿宋"/>
          <w:b/>
          <w:sz w:val="24"/>
          <w:szCs w:val="24"/>
          <w:lang w:val="zh-CN"/>
        </w:rPr>
      </w:pPr>
      <w:bookmarkStart w:id="133" w:name="_Toc11560"/>
      <w:bookmarkStart w:id="134" w:name="_Toc9574"/>
      <w:bookmarkStart w:id="135" w:name="_Toc27607"/>
      <w:bookmarkStart w:id="136" w:name="_Toc21738"/>
      <w:bookmarkStart w:id="137" w:name="_Toc10986"/>
      <w:bookmarkStart w:id="138" w:name="_Toc21375"/>
      <w:bookmarkStart w:id="139" w:name="_Toc8253"/>
      <w:bookmarkStart w:id="140" w:name="_Toc11540"/>
      <w:bookmarkStart w:id="141" w:name="_Toc13087"/>
      <w:r>
        <w:rPr>
          <w:rFonts w:hint="eastAsia" w:ascii="仿宋" w:hAnsi="仿宋" w:eastAsia="仿宋" w:cs="仿宋"/>
          <w:b/>
          <w:sz w:val="24"/>
          <w:szCs w:val="24"/>
          <w:lang w:val="zh-CN"/>
        </w:rPr>
        <w:t>（五）投标文件的编写要求</w:t>
      </w:r>
      <w:bookmarkEnd w:id="133"/>
      <w:bookmarkEnd w:id="134"/>
      <w:bookmarkEnd w:id="135"/>
      <w:bookmarkEnd w:id="136"/>
      <w:bookmarkEnd w:id="137"/>
      <w:bookmarkEnd w:id="138"/>
      <w:bookmarkEnd w:id="139"/>
      <w:bookmarkEnd w:id="140"/>
      <w:bookmarkEnd w:id="141"/>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未从采购代理机构处直接获取招标文件的投标人，谢绝报价。投标文件必须根据采购代理机构发售的投标文件格式编写，各投标人对招标文件做出实质性响应。具体内容包括：</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对投标函中内容的响应；</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开标一览表（报价表）和</w:t>
      </w:r>
      <w:r>
        <w:rPr>
          <w:rFonts w:hint="eastAsia" w:ascii="仿宋" w:hAnsi="仿宋" w:eastAsia="仿宋" w:cs="仿宋"/>
          <w:kern w:val="0"/>
          <w:sz w:val="24"/>
          <w:szCs w:val="24"/>
        </w:rPr>
        <w:t>分项报价</w:t>
      </w:r>
      <w:r>
        <w:rPr>
          <w:rFonts w:hint="eastAsia" w:ascii="仿宋" w:hAnsi="仿宋" w:eastAsia="仿宋" w:cs="仿宋"/>
          <w:kern w:val="0"/>
          <w:sz w:val="24"/>
          <w:szCs w:val="24"/>
          <w:lang w:val="zh-CN"/>
        </w:rPr>
        <w:t>表</w:t>
      </w:r>
      <w:r>
        <w:rPr>
          <w:rFonts w:hint="eastAsia" w:ascii="仿宋" w:hAnsi="仿宋" w:eastAsia="仿宋" w:cs="仿宋"/>
          <w:sz w:val="24"/>
          <w:szCs w:val="24"/>
          <w:lang w:val="zh-CN"/>
        </w:rPr>
        <w:t>。</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投标人须出具的合格投标人要求文件，证明参加投标人是响应本项目招标的合格投标人。</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投标人为本次招标活动编制的技术方案，质量保证，售后服务及方案。</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（5）</w:t>
      </w:r>
      <w:r>
        <w:rPr>
          <w:rFonts w:hint="eastAsia" w:ascii="仿宋" w:hAnsi="仿宋" w:eastAsia="仿宋" w:cs="仿宋"/>
          <w:sz w:val="24"/>
          <w:szCs w:val="24"/>
          <w:lang w:val="zh-CN"/>
        </w:rPr>
        <w:t>投标人提供相应业绩，证明其供应经验及能力，以及为招标活动提供的合理化建议。</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（6）</w:t>
      </w:r>
      <w:r>
        <w:rPr>
          <w:rFonts w:hint="eastAsia" w:ascii="仿宋" w:hAnsi="仿宋" w:eastAsia="仿宋" w:cs="仿宋"/>
          <w:sz w:val="24"/>
          <w:szCs w:val="24"/>
          <w:lang w:val="zh-CN"/>
        </w:rPr>
        <w:t>投标人根据招标文件载明采购活动的实际情况，拟在中标后将中标项目非主体、非关键性工作交由他人完成的，应当在投标文件中注明，并提供交由完成企业的营业执照、相应资质等内容，且其允许的资质范围包含本项目招标的内容。</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投标文件的编写:</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sz w:val="24"/>
          <w:szCs w:val="24"/>
        </w:rPr>
        <w:t>（1）</w:t>
      </w:r>
      <w:r>
        <w:rPr>
          <w:rFonts w:hint="eastAsia" w:ascii="仿宋" w:hAnsi="仿宋" w:eastAsia="仿宋" w:cs="仿宋"/>
          <w:sz w:val="24"/>
          <w:szCs w:val="24"/>
          <w:lang w:val="zh-CN"/>
        </w:rPr>
        <w:t>投标人需按招标文件的“第五部分”编写投标文件，</w:t>
      </w:r>
      <w:r>
        <w:rPr>
          <w:rFonts w:hint="eastAsia" w:ascii="仿宋" w:hAnsi="仿宋" w:eastAsia="仿宋" w:cs="仿宋"/>
          <w:bCs/>
          <w:sz w:val="24"/>
          <w:szCs w:val="24"/>
        </w:rPr>
        <w:t>如有必要，可以增加附页，作为投标文件的组成部分。</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（2）投标文件编写说明:</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①投标人提交的投标文件以及投标人与采购代理机构就有关投标的所有来往通知、函件和文件均应使用简体中文。</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②除技术性能另有规定外，投标文件所使用的度量衡单位，均须采用国家法定计量单位。</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③投标人应仔细阅读招标文件，充分理解招标文件的要求。凡与招标文件的规定有重大不符合的投标文件，投标被拒绝。</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④凡没有按投标文件格式和内容编写、投标文件组成不全的投标人，投标被拒绝。</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⑤投标人必须对招标文件的所有规定和要求作出实质性响应，否则投标被拒绝。</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⑥投标人应仔细阅读招标文件的所有内容，按招标文件的要求提供投标文件，并保证所提供的全部资料的真实性，否则投标被拒绝。</w:t>
      </w:r>
    </w:p>
    <w:p>
      <w:pPr>
        <w:autoSpaceDE w:val="0"/>
        <w:autoSpaceDN w:val="0"/>
        <w:adjustRightInd w:val="0"/>
        <w:snapToGrid w:val="0"/>
        <w:spacing w:line="360" w:lineRule="auto"/>
        <w:ind w:firstLine="482" w:firstLineChars="200"/>
        <w:outlineLvl w:val="2"/>
        <w:rPr>
          <w:rFonts w:ascii="仿宋" w:hAnsi="仿宋" w:eastAsia="仿宋" w:cs="仿宋"/>
          <w:b/>
          <w:sz w:val="24"/>
          <w:szCs w:val="24"/>
          <w:lang w:val="zh-CN"/>
        </w:rPr>
      </w:pPr>
      <w:bookmarkStart w:id="142" w:name="_Toc30294"/>
      <w:bookmarkStart w:id="143" w:name="_Toc4232"/>
      <w:bookmarkStart w:id="144" w:name="_Toc19554"/>
      <w:bookmarkStart w:id="145" w:name="_Toc21876"/>
      <w:bookmarkStart w:id="146" w:name="_Toc11902"/>
      <w:bookmarkStart w:id="147" w:name="_Toc2115"/>
      <w:bookmarkStart w:id="148" w:name="_Toc11144"/>
      <w:bookmarkStart w:id="149" w:name="_Toc14561"/>
      <w:bookmarkStart w:id="150" w:name="_Toc1681"/>
      <w:r>
        <w:rPr>
          <w:rFonts w:hint="eastAsia" w:ascii="仿宋" w:hAnsi="仿宋" w:eastAsia="仿宋" w:cs="仿宋"/>
          <w:b/>
          <w:sz w:val="24"/>
          <w:szCs w:val="24"/>
          <w:lang w:val="zh-CN"/>
        </w:rPr>
        <w:t>（六）投标报价要求</w:t>
      </w:r>
      <w:bookmarkEnd w:id="142"/>
      <w:bookmarkEnd w:id="143"/>
      <w:bookmarkEnd w:id="144"/>
      <w:bookmarkEnd w:id="145"/>
      <w:bookmarkEnd w:id="146"/>
      <w:bookmarkEnd w:id="147"/>
      <w:bookmarkEnd w:id="148"/>
      <w:bookmarkEnd w:id="149"/>
      <w:bookmarkEnd w:id="150"/>
    </w:p>
    <w:p>
      <w:pPr>
        <w:tabs>
          <w:tab w:val="left" w:pos="9030"/>
        </w:tabs>
        <w:snapToGrid w:val="0"/>
        <w:spacing w:line="360" w:lineRule="auto"/>
        <w:ind w:right="-65" w:firstLine="480" w:firstLineChars="200"/>
        <w:rPr>
          <w:rFonts w:ascii="仿宋" w:hAnsi="仿宋" w:eastAsia="仿宋" w:cs="仿宋"/>
          <w:sz w:val="24"/>
          <w:szCs w:val="24"/>
        </w:rPr>
      </w:pPr>
      <w:bookmarkStart w:id="151" w:name="_Toc10555"/>
      <w:r>
        <w:rPr>
          <w:rFonts w:hint="eastAsia" w:ascii="仿宋" w:hAnsi="仿宋" w:eastAsia="仿宋" w:cs="仿宋"/>
          <w:sz w:val="24"/>
          <w:szCs w:val="24"/>
        </w:rPr>
        <w:t>1、投标人应在投标文件中的投标报价一览表上标明投标总报价</w:t>
      </w:r>
      <w:r>
        <w:rPr>
          <w:rFonts w:hint="eastAsia" w:ascii="仿宋" w:hAnsi="仿宋" w:eastAsia="仿宋" w:cs="仿宋"/>
          <w:kern w:val="0"/>
          <w:sz w:val="24"/>
          <w:szCs w:val="24"/>
          <w:lang w:val="zh-CN"/>
        </w:rPr>
        <w:t>、</w:t>
      </w:r>
      <w:r>
        <w:rPr>
          <w:rFonts w:hint="eastAsia" w:ascii="仿宋" w:hAnsi="仿宋" w:eastAsia="仿宋" w:cs="仿宋"/>
          <w:kern w:val="0"/>
          <w:sz w:val="24"/>
          <w:szCs w:val="24"/>
        </w:rPr>
        <w:t>服务期</w:t>
      </w:r>
      <w:r>
        <w:rPr>
          <w:rFonts w:hint="eastAsia" w:ascii="仿宋" w:hAnsi="仿宋" w:eastAsia="仿宋" w:cs="仿宋"/>
          <w:kern w:val="0"/>
          <w:sz w:val="24"/>
          <w:szCs w:val="24"/>
          <w:lang w:val="zh-CN"/>
        </w:rPr>
        <w:t>等，</w:t>
      </w:r>
      <w:r>
        <w:rPr>
          <w:rFonts w:hint="eastAsia" w:ascii="仿宋" w:hAnsi="仿宋" w:eastAsia="仿宋" w:cs="仿宋"/>
          <w:sz w:val="24"/>
          <w:szCs w:val="24"/>
          <w:lang w:val="zh-CN"/>
        </w:rPr>
        <w:t>投标总报价</w:t>
      </w:r>
      <w:r>
        <w:rPr>
          <w:rFonts w:hint="eastAsia" w:ascii="仿宋" w:hAnsi="仿宋" w:eastAsia="仿宋" w:cs="仿宋"/>
          <w:sz w:val="24"/>
          <w:szCs w:val="24"/>
        </w:rPr>
        <w:t>只能提交唯一报价，任何有选择的报价采购代理机构将不予接受，其投标文件视为无效文件。</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2、投标总价是指完成本次服务所须的全部费用。</w:t>
      </w:r>
    </w:p>
    <w:p>
      <w:pPr>
        <w:tabs>
          <w:tab w:val="left" w:pos="9030"/>
        </w:tabs>
        <w:snapToGrid w:val="0"/>
        <w:spacing w:line="360" w:lineRule="auto"/>
        <w:ind w:right="-65" w:firstLine="720" w:firstLineChars="30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凡因投标人对招标文件阅读不深、理解不透、误解、疏漏、或因市场行情了解不清造成的后果和风险均由投标人自行负责。</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投标人不得以低于成本的报价参与投标。当评标委员会认为，某投标人的报价或者部分分项报价存在明显不合理的低于成本的报价，有可能影响服务质量和不能诚信履约的，可要求该投标人在规定期限内，提供必要的书面文件予以解释和说明并附带相关证明材料；否则，评标委员会认定该投标人以低于成本价竞价，其投标文件作无效文件处理。</w:t>
      </w:r>
    </w:p>
    <w:p>
      <w:pPr>
        <w:pStyle w:val="38"/>
        <w:ind w:firstLine="48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zh-CN"/>
        </w:rPr>
        <w:t>最低报价不是中标的唯一依据，投标过程中所产生的一切费用由投标人自行承担。</w:t>
      </w:r>
    </w:p>
    <w:bookmarkEnd w:id="151"/>
    <w:p>
      <w:pPr>
        <w:autoSpaceDE w:val="0"/>
        <w:autoSpaceDN w:val="0"/>
        <w:adjustRightInd w:val="0"/>
        <w:snapToGrid w:val="0"/>
        <w:spacing w:line="360" w:lineRule="auto"/>
        <w:ind w:firstLine="482" w:firstLineChars="200"/>
        <w:outlineLvl w:val="2"/>
        <w:rPr>
          <w:rFonts w:ascii="仿宋" w:hAnsi="仿宋" w:eastAsia="仿宋" w:cs="仿宋"/>
          <w:b/>
          <w:sz w:val="24"/>
          <w:szCs w:val="24"/>
          <w:lang w:val="zh-CN"/>
        </w:rPr>
      </w:pPr>
      <w:bookmarkStart w:id="152" w:name="_Toc16182"/>
      <w:bookmarkStart w:id="153" w:name="_Toc30102"/>
      <w:bookmarkStart w:id="154" w:name="_Toc21181"/>
      <w:bookmarkStart w:id="155" w:name="_Toc22665"/>
      <w:bookmarkStart w:id="156" w:name="_Toc15088"/>
      <w:bookmarkStart w:id="157" w:name="_Toc10101"/>
      <w:bookmarkStart w:id="158" w:name="_Toc25485"/>
      <w:bookmarkStart w:id="159" w:name="_Toc1393"/>
      <w:bookmarkStart w:id="160" w:name="_Toc9238"/>
      <w:bookmarkStart w:id="161" w:name="_Toc26728"/>
      <w:bookmarkStart w:id="162" w:name="_Toc30010"/>
      <w:bookmarkStart w:id="163" w:name="_Toc1841"/>
      <w:bookmarkStart w:id="164" w:name="_Toc31895"/>
      <w:bookmarkStart w:id="165" w:name="_Toc29615"/>
      <w:bookmarkStart w:id="166" w:name="_Toc3341"/>
      <w:bookmarkStart w:id="167" w:name="_Toc1086"/>
      <w:bookmarkStart w:id="168" w:name="_Toc6827"/>
      <w:bookmarkStart w:id="169" w:name="_Toc19177"/>
      <w:bookmarkStart w:id="170" w:name="_Toc26261"/>
      <w:bookmarkStart w:id="171" w:name="_Toc14066"/>
      <w:bookmarkStart w:id="172" w:name="_Toc18340"/>
      <w:bookmarkStart w:id="173" w:name="_Toc25857"/>
      <w:bookmarkStart w:id="174" w:name="_Toc11741"/>
      <w:r>
        <w:rPr>
          <w:rFonts w:hint="eastAsia" w:ascii="仿宋" w:hAnsi="仿宋" w:eastAsia="仿宋" w:cs="仿宋"/>
          <w:b/>
          <w:sz w:val="24"/>
          <w:szCs w:val="24"/>
          <w:lang w:val="zh-CN"/>
        </w:rPr>
        <w:t>（七）</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rFonts w:hint="eastAsia" w:ascii="仿宋" w:hAnsi="仿宋" w:eastAsia="仿宋" w:cs="仿宋"/>
          <w:b/>
          <w:sz w:val="24"/>
          <w:szCs w:val="24"/>
          <w:lang w:val="zh-CN"/>
        </w:rPr>
        <w:t>投标文件的式样和签署</w:t>
      </w:r>
      <w:bookmarkEnd w:id="166"/>
      <w:bookmarkEnd w:id="167"/>
      <w:bookmarkEnd w:id="168"/>
      <w:bookmarkEnd w:id="169"/>
      <w:bookmarkEnd w:id="170"/>
      <w:bookmarkEnd w:id="171"/>
      <w:bookmarkEnd w:id="172"/>
      <w:bookmarkEnd w:id="173"/>
      <w:bookmarkEnd w:id="174"/>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投标人应按照招标文件格式，准备正本一份、副本三份和投标文件电子版一份（提供与纸质投标文件一致的PDF格式和</w:t>
      </w:r>
      <w:r>
        <w:rPr>
          <w:rFonts w:hint="eastAsia" w:ascii="仿宋" w:hAnsi="仿宋" w:eastAsia="仿宋" w:cs="仿宋"/>
          <w:sz w:val="24"/>
          <w:szCs w:val="24"/>
        </w:rPr>
        <w:t>word格式</w:t>
      </w:r>
      <w:r>
        <w:rPr>
          <w:rFonts w:hint="eastAsia" w:ascii="仿宋" w:hAnsi="仿宋" w:eastAsia="仿宋" w:cs="仿宋"/>
          <w:sz w:val="24"/>
          <w:szCs w:val="24"/>
          <w:lang w:val="zh-CN"/>
        </w:rPr>
        <w:t>，U盘存储），投标文件的封面上应清楚地标记“正本”、“副本”、“电子版”字样。招标文件中“第五部分 四、投标人资格证明文件”单独胶装成册1本，与投标文件正本一同密封。</w:t>
      </w:r>
    </w:p>
    <w:p>
      <w:pPr>
        <w:tabs>
          <w:tab w:val="left" w:pos="9030"/>
        </w:tabs>
        <w:snapToGrid w:val="0"/>
        <w:spacing w:line="360" w:lineRule="auto"/>
        <w:ind w:right="-65" w:firstLine="480" w:firstLineChars="200"/>
        <w:rPr>
          <w:rFonts w:ascii="仿宋" w:hAnsi="仿宋" w:eastAsia="仿宋" w:cs="仿宋"/>
          <w:spacing w:val="-6"/>
          <w:sz w:val="24"/>
          <w:szCs w:val="24"/>
        </w:rPr>
      </w:pPr>
      <w:r>
        <w:rPr>
          <w:rFonts w:hint="eastAsia" w:ascii="仿宋" w:hAnsi="仿宋" w:eastAsia="仿宋" w:cs="仿宋"/>
          <w:sz w:val="24"/>
          <w:szCs w:val="24"/>
        </w:rPr>
        <w:t>2、投标文件的正本和所有的副本均须双面打印并用不褪色蓝（黑）墨水（汁）书写，统一装订、标码，在每一页的正下方清楚标明页码等字样。</w:t>
      </w:r>
      <w:r>
        <w:rPr>
          <w:rFonts w:hint="eastAsia" w:ascii="仿宋" w:hAnsi="仿宋" w:eastAsia="仿宋" w:cs="仿宋"/>
          <w:spacing w:val="-6"/>
          <w:sz w:val="24"/>
          <w:szCs w:val="24"/>
        </w:rPr>
        <w:t>因字迹不清、表达不准或不按给定的投标文件格式编制的投标文件，所引起的不利后果由投标人自负。</w:t>
      </w:r>
    </w:p>
    <w:p>
      <w:pPr>
        <w:tabs>
          <w:tab w:val="left" w:pos="9030"/>
        </w:tabs>
        <w:snapToGrid w:val="0"/>
        <w:spacing w:line="360" w:lineRule="auto"/>
        <w:ind w:right="-65" w:firstLine="480" w:firstLineChars="200"/>
        <w:rPr>
          <w:rFonts w:ascii="仿宋" w:hAnsi="仿宋" w:eastAsia="仿宋" w:cs="仿宋"/>
          <w:bCs/>
          <w:sz w:val="24"/>
          <w:szCs w:val="24"/>
        </w:rPr>
      </w:pPr>
      <w:r>
        <w:rPr>
          <w:rFonts w:hint="eastAsia" w:ascii="仿宋" w:hAnsi="仿宋" w:eastAsia="仿宋" w:cs="仿宋"/>
          <w:sz w:val="24"/>
          <w:szCs w:val="24"/>
        </w:rPr>
        <w:t>3、</w:t>
      </w:r>
      <w:r>
        <w:rPr>
          <w:rFonts w:hint="eastAsia" w:ascii="仿宋" w:hAnsi="仿宋" w:eastAsia="仿宋" w:cs="仿宋"/>
          <w:bCs/>
          <w:sz w:val="24"/>
          <w:szCs w:val="24"/>
        </w:rPr>
        <w:t>投标文件必须加盖投标人公章并按照招标文件要求由法定代表人（或授权代表人）签字。若未按照要求签署的，按无效文件处理。</w:t>
      </w:r>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4、投标文件的打印应清楚工整，统一采用A4纸编制（如部分附表需要用其他规格的复印纸编写，则应按A4复印纸折叠）。</w:t>
      </w:r>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pacing w:val="2"/>
          <w:sz w:val="24"/>
          <w:szCs w:val="24"/>
          <w:lang w:val="zh-CN"/>
        </w:rPr>
        <w:t>除投标人对错处做必要修改外，投标文件不得行间插字、涂改和增删，如有修改错漏处，必须由投标人法定代表人或其授权人代表签字并加盖投标人公章。</w:t>
      </w:r>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6、投标文件应牢固装订成册，不可插页抽页。牢固装订成册是指用适当的办法,书脊涂有胶粘剂以保证投标文件不至于散开或用简单办法不能将任何一页在没有任何损坏的情况下取出或插入。各种用活页夹、文件夹、塑料方便式书脊（插入式或穿孔式）装订均不认为是牢固装订。</w:t>
      </w:r>
    </w:p>
    <w:p>
      <w:pPr>
        <w:autoSpaceDE w:val="0"/>
        <w:autoSpaceDN w:val="0"/>
        <w:adjustRightInd w:val="0"/>
        <w:snapToGrid w:val="0"/>
        <w:spacing w:line="360" w:lineRule="auto"/>
        <w:ind w:firstLine="482" w:firstLineChars="200"/>
        <w:outlineLvl w:val="2"/>
        <w:rPr>
          <w:rFonts w:ascii="仿宋" w:hAnsi="仿宋" w:eastAsia="仿宋" w:cs="仿宋"/>
          <w:b/>
          <w:sz w:val="24"/>
          <w:szCs w:val="24"/>
          <w:lang w:val="zh-CN"/>
        </w:rPr>
      </w:pPr>
      <w:bookmarkStart w:id="175" w:name="_Toc5650"/>
      <w:bookmarkStart w:id="176" w:name="_Toc7086"/>
      <w:bookmarkStart w:id="177" w:name="_Toc1531"/>
      <w:bookmarkStart w:id="178" w:name="_Toc12544"/>
      <w:bookmarkStart w:id="179" w:name="_Toc12685"/>
      <w:bookmarkStart w:id="180" w:name="_Toc22503"/>
      <w:bookmarkStart w:id="181" w:name="_Toc19200"/>
      <w:bookmarkStart w:id="182" w:name="_Toc32210"/>
      <w:bookmarkStart w:id="183" w:name="_Toc16318"/>
      <w:r>
        <w:rPr>
          <w:rFonts w:hint="eastAsia" w:ascii="仿宋" w:hAnsi="仿宋" w:eastAsia="仿宋" w:cs="仿宋"/>
          <w:b/>
          <w:sz w:val="24"/>
          <w:szCs w:val="24"/>
          <w:lang w:val="zh-CN"/>
        </w:rPr>
        <w:t>（</w:t>
      </w:r>
      <w:r>
        <w:rPr>
          <w:rFonts w:hint="eastAsia" w:ascii="仿宋" w:hAnsi="仿宋" w:eastAsia="仿宋" w:cs="仿宋"/>
          <w:b/>
          <w:sz w:val="24"/>
          <w:szCs w:val="24"/>
        </w:rPr>
        <w:t>八</w:t>
      </w:r>
      <w:r>
        <w:rPr>
          <w:rFonts w:hint="eastAsia" w:ascii="仿宋" w:hAnsi="仿宋" w:eastAsia="仿宋" w:cs="仿宋"/>
          <w:b/>
          <w:sz w:val="24"/>
          <w:szCs w:val="24"/>
          <w:lang w:val="zh-CN"/>
        </w:rPr>
        <w:t>）投标文件的密封和提交</w:t>
      </w:r>
      <w:bookmarkEnd w:id="175"/>
      <w:bookmarkEnd w:id="176"/>
      <w:bookmarkEnd w:id="177"/>
      <w:bookmarkEnd w:id="178"/>
      <w:bookmarkEnd w:id="179"/>
      <w:bookmarkEnd w:id="180"/>
      <w:bookmarkEnd w:id="181"/>
      <w:bookmarkEnd w:id="182"/>
      <w:bookmarkEnd w:id="183"/>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投标文件密封</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投标人应将投标文件分为</w:t>
      </w:r>
      <w:r>
        <w:rPr>
          <w:rFonts w:hint="eastAsia" w:ascii="仿宋" w:hAnsi="仿宋" w:eastAsia="仿宋" w:cs="仿宋"/>
          <w:sz w:val="24"/>
          <w:szCs w:val="24"/>
        </w:rPr>
        <w:t>3个包装袋。</w:t>
      </w:r>
      <w:r>
        <w:rPr>
          <w:rFonts w:hint="eastAsia" w:ascii="仿宋" w:hAnsi="仿宋" w:eastAsia="仿宋" w:cs="仿宋"/>
          <w:sz w:val="24"/>
          <w:szCs w:val="24"/>
          <w:lang w:val="zh-CN"/>
        </w:rPr>
        <w:t>正本单独密封、所有副本密封，投标文件电子版单独密封且在外层包装上标明字样。</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外层包装应加封条密封，在封线处加盖公章（骑缝章），标明项目编号、包号、项目名称，投标人全称（公章）、在</w:t>
      </w:r>
      <w:r>
        <w:rPr>
          <w:rFonts w:hint="eastAsia" w:ascii="仿宋" w:hAnsi="仿宋" w:eastAsia="仿宋" w:cs="仿宋"/>
          <w:sz w:val="24"/>
          <w:szCs w:val="24"/>
        </w:rPr>
        <w:t>XXXX年XX月XX日XX：XX前不得启封</w:t>
      </w:r>
      <w:r>
        <w:rPr>
          <w:rFonts w:hint="eastAsia" w:ascii="仿宋" w:hAnsi="仿宋" w:eastAsia="仿宋" w:cs="仿宋"/>
          <w:sz w:val="24"/>
          <w:szCs w:val="24"/>
          <w:lang w:val="zh-CN"/>
        </w:rPr>
        <w:t>等内容。</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投标文件的递交</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投标人应在招标文件要求提交投标文件的截止时间前将投标文件密封送达投标地点，递交并办理签收手续，采购代理机构在收到投标文件后记载投标文件送达时间及密封情况，签收保存，并向投标人出具签收回执。</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对于要求提供合格投标人必备资格文件和业绩原件等相关资料的采购项目，投标人应将其内容与投标文件一起递交，并标明所提供资料原件的明细表（若文件未要求原件可不提供）。</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在招标文件要求提交投标文件的截止时间之后送达的投标文件和相关资料原件，为无效文件，采购代理机构拒绝接收。</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采购代理机构在招标文件规定的投标文件递交截止时间前，只负责投标文件和其相关资料原件的接收、登记和组织工作，对其投标文件和相关资料原件的有效性不负任何责任。</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5）</w:t>
      </w:r>
      <w:r>
        <w:rPr>
          <w:rFonts w:hint="eastAsia" w:ascii="仿宋" w:hAnsi="仿宋" w:eastAsia="仿宋" w:cs="仿宋"/>
          <w:sz w:val="24"/>
          <w:szCs w:val="24"/>
          <w:lang w:val="zh-CN"/>
        </w:rPr>
        <w:t>投标文件递送后，在投标截止期前，投标人可以补充、修改或撤回其投标文件，并书面通知采购代理机构。补充、修改的内容应按招标文件的要求签署、盖章，密封后，作为投标文件的组成部分。</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6）</w:t>
      </w:r>
      <w:r>
        <w:rPr>
          <w:rFonts w:hint="eastAsia" w:ascii="仿宋" w:hAnsi="仿宋" w:eastAsia="仿宋" w:cs="仿宋"/>
          <w:sz w:val="24"/>
          <w:szCs w:val="24"/>
          <w:lang w:val="zh-CN"/>
        </w:rPr>
        <w:t>投标截止时间后，投标人不得对其投标文件做任何修改。</w:t>
      </w:r>
    </w:p>
    <w:p>
      <w:pPr>
        <w:autoSpaceDE w:val="0"/>
        <w:autoSpaceDN w:val="0"/>
        <w:adjustRightInd w:val="0"/>
        <w:snapToGrid w:val="0"/>
        <w:spacing w:line="360" w:lineRule="auto"/>
        <w:ind w:firstLine="482" w:firstLineChars="200"/>
        <w:outlineLvl w:val="1"/>
        <w:rPr>
          <w:rFonts w:ascii="仿宋" w:hAnsi="仿宋" w:eastAsia="仿宋" w:cs="仿宋"/>
          <w:b/>
          <w:sz w:val="24"/>
          <w:szCs w:val="24"/>
          <w:lang w:val="zh-CN"/>
        </w:rPr>
      </w:pPr>
      <w:bookmarkStart w:id="184" w:name="_Toc25855"/>
      <w:bookmarkStart w:id="185" w:name="_Toc17873"/>
      <w:bookmarkStart w:id="186" w:name="_Toc14306"/>
      <w:bookmarkStart w:id="187" w:name="_Toc21515"/>
      <w:bookmarkStart w:id="188" w:name="_Toc23613"/>
      <w:bookmarkStart w:id="189" w:name="_Toc3457"/>
      <w:bookmarkStart w:id="190" w:name="_Toc16081"/>
      <w:bookmarkStart w:id="191" w:name="_Toc27743"/>
      <w:r>
        <w:rPr>
          <w:rFonts w:hint="eastAsia" w:ascii="仿宋" w:hAnsi="仿宋" w:eastAsia="仿宋" w:cs="仿宋"/>
          <w:b/>
          <w:sz w:val="24"/>
          <w:szCs w:val="24"/>
          <w:lang w:val="zh-CN"/>
        </w:rPr>
        <w:t>四、开标</w:t>
      </w:r>
      <w:bookmarkEnd w:id="184"/>
      <w:bookmarkEnd w:id="185"/>
      <w:bookmarkEnd w:id="186"/>
      <w:bookmarkEnd w:id="187"/>
      <w:bookmarkEnd w:id="188"/>
      <w:bookmarkEnd w:id="189"/>
      <w:bookmarkEnd w:id="190"/>
      <w:bookmarkEnd w:id="191"/>
    </w:p>
    <w:p>
      <w:pPr>
        <w:autoSpaceDE w:val="0"/>
        <w:autoSpaceDN w:val="0"/>
        <w:adjustRightInd w:val="0"/>
        <w:snapToGri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（一）采购代理机构在规定的时间和地点组织公开开标并对开标、评标现场活动进行全程录音录像。</w:t>
      </w:r>
    </w:p>
    <w:p>
      <w:pPr>
        <w:autoSpaceDE w:val="0"/>
        <w:autoSpaceDN w:val="0"/>
        <w:adjustRightInd w:val="0"/>
        <w:snapToGri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（二）开标由采购代理机构主持，采购人、投标人和有关方面代表参加，签名报到以证明其出席。</w:t>
      </w:r>
    </w:p>
    <w:p>
      <w:pPr>
        <w:autoSpaceDE w:val="0"/>
        <w:autoSpaceDN w:val="0"/>
        <w:adjustRightInd w:val="0"/>
        <w:snapToGri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（三）开标截止时间后投标人不足三家的，不进行开标。</w:t>
      </w:r>
    </w:p>
    <w:p>
      <w:pPr>
        <w:autoSpaceDE w:val="0"/>
        <w:autoSpaceDN w:val="0"/>
        <w:adjustRightInd w:val="0"/>
        <w:snapToGri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（四）开标时，由投标人或者其推选的代表检查投标文件的密封情况，以确认各投标人的投标文件密封情况是否与递交时一致，没有被提前启封等异常情况。</w:t>
      </w:r>
    </w:p>
    <w:p>
      <w:pPr>
        <w:autoSpaceDE w:val="0"/>
        <w:autoSpaceDN w:val="0"/>
        <w:adjustRightInd w:val="0"/>
        <w:snapToGri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五）对投标文件的密封确认无误后，由采购代理机构工作人员当众拆封投标文件，以公开唱标的形式宣布投标人名称、投标价格以及采购代理机构认为合适的其他内容，无异议后，由投标人法定代表人（或被授权代表人）和监标人签字确认。</w:t>
      </w:r>
    </w:p>
    <w:p>
      <w:pPr>
        <w:autoSpaceDE w:val="0"/>
        <w:autoSpaceDN w:val="0"/>
        <w:adjustRightInd w:val="0"/>
        <w:snapToGri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（六）在开标时没有拆封和宣读的投标文件将原封退回给投标人。</w:t>
      </w:r>
    </w:p>
    <w:p>
      <w:pPr>
        <w:autoSpaceDE w:val="0"/>
        <w:autoSpaceDN w:val="0"/>
        <w:adjustRightInd w:val="0"/>
        <w:snapToGri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（七）以邮寄方式递交投标文件的为无效投标，不予启封。</w:t>
      </w:r>
    </w:p>
    <w:p>
      <w:pPr>
        <w:autoSpaceDE w:val="0"/>
        <w:autoSpaceDN w:val="0"/>
        <w:adjustRightInd w:val="0"/>
        <w:snapToGri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（八）投标人未参加开标的，视同认可开标结果。</w:t>
      </w:r>
    </w:p>
    <w:p>
      <w:pPr>
        <w:autoSpaceDE w:val="0"/>
        <w:autoSpaceDN w:val="0"/>
        <w:adjustRightInd w:val="0"/>
        <w:snapToGri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（九）开标过程由采购代理机构指定专人记录，参加开标的各投标人代表和相关工作人员签字确认后随采购文件一并存档。</w:t>
      </w:r>
    </w:p>
    <w:p>
      <w:pPr>
        <w:autoSpaceDE w:val="0"/>
        <w:autoSpaceDN w:val="0"/>
        <w:adjustRightInd w:val="0"/>
        <w:snapToGrid w:val="0"/>
        <w:spacing w:line="360" w:lineRule="auto"/>
        <w:ind w:firstLine="645"/>
        <w:rPr>
          <w:rFonts w:ascii="仿宋" w:hAnsi="仿宋" w:eastAsia="仿宋" w:cs="仿宋"/>
          <w:sz w:val="24"/>
          <w:szCs w:val="24"/>
        </w:rPr>
      </w:pPr>
      <w:r>
        <w:rPr>
          <w:rFonts w:hint="eastAsia" w:ascii="仿宋" w:hAnsi="仿宋" w:eastAsia="仿宋" w:cs="仿宋"/>
          <w:sz w:val="24"/>
          <w:szCs w:val="24"/>
          <w:lang w:val="zh-CN"/>
        </w:rPr>
        <w:t>（十）投标人代表对开标过程和开标记录有疑义，以及认为采购人、采购代理机构相关工作人员有需要回避的情形的，应当场提出询问或者回避申请。采购代理机构对投标人代表提出的询问或者回避申请应当及时处理。</w:t>
      </w:r>
    </w:p>
    <w:p>
      <w:pPr>
        <w:autoSpaceDE w:val="0"/>
        <w:autoSpaceDN w:val="0"/>
        <w:adjustRightInd w:val="0"/>
        <w:snapToGrid w:val="0"/>
        <w:spacing w:line="360" w:lineRule="auto"/>
        <w:ind w:firstLine="482" w:firstLineChars="200"/>
        <w:outlineLvl w:val="1"/>
        <w:rPr>
          <w:rFonts w:ascii="仿宋" w:hAnsi="仿宋" w:eastAsia="仿宋" w:cs="仿宋"/>
          <w:b/>
          <w:sz w:val="24"/>
          <w:szCs w:val="24"/>
          <w:lang w:val="zh-CN"/>
        </w:rPr>
      </w:pPr>
      <w:bookmarkStart w:id="192" w:name="_Toc13967"/>
      <w:bookmarkStart w:id="193" w:name="_Toc11628"/>
      <w:bookmarkStart w:id="194" w:name="_Toc16283"/>
      <w:bookmarkStart w:id="195" w:name="_Toc8012"/>
      <w:bookmarkStart w:id="196" w:name="_Toc20825"/>
      <w:bookmarkStart w:id="197" w:name="_Toc3139"/>
      <w:bookmarkStart w:id="198" w:name="_Toc22028"/>
      <w:bookmarkStart w:id="199" w:name="_Toc21519"/>
      <w:r>
        <w:rPr>
          <w:rFonts w:hint="eastAsia" w:ascii="仿宋" w:hAnsi="仿宋" w:eastAsia="仿宋" w:cs="仿宋"/>
          <w:b/>
          <w:sz w:val="24"/>
          <w:szCs w:val="24"/>
          <w:lang w:val="zh-CN"/>
        </w:rPr>
        <w:t>五、评标</w:t>
      </w:r>
      <w:bookmarkEnd w:id="192"/>
      <w:bookmarkEnd w:id="193"/>
      <w:bookmarkEnd w:id="194"/>
      <w:bookmarkEnd w:id="195"/>
      <w:bookmarkEnd w:id="196"/>
      <w:bookmarkEnd w:id="197"/>
      <w:bookmarkEnd w:id="198"/>
      <w:bookmarkEnd w:id="199"/>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（一）</w:t>
      </w:r>
      <w:r>
        <w:rPr>
          <w:rFonts w:hint="eastAsia" w:ascii="仿宋" w:hAnsi="仿宋" w:eastAsia="仿宋" w:cs="仿宋"/>
          <w:sz w:val="24"/>
          <w:szCs w:val="24"/>
          <w:lang w:val="zh-CN"/>
        </w:rPr>
        <w:t>按照《中华人民共和国政府采购法》、《中华人民共和国政府采购法实施条例》和《政府采购货物和服务招标投标管理办法》</w:t>
      </w:r>
      <w:r>
        <w:rPr>
          <w:rFonts w:hint="eastAsia" w:ascii="仿宋" w:hAnsi="仿宋" w:eastAsia="仿宋" w:cs="仿宋"/>
          <w:sz w:val="24"/>
          <w:szCs w:val="24"/>
        </w:rPr>
        <w:t>87号令</w:t>
      </w:r>
      <w:r>
        <w:rPr>
          <w:rFonts w:hint="eastAsia" w:ascii="仿宋" w:hAnsi="仿宋" w:eastAsia="仿宋" w:cs="仿宋"/>
          <w:sz w:val="24"/>
          <w:szCs w:val="24"/>
          <w:lang w:val="zh-CN"/>
        </w:rPr>
        <w:t>的规定，依法组建评标委员会。</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（二）</w:t>
      </w:r>
      <w:r>
        <w:rPr>
          <w:rFonts w:hint="eastAsia" w:ascii="仿宋" w:hAnsi="仿宋" w:eastAsia="仿宋" w:cs="仿宋"/>
          <w:sz w:val="24"/>
          <w:szCs w:val="24"/>
          <w:lang w:val="zh-CN"/>
        </w:rPr>
        <w:t>评标委员会的组成</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本项目评标委员会为</w:t>
      </w:r>
      <w:r>
        <w:rPr>
          <w:rFonts w:hint="eastAsia" w:ascii="仿宋" w:hAnsi="仿宋" w:eastAsia="仿宋" w:cs="仿宋"/>
          <w:sz w:val="24"/>
          <w:szCs w:val="24"/>
        </w:rPr>
        <w:t>5人或以上单数，</w:t>
      </w:r>
      <w:r>
        <w:rPr>
          <w:rFonts w:hint="eastAsia" w:ascii="仿宋" w:hAnsi="仿宋" w:eastAsia="仿宋" w:cs="仿宋"/>
          <w:sz w:val="24"/>
          <w:szCs w:val="24"/>
          <w:lang w:val="zh-CN"/>
        </w:rPr>
        <w:t>评审专家在省级以上财政部门设立的政府采购评审专家库中随机抽取，其中评审专家不得少于成员总数的三分之二，评标委员会成员与投标人有利害关系的应当回避。</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（三）</w:t>
      </w:r>
      <w:r>
        <w:rPr>
          <w:rFonts w:hint="eastAsia" w:ascii="仿宋" w:hAnsi="仿宋" w:eastAsia="仿宋" w:cs="仿宋"/>
          <w:sz w:val="24"/>
          <w:szCs w:val="24"/>
          <w:lang w:val="zh-CN"/>
        </w:rPr>
        <w:t>评标委员会的职责</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审查、评价投标文件是否符合招标文件的商务、技术等实质性要求；</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要求投标人对投标文件有关事项作出澄清或者说明；</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对投标文件进行比较和评价；</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确定中标候选人名单，以及根据采购人委托直接确定中标投标人；</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5、</w:t>
      </w:r>
      <w:r>
        <w:rPr>
          <w:rFonts w:hint="eastAsia" w:ascii="仿宋" w:hAnsi="仿宋" w:eastAsia="仿宋" w:cs="仿宋"/>
          <w:sz w:val="24"/>
          <w:szCs w:val="24"/>
          <w:lang w:val="zh-CN"/>
        </w:rPr>
        <w:t>向采购人、采购代理机构或者有关部门报告评标中发现的违法行为；</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6、</w:t>
      </w:r>
      <w:r>
        <w:rPr>
          <w:rFonts w:hint="eastAsia" w:ascii="仿宋" w:hAnsi="仿宋" w:eastAsia="仿宋" w:cs="仿宋"/>
          <w:sz w:val="24"/>
          <w:szCs w:val="24"/>
          <w:lang w:val="zh-CN"/>
        </w:rPr>
        <w:t>配合采购代理机构答复投标人提出的质疑；</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7、</w:t>
      </w:r>
      <w:r>
        <w:rPr>
          <w:rFonts w:hint="eastAsia" w:ascii="仿宋" w:hAnsi="仿宋" w:eastAsia="仿宋" w:cs="仿宋"/>
          <w:sz w:val="24"/>
          <w:szCs w:val="24"/>
          <w:lang w:val="zh-CN"/>
        </w:rPr>
        <w:t>配合财政部门的投诉处理工作。</w:t>
      </w:r>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（四）</w:t>
      </w:r>
      <w:r>
        <w:rPr>
          <w:rFonts w:hint="eastAsia" w:ascii="仿宋" w:hAnsi="仿宋" w:eastAsia="仿宋" w:cs="仿宋"/>
          <w:sz w:val="24"/>
          <w:szCs w:val="24"/>
          <w:lang w:val="zh-CN"/>
        </w:rPr>
        <w:t>评标委员会有权对整个招标过程中出现的一切问题，</w:t>
      </w:r>
      <w:r>
        <w:rPr>
          <w:rFonts w:hint="eastAsia" w:ascii="仿宋" w:hAnsi="仿宋" w:eastAsia="仿宋" w:cs="仿宋"/>
          <w:sz w:val="24"/>
          <w:szCs w:val="24"/>
        </w:rPr>
        <w:t>根据《中华人民共和国政府采购法》、《中华人民共和国政府采购实施条例》和《政府采购货物和服务招标投标管理办法》的精神，本着公开、公平、公正的原则，进行处理。</w:t>
      </w:r>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（五）公开开标后，直到向中标投标人授予合同为止，凡与审查、澄清、评价和比较投标的有关资料及授标意见等内容，评标委员会成员均不得向投标人及与评标无关的其他人透露。</w:t>
      </w:r>
    </w:p>
    <w:p>
      <w:pPr>
        <w:autoSpaceDE w:val="0"/>
        <w:autoSpaceDN w:val="0"/>
        <w:adjustRightInd w:val="0"/>
        <w:snapToGrid w:val="0"/>
        <w:spacing w:line="360" w:lineRule="auto"/>
        <w:ind w:firstLine="482" w:firstLineChars="200"/>
        <w:outlineLvl w:val="1"/>
        <w:rPr>
          <w:rFonts w:ascii="仿宋" w:hAnsi="仿宋" w:eastAsia="仿宋" w:cs="仿宋"/>
          <w:b/>
          <w:sz w:val="24"/>
          <w:szCs w:val="24"/>
          <w:lang w:val="zh-CN"/>
        </w:rPr>
      </w:pPr>
      <w:bookmarkStart w:id="200" w:name="_Toc25493"/>
      <w:bookmarkStart w:id="201" w:name="_Toc6520"/>
      <w:bookmarkStart w:id="202" w:name="_Toc29394"/>
      <w:bookmarkStart w:id="203" w:name="_Toc18147"/>
      <w:bookmarkStart w:id="204" w:name="_Toc14292"/>
      <w:bookmarkStart w:id="205" w:name="_Toc14972"/>
      <w:bookmarkStart w:id="206" w:name="_Toc20761"/>
      <w:bookmarkStart w:id="207" w:name="_Toc12587"/>
      <w:r>
        <w:rPr>
          <w:rFonts w:hint="eastAsia" w:ascii="仿宋" w:hAnsi="仿宋" w:eastAsia="仿宋" w:cs="仿宋"/>
          <w:b/>
          <w:sz w:val="24"/>
          <w:szCs w:val="24"/>
          <w:lang w:val="zh-CN"/>
        </w:rPr>
        <w:t>六、</w:t>
      </w:r>
      <w:bookmarkStart w:id="208" w:name="_Toc495671240"/>
      <w:r>
        <w:rPr>
          <w:rFonts w:hint="eastAsia" w:ascii="仿宋" w:hAnsi="仿宋" w:eastAsia="仿宋" w:cs="仿宋"/>
          <w:b/>
          <w:sz w:val="24"/>
          <w:szCs w:val="24"/>
          <w:lang w:val="zh-CN"/>
        </w:rPr>
        <w:t>评标程序及评标办法</w:t>
      </w:r>
      <w:bookmarkEnd w:id="200"/>
      <w:bookmarkEnd w:id="201"/>
      <w:bookmarkEnd w:id="202"/>
      <w:bookmarkEnd w:id="203"/>
      <w:bookmarkEnd w:id="204"/>
      <w:bookmarkEnd w:id="205"/>
      <w:bookmarkEnd w:id="206"/>
      <w:bookmarkEnd w:id="207"/>
      <w:bookmarkEnd w:id="208"/>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按照投标文件初审、澄清有关问题、比较与评价、推荐中标候选投标人名单的工作程序进行评标。</w:t>
      </w:r>
    </w:p>
    <w:p>
      <w:pPr>
        <w:tabs>
          <w:tab w:val="left" w:pos="9030"/>
        </w:tabs>
        <w:snapToGrid w:val="0"/>
        <w:spacing w:line="360" w:lineRule="auto"/>
        <w:ind w:right="-65" w:firstLine="480" w:firstLineChars="200"/>
        <w:outlineLvl w:val="2"/>
        <w:rPr>
          <w:rFonts w:ascii="仿宋" w:hAnsi="仿宋" w:eastAsia="仿宋" w:cs="仿宋"/>
          <w:sz w:val="24"/>
          <w:szCs w:val="24"/>
        </w:rPr>
      </w:pPr>
      <w:bookmarkStart w:id="209" w:name="_Toc14182"/>
      <w:bookmarkStart w:id="210" w:name="_Toc14549"/>
      <w:bookmarkStart w:id="211" w:name="_Toc19431"/>
      <w:bookmarkStart w:id="212" w:name="_Toc21585"/>
      <w:bookmarkStart w:id="213" w:name="_Toc2042"/>
      <w:bookmarkStart w:id="214" w:name="_Toc2630"/>
      <w:bookmarkStart w:id="215" w:name="_Toc1543"/>
      <w:bookmarkStart w:id="216" w:name="_Toc26"/>
      <w:bookmarkStart w:id="217" w:name="_Toc16065"/>
      <w:r>
        <w:rPr>
          <w:rFonts w:hint="eastAsia" w:ascii="仿宋" w:hAnsi="仿宋" w:eastAsia="仿宋" w:cs="仿宋"/>
          <w:sz w:val="24"/>
          <w:szCs w:val="24"/>
        </w:rPr>
        <w:t>（一）投标文件初审</w:t>
      </w:r>
      <w:bookmarkEnd w:id="209"/>
      <w:bookmarkEnd w:id="210"/>
      <w:bookmarkEnd w:id="211"/>
      <w:bookmarkEnd w:id="212"/>
      <w:bookmarkEnd w:id="213"/>
      <w:bookmarkEnd w:id="214"/>
      <w:bookmarkEnd w:id="215"/>
      <w:bookmarkEnd w:id="216"/>
      <w:bookmarkEnd w:id="217"/>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初审分为资格性检查和符合性检查。分别按照以下内容对投标文件进行检查，一项不合格即按照无效投标处理。</w:t>
      </w:r>
    </w:p>
    <w:p>
      <w:pPr>
        <w:tabs>
          <w:tab w:val="left" w:pos="9030"/>
        </w:tabs>
        <w:snapToGrid w:val="0"/>
        <w:spacing w:line="360" w:lineRule="auto"/>
        <w:ind w:firstLine="482" w:firstLineChars="200"/>
        <w:rPr>
          <w:rFonts w:ascii="仿宋" w:hAnsi="仿宋" w:eastAsia="仿宋" w:cs="仿宋"/>
          <w:sz w:val="24"/>
          <w:szCs w:val="24"/>
        </w:rPr>
      </w:pPr>
      <w:r>
        <w:rPr>
          <w:rFonts w:hint="eastAsia" w:ascii="仿宋" w:hAnsi="仿宋" w:eastAsia="仿宋" w:cs="仿宋"/>
          <w:b/>
          <w:bCs/>
          <w:sz w:val="24"/>
          <w:szCs w:val="24"/>
        </w:rPr>
        <w:t>1、投标文件的资格性审查：依据法律法规和招标文件的规定，采购人及采购代理机构对投标文件中的资格证明文件等进行审查，审查内容为公告中所列的投标人资格条件。</w:t>
      </w:r>
    </w:p>
    <w:tbl>
      <w:tblPr>
        <w:tblStyle w:val="23"/>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2231"/>
        <w:gridCol w:w="6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17" w:type="dxa"/>
            <w:vAlign w:val="center"/>
          </w:tcPr>
          <w:p>
            <w:pPr>
              <w:tabs>
                <w:tab w:val="left" w:pos="9030"/>
              </w:tabs>
              <w:snapToGrid w:val="0"/>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231" w:type="dxa"/>
            <w:vAlign w:val="center"/>
          </w:tcPr>
          <w:p>
            <w:pPr>
              <w:tabs>
                <w:tab w:val="left" w:pos="9030"/>
              </w:tabs>
              <w:snapToGrid w:val="0"/>
              <w:spacing w:line="360" w:lineRule="auto"/>
              <w:jc w:val="center"/>
              <w:rPr>
                <w:rFonts w:ascii="仿宋" w:hAnsi="仿宋" w:eastAsia="仿宋" w:cs="仿宋"/>
                <w:sz w:val="24"/>
                <w:szCs w:val="24"/>
              </w:rPr>
            </w:pPr>
            <w:r>
              <w:rPr>
                <w:rFonts w:hint="eastAsia" w:ascii="仿宋" w:hAnsi="仿宋" w:eastAsia="仿宋" w:cs="仿宋"/>
                <w:sz w:val="24"/>
                <w:szCs w:val="24"/>
              </w:rPr>
              <w:t>资格审查项</w:t>
            </w:r>
          </w:p>
        </w:tc>
        <w:tc>
          <w:tcPr>
            <w:tcW w:w="6111" w:type="dxa"/>
            <w:vAlign w:val="center"/>
          </w:tcPr>
          <w:p>
            <w:pPr>
              <w:tabs>
                <w:tab w:val="left" w:pos="9030"/>
              </w:tabs>
              <w:snapToGrid w:val="0"/>
              <w:spacing w:line="360" w:lineRule="auto"/>
              <w:jc w:val="center"/>
              <w:rPr>
                <w:rFonts w:ascii="仿宋" w:hAnsi="仿宋" w:eastAsia="仿宋" w:cs="仿宋"/>
                <w:sz w:val="24"/>
                <w:szCs w:val="24"/>
              </w:rPr>
            </w:pPr>
            <w:r>
              <w:rPr>
                <w:rFonts w:hint="eastAsia" w:ascii="仿宋" w:hAnsi="仿宋" w:eastAsia="仿宋" w:cs="仿宋"/>
                <w:sz w:val="24"/>
                <w:szCs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17" w:type="dxa"/>
            <w:vAlign w:val="center"/>
          </w:tcPr>
          <w:p>
            <w:pPr>
              <w:tabs>
                <w:tab w:val="left" w:pos="9030"/>
              </w:tabs>
              <w:snapToGrid w:val="0"/>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2231"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营业执照等主体资格证明文件</w:t>
            </w:r>
          </w:p>
        </w:tc>
        <w:tc>
          <w:tcPr>
            <w:tcW w:w="6111" w:type="dxa"/>
            <w:vAlign w:val="center"/>
          </w:tcPr>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提供统一社会信用代码的营业执照或其他组织经营的合法凭证或自然人的提供身份证明文件。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617" w:type="dxa"/>
            <w:vAlign w:val="center"/>
          </w:tcPr>
          <w:p>
            <w:pPr>
              <w:tabs>
                <w:tab w:val="left" w:pos="9030"/>
              </w:tabs>
              <w:snapToGrid w:val="0"/>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2231"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财务状况报告</w:t>
            </w:r>
          </w:p>
        </w:tc>
        <w:tc>
          <w:tcPr>
            <w:tcW w:w="6111" w:type="dxa"/>
            <w:vAlign w:val="center"/>
          </w:tcPr>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shd w:val="clear" w:color="auto" w:fill="FFFFFF"/>
              </w:rPr>
              <w:t>提供具有财务审计资质单位出具的2021或2022年度财务报告或开标前六个月内其基本账户银行出具的资信证明或财政部门认可的政府采购专业担保机构出具的担保函，以上形式的证明资料提供任何一种即可</w:t>
            </w:r>
            <w:r>
              <w:rPr>
                <w:rFonts w:hint="eastAsia" w:ascii="仿宋" w:hAnsi="仿宋" w:eastAsia="仿宋" w:cs="仿宋"/>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17" w:type="dxa"/>
            <w:vAlign w:val="center"/>
          </w:tcPr>
          <w:p>
            <w:pPr>
              <w:tabs>
                <w:tab w:val="left" w:pos="9030"/>
              </w:tabs>
              <w:snapToGrid w:val="0"/>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2231"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税收缴纳证明</w:t>
            </w:r>
          </w:p>
        </w:tc>
        <w:tc>
          <w:tcPr>
            <w:tcW w:w="6111" w:type="dxa"/>
            <w:vAlign w:val="center"/>
          </w:tcPr>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shd w:val="clear" w:color="auto" w:fill="FFFFFF"/>
              </w:rPr>
              <w:t>提供已缴纳的 2022年1月1日以来至少一个月的纳税证明或完税证明，纳税证明或完税证明上应有代收机构或税务机关的公章或业务专用章。依法免税的投标人应提供相关文件证明</w:t>
            </w:r>
            <w:r>
              <w:rPr>
                <w:rFonts w:hint="eastAsia" w:ascii="仿宋" w:hAnsi="仿宋" w:eastAsia="仿宋" w:cs="仿宋"/>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17" w:type="dxa"/>
            <w:vAlign w:val="center"/>
          </w:tcPr>
          <w:p>
            <w:pPr>
              <w:tabs>
                <w:tab w:val="left" w:pos="9030"/>
              </w:tabs>
              <w:snapToGrid w:val="0"/>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2231"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社保缴纳证明</w:t>
            </w:r>
          </w:p>
        </w:tc>
        <w:tc>
          <w:tcPr>
            <w:tcW w:w="6111" w:type="dxa"/>
            <w:vAlign w:val="center"/>
          </w:tcPr>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shd w:val="clear" w:color="auto" w:fill="FFFFFF"/>
              </w:rPr>
              <w:t>提供已缴存的 2022年1月1日以来至少一个月的社会保障资金缴存单据或社保机构开具的社会保险参保缴费情况证明。成立时间至提交投标文件截止时间不足一个月或依法不需要缴纳社会保障资金的投标人应提供相关文件证明。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17" w:type="dxa"/>
            <w:vAlign w:val="center"/>
          </w:tcPr>
          <w:p>
            <w:pPr>
              <w:tabs>
                <w:tab w:val="left" w:pos="9030"/>
              </w:tabs>
              <w:snapToGrid w:val="0"/>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2231"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书面声明</w:t>
            </w:r>
          </w:p>
        </w:tc>
        <w:tc>
          <w:tcPr>
            <w:tcW w:w="6111" w:type="dxa"/>
            <w:vAlign w:val="center"/>
          </w:tcPr>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 xml:space="preserve">1.出具履行合同所必需的设备和专业技术能力的书面声明； </w:t>
            </w:r>
          </w:p>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 xml:space="preserve">2.出具参加本次政府采购活动的书面声明；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17" w:type="dxa"/>
            <w:vAlign w:val="center"/>
          </w:tcPr>
          <w:p>
            <w:pPr>
              <w:tabs>
                <w:tab w:val="left" w:pos="9030"/>
              </w:tabs>
              <w:snapToGrid w:val="0"/>
              <w:spacing w:line="360" w:lineRule="auto"/>
              <w:jc w:val="center"/>
              <w:rPr>
                <w:rFonts w:ascii="仿宋" w:hAnsi="仿宋" w:eastAsia="仿宋" w:cs="仿宋"/>
                <w:sz w:val="24"/>
                <w:szCs w:val="24"/>
              </w:rPr>
            </w:pPr>
            <w:r>
              <w:rPr>
                <w:rFonts w:hint="eastAsia" w:ascii="仿宋" w:hAnsi="仿宋" w:eastAsia="仿宋" w:cs="仿宋"/>
                <w:sz w:val="24"/>
                <w:szCs w:val="24"/>
              </w:rPr>
              <w:t>6</w:t>
            </w:r>
          </w:p>
        </w:tc>
        <w:tc>
          <w:tcPr>
            <w:tcW w:w="2231"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信用记录</w:t>
            </w:r>
          </w:p>
        </w:tc>
        <w:tc>
          <w:tcPr>
            <w:tcW w:w="6111" w:type="dxa"/>
            <w:vAlign w:val="center"/>
          </w:tcPr>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经查询，投标人未被列入“信用中国”网站记录的“失信被执行人”或“重大税收违法案件当事人”名单；不处于“中国政府采购网”记录的“政府采购严重违法失信行为记录名单”中的禁止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17" w:type="dxa"/>
            <w:vAlign w:val="center"/>
          </w:tcPr>
          <w:p>
            <w:pPr>
              <w:tabs>
                <w:tab w:val="left" w:pos="9030"/>
              </w:tabs>
              <w:snapToGrid w:val="0"/>
              <w:spacing w:line="360" w:lineRule="auto"/>
              <w:jc w:val="center"/>
              <w:rPr>
                <w:rFonts w:ascii="仿宋" w:hAnsi="仿宋" w:eastAsia="仿宋" w:cs="仿宋"/>
                <w:sz w:val="24"/>
                <w:szCs w:val="24"/>
              </w:rPr>
            </w:pPr>
            <w:r>
              <w:rPr>
                <w:rFonts w:hint="eastAsia" w:ascii="仿宋" w:hAnsi="仿宋" w:eastAsia="仿宋" w:cs="仿宋"/>
                <w:sz w:val="24"/>
                <w:szCs w:val="24"/>
              </w:rPr>
              <w:t>7</w:t>
            </w:r>
          </w:p>
        </w:tc>
        <w:tc>
          <w:tcPr>
            <w:tcW w:w="2231" w:type="dxa"/>
            <w:vAlign w:val="center"/>
          </w:tcPr>
          <w:p>
            <w:pPr>
              <w:spacing w:line="360" w:lineRule="auto"/>
              <w:jc w:val="center"/>
              <w:rPr>
                <w:rFonts w:ascii="仿宋" w:hAnsi="仿宋" w:eastAsia="仿宋" w:cs="仿宋"/>
                <w:sz w:val="24"/>
                <w:szCs w:val="24"/>
              </w:rPr>
            </w:pPr>
            <w:r>
              <w:rPr>
                <w:rFonts w:ascii="仿宋" w:hAnsi="仿宋" w:eastAsia="仿宋" w:cs="仿宋"/>
                <w:sz w:val="24"/>
                <w:szCs w:val="24"/>
              </w:rPr>
              <w:t>法定代表人授权委托书</w:t>
            </w:r>
          </w:p>
        </w:tc>
        <w:tc>
          <w:tcPr>
            <w:tcW w:w="6111" w:type="dxa"/>
            <w:vAlign w:val="center"/>
          </w:tcPr>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法定代表人参加投标的，须提供法定代表人身份证明；法定代表人授权他人参加投标的，须提供法定代表人授权委托书，被授权代表本单位证明：</w:t>
            </w:r>
            <w:r>
              <w:rPr>
                <w:rFonts w:hint="eastAsia" w:ascii="仿宋" w:hAnsi="仿宋" w:eastAsia="仿宋" w:cs="仿宋"/>
                <w:sz w:val="24"/>
                <w:szCs w:val="24"/>
                <w:shd w:val="clear" w:color="auto" w:fill="FFFFFF"/>
              </w:rPr>
              <w:t>有效的劳动合同或投标截止前六个月内任意一个月养老保险缴纳证明</w:t>
            </w:r>
            <w:r>
              <w:rPr>
                <w:rFonts w:hint="eastAsia" w:ascii="仿宋" w:hAnsi="仿宋" w:eastAsia="仿宋" w:cs="仿宋"/>
                <w:sz w:val="24"/>
                <w:szCs w:val="24"/>
                <w:lang w:val="zh-CN"/>
              </w:rPr>
              <w:t>。</w:t>
            </w:r>
          </w:p>
        </w:tc>
      </w:tr>
    </w:tbl>
    <w:p>
      <w:pPr>
        <w:tabs>
          <w:tab w:val="left" w:pos="9030"/>
        </w:tabs>
        <w:snapToGrid w:val="0"/>
        <w:spacing w:line="360" w:lineRule="auto"/>
        <w:ind w:right="-65" w:firstLine="482" w:firstLineChars="200"/>
        <w:rPr>
          <w:rFonts w:ascii="仿宋" w:hAnsi="仿宋" w:eastAsia="仿宋" w:cs="仿宋"/>
          <w:b/>
          <w:bCs/>
          <w:sz w:val="24"/>
          <w:szCs w:val="24"/>
        </w:rPr>
      </w:pPr>
      <w:r>
        <w:rPr>
          <w:rFonts w:hint="eastAsia" w:ascii="仿宋" w:hAnsi="仿宋" w:eastAsia="仿宋" w:cs="仿宋"/>
          <w:b/>
          <w:bCs/>
          <w:sz w:val="24"/>
          <w:szCs w:val="24"/>
          <w:lang w:val="zh-CN"/>
        </w:rPr>
        <w:t>说明：资格审查结束后，资格审查人员对审查结果进行签字确认，若投标人资格审查未通过，注明未通过原因并告知其投标人，资格审查不合格的投标人，不得进入下一评标环节。</w:t>
      </w:r>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2、投标文件符合性审查：</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2814"/>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17" w:type="dxa"/>
            <w:vAlign w:val="center"/>
          </w:tcPr>
          <w:p>
            <w:pPr>
              <w:tabs>
                <w:tab w:val="left" w:pos="9030"/>
              </w:tabs>
              <w:snapToGrid w:val="0"/>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814" w:type="dxa"/>
            <w:vAlign w:val="center"/>
          </w:tcPr>
          <w:p>
            <w:pPr>
              <w:tabs>
                <w:tab w:val="left" w:pos="9030"/>
              </w:tabs>
              <w:snapToGrid w:val="0"/>
              <w:spacing w:line="360" w:lineRule="auto"/>
              <w:jc w:val="center"/>
              <w:rPr>
                <w:rFonts w:ascii="仿宋" w:hAnsi="仿宋" w:eastAsia="仿宋" w:cs="仿宋"/>
                <w:sz w:val="24"/>
                <w:szCs w:val="24"/>
              </w:rPr>
            </w:pPr>
            <w:r>
              <w:rPr>
                <w:rFonts w:ascii="仿宋" w:hAnsi="仿宋" w:eastAsia="仿宋" w:cs="仿宋"/>
                <w:sz w:val="24"/>
                <w:szCs w:val="24"/>
              </w:rPr>
              <w:t>符合性审查项</w:t>
            </w:r>
          </w:p>
        </w:tc>
        <w:tc>
          <w:tcPr>
            <w:tcW w:w="5528" w:type="dxa"/>
            <w:vAlign w:val="center"/>
          </w:tcPr>
          <w:p>
            <w:pPr>
              <w:tabs>
                <w:tab w:val="left" w:pos="9030"/>
              </w:tabs>
              <w:snapToGrid w:val="0"/>
              <w:spacing w:line="360" w:lineRule="auto"/>
              <w:jc w:val="center"/>
              <w:rPr>
                <w:rFonts w:ascii="仿宋" w:hAnsi="仿宋" w:eastAsia="仿宋" w:cs="仿宋"/>
                <w:sz w:val="24"/>
                <w:szCs w:val="24"/>
              </w:rPr>
            </w:pPr>
            <w:r>
              <w:rPr>
                <w:rFonts w:hint="eastAsia" w:ascii="仿宋" w:hAnsi="仿宋" w:eastAsia="仿宋" w:cs="仿宋"/>
                <w:sz w:val="24"/>
                <w:szCs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17" w:type="dxa"/>
            <w:vAlign w:val="center"/>
          </w:tcPr>
          <w:p>
            <w:pPr>
              <w:tabs>
                <w:tab w:val="left" w:pos="9030"/>
              </w:tabs>
              <w:snapToGrid w:val="0"/>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281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投标文件语言及有效期</w:t>
            </w:r>
          </w:p>
        </w:tc>
        <w:tc>
          <w:tcPr>
            <w:tcW w:w="5528" w:type="dxa"/>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投标文件语言及有效期符合招标文件要求。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17" w:type="dxa"/>
            <w:vAlign w:val="center"/>
          </w:tcPr>
          <w:p>
            <w:pPr>
              <w:tabs>
                <w:tab w:val="left" w:pos="9030"/>
              </w:tabs>
              <w:snapToGrid w:val="0"/>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281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投标文件的投标函以及法定代表人授权委托书</w:t>
            </w:r>
          </w:p>
        </w:tc>
        <w:tc>
          <w:tcPr>
            <w:tcW w:w="5528" w:type="dxa"/>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二处均无遗漏，且所投项目名称、标段应与实际参与项目一致。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Align w:val="center"/>
          </w:tcPr>
          <w:p>
            <w:pPr>
              <w:tabs>
                <w:tab w:val="left" w:pos="9030"/>
              </w:tabs>
              <w:snapToGrid w:val="0"/>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281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开标一览表</w:t>
            </w:r>
          </w:p>
        </w:tc>
        <w:tc>
          <w:tcPr>
            <w:tcW w:w="5528" w:type="dxa"/>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（1）报价符合唯一性要求：</w:t>
            </w: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（2）报价表填写符合要求；</w:t>
            </w: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（3）计量单位、报价货币均符合招标文件要求；</w:t>
            </w: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（4）未超出采购预算或招标文件规定的最高限价。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17" w:type="dxa"/>
            <w:vAlign w:val="center"/>
          </w:tcPr>
          <w:p>
            <w:pPr>
              <w:tabs>
                <w:tab w:val="left" w:pos="9030"/>
              </w:tabs>
              <w:snapToGrid w:val="0"/>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281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投标人承诺书</w:t>
            </w:r>
          </w:p>
        </w:tc>
        <w:tc>
          <w:tcPr>
            <w:tcW w:w="5528" w:type="dxa"/>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完全理解并接受《投标人企业关系关联承诺书》、《投标人廉洁自律承诺书》。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617" w:type="dxa"/>
            <w:vAlign w:val="center"/>
          </w:tcPr>
          <w:p>
            <w:pPr>
              <w:tabs>
                <w:tab w:val="left" w:pos="9030"/>
              </w:tabs>
              <w:snapToGrid w:val="0"/>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281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无其他招标文件或法</w:t>
            </w:r>
          </w:p>
          <w:p>
            <w:pPr>
              <w:spacing w:line="360" w:lineRule="auto"/>
              <w:jc w:val="center"/>
              <w:rPr>
                <w:rFonts w:ascii="仿宋" w:hAnsi="仿宋" w:eastAsia="仿宋" w:cs="仿宋"/>
                <w:sz w:val="24"/>
                <w:szCs w:val="24"/>
              </w:rPr>
            </w:pPr>
            <w:r>
              <w:rPr>
                <w:rFonts w:hint="eastAsia" w:ascii="仿宋" w:hAnsi="仿宋" w:eastAsia="仿宋" w:cs="仿宋"/>
                <w:sz w:val="24"/>
                <w:szCs w:val="24"/>
              </w:rPr>
              <w:t>规明确规定响应无效</w:t>
            </w:r>
          </w:p>
          <w:p>
            <w:pPr>
              <w:spacing w:line="360" w:lineRule="auto"/>
              <w:jc w:val="center"/>
              <w:rPr>
                <w:rFonts w:ascii="仿宋" w:hAnsi="仿宋" w:eastAsia="仿宋" w:cs="仿宋"/>
                <w:sz w:val="24"/>
                <w:szCs w:val="24"/>
              </w:rPr>
            </w:pPr>
            <w:r>
              <w:rPr>
                <w:rFonts w:hint="eastAsia" w:ascii="仿宋" w:hAnsi="仿宋" w:eastAsia="仿宋" w:cs="仿宋"/>
                <w:sz w:val="24"/>
                <w:szCs w:val="24"/>
              </w:rPr>
              <w:t>的事项</w:t>
            </w:r>
          </w:p>
        </w:tc>
        <w:tc>
          <w:tcPr>
            <w:tcW w:w="5528" w:type="dxa"/>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 xml:space="preserve">没有不符合招标文件规定的被视为无效响应的其他条款。 </w:t>
            </w:r>
          </w:p>
        </w:tc>
      </w:tr>
    </w:tbl>
    <w:p>
      <w:pPr>
        <w:tabs>
          <w:tab w:val="left" w:pos="9030"/>
        </w:tabs>
        <w:snapToGrid w:val="0"/>
        <w:spacing w:line="360" w:lineRule="auto"/>
        <w:ind w:right="-65" w:firstLine="482" w:firstLineChars="200"/>
        <w:rPr>
          <w:rFonts w:ascii="仿宋" w:hAnsi="仿宋" w:eastAsia="仿宋" w:cs="仿宋"/>
          <w:b/>
          <w:bCs/>
          <w:sz w:val="24"/>
          <w:szCs w:val="24"/>
        </w:rPr>
      </w:pPr>
      <w:r>
        <w:rPr>
          <w:rFonts w:hint="eastAsia" w:ascii="仿宋" w:hAnsi="仿宋" w:eastAsia="仿宋" w:cs="仿宋"/>
          <w:b/>
          <w:bCs/>
          <w:sz w:val="24"/>
          <w:szCs w:val="24"/>
          <w:lang w:val="zh-CN"/>
        </w:rPr>
        <w:t>说明：符合性审查结束后，评标委员会当对审查结果进行签字确认。若投标人符合性审查未通过，注明未通过原因并告知其投标人，符合性审查不合格的投标人，不得进入下一评标环节。</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投标人存在下列情况之一的，投标无效：</w:t>
      </w:r>
    </w:p>
    <w:p>
      <w:pPr>
        <w:autoSpaceDE w:val="0"/>
        <w:autoSpaceDN w:val="0"/>
        <w:adjustRightInd w:val="0"/>
        <w:snapToGrid w:val="0"/>
        <w:spacing w:line="360" w:lineRule="auto"/>
        <w:ind w:firstLine="627"/>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投标人没有经过正常渠道获取招标文件或投标人的名称与登记领取招标文件单位的名称不符；</w:t>
      </w:r>
    </w:p>
    <w:p>
      <w:pPr>
        <w:autoSpaceDE w:val="0"/>
        <w:autoSpaceDN w:val="0"/>
        <w:adjustRightInd w:val="0"/>
        <w:snapToGrid w:val="0"/>
        <w:spacing w:line="360" w:lineRule="auto"/>
        <w:ind w:firstLine="627"/>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2）</w:t>
      </w:r>
      <w:r>
        <w:rPr>
          <w:rFonts w:hint="eastAsia" w:ascii="仿宋" w:hAnsi="仿宋" w:eastAsia="仿宋" w:cs="仿宋"/>
          <w:sz w:val="24"/>
          <w:szCs w:val="24"/>
          <w:lang w:val="zh-CN"/>
        </w:rPr>
        <w:t>不具备招标文件中规定的资格要求的或提供的资格要求文件不符合招标文件要求的；</w:t>
      </w:r>
    </w:p>
    <w:p>
      <w:pPr>
        <w:autoSpaceDE w:val="0"/>
        <w:autoSpaceDN w:val="0"/>
        <w:adjustRightInd w:val="0"/>
        <w:snapToGrid w:val="0"/>
        <w:spacing w:line="360" w:lineRule="auto"/>
        <w:ind w:firstLine="627"/>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投标文件投标有效期不符合招标文件要求的；</w:t>
      </w:r>
    </w:p>
    <w:p>
      <w:pPr>
        <w:autoSpaceDE w:val="0"/>
        <w:autoSpaceDN w:val="0"/>
        <w:adjustRightInd w:val="0"/>
        <w:snapToGrid w:val="0"/>
        <w:spacing w:line="360" w:lineRule="auto"/>
        <w:ind w:firstLine="627"/>
        <w:rPr>
          <w:rFonts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投标文件递交份数不符合招标文件要求的；</w:t>
      </w:r>
    </w:p>
    <w:p>
      <w:pPr>
        <w:autoSpaceDE w:val="0"/>
        <w:autoSpaceDN w:val="0"/>
        <w:adjustRightInd w:val="0"/>
        <w:snapToGrid w:val="0"/>
        <w:spacing w:line="360" w:lineRule="auto"/>
        <w:ind w:firstLine="627"/>
        <w:rPr>
          <w:rFonts w:ascii="仿宋" w:hAnsi="仿宋" w:eastAsia="仿宋" w:cs="仿宋"/>
          <w:sz w:val="24"/>
          <w:szCs w:val="24"/>
          <w:lang w:val="zh-CN"/>
        </w:rPr>
      </w:pPr>
      <w:r>
        <w:rPr>
          <w:rFonts w:hint="eastAsia" w:ascii="仿宋" w:hAnsi="仿宋" w:eastAsia="仿宋" w:cs="仿宋"/>
          <w:sz w:val="24"/>
          <w:szCs w:val="24"/>
        </w:rPr>
        <w:t>（5）</w:t>
      </w:r>
      <w:r>
        <w:rPr>
          <w:rFonts w:hint="eastAsia" w:ascii="仿宋" w:hAnsi="仿宋" w:eastAsia="仿宋" w:cs="仿宋"/>
          <w:sz w:val="24"/>
          <w:szCs w:val="24"/>
          <w:lang w:val="zh-CN"/>
        </w:rPr>
        <w:t>投标文件含有采购人不能接受的附加条件的;</w:t>
      </w:r>
    </w:p>
    <w:p>
      <w:pPr>
        <w:autoSpaceDE w:val="0"/>
        <w:autoSpaceDN w:val="0"/>
        <w:adjustRightInd w:val="0"/>
        <w:snapToGrid w:val="0"/>
        <w:spacing w:line="360" w:lineRule="auto"/>
        <w:ind w:firstLine="627"/>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6）</w:t>
      </w:r>
      <w:r>
        <w:rPr>
          <w:rFonts w:hint="eastAsia" w:ascii="仿宋" w:hAnsi="仿宋" w:eastAsia="仿宋" w:cs="仿宋"/>
          <w:sz w:val="24"/>
          <w:szCs w:val="24"/>
          <w:lang w:val="zh-CN"/>
        </w:rPr>
        <w:t>投标人串通投标的，出现以下情形之一的：①不同投标人的投标文件由同一单位或者个人编制；②不同投标人委托同一单位或者个人办理投标事宜；③不同投标人的投标文件载明的项目管理成员或者联系人员为同一人；④不同投标人的投标文件异常一致或者投标报价呈规律性差异；⑤不同投标人的投标文件相互混装；</w:t>
      </w:r>
    </w:p>
    <w:p>
      <w:pPr>
        <w:autoSpaceDE w:val="0"/>
        <w:autoSpaceDN w:val="0"/>
        <w:adjustRightInd w:val="0"/>
        <w:snapToGrid w:val="0"/>
        <w:spacing w:line="360" w:lineRule="auto"/>
        <w:ind w:firstLine="627"/>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7）</w:t>
      </w:r>
      <w:r>
        <w:rPr>
          <w:rFonts w:hint="eastAsia" w:ascii="仿宋" w:hAnsi="仿宋" w:eastAsia="仿宋" w:cs="仿宋"/>
          <w:sz w:val="24"/>
          <w:szCs w:val="24"/>
          <w:lang w:val="zh-CN"/>
        </w:rPr>
        <w:t>投标人出现多份报价，出现选择性报价的；</w:t>
      </w:r>
    </w:p>
    <w:p>
      <w:pPr>
        <w:autoSpaceDE w:val="0"/>
        <w:autoSpaceDN w:val="0"/>
        <w:adjustRightInd w:val="0"/>
        <w:snapToGrid w:val="0"/>
        <w:spacing w:line="360" w:lineRule="auto"/>
        <w:ind w:firstLine="627"/>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8）</w:t>
      </w:r>
      <w:r>
        <w:rPr>
          <w:rFonts w:hint="eastAsia" w:ascii="仿宋" w:hAnsi="仿宋" w:eastAsia="仿宋" w:cs="仿宋"/>
          <w:sz w:val="24"/>
          <w:szCs w:val="24"/>
          <w:lang w:val="zh-CN"/>
        </w:rPr>
        <w:t>投标报价与市场价偏离较大，低于成本，形成不正当竞争；</w:t>
      </w:r>
    </w:p>
    <w:p>
      <w:pPr>
        <w:autoSpaceDE w:val="0"/>
        <w:autoSpaceDN w:val="0"/>
        <w:adjustRightInd w:val="0"/>
        <w:snapToGrid w:val="0"/>
        <w:spacing w:line="360" w:lineRule="auto"/>
        <w:ind w:firstLine="627"/>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9）</w:t>
      </w:r>
      <w:r>
        <w:rPr>
          <w:rFonts w:hint="eastAsia" w:ascii="仿宋" w:hAnsi="仿宋" w:eastAsia="仿宋" w:cs="仿宋"/>
          <w:sz w:val="24"/>
          <w:szCs w:val="24"/>
          <w:lang w:val="zh-CN"/>
        </w:rPr>
        <w:t>提供虚假证明，开具虚假资质，出现虚假应答，除按无效标处理外，还进行相应的处罚；</w:t>
      </w:r>
    </w:p>
    <w:p>
      <w:pPr>
        <w:autoSpaceDE w:val="0"/>
        <w:autoSpaceDN w:val="0"/>
        <w:adjustRightInd w:val="0"/>
        <w:snapToGrid w:val="0"/>
        <w:spacing w:line="360" w:lineRule="auto"/>
        <w:ind w:firstLine="627"/>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10）</w:t>
      </w:r>
      <w:r>
        <w:rPr>
          <w:rFonts w:hint="eastAsia" w:ascii="仿宋" w:hAnsi="仿宋" w:eastAsia="仿宋" w:cs="仿宋"/>
          <w:sz w:val="24"/>
          <w:szCs w:val="24"/>
          <w:lang w:val="zh-CN"/>
        </w:rPr>
        <w:t>报价超过招标文件中规定的预算金额或者最高限价的；</w:t>
      </w:r>
    </w:p>
    <w:p>
      <w:pPr>
        <w:autoSpaceDE w:val="0"/>
        <w:autoSpaceDN w:val="0"/>
        <w:adjustRightInd w:val="0"/>
        <w:snapToGrid w:val="0"/>
        <w:spacing w:line="360" w:lineRule="auto"/>
        <w:ind w:firstLine="627"/>
        <w:rPr>
          <w:rFonts w:ascii="仿宋" w:hAnsi="仿宋" w:eastAsia="仿宋" w:cs="仿宋"/>
          <w:sz w:val="24"/>
          <w:szCs w:val="24"/>
        </w:rPr>
      </w:pPr>
      <w:r>
        <w:rPr>
          <w:rFonts w:hint="eastAsia" w:ascii="仿宋" w:hAnsi="仿宋" w:eastAsia="仿宋" w:cs="仿宋"/>
          <w:sz w:val="24"/>
          <w:szCs w:val="24"/>
          <w:lang w:val="zh-CN"/>
        </w:rPr>
        <w:t>（</w:t>
      </w:r>
      <w:r>
        <w:rPr>
          <w:rFonts w:hint="eastAsia" w:ascii="仿宋" w:hAnsi="仿宋" w:eastAsia="仿宋" w:cs="仿宋"/>
          <w:sz w:val="24"/>
          <w:szCs w:val="24"/>
        </w:rPr>
        <w:t>11）提交的电子版文件无效或不完整的。</w:t>
      </w:r>
      <w:bookmarkStart w:id="218" w:name="_Toc4608"/>
      <w:bookmarkStart w:id="219" w:name="_Toc876"/>
    </w:p>
    <w:p>
      <w:pPr>
        <w:autoSpaceDE w:val="0"/>
        <w:autoSpaceDN w:val="0"/>
        <w:adjustRightInd w:val="0"/>
        <w:snapToGrid w:val="0"/>
        <w:spacing w:line="360" w:lineRule="auto"/>
        <w:ind w:firstLine="627"/>
        <w:outlineLvl w:val="2"/>
        <w:rPr>
          <w:rFonts w:ascii="仿宋" w:hAnsi="仿宋" w:eastAsia="仿宋" w:cs="仿宋"/>
          <w:sz w:val="24"/>
          <w:szCs w:val="24"/>
          <w:lang w:val="zh-CN"/>
        </w:rPr>
      </w:pPr>
      <w:bookmarkStart w:id="220" w:name="_Toc12242"/>
      <w:r>
        <w:rPr>
          <w:rFonts w:hint="eastAsia" w:ascii="仿宋" w:hAnsi="仿宋" w:eastAsia="仿宋" w:cs="仿宋"/>
          <w:sz w:val="24"/>
          <w:szCs w:val="24"/>
          <w:lang w:val="zh-CN"/>
        </w:rPr>
        <w:t>（二）投标文件的澄清、说明或者补正</w:t>
      </w:r>
      <w:bookmarkEnd w:id="218"/>
      <w:bookmarkEnd w:id="219"/>
      <w:bookmarkEnd w:id="220"/>
    </w:p>
    <w:p>
      <w:pPr>
        <w:autoSpaceDE w:val="0"/>
        <w:autoSpaceDN w:val="0"/>
        <w:adjustRightInd w:val="0"/>
        <w:snapToGrid w:val="0"/>
        <w:spacing w:line="360" w:lineRule="auto"/>
        <w:ind w:firstLine="627"/>
        <w:rPr>
          <w:rFonts w:ascii="仿宋" w:hAnsi="仿宋" w:eastAsia="仿宋" w:cs="仿宋"/>
          <w:sz w:val="24"/>
          <w:szCs w:val="24"/>
          <w:lang w:val="zh-CN"/>
        </w:rPr>
      </w:pPr>
      <w:r>
        <w:rPr>
          <w:rFonts w:hint="eastAsia" w:ascii="仿宋" w:hAnsi="仿宋" w:eastAsia="仿宋" w:cs="仿宋"/>
          <w:sz w:val="24"/>
          <w:szCs w:val="24"/>
          <w:lang w:val="zh-CN"/>
        </w:rPr>
        <w:t>1、对于投标文件中含义不明确、同类问题表述不一致或者有明显文字和计算错误的内容，评标委员会应当以书面形式要求供应商作出必要的澄清、说明或者补正。供应商的澄清、说明或者补正应当采用书面形式，并加盖供应商公章或者由法定代表人或其授权的代表签字。供应商的澄清、说明或者补正不得超出投标文件的范围或者改变投标文件的实质性内容。</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2、报价出现前后不一致的，按照下列规定修正：</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投标文件中开标一览表（报价表）内容与投标文件中相应内容不一致的，以开标一览表（报价表）为准；</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大写金额和小写金额不一致的，以大写金额为准；</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3）</w:t>
      </w:r>
      <w:r>
        <w:rPr>
          <w:rFonts w:hint="eastAsia" w:ascii="仿宋" w:hAnsi="仿宋" w:eastAsia="仿宋" w:cs="仿宋"/>
          <w:sz w:val="24"/>
          <w:szCs w:val="24"/>
          <w:lang w:val="zh-CN"/>
        </w:rPr>
        <w:t>单价金额小数点或者百分比有明显错位的，以开标一览表的总价为准，并修改单价；</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4）</w:t>
      </w:r>
      <w:r>
        <w:rPr>
          <w:rFonts w:hint="eastAsia" w:ascii="仿宋" w:hAnsi="仿宋" w:eastAsia="仿宋" w:cs="仿宋"/>
          <w:sz w:val="24"/>
          <w:szCs w:val="24"/>
          <w:lang w:val="zh-CN"/>
        </w:rPr>
        <w:t>总价金额与按单价汇总金额不一致的，以单价金额计算结果为准。</w:t>
      </w:r>
    </w:p>
    <w:p>
      <w:pPr>
        <w:autoSpaceDE w:val="0"/>
        <w:autoSpaceDN w:val="0"/>
        <w:adjustRightInd w:val="0"/>
        <w:snapToGrid w:val="0"/>
        <w:spacing w:line="360" w:lineRule="auto"/>
        <w:ind w:firstLine="627"/>
        <w:rPr>
          <w:rFonts w:ascii="仿宋" w:hAnsi="仿宋" w:eastAsia="仿宋" w:cs="仿宋"/>
          <w:sz w:val="24"/>
          <w:szCs w:val="24"/>
        </w:rPr>
      </w:pPr>
      <w:r>
        <w:rPr>
          <w:rFonts w:hint="eastAsia" w:ascii="仿宋" w:hAnsi="仿宋" w:eastAsia="仿宋" w:cs="仿宋"/>
          <w:b/>
          <w:bCs/>
          <w:sz w:val="24"/>
          <w:szCs w:val="24"/>
          <w:lang w:val="zh-CN"/>
        </w:rPr>
        <w:t>同时出现两种以上不一致的，按照前款规定的顺序修正。修正后的报价经供应商书面确认后产生约束力，供应商不确认的，其投标无效。</w:t>
      </w:r>
    </w:p>
    <w:p>
      <w:pPr>
        <w:autoSpaceDE w:val="0"/>
        <w:autoSpaceDN w:val="0"/>
        <w:adjustRightInd w:val="0"/>
        <w:snapToGrid w:val="0"/>
        <w:spacing w:line="360" w:lineRule="auto"/>
        <w:ind w:firstLine="627"/>
        <w:outlineLvl w:val="2"/>
        <w:rPr>
          <w:rFonts w:ascii="仿宋" w:hAnsi="仿宋" w:eastAsia="仿宋" w:cs="仿宋"/>
          <w:sz w:val="24"/>
          <w:szCs w:val="24"/>
          <w:lang w:val="zh-CN"/>
        </w:rPr>
      </w:pPr>
      <w:bookmarkStart w:id="221" w:name="_Toc2955"/>
      <w:bookmarkStart w:id="222" w:name="_Toc31002"/>
      <w:bookmarkStart w:id="223" w:name="_Toc30113"/>
      <w:bookmarkStart w:id="224" w:name="_Toc1611"/>
      <w:bookmarkStart w:id="225" w:name="_Toc2488"/>
      <w:bookmarkStart w:id="226" w:name="_Toc17700"/>
      <w:bookmarkStart w:id="227" w:name="_Toc29517"/>
      <w:bookmarkStart w:id="228" w:name="_Toc1537"/>
      <w:bookmarkStart w:id="229" w:name="_Toc28840"/>
      <w:bookmarkStart w:id="230" w:name="_Toc27332"/>
      <w:bookmarkStart w:id="231" w:name="_Toc5181"/>
      <w:bookmarkStart w:id="232" w:name="_Toc13137"/>
      <w:bookmarkStart w:id="233" w:name="_Toc8286"/>
      <w:r>
        <w:rPr>
          <w:rFonts w:hint="eastAsia" w:ascii="仿宋" w:hAnsi="仿宋" w:eastAsia="仿宋" w:cs="仿宋"/>
          <w:sz w:val="24"/>
          <w:szCs w:val="24"/>
          <w:lang w:val="zh-CN"/>
        </w:rPr>
        <w:t>（三）比较与评价</w:t>
      </w:r>
      <w:bookmarkEnd w:id="221"/>
      <w:bookmarkEnd w:id="222"/>
      <w:bookmarkEnd w:id="223"/>
      <w:bookmarkEnd w:id="224"/>
      <w:bookmarkEnd w:id="225"/>
      <w:bookmarkEnd w:id="226"/>
      <w:bookmarkEnd w:id="227"/>
      <w:bookmarkEnd w:id="228"/>
      <w:bookmarkEnd w:id="229"/>
    </w:p>
    <w:p>
      <w:pPr>
        <w:autoSpaceDE w:val="0"/>
        <w:autoSpaceDN w:val="0"/>
        <w:adjustRightInd w:val="0"/>
        <w:snapToGrid w:val="0"/>
        <w:spacing w:line="360" w:lineRule="auto"/>
        <w:ind w:firstLine="627"/>
        <w:rPr>
          <w:rFonts w:ascii="仿宋" w:hAnsi="仿宋" w:eastAsia="仿宋" w:cs="仿宋"/>
          <w:sz w:val="24"/>
          <w:szCs w:val="24"/>
          <w:lang w:val="zh-CN"/>
        </w:rPr>
      </w:pPr>
      <w:r>
        <w:rPr>
          <w:rFonts w:hint="eastAsia" w:ascii="仿宋" w:hAnsi="仿宋" w:eastAsia="仿宋" w:cs="仿宋"/>
          <w:sz w:val="24"/>
          <w:szCs w:val="24"/>
          <w:lang w:val="zh-CN"/>
        </w:rPr>
        <w:t>按照招标文件规定的评标方法和标准，对资格性审查和符合性审查合格的文件进行评审，综合比较和评价。</w:t>
      </w:r>
    </w:p>
    <w:p>
      <w:pPr>
        <w:autoSpaceDE w:val="0"/>
        <w:autoSpaceDN w:val="0"/>
        <w:adjustRightInd w:val="0"/>
        <w:snapToGrid w:val="0"/>
        <w:spacing w:line="360" w:lineRule="auto"/>
        <w:ind w:firstLine="627"/>
        <w:rPr>
          <w:rFonts w:ascii="仿宋" w:hAnsi="仿宋" w:eastAsia="仿宋" w:cs="仿宋"/>
          <w:sz w:val="24"/>
          <w:szCs w:val="24"/>
          <w:lang w:val="zh-CN"/>
        </w:rPr>
      </w:pPr>
      <w:r>
        <w:rPr>
          <w:rFonts w:hint="eastAsia" w:ascii="仿宋" w:hAnsi="仿宋" w:eastAsia="仿宋" w:cs="仿宋"/>
          <w:sz w:val="24"/>
          <w:szCs w:val="24"/>
          <w:lang w:val="zh-CN"/>
        </w:rPr>
        <w:t>1、评标方法:综合评分法，指投标文件满足招标文件全部实质性要求，且按照评审因素的量化指标评审得分最高的投标人为中标候选人的评标方法。</w:t>
      </w:r>
    </w:p>
    <w:p>
      <w:pPr>
        <w:autoSpaceDE w:val="0"/>
        <w:autoSpaceDN w:val="0"/>
        <w:adjustRightInd w:val="0"/>
        <w:snapToGrid w:val="0"/>
        <w:spacing w:line="360" w:lineRule="auto"/>
        <w:ind w:firstLine="627"/>
        <w:rPr>
          <w:rFonts w:ascii="仿宋" w:hAnsi="仿宋" w:eastAsia="仿宋" w:cs="仿宋"/>
          <w:sz w:val="24"/>
          <w:szCs w:val="24"/>
        </w:rPr>
      </w:pPr>
      <w:r>
        <w:rPr>
          <w:rFonts w:hint="eastAsia" w:ascii="仿宋" w:hAnsi="仿宋" w:eastAsia="仿宋" w:cs="仿宋"/>
          <w:sz w:val="24"/>
          <w:szCs w:val="24"/>
          <w:lang w:val="zh-CN"/>
        </w:rPr>
        <w:t>2、评标因素及权重分解表（总计100分）</w:t>
      </w:r>
    </w:p>
    <w:tbl>
      <w:tblPr>
        <w:tblStyle w:val="23"/>
        <w:tblW w:w="8772" w:type="dxa"/>
        <w:jc w:val="center"/>
        <w:tblLayout w:type="fixed"/>
        <w:tblCellMar>
          <w:top w:w="0" w:type="dxa"/>
          <w:left w:w="108" w:type="dxa"/>
          <w:bottom w:w="0" w:type="dxa"/>
          <w:right w:w="108" w:type="dxa"/>
        </w:tblCellMar>
      </w:tblPr>
      <w:tblGrid>
        <w:gridCol w:w="747"/>
        <w:gridCol w:w="810"/>
        <w:gridCol w:w="1215"/>
        <w:gridCol w:w="5085"/>
        <w:gridCol w:w="915"/>
      </w:tblGrid>
      <w:tr>
        <w:tblPrEx>
          <w:tblCellMar>
            <w:top w:w="0" w:type="dxa"/>
            <w:left w:w="108" w:type="dxa"/>
            <w:bottom w:w="0" w:type="dxa"/>
            <w:right w:w="108" w:type="dxa"/>
          </w:tblCellMar>
        </w:tblPrEx>
        <w:trPr>
          <w:trHeight w:val="828" w:hRule="atLeast"/>
          <w:jc w:val="center"/>
        </w:trPr>
        <w:tc>
          <w:tcPr>
            <w:tcW w:w="747" w:type="dxa"/>
            <w:tcBorders>
              <w:top w:val="single" w:color="auto" w:sz="8" w:space="0"/>
              <w:left w:val="single" w:color="auto" w:sz="8" w:space="0"/>
              <w:bottom w:val="single" w:color="auto" w:sz="4" w:space="0"/>
              <w:right w:val="single" w:color="auto" w:sz="4" w:space="0"/>
            </w:tcBorders>
            <w:shd w:val="clear" w:color="auto" w:fill="auto"/>
            <w:vAlign w:val="center"/>
          </w:tcPr>
          <w:p>
            <w:pPr>
              <w:pStyle w:val="60"/>
              <w:jc w:val="center"/>
              <w:rPr>
                <w:rFonts w:ascii="仿宋" w:hAnsi="仿宋" w:eastAsia="仿宋" w:cs="仿宋"/>
                <w:b/>
                <w:bCs/>
              </w:rPr>
            </w:pPr>
            <w:r>
              <w:rPr>
                <w:rFonts w:hint="eastAsia" w:ascii="仿宋" w:hAnsi="仿宋" w:eastAsia="仿宋" w:cs="仿宋"/>
                <w:b/>
                <w:bCs/>
              </w:rPr>
              <w:t>序号</w:t>
            </w:r>
          </w:p>
        </w:tc>
        <w:tc>
          <w:tcPr>
            <w:tcW w:w="2025" w:type="dxa"/>
            <w:gridSpan w:val="2"/>
            <w:tcBorders>
              <w:top w:val="single" w:color="auto" w:sz="8" w:space="0"/>
              <w:left w:val="nil"/>
              <w:bottom w:val="single" w:color="auto" w:sz="4" w:space="0"/>
              <w:right w:val="single" w:color="auto" w:sz="4" w:space="0"/>
            </w:tcBorders>
            <w:shd w:val="clear" w:color="auto" w:fill="auto"/>
            <w:vAlign w:val="center"/>
          </w:tcPr>
          <w:p>
            <w:pPr>
              <w:pStyle w:val="60"/>
              <w:jc w:val="center"/>
              <w:rPr>
                <w:rFonts w:ascii="仿宋" w:hAnsi="仿宋" w:eastAsia="仿宋" w:cs="仿宋"/>
                <w:b/>
                <w:bCs/>
              </w:rPr>
            </w:pPr>
            <w:r>
              <w:rPr>
                <w:rFonts w:hint="eastAsia" w:ascii="仿宋" w:hAnsi="仿宋" w:eastAsia="仿宋" w:cs="仿宋"/>
                <w:b/>
                <w:bCs/>
              </w:rPr>
              <w:t>评分项目</w:t>
            </w:r>
          </w:p>
        </w:tc>
        <w:tc>
          <w:tcPr>
            <w:tcW w:w="5085" w:type="dxa"/>
            <w:tcBorders>
              <w:top w:val="single" w:color="auto" w:sz="8" w:space="0"/>
              <w:left w:val="nil"/>
              <w:bottom w:val="single" w:color="auto" w:sz="4" w:space="0"/>
              <w:right w:val="single" w:color="auto" w:sz="4" w:space="0"/>
            </w:tcBorders>
            <w:shd w:val="clear" w:color="auto" w:fill="auto"/>
            <w:vAlign w:val="center"/>
          </w:tcPr>
          <w:p>
            <w:pPr>
              <w:pStyle w:val="60"/>
              <w:jc w:val="center"/>
              <w:rPr>
                <w:rFonts w:ascii="仿宋" w:hAnsi="仿宋" w:eastAsia="仿宋" w:cs="仿宋"/>
                <w:b/>
                <w:bCs/>
              </w:rPr>
            </w:pPr>
            <w:r>
              <w:rPr>
                <w:rFonts w:hint="eastAsia" w:ascii="仿宋" w:hAnsi="仿宋" w:eastAsia="仿宋" w:cs="仿宋"/>
                <w:b/>
                <w:bCs/>
              </w:rPr>
              <w:t>评分标准</w:t>
            </w:r>
          </w:p>
        </w:tc>
        <w:tc>
          <w:tcPr>
            <w:tcW w:w="915" w:type="dxa"/>
            <w:tcBorders>
              <w:top w:val="single" w:color="auto" w:sz="8" w:space="0"/>
              <w:left w:val="nil"/>
              <w:bottom w:val="single" w:color="auto" w:sz="4" w:space="0"/>
              <w:right w:val="single" w:color="auto" w:sz="8" w:space="0"/>
            </w:tcBorders>
            <w:shd w:val="clear" w:color="auto" w:fill="auto"/>
            <w:vAlign w:val="center"/>
          </w:tcPr>
          <w:p>
            <w:pPr>
              <w:pStyle w:val="60"/>
              <w:jc w:val="center"/>
              <w:rPr>
                <w:rFonts w:ascii="仿宋" w:hAnsi="仿宋" w:eastAsia="仿宋" w:cs="仿宋"/>
                <w:b/>
                <w:bCs/>
              </w:rPr>
            </w:pPr>
            <w:r>
              <w:rPr>
                <w:rFonts w:hint="eastAsia" w:ascii="仿宋" w:hAnsi="仿宋" w:eastAsia="仿宋" w:cs="仿宋"/>
                <w:b/>
                <w:bCs/>
              </w:rPr>
              <w:t>得分</w:t>
            </w:r>
          </w:p>
        </w:tc>
      </w:tr>
      <w:tr>
        <w:tblPrEx>
          <w:tblCellMar>
            <w:top w:w="0" w:type="dxa"/>
            <w:left w:w="108" w:type="dxa"/>
            <w:bottom w:w="0" w:type="dxa"/>
            <w:right w:w="108" w:type="dxa"/>
          </w:tblCellMar>
        </w:tblPrEx>
        <w:trPr>
          <w:trHeight w:val="2123" w:hRule="atLeast"/>
          <w:jc w:val="center"/>
        </w:trPr>
        <w:tc>
          <w:tcPr>
            <w:tcW w:w="747" w:type="dxa"/>
            <w:tcBorders>
              <w:top w:val="nil"/>
              <w:left w:val="single" w:color="auto" w:sz="8" w:space="0"/>
              <w:bottom w:val="single" w:color="auto" w:sz="4" w:space="0"/>
              <w:right w:val="single" w:color="auto" w:sz="4" w:space="0"/>
            </w:tcBorders>
            <w:shd w:val="clear" w:color="auto" w:fill="auto"/>
            <w:vAlign w:val="center"/>
          </w:tcPr>
          <w:p>
            <w:pPr>
              <w:pStyle w:val="60"/>
              <w:jc w:val="center"/>
              <w:rPr>
                <w:rFonts w:ascii="仿宋" w:hAnsi="仿宋" w:eastAsia="仿宋" w:cs="仿宋"/>
              </w:rPr>
            </w:pPr>
            <w:r>
              <w:rPr>
                <w:rFonts w:hint="eastAsia" w:ascii="仿宋" w:hAnsi="仿宋" w:eastAsia="仿宋" w:cs="仿宋"/>
              </w:rPr>
              <w:t>1</w:t>
            </w:r>
          </w:p>
        </w:tc>
        <w:tc>
          <w:tcPr>
            <w:tcW w:w="2025" w:type="dxa"/>
            <w:gridSpan w:val="2"/>
            <w:tcBorders>
              <w:top w:val="nil"/>
              <w:left w:val="nil"/>
              <w:bottom w:val="single" w:color="auto" w:sz="4" w:space="0"/>
              <w:right w:val="single" w:color="auto" w:sz="4" w:space="0"/>
            </w:tcBorders>
            <w:shd w:val="clear" w:color="auto" w:fill="auto"/>
            <w:vAlign w:val="center"/>
          </w:tcPr>
          <w:p>
            <w:pPr>
              <w:pStyle w:val="60"/>
              <w:jc w:val="center"/>
              <w:rPr>
                <w:rFonts w:ascii="仿宋" w:hAnsi="仿宋" w:eastAsia="仿宋" w:cs="仿宋"/>
              </w:rPr>
            </w:pPr>
            <w:r>
              <w:rPr>
                <w:rFonts w:hint="eastAsia" w:ascii="仿宋" w:hAnsi="仿宋" w:eastAsia="仿宋" w:cs="仿宋"/>
              </w:rPr>
              <w:t>投标报价</w:t>
            </w:r>
          </w:p>
        </w:tc>
        <w:tc>
          <w:tcPr>
            <w:tcW w:w="5085" w:type="dxa"/>
            <w:tcBorders>
              <w:top w:val="nil"/>
              <w:left w:val="nil"/>
              <w:bottom w:val="single" w:color="auto" w:sz="4" w:space="0"/>
              <w:right w:val="single" w:color="auto" w:sz="4" w:space="0"/>
            </w:tcBorders>
            <w:shd w:val="clear" w:color="auto" w:fill="auto"/>
            <w:vAlign w:val="center"/>
          </w:tcPr>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满足招标文件要求且投标报价最低的投标价为评标基准价，其价格分为满分。投标报价得分=（评标基准价／投标报价）×价格权值×100。</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符合招标文件规定的小微企业、监狱企业、残疾人福利性单位优惠条件的供应商，价格给予10%的扣除，用扣除后的价格参与评审。</w:t>
            </w:r>
          </w:p>
        </w:tc>
        <w:tc>
          <w:tcPr>
            <w:tcW w:w="915" w:type="dxa"/>
            <w:tcBorders>
              <w:top w:val="nil"/>
              <w:left w:val="nil"/>
              <w:bottom w:val="single" w:color="auto" w:sz="4" w:space="0"/>
              <w:right w:val="single" w:color="auto" w:sz="8" w:space="0"/>
            </w:tcBorders>
            <w:shd w:val="clear" w:color="auto" w:fill="auto"/>
            <w:vAlign w:val="center"/>
          </w:tcPr>
          <w:p>
            <w:pPr>
              <w:pStyle w:val="60"/>
              <w:jc w:val="center"/>
              <w:rPr>
                <w:rFonts w:ascii="仿宋" w:hAnsi="仿宋" w:eastAsia="仿宋" w:cs="仿宋"/>
              </w:rPr>
            </w:pPr>
            <w:r>
              <w:rPr>
                <w:rFonts w:hint="eastAsia" w:ascii="仿宋" w:hAnsi="仿宋" w:eastAsia="仿宋" w:cs="仿宋"/>
              </w:rPr>
              <w:t>10分</w:t>
            </w:r>
          </w:p>
        </w:tc>
      </w:tr>
      <w:tr>
        <w:tblPrEx>
          <w:tblCellMar>
            <w:top w:w="0" w:type="dxa"/>
            <w:left w:w="108" w:type="dxa"/>
            <w:bottom w:w="0" w:type="dxa"/>
            <w:right w:w="108" w:type="dxa"/>
          </w:tblCellMar>
        </w:tblPrEx>
        <w:trPr>
          <w:trHeight w:val="2779" w:hRule="atLeast"/>
          <w:jc w:val="center"/>
        </w:trPr>
        <w:tc>
          <w:tcPr>
            <w:tcW w:w="747" w:type="dxa"/>
            <w:vMerge w:val="restart"/>
            <w:tcBorders>
              <w:top w:val="single" w:color="auto" w:sz="4" w:space="0"/>
              <w:left w:val="single" w:color="auto" w:sz="4" w:space="0"/>
              <w:right w:val="single" w:color="auto" w:sz="4" w:space="0"/>
            </w:tcBorders>
            <w:shd w:val="clear" w:color="auto" w:fill="auto"/>
            <w:vAlign w:val="center"/>
          </w:tcPr>
          <w:p>
            <w:pPr>
              <w:pStyle w:val="60"/>
              <w:jc w:val="center"/>
              <w:rPr>
                <w:rFonts w:ascii="仿宋" w:hAnsi="仿宋" w:eastAsia="仿宋" w:cs="仿宋"/>
              </w:rPr>
            </w:pPr>
            <w:r>
              <w:rPr>
                <w:rFonts w:hint="eastAsia" w:ascii="仿宋" w:hAnsi="仿宋" w:eastAsia="仿宋" w:cs="仿宋"/>
              </w:rPr>
              <w:t>2</w:t>
            </w:r>
          </w:p>
        </w:tc>
        <w:tc>
          <w:tcPr>
            <w:tcW w:w="810" w:type="dxa"/>
            <w:vMerge w:val="restart"/>
            <w:tcBorders>
              <w:top w:val="single" w:color="auto" w:sz="4" w:space="0"/>
              <w:left w:val="single" w:color="auto" w:sz="4" w:space="0"/>
              <w:right w:val="single" w:color="auto" w:sz="4" w:space="0"/>
            </w:tcBorders>
            <w:shd w:val="clear" w:color="auto" w:fill="auto"/>
            <w:vAlign w:val="center"/>
          </w:tcPr>
          <w:p>
            <w:pPr>
              <w:pStyle w:val="60"/>
              <w:jc w:val="center"/>
              <w:rPr>
                <w:rFonts w:ascii="仿宋" w:hAnsi="仿宋" w:eastAsia="仿宋" w:cs="仿宋"/>
              </w:rPr>
            </w:pPr>
            <w:r>
              <w:rPr>
                <w:rFonts w:hint="eastAsia" w:ascii="仿宋" w:hAnsi="仿宋" w:eastAsia="仿宋" w:cs="仿宋"/>
                <w:lang w:val="zh-CN"/>
              </w:rPr>
              <w:t>技术部分</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jc w:val="center"/>
              <w:rPr>
                <w:rFonts w:ascii="仿宋" w:hAnsi="仿宋" w:eastAsia="仿宋" w:cs="仿宋"/>
              </w:rPr>
            </w:pPr>
            <w:r>
              <w:rPr>
                <w:rFonts w:hint="eastAsia" w:ascii="仿宋" w:hAnsi="仿宋" w:eastAsia="仿宋" w:cs="仿宋"/>
              </w:rPr>
              <w:t>整体技术方案</w:t>
            </w:r>
          </w:p>
        </w:tc>
        <w:tc>
          <w:tcPr>
            <w:tcW w:w="508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根据对本项目的理解、总体设计、建设方案等，详细阐述系统的体系架构、功能模块、实现思路、关键技术，提供完整的方案，包含设计方案、产品配置、功能设置、软件配置方案、安装调试方案、系统保障、售后服务等内容，内容全面详尽。</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1.根据方案内容完整度按响应程度赋0～5分，</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2.根据详细程度按响应程度赋0～5分，</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3.根据方案合理性按响应程度赋0～5分。</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jc w:val="center"/>
              <w:rPr>
                <w:rFonts w:ascii="仿宋" w:hAnsi="仿宋" w:eastAsia="仿宋" w:cs="仿宋"/>
              </w:rPr>
            </w:pPr>
            <w:r>
              <w:rPr>
                <w:rFonts w:hint="eastAsia" w:ascii="仿宋" w:hAnsi="仿宋" w:eastAsia="仿宋" w:cs="仿宋"/>
              </w:rPr>
              <w:t>15分</w:t>
            </w:r>
          </w:p>
        </w:tc>
      </w:tr>
      <w:tr>
        <w:tblPrEx>
          <w:tblCellMar>
            <w:top w:w="0" w:type="dxa"/>
            <w:left w:w="108" w:type="dxa"/>
            <w:bottom w:w="0" w:type="dxa"/>
            <w:right w:w="108" w:type="dxa"/>
          </w:tblCellMar>
        </w:tblPrEx>
        <w:trPr>
          <w:trHeight w:val="2779" w:hRule="atLeast"/>
          <w:jc w:val="center"/>
        </w:trPr>
        <w:tc>
          <w:tcPr>
            <w:tcW w:w="747" w:type="dxa"/>
            <w:vMerge w:val="continue"/>
            <w:tcBorders>
              <w:left w:val="single" w:color="auto" w:sz="4" w:space="0"/>
              <w:right w:val="single" w:color="auto" w:sz="4" w:space="0"/>
            </w:tcBorders>
            <w:shd w:val="clear" w:color="auto" w:fill="auto"/>
            <w:vAlign w:val="center"/>
          </w:tcPr>
          <w:p>
            <w:pPr>
              <w:pStyle w:val="60"/>
              <w:jc w:val="center"/>
              <w:rPr>
                <w:rFonts w:ascii="仿宋" w:hAnsi="仿宋" w:eastAsia="仿宋" w:cs="仿宋"/>
              </w:rPr>
            </w:pPr>
          </w:p>
        </w:tc>
        <w:tc>
          <w:tcPr>
            <w:tcW w:w="810" w:type="dxa"/>
            <w:vMerge w:val="continue"/>
            <w:tcBorders>
              <w:left w:val="single" w:color="auto" w:sz="4" w:space="0"/>
              <w:right w:val="single" w:color="auto" w:sz="4" w:space="0"/>
            </w:tcBorders>
            <w:shd w:val="clear" w:color="auto" w:fill="auto"/>
            <w:vAlign w:val="center"/>
          </w:tcPr>
          <w:p>
            <w:pPr>
              <w:pStyle w:val="60"/>
              <w:jc w:val="center"/>
              <w:rPr>
                <w:rFonts w:ascii="仿宋" w:hAnsi="仿宋" w:eastAsia="仿宋" w:cs="仿宋"/>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jc w:val="center"/>
              <w:rPr>
                <w:rFonts w:ascii="仿宋" w:hAnsi="仿宋" w:eastAsia="仿宋" w:cs="仿宋"/>
              </w:rPr>
            </w:pPr>
            <w:r>
              <w:rPr>
                <w:rFonts w:hint="eastAsia" w:ascii="仿宋" w:hAnsi="仿宋" w:eastAsia="仿宋" w:cs="仿宋"/>
              </w:rPr>
              <w:t>技术要求响应指标</w:t>
            </w:r>
          </w:p>
        </w:tc>
        <w:tc>
          <w:tcPr>
            <w:tcW w:w="508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根据投标人的投标文件技术条款对技术要求的响应情况进行评审，技术条款完全满足采购要求的得30 分，若不满足带“▲”重要技术条款要求的，每项扣2 分，不满足其他一般技术条款要求的，每项扣1 分，扣完为止。</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备注：技术参数中要求提供证明材料的参数（证明材料包括但不限于软件或官网功能截图等）。</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jc w:val="center"/>
              <w:rPr>
                <w:rFonts w:ascii="仿宋" w:hAnsi="仿宋" w:eastAsia="仿宋" w:cs="仿宋"/>
              </w:rPr>
            </w:pPr>
            <w:r>
              <w:rPr>
                <w:rFonts w:hint="eastAsia" w:ascii="仿宋" w:hAnsi="仿宋" w:eastAsia="仿宋" w:cs="仿宋"/>
              </w:rPr>
              <w:t>30分</w:t>
            </w:r>
          </w:p>
        </w:tc>
      </w:tr>
      <w:tr>
        <w:tblPrEx>
          <w:tblCellMar>
            <w:top w:w="0" w:type="dxa"/>
            <w:left w:w="108" w:type="dxa"/>
            <w:bottom w:w="0" w:type="dxa"/>
            <w:right w:w="108" w:type="dxa"/>
          </w:tblCellMar>
        </w:tblPrEx>
        <w:trPr>
          <w:trHeight w:val="2911" w:hRule="atLeast"/>
          <w:jc w:val="center"/>
        </w:trPr>
        <w:tc>
          <w:tcPr>
            <w:tcW w:w="747" w:type="dxa"/>
            <w:vMerge w:val="continue"/>
            <w:tcBorders>
              <w:left w:val="single" w:color="auto" w:sz="4" w:space="0"/>
              <w:right w:val="single" w:color="auto" w:sz="4" w:space="0"/>
            </w:tcBorders>
            <w:vAlign w:val="center"/>
          </w:tcPr>
          <w:p>
            <w:pPr>
              <w:pStyle w:val="60"/>
              <w:jc w:val="center"/>
              <w:rPr>
                <w:rFonts w:ascii="仿宋" w:hAnsi="仿宋" w:eastAsia="仿宋" w:cs="仿宋"/>
              </w:rPr>
            </w:pPr>
          </w:p>
        </w:tc>
        <w:tc>
          <w:tcPr>
            <w:tcW w:w="810" w:type="dxa"/>
            <w:vMerge w:val="continue"/>
            <w:tcBorders>
              <w:left w:val="single" w:color="auto" w:sz="4" w:space="0"/>
              <w:right w:val="single" w:color="auto" w:sz="4" w:space="0"/>
            </w:tcBorders>
            <w:vAlign w:val="center"/>
          </w:tcPr>
          <w:p>
            <w:pPr>
              <w:pStyle w:val="60"/>
              <w:rPr>
                <w:rFonts w:ascii="仿宋" w:hAnsi="仿宋" w:eastAsia="仿宋" w:cs="仿宋"/>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jc w:val="center"/>
              <w:rPr>
                <w:rFonts w:ascii="仿宋" w:hAnsi="仿宋" w:eastAsia="仿宋" w:cs="仿宋"/>
              </w:rPr>
            </w:pPr>
            <w:r>
              <w:rPr>
                <w:rFonts w:hint="eastAsia" w:ascii="仿宋" w:hAnsi="仿宋" w:eastAsia="仿宋" w:cs="仿宋"/>
              </w:rPr>
              <w:t>项目实施方案</w:t>
            </w:r>
          </w:p>
        </w:tc>
        <w:tc>
          <w:tcPr>
            <w:tcW w:w="508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根据投标人所提供的项目实施方案进行评审，包括方案的合理性、实施总体规划、实施步骤、项目实施进度计划、实施方法、项目管理制度、质量保证体制、风险预见与控制能力等，工作方法是否科学、合理、高效，管理流程是否规范等。</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项目实施方案内容具体、完整、详细、全面的经横向比较计(7-10]分；</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项目实施方案内容欠缺、薄弱的经横向比较计(3-7]分；</w:t>
            </w:r>
          </w:p>
          <w:p>
            <w:pPr>
              <w:snapToGrid w:val="0"/>
              <w:spacing w:line="360" w:lineRule="auto"/>
              <w:ind w:firstLine="480" w:firstLineChars="200"/>
            </w:pPr>
            <w:r>
              <w:rPr>
                <w:rFonts w:hint="eastAsia" w:ascii="仿宋" w:hAnsi="仿宋" w:eastAsia="仿宋" w:cs="仿宋"/>
                <w:color w:val="000000"/>
                <w:kern w:val="0"/>
                <w:sz w:val="24"/>
                <w:szCs w:val="24"/>
              </w:rPr>
              <w:t>方案欠缺、不利于实施计（0-3]分。</w:t>
            </w:r>
          </w:p>
        </w:tc>
        <w:tc>
          <w:tcPr>
            <w:tcW w:w="915" w:type="dxa"/>
            <w:tcBorders>
              <w:top w:val="single" w:color="auto" w:sz="4" w:space="0"/>
              <w:left w:val="nil"/>
              <w:bottom w:val="single" w:color="auto" w:sz="4" w:space="0"/>
              <w:right w:val="single" w:color="auto" w:sz="8" w:space="0"/>
            </w:tcBorders>
            <w:shd w:val="clear" w:color="auto" w:fill="auto"/>
            <w:vAlign w:val="center"/>
          </w:tcPr>
          <w:p>
            <w:pPr>
              <w:pStyle w:val="60"/>
              <w:jc w:val="center"/>
              <w:rPr>
                <w:rFonts w:ascii="仿宋" w:hAnsi="仿宋" w:eastAsia="仿宋" w:cs="仿宋"/>
              </w:rPr>
            </w:pPr>
            <w:r>
              <w:rPr>
                <w:rFonts w:hint="eastAsia" w:ascii="仿宋" w:hAnsi="仿宋" w:eastAsia="仿宋" w:cs="仿宋"/>
              </w:rPr>
              <w:t>10分</w:t>
            </w:r>
          </w:p>
        </w:tc>
      </w:tr>
      <w:tr>
        <w:tblPrEx>
          <w:tblCellMar>
            <w:top w:w="0" w:type="dxa"/>
            <w:left w:w="108" w:type="dxa"/>
            <w:bottom w:w="0" w:type="dxa"/>
            <w:right w:w="108" w:type="dxa"/>
          </w:tblCellMar>
        </w:tblPrEx>
        <w:trPr>
          <w:trHeight w:val="533" w:hRule="atLeast"/>
          <w:jc w:val="center"/>
        </w:trPr>
        <w:tc>
          <w:tcPr>
            <w:tcW w:w="747" w:type="dxa"/>
            <w:vMerge w:val="continue"/>
            <w:tcBorders>
              <w:left w:val="single" w:color="auto" w:sz="4" w:space="0"/>
              <w:bottom w:val="single" w:color="auto" w:sz="4" w:space="0"/>
              <w:right w:val="single" w:color="auto" w:sz="4" w:space="0"/>
            </w:tcBorders>
            <w:vAlign w:val="center"/>
          </w:tcPr>
          <w:p>
            <w:pPr>
              <w:pStyle w:val="60"/>
              <w:jc w:val="center"/>
              <w:rPr>
                <w:rFonts w:ascii="仿宋" w:hAnsi="仿宋" w:eastAsia="仿宋" w:cs="仿宋"/>
              </w:rPr>
            </w:pPr>
          </w:p>
        </w:tc>
        <w:tc>
          <w:tcPr>
            <w:tcW w:w="810" w:type="dxa"/>
            <w:vMerge w:val="continue"/>
            <w:tcBorders>
              <w:left w:val="single" w:color="auto" w:sz="4" w:space="0"/>
              <w:bottom w:val="single" w:color="auto" w:sz="4" w:space="0"/>
              <w:right w:val="single" w:color="auto" w:sz="4" w:space="0"/>
            </w:tcBorders>
            <w:vAlign w:val="center"/>
          </w:tcPr>
          <w:p>
            <w:pPr>
              <w:pStyle w:val="60"/>
              <w:rPr>
                <w:rFonts w:ascii="仿宋" w:hAnsi="仿宋" w:eastAsia="仿宋" w:cs="仿宋"/>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jc w:val="center"/>
              <w:rPr>
                <w:rFonts w:ascii="仿宋" w:hAnsi="仿宋" w:eastAsia="仿宋" w:cs="仿宋"/>
              </w:rPr>
            </w:pPr>
            <w:r>
              <w:rPr>
                <w:rFonts w:hint="eastAsia" w:ascii="仿宋" w:hAnsi="仿宋" w:eastAsia="仿宋" w:cs="仿宋"/>
              </w:rPr>
              <w:t>拟投入本项目的人员</w:t>
            </w:r>
          </w:p>
        </w:tc>
        <w:tc>
          <w:tcPr>
            <w:tcW w:w="508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1.项目经理需具备系统集成项目管理工程师证书得2分；</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2.项目团队（不含项目经理）有完善的项目及服务的实施组织机构、人员安排有具体方案（包括工程师、项目经理等人员），人员组织结构分工合理、责任明确，能够在承诺的时间内按质按量完工。</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项目团队人员分工合理、责任明确详细、全面的经横向比较计(5-8]分；</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项目团队人员分工较合理、责任明确一般的经横向比较计(3-5]分；</w:t>
            </w:r>
          </w:p>
          <w:p>
            <w:pPr>
              <w:adjustRightInd w:val="0"/>
              <w:snapToGrid w:val="0"/>
              <w:spacing w:line="360" w:lineRule="auto"/>
              <w:ind w:firstLine="480" w:firstLineChars="200"/>
            </w:pPr>
            <w:r>
              <w:rPr>
                <w:rFonts w:hint="eastAsia" w:ascii="仿宋" w:hAnsi="仿宋" w:eastAsia="仿宋" w:cs="仿宋"/>
                <w:sz w:val="24"/>
                <w:szCs w:val="24"/>
              </w:rPr>
              <w:t>项目团队人员分工欠缺、责任明确欠缺的经横向比较计(0-3]分；</w:t>
            </w:r>
          </w:p>
        </w:tc>
        <w:tc>
          <w:tcPr>
            <w:tcW w:w="915" w:type="dxa"/>
            <w:tcBorders>
              <w:top w:val="single" w:color="auto" w:sz="4" w:space="0"/>
              <w:left w:val="nil"/>
              <w:bottom w:val="single" w:color="auto" w:sz="4" w:space="0"/>
              <w:right w:val="single" w:color="auto" w:sz="8" w:space="0"/>
            </w:tcBorders>
            <w:shd w:val="clear" w:color="auto" w:fill="auto"/>
            <w:vAlign w:val="center"/>
          </w:tcPr>
          <w:p>
            <w:pPr>
              <w:pStyle w:val="60"/>
              <w:jc w:val="center"/>
              <w:rPr>
                <w:rFonts w:ascii="仿宋" w:hAnsi="仿宋" w:eastAsia="仿宋" w:cs="仿宋"/>
              </w:rPr>
            </w:pPr>
            <w:r>
              <w:rPr>
                <w:rFonts w:hint="eastAsia" w:ascii="仿宋" w:hAnsi="仿宋" w:eastAsia="仿宋" w:cs="仿宋"/>
              </w:rPr>
              <w:t>10分</w:t>
            </w:r>
          </w:p>
        </w:tc>
      </w:tr>
      <w:tr>
        <w:tblPrEx>
          <w:tblCellMar>
            <w:top w:w="0" w:type="dxa"/>
            <w:left w:w="108" w:type="dxa"/>
            <w:bottom w:w="0" w:type="dxa"/>
            <w:right w:w="108" w:type="dxa"/>
          </w:tblCellMar>
        </w:tblPrEx>
        <w:trPr>
          <w:trHeight w:val="1478" w:hRule="atLeast"/>
          <w:jc w:val="center"/>
        </w:trPr>
        <w:tc>
          <w:tcPr>
            <w:tcW w:w="747" w:type="dxa"/>
            <w:vMerge w:val="restart"/>
            <w:tcBorders>
              <w:top w:val="single" w:color="auto" w:sz="4" w:space="0"/>
              <w:left w:val="single" w:color="auto" w:sz="4" w:space="0"/>
              <w:bottom w:val="single" w:color="auto" w:sz="4" w:space="0"/>
              <w:right w:val="single" w:color="auto" w:sz="4" w:space="0"/>
            </w:tcBorders>
            <w:vAlign w:val="center"/>
          </w:tcPr>
          <w:p>
            <w:pPr>
              <w:pStyle w:val="60"/>
              <w:jc w:val="center"/>
              <w:rPr>
                <w:rFonts w:ascii="仿宋" w:hAnsi="仿宋" w:eastAsia="仿宋" w:cs="仿宋"/>
              </w:rPr>
            </w:pPr>
            <w:r>
              <w:rPr>
                <w:rFonts w:hint="eastAsia" w:ascii="仿宋" w:hAnsi="仿宋" w:eastAsia="仿宋" w:cs="仿宋"/>
              </w:rPr>
              <w:t>3</w:t>
            </w:r>
          </w:p>
        </w:tc>
        <w:tc>
          <w:tcPr>
            <w:tcW w:w="2025" w:type="dxa"/>
            <w:gridSpan w:val="2"/>
            <w:vMerge w:val="restart"/>
            <w:tcBorders>
              <w:top w:val="single" w:color="auto" w:sz="4" w:space="0"/>
              <w:left w:val="single" w:color="auto" w:sz="4" w:space="0"/>
              <w:bottom w:val="single" w:color="auto" w:sz="4" w:space="0"/>
              <w:right w:val="single" w:color="auto" w:sz="4" w:space="0"/>
            </w:tcBorders>
            <w:vAlign w:val="center"/>
          </w:tcPr>
          <w:p>
            <w:pPr>
              <w:pStyle w:val="60"/>
              <w:jc w:val="center"/>
              <w:rPr>
                <w:rFonts w:ascii="仿宋" w:hAnsi="仿宋" w:eastAsia="仿宋" w:cs="仿宋"/>
              </w:rPr>
            </w:pPr>
            <w:r>
              <w:rPr>
                <w:rFonts w:hint="eastAsia" w:ascii="仿宋" w:hAnsi="仿宋" w:eastAsia="仿宋" w:cs="仿宋"/>
                <w:szCs w:val="24"/>
                <w:lang w:val="zh-CN"/>
              </w:rPr>
              <w:t>售后服务及培训方案</w:t>
            </w:r>
          </w:p>
        </w:tc>
        <w:tc>
          <w:tcPr>
            <w:tcW w:w="508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售后服务：</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供应商针对本项目提供售后服务方案，包括但不限于售后服务网点的设定、实施组织机构、拟投入售后服务人员配置情况、日常维护、项目交付用户后出现故障响应时间及措施、备品备件计划，质量保证范围。</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售后服务方案内容具体、完整、详细、全面的经横向比较计(7-10]分；</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售后服务方案内容欠缺、薄弱的经横向比较计(3-7]分；</w:t>
            </w:r>
          </w:p>
          <w:p>
            <w:pPr>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sz w:val="24"/>
                <w:szCs w:val="24"/>
                <w:lang w:val="zh-CN"/>
              </w:rPr>
              <w:t>方案欠缺、不利于实施计</w:t>
            </w:r>
            <w:r>
              <w:rPr>
                <w:rFonts w:hint="eastAsia" w:ascii="仿宋" w:hAnsi="仿宋" w:eastAsia="仿宋" w:cs="仿宋"/>
                <w:bCs/>
                <w:sz w:val="24"/>
                <w:szCs w:val="24"/>
              </w:rPr>
              <w:t>（0</w:t>
            </w:r>
            <w:r>
              <w:rPr>
                <w:rFonts w:hint="eastAsia" w:ascii="仿宋" w:hAnsi="仿宋" w:eastAsia="仿宋" w:cs="仿宋"/>
                <w:bCs/>
                <w:sz w:val="24"/>
                <w:szCs w:val="24"/>
                <w:lang w:val="zh-CN"/>
              </w:rPr>
              <w:t>-</w:t>
            </w:r>
            <w:r>
              <w:rPr>
                <w:rFonts w:hint="eastAsia" w:ascii="仿宋" w:hAnsi="仿宋" w:eastAsia="仿宋" w:cs="仿宋"/>
                <w:bCs/>
                <w:sz w:val="24"/>
                <w:szCs w:val="24"/>
              </w:rPr>
              <w:t>3]</w:t>
            </w:r>
            <w:r>
              <w:rPr>
                <w:rFonts w:hint="eastAsia" w:ascii="仿宋" w:hAnsi="仿宋" w:eastAsia="仿宋" w:cs="仿宋"/>
                <w:bCs/>
                <w:sz w:val="24"/>
                <w:szCs w:val="24"/>
                <w:lang w:val="zh-CN"/>
              </w:rPr>
              <w:t>分</w:t>
            </w:r>
            <w:r>
              <w:rPr>
                <w:rFonts w:hint="eastAsia" w:ascii="仿宋" w:hAnsi="仿宋" w:eastAsia="仿宋" w:cs="仿宋"/>
                <w:sz w:val="24"/>
                <w:szCs w:val="24"/>
                <w:lang w:val="zh-CN"/>
              </w:rPr>
              <w:t>。</w:t>
            </w:r>
          </w:p>
        </w:tc>
        <w:tc>
          <w:tcPr>
            <w:tcW w:w="915" w:type="dxa"/>
            <w:tcBorders>
              <w:top w:val="single" w:color="auto" w:sz="4" w:space="0"/>
              <w:left w:val="nil"/>
              <w:bottom w:val="single" w:color="auto" w:sz="4" w:space="0"/>
              <w:right w:val="single" w:color="auto" w:sz="8" w:space="0"/>
            </w:tcBorders>
            <w:shd w:val="clear" w:color="auto" w:fill="auto"/>
            <w:vAlign w:val="center"/>
          </w:tcPr>
          <w:p>
            <w:pPr>
              <w:pStyle w:val="60"/>
              <w:jc w:val="center"/>
              <w:rPr>
                <w:rFonts w:ascii="仿宋" w:hAnsi="仿宋" w:eastAsia="仿宋" w:cs="仿宋"/>
              </w:rPr>
            </w:pPr>
            <w:r>
              <w:rPr>
                <w:rFonts w:hint="eastAsia" w:ascii="仿宋" w:hAnsi="仿宋" w:eastAsia="仿宋" w:cs="仿宋"/>
              </w:rPr>
              <w:t>10分</w:t>
            </w:r>
          </w:p>
        </w:tc>
      </w:tr>
      <w:tr>
        <w:tblPrEx>
          <w:tblCellMar>
            <w:top w:w="0" w:type="dxa"/>
            <w:left w:w="108" w:type="dxa"/>
            <w:bottom w:w="0" w:type="dxa"/>
            <w:right w:w="108" w:type="dxa"/>
          </w:tblCellMar>
        </w:tblPrEx>
        <w:trPr>
          <w:trHeight w:val="1478" w:hRule="atLeast"/>
          <w:jc w:val="center"/>
        </w:trPr>
        <w:tc>
          <w:tcPr>
            <w:tcW w:w="747" w:type="dxa"/>
            <w:vMerge w:val="continue"/>
            <w:tcBorders>
              <w:top w:val="single" w:color="auto" w:sz="4" w:space="0"/>
              <w:left w:val="single" w:color="auto" w:sz="4" w:space="0"/>
              <w:bottom w:val="single" w:color="auto" w:sz="4" w:space="0"/>
              <w:right w:val="single" w:color="auto" w:sz="4" w:space="0"/>
            </w:tcBorders>
            <w:vAlign w:val="center"/>
          </w:tcPr>
          <w:p>
            <w:pPr>
              <w:pStyle w:val="60"/>
              <w:jc w:val="center"/>
              <w:rPr>
                <w:rFonts w:ascii="仿宋" w:hAnsi="仿宋" w:eastAsia="仿宋" w:cs="仿宋"/>
              </w:rPr>
            </w:pPr>
          </w:p>
        </w:tc>
        <w:tc>
          <w:tcPr>
            <w:tcW w:w="2025"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60"/>
              <w:jc w:val="center"/>
              <w:rPr>
                <w:rFonts w:ascii="仿宋" w:hAnsi="仿宋" w:eastAsia="仿宋" w:cs="仿宋"/>
                <w:szCs w:val="24"/>
                <w:lang w:val="zh-CN"/>
              </w:rPr>
            </w:pPr>
          </w:p>
        </w:tc>
        <w:tc>
          <w:tcPr>
            <w:tcW w:w="508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ind w:firstLine="482" w:firstLineChars="200"/>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培训方案：</w:t>
            </w:r>
            <w:r>
              <w:rPr>
                <w:rFonts w:hint="eastAsia" w:ascii="仿宋" w:hAnsi="仿宋" w:eastAsia="仿宋" w:cs="仿宋"/>
                <w:color w:val="000000"/>
                <w:kern w:val="0"/>
                <w:sz w:val="24"/>
                <w:szCs w:val="24"/>
              </w:rPr>
              <w:t>培训方式、时间、地点、人员、培训内容。培训方案内容具体、完整、详细、全面、可行的经横向比较计0-5分；</w:t>
            </w:r>
          </w:p>
        </w:tc>
        <w:tc>
          <w:tcPr>
            <w:tcW w:w="915" w:type="dxa"/>
            <w:tcBorders>
              <w:top w:val="single" w:color="auto" w:sz="4" w:space="0"/>
              <w:left w:val="nil"/>
              <w:bottom w:val="single" w:color="auto" w:sz="4" w:space="0"/>
              <w:right w:val="single" w:color="auto" w:sz="8" w:space="0"/>
            </w:tcBorders>
            <w:shd w:val="clear" w:color="auto" w:fill="auto"/>
            <w:vAlign w:val="center"/>
          </w:tcPr>
          <w:p>
            <w:pPr>
              <w:pStyle w:val="60"/>
              <w:jc w:val="center"/>
              <w:rPr>
                <w:rFonts w:ascii="仿宋" w:hAnsi="仿宋" w:eastAsia="仿宋" w:cs="仿宋"/>
              </w:rPr>
            </w:pPr>
            <w:r>
              <w:rPr>
                <w:rFonts w:hint="eastAsia" w:ascii="仿宋" w:hAnsi="仿宋" w:eastAsia="仿宋" w:cs="仿宋"/>
              </w:rPr>
              <w:t>5分</w:t>
            </w:r>
          </w:p>
        </w:tc>
      </w:tr>
      <w:tr>
        <w:tblPrEx>
          <w:tblCellMar>
            <w:top w:w="0" w:type="dxa"/>
            <w:left w:w="108" w:type="dxa"/>
            <w:bottom w:w="0" w:type="dxa"/>
            <w:right w:w="108" w:type="dxa"/>
          </w:tblCellMar>
        </w:tblPrEx>
        <w:trPr>
          <w:trHeight w:val="1260"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jc w:val="center"/>
              <w:rPr>
                <w:rFonts w:ascii="仿宋" w:hAnsi="仿宋" w:eastAsia="仿宋" w:cs="仿宋"/>
              </w:rPr>
            </w:pPr>
            <w:r>
              <w:rPr>
                <w:rFonts w:hint="eastAsia" w:ascii="仿宋" w:hAnsi="仿宋" w:eastAsia="仿宋" w:cs="仿宋"/>
              </w:rPr>
              <w:t>4</w:t>
            </w:r>
          </w:p>
        </w:tc>
        <w:tc>
          <w:tcPr>
            <w:tcW w:w="20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业绩</w:t>
            </w:r>
          </w:p>
        </w:tc>
        <w:tc>
          <w:tcPr>
            <w:tcW w:w="508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类似业绩指（2020年</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月至今，以合同签订时间为准）的类似项目业绩，提供合同复印件（加盖供应商公章）原件备查，每提供一个类似业绩得2分，满分10分。</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10分</w:t>
            </w:r>
          </w:p>
        </w:tc>
      </w:tr>
    </w:tbl>
    <w:p>
      <w:pPr>
        <w:tabs>
          <w:tab w:val="left" w:pos="9030"/>
        </w:tabs>
        <w:snapToGrid w:val="0"/>
        <w:spacing w:line="360" w:lineRule="auto"/>
        <w:ind w:right="-65" w:firstLine="480" w:firstLineChars="200"/>
        <w:rPr>
          <w:rFonts w:ascii="仿宋" w:hAnsi="仿宋" w:eastAsia="仿宋" w:cs="仿宋"/>
          <w:sz w:val="24"/>
          <w:szCs w:val="24"/>
          <w:lang w:val="zh-CN"/>
        </w:rPr>
      </w:pP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3、其他事项说明</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因落实政府采购政策进行价格调整的，以调整后的价格计算评标基准价和投标报价。</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评标时，评标委员会根据以上内容进行综合比较，自主打分，分数四舍五入保留两位小数，独立对每个投标人的投标文件进行评价，并汇总每个投标人的得分。</w:t>
      </w:r>
    </w:p>
    <w:bookmarkEnd w:id="230"/>
    <w:bookmarkEnd w:id="231"/>
    <w:bookmarkEnd w:id="232"/>
    <w:bookmarkEnd w:id="233"/>
    <w:p>
      <w:pPr>
        <w:tabs>
          <w:tab w:val="left" w:pos="9030"/>
        </w:tabs>
        <w:snapToGrid w:val="0"/>
        <w:spacing w:line="360" w:lineRule="auto"/>
        <w:ind w:right="-65" w:firstLine="480" w:firstLineChars="200"/>
        <w:outlineLvl w:val="2"/>
        <w:rPr>
          <w:rFonts w:ascii="仿宋" w:hAnsi="仿宋" w:eastAsia="仿宋" w:cs="仿宋"/>
          <w:sz w:val="24"/>
          <w:szCs w:val="24"/>
          <w:lang w:val="zh-CN"/>
        </w:rPr>
      </w:pPr>
      <w:bookmarkStart w:id="234" w:name="_Toc9209"/>
      <w:bookmarkStart w:id="235" w:name="_Toc16649"/>
      <w:bookmarkStart w:id="236" w:name="_Toc10499"/>
      <w:bookmarkStart w:id="237" w:name="_Toc30211"/>
      <w:bookmarkStart w:id="238" w:name="_Toc17060"/>
      <w:bookmarkStart w:id="239" w:name="_Toc17114"/>
      <w:bookmarkStart w:id="240" w:name="_Toc29598"/>
      <w:bookmarkStart w:id="241" w:name="_Toc15871"/>
      <w:bookmarkStart w:id="242" w:name="_Toc3459"/>
      <w:r>
        <w:rPr>
          <w:rFonts w:hint="eastAsia" w:ascii="仿宋" w:hAnsi="仿宋" w:eastAsia="仿宋" w:cs="仿宋"/>
          <w:sz w:val="24"/>
          <w:szCs w:val="24"/>
          <w:lang w:val="zh-CN"/>
        </w:rPr>
        <w:t>（四）推荐中标候选人名单</w:t>
      </w:r>
      <w:bookmarkEnd w:id="234"/>
      <w:bookmarkEnd w:id="235"/>
      <w:bookmarkEnd w:id="236"/>
      <w:bookmarkEnd w:id="237"/>
      <w:bookmarkEnd w:id="238"/>
      <w:bookmarkEnd w:id="239"/>
      <w:bookmarkEnd w:id="240"/>
      <w:bookmarkEnd w:id="241"/>
      <w:bookmarkEnd w:id="242"/>
    </w:p>
    <w:p>
      <w:pPr>
        <w:tabs>
          <w:tab w:val="left" w:pos="9030"/>
        </w:tabs>
        <w:snapToGrid w:val="0"/>
        <w:spacing w:line="360" w:lineRule="auto"/>
        <w:ind w:right="-65" w:firstLine="480" w:firstLineChars="200"/>
        <w:rPr>
          <w:rFonts w:ascii="仿宋" w:hAnsi="仿宋" w:eastAsia="仿宋" w:cs="仿宋"/>
          <w:b/>
          <w:bCs/>
          <w:sz w:val="24"/>
          <w:szCs w:val="24"/>
          <w:lang w:val="zh-CN"/>
        </w:rPr>
      </w:pPr>
      <w:r>
        <w:rPr>
          <w:rFonts w:hint="eastAsia" w:ascii="仿宋" w:hAnsi="仿宋" w:eastAsia="仿宋" w:cs="仿宋"/>
          <w:sz w:val="24"/>
          <w:szCs w:val="24"/>
          <w:lang w:val="zh-CN"/>
        </w:rPr>
        <w:t>评标结果按评审后得分由高到低顺序排列，推荐三名以上中标候选人。投标文件满足招标文件全部实质性要求，且按照评审因素的量化指标评审得分。按照排序推荐入围候选人</w:t>
      </w:r>
      <w:r>
        <w:rPr>
          <w:rFonts w:hint="eastAsia" w:ascii="仿宋" w:hAnsi="仿宋" w:eastAsia="仿宋" w:cs="仿宋"/>
          <w:b/>
          <w:bCs/>
          <w:sz w:val="24"/>
          <w:szCs w:val="24"/>
        </w:rPr>
        <w:t>。</w:t>
      </w:r>
    </w:p>
    <w:p>
      <w:pPr>
        <w:autoSpaceDE w:val="0"/>
        <w:autoSpaceDN w:val="0"/>
        <w:adjustRightInd w:val="0"/>
        <w:snapToGrid w:val="0"/>
        <w:spacing w:line="360" w:lineRule="auto"/>
        <w:ind w:firstLine="482" w:firstLineChars="200"/>
        <w:outlineLvl w:val="1"/>
        <w:rPr>
          <w:rFonts w:ascii="仿宋" w:hAnsi="仿宋" w:eastAsia="仿宋" w:cs="仿宋"/>
          <w:b/>
          <w:sz w:val="24"/>
          <w:szCs w:val="24"/>
          <w:lang w:val="zh-CN"/>
        </w:rPr>
      </w:pPr>
      <w:bookmarkStart w:id="243" w:name="_Toc22251"/>
      <w:bookmarkStart w:id="244" w:name="_Toc18731"/>
      <w:bookmarkStart w:id="245" w:name="_Toc561"/>
      <w:bookmarkStart w:id="246" w:name="_Toc11082"/>
      <w:bookmarkStart w:id="247" w:name="_Toc5432"/>
      <w:bookmarkStart w:id="248" w:name="_Toc13328"/>
      <w:bookmarkStart w:id="249" w:name="_Toc2662"/>
      <w:bookmarkStart w:id="250" w:name="_Toc16330"/>
      <w:r>
        <w:rPr>
          <w:rFonts w:hint="eastAsia" w:ascii="仿宋" w:hAnsi="仿宋" w:eastAsia="仿宋" w:cs="仿宋"/>
          <w:b/>
          <w:sz w:val="24"/>
          <w:szCs w:val="24"/>
          <w:lang w:val="zh-CN"/>
        </w:rPr>
        <w:t>七、确定</w:t>
      </w:r>
      <w:bookmarkEnd w:id="243"/>
      <w:bookmarkEnd w:id="244"/>
      <w:r>
        <w:rPr>
          <w:rFonts w:hint="eastAsia" w:ascii="仿宋" w:hAnsi="仿宋" w:eastAsia="仿宋" w:cs="仿宋"/>
          <w:b/>
          <w:sz w:val="24"/>
          <w:szCs w:val="24"/>
          <w:lang w:val="zh-CN"/>
        </w:rPr>
        <w:t>中标</w:t>
      </w:r>
      <w:bookmarkEnd w:id="245"/>
      <w:bookmarkEnd w:id="246"/>
      <w:bookmarkEnd w:id="247"/>
      <w:bookmarkEnd w:id="248"/>
      <w:bookmarkEnd w:id="249"/>
      <w:r>
        <w:rPr>
          <w:rFonts w:hint="eastAsia" w:ascii="仿宋" w:hAnsi="仿宋" w:eastAsia="仿宋" w:cs="仿宋"/>
          <w:b/>
          <w:sz w:val="24"/>
          <w:szCs w:val="24"/>
          <w:lang w:val="zh-CN"/>
        </w:rPr>
        <w:t>投标人</w:t>
      </w:r>
      <w:bookmarkEnd w:id="250"/>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（一）采购代理机构应当在评标结束后</w:t>
      </w:r>
      <w:r>
        <w:rPr>
          <w:rFonts w:hint="eastAsia" w:ascii="仿宋" w:hAnsi="仿宋" w:eastAsia="仿宋" w:cs="仿宋"/>
          <w:sz w:val="24"/>
          <w:szCs w:val="24"/>
        </w:rPr>
        <w:t>1</w:t>
      </w:r>
      <w:r>
        <w:rPr>
          <w:rFonts w:hint="eastAsia" w:ascii="仿宋" w:hAnsi="仿宋" w:eastAsia="仿宋" w:cs="仿宋"/>
          <w:sz w:val="24"/>
          <w:szCs w:val="24"/>
          <w:lang w:val="zh-CN"/>
        </w:rPr>
        <w:t>个工作日内将评标报告送采购人。</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（二）采购人应当自收到评标报告之日起</w:t>
      </w:r>
      <w:r>
        <w:rPr>
          <w:rFonts w:hint="eastAsia" w:ascii="仿宋" w:hAnsi="仿宋" w:eastAsia="仿宋" w:cs="仿宋"/>
          <w:sz w:val="24"/>
          <w:szCs w:val="24"/>
        </w:rPr>
        <w:t>4</w:t>
      </w:r>
      <w:r>
        <w:rPr>
          <w:rFonts w:hint="eastAsia" w:ascii="仿宋" w:hAnsi="仿宋" w:eastAsia="仿宋" w:cs="仿宋"/>
          <w:sz w:val="24"/>
          <w:szCs w:val="24"/>
          <w:lang w:val="zh-CN"/>
        </w:rPr>
        <w:t>个工作日内，在评标报告确定的中标候选人名单中按顺序确定中标人，复函采购代理机构。采购人在收到评标报告</w:t>
      </w:r>
      <w:r>
        <w:rPr>
          <w:rFonts w:hint="eastAsia" w:ascii="仿宋" w:hAnsi="仿宋" w:eastAsia="仿宋" w:cs="仿宋"/>
          <w:sz w:val="24"/>
          <w:szCs w:val="24"/>
        </w:rPr>
        <w:t>4</w:t>
      </w:r>
      <w:r>
        <w:rPr>
          <w:rFonts w:hint="eastAsia" w:ascii="仿宋" w:hAnsi="仿宋" w:eastAsia="仿宋" w:cs="仿宋"/>
          <w:sz w:val="24"/>
          <w:szCs w:val="24"/>
          <w:lang w:val="zh-CN"/>
        </w:rPr>
        <w:t>个工作日内未按评标报告推荐的中标候选人顺序确定中标人，又不能说明合法理由的，视同按评标报告推荐的顺序确定排名第一的中标候选人为中标人。</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（三）采购代理机构当自中标人确定之日起</w:t>
      </w:r>
      <w:r>
        <w:rPr>
          <w:rFonts w:hint="eastAsia" w:ascii="仿宋" w:hAnsi="仿宋" w:eastAsia="仿宋" w:cs="仿宋"/>
          <w:sz w:val="24"/>
          <w:szCs w:val="24"/>
        </w:rPr>
        <w:t>1</w:t>
      </w:r>
      <w:r>
        <w:rPr>
          <w:rFonts w:hint="eastAsia" w:ascii="仿宋" w:hAnsi="仿宋" w:eastAsia="仿宋" w:cs="仿宋"/>
          <w:sz w:val="24"/>
          <w:szCs w:val="24"/>
          <w:lang w:val="zh-CN"/>
        </w:rPr>
        <w:t>个工作日内，在省级以上财政部门指定的媒体上公告中标结果，公告期限为1个工作日，并向中标人发“中标通知书”。</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四）投标人对中标公告有异议的，按照《中华人民共和国政府采购法》第五十二条之规定执行。提出质疑的投标人应当有明确的请求和必要的证明材料，应保证提出的质疑内容及相应证明材料的真实性及来源的合法性，并承担相应的法律责任。</w:t>
      </w:r>
    </w:p>
    <w:p>
      <w:pPr>
        <w:autoSpaceDE w:val="0"/>
        <w:autoSpaceDN w:val="0"/>
        <w:adjustRightInd w:val="0"/>
        <w:snapToGrid w:val="0"/>
        <w:spacing w:line="360" w:lineRule="auto"/>
        <w:ind w:firstLine="482" w:firstLineChars="200"/>
        <w:outlineLvl w:val="1"/>
        <w:rPr>
          <w:rFonts w:ascii="仿宋" w:hAnsi="仿宋" w:eastAsia="仿宋" w:cs="仿宋"/>
          <w:b/>
          <w:sz w:val="24"/>
          <w:szCs w:val="24"/>
          <w:lang w:val="zh-CN"/>
        </w:rPr>
      </w:pPr>
      <w:bookmarkStart w:id="251" w:name="_Toc27317"/>
      <w:bookmarkStart w:id="252" w:name="_Toc21655"/>
      <w:bookmarkStart w:id="253" w:name="_Toc15275"/>
      <w:bookmarkStart w:id="254" w:name="_Toc19571"/>
      <w:bookmarkStart w:id="255" w:name="_Toc7972"/>
      <w:bookmarkStart w:id="256" w:name="_Toc7578"/>
      <w:bookmarkStart w:id="257" w:name="_Toc19938"/>
      <w:bookmarkStart w:id="258" w:name="_Toc22939"/>
      <w:r>
        <w:rPr>
          <w:rFonts w:hint="eastAsia" w:ascii="仿宋" w:hAnsi="仿宋" w:eastAsia="仿宋" w:cs="仿宋"/>
          <w:b/>
          <w:sz w:val="24"/>
          <w:szCs w:val="24"/>
          <w:lang w:val="zh-CN"/>
        </w:rPr>
        <w:t>八、合同</w:t>
      </w:r>
      <w:bookmarkEnd w:id="251"/>
      <w:bookmarkEnd w:id="252"/>
      <w:bookmarkEnd w:id="253"/>
      <w:bookmarkEnd w:id="254"/>
      <w:bookmarkEnd w:id="255"/>
      <w:bookmarkEnd w:id="256"/>
      <w:bookmarkEnd w:id="257"/>
      <w:bookmarkEnd w:id="258"/>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（一）采购人在自中标通知书发出之日起三十日内，按照招标文件和中标投标人投标文件的约定，采购人与中标投标人洽谈合同条款，并签订合同。招标文件及中标投标人的投标文件均作为合同的组成部分。</w:t>
      </w:r>
    </w:p>
    <w:p>
      <w:pPr>
        <w:tabs>
          <w:tab w:val="left" w:pos="0"/>
        </w:tabs>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（二）定标后，中标投标人无正当理由拖延或拒签合同，监督机构有权取消其中标资格，并按评标结果顺序重新确定中标投标人。同时报请监督机构通报，取消其进入政府采购市场的资格，按规定予以处罚。</w:t>
      </w:r>
    </w:p>
    <w:p>
      <w:pPr>
        <w:tabs>
          <w:tab w:val="left" w:pos="0"/>
        </w:tabs>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（三）政府采购合同的履行、违约责任和解决争议的方法等适用《中华人民共和国合同法》，采购人按照政府采购合同规定的技术、服务、安全标准组织对投标人履约情况进行验收，并出具验收书。</w:t>
      </w:r>
    </w:p>
    <w:p>
      <w:pPr>
        <w:autoSpaceDE w:val="0"/>
        <w:autoSpaceDN w:val="0"/>
        <w:adjustRightInd w:val="0"/>
        <w:snapToGrid w:val="0"/>
        <w:spacing w:line="360" w:lineRule="auto"/>
        <w:ind w:firstLine="482" w:firstLineChars="200"/>
        <w:outlineLvl w:val="1"/>
        <w:rPr>
          <w:rFonts w:ascii="仿宋" w:hAnsi="仿宋" w:eastAsia="仿宋" w:cs="仿宋"/>
          <w:b/>
          <w:sz w:val="24"/>
          <w:szCs w:val="24"/>
          <w:lang w:val="zh-CN"/>
        </w:rPr>
      </w:pPr>
      <w:bookmarkStart w:id="259" w:name="_Toc27949"/>
      <w:bookmarkStart w:id="260" w:name="_Toc5062"/>
      <w:bookmarkStart w:id="261" w:name="_Toc28649"/>
      <w:bookmarkStart w:id="262" w:name="_Toc29523"/>
      <w:bookmarkStart w:id="263" w:name="_Toc15593"/>
      <w:bookmarkStart w:id="264" w:name="_Toc22699"/>
      <w:bookmarkStart w:id="265" w:name="_Toc1946"/>
      <w:bookmarkStart w:id="266" w:name="_Toc21976"/>
      <w:r>
        <w:rPr>
          <w:rFonts w:hint="eastAsia" w:ascii="仿宋" w:hAnsi="仿宋" w:eastAsia="仿宋" w:cs="仿宋"/>
          <w:b/>
          <w:sz w:val="24"/>
          <w:szCs w:val="24"/>
          <w:lang w:val="zh-CN"/>
        </w:rPr>
        <w:t>九、中标服务费</w:t>
      </w:r>
      <w:bookmarkEnd w:id="259"/>
      <w:bookmarkEnd w:id="260"/>
      <w:bookmarkEnd w:id="261"/>
      <w:bookmarkEnd w:id="262"/>
      <w:bookmarkEnd w:id="263"/>
      <w:bookmarkEnd w:id="264"/>
      <w:bookmarkEnd w:id="265"/>
      <w:bookmarkEnd w:id="266"/>
    </w:p>
    <w:p>
      <w:pPr>
        <w:snapToGrid w:val="0"/>
        <w:spacing w:line="360" w:lineRule="auto"/>
        <w:ind w:firstLine="480" w:firstLineChars="200"/>
        <w:rPr>
          <w:rFonts w:ascii="仿宋_GB2312" w:hAnsi="仿宋_GB2312" w:eastAsia="仿宋_GB2312" w:cs="仿宋_GB2312"/>
          <w:sz w:val="24"/>
          <w:szCs w:val="24"/>
        </w:rPr>
      </w:pPr>
      <w:bookmarkStart w:id="267" w:name="_Toc495671245"/>
      <w:bookmarkStart w:id="268" w:name="_Toc29526"/>
      <w:r>
        <w:rPr>
          <w:rFonts w:hint="eastAsia" w:ascii="仿宋" w:hAnsi="仿宋" w:eastAsia="仿宋" w:cs="仿宋"/>
          <w:sz w:val="24"/>
          <w:szCs w:val="24"/>
        </w:rPr>
        <w:t>（一）本项目招标代理服务费由成交供应商在成交结果公示期满后三个工作日内按照标准支付给招标代理机构。</w:t>
      </w:r>
    </w:p>
    <w:p>
      <w:pPr>
        <w:tabs>
          <w:tab w:val="left" w:pos="0"/>
        </w:tabs>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二）采购代理服务费依据《国家计委关于印发招标代理服务收费管理暂行办法的通知》（计价格【2002】1980号）和国家发改委办公厅颁发的《关于招标代理服务收费有关问题的通知》（发改办价格【2003】857号）文件规定标准收取。</w:t>
      </w:r>
    </w:p>
    <w:p>
      <w:pPr>
        <w:jc w:val="right"/>
        <w:rPr>
          <w:rFonts w:ascii="仿宋" w:hAnsi="仿宋" w:eastAsia="仿宋" w:cs="仿宋"/>
          <w:sz w:val="24"/>
          <w:szCs w:val="24"/>
          <w:lang w:val="zh-CN"/>
        </w:rPr>
      </w:pPr>
      <w:r>
        <w:rPr>
          <w:rFonts w:hint="eastAsia" w:ascii="仿宋" w:hAnsi="仿宋" w:eastAsia="仿宋" w:cs="仿宋"/>
          <w:sz w:val="24"/>
          <w:szCs w:val="24"/>
          <w:lang w:val="zh-CN"/>
        </w:rPr>
        <w:t>单位：万元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448" w:type="dxa"/>
          </w:tcPr>
          <w:p>
            <w:pPr>
              <w:spacing w:line="360" w:lineRule="auto"/>
              <w:ind w:firstLine="960" w:firstLineChars="400"/>
              <w:rPr>
                <w:rFonts w:ascii="仿宋" w:hAnsi="仿宋" w:eastAsia="仿宋" w:cs="仿宋"/>
                <w:b/>
                <w:sz w:val="24"/>
                <w:szCs w:val="24"/>
              </w:rPr>
            </w:pP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3175</wp:posOffset>
                      </wp:positionV>
                      <wp:extent cx="1570990" cy="577215"/>
                      <wp:effectExtent l="1905" t="4445" r="8255" b="8890"/>
                      <wp:wrapNone/>
                      <wp:docPr id="11" name="直接箭头连接符 11"/>
                      <wp:cNvGraphicFramePr/>
                      <a:graphic xmlns:a="http://schemas.openxmlformats.org/drawingml/2006/main">
                        <a:graphicData uri="http://schemas.microsoft.com/office/word/2010/wordprocessingShape">
                          <wps:wsp>
                            <wps:cNvCnPr/>
                            <wps:spPr>
                              <a:xfrm>
                                <a:off x="0" y="0"/>
                                <a:ext cx="1570990" cy="5772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35pt;margin-top:0.25pt;height:45.45pt;width:123.7pt;z-index:251659264;mso-width-relative:page;mso-height-relative:page;" filled="f" stroked="t" coordsize="21600,21600" o:gfxdata="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2zID9UAAAAHAQAADwAAAAAAAAABACAAAAAiAAAAZHJzL2Rvd25y&#10;ZXYueG1sUEsBAhQAFAAAAAgAh07iQLVyauABAgAA8wMAAA4AAAAAAAAAAQAgAAAAJA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s="仿宋"/>
                <w:b/>
                <w:sz w:val="24"/>
                <w:szCs w:val="24"/>
              </w:rPr>
              <w:t>采购类型</w:t>
            </w:r>
          </w:p>
          <w:p>
            <w:pPr>
              <w:spacing w:line="360" w:lineRule="auto"/>
              <w:rPr>
                <w:rFonts w:ascii="仿宋" w:hAnsi="仿宋" w:eastAsia="仿宋" w:cs="仿宋"/>
                <w:b/>
                <w:sz w:val="24"/>
                <w:szCs w:val="24"/>
              </w:rPr>
            </w:pPr>
            <w:r>
              <w:rPr>
                <w:rFonts w:hint="eastAsia" w:ascii="仿宋" w:hAnsi="仿宋" w:eastAsia="仿宋" w:cs="仿宋"/>
                <w:b/>
                <w:sz w:val="24"/>
                <w:szCs w:val="24"/>
              </w:rPr>
              <w:t>中标金额</w:t>
            </w:r>
          </w:p>
        </w:tc>
        <w:tc>
          <w:tcPr>
            <w:tcW w:w="1980" w:type="dxa"/>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货物招标</w:t>
            </w:r>
          </w:p>
        </w:tc>
        <w:tc>
          <w:tcPr>
            <w:tcW w:w="1980" w:type="dxa"/>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服务招标</w:t>
            </w:r>
          </w:p>
        </w:tc>
        <w:tc>
          <w:tcPr>
            <w:tcW w:w="1980" w:type="dxa"/>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100以下</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1.5%</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1.5%</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100-500</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1.1%</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0.8%</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500-1000</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0.8%</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0.45%</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1000-5000</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0.5%</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0.25%</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5000-10000</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0.25%</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0.1%</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10000-100000</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0.05%</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0.05%</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1000000以上</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0.01%</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0.01%</w:t>
            </w:r>
          </w:p>
        </w:tc>
        <w:tc>
          <w:tcPr>
            <w:tcW w:w="1980"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0.01%</w:t>
            </w:r>
          </w:p>
        </w:tc>
      </w:tr>
    </w:tbl>
    <w:p>
      <w:pPr>
        <w:tabs>
          <w:tab w:val="left" w:pos="0"/>
        </w:tabs>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（三）中标投标人服务费交纳信息：</w:t>
      </w:r>
    </w:p>
    <w:p>
      <w:pPr>
        <w:autoSpaceDE w:val="0"/>
        <w:autoSpaceDN w:val="0"/>
        <w:adjustRightIn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采购代理机构开户名称：陕西笃信招标有限公司</w:t>
      </w:r>
    </w:p>
    <w:p>
      <w:pPr>
        <w:autoSpaceDE w:val="0"/>
        <w:autoSpaceDN w:val="0"/>
        <w:adjustRightIn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开户银行：中国建设银行股份有限公司西安劳动北路支行</w:t>
      </w:r>
    </w:p>
    <w:p>
      <w:pPr>
        <w:autoSpaceDE w:val="0"/>
        <w:autoSpaceDN w:val="0"/>
        <w:adjustRightIn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账   号：61050174390000000193</w:t>
      </w:r>
    </w:p>
    <w:p>
      <w:pPr>
        <w:autoSpaceDE w:val="0"/>
        <w:autoSpaceDN w:val="0"/>
        <w:adjustRightInd w:val="0"/>
        <w:spacing w:line="360" w:lineRule="auto"/>
        <w:ind w:firstLine="482" w:firstLineChars="200"/>
        <w:jc w:val="left"/>
        <w:outlineLvl w:val="1"/>
        <w:rPr>
          <w:rFonts w:ascii="仿宋" w:hAnsi="仿宋" w:eastAsia="仿宋" w:cs="仿宋"/>
          <w:b/>
          <w:sz w:val="24"/>
          <w:szCs w:val="24"/>
          <w:lang w:val="zh-CN"/>
        </w:rPr>
      </w:pPr>
      <w:bookmarkStart w:id="269" w:name="_Toc6650"/>
      <w:bookmarkStart w:id="270" w:name="_Toc11240"/>
      <w:bookmarkStart w:id="271" w:name="_Toc21712"/>
      <w:bookmarkStart w:id="272" w:name="_Toc2882"/>
      <w:bookmarkStart w:id="273" w:name="_Toc6822"/>
      <w:bookmarkStart w:id="274" w:name="_Toc22638"/>
      <w:bookmarkStart w:id="275" w:name="_Toc32450"/>
      <w:r>
        <w:rPr>
          <w:rFonts w:hint="eastAsia" w:ascii="仿宋" w:hAnsi="仿宋" w:eastAsia="仿宋" w:cs="仿宋"/>
          <w:b/>
          <w:sz w:val="24"/>
          <w:szCs w:val="24"/>
          <w:lang w:val="zh-CN"/>
        </w:rPr>
        <w:t>十、废标或者采购方式的变更</w:t>
      </w:r>
      <w:bookmarkEnd w:id="267"/>
      <w:bookmarkEnd w:id="268"/>
      <w:bookmarkEnd w:id="269"/>
      <w:bookmarkEnd w:id="270"/>
      <w:bookmarkEnd w:id="271"/>
      <w:bookmarkEnd w:id="272"/>
      <w:bookmarkEnd w:id="273"/>
      <w:bookmarkEnd w:id="274"/>
      <w:bookmarkEnd w:id="275"/>
    </w:p>
    <w:p>
      <w:pPr>
        <w:autoSpaceDE w:val="0"/>
        <w:autoSpaceDN w:val="0"/>
        <w:adjustRightInd w:val="0"/>
        <w:spacing w:line="360" w:lineRule="auto"/>
        <w:ind w:firstLine="645"/>
        <w:outlineLvl w:val="2"/>
        <w:rPr>
          <w:rFonts w:ascii="仿宋" w:hAnsi="仿宋" w:eastAsia="仿宋" w:cs="仿宋"/>
          <w:sz w:val="24"/>
          <w:szCs w:val="24"/>
          <w:lang w:val="zh-CN"/>
        </w:rPr>
      </w:pPr>
      <w:bookmarkStart w:id="276" w:name="_Toc26912"/>
      <w:bookmarkStart w:id="277" w:name="_Toc12765"/>
      <w:bookmarkStart w:id="278" w:name="_Toc18276"/>
      <w:bookmarkStart w:id="279" w:name="_Toc19867"/>
      <w:bookmarkStart w:id="280" w:name="_Toc19552"/>
      <w:bookmarkStart w:id="281" w:name="_Toc16112"/>
      <w:r>
        <w:rPr>
          <w:rFonts w:hint="eastAsia" w:ascii="仿宋" w:hAnsi="仿宋" w:eastAsia="仿宋" w:cs="仿宋"/>
          <w:sz w:val="24"/>
          <w:szCs w:val="24"/>
          <w:lang w:val="zh-CN"/>
        </w:rPr>
        <w:t>（一）废标</w:t>
      </w:r>
      <w:bookmarkEnd w:id="276"/>
      <w:bookmarkEnd w:id="277"/>
      <w:bookmarkEnd w:id="278"/>
      <w:bookmarkEnd w:id="279"/>
      <w:bookmarkEnd w:id="280"/>
      <w:bookmarkEnd w:id="281"/>
    </w:p>
    <w:p>
      <w:pPr>
        <w:autoSpaceDE w:val="0"/>
        <w:autoSpaceDN w:val="0"/>
        <w:adjustRightIn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在招标过程中，提交投标文件或者通过资格审查或符合性审查的投标人只有1家时，按废标处理，重新开展采购活动。</w:t>
      </w:r>
    </w:p>
    <w:p>
      <w:pPr>
        <w:autoSpaceDE w:val="0"/>
        <w:autoSpaceDN w:val="0"/>
        <w:adjustRightInd w:val="0"/>
        <w:spacing w:line="360" w:lineRule="auto"/>
        <w:ind w:firstLine="645"/>
        <w:outlineLvl w:val="2"/>
        <w:rPr>
          <w:rFonts w:ascii="仿宋" w:hAnsi="仿宋" w:eastAsia="仿宋" w:cs="仿宋"/>
          <w:sz w:val="24"/>
          <w:szCs w:val="24"/>
          <w:lang w:val="zh-CN"/>
        </w:rPr>
      </w:pPr>
      <w:bookmarkStart w:id="282" w:name="_Toc4528"/>
      <w:bookmarkStart w:id="283" w:name="_Toc10147"/>
      <w:bookmarkStart w:id="284" w:name="_Toc2717"/>
      <w:bookmarkStart w:id="285" w:name="_Toc20612"/>
      <w:bookmarkStart w:id="286" w:name="_Toc27818"/>
      <w:bookmarkStart w:id="287" w:name="_Toc25928"/>
      <w:r>
        <w:rPr>
          <w:rFonts w:hint="eastAsia" w:ascii="仿宋" w:hAnsi="仿宋" w:eastAsia="仿宋" w:cs="仿宋"/>
          <w:sz w:val="24"/>
          <w:szCs w:val="24"/>
          <w:lang w:val="zh-CN"/>
        </w:rPr>
        <w:t>（二）采购方式的变更</w:t>
      </w:r>
      <w:bookmarkEnd w:id="282"/>
      <w:bookmarkEnd w:id="283"/>
      <w:bookmarkEnd w:id="284"/>
      <w:bookmarkEnd w:id="285"/>
      <w:bookmarkEnd w:id="286"/>
      <w:bookmarkEnd w:id="287"/>
    </w:p>
    <w:p>
      <w:pPr>
        <w:autoSpaceDE w:val="0"/>
        <w:autoSpaceDN w:val="0"/>
        <w:adjustRightIn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根据《政府采购货物和服务招标投标管理办法》第四十三条，公开招标的货物、服务类项目，投标截止后投标人不足三家或者通过资格审查或符合性审查的投标人不足三家的，除采购任务取消情形外，按照以下方式处理：</w:t>
      </w:r>
    </w:p>
    <w:p>
      <w:pPr>
        <w:autoSpaceDE w:val="0"/>
        <w:autoSpaceDN w:val="0"/>
        <w:adjustRightIn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1.招标文件存在不合理条款或者招标程序不符合规定的，采购人、采购代理机构改正后依法重新招标；</w:t>
      </w:r>
    </w:p>
    <w:p>
      <w:pPr>
        <w:autoSpaceDE w:val="0"/>
        <w:autoSpaceDN w:val="0"/>
        <w:adjustRightIn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2.招标文件没有不合理条款、招标程序符合规定，需要采用其他采购方式采购的，采购人应当依法报财政部门批准：</w:t>
      </w:r>
    </w:p>
    <w:p>
      <w:pPr>
        <w:autoSpaceDE w:val="0"/>
        <w:autoSpaceDN w:val="0"/>
        <w:adjustRightIn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①在招标过程中，提交投标文件或者通过资格审查或符合性审查的投标人只有2家时，根据2013年第74号部长令--《政府采购非招标采购方式管理办法》第二十七条和陕西省财政厅陕财办采资（2016）53号文件第七条的规定，经采购人书面请示政府采购管理机构同意后，可以现场转为竞争性谈判继续采购。</w:t>
      </w:r>
    </w:p>
    <w:p>
      <w:pPr>
        <w:autoSpaceDE w:val="0"/>
        <w:autoSpaceDN w:val="0"/>
        <w:adjustRightIn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②如果转为竞争性谈判方式，则原招标文件转为竞争性谈判文件，原投标人即为报价人，原投标文件报价作为竞争性谈判的第一次报价，评审方法按照竞争性谈判的评审原则，在质量和服务均能满足招标文件实质性要求的基础上，按照最后报价由低到高的顺序，确定成交候选人。</w:t>
      </w:r>
    </w:p>
    <w:p>
      <w:pPr>
        <w:autoSpaceDE w:val="0"/>
        <w:autoSpaceDN w:val="0"/>
        <w:adjustRightInd w:val="0"/>
        <w:snapToGrid w:val="0"/>
        <w:spacing w:line="360" w:lineRule="auto"/>
        <w:ind w:firstLine="482" w:firstLineChars="200"/>
        <w:outlineLvl w:val="1"/>
        <w:rPr>
          <w:rFonts w:ascii="仿宋" w:hAnsi="仿宋" w:eastAsia="仿宋" w:cs="仿宋"/>
          <w:b/>
          <w:sz w:val="24"/>
          <w:szCs w:val="24"/>
          <w:lang w:val="zh-CN"/>
        </w:rPr>
      </w:pPr>
      <w:bookmarkStart w:id="288" w:name="_Toc21416"/>
      <w:bookmarkStart w:id="289" w:name="_Toc19640"/>
      <w:bookmarkStart w:id="290" w:name="_Toc12871"/>
      <w:bookmarkStart w:id="291" w:name="_Toc5653"/>
      <w:bookmarkStart w:id="292" w:name="_Toc22403"/>
      <w:bookmarkStart w:id="293" w:name="_Toc29960"/>
      <w:bookmarkStart w:id="294" w:name="_Toc495671239"/>
      <w:bookmarkStart w:id="295" w:name="_Toc16329"/>
      <w:bookmarkStart w:id="296" w:name="_Toc206"/>
      <w:bookmarkStart w:id="297" w:name="_Toc24794"/>
      <w:r>
        <w:rPr>
          <w:rFonts w:hint="eastAsia" w:ascii="仿宋" w:hAnsi="仿宋" w:eastAsia="仿宋" w:cs="仿宋"/>
          <w:b/>
          <w:sz w:val="24"/>
          <w:szCs w:val="24"/>
          <w:lang w:val="zh-CN"/>
        </w:rPr>
        <w:t>十一、需要落实的政府采购政策</w:t>
      </w:r>
      <w:bookmarkEnd w:id="288"/>
      <w:bookmarkEnd w:id="289"/>
      <w:bookmarkEnd w:id="290"/>
      <w:bookmarkEnd w:id="291"/>
      <w:bookmarkEnd w:id="292"/>
      <w:bookmarkEnd w:id="293"/>
      <w:bookmarkEnd w:id="294"/>
      <w:bookmarkEnd w:id="295"/>
      <w:bookmarkEnd w:id="296"/>
      <w:bookmarkEnd w:id="297"/>
    </w:p>
    <w:p>
      <w:pPr>
        <w:snapToGrid w:val="0"/>
        <w:spacing w:line="360" w:lineRule="auto"/>
        <w:ind w:firstLine="480" w:firstLineChars="200"/>
        <w:rPr>
          <w:rFonts w:ascii="仿宋" w:hAnsi="仿宋" w:eastAsia="仿宋" w:cs="仿宋"/>
          <w:sz w:val="24"/>
          <w:szCs w:val="24"/>
        </w:rPr>
      </w:pPr>
      <w:bookmarkStart w:id="298" w:name="_Toc26022"/>
      <w:bookmarkStart w:id="299" w:name="_Toc5903"/>
      <w:bookmarkStart w:id="300" w:name="_Toc31691"/>
      <w:bookmarkStart w:id="301" w:name="_Toc19879"/>
      <w:bookmarkStart w:id="302" w:name="_Toc13861"/>
      <w:bookmarkStart w:id="303" w:name="_Toc6204"/>
      <w:bookmarkStart w:id="304" w:name="_Toc19661"/>
      <w:r>
        <w:rPr>
          <w:rFonts w:hint="eastAsia" w:ascii="仿宋" w:hAnsi="仿宋" w:eastAsia="仿宋" w:cs="仿宋"/>
          <w:sz w:val="24"/>
          <w:szCs w:val="24"/>
        </w:rPr>
        <w:t>（一）落实促进支持中小企业、监狱企业、残疾人福利性单位发展、脱贫攻坚工作的政策(如为专门面向中小企业的采购项目（或采购包），不执行1、2、3条款。)</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1、《政府采购促进中小企业发展管理办法》（财库〔2020〕46号）及《关于进一步加大政府采购支持中小企业力度的通知》（财库〔2022〕19号）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在政府采购活动中，供应商提供的货物、工程或者服务符合下列情形的，享受《办法》规定的中小企业扶持政策:</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(1)在货物采购项目中，货物由中小企业制造，即货物由中小企业生产且使用该中小企业商号或者注册商标；</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(2)在工程采购项目中，工程由中小企业承建，即工程施工单位为中小企业；</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(3)在服务采购项目中，服务由中小企业承接，即提供服务的人员为中小企业依照《中华人民共和国劳动合同法》订立劳动合同的从业人员。</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在货物采购项目中，供应商提供的货物既有中小企业制造货物，也有大型企业制造货物的，不享受《办法》规定的中小企业扶持政策。</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以联合体形式参加政府采购活动，联合体各方均为中小企业的，联合体视同中小企业。其中，联合体各方均为小微企业的，联合体视同小微企业。</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依据《办法》规定享受扶持政策获得政府采购合同的，小微企业不得将合同分包给大中型企业，中型企业不得将合同分包给大型企业。</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根据《政府采购促进中小企业发展管理办法》的通知（财库〔2020〕46号）规定，参加政府采购活动的中小企业应当提供《中小企业声明函》。供应商提供的《中小企业声明函》原件必须真实，否则，按照有关规定予以处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根据《政府采购促进中小企业发展管理办法》及《西安市财政局关于进一步加大政府采购支持中小企业力度的通知》市财函〔2022〕867号的相关规定，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2、《财政部 司法部关于政府采购支持监狱企业发展有关问题的通知》（财库〔2014〕68号）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监狱企业参加政府采购活动时，应当提供由省级以上监狱管理局、戒毒管理局（含新疆生产建设兵团）出具的属于监狱企业的证明文件。在政府采购活动中，监狱企业视同小型、微型企业。</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3、《三部门联合发布关于促进残疾人就业政府采购政策的通知》（财库〔2017〕141号）；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符合条件的残疾人福利性单位在参加政府采购活动时，应当提供本通知规定的《残疾人福利性单位声明函》，并对声明的真实性负责。在政府采购活动中，残疾人福利性单位视同小型、微型企业，享受预留份额。</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（二）落实优先采购节能、环保产品的政策</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1、《财政部 司法部关于政府采购支持监狱企业发展有关问题的通知》（财库〔2014〕68号）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监狱企业参加政府采购活动时，应当提供由省级以上监狱管理局、戒毒管理局（含新疆生产建设兵团）出具的属于监狱企业的证明文件。在政府采购活动中，监狱企业视同小型、微型企业。</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2、《三部门联合发布关于促进残疾人就业政府采购政策的通知》（财库〔2017〕141号）；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符合条件的残疾人福利性单位在参加政府采购活动时，应当提供本通知规定的《残疾人福利性单位声明函》，并对声明的真实性负责。在政府采购活动中，残疾人福利性单位视同小型、微型企业，享受预留份额。</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所有投标产品进入“节能产品政府采购品目清单”的，应提供相关证书复印件，相关证书的颁发机构应来自《参与实施政府采购节能产品认证机构名录》。</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所有投标产品进入“环境标志产品政府采购品目清单”的，应提供相关证书复印件，相关证书的颁发机构应来自《参与实施政府采购环境标志产品认证机构名录》。</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（三）政府采购信用融资政策</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为了支持和促进中小企业发展，进一步发挥政府采购政策功能作用，有效缓解中小企业融资难、融资贵问题，根据陕西省财政厅关于印发《陕西省中小企业政府采购信用融资办法》陕财办采〔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（四）陕西省中小企业政府采购信用担保政策</w:t>
      </w:r>
    </w:p>
    <w:p>
      <w:pPr>
        <w:snapToGrid w:val="0"/>
        <w:spacing w:line="360" w:lineRule="auto"/>
        <w:ind w:firstLine="480" w:firstLineChars="200"/>
      </w:pPr>
      <w:r>
        <w:rPr>
          <w:rFonts w:hint="eastAsia" w:ascii="仿宋" w:hAnsi="仿宋" w:eastAsia="仿宋" w:cs="仿宋"/>
          <w:sz w:val="24"/>
          <w:szCs w:val="24"/>
        </w:rPr>
        <w:t>如属于政府采购信用担保范围内，中小型企业供应商可以自由按照财政部门的规定，采用履约担保和融资担保。</w:t>
      </w:r>
    </w:p>
    <w:p>
      <w:pPr>
        <w:autoSpaceDE w:val="0"/>
        <w:autoSpaceDN w:val="0"/>
        <w:adjustRightInd w:val="0"/>
        <w:snapToGrid w:val="0"/>
        <w:spacing w:line="360" w:lineRule="auto"/>
        <w:ind w:firstLine="482" w:firstLineChars="200"/>
        <w:outlineLvl w:val="1"/>
        <w:rPr>
          <w:rFonts w:ascii="仿宋" w:hAnsi="仿宋" w:eastAsia="仿宋" w:cs="仿宋"/>
          <w:b/>
          <w:sz w:val="24"/>
          <w:szCs w:val="24"/>
          <w:lang w:val="zh-CN"/>
        </w:rPr>
      </w:pPr>
      <w:bookmarkStart w:id="305" w:name="_Toc3946"/>
      <w:bookmarkStart w:id="306" w:name="_Toc31587"/>
      <w:bookmarkStart w:id="307" w:name="_Toc18874"/>
      <w:r>
        <w:rPr>
          <w:rFonts w:hint="eastAsia" w:ascii="仿宋" w:hAnsi="仿宋" w:eastAsia="仿宋" w:cs="仿宋"/>
          <w:b/>
          <w:sz w:val="24"/>
          <w:szCs w:val="24"/>
          <w:lang w:val="zh-CN"/>
        </w:rPr>
        <w:t>十二、质疑与投诉</w:t>
      </w:r>
      <w:bookmarkEnd w:id="298"/>
      <w:bookmarkEnd w:id="299"/>
      <w:bookmarkEnd w:id="300"/>
      <w:bookmarkEnd w:id="301"/>
      <w:bookmarkEnd w:id="302"/>
      <w:bookmarkEnd w:id="303"/>
      <w:bookmarkEnd w:id="304"/>
      <w:bookmarkEnd w:id="305"/>
      <w:bookmarkEnd w:id="306"/>
      <w:bookmarkEnd w:id="307"/>
    </w:p>
    <w:p>
      <w:pPr>
        <w:autoSpaceDE w:val="0"/>
        <w:autoSpaceDN w:val="0"/>
        <w:adjustRightInd w:val="0"/>
        <w:snapToGrid w:val="0"/>
        <w:spacing w:line="360" w:lineRule="auto"/>
        <w:ind w:firstLine="480" w:firstLineChars="200"/>
        <w:outlineLvl w:val="2"/>
        <w:rPr>
          <w:rFonts w:ascii="仿宋" w:hAnsi="仿宋" w:eastAsia="仿宋" w:cs="仿宋"/>
          <w:bCs/>
          <w:sz w:val="24"/>
          <w:szCs w:val="24"/>
          <w:lang w:val="zh-CN"/>
        </w:rPr>
      </w:pPr>
      <w:bookmarkStart w:id="308" w:name="_Toc5806"/>
      <w:bookmarkStart w:id="309" w:name="_Toc18238"/>
      <w:bookmarkStart w:id="310" w:name="_Toc14661"/>
      <w:bookmarkStart w:id="311" w:name="_Toc8990"/>
      <w:bookmarkStart w:id="312" w:name="_Toc6521"/>
      <w:bookmarkStart w:id="313" w:name="_Toc23643"/>
      <w:bookmarkStart w:id="314" w:name="_Toc6295"/>
      <w:bookmarkStart w:id="315" w:name="_Toc31018"/>
      <w:r>
        <w:rPr>
          <w:rFonts w:hint="eastAsia" w:ascii="仿宋" w:hAnsi="仿宋" w:eastAsia="仿宋" w:cs="仿宋"/>
          <w:bCs/>
          <w:sz w:val="24"/>
          <w:szCs w:val="24"/>
          <w:lang w:val="zh-CN"/>
        </w:rPr>
        <w:t>（一）质疑</w:t>
      </w:r>
      <w:bookmarkEnd w:id="308"/>
      <w:bookmarkEnd w:id="309"/>
      <w:bookmarkEnd w:id="310"/>
      <w:bookmarkEnd w:id="311"/>
      <w:bookmarkEnd w:id="312"/>
      <w:bookmarkEnd w:id="313"/>
      <w:bookmarkEnd w:id="314"/>
      <w:bookmarkEnd w:id="315"/>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1、供应商认为招标文件、招标过程或中标结果使自身的合法权益受到损害，可以在法定期限内，以书面形式向采购代理机构或采购人提出质疑。</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（1）提出质疑应当提交质疑函和必要的证明材料，质疑函应当包括以下主要内容：</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 xml:space="preserve">①供应商的姓名或者名称、地址、邮编、联系人及联系电话；②质疑项目的名称、编号；③具体、明确的质疑事项和与质疑事项相关的请求；④事实依据；⑤必要的法律依据；⑥提出质疑的日期。 </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（2）质疑函应当由法定代表人签字并加盖公章，公章不得以合同章或其他印章代替。</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（3）质疑人可以委托代理人办理质疑事项，代理人办理质疑事项时，除提交质疑函外，还应当提交法人授权委托书及代理人的有效身份证明，授权委托书应当载明委托代理的具体权限和事项。</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（4）有下列情形之一的，属于无效质疑：</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①质疑人不是参与本次政府采购项目的供应商或潜在供应商；</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②质疑人与质疑事项不存在利害关系的；</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③未在法定期限内提出质疑的；</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④质疑未以书面形式提出，或质疑函主要内容构成不完整的；</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⑤质疑函没有合法有效的签字、盖章或授权的；</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⑥以非法手段取得证据、材料的；</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⑦质疑答复后，同一质疑人就同一事项再次提出质疑的；</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⑧不符合法律、法规、规章和政府采购监管机构规定的其他条件的。</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2、符合要求的质疑，采购代理机构将予以受理并答复，具体联系方式如下：</w:t>
      </w:r>
    </w:p>
    <w:p>
      <w:pPr>
        <w:autoSpaceDE w:val="0"/>
        <w:autoSpaceDN w:val="0"/>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lang w:val="zh-CN"/>
        </w:rPr>
        <w:t>联系人：李纪旋、张亚娜、</w:t>
      </w:r>
      <w:r>
        <w:rPr>
          <w:rFonts w:hint="eastAsia" w:ascii="仿宋" w:hAnsi="仿宋" w:eastAsia="仿宋" w:cs="仿宋"/>
          <w:bCs/>
          <w:sz w:val="24"/>
          <w:szCs w:val="24"/>
        </w:rPr>
        <w:t>贺培文</w:t>
      </w:r>
    </w:p>
    <w:p>
      <w:pPr>
        <w:autoSpaceDE w:val="0"/>
        <w:autoSpaceDN w:val="0"/>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lang w:val="zh-CN"/>
        </w:rPr>
        <w:t>联系电话</w:t>
      </w:r>
      <w:r>
        <w:rPr>
          <w:rFonts w:hint="eastAsia" w:ascii="仿宋" w:hAnsi="仿宋" w:eastAsia="仿宋" w:cs="仿宋"/>
          <w:bCs/>
          <w:sz w:val="24"/>
          <w:szCs w:val="24"/>
        </w:rPr>
        <w:t>：029-86253389</w:t>
      </w:r>
    </w:p>
    <w:p>
      <w:pPr>
        <w:autoSpaceDE w:val="0"/>
        <w:autoSpaceDN w:val="0"/>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邮箱：2059407584@qq.com</w:t>
      </w:r>
    </w:p>
    <w:p>
      <w:pPr>
        <w:autoSpaceDE w:val="0"/>
        <w:autoSpaceDN w:val="0"/>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lang w:val="zh-CN"/>
        </w:rPr>
        <w:t>地址</w:t>
      </w:r>
      <w:r>
        <w:rPr>
          <w:rFonts w:hint="eastAsia" w:ascii="仿宋" w:hAnsi="仿宋" w:eastAsia="仿宋" w:cs="仿宋"/>
          <w:bCs/>
          <w:sz w:val="24"/>
          <w:szCs w:val="24"/>
        </w:rPr>
        <w:t>：</w:t>
      </w:r>
      <w:r>
        <w:rPr>
          <w:rFonts w:hint="eastAsia" w:ascii="仿宋" w:hAnsi="仿宋" w:eastAsia="仿宋" w:cs="仿宋"/>
          <w:bCs/>
          <w:sz w:val="24"/>
          <w:szCs w:val="24"/>
          <w:lang w:val="zh-CN"/>
        </w:rPr>
        <w:t>西安市经济技术开发区凤城十一路与文景路十字文景商务广场</w:t>
      </w:r>
      <w:r>
        <w:rPr>
          <w:rFonts w:hint="eastAsia" w:ascii="仿宋" w:hAnsi="仿宋" w:eastAsia="仿宋" w:cs="仿宋"/>
          <w:bCs/>
          <w:sz w:val="24"/>
          <w:szCs w:val="24"/>
        </w:rPr>
        <w:t>B</w:t>
      </w:r>
      <w:r>
        <w:rPr>
          <w:rFonts w:hint="eastAsia" w:ascii="仿宋" w:hAnsi="仿宋" w:eastAsia="仿宋" w:cs="仿宋"/>
          <w:bCs/>
          <w:sz w:val="24"/>
          <w:szCs w:val="24"/>
          <w:lang w:val="zh-CN"/>
        </w:rPr>
        <w:t>座</w:t>
      </w:r>
      <w:r>
        <w:rPr>
          <w:rFonts w:hint="eastAsia" w:ascii="仿宋" w:hAnsi="仿宋" w:eastAsia="仿宋" w:cs="仿宋"/>
          <w:bCs/>
          <w:sz w:val="24"/>
          <w:szCs w:val="24"/>
        </w:rPr>
        <w:t>8</w:t>
      </w:r>
      <w:r>
        <w:rPr>
          <w:rFonts w:hint="eastAsia" w:ascii="仿宋" w:hAnsi="仿宋" w:eastAsia="仿宋" w:cs="仿宋"/>
          <w:bCs/>
          <w:sz w:val="24"/>
          <w:szCs w:val="24"/>
          <w:lang w:val="zh-CN"/>
        </w:rPr>
        <w:t>层陕西笃信招标有限公司</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采购代理机构或采购人将在收到书面质疑后7个工作日内做出答复，并以书面形式通知质疑人和其他有关供应商。</w:t>
      </w:r>
    </w:p>
    <w:p>
      <w:pPr>
        <w:autoSpaceDE w:val="0"/>
        <w:autoSpaceDN w:val="0"/>
        <w:adjustRightInd w:val="0"/>
        <w:snapToGrid w:val="0"/>
        <w:spacing w:line="360" w:lineRule="auto"/>
        <w:ind w:firstLine="480" w:firstLineChars="200"/>
        <w:outlineLvl w:val="2"/>
        <w:rPr>
          <w:rFonts w:ascii="仿宋" w:hAnsi="仿宋" w:eastAsia="仿宋" w:cs="仿宋"/>
          <w:bCs/>
          <w:sz w:val="24"/>
          <w:szCs w:val="24"/>
          <w:lang w:val="zh-CN"/>
        </w:rPr>
      </w:pPr>
      <w:bookmarkStart w:id="316" w:name="_Toc17782"/>
      <w:bookmarkStart w:id="317" w:name="_Toc5958"/>
      <w:bookmarkStart w:id="318" w:name="_Toc32713"/>
      <w:bookmarkStart w:id="319" w:name="_Toc25935"/>
      <w:bookmarkStart w:id="320" w:name="_Toc26510"/>
      <w:bookmarkStart w:id="321" w:name="_Toc27095"/>
      <w:bookmarkStart w:id="322" w:name="_Toc3468"/>
      <w:bookmarkStart w:id="323" w:name="_Toc11431"/>
      <w:r>
        <w:rPr>
          <w:rFonts w:hint="eastAsia" w:ascii="仿宋" w:hAnsi="仿宋" w:eastAsia="仿宋" w:cs="仿宋"/>
          <w:bCs/>
          <w:sz w:val="24"/>
          <w:szCs w:val="24"/>
          <w:lang w:val="zh-CN"/>
        </w:rPr>
        <w:t>（二）投诉</w:t>
      </w:r>
      <w:bookmarkEnd w:id="316"/>
      <w:bookmarkEnd w:id="317"/>
      <w:bookmarkEnd w:id="318"/>
      <w:bookmarkEnd w:id="319"/>
      <w:bookmarkEnd w:id="320"/>
      <w:bookmarkEnd w:id="321"/>
      <w:bookmarkEnd w:id="322"/>
      <w:bookmarkEnd w:id="323"/>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1、质疑人对采购代理机构或采购人的答复不满意，以及采购代理机构或采购人未在规定时间内做出答复的，可以在答复期满后15个工作日内向政府采购监管机构提出投诉。</w:t>
      </w:r>
    </w:p>
    <w:p>
      <w:pPr>
        <w:autoSpaceDE w:val="0"/>
        <w:autoSpaceDN w:val="0"/>
        <w:adjustRightInd w:val="0"/>
        <w:snapToGrid w:val="0"/>
        <w:spacing w:line="360" w:lineRule="auto"/>
        <w:ind w:firstLine="480" w:firstLineChars="200"/>
        <w:rPr>
          <w:rFonts w:ascii="仿宋" w:hAnsi="仿宋" w:eastAsia="仿宋" w:cs="仿宋"/>
          <w:lang w:val="zh-CN"/>
        </w:rPr>
      </w:pPr>
      <w:r>
        <w:rPr>
          <w:rFonts w:hint="eastAsia" w:ascii="仿宋" w:hAnsi="仿宋" w:eastAsia="仿宋" w:cs="仿宋"/>
          <w:bCs/>
          <w:sz w:val="24"/>
          <w:szCs w:val="24"/>
          <w:lang w:val="zh-CN"/>
        </w:rPr>
        <w:t>2、投诉的事项不得超出已质疑事项的范围。</w:t>
      </w:r>
    </w:p>
    <w:p>
      <w:pPr>
        <w:pStyle w:val="3"/>
        <w:keepNext w:val="0"/>
        <w:pageBreakBefore/>
        <w:rPr>
          <w:rFonts w:ascii="仿宋" w:hAnsi="仿宋" w:eastAsia="仿宋" w:cs="仿宋"/>
          <w:sz w:val="32"/>
          <w:szCs w:val="32"/>
          <w:lang w:val="zh-CN"/>
        </w:rPr>
      </w:pPr>
      <w:bookmarkStart w:id="324" w:name="_Toc21287"/>
      <w:bookmarkStart w:id="325" w:name="_Toc17824"/>
      <w:bookmarkStart w:id="326" w:name="_Toc2506"/>
      <w:bookmarkStart w:id="327" w:name="_Toc475451545"/>
      <w:bookmarkStart w:id="328" w:name="_Toc32356"/>
      <w:bookmarkStart w:id="329" w:name="_Toc10487"/>
      <w:bookmarkStart w:id="330" w:name="_Toc92"/>
      <w:bookmarkStart w:id="331" w:name="_Toc19653"/>
      <w:bookmarkStart w:id="332" w:name="_Toc16390"/>
      <w:r>
        <w:rPr>
          <w:rFonts w:hint="eastAsia" w:ascii="仿宋" w:hAnsi="仿宋" w:eastAsia="仿宋" w:cs="仿宋"/>
          <w:sz w:val="32"/>
          <w:szCs w:val="32"/>
        </w:rPr>
        <w:t xml:space="preserve">第三部分  </w:t>
      </w:r>
      <w:r>
        <w:rPr>
          <w:rFonts w:hint="eastAsia" w:ascii="仿宋" w:hAnsi="仿宋" w:eastAsia="仿宋" w:cs="仿宋"/>
          <w:sz w:val="32"/>
          <w:szCs w:val="32"/>
          <w:lang w:val="zh-CN"/>
        </w:rPr>
        <w:t>招标内容及要求</w:t>
      </w:r>
      <w:bookmarkEnd w:id="324"/>
      <w:bookmarkEnd w:id="325"/>
      <w:bookmarkEnd w:id="326"/>
      <w:bookmarkEnd w:id="327"/>
      <w:bookmarkEnd w:id="328"/>
      <w:bookmarkEnd w:id="329"/>
      <w:bookmarkEnd w:id="330"/>
      <w:bookmarkEnd w:id="331"/>
      <w:bookmarkEnd w:id="332"/>
      <w:bookmarkStart w:id="333" w:name="_Toc19419"/>
      <w:bookmarkStart w:id="334" w:name="_Toc1259"/>
      <w:bookmarkStart w:id="335" w:name="_Toc26503"/>
      <w:bookmarkStart w:id="336" w:name="_Toc17704"/>
      <w:bookmarkStart w:id="337" w:name="_Toc11943"/>
      <w:bookmarkStart w:id="338" w:name="_Toc475451546"/>
      <w:bookmarkStart w:id="339" w:name="_Toc9677"/>
      <w:bookmarkStart w:id="340" w:name="_Toc20520"/>
    </w:p>
    <w:p>
      <w:pPr>
        <w:numPr>
          <w:ilvl w:val="1"/>
          <w:numId w:val="2"/>
        </w:numPr>
        <w:spacing w:line="276" w:lineRule="auto"/>
        <w:ind w:left="777" w:hanging="567"/>
        <w:rPr>
          <w:rFonts w:ascii="楷体" w:hAnsi="楷体" w:eastAsia="楷体" w:cs="楷体"/>
          <w:b/>
          <w:sz w:val="28"/>
          <w:szCs w:val="28"/>
        </w:rPr>
      </w:pPr>
      <w:r>
        <w:rPr>
          <w:rFonts w:hint="eastAsia" w:ascii="楷体" w:hAnsi="楷体" w:eastAsia="楷体" w:cs="楷体"/>
          <w:b/>
          <w:sz w:val="28"/>
          <w:szCs w:val="28"/>
        </w:rPr>
        <w:t>采购需求</w:t>
      </w:r>
    </w:p>
    <w:p>
      <w:pPr>
        <w:pStyle w:val="59"/>
        <w:spacing w:line="400" w:lineRule="exact"/>
        <w:ind w:left="422" w:firstLine="0" w:firstLineChars="0"/>
      </w:pPr>
      <w:r>
        <w:rPr>
          <w:rFonts w:hint="eastAsia"/>
        </w:rPr>
        <w:t>（1）全院级pacs系统，满足放射、超声、内镜、病理、心脑电等科室图像及报告传输、科室排队叫号、临床调阅、科室排班等功能。</w:t>
      </w:r>
    </w:p>
    <w:p>
      <w:pPr>
        <w:pStyle w:val="59"/>
        <w:spacing w:line="400" w:lineRule="exact"/>
        <w:ind w:left="422" w:firstLine="0" w:firstLineChars="0"/>
      </w:pPr>
      <w:r>
        <w:rPr>
          <w:rFonts w:hint="eastAsia"/>
        </w:rPr>
        <w:t>（2）所投产品的接口免费开放，免费对接医院、县局及县区域平台等系统。</w:t>
      </w:r>
    </w:p>
    <w:p>
      <w:pPr>
        <w:pStyle w:val="59"/>
        <w:spacing w:line="400" w:lineRule="exact"/>
        <w:ind w:left="422" w:firstLine="0" w:firstLineChars="0"/>
      </w:pPr>
      <w:r>
        <w:rPr>
          <w:rFonts w:hint="eastAsia"/>
        </w:rPr>
        <w:t>（3）所投产品的版本必须为公司现有最新及最高版本。（提供印证资料）</w:t>
      </w:r>
    </w:p>
    <w:p>
      <w:pPr>
        <w:pStyle w:val="59"/>
        <w:spacing w:line="400" w:lineRule="exact"/>
        <w:ind w:left="422" w:firstLine="0" w:firstLineChars="0"/>
      </w:pPr>
      <w:r>
        <w:rPr>
          <w:rFonts w:hint="eastAsia"/>
        </w:rPr>
        <w:t>（4）所投产品要求与院内系统高度集成、互联互通，数据统一共享。</w:t>
      </w:r>
    </w:p>
    <w:p>
      <w:pPr>
        <w:pStyle w:val="59"/>
        <w:spacing w:line="400" w:lineRule="exact"/>
        <w:ind w:left="422" w:firstLine="0" w:firstLineChars="0"/>
      </w:pPr>
      <w:r>
        <w:rPr>
          <w:rFonts w:hint="eastAsia"/>
        </w:rPr>
        <w:t>（5）项目验收应满足三级医院评审、电子病历4级，互联互通测试3级相关要求。</w:t>
      </w:r>
    </w:p>
    <w:p>
      <w:pPr>
        <w:pStyle w:val="59"/>
        <w:spacing w:line="400" w:lineRule="exact"/>
        <w:ind w:left="422" w:firstLine="0" w:firstLineChars="0"/>
        <w:rPr>
          <w:rFonts w:ascii="楷体" w:hAnsi="楷体" w:eastAsia="楷体" w:cs="楷体"/>
          <w:b/>
          <w:sz w:val="28"/>
          <w:szCs w:val="28"/>
        </w:rPr>
      </w:pPr>
      <w:r>
        <w:rPr>
          <w:rFonts w:hint="eastAsia"/>
        </w:rPr>
        <w:t>（6）软硬件质保一年。质保期内公司有新版本免费升级。</w:t>
      </w:r>
    </w:p>
    <w:p>
      <w:pPr>
        <w:numPr>
          <w:ilvl w:val="1"/>
          <w:numId w:val="2"/>
        </w:numPr>
        <w:spacing w:line="276" w:lineRule="auto"/>
        <w:ind w:left="777" w:hanging="567"/>
        <w:rPr>
          <w:rFonts w:ascii="楷体" w:hAnsi="楷体" w:eastAsia="楷体" w:cs="楷体"/>
          <w:b/>
          <w:sz w:val="28"/>
          <w:szCs w:val="28"/>
        </w:rPr>
      </w:pPr>
      <w:r>
        <w:rPr>
          <w:rFonts w:hint="eastAsia" w:ascii="楷体" w:hAnsi="楷体" w:eastAsia="楷体" w:cs="楷体"/>
          <w:b/>
          <w:sz w:val="28"/>
          <w:szCs w:val="28"/>
        </w:rPr>
        <w:t>本项目采购清单</w:t>
      </w:r>
    </w:p>
    <w:tbl>
      <w:tblPr>
        <w:tblStyle w:val="23"/>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270"/>
        <w:gridCol w:w="766"/>
        <w:gridCol w:w="4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tcBorders>
              <w:bottom w:val="single" w:color="auto" w:sz="4" w:space="0"/>
            </w:tcBorders>
            <w:vAlign w:val="center"/>
          </w:tcPr>
          <w:p>
            <w:pPr>
              <w:widowControl/>
              <w:jc w:val="center"/>
              <w:rPr>
                <w:rFonts w:ascii="楷体" w:hAnsi="楷体" w:eastAsia="楷体" w:cs="楷体"/>
                <w:b/>
                <w:bCs/>
                <w:kern w:val="0"/>
                <w:sz w:val="24"/>
              </w:rPr>
            </w:pPr>
            <w:r>
              <w:rPr>
                <w:rFonts w:hint="eastAsia" w:ascii="楷体" w:hAnsi="楷体" w:eastAsia="楷体" w:cs="楷体"/>
                <w:b/>
                <w:bCs/>
                <w:kern w:val="0"/>
                <w:sz w:val="24"/>
              </w:rPr>
              <w:t>序号</w:t>
            </w:r>
          </w:p>
        </w:tc>
        <w:tc>
          <w:tcPr>
            <w:tcW w:w="3270" w:type="dxa"/>
            <w:tcBorders>
              <w:bottom w:val="single" w:color="auto" w:sz="4" w:space="0"/>
            </w:tcBorders>
            <w:vAlign w:val="center"/>
          </w:tcPr>
          <w:p>
            <w:pPr>
              <w:widowControl/>
              <w:jc w:val="center"/>
              <w:rPr>
                <w:rFonts w:ascii="楷体" w:hAnsi="楷体" w:eastAsia="楷体" w:cs="楷体"/>
                <w:b/>
                <w:bCs/>
                <w:kern w:val="0"/>
                <w:sz w:val="24"/>
              </w:rPr>
            </w:pPr>
            <w:r>
              <w:rPr>
                <w:rFonts w:hint="eastAsia" w:ascii="楷体" w:hAnsi="楷体" w:eastAsia="楷体" w:cs="楷体"/>
                <w:b/>
                <w:bCs/>
                <w:kern w:val="0"/>
                <w:sz w:val="24"/>
              </w:rPr>
              <w:t>项目</w:t>
            </w:r>
          </w:p>
        </w:tc>
        <w:tc>
          <w:tcPr>
            <w:tcW w:w="766" w:type="dxa"/>
            <w:tcBorders>
              <w:bottom w:val="single" w:color="auto" w:sz="4" w:space="0"/>
            </w:tcBorders>
            <w:vAlign w:val="center"/>
          </w:tcPr>
          <w:p>
            <w:pPr>
              <w:widowControl/>
              <w:jc w:val="center"/>
              <w:rPr>
                <w:rFonts w:ascii="楷体" w:hAnsi="楷体" w:eastAsia="楷体" w:cs="楷体"/>
                <w:b/>
                <w:bCs/>
                <w:kern w:val="0"/>
                <w:sz w:val="24"/>
              </w:rPr>
            </w:pPr>
            <w:r>
              <w:rPr>
                <w:rFonts w:hint="eastAsia" w:ascii="楷体" w:hAnsi="楷体" w:eastAsia="楷体" w:cs="楷体"/>
                <w:b/>
                <w:bCs/>
                <w:kern w:val="0"/>
                <w:sz w:val="24"/>
              </w:rPr>
              <w:t>数量</w:t>
            </w:r>
          </w:p>
        </w:tc>
        <w:tc>
          <w:tcPr>
            <w:tcW w:w="4123" w:type="dxa"/>
            <w:tcBorders>
              <w:bottom w:val="single" w:color="auto" w:sz="4" w:space="0"/>
            </w:tcBorders>
            <w:vAlign w:val="center"/>
          </w:tcPr>
          <w:p>
            <w:pPr>
              <w:widowControl/>
              <w:jc w:val="center"/>
              <w:rPr>
                <w:rFonts w:ascii="楷体" w:hAnsi="楷体" w:eastAsia="楷体" w:cs="楷体"/>
                <w:b/>
                <w:bCs/>
                <w:kern w:val="0"/>
                <w:sz w:val="24"/>
              </w:rPr>
            </w:pPr>
            <w:r>
              <w:rPr>
                <w:rFonts w:hint="eastAsia" w:ascii="楷体" w:hAnsi="楷体" w:eastAsia="楷体" w:cs="楷体"/>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tcBorders>
              <w:bottom w:val="single" w:color="auto" w:sz="4" w:space="0"/>
            </w:tcBorders>
            <w:vAlign w:val="center"/>
          </w:tcPr>
          <w:p>
            <w:pPr>
              <w:widowControl/>
              <w:jc w:val="center"/>
              <w:rPr>
                <w:rFonts w:ascii="楷体" w:hAnsi="楷体" w:eastAsia="楷体" w:cs="楷体"/>
                <w:b/>
                <w:bCs/>
                <w:kern w:val="0"/>
                <w:sz w:val="24"/>
              </w:rPr>
            </w:pPr>
            <w:r>
              <w:rPr>
                <w:rFonts w:hint="eastAsia" w:ascii="楷体" w:hAnsi="楷体" w:eastAsia="楷体" w:cs="楷体"/>
                <w:b/>
                <w:bCs/>
                <w:kern w:val="0"/>
                <w:sz w:val="24"/>
              </w:rPr>
              <w:t>（一）</w:t>
            </w:r>
          </w:p>
        </w:tc>
        <w:tc>
          <w:tcPr>
            <w:tcW w:w="8159" w:type="dxa"/>
            <w:gridSpan w:val="3"/>
            <w:tcBorders>
              <w:bottom w:val="single" w:color="auto" w:sz="4" w:space="0"/>
            </w:tcBorders>
            <w:vAlign w:val="center"/>
          </w:tcPr>
          <w:p>
            <w:pPr>
              <w:widowControl/>
              <w:rPr>
                <w:rFonts w:ascii="楷体" w:hAnsi="楷体" w:eastAsia="楷体" w:cs="楷体"/>
                <w:b/>
                <w:bCs/>
                <w:color w:val="000000"/>
                <w:kern w:val="0"/>
                <w:sz w:val="24"/>
              </w:rPr>
            </w:pPr>
            <w:r>
              <w:rPr>
                <w:rFonts w:hint="eastAsia" w:ascii="楷体" w:hAnsi="楷体" w:eastAsia="楷体" w:cs="楷体"/>
                <w:b/>
                <w:bCs/>
                <w:kern w:val="0"/>
                <w:sz w:val="24"/>
              </w:rPr>
              <w:t>全院PACS系统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08" w:type="dxa"/>
            <w:gridSpan w:val="2"/>
            <w:vAlign w:val="center"/>
          </w:tcPr>
          <w:p>
            <w:pPr>
              <w:widowControl/>
              <w:rPr>
                <w:rFonts w:ascii="楷体" w:hAnsi="楷体" w:eastAsia="楷体" w:cs="楷体"/>
                <w:b/>
                <w:bCs/>
                <w:kern w:val="0"/>
                <w:sz w:val="22"/>
                <w:szCs w:val="22"/>
              </w:rPr>
            </w:pPr>
            <w:r>
              <w:rPr>
                <w:rFonts w:hint="eastAsia" w:ascii="楷体" w:hAnsi="楷体" w:eastAsia="楷体" w:cs="楷体"/>
                <w:b/>
                <w:bCs/>
                <w:kern w:val="0"/>
                <w:sz w:val="22"/>
                <w:szCs w:val="22"/>
              </w:rPr>
              <w:t>一、放射科</w:t>
            </w:r>
          </w:p>
        </w:tc>
        <w:tc>
          <w:tcPr>
            <w:tcW w:w="766" w:type="dxa"/>
            <w:vAlign w:val="center"/>
          </w:tcPr>
          <w:p>
            <w:pPr>
              <w:widowControl/>
              <w:jc w:val="center"/>
              <w:rPr>
                <w:rFonts w:ascii="楷体" w:hAnsi="楷体" w:eastAsia="楷体" w:cs="楷体"/>
                <w:kern w:val="0"/>
                <w:sz w:val="22"/>
                <w:szCs w:val="22"/>
              </w:rPr>
            </w:pPr>
            <w:r>
              <w:rPr>
                <w:rFonts w:hint="eastAsia" w:ascii="楷体" w:hAnsi="楷体" w:eastAsia="楷体" w:cs="楷体"/>
                <w:kern w:val="0"/>
                <w:sz w:val="22"/>
                <w:szCs w:val="22"/>
              </w:rPr>
              <w:t>　</w:t>
            </w:r>
          </w:p>
        </w:tc>
        <w:tc>
          <w:tcPr>
            <w:tcW w:w="4123" w:type="dxa"/>
            <w:vAlign w:val="center"/>
          </w:tcPr>
          <w:p>
            <w:pPr>
              <w:widowControl/>
              <w:jc w:val="left"/>
              <w:rPr>
                <w:rFonts w:ascii="楷体" w:hAnsi="楷体" w:eastAsia="楷体" w:cs="楷体"/>
                <w:kern w:val="0"/>
                <w:sz w:val="22"/>
                <w:szCs w:val="22"/>
              </w:rPr>
            </w:pPr>
            <w:r>
              <w:rPr>
                <w:rFonts w:hint="eastAsia" w:ascii="楷体" w:hAnsi="楷体" w:eastAsia="楷体" w:cs="楷体"/>
                <w:b/>
                <w:bCs/>
                <w:color w:val="000000"/>
                <w:kern w:val="0"/>
                <w:szCs w:val="21"/>
                <w:lang w:bidi="ar"/>
              </w:rPr>
              <w:t>放射影像信息系统软件</w:t>
            </w:r>
            <w:r>
              <w:rPr>
                <w:rFonts w:hint="eastAsia" w:ascii="楷体" w:hAnsi="楷体" w:eastAsia="楷体" w:cs="楷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w:t>
            </w:r>
          </w:p>
        </w:tc>
        <w:tc>
          <w:tcPr>
            <w:tcW w:w="3270"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登记工作站软件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2套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病人登记录入与按需取片管理软件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2</w:t>
            </w:r>
          </w:p>
        </w:tc>
        <w:tc>
          <w:tcPr>
            <w:tcW w:w="3270"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技师检查工作站软件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7套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技师摄片管理和质量控制软件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3</w:t>
            </w:r>
          </w:p>
        </w:tc>
        <w:tc>
          <w:tcPr>
            <w:tcW w:w="3270"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医生诊断报告工作站软件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15套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放射诊断报告和影像处理软件（含：二维影像和常规三维影像处理，如：MPR、CPR、MIP、MinIP、VR）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4</w:t>
            </w:r>
          </w:p>
        </w:tc>
        <w:tc>
          <w:tcPr>
            <w:tcW w:w="3270"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胶片按需打印服务软件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实现现有设备报告和胶片的即时按需打印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5</w:t>
            </w:r>
          </w:p>
        </w:tc>
        <w:tc>
          <w:tcPr>
            <w:tcW w:w="3270"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影像质控管理系统软件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影像质控、报告质控、质控统计管理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6</w:t>
            </w:r>
          </w:p>
        </w:tc>
        <w:tc>
          <w:tcPr>
            <w:tcW w:w="3270"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排班管理系统软件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科室排班管理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7</w:t>
            </w:r>
          </w:p>
        </w:tc>
        <w:tc>
          <w:tcPr>
            <w:tcW w:w="3270"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排队叫号系统软件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放射科排队叫号管理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8</w:t>
            </w:r>
          </w:p>
        </w:tc>
        <w:tc>
          <w:tcPr>
            <w:tcW w:w="3270"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科室管理软件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主任统计管理软件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08" w:type="dxa"/>
            <w:gridSpan w:val="2"/>
            <w:vAlign w:val="center"/>
          </w:tcPr>
          <w:p>
            <w:pPr>
              <w:widowControl/>
              <w:rPr>
                <w:rFonts w:ascii="楷体" w:hAnsi="楷体" w:eastAsia="楷体" w:cs="楷体"/>
                <w:b/>
                <w:bCs/>
                <w:color w:val="000000"/>
                <w:kern w:val="0"/>
                <w:sz w:val="22"/>
                <w:szCs w:val="22"/>
              </w:rPr>
            </w:pPr>
            <w:r>
              <w:rPr>
                <w:rFonts w:hint="eastAsia" w:ascii="楷体" w:hAnsi="楷体" w:eastAsia="楷体" w:cs="楷体"/>
                <w:b/>
                <w:bCs/>
                <w:color w:val="000000"/>
                <w:kern w:val="0"/>
                <w:sz w:val="22"/>
                <w:szCs w:val="22"/>
              </w:rPr>
              <w:t>二、超声科</w:t>
            </w:r>
          </w:p>
        </w:tc>
        <w:tc>
          <w:tcPr>
            <w:tcW w:w="766" w:type="dxa"/>
            <w:vAlign w:val="center"/>
          </w:tcPr>
          <w:p>
            <w:pPr>
              <w:widowControl/>
              <w:jc w:val="center"/>
              <w:rPr>
                <w:rFonts w:ascii="楷体" w:hAnsi="楷体" w:eastAsia="楷体" w:cs="楷体"/>
                <w:color w:val="000000"/>
                <w:kern w:val="0"/>
                <w:sz w:val="22"/>
                <w:szCs w:val="22"/>
              </w:rPr>
            </w:pPr>
            <w:r>
              <w:rPr>
                <w:rFonts w:hint="eastAsia" w:ascii="楷体" w:hAnsi="楷体" w:eastAsia="楷体" w:cs="楷体"/>
                <w:color w:val="000000"/>
                <w:kern w:val="0"/>
                <w:sz w:val="22"/>
                <w:szCs w:val="22"/>
              </w:rPr>
              <w:t>　</w:t>
            </w:r>
          </w:p>
        </w:tc>
        <w:tc>
          <w:tcPr>
            <w:tcW w:w="4123" w:type="dxa"/>
            <w:vAlign w:val="center"/>
          </w:tcPr>
          <w:p>
            <w:pPr>
              <w:widowControl/>
              <w:rPr>
                <w:rFonts w:ascii="楷体" w:hAnsi="楷体" w:eastAsia="楷体" w:cs="楷体"/>
                <w:color w:val="000000"/>
                <w:kern w:val="0"/>
                <w:sz w:val="22"/>
                <w:szCs w:val="22"/>
              </w:rPr>
            </w:pPr>
            <w:r>
              <w:rPr>
                <w:rFonts w:hint="eastAsia" w:ascii="楷体" w:hAnsi="楷体" w:eastAsia="楷体" w:cs="楷体"/>
                <w:b/>
                <w:bCs/>
                <w:color w:val="000000"/>
                <w:kern w:val="0"/>
                <w:sz w:val="22"/>
                <w:szCs w:val="22"/>
              </w:rPr>
              <w:t>超声信息管理系统软件</w:t>
            </w:r>
            <w:r>
              <w:rPr>
                <w:rFonts w:hint="eastAsia" w:ascii="楷体" w:hAnsi="楷体" w:eastAsia="楷体" w:cs="楷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rPr>
                <w:rFonts w:ascii="楷体" w:hAnsi="楷体" w:eastAsia="楷体" w:cs="楷体"/>
                <w:color w:val="000000"/>
                <w:kern w:val="0"/>
                <w:sz w:val="22"/>
                <w:szCs w:val="22"/>
              </w:rPr>
            </w:pPr>
            <w:r>
              <w:rPr>
                <w:rFonts w:hint="eastAsia" w:ascii="楷体" w:hAnsi="楷体" w:eastAsia="楷体" w:cs="楷体"/>
                <w:color w:val="000000"/>
                <w:kern w:val="0"/>
                <w:sz w:val="22"/>
                <w:szCs w:val="22"/>
              </w:rPr>
              <w:t>1</w:t>
            </w:r>
          </w:p>
        </w:tc>
        <w:tc>
          <w:tcPr>
            <w:tcW w:w="3270" w:type="dxa"/>
            <w:vAlign w:val="center"/>
          </w:tcPr>
          <w:p>
            <w:pPr>
              <w:widowControl/>
              <w:rPr>
                <w:rFonts w:ascii="楷体" w:hAnsi="楷体" w:eastAsia="楷体" w:cs="楷体"/>
                <w:color w:val="000000"/>
                <w:kern w:val="0"/>
                <w:sz w:val="22"/>
                <w:szCs w:val="22"/>
              </w:rPr>
            </w:pPr>
            <w:r>
              <w:rPr>
                <w:rFonts w:hint="eastAsia" w:ascii="楷体" w:hAnsi="楷体" w:eastAsia="楷体" w:cs="楷体"/>
                <w:color w:val="000000"/>
                <w:kern w:val="0"/>
                <w:sz w:val="22"/>
                <w:szCs w:val="22"/>
              </w:rPr>
              <w:t>登记工作站软件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病人集中登记管理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rPr>
                <w:rFonts w:ascii="楷体" w:hAnsi="楷体" w:eastAsia="楷体" w:cs="楷体"/>
                <w:color w:val="000000"/>
                <w:kern w:val="0"/>
                <w:sz w:val="22"/>
                <w:szCs w:val="22"/>
              </w:rPr>
            </w:pPr>
            <w:r>
              <w:rPr>
                <w:rFonts w:hint="eastAsia" w:ascii="楷体" w:hAnsi="楷体" w:eastAsia="楷体" w:cs="楷体"/>
                <w:color w:val="000000"/>
                <w:kern w:val="0"/>
                <w:sz w:val="22"/>
                <w:szCs w:val="22"/>
              </w:rPr>
              <w:t>2</w:t>
            </w:r>
          </w:p>
        </w:tc>
        <w:tc>
          <w:tcPr>
            <w:tcW w:w="3270" w:type="dxa"/>
            <w:vAlign w:val="center"/>
          </w:tcPr>
          <w:p>
            <w:pPr>
              <w:widowControl/>
              <w:rPr>
                <w:rFonts w:ascii="楷体" w:hAnsi="楷体" w:eastAsia="楷体" w:cs="楷体"/>
                <w:color w:val="000000"/>
                <w:kern w:val="0"/>
                <w:sz w:val="22"/>
                <w:szCs w:val="22"/>
              </w:rPr>
            </w:pPr>
            <w:r>
              <w:rPr>
                <w:rFonts w:hint="eastAsia" w:ascii="楷体" w:hAnsi="楷体" w:eastAsia="楷体" w:cs="楷体"/>
                <w:color w:val="000000"/>
                <w:kern w:val="0"/>
                <w:sz w:val="22"/>
                <w:szCs w:val="22"/>
              </w:rPr>
              <w:t>超声图文网络工作站软件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7套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超声医生图像采集、图文报告软件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rPr>
                <w:rFonts w:ascii="楷体" w:hAnsi="楷体" w:eastAsia="楷体" w:cs="楷体"/>
                <w:color w:val="000000"/>
                <w:kern w:val="0"/>
                <w:sz w:val="22"/>
                <w:szCs w:val="22"/>
              </w:rPr>
            </w:pPr>
            <w:r>
              <w:rPr>
                <w:rFonts w:hint="eastAsia" w:ascii="楷体" w:hAnsi="楷体" w:eastAsia="楷体" w:cs="楷体"/>
                <w:color w:val="000000"/>
                <w:kern w:val="0"/>
                <w:sz w:val="22"/>
                <w:szCs w:val="22"/>
              </w:rPr>
              <w:t>3</w:t>
            </w:r>
          </w:p>
        </w:tc>
        <w:tc>
          <w:tcPr>
            <w:tcW w:w="3270" w:type="dxa"/>
            <w:vAlign w:val="center"/>
          </w:tcPr>
          <w:p>
            <w:pPr>
              <w:widowControl/>
              <w:rPr>
                <w:rFonts w:ascii="楷体" w:hAnsi="楷体" w:eastAsia="楷体" w:cs="楷体"/>
                <w:color w:val="000000"/>
                <w:kern w:val="0"/>
                <w:sz w:val="22"/>
                <w:szCs w:val="22"/>
              </w:rPr>
            </w:pPr>
            <w:r>
              <w:rPr>
                <w:rFonts w:hint="eastAsia" w:ascii="楷体" w:hAnsi="楷体" w:eastAsia="楷体" w:cs="楷体"/>
                <w:color w:val="000000"/>
                <w:kern w:val="0"/>
                <w:sz w:val="22"/>
                <w:szCs w:val="22"/>
              </w:rPr>
              <w:t>排队叫号管理软件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超声科集中排队叫号管理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rPr>
                <w:rFonts w:ascii="楷体" w:hAnsi="楷体" w:eastAsia="楷体" w:cs="楷体"/>
                <w:color w:val="000000"/>
                <w:kern w:val="0"/>
                <w:sz w:val="22"/>
                <w:szCs w:val="22"/>
              </w:rPr>
            </w:pPr>
            <w:r>
              <w:rPr>
                <w:rFonts w:hint="eastAsia" w:ascii="楷体" w:hAnsi="楷体" w:eastAsia="楷体" w:cs="楷体"/>
                <w:color w:val="000000"/>
                <w:kern w:val="0"/>
                <w:sz w:val="22"/>
                <w:szCs w:val="22"/>
              </w:rPr>
              <w:t>4</w:t>
            </w:r>
          </w:p>
        </w:tc>
        <w:tc>
          <w:tcPr>
            <w:tcW w:w="3270" w:type="dxa"/>
            <w:vAlign w:val="center"/>
          </w:tcPr>
          <w:p>
            <w:pPr>
              <w:widowControl/>
              <w:rPr>
                <w:rFonts w:ascii="楷体" w:hAnsi="楷体" w:eastAsia="楷体" w:cs="楷体"/>
                <w:color w:val="000000"/>
                <w:kern w:val="0"/>
                <w:sz w:val="22"/>
                <w:szCs w:val="22"/>
              </w:rPr>
            </w:pPr>
            <w:r>
              <w:rPr>
                <w:rFonts w:hint="eastAsia" w:ascii="楷体" w:hAnsi="楷体" w:eastAsia="楷体" w:cs="楷体"/>
                <w:color w:val="000000"/>
                <w:kern w:val="0"/>
                <w:sz w:val="22"/>
                <w:szCs w:val="22"/>
              </w:rPr>
              <w:t>科室管理软件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主任统计管理软件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08" w:type="dxa"/>
            <w:gridSpan w:val="2"/>
            <w:vAlign w:val="center"/>
          </w:tcPr>
          <w:p>
            <w:pPr>
              <w:widowControl/>
              <w:rPr>
                <w:rFonts w:ascii="楷体" w:hAnsi="楷体" w:eastAsia="楷体" w:cs="楷体"/>
                <w:b/>
                <w:bCs/>
                <w:color w:val="000000"/>
                <w:kern w:val="0"/>
                <w:sz w:val="22"/>
                <w:szCs w:val="22"/>
              </w:rPr>
            </w:pPr>
            <w:r>
              <w:rPr>
                <w:rFonts w:hint="eastAsia" w:ascii="楷体" w:hAnsi="楷体" w:eastAsia="楷体" w:cs="楷体"/>
                <w:b/>
                <w:bCs/>
                <w:color w:val="000000"/>
                <w:kern w:val="0"/>
                <w:sz w:val="22"/>
                <w:szCs w:val="22"/>
              </w:rPr>
              <w:t>三、内镜室</w:t>
            </w:r>
          </w:p>
        </w:tc>
        <w:tc>
          <w:tcPr>
            <w:tcW w:w="766" w:type="dxa"/>
            <w:vAlign w:val="center"/>
          </w:tcPr>
          <w:p>
            <w:pPr>
              <w:widowControl/>
              <w:jc w:val="center"/>
              <w:rPr>
                <w:rFonts w:ascii="楷体" w:hAnsi="楷体" w:eastAsia="楷体" w:cs="楷体"/>
                <w:color w:val="000000"/>
                <w:kern w:val="0"/>
                <w:sz w:val="22"/>
                <w:szCs w:val="22"/>
              </w:rPr>
            </w:pPr>
            <w:r>
              <w:rPr>
                <w:rFonts w:hint="eastAsia" w:ascii="楷体" w:hAnsi="楷体" w:eastAsia="楷体" w:cs="楷体"/>
                <w:color w:val="000000"/>
                <w:kern w:val="0"/>
                <w:sz w:val="22"/>
                <w:szCs w:val="22"/>
              </w:rPr>
              <w:t>　</w:t>
            </w:r>
          </w:p>
        </w:tc>
        <w:tc>
          <w:tcPr>
            <w:tcW w:w="4123" w:type="dxa"/>
            <w:vAlign w:val="center"/>
          </w:tcPr>
          <w:p>
            <w:pPr>
              <w:widowControl/>
              <w:rPr>
                <w:rFonts w:ascii="楷体" w:hAnsi="楷体" w:eastAsia="楷体" w:cs="楷体"/>
                <w:color w:val="000000"/>
                <w:kern w:val="0"/>
                <w:sz w:val="22"/>
                <w:szCs w:val="22"/>
              </w:rPr>
            </w:pPr>
            <w:r>
              <w:rPr>
                <w:rFonts w:hint="eastAsia" w:ascii="楷体" w:hAnsi="楷体" w:eastAsia="楷体" w:cs="楷体"/>
                <w:b/>
                <w:bCs/>
                <w:color w:val="000000"/>
                <w:kern w:val="0"/>
                <w:sz w:val="22"/>
                <w:szCs w:val="22"/>
              </w:rPr>
              <w:t>内镜信息管理系统软件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rPr>
                <w:rFonts w:ascii="楷体" w:hAnsi="楷体" w:eastAsia="楷体" w:cs="楷体"/>
                <w:color w:val="000000"/>
                <w:kern w:val="0"/>
                <w:sz w:val="22"/>
                <w:szCs w:val="22"/>
              </w:rPr>
            </w:pPr>
            <w:r>
              <w:rPr>
                <w:rFonts w:hint="eastAsia" w:ascii="楷体" w:hAnsi="楷体" w:eastAsia="楷体" w:cs="楷体"/>
                <w:color w:val="000000"/>
                <w:kern w:val="0"/>
                <w:sz w:val="22"/>
                <w:szCs w:val="22"/>
              </w:rPr>
              <w:t>1</w:t>
            </w:r>
          </w:p>
        </w:tc>
        <w:tc>
          <w:tcPr>
            <w:tcW w:w="3270" w:type="dxa"/>
            <w:vAlign w:val="center"/>
          </w:tcPr>
          <w:p>
            <w:pPr>
              <w:widowControl/>
              <w:rPr>
                <w:rFonts w:ascii="楷体" w:hAnsi="楷体" w:eastAsia="楷体" w:cs="楷体"/>
                <w:color w:val="000000"/>
                <w:kern w:val="0"/>
                <w:sz w:val="22"/>
                <w:szCs w:val="22"/>
              </w:rPr>
            </w:pPr>
            <w:r>
              <w:rPr>
                <w:rFonts w:hint="eastAsia" w:ascii="楷体" w:hAnsi="楷体" w:eastAsia="楷体" w:cs="楷体"/>
                <w:color w:val="000000"/>
                <w:kern w:val="0"/>
                <w:sz w:val="22"/>
                <w:szCs w:val="22"/>
              </w:rPr>
              <w:t>登记工作站软件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病人集中登记管理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rPr>
                <w:rFonts w:ascii="楷体" w:hAnsi="楷体" w:eastAsia="楷体" w:cs="楷体"/>
                <w:color w:val="000000"/>
                <w:kern w:val="0"/>
                <w:sz w:val="22"/>
                <w:szCs w:val="22"/>
              </w:rPr>
            </w:pPr>
            <w:r>
              <w:rPr>
                <w:rFonts w:hint="eastAsia" w:ascii="楷体" w:hAnsi="楷体" w:eastAsia="楷体" w:cs="楷体"/>
                <w:color w:val="000000"/>
                <w:kern w:val="0"/>
                <w:sz w:val="22"/>
                <w:szCs w:val="22"/>
              </w:rPr>
              <w:t>2</w:t>
            </w:r>
          </w:p>
        </w:tc>
        <w:tc>
          <w:tcPr>
            <w:tcW w:w="3270" w:type="dxa"/>
            <w:vAlign w:val="center"/>
          </w:tcPr>
          <w:p>
            <w:pPr>
              <w:widowControl/>
              <w:rPr>
                <w:rFonts w:ascii="楷体" w:hAnsi="楷体" w:eastAsia="楷体" w:cs="楷体"/>
                <w:color w:val="000000"/>
                <w:kern w:val="0"/>
                <w:sz w:val="22"/>
                <w:szCs w:val="22"/>
              </w:rPr>
            </w:pPr>
            <w:r>
              <w:rPr>
                <w:rFonts w:hint="eastAsia" w:ascii="楷体" w:hAnsi="楷体" w:eastAsia="楷体" w:cs="楷体"/>
                <w:color w:val="000000"/>
                <w:kern w:val="0"/>
                <w:sz w:val="22"/>
                <w:szCs w:val="22"/>
              </w:rPr>
              <w:t>内镜图文网络工作站软件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4套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内镜医生图像采集、图文报告软件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rPr>
                <w:rFonts w:ascii="楷体" w:hAnsi="楷体" w:eastAsia="楷体" w:cs="楷体"/>
                <w:color w:val="000000"/>
                <w:kern w:val="0"/>
                <w:sz w:val="22"/>
                <w:szCs w:val="22"/>
              </w:rPr>
            </w:pPr>
            <w:r>
              <w:rPr>
                <w:rFonts w:hint="eastAsia" w:ascii="楷体" w:hAnsi="楷体" w:eastAsia="楷体" w:cs="楷体"/>
                <w:color w:val="000000"/>
                <w:kern w:val="0"/>
                <w:sz w:val="22"/>
                <w:szCs w:val="22"/>
              </w:rPr>
              <w:t>3</w:t>
            </w:r>
          </w:p>
        </w:tc>
        <w:tc>
          <w:tcPr>
            <w:tcW w:w="3270" w:type="dxa"/>
            <w:vAlign w:val="center"/>
          </w:tcPr>
          <w:p>
            <w:pPr>
              <w:widowControl/>
              <w:rPr>
                <w:rFonts w:ascii="楷体" w:hAnsi="楷体" w:eastAsia="楷体" w:cs="楷体"/>
                <w:color w:val="000000"/>
                <w:kern w:val="0"/>
                <w:sz w:val="22"/>
                <w:szCs w:val="22"/>
              </w:rPr>
            </w:pPr>
            <w:r>
              <w:rPr>
                <w:rFonts w:hint="eastAsia" w:ascii="楷体" w:hAnsi="楷体" w:eastAsia="楷体" w:cs="楷体"/>
                <w:color w:val="000000"/>
                <w:kern w:val="0"/>
                <w:sz w:val="22"/>
                <w:szCs w:val="22"/>
              </w:rPr>
              <w:t>排队叫号管理软件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内镜室集中排队叫号管理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rPr>
                <w:rFonts w:ascii="楷体" w:hAnsi="楷体" w:eastAsia="楷体" w:cs="楷体"/>
                <w:color w:val="000000"/>
                <w:kern w:val="0"/>
                <w:sz w:val="22"/>
                <w:szCs w:val="22"/>
              </w:rPr>
            </w:pPr>
            <w:r>
              <w:rPr>
                <w:rFonts w:hint="eastAsia" w:ascii="楷体" w:hAnsi="楷体" w:eastAsia="楷体" w:cs="楷体"/>
                <w:color w:val="000000"/>
                <w:kern w:val="0"/>
                <w:sz w:val="22"/>
                <w:szCs w:val="22"/>
              </w:rPr>
              <w:t>4</w:t>
            </w:r>
          </w:p>
        </w:tc>
        <w:tc>
          <w:tcPr>
            <w:tcW w:w="3270" w:type="dxa"/>
            <w:vAlign w:val="center"/>
          </w:tcPr>
          <w:p>
            <w:pPr>
              <w:widowControl/>
              <w:rPr>
                <w:rFonts w:ascii="楷体" w:hAnsi="楷体" w:eastAsia="楷体" w:cs="楷体"/>
                <w:color w:val="000000"/>
                <w:kern w:val="0"/>
                <w:sz w:val="22"/>
                <w:szCs w:val="22"/>
              </w:rPr>
            </w:pPr>
            <w:r>
              <w:rPr>
                <w:rFonts w:hint="eastAsia" w:ascii="楷体" w:hAnsi="楷体" w:eastAsia="楷体" w:cs="楷体"/>
                <w:color w:val="000000"/>
                <w:kern w:val="0"/>
                <w:sz w:val="22"/>
                <w:szCs w:val="22"/>
              </w:rPr>
              <w:t>内镜质控管理模块</w:t>
            </w:r>
          </w:p>
        </w:tc>
        <w:tc>
          <w:tcPr>
            <w:tcW w:w="766" w:type="dxa"/>
            <w:vAlign w:val="center"/>
          </w:tcPr>
          <w:p>
            <w:pPr>
              <w:widowControl/>
              <w:jc w:val="center"/>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1套</w:t>
            </w:r>
          </w:p>
        </w:tc>
        <w:tc>
          <w:tcPr>
            <w:tcW w:w="4123" w:type="dxa"/>
            <w:vAlign w:val="center"/>
          </w:tcPr>
          <w:p>
            <w:pPr>
              <w:widowControl/>
              <w:jc w:val="left"/>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内镜质控管理、内镜质控统计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rPr>
                <w:rFonts w:ascii="楷体" w:hAnsi="楷体" w:eastAsia="楷体" w:cs="楷体"/>
                <w:color w:val="000000"/>
                <w:kern w:val="0"/>
                <w:sz w:val="22"/>
                <w:szCs w:val="22"/>
              </w:rPr>
            </w:pPr>
            <w:r>
              <w:rPr>
                <w:rFonts w:hint="eastAsia" w:ascii="楷体" w:hAnsi="楷体" w:eastAsia="楷体" w:cs="楷体"/>
                <w:color w:val="000000"/>
                <w:kern w:val="0"/>
                <w:sz w:val="22"/>
                <w:szCs w:val="22"/>
              </w:rPr>
              <w:t>5</w:t>
            </w:r>
          </w:p>
        </w:tc>
        <w:tc>
          <w:tcPr>
            <w:tcW w:w="3270" w:type="dxa"/>
            <w:vAlign w:val="center"/>
          </w:tcPr>
          <w:p>
            <w:pPr>
              <w:widowControl/>
              <w:rPr>
                <w:rFonts w:ascii="楷体" w:hAnsi="楷体" w:eastAsia="楷体" w:cs="楷体"/>
                <w:color w:val="000000"/>
                <w:kern w:val="0"/>
                <w:sz w:val="22"/>
                <w:szCs w:val="22"/>
              </w:rPr>
            </w:pPr>
            <w:r>
              <w:rPr>
                <w:rFonts w:hint="eastAsia" w:ascii="楷体" w:hAnsi="楷体" w:eastAsia="楷体" w:cs="楷体"/>
                <w:color w:val="000000"/>
                <w:kern w:val="0"/>
                <w:sz w:val="22"/>
                <w:szCs w:val="22"/>
              </w:rPr>
              <w:t>科室管理软件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主任统计管理软件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08" w:type="dxa"/>
            <w:gridSpan w:val="2"/>
            <w:vAlign w:val="center"/>
          </w:tcPr>
          <w:p>
            <w:pPr>
              <w:widowControl/>
              <w:rPr>
                <w:rFonts w:ascii="楷体" w:hAnsi="楷体" w:eastAsia="楷体" w:cs="楷体"/>
                <w:b/>
                <w:bCs/>
                <w:color w:val="000000"/>
                <w:kern w:val="0"/>
                <w:sz w:val="22"/>
                <w:szCs w:val="22"/>
              </w:rPr>
            </w:pPr>
            <w:r>
              <w:rPr>
                <w:rFonts w:hint="eastAsia" w:ascii="楷体" w:hAnsi="楷体" w:eastAsia="楷体" w:cs="楷体"/>
                <w:b/>
                <w:bCs/>
                <w:color w:val="000000"/>
                <w:kern w:val="0"/>
                <w:sz w:val="22"/>
                <w:szCs w:val="22"/>
              </w:rPr>
              <w:t>四、病理科</w:t>
            </w:r>
          </w:p>
        </w:tc>
        <w:tc>
          <w:tcPr>
            <w:tcW w:w="766" w:type="dxa"/>
            <w:vAlign w:val="center"/>
          </w:tcPr>
          <w:p>
            <w:pPr>
              <w:widowControl/>
              <w:jc w:val="center"/>
              <w:rPr>
                <w:rFonts w:ascii="楷体" w:hAnsi="楷体" w:eastAsia="楷体" w:cs="楷体"/>
                <w:color w:val="000000"/>
                <w:kern w:val="0"/>
                <w:sz w:val="22"/>
                <w:szCs w:val="22"/>
              </w:rPr>
            </w:pPr>
            <w:r>
              <w:rPr>
                <w:rFonts w:hint="eastAsia" w:ascii="楷体" w:hAnsi="楷体" w:eastAsia="楷体" w:cs="楷体"/>
                <w:color w:val="000000"/>
                <w:kern w:val="0"/>
                <w:sz w:val="22"/>
                <w:szCs w:val="22"/>
              </w:rPr>
              <w:t>　</w:t>
            </w:r>
          </w:p>
        </w:tc>
        <w:tc>
          <w:tcPr>
            <w:tcW w:w="4123" w:type="dxa"/>
            <w:vAlign w:val="center"/>
          </w:tcPr>
          <w:p>
            <w:pPr>
              <w:widowControl/>
              <w:rPr>
                <w:rFonts w:ascii="楷体" w:hAnsi="楷体" w:eastAsia="楷体" w:cs="楷体"/>
                <w:color w:val="000000"/>
                <w:kern w:val="0"/>
                <w:sz w:val="22"/>
                <w:szCs w:val="22"/>
              </w:rPr>
            </w:pPr>
            <w:r>
              <w:rPr>
                <w:rFonts w:hint="eastAsia" w:ascii="楷体" w:hAnsi="楷体" w:eastAsia="楷体" w:cs="楷体"/>
                <w:b/>
                <w:bCs/>
                <w:color w:val="000000"/>
                <w:kern w:val="0"/>
                <w:sz w:val="22"/>
                <w:szCs w:val="22"/>
              </w:rPr>
              <w:t>病理信息管理系统软件</w:t>
            </w:r>
            <w:r>
              <w:rPr>
                <w:rFonts w:hint="eastAsia" w:ascii="楷体" w:hAnsi="楷体" w:eastAsia="楷体" w:cs="楷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w:t>
            </w:r>
          </w:p>
        </w:tc>
        <w:tc>
          <w:tcPr>
            <w:tcW w:w="3270"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登记工作站软件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szCs w:val="21"/>
              </w:rPr>
              <w:t>1</w:t>
            </w:r>
            <w:r>
              <w:rPr>
                <w:rFonts w:hint="eastAsia" w:ascii="楷体" w:hAnsi="楷体" w:eastAsia="楷体" w:cs="楷体"/>
                <w:color w:val="000000"/>
                <w:kern w:val="0"/>
                <w:szCs w:val="21"/>
                <w:lang w:bidi="ar"/>
              </w:rPr>
              <w:t>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病人标本登记管理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2</w:t>
            </w:r>
          </w:p>
        </w:tc>
        <w:tc>
          <w:tcPr>
            <w:tcW w:w="3270"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大体取材管理工作站软件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szCs w:val="21"/>
              </w:rPr>
              <w:t>1</w:t>
            </w:r>
            <w:r>
              <w:rPr>
                <w:rFonts w:hint="eastAsia" w:ascii="楷体" w:hAnsi="楷体" w:eastAsia="楷体" w:cs="楷体"/>
                <w:color w:val="000000"/>
                <w:kern w:val="0"/>
                <w:szCs w:val="21"/>
                <w:lang w:bidi="ar"/>
              </w:rPr>
              <w:t>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大体取材管理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3</w:t>
            </w:r>
          </w:p>
        </w:tc>
        <w:tc>
          <w:tcPr>
            <w:tcW w:w="3270"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病理综合管理工作站软件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szCs w:val="21"/>
              </w:rPr>
              <w:t>1</w:t>
            </w:r>
            <w:r>
              <w:rPr>
                <w:rFonts w:hint="eastAsia" w:ascii="楷体" w:hAnsi="楷体" w:eastAsia="楷体" w:cs="楷体"/>
                <w:color w:val="000000"/>
                <w:kern w:val="0"/>
                <w:szCs w:val="21"/>
                <w:lang w:bidi="ar"/>
              </w:rPr>
              <w:t>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脱水包埋管理、切片管理、特检医嘱、归档管理、质控管理、借阅片管理等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4</w:t>
            </w:r>
          </w:p>
        </w:tc>
        <w:tc>
          <w:tcPr>
            <w:tcW w:w="3270"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病理图文网络工作站软件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szCs w:val="21"/>
              </w:rPr>
              <w:t>2</w:t>
            </w:r>
            <w:r>
              <w:rPr>
                <w:rFonts w:hint="eastAsia" w:ascii="楷体" w:hAnsi="楷体" w:eastAsia="楷体" w:cs="楷体"/>
                <w:color w:val="000000"/>
                <w:kern w:val="0"/>
                <w:szCs w:val="21"/>
                <w:lang w:bidi="ar"/>
              </w:rPr>
              <w:t>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病理医生图文报告管理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5</w:t>
            </w:r>
          </w:p>
        </w:tc>
        <w:tc>
          <w:tcPr>
            <w:tcW w:w="3270"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科室管理软件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szCs w:val="21"/>
              </w:rPr>
              <w:t>1</w:t>
            </w:r>
            <w:r>
              <w:rPr>
                <w:rFonts w:hint="eastAsia" w:ascii="楷体" w:hAnsi="楷体" w:eastAsia="楷体" w:cs="楷体"/>
                <w:color w:val="000000"/>
                <w:kern w:val="0"/>
                <w:szCs w:val="21"/>
                <w:lang w:bidi="ar"/>
              </w:rPr>
              <w:t>套</w:t>
            </w:r>
          </w:p>
        </w:tc>
        <w:tc>
          <w:tcPr>
            <w:tcW w:w="4123"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主任统计管理软件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108" w:type="dxa"/>
            <w:gridSpan w:val="2"/>
            <w:vAlign w:val="center"/>
          </w:tcPr>
          <w:p>
            <w:pPr>
              <w:widowControl/>
              <w:jc w:val="left"/>
              <w:textAlignment w:val="center"/>
              <w:rPr>
                <w:rFonts w:ascii="楷体" w:hAnsi="楷体" w:eastAsia="楷体" w:cs="楷体"/>
                <w:kern w:val="0"/>
                <w:sz w:val="22"/>
                <w:szCs w:val="22"/>
              </w:rPr>
            </w:pPr>
            <w:r>
              <w:rPr>
                <w:rFonts w:hint="eastAsia" w:ascii="楷体" w:hAnsi="楷体" w:eastAsia="楷体" w:cs="楷体"/>
                <w:b/>
                <w:bCs/>
                <w:color w:val="000000"/>
                <w:kern w:val="0"/>
                <w:sz w:val="22"/>
                <w:szCs w:val="22"/>
              </w:rPr>
              <w:t>五、电生理</w:t>
            </w:r>
          </w:p>
        </w:tc>
        <w:tc>
          <w:tcPr>
            <w:tcW w:w="766" w:type="dxa"/>
            <w:vAlign w:val="center"/>
          </w:tcPr>
          <w:p>
            <w:pPr>
              <w:widowControl/>
              <w:jc w:val="left"/>
              <w:textAlignment w:val="center"/>
              <w:rPr>
                <w:rFonts w:ascii="楷体" w:hAnsi="楷体" w:eastAsia="楷体" w:cs="楷体"/>
                <w:kern w:val="0"/>
                <w:sz w:val="22"/>
                <w:szCs w:val="22"/>
              </w:rPr>
            </w:pPr>
          </w:p>
        </w:tc>
        <w:tc>
          <w:tcPr>
            <w:tcW w:w="4123" w:type="dxa"/>
            <w:vAlign w:val="center"/>
          </w:tcPr>
          <w:p>
            <w:pPr>
              <w:widowControl/>
              <w:jc w:val="left"/>
              <w:textAlignment w:val="center"/>
              <w:rPr>
                <w:rFonts w:ascii="楷体" w:hAnsi="楷体" w:eastAsia="楷体" w:cs="楷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38" w:type="dxa"/>
            <w:vAlign w:val="center"/>
          </w:tcPr>
          <w:p>
            <w:pPr>
              <w:widowControl/>
              <w:jc w:val="center"/>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1</w:t>
            </w:r>
          </w:p>
        </w:tc>
        <w:tc>
          <w:tcPr>
            <w:tcW w:w="3270"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szCs w:val="21"/>
              </w:rPr>
              <w:t>心电图文网络工作站软件</w:t>
            </w:r>
          </w:p>
        </w:tc>
        <w:tc>
          <w:tcPr>
            <w:tcW w:w="766"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2套</w:t>
            </w:r>
          </w:p>
        </w:tc>
        <w:tc>
          <w:tcPr>
            <w:tcW w:w="4123" w:type="dxa"/>
            <w:vAlign w:val="center"/>
          </w:tcPr>
          <w:p>
            <w:pPr>
              <w:widowControl/>
              <w:jc w:val="left"/>
              <w:textAlignment w:val="center"/>
              <w:rPr>
                <w:rFonts w:ascii="楷体" w:hAnsi="楷体" w:eastAsia="楷体" w:cs="楷体"/>
                <w:kern w:val="0"/>
                <w:sz w:val="22"/>
                <w:szCs w:val="22"/>
              </w:rPr>
            </w:pPr>
            <w:r>
              <w:rPr>
                <w:rFonts w:hint="eastAsia" w:ascii="楷体" w:hAnsi="楷体" w:eastAsia="楷体" w:cs="楷体"/>
                <w:color w:val="000000"/>
                <w:szCs w:val="21"/>
              </w:rPr>
              <w:t>脑电、肌电设备工作站接入、数据采集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jc w:val="center"/>
              <w:rPr>
                <w:rFonts w:ascii="楷体" w:hAnsi="楷体" w:eastAsia="楷体" w:cs="楷体"/>
                <w:b/>
                <w:bCs/>
                <w:kern w:val="0"/>
                <w:sz w:val="24"/>
              </w:rPr>
            </w:pPr>
            <w:r>
              <w:rPr>
                <w:rFonts w:hint="eastAsia" w:ascii="楷体" w:hAnsi="楷体" w:eastAsia="楷体" w:cs="楷体"/>
                <w:b/>
                <w:bCs/>
                <w:kern w:val="0"/>
                <w:sz w:val="24"/>
              </w:rPr>
              <w:t>（二）</w:t>
            </w:r>
          </w:p>
        </w:tc>
        <w:tc>
          <w:tcPr>
            <w:tcW w:w="8159" w:type="dxa"/>
            <w:gridSpan w:val="3"/>
            <w:vAlign w:val="center"/>
          </w:tcPr>
          <w:p>
            <w:pPr>
              <w:widowControl/>
              <w:jc w:val="left"/>
              <w:textAlignment w:val="center"/>
              <w:rPr>
                <w:rFonts w:ascii="楷体" w:hAnsi="楷体" w:eastAsia="楷体" w:cs="楷体"/>
                <w:color w:val="000000"/>
                <w:szCs w:val="21"/>
              </w:rPr>
            </w:pPr>
            <w:r>
              <w:rPr>
                <w:rFonts w:hint="eastAsia" w:ascii="楷体" w:hAnsi="楷体" w:eastAsia="楷体" w:cs="楷体"/>
                <w:b/>
                <w:bCs/>
                <w:kern w:val="0"/>
                <w:sz w:val="24"/>
              </w:rPr>
              <w:t>云影像系统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widowControl/>
              <w:spacing w:line="360" w:lineRule="auto"/>
              <w:jc w:val="center"/>
              <w:rPr>
                <w:rFonts w:ascii="楷体" w:hAnsi="楷体" w:eastAsia="楷体" w:cs="楷体"/>
                <w:bCs/>
                <w:color w:val="000000"/>
                <w:kern w:val="0"/>
                <w:szCs w:val="21"/>
              </w:rPr>
            </w:pPr>
            <w:r>
              <w:rPr>
                <w:rFonts w:hint="eastAsia" w:ascii="楷体" w:hAnsi="楷体" w:eastAsia="楷体" w:cs="楷体"/>
                <w:color w:val="000000"/>
                <w:kern w:val="0"/>
                <w:szCs w:val="21"/>
              </w:rPr>
              <w:t>1</w:t>
            </w:r>
          </w:p>
        </w:tc>
        <w:tc>
          <w:tcPr>
            <w:tcW w:w="3270" w:type="dxa"/>
            <w:vAlign w:val="center"/>
          </w:tcPr>
          <w:p>
            <w:pPr>
              <w:widowControl/>
              <w:spacing w:line="360" w:lineRule="auto"/>
              <w:rPr>
                <w:rFonts w:ascii="楷体" w:hAnsi="楷体" w:eastAsia="楷体" w:cs="楷体"/>
                <w:bCs/>
                <w:color w:val="000000"/>
                <w:kern w:val="0"/>
                <w:szCs w:val="21"/>
              </w:rPr>
            </w:pPr>
            <w:r>
              <w:rPr>
                <w:rFonts w:hint="eastAsia" w:ascii="楷体" w:hAnsi="楷体" w:eastAsia="楷体" w:cs="楷体"/>
                <w:color w:val="000000"/>
                <w:kern w:val="0"/>
                <w:szCs w:val="21"/>
              </w:rPr>
              <w:t>云影像存储与归档服务平台软件</w:t>
            </w:r>
          </w:p>
        </w:tc>
        <w:tc>
          <w:tcPr>
            <w:tcW w:w="766" w:type="dxa"/>
            <w:vAlign w:val="center"/>
          </w:tcPr>
          <w:p>
            <w:pPr>
              <w:widowControl/>
              <w:spacing w:line="360" w:lineRule="auto"/>
              <w:jc w:val="center"/>
              <w:rPr>
                <w:rFonts w:ascii="楷体" w:hAnsi="楷体" w:eastAsia="楷体" w:cs="楷体"/>
                <w:bCs/>
                <w:color w:val="000000"/>
                <w:kern w:val="0"/>
                <w:szCs w:val="21"/>
              </w:rPr>
            </w:pPr>
            <w:r>
              <w:rPr>
                <w:rFonts w:hint="eastAsia" w:ascii="楷体" w:hAnsi="楷体" w:eastAsia="楷体" w:cs="楷体"/>
                <w:bCs/>
                <w:color w:val="000000"/>
                <w:kern w:val="0"/>
                <w:szCs w:val="21"/>
              </w:rPr>
              <w:t>1</w:t>
            </w:r>
            <w:r>
              <w:rPr>
                <w:rFonts w:hint="eastAsia" w:ascii="楷体" w:hAnsi="楷体" w:eastAsia="楷体" w:cs="楷体"/>
                <w:color w:val="000000"/>
                <w:kern w:val="0"/>
                <w:szCs w:val="21"/>
                <w:lang w:bidi="ar"/>
              </w:rPr>
              <w:t>套</w:t>
            </w:r>
          </w:p>
        </w:tc>
        <w:tc>
          <w:tcPr>
            <w:tcW w:w="4123" w:type="dxa"/>
          </w:tcPr>
          <w:p>
            <w:pPr>
              <w:widowControl/>
              <w:jc w:val="left"/>
              <w:rPr>
                <w:rFonts w:ascii="楷体" w:hAnsi="楷体" w:eastAsia="楷体" w:cs="楷体"/>
                <w:bCs/>
                <w:color w:val="000000"/>
                <w:kern w:val="0"/>
                <w:szCs w:val="21"/>
              </w:rPr>
            </w:pPr>
            <w:r>
              <w:rPr>
                <w:rFonts w:hint="eastAsia" w:ascii="楷体" w:hAnsi="楷体" w:eastAsia="楷体" w:cs="楷体"/>
                <w:color w:val="000000"/>
                <w:kern w:val="0"/>
                <w:szCs w:val="21"/>
              </w:rPr>
              <w:t>实现院内影像云存储、云归档、云备份服务与调阅管理（支持院内私有云架构）。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tcBorders>
              <w:bottom w:val="single" w:color="auto" w:sz="4" w:space="0"/>
            </w:tcBorders>
            <w:vAlign w:val="center"/>
          </w:tcPr>
          <w:p>
            <w:pPr>
              <w:spacing w:line="360" w:lineRule="auto"/>
              <w:jc w:val="center"/>
              <w:rPr>
                <w:rFonts w:ascii="楷体" w:hAnsi="楷体" w:eastAsia="楷体" w:cs="楷体"/>
                <w:bCs/>
                <w:color w:val="000000"/>
                <w:kern w:val="0"/>
                <w:szCs w:val="21"/>
              </w:rPr>
            </w:pPr>
            <w:r>
              <w:rPr>
                <w:rFonts w:hint="eastAsia" w:ascii="楷体" w:hAnsi="楷体" w:eastAsia="楷体" w:cs="楷体"/>
                <w:color w:val="000000"/>
                <w:kern w:val="0"/>
                <w:szCs w:val="21"/>
              </w:rPr>
              <w:t>2</w:t>
            </w:r>
          </w:p>
        </w:tc>
        <w:tc>
          <w:tcPr>
            <w:tcW w:w="3270" w:type="dxa"/>
            <w:tcBorders>
              <w:bottom w:val="single" w:color="auto" w:sz="4" w:space="0"/>
            </w:tcBorders>
            <w:vAlign w:val="center"/>
          </w:tcPr>
          <w:p>
            <w:pPr>
              <w:widowControl/>
              <w:spacing w:line="360" w:lineRule="auto"/>
              <w:rPr>
                <w:rFonts w:ascii="楷体" w:hAnsi="楷体" w:eastAsia="楷体" w:cs="楷体"/>
                <w:bCs/>
                <w:color w:val="000000"/>
                <w:kern w:val="0"/>
                <w:szCs w:val="21"/>
              </w:rPr>
            </w:pPr>
            <w:r>
              <w:rPr>
                <w:rFonts w:hint="eastAsia" w:ascii="楷体" w:hAnsi="楷体" w:eastAsia="楷体" w:cs="楷体"/>
                <w:color w:val="000000"/>
                <w:kern w:val="0"/>
                <w:szCs w:val="21"/>
              </w:rPr>
              <w:t>云影像前置服务软件</w:t>
            </w:r>
          </w:p>
        </w:tc>
        <w:tc>
          <w:tcPr>
            <w:tcW w:w="766" w:type="dxa"/>
            <w:tcBorders>
              <w:bottom w:val="single" w:color="auto" w:sz="4" w:space="0"/>
            </w:tcBorders>
            <w:vAlign w:val="center"/>
          </w:tcPr>
          <w:p>
            <w:pPr>
              <w:widowControl/>
              <w:spacing w:line="360" w:lineRule="auto"/>
              <w:jc w:val="center"/>
              <w:rPr>
                <w:rFonts w:ascii="楷体" w:hAnsi="楷体" w:eastAsia="楷体" w:cs="楷体"/>
                <w:bCs/>
                <w:color w:val="000000"/>
                <w:kern w:val="0"/>
                <w:szCs w:val="21"/>
              </w:rPr>
            </w:pPr>
            <w:r>
              <w:rPr>
                <w:rFonts w:hint="eastAsia" w:ascii="楷体" w:hAnsi="楷体" w:eastAsia="楷体" w:cs="楷体"/>
                <w:bCs/>
                <w:color w:val="000000"/>
                <w:kern w:val="0"/>
                <w:szCs w:val="21"/>
              </w:rPr>
              <w:t>1</w:t>
            </w:r>
            <w:r>
              <w:rPr>
                <w:rFonts w:hint="eastAsia" w:ascii="楷体" w:hAnsi="楷体" w:eastAsia="楷体" w:cs="楷体"/>
                <w:color w:val="000000"/>
                <w:kern w:val="0"/>
                <w:szCs w:val="21"/>
                <w:lang w:bidi="ar"/>
              </w:rPr>
              <w:t>套</w:t>
            </w:r>
          </w:p>
        </w:tc>
        <w:tc>
          <w:tcPr>
            <w:tcW w:w="4123" w:type="dxa"/>
            <w:tcBorders>
              <w:bottom w:val="single" w:color="auto" w:sz="4" w:space="0"/>
            </w:tcBorders>
          </w:tcPr>
          <w:p>
            <w:pPr>
              <w:widowControl/>
              <w:jc w:val="left"/>
              <w:rPr>
                <w:rFonts w:ascii="楷体" w:hAnsi="楷体" w:eastAsia="楷体" w:cs="楷体"/>
                <w:bCs/>
                <w:color w:val="000000"/>
                <w:kern w:val="0"/>
                <w:szCs w:val="21"/>
              </w:rPr>
            </w:pPr>
            <w:r>
              <w:rPr>
                <w:rFonts w:hint="eastAsia" w:ascii="楷体" w:hAnsi="楷体" w:eastAsia="楷体" w:cs="楷体"/>
                <w:color w:val="000000"/>
                <w:kern w:val="0"/>
                <w:szCs w:val="21"/>
              </w:rPr>
              <w:t>放射等医技检查申请、检查报告、影像数据的上传、同步和下载流程管理。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snapToGrid w:val="0"/>
              <w:spacing w:line="360" w:lineRule="auto"/>
              <w:jc w:val="center"/>
              <w:rPr>
                <w:rFonts w:ascii="楷体" w:hAnsi="楷体" w:eastAsia="楷体" w:cs="楷体"/>
                <w:bCs/>
                <w:color w:val="000000"/>
                <w:kern w:val="0"/>
                <w:szCs w:val="21"/>
              </w:rPr>
            </w:pPr>
            <w:r>
              <w:rPr>
                <w:rFonts w:hint="eastAsia" w:ascii="楷体" w:hAnsi="楷体" w:eastAsia="楷体" w:cs="楷体"/>
                <w:color w:val="000000"/>
                <w:kern w:val="0"/>
                <w:szCs w:val="21"/>
              </w:rPr>
              <w:t>3</w:t>
            </w:r>
          </w:p>
        </w:tc>
        <w:tc>
          <w:tcPr>
            <w:tcW w:w="3270" w:type="dxa"/>
            <w:vAlign w:val="center"/>
          </w:tcPr>
          <w:p>
            <w:pPr>
              <w:widowControl/>
              <w:spacing w:line="360" w:lineRule="auto"/>
              <w:jc w:val="left"/>
              <w:rPr>
                <w:rFonts w:ascii="楷体" w:hAnsi="楷体" w:eastAsia="楷体" w:cs="楷体"/>
                <w:bCs/>
                <w:color w:val="000000"/>
                <w:kern w:val="0"/>
                <w:szCs w:val="21"/>
              </w:rPr>
            </w:pPr>
            <w:r>
              <w:rPr>
                <w:rFonts w:hint="eastAsia" w:ascii="楷体" w:hAnsi="楷体" w:eastAsia="楷体" w:cs="楷体"/>
                <w:color w:val="000000"/>
                <w:kern w:val="0"/>
                <w:szCs w:val="21"/>
              </w:rPr>
              <w:t>医生端影像应用服务（APP端</w:t>
            </w:r>
            <w:r>
              <w:rPr>
                <w:rFonts w:hint="eastAsia" w:ascii="楷体" w:hAnsi="楷体" w:eastAsia="楷体" w:cs="楷体"/>
                <w:kern w:val="0"/>
                <w:szCs w:val="21"/>
              </w:rPr>
              <w:t>）</w:t>
            </w:r>
          </w:p>
        </w:tc>
        <w:tc>
          <w:tcPr>
            <w:tcW w:w="766" w:type="dxa"/>
            <w:vAlign w:val="center"/>
          </w:tcPr>
          <w:p>
            <w:pPr>
              <w:widowControl/>
              <w:spacing w:line="360" w:lineRule="auto"/>
              <w:jc w:val="center"/>
              <w:rPr>
                <w:rFonts w:ascii="楷体" w:hAnsi="楷体" w:eastAsia="楷体" w:cs="楷体"/>
                <w:bCs/>
                <w:color w:val="000000"/>
                <w:kern w:val="0"/>
                <w:szCs w:val="21"/>
              </w:rPr>
            </w:pPr>
            <w:r>
              <w:rPr>
                <w:rFonts w:hint="eastAsia" w:ascii="楷体" w:hAnsi="楷体" w:eastAsia="楷体" w:cs="楷体"/>
                <w:bCs/>
                <w:color w:val="000000"/>
                <w:kern w:val="0"/>
                <w:szCs w:val="21"/>
              </w:rPr>
              <w:t>1</w:t>
            </w:r>
            <w:r>
              <w:rPr>
                <w:rFonts w:hint="eastAsia" w:ascii="楷体" w:hAnsi="楷体" w:eastAsia="楷体" w:cs="楷体"/>
                <w:color w:val="000000"/>
                <w:kern w:val="0"/>
                <w:szCs w:val="21"/>
                <w:lang w:bidi="ar"/>
              </w:rPr>
              <w:t>套</w:t>
            </w:r>
          </w:p>
        </w:tc>
        <w:tc>
          <w:tcPr>
            <w:tcW w:w="4123" w:type="dxa"/>
          </w:tcPr>
          <w:p>
            <w:pPr>
              <w:widowControl/>
              <w:jc w:val="left"/>
              <w:rPr>
                <w:rFonts w:ascii="楷体" w:hAnsi="楷体" w:eastAsia="楷体" w:cs="楷体"/>
                <w:bCs/>
                <w:color w:val="000000"/>
                <w:kern w:val="0"/>
                <w:szCs w:val="21"/>
              </w:rPr>
            </w:pPr>
            <w:r>
              <w:rPr>
                <w:rFonts w:hint="eastAsia" w:ascii="楷体" w:hAnsi="楷体" w:eastAsia="楷体" w:cs="楷体"/>
                <w:color w:val="000000"/>
                <w:kern w:val="0"/>
                <w:szCs w:val="21"/>
              </w:rPr>
              <w:t>面向影像医生、临床医生提供手机App端云影像服务，包括影像调阅、意见书写等。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spacing w:line="360" w:lineRule="auto"/>
              <w:jc w:val="center"/>
              <w:rPr>
                <w:rFonts w:ascii="楷体" w:hAnsi="楷体" w:eastAsia="楷体" w:cs="楷体"/>
                <w:bCs/>
                <w:color w:val="000000"/>
                <w:kern w:val="0"/>
                <w:szCs w:val="21"/>
              </w:rPr>
            </w:pPr>
            <w:r>
              <w:rPr>
                <w:rFonts w:hint="eastAsia" w:ascii="楷体" w:hAnsi="楷体" w:eastAsia="楷体" w:cs="楷体"/>
                <w:color w:val="000000"/>
                <w:kern w:val="0"/>
                <w:szCs w:val="21"/>
              </w:rPr>
              <w:t>4</w:t>
            </w:r>
          </w:p>
        </w:tc>
        <w:tc>
          <w:tcPr>
            <w:tcW w:w="3270" w:type="dxa"/>
            <w:vAlign w:val="center"/>
          </w:tcPr>
          <w:p>
            <w:pPr>
              <w:widowControl/>
              <w:spacing w:line="360" w:lineRule="auto"/>
              <w:jc w:val="left"/>
              <w:rPr>
                <w:rFonts w:ascii="楷体" w:hAnsi="楷体" w:eastAsia="楷体" w:cs="楷体"/>
                <w:bCs/>
                <w:color w:val="000000"/>
                <w:kern w:val="0"/>
                <w:szCs w:val="21"/>
              </w:rPr>
            </w:pPr>
            <w:r>
              <w:rPr>
                <w:rFonts w:hint="eastAsia" w:ascii="楷体" w:hAnsi="楷体" w:eastAsia="楷体" w:cs="楷体"/>
                <w:color w:val="000000"/>
                <w:kern w:val="0"/>
                <w:szCs w:val="21"/>
              </w:rPr>
              <w:t>患者端影像浏览服务（H5浏览器</w:t>
            </w:r>
            <w:r>
              <w:rPr>
                <w:rFonts w:hint="eastAsia" w:ascii="楷体" w:hAnsi="楷体" w:eastAsia="楷体" w:cs="楷体"/>
                <w:kern w:val="0"/>
                <w:szCs w:val="21"/>
              </w:rPr>
              <w:t>）</w:t>
            </w:r>
          </w:p>
        </w:tc>
        <w:tc>
          <w:tcPr>
            <w:tcW w:w="766" w:type="dxa"/>
            <w:vAlign w:val="center"/>
          </w:tcPr>
          <w:p>
            <w:pPr>
              <w:widowControl/>
              <w:spacing w:line="360" w:lineRule="auto"/>
              <w:jc w:val="center"/>
              <w:rPr>
                <w:rFonts w:ascii="楷体" w:hAnsi="楷体" w:eastAsia="楷体" w:cs="楷体"/>
                <w:bCs/>
                <w:color w:val="000000"/>
                <w:kern w:val="0"/>
                <w:szCs w:val="21"/>
              </w:rPr>
            </w:pPr>
            <w:r>
              <w:rPr>
                <w:rFonts w:hint="eastAsia" w:ascii="楷体" w:hAnsi="楷体" w:eastAsia="楷体" w:cs="楷体"/>
                <w:bCs/>
                <w:color w:val="000000"/>
                <w:kern w:val="0"/>
                <w:szCs w:val="21"/>
              </w:rPr>
              <w:t>1</w:t>
            </w:r>
            <w:r>
              <w:rPr>
                <w:rFonts w:hint="eastAsia" w:ascii="楷体" w:hAnsi="楷体" w:eastAsia="楷体" w:cs="楷体"/>
                <w:color w:val="000000"/>
                <w:kern w:val="0"/>
                <w:szCs w:val="21"/>
                <w:lang w:bidi="ar"/>
              </w:rPr>
              <w:t>套</w:t>
            </w:r>
          </w:p>
        </w:tc>
        <w:tc>
          <w:tcPr>
            <w:tcW w:w="4123" w:type="dxa"/>
          </w:tcPr>
          <w:p>
            <w:pPr>
              <w:widowControl/>
              <w:jc w:val="left"/>
              <w:rPr>
                <w:rFonts w:ascii="楷体" w:hAnsi="楷体" w:eastAsia="楷体" w:cs="楷体"/>
                <w:bCs/>
                <w:color w:val="000000"/>
                <w:kern w:val="0"/>
                <w:szCs w:val="21"/>
              </w:rPr>
            </w:pPr>
            <w:r>
              <w:rPr>
                <w:rFonts w:hint="eastAsia" w:ascii="楷体" w:hAnsi="楷体" w:eastAsia="楷体" w:cs="楷体"/>
                <w:color w:val="000000"/>
                <w:kern w:val="0"/>
                <w:szCs w:val="21"/>
              </w:rPr>
              <w:t>面向患者提供基于互联网的云影像（云胶片）云报告查询服务。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spacing w:line="360" w:lineRule="auto"/>
              <w:jc w:val="center"/>
              <w:rPr>
                <w:rFonts w:ascii="楷体" w:hAnsi="楷体" w:eastAsia="楷体" w:cs="楷体"/>
                <w:bCs/>
                <w:color w:val="000000"/>
                <w:kern w:val="0"/>
                <w:szCs w:val="21"/>
              </w:rPr>
            </w:pPr>
            <w:r>
              <w:rPr>
                <w:rFonts w:hint="eastAsia" w:ascii="楷体" w:hAnsi="楷体" w:eastAsia="楷体" w:cs="楷体"/>
                <w:color w:val="000000"/>
                <w:kern w:val="0"/>
                <w:szCs w:val="21"/>
              </w:rPr>
              <w:t>5</w:t>
            </w:r>
          </w:p>
        </w:tc>
        <w:tc>
          <w:tcPr>
            <w:tcW w:w="3270" w:type="dxa"/>
            <w:vAlign w:val="center"/>
          </w:tcPr>
          <w:p>
            <w:pPr>
              <w:widowControl/>
              <w:spacing w:line="360" w:lineRule="auto"/>
              <w:jc w:val="left"/>
              <w:rPr>
                <w:rFonts w:ascii="楷体" w:hAnsi="楷体" w:eastAsia="楷体" w:cs="楷体"/>
                <w:bCs/>
                <w:color w:val="000000"/>
                <w:kern w:val="0"/>
                <w:szCs w:val="21"/>
              </w:rPr>
            </w:pPr>
            <w:r>
              <w:rPr>
                <w:rFonts w:hint="eastAsia" w:ascii="楷体" w:hAnsi="楷体" w:eastAsia="楷体" w:cs="楷体"/>
                <w:color w:val="000000"/>
                <w:kern w:val="0"/>
                <w:szCs w:val="21"/>
              </w:rPr>
              <w:t>放射互联网会诊工作站(PC端)</w:t>
            </w:r>
          </w:p>
        </w:tc>
        <w:tc>
          <w:tcPr>
            <w:tcW w:w="766" w:type="dxa"/>
            <w:vAlign w:val="center"/>
          </w:tcPr>
          <w:p>
            <w:pPr>
              <w:widowControl/>
              <w:spacing w:line="360" w:lineRule="auto"/>
              <w:jc w:val="center"/>
              <w:rPr>
                <w:rFonts w:ascii="楷体" w:hAnsi="楷体" w:eastAsia="楷体" w:cs="楷体"/>
                <w:bCs/>
                <w:color w:val="000000"/>
                <w:kern w:val="0"/>
                <w:szCs w:val="21"/>
              </w:rPr>
            </w:pPr>
            <w:r>
              <w:rPr>
                <w:rFonts w:hint="eastAsia" w:ascii="楷体" w:hAnsi="楷体" w:eastAsia="楷体" w:cs="楷体"/>
                <w:bCs/>
                <w:color w:val="000000"/>
                <w:kern w:val="0"/>
                <w:szCs w:val="21"/>
              </w:rPr>
              <w:t>1</w:t>
            </w:r>
            <w:r>
              <w:rPr>
                <w:rFonts w:hint="eastAsia" w:ascii="楷体" w:hAnsi="楷体" w:eastAsia="楷体" w:cs="楷体"/>
                <w:color w:val="000000"/>
                <w:kern w:val="0"/>
                <w:szCs w:val="21"/>
                <w:lang w:bidi="ar"/>
              </w:rPr>
              <w:t>套</w:t>
            </w:r>
          </w:p>
        </w:tc>
        <w:tc>
          <w:tcPr>
            <w:tcW w:w="4123" w:type="dxa"/>
          </w:tcPr>
          <w:p>
            <w:pPr>
              <w:widowControl/>
              <w:jc w:val="left"/>
              <w:rPr>
                <w:rFonts w:ascii="楷体" w:hAnsi="楷体" w:eastAsia="楷体" w:cs="楷体"/>
                <w:bCs/>
                <w:color w:val="000000"/>
                <w:kern w:val="0"/>
                <w:szCs w:val="21"/>
              </w:rPr>
            </w:pPr>
            <w:r>
              <w:rPr>
                <w:rFonts w:hint="eastAsia" w:ascii="楷体" w:hAnsi="楷体" w:eastAsia="楷体" w:cs="楷体"/>
                <w:color w:val="000000"/>
                <w:kern w:val="0"/>
                <w:szCs w:val="21"/>
              </w:rPr>
              <w:t>面向医生提供PC端云影像诊断咨询、影像调阅、意见书写、二次审核等云应用服务。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spacing w:line="360" w:lineRule="auto"/>
              <w:jc w:val="center"/>
              <w:rPr>
                <w:rFonts w:ascii="楷体" w:hAnsi="楷体" w:eastAsia="楷体" w:cs="楷体"/>
                <w:bCs/>
                <w:color w:val="000000"/>
                <w:kern w:val="0"/>
                <w:szCs w:val="21"/>
              </w:rPr>
            </w:pPr>
            <w:r>
              <w:rPr>
                <w:rFonts w:hint="eastAsia" w:ascii="楷体" w:hAnsi="楷体" w:eastAsia="楷体" w:cs="楷体"/>
                <w:color w:val="000000"/>
                <w:kern w:val="0"/>
                <w:szCs w:val="21"/>
              </w:rPr>
              <w:t>6</w:t>
            </w:r>
          </w:p>
        </w:tc>
        <w:tc>
          <w:tcPr>
            <w:tcW w:w="3270" w:type="dxa"/>
            <w:vAlign w:val="center"/>
          </w:tcPr>
          <w:p>
            <w:pPr>
              <w:widowControl/>
              <w:spacing w:line="360" w:lineRule="auto"/>
              <w:jc w:val="left"/>
              <w:rPr>
                <w:rFonts w:ascii="楷体" w:hAnsi="楷体" w:eastAsia="楷体" w:cs="楷体"/>
                <w:bCs/>
                <w:color w:val="000000"/>
                <w:kern w:val="0"/>
                <w:szCs w:val="21"/>
              </w:rPr>
            </w:pPr>
            <w:r>
              <w:rPr>
                <w:rFonts w:hint="eastAsia" w:ascii="楷体" w:hAnsi="楷体" w:eastAsia="楷体" w:cs="楷体"/>
                <w:color w:val="000000"/>
                <w:kern w:val="0"/>
                <w:szCs w:val="21"/>
              </w:rPr>
              <w:t>云影像云报告二维码生成及链接调用接口</w:t>
            </w:r>
          </w:p>
        </w:tc>
        <w:tc>
          <w:tcPr>
            <w:tcW w:w="766" w:type="dxa"/>
            <w:vAlign w:val="center"/>
          </w:tcPr>
          <w:p>
            <w:pPr>
              <w:widowControl/>
              <w:spacing w:line="360" w:lineRule="auto"/>
              <w:jc w:val="center"/>
              <w:rPr>
                <w:rFonts w:ascii="楷体" w:hAnsi="楷体" w:eastAsia="楷体" w:cs="楷体"/>
                <w:bCs/>
                <w:color w:val="000000"/>
                <w:kern w:val="0"/>
                <w:szCs w:val="21"/>
              </w:rPr>
            </w:pPr>
            <w:r>
              <w:rPr>
                <w:rFonts w:hint="eastAsia" w:ascii="楷体" w:hAnsi="楷体" w:eastAsia="楷体" w:cs="楷体"/>
                <w:bCs/>
                <w:color w:val="000000"/>
                <w:kern w:val="0"/>
                <w:szCs w:val="21"/>
              </w:rPr>
              <w:t>1</w:t>
            </w:r>
            <w:r>
              <w:rPr>
                <w:rFonts w:hint="eastAsia" w:ascii="楷体" w:hAnsi="楷体" w:eastAsia="楷体" w:cs="楷体"/>
                <w:color w:val="000000"/>
                <w:kern w:val="0"/>
                <w:szCs w:val="21"/>
                <w:lang w:bidi="ar"/>
              </w:rPr>
              <w:t>套</w:t>
            </w:r>
          </w:p>
        </w:tc>
        <w:tc>
          <w:tcPr>
            <w:tcW w:w="4123" w:type="dxa"/>
          </w:tcPr>
          <w:p>
            <w:pPr>
              <w:widowControl/>
              <w:jc w:val="left"/>
              <w:rPr>
                <w:rFonts w:ascii="楷体" w:hAnsi="楷体" w:eastAsia="楷体" w:cs="楷体"/>
                <w:bCs/>
                <w:color w:val="000000"/>
                <w:kern w:val="0"/>
                <w:szCs w:val="21"/>
              </w:rPr>
            </w:pPr>
            <w:r>
              <w:rPr>
                <w:rFonts w:hint="eastAsia" w:ascii="楷体" w:hAnsi="楷体" w:eastAsia="楷体" w:cs="楷体"/>
                <w:color w:val="000000"/>
                <w:kern w:val="0"/>
                <w:szCs w:val="21"/>
              </w:rPr>
              <w:t>为第三方应用提供http方式获取二维码图片或链接，用于嵌入到取片单、报告上等，用来浏览患者检查。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snapToGrid w:val="0"/>
              <w:jc w:val="center"/>
              <w:rPr>
                <w:rFonts w:ascii="楷体" w:hAnsi="楷体" w:eastAsia="楷体" w:cs="楷体"/>
                <w:color w:val="000000"/>
                <w:kern w:val="0"/>
                <w:szCs w:val="21"/>
              </w:rPr>
            </w:pPr>
            <w:r>
              <w:rPr>
                <w:rFonts w:hint="eastAsia" w:ascii="楷体" w:hAnsi="楷体" w:eastAsia="楷体" w:cs="楷体"/>
                <w:color w:val="000000"/>
                <w:kern w:val="0"/>
                <w:szCs w:val="21"/>
              </w:rPr>
              <w:t>7</w:t>
            </w:r>
          </w:p>
        </w:tc>
        <w:tc>
          <w:tcPr>
            <w:tcW w:w="3270" w:type="dxa"/>
            <w:vAlign w:val="center"/>
          </w:tcPr>
          <w:p>
            <w:pPr>
              <w:snapToGrid w:val="0"/>
              <w:rPr>
                <w:rFonts w:ascii="楷体" w:hAnsi="楷体" w:eastAsia="楷体" w:cs="楷体"/>
                <w:color w:val="000000"/>
                <w:kern w:val="0"/>
                <w:szCs w:val="21"/>
              </w:rPr>
            </w:pPr>
            <w:r>
              <w:rPr>
                <w:rFonts w:hint="eastAsia" w:ascii="楷体" w:hAnsi="楷体" w:eastAsia="楷体" w:cs="楷体"/>
                <w:color w:val="000000"/>
                <w:kern w:val="0"/>
                <w:szCs w:val="21"/>
              </w:rPr>
              <w:t>文档PDF生成与发布服务</w:t>
            </w:r>
          </w:p>
        </w:tc>
        <w:tc>
          <w:tcPr>
            <w:tcW w:w="766" w:type="dxa"/>
            <w:vAlign w:val="center"/>
          </w:tcPr>
          <w:p>
            <w:pPr>
              <w:snapToGrid w:val="0"/>
              <w:jc w:val="center"/>
              <w:rPr>
                <w:rFonts w:ascii="楷体" w:hAnsi="楷体" w:eastAsia="楷体" w:cs="楷体"/>
                <w:bCs/>
                <w:color w:val="000000"/>
                <w:kern w:val="0"/>
                <w:szCs w:val="21"/>
              </w:rPr>
            </w:pPr>
            <w:r>
              <w:rPr>
                <w:rFonts w:hint="eastAsia" w:ascii="楷体" w:hAnsi="楷体" w:eastAsia="楷体" w:cs="楷体"/>
                <w:bCs/>
                <w:color w:val="000000"/>
                <w:kern w:val="0"/>
                <w:szCs w:val="21"/>
              </w:rPr>
              <w:t>1</w:t>
            </w:r>
            <w:r>
              <w:rPr>
                <w:rFonts w:hint="eastAsia" w:ascii="楷体" w:hAnsi="楷体" w:eastAsia="楷体" w:cs="楷体"/>
                <w:color w:val="000000"/>
                <w:kern w:val="0"/>
                <w:szCs w:val="21"/>
                <w:lang w:bidi="ar"/>
              </w:rPr>
              <w:t>套</w:t>
            </w:r>
          </w:p>
        </w:tc>
        <w:tc>
          <w:tcPr>
            <w:tcW w:w="4123" w:type="dxa"/>
          </w:tcPr>
          <w:p>
            <w:pPr>
              <w:snapToGrid w:val="0"/>
              <w:rPr>
                <w:rFonts w:ascii="楷体" w:hAnsi="楷体" w:eastAsia="楷体" w:cs="楷体"/>
                <w:color w:val="000000"/>
                <w:kern w:val="0"/>
                <w:szCs w:val="21"/>
              </w:rPr>
            </w:pPr>
            <w:r>
              <w:rPr>
                <w:rFonts w:hint="eastAsia" w:ascii="楷体" w:hAnsi="楷体" w:eastAsia="楷体" w:cs="楷体"/>
                <w:color w:val="000000"/>
                <w:kern w:val="0"/>
                <w:szCs w:val="21"/>
              </w:rPr>
              <w:t>放射、超声、内镜等报告文档PDF生成和发布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snapToGrid w:val="0"/>
              <w:jc w:val="center"/>
              <w:rPr>
                <w:rFonts w:ascii="楷体" w:hAnsi="楷体" w:eastAsia="楷体" w:cs="楷体"/>
                <w:color w:val="000000"/>
                <w:kern w:val="0"/>
                <w:szCs w:val="21"/>
              </w:rPr>
            </w:pPr>
            <w:r>
              <w:rPr>
                <w:rFonts w:hint="eastAsia" w:ascii="楷体" w:hAnsi="楷体" w:eastAsia="楷体" w:cs="楷体"/>
                <w:b/>
                <w:bCs/>
                <w:kern w:val="0"/>
                <w:sz w:val="24"/>
              </w:rPr>
              <w:t>（三）</w:t>
            </w:r>
          </w:p>
        </w:tc>
        <w:tc>
          <w:tcPr>
            <w:tcW w:w="8159" w:type="dxa"/>
            <w:gridSpan w:val="3"/>
            <w:vAlign w:val="center"/>
          </w:tcPr>
          <w:p>
            <w:pPr>
              <w:snapToGrid w:val="0"/>
              <w:rPr>
                <w:rFonts w:ascii="楷体" w:hAnsi="楷体" w:eastAsia="楷体" w:cs="楷体"/>
                <w:color w:val="000000"/>
                <w:kern w:val="0"/>
                <w:szCs w:val="21"/>
              </w:rPr>
            </w:pPr>
            <w:r>
              <w:rPr>
                <w:rFonts w:hint="eastAsia" w:ascii="楷体" w:hAnsi="楷体" w:eastAsia="楷体" w:cs="楷体"/>
                <w:b/>
                <w:bCs/>
                <w:kern w:val="0"/>
                <w:sz w:val="24"/>
              </w:rPr>
              <w:t>配套硬件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snapToGrid w:val="0"/>
              <w:jc w:val="center"/>
              <w:rPr>
                <w:rFonts w:ascii="楷体" w:hAnsi="楷体" w:eastAsia="楷体" w:cs="楷体"/>
                <w:b/>
                <w:bCs/>
                <w:kern w:val="0"/>
                <w:sz w:val="24"/>
              </w:rPr>
            </w:pPr>
            <w:bookmarkStart w:id="341" w:name="_Hlk133521971"/>
            <w:r>
              <w:rPr>
                <w:rFonts w:hint="eastAsia" w:ascii="楷体" w:hAnsi="楷体" w:eastAsia="楷体" w:cs="楷体"/>
                <w:kern w:val="0"/>
                <w:sz w:val="24"/>
              </w:rPr>
              <w:t>1</w:t>
            </w:r>
          </w:p>
        </w:tc>
        <w:tc>
          <w:tcPr>
            <w:tcW w:w="3270" w:type="dxa"/>
            <w:vAlign w:val="center"/>
          </w:tcPr>
          <w:p>
            <w:pPr>
              <w:snapToGrid w:val="0"/>
              <w:rPr>
                <w:rFonts w:ascii="楷体" w:hAnsi="楷体" w:eastAsia="楷体" w:cs="楷体"/>
                <w:color w:val="000000"/>
                <w:kern w:val="0"/>
                <w:szCs w:val="21"/>
              </w:rPr>
            </w:pPr>
            <w:r>
              <w:rPr>
                <w:rFonts w:hint="eastAsia" w:ascii="楷体" w:hAnsi="楷体" w:eastAsia="楷体" w:cs="楷体"/>
                <w:kern w:val="0"/>
                <w:sz w:val="22"/>
                <w:szCs w:val="22"/>
              </w:rPr>
              <w:t>PACS数据库服务器</w:t>
            </w:r>
          </w:p>
        </w:tc>
        <w:tc>
          <w:tcPr>
            <w:tcW w:w="766" w:type="dxa"/>
            <w:vAlign w:val="center"/>
          </w:tcPr>
          <w:p>
            <w:pPr>
              <w:snapToGrid w:val="0"/>
              <w:jc w:val="center"/>
              <w:rPr>
                <w:rFonts w:ascii="楷体" w:hAnsi="楷体" w:eastAsia="楷体" w:cs="楷体"/>
                <w:bCs/>
                <w:color w:val="000000"/>
                <w:kern w:val="0"/>
                <w:szCs w:val="21"/>
              </w:rPr>
            </w:pPr>
            <w:r>
              <w:rPr>
                <w:rFonts w:hint="eastAsia" w:ascii="楷体" w:hAnsi="楷体" w:eastAsia="楷体" w:cs="楷体"/>
                <w:bCs/>
                <w:color w:val="000000"/>
                <w:kern w:val="0"/>
                <w:szCs w:val="21"/>
              </w:rPr>
              <w:t>2台</w:t>
            </w:r>
          </w:p>
        </w:tc>
        <w:tc>
          <w:tcPr>
            <w:tcW w:w="4123" w:type="dxa"/>
          </w:tcPr>
          <w:p>
            <w:pPr>
              <w:snapToGrid w:val="0"/>
              <w:rPr>
                <w:rFonts w:ascii="楷体" w:hAnsi="楷体" w:eastAsia="楷体" w:cs="楷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snapToGrid w:val="0"/>
              <w:jc w:val="center"/>
              <w:rPr>
                <w:rFonts w:ascii="楷体" w:hAnsi="楷体" w:eastAsia="楷体" w:cs="楷体"/>
                <w:kern w:val="0"/>
                <w:sz w:val="24"/>
              </w:rPr>
            </w:pPr>
            <w:r>
              <w:rPr>
                <w:rFonts w:hint="eastAsia" w:ascii="楷体" w:hAnsi="楷体" w:eastAsia="楷体" w:cs="楷体"/>
                <w:kern w:val="0"/>
                <w:sz w:val="24"/>
              </w:rPr>
              <w:t>2</w:t>
            </w:r>
          </w:p>
        </w:tc>
        <w:tc>
          <w:tcPr>
            <w:tcW w:w="3270" w:type="dxa"/>
            <w:vAlign w:val="center"/>
          </w:tcPr>
          <w:p>
            <w:pPr>
              <w:snapToGrid w:val="0"/>
              <w:rPr>
                <w:rFonts w:ascii="楷体" w:hAnsi="楷体" w:eastAsia="楷体" w:cs="楷体"/>
                <w:color w:val="000000"/>
                <w:kern w:val="0"/>
                <w:szCs w:val="21"/>
              </w:rPr>
            </w:pPr>
            <w:r>
              <w:rPr>
                <w:rFonts w:hint="eastAsia" w:ascii="楷体" w:hAnsi="楷体" w:eastAsia="楷体" w:cs="楷体"/>
                <w:kern w:val="0"/>
                <w:sz w:val="22"/>
                <w:szCs w:val="22"/>
              </w:rPr>
              <w:t>RIS应用服务器、WEB（面向临床）服务器</w:t>
            </w:r>
          </w:p>
        </w:tc>
        <w:tc>
          <w:tcPr>
            <w:tcW w:w="766" w:type="dxa"/>
            <w:vAlign w:val="center"/>
          </w:tcPr>
          <w:p>
            <w:pPr>
              <w:snapToGrid w:val="0"/>
              <w:jc w:val="center"/>
              <w:rPr>
                <w:rFonts w:ascii="楷体" w:hAnsi="楷体" w:eastAsia="楷体" w:cs="楷体"/>
                <w:bCs/>
                <w:color w:val="000000"/>
                <w:kern w:val="0"/>
                <w:szCs w:val="21"/>
              </w:rPr>
            </w:pPr>
            <w:r>
              <w:rPr>
                <w:rFonts w:hint="eastAsia" w:ascii="楷体" w:hAnsi="楷体" w:eastAsia="楷体" w:cs="楷体"/>
                <w:bCs/>
                <w:color w:val="000000"/>
                <w:kern w:val="0"/>
                <w:szCs w:val="21"/>
              </w:rPr>
              <w:t>2台</w:t>
            </w:r>
          </w:p>
        </w:tc>
        <w:tc>
          <w:tcPr>
            <w:tcW w:w="4123" w:type="dxa"/>
          </w:tcPr>
          <w:p>
            <w:pPr>
              <w:snapToGrid w:val="0"/>
              <w:rPr>
                <w:rFonts w:ascii="楷体" w:hAnsi="楷体" w:eastAsia="楷体" w:cs="楷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snapToGrid w:val="0"/>
              <w:jc w:val="center"/>
              <w:rPr>
                <w:rFonts w:ascii="楷体" w:hAnsi="楷体" w:eastAsia="楷体" w:cs="楷体"/>
                <w:kern w:val="0"/>
                <w:sz w:val="24"/>
              </w:rPr>
            </w:pPr>
            <w:r>
              <w:rPr>
                <w:rFonts w:hint="eastAsia" w:ascii="楷体" w:hAnsi="楷体" w:eastAsia="楷体" w:cs="楷体"/>
                <w:kern w:val="0"/>
                <w:sz w:val="24"/>
              </w:rPr>
              <w:t>3</w:t>
            </w:r>
          </w:p>
        </w:tc>
        <w:tc>
          <w:tcPr>
            <w:tcW w:w="3270" w:type="dxa"/>
            <w:vAlign w:val="center"/>
          </w:tcPr>
          <w:p>
            <w:pPr>
              <w:snapToGrid w:val="0"/>
              <w:rPr>
                <w:rFonts w:ascii="楷体" w:hAnsi="楷体" w:eastAsia="楷体" w:cs="楷体"/>
                <w:kern w:val="0"/>
                <w:sz w:val="22"/>
                <w:szCs w:val="22"/>
              </w:rPr>
            </w:pPr>
            <w:r>
              <w:rPr>
                <w:rFonts w:hint="eastAsia" w:ascii="楷体" w:hAnsi="楷体" w:eastAsia="楷体" w:cs="楷体"/>
                <w:kern w:val="0"/>
                <w:sz w:val="22"/>
                <w:szCs w:val="22"/>
              </w:rPr>
              <w:t>院内私有云的云服务器</w:t>
            </w:r>
          </w:p>
        </w:tc>
        <w:tc>
          <w:tcPr>
            <w:tcW w:w="766" w:type="dxa"/>
            <w:vAlign w:val="center"/>
          </w:tcPr>
          <w:p>
            <w:pPr>
              <w:snapToGrid w:val="0"/>
              <w:jc w:val="center"/>
              <w:rPr>
                <w:rFonts w:ascii="楷体" w:hAnsi="楷体" w:eastAsia="楷体" w:cs="楷体"/>
                <w:bCs/>
                <w:color w:val="000000"/>
                <w:kern w:val="0"/>
                <w:szCs w:val="21"/>
              </w:rPr>
            </w:pPr>
            <w:r>
              <w:rPr>
                <w:rFonts w:hint="eastAsia" w:ascii="楷体" w:hAnsi="楷体" w:eastAsia="楷体" w:cs="楷体"/>
                <w:bCs/>
                <w:color w:val="000000"/>
                <w:kern w:val="0"/>
                <w:szCs w:val="21"/>
              </w:rPr>
              <w:t>1台</w:t>
            </w:r>
          </w:p>
        </w:tc>
        <w:tc>
          <w:tcPr>
            <w:tcW w:w="4123" w:type="dxa"/>
          </w:tcPr>
          <w:p>
            <w:pPr>
              <w:snapToGrid w:val="0"/>
              <w:rPr>
                <w:rFonts w:ascii="楷体" w:hAnsi="楷体" w:eastAsia="楷体" w:cs="楷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snapToGrid w:val="0"/>
              <w:jc w:val="center"/>
              <w:rPr>
                <w:rFonts w:ascii="楷体" w:hAnsi="楷体" w:eastAsia="楷体" w:cs="楷体"/>
                <w:kern w:val="0"/>
                <w:sz w:val="24"/>
              </w:rPr>
            </w:pPr>
            <w:r>
              <w:rPr>
                <w:rFonts w:hint="eastAsia" w:ascii="楷体" w:hAnsi="楷体" w:eastAsia="楷体" w:cs="楷体"/>
                <w:kern w:val="0"/>
                <w:sz w:val="24"/>
              </w:rPr>
              <w:t>4</w:t>
            </w:r>
          </w:p>
        </w:tc>
        <w:tc>
          <w:tcPr>
            <w:tcW w:w="3270" w:type="dxa"/>
            <w:vAlign w:val="center"/>
          </w:tcPr>
          <w:p>
            <w:pPr>
              <w:snapToGrid w:val="0"/>
              <w:rPr>
                <w:rFonts w:ascii="楷体" w:hAnsi="楷体" w:eastAsia="楷体" w:cs="楷体"/>
                <w:kern w:val="0"/>
                <w:sz w:val="22"/>
                <w:szCs w:val="22"/>
              </w:rPr>
            </w:pPr>
            <w:r>
              <w:rPr>
                <w:rFonts w:hint="eastAsia" w:ascii="楷体" w:hAnsi="楷体" w:eastAsia="楷体" w:cs="楷体"/>
                <w:kern w:val="0"/>
                <w:sz w:val="22"/>
                <w:szCs w:val="22"/>
              </w:rPr>
              <w:t>对象存储（配置2台数据交换机）</w:t>
            </w:r>
          </w:p>
        </w:tc>
        <w:tc>
          <w:tcPr>
            <w:tcW w:w="766" w:type="dxa"/>
            <w:vAlign w:val="center"/>
          </w:tcPr>
          <w:p>
            <w:pPr>
              <w:snapToGrid w:val="0"/>
              <w:jc w:val="center"/>
              <w:rPr>
                <w:rFonts w:ascii="楷体" w:hAnsi="楷体" w:eastAsia="楷体" w:cs="楷体"/>
                <w:bCs/>
                <w:color w:val="000000"/>
                <w:kern w:val="0"/>
                <w:szCs w:val="21"/>
              </w:rPr>
            </w:pPr>
            <w:r>
              <w:rPr>
                <w:rFonts w:hint="eastAsia" w:ascii="楷体" w:hAnsi="楷体" w:eastAsia="楷体" w:cs="楷体"/>
                <w:bCs/>
                <w:color w:val="000000"/>
                <w:kern w:val="0"/>
                <w:szCs w:val="21"/>
              </w:rPr>
              <w:t>1台</w:t>
            </w:r>
          </w:p>
        </w:tc>
        <w:tc>
          <w:tcPr>
            <w:tcW w:w="4123" w:type="dxa"/>
          </w:tcPr>
          <w:p>
            <w:pPr>
              <w:snapToGrid w:val="0"/>
              <w:rPr>
                <w:rFonts w:ascii="楷体" w:hAnsi="楷体" w:eastAsia="楷体" w:cs="楷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snapToGrid w:val="0"/>
              <w:jc w:val="center"/>
              <w:rPr>
                <w:rFonts w:ascii="楷体" w:hAnsi="楷体" w:eastAsia="楷体" w:cs="楷体"/>
                <w:kern w:val="0"/>
                <w:sz w:val="24"/>
              </w:rPr>
            </w:pPr>
            <w:r>
              <w:rPr>
                <w:rFonts w:hint="eastAsia" w:ascii="楷体" w:hAnsi="楷体" w:eastAsia="楷体" w:cs="楷体"/>
                <w:kern w:val="0"/>
                <w:sz w:val="24"/>
              </w:rPr>
              <w:t>5</w:t>
            </w:r>
          </w:p>
        </w:tc>
        <w:tc>
          <w:tcPr>
            <w:tcW w:w="3270" w:type="dxa"/>
            <w:vAlign w:val="center"/>
          </w:tcPr>
          <w:p>
            <w:pPr>
              <w:snapToGrid w:val="0"/>
              <w:rPr>
                <w:rFonts w:ascii="楷体" w:hAnsi="楷体" w:eastAsia="楷体" w:cs="楷体"/>
                <w:kern w:val="0"/>
                <w:sz w:val="22"/>
                <w:szCs w:val="22"/>
              </w:rPr>
            </w:pPr>
            <w:r>
              <w:rPr>
                <w:rFonts w:hint="eastAsia" w:ascii="楷体" w:hAnsi="楷体" w:eastAsia="楷体" w:cs="楷体"/>
                <w:kern w:val="0"/>
                <w:sz w:val="22"/>
                <w:szCs w:val="22"/>
              </w:rPr>
              <w:t>千兆交换机</w:t>
            </w:r>
          </w:p>
        </w:tc>
        <w:tc>
          <w:tcPr>
            <w:tcW w:w="766" w:type="dxa"/>
            <w:vAlign w:val="center"/>
          </w:tcPr>
          <w:p>
            <w:pPr>
              <w:snapToGrid w:val="0"/>
              <w:jc w:val="center"/>
              <w:rPr>
                <w:rFonts w:ascii="楷体" w:hAnsi="楷体" w:eastAsia="楷体" w:cs="楷体"/>
                <w:bCs/>
                <w:color w:val="000000"/>
                <w:kern w:val="0"/>
                <w:szCs w:val="21"/>
              </w:rPr>
            </w:pPr>
            <w:r>
              <w:rPr>
                <w:rFonts w:hint="eastAsia" w:ascii="楷体" w:hAnsi="楷体" w:eastAsia="楷体" w:cs="楷体"/>
                <w:bCs/>
                <w:color w:val="000000"/>
                <w:kern w:val="0"/>
                <w:szCs w:val="21"/>
              </w:rPr>
              <w:t>2台</w:t>
            </w:r>
          </w:p>
        </w:tc>
        <w:tc>
          <w:tcPr>
            <w:tcW w:w="4123" w:type="dxa"/>
          </w:tcPr>
          <w:p>
            <w:pPr>
              <w:snapToGrid w:val="0"/>
              <w:rPr>
                <w:rFonts w:ascii="楷体" w:hAnsi="楷体" w:eastAsia="楷体" w:cs="楷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snapToGrid w:val="0"/>
              <w:jc w:val="center"/>
              <w:rPr>
                <w:rFonts w:ascii="楷体" w:hAnsi="楷体" w:eastAsia="楷体" w:cs="楷体"/>
                <w:kern w:val="0"/>
                <w:sz w:val="24"/>
              </w:rPr>
            </w:pPr>
            <w:r>
              <w:rPr>
                <w:rFonts w:hint="eastAsia" w:ascii="楷体" w:hAnsi="楷体" w:eastAsia="楷体" w:cs="楷体"/>
                <w:kern w:val="0"/>
                <w:sz w:val="24"/>
              </w:rPr>
              <w:t>6</w:t>
            </w:r>
          </w:p>
        </w:tc>
        <w:tc>
          <w:tcPr>
            <w:tcW w:w="3270" w:type="dxa"/>
            <w:vAlign w:val="center"/>
          </w:tcPr>
          <w:p>
            <w:pPr>
              <w:snapToGrid w:val="0"/>
              <w:rPr>
                <w:rFonts w:ascii="楷体" w:hAnsi="楷体" w:eastAsia="楷体" w:cs="楷体"/>
                <w:kern w:val="0"/>
                <w:sz w:val="22"/>
                <w:szCs w:val="22"/>
              </w:rPr>
            </w:pPr>
            <w:r>
              <w:rPr>
                <w:rFonts w:hint="eastAsia" w:ascii="楷体" w:hAnsi="楷体" w:eastAsia="楷体" w:cs="楷体"/>
                <w:kern w:val="0"/>
                <w:sz w:val="22"/>
                <w:szCs w:val="22"/>
              </w:rPr>
              <w:t>叫号大屏电视机</w:t>
            </w:r>
          </w:p>
        </w:tc>
        <w:tc>
          <w:tcPr>
            <w:tcW w:w="766" w:type="dxa"/>
            <w:vAlign w:val="center"/>
          </w:tcPr>
          <w:p>
            <w:pPr>
              <w:snapToGrid w:val="0"/>
              <w:jc w:val="center"/>
              <w:rPr>
                <w:rFonts w:ascii="楷体" w:hAnsi="楷体" w:eastAsia="楷体" w:cs="楷体"/>
                <w:bCs/>
                <w:color w:val="000000"/>
                <w:kern w:val="0"/>
                <w:szCs w:val="21"/>
              </w:rPr>
            </w:pPr>
            <w:r>
              <w:rPr>
                <w:rFonts w:hint="eastAsia" w:ascii="楷体" w:hAnsi="楷体" w:eastAsia="楷体" w:cs="楷体"/>
                <w:bCs/>
                <w:color w:val="000000"/>
                <w:kern w:val="0"/>
                <w:szCs w:val="21"/>
              </w:rPr>
              <w:t>3台</w:t>
            </w:r>
          </w:p>
        </w:tc>
        <w:tc>
          <w:tcPr>
            <w:tcW w:w="4123" w:type="dxa"/>
          </w:tcPr>
          <w:p>
            <w:pPr>
              <w:snapToGrid w:val="0"/>
              <w:rPr>
                <w:rFonts w:ascii="楷体" w:hAnsi="楷体" w:eastAsia="楷体" w:cs="楷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snapToGrid w:val="0"/>
              <w:jc w:val="center"/>
              <w:rPr>
                <w:rFonts w:ascii="楷体" w:hAnsi="楷体" w:eastAsia="楷体" w:cs="楷体"/>
                <w:kern w:val="0"/>
                <w:sz w:val="24"/>
              </w:rPr>
            </w:pPr>
            <w:r>
              <w:rPr>
                <w:rFonts w:hint="eastAsia" w:ascii="楷体" w:hAnsi="楷体" w:eastAsia="楷体" w:cs="楷体"/>
                <w:kern w:val="0"/>
                <w:sz w:val="24"/>
              </w:rPr>
              <w:t>7</w:t>
            </w:r>
          </w:p>
        </w:tc>
        <w:tc>
          <w:tcPr>
            <w:tcW w:w="3270" w:type="dxa"/>
            <w:vAlign w:val="center"/>
          </w:tcPr>
          <w:p>
            <w:pPr>
              <w:snapToGrid w:val="0"/>
              <w:rPr>
                <w:rFonts w:ascii="楷体" w:hAnsi="楷体" w:eastAsia="楷体" w:cs="楷体"/>
                <w:kern w:val="0"/>
                <w:sz w:val="22"/>
                <w:szCs w:val="22"/>
              </w:rPr>
            </w:pPr>
            <w:r>
              <w:rPr>
                <w:rFonts w:hint="eastAsia" w:ascii="楷体" w:hAnsi="楷体" w:eastAsia="楷体" w:cs="楷体"/>
                <w:kern w:val="0"/>
                <w:sz w:val="22"/>
                <w:szCs w:val="22"/>
              </w:rPr>
              <w:t>手写板</w:t>
            </w:r>
          </w:p>
        </w:tc>
        <w:tc>
          <w:tcPr>
            <w:tcW w:w="766" w:type="dxa"/>
            <w:vAlign w:val="center"/>
          </w:tcPr>
          <w:p>
            <w:pPr>
              <w:snapToGrid w:val="0"/>
              <w:jc w:val="center"/>
              <w:rPr>
                <w:rFonts w:ascii="楷体" w:hAnsi="楷体" w:eastAsia="楷体" w:cs="楷体"/>
                <w:bCs/>
                <w:color w:val="000000"/>
                <w:kern w:val="0"/>
                <w:szCs w:val="21"/>
              </w:rPr>
            </w:pPr>
            <w:r>
              <w:rPr>
                <w:rFonts w:hint="eastAsia" w:ascii="楷体" w:hAnsi="楷体" w:eastAsia="楷体" w:cs="楷体"/>
                <w:bCs/>
                <w:color w:val="000000"/>
                <w:kern w:val="0"/>
                <w:szCs w:val="21"/>
              </w:rPr>
              <w:t>2个</w:t>
            </w:r>
          </w:p>
        </w:tc>
        <w:tc>
          <w:tcPr>
            <w:tcW w:w="4123" w:type="dxa"/>
          </w:tcPr>
          <w:p>
            <w:pPr>
              <w:snapToGrid w:val="0"/>
              <w:rPr>
                <w:rFonts w:ascii="楷体" w:hAnsi="楷体" w:eastAsia="楷体" w:cs="楷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snapToGrid w:val="0"/>
              <w:jc w:val="center"/>
              <w:rPr>
                <w:rFonts w:ascii="楷体" w:hAnsi="楷体" w:eastAsia="楷体" w:cs="楷体"/>
                <w:kern w:val="0"/>
                <w:sz w:val="24"/>
              </w:rPr>
            </w:pPr>
            <w:r>
              <w:rPr>
                <w:rFonts w:hint="eastAsia" w:ascii="楷体" w:hAnsi="楷体" w:eastAsia="楷体" w:cs="楷体"/>
                <w:kern w:val="0"/>
                <w:sz w:val="24"/>
              </w:rPr>
              <w:t>8</w:t>
            </w:r>
          </w:p>
        </w:tc>
        <w:tc>
          <w:tcPr>
            <w:tcW w:w="3270" w:type="dxa"/>
            <w:vAlign w:val="center"/>
          </w:tcPr>
          <w:p>
            <w:pPr>
              <w:snapToGrid w:val="0"/>
              <w:rPr>
                <w:rFonts w:ascii="楷体" w:hAnsi="楷体" w:eastAsia="楷体" w:cs="楷体"/>
                <w:kern w:val="0"/>
                <w:sz w:val="22"/>
                <w:szCs w:val="22"/>
              </w:rPr>
            </w:pPr>
            <w:r>
              <w:rPr>
                <w:rFonts w:hint="eastAsia" w:ascii="楷体" w:hAnsi="楷体" w:eastAsia="楷体" w:cs="楷体"/>
                <w:kern w:val="0"/>
                <w:sz w:val="22"/>
                <w:szCs w:val="22"/>
              </w:rPr>
              <w:t>电脑</w:t>
            </w:r>
          </w:p>
        </w:tc>
        <w:tc>
          <w:tcPr>
            <w:tcW w:w="766" w:type="dxa"/>
            <w:vAlign w:val="center"/>
          </w:tcPr>
          <w:p>
            <w:pPr>
              <w:snapToGrid w:val="0"/>
              <w:jc w:val="center"/>
              <w:rPr>
                <w:rFonts w:ascii="楷体" w:hAnsi="楷体" w:eastAsia="楷体" w:cs="楷体"/>
                <w:bCs/>
                <w:color w:val="000000"/>
                <w:kern w:val="0"/>
                <w:szCs w:val="21"/>
              </w:rPr>
            </w:pPr>
            <w:r>
              <w:rPr>
                <w:rFonts w:hint="eastAsia" w:ascii="楷体" w:hAnsi="楷体" w:eastAsia="楷体" w:cs="楷体"/>
                <w:bCs/>
                <w:color w:val="000000"/>
                <w:kern w:val="0"/>
                <w:szCs w:val="21"/>
              </w:rPr>
              <w:t>10台</w:t>
            </w:r>
          </w:p>
        </w:tc>
        <w:tc>
          <w:tcPr>
            <w:tcW w:w="4123" w:type="dxa"/>
          </w:tcPr>
          <w:p>
            <w:pPr>
              <w:snapToGrid w:val="0"/>
              <w:rPr>
                <w:rFonts w:ascii="楷体" w:hAnsi="楷体" w:eastAsia="楷体" w:cs="楷体"/>
                <w:color w:val="000000"/>
                <w:kern w:val="0"/>
                <w:szCs w:val="21"/>
              </w:rPr>
            </w:pPr>
          </w:p>
        </w:tc>
      </w:tr>
      <w:bookmarkEnd w:id="3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snapToGrid w:val="0"/>
              <w:jc w:val="center"/>
              <w:rPr>
                <w:rFonts w:ascii="楷体" w:hAnsi="楷体" w:eastAsia="楷体" w:cs="楷体"/>
                <w:kern w:val="0"/>
                <w:sz w:val="24"/>
              </w:rPr>
            </w:pPr>
            <w:r>
              <w:rPr>
                <w:rFonts w:hint="eastAsia" w:ascii="楷体" w:hAnsi="楷体" w:eastAsia="楷体" w:cs="楷体"/>
                <w:b/>
                <w:bCs/>
                <w:kern w:val="0"/>
                <w:sz w:val="24"/>
              </w:rPr>
              <w:t>（四）</w:t>
            </w:r>
          </w:p>
        </w:tc>
        <w:tc>
          <w:tcPr>
            <w:tcW w:w="8159" w:type="dxa"/>
            <w:gridSpan w:val="3"/>
            <w:vAlign w:val="center"/>
          </w:tcPr>
          <w:p>
            <w:pPr>
              <w:snapToGrid w:val="0"/>
              <w:rPr>
                <w:rFonts w:ascii="楷体" w:hAnsi="楷体" w:eastAsia="楷体" w:cs="楷体"/>
                <w:b/>
                <w:bCs/>
                <w:color w:val="000000"/>
                <w:kern w:val="0"/>
                <w:szCs w:val="21"/>
              </w:rPr>
            </w:pPr>
            <w:r>
              <w:rPr>
                <w:rFonts w:hint="eastAsia" w:ascii="楷体" w:hAnsi="楷体" w:eastAsia="楷体" w:cs="楷体"/>
                <w:b/>
                <w:bCs/>
                <w:kern w:val="0"/>
                <w:sz w:val="22"/>
                <w:szCs w:val="22"/>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8" w:type="dxa"/>
            <w:vAlign w:val="center"/>
          </w:tcPr>
          <w:p>
            <w:pPr>
              <w:snapToGrid w:val="0"/>
              <w:jc w:val="center"/>
              <w:rPr>
                <w:rFonts w:ascii="楷体" w:hAnsi="楷体" w:eastAsia="楷体" w:cs="楷体"/>
                <w:kern w:val="0"/>
                <w:sz w:val="24"/>
              </w:rPr>
            </w:pPr>
            <w:r>
              <w:rPr>
                <w:rFonts w:hint="eastAsia" w:ascii="楷体" w:hAnsi="楷体" w:eastAsia="楷体" w:cs="楷体"/>
                <w:kern w:val="0"/>
                <w:sz w:val="24"/>
              </w:rPr>
              <w:t>1</w:t>
            </w:r>
          </w:p>
        </w:tc>
        <w:tc>
          <w:tcPr>
            <w:tcW w:w="3270" w:type="dxa"/>
            <w:vAlign w:val="center"/>
          </w:tcPr>
          <w:p>
            <w:pPr>
              <w:snapToGrid w:val="0"/>
              <w:rPr>
                <w:rFonts w:ascii="楷体" w:hAnsi="楷体" w:eastAsia="楷体" w:cs="楷体"/>
                <w:kern w:val="0"/>
                <w:sz w:val="22"/>
                <w:szCs w:val="22"/>
              </w:rPr>
            </w:pPr>
            <w:r>
              <w:rPr>
                <w:rFonts w:hint="eastAsia" w:ascii="楷体" w:hAnsi="楷体" w:eastAsia="楷体" w:cs="楷体"/>
                <w:kern w:val="0"/>
                <w:sz w:val="22"/>
                <w:szCs w:val="22"/>
              </w:rPr>
              <w:t>接口</w:t>
            </w:r>
          </w:p>
        </w:tc>
        <w:tc>
          <w:tcPr>
            <w:tcW w:w="766" w:type="dxa"/>
            <w:vAlign w:val="center"/>
          </w:tcPr>
          <w:p>
            <w:pPr>
              <w:snapToGrid w:val="0"/>
              <w:jc w:val="center"/>
              <w:rPr>
                <w:rFonts w:ascii="楷体" w:hAnsi="楷体" w:eastAsia="楷体" w:cs="楷体"/>
                <w:bCs/>
                <w:color w:val="000000"/>
                <w:kern w:val="0"/>
                <w:szCs w:val="21"/>
              </w:rPr>
            </w:pPr>
            <w:r>
              <w:rPr>
                <w:rFonts w:hint="eastAsia" w:ascii="楷体" w:hAnsi="楷体" w:eastAsia="楷体" w:cs="楷体"/>
                <w:bCs/>
                <w:color w:val="000000"/>
                <w:kern w:val="0"/>
                <w:szCs w:val="21"/>
              </w:rPr>
              <w:t>1套</w:t>
            </w:r>
          </w:p>
        </w:tc>
        <w:tc>
          <w:tcPr>
            <w:tcW w:w="4123" w:type="dxa"/>
          </w:tcPr>
          <w:p>
            <w:pPr>
              <w:widowControl/>
              <w:spacing w:line="360" w:lineRule="auto"/>
              <w:jc w:val="left"/>
              <w:textAlignment w:val="center"/>
              <w:rPr>
                <w:rFonts w:ascii="楷体" w:hAnsi="楷体" w:eastAsia="楷体" w:cs="楷体"/>
                <w:bCs/>
                <w:color w:val="000000"/>
                <w:kern w:val="0"/>
                <w:szCs w:val="21"/>
              </w:rPr>
            </w:pPr>
            <w:r>
              <w:rPr>
                <w:rFonts w:hint="eastAsia" w:ascii="楷体" w:hAnsi="楷体" w:eastAsia="楷体" w:cs="楷体"/>
                <w:bCs/>
                <w:color w:val="000000"/>
                <w:kern w:val="0"/>
                <w:szCs w:val="21"/>
              </w:rPr>
              <w:t>对接医院、上级主管部门相关平台系统</w:t>
            </w:r>
          </w:p>
        </w:tc>
      </w:tr>
    </w:tbl>
    <w:p>
      <w:pPr>
        <w:snapToGrid w:val="0"/>
        <w:spacing w:line="276" w:lineRule="auto"/>
        <w:jc w:val="left"/>
        <w:rPr>
          <w:rFonts w:ascii="楷体" w:hAnsi="楷体" w:eastAsia="楷体" w:cs="楷体"/>
          <w:color w:val="000000"/>
          <w:sz w:val="28"/>
          <w:szCs w:val="28"/>
        </w:rPr>
      </w:pPr>
    </w:p>
    <w:p>
      <w:pPr>
        <w:numPr>
          <w:ilvl w:val="1"/>
          <w:numId w:val="2"/>
        </w:numPr>
        <w:spacing w:line="360" w:lineRule="auto"/>
        <w:ind w:left="777" w:hanging="567"/>
        <w:rPr>
          <w:rFonts w:ascii="楷体" w:hAnsi="楷体" w:eastAsia="楷体" w:cs="楷体"/>
          <w:b/>
          <w:sz w:val="28"/>
          <w:szCs w:val="28"/>
        </w:rPr>
      </w:pPr>
      <w:r>
        <w:rPr>
          <w:rFonts w:hint="eastAsia" w:ascii="楷体" w:hAnsi="楷体" w:eastAsia="楷体" w:cs="楷体"/>
          <w:b/>
          <w:sz w:val="28"/>
          <w:szCs w:val="28"/>
        </w:rPr>
        <w:t>产品标准、技术参数要求与功能需求</w:t>
      </w:r>
    </w:p>
    <w:tbl>
      <w:tblPr>
        <w:tblStyle w:val="23"/>
        <w:tblW w:w="9043"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7221"/>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17" w:type="dxa"/>
            <w:vAlign w:val="center"/>
          </w:tcPr>
          <w:p>
            <w:pPr>
              <w:spacing w:line="276" w:lineRule="auto"/>
              <w:jc w:val="center"/>
              <w:rPr>
                <w:rFonts w:ascii="楷体" w:hAnsi="楷体" w:eastAsia="楷体" w:cs="楷体"/>
                <w:b/>
                <w:sz w:val="24"/>
              </w:rPr>
            </w:pPr>
            <w:r>
              <w:rPr>
                <w:rFonts w:hint="eastAsia" w:ascii="楷体" w:hAnsi="楷体" w:eastAsia="楷体" w:cs="楷体"/>
                <w:b/>
                <w:sz w:val="24"/>
              </w:rPr>
              <w:t>序号</w:t>
            </w:r>
          </w:p>
        </w:tc>
        <w:tc>
          <w:tcPr>
            <w:tcW w:w="7221" w:type="dxa"/>
            <w:vAlign w:val="center"/>
          </w:tcPr>
          <w:p>
            <w:pPr>
              <w:spacing w:line="276" w:lineRule="auto"/>
              <w:jc w:val="center"/>
              <w:rPr>
                <w:rFonts w:ascii="楷体" w:hAnsi="楷体" w:eastAsia="楷体" w:cs="楷体"/>
                <w:b/>
                <w:sz w:val="24"/>
              </w:rPr>
            </w:pPr>
            <w:r>
              <w:rPr>
                <w:rFonts w:hint="eastAsia" w:ascii="楷体" w:hAnsi="楷体" w:eastAsia="楷体" w:cs="楷体"/>
                <w:b/>
                <w:sz w:val="24"/>
              </w:rPr>
              <w:t>技术参数与功能需求</w:t>
            </w:r>
          </w:p>
        </w:tc>
        <w:tc>
          <w:tcPr>
            <w:tcW w:w="905" w:type="dxa"/>
            <w:vAlign w:val="center"/>
          </w:tcPr>
          <w:p>
            <w:pPr>
              <w:spacing w:line="276" w:lineRule="auto"/>
              <w:jc w:val="center"/>
              <w:rPr>
                <w:rFonts w:ascii="楷体" w:hAnsi="楷体" w:eastAsia="楷体" w:cs="楷体"/>
                <w:b/>
                <w:sz w:val="24"/>
              </w:rPr>
            </w:pPr>
            <w:r>
              <w:rPr>
                <w:rFonts w:hint="eastAsia" w:ascii="楷体" w:hAnsi="楷体" w:eastAsia="楷体" w:cs="楷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17" w:type="dxa"/>
            <w:vAlign w:val="center"/>
          </w:tcPr>
          <w:p>
            <w:pPr>
              <w:spacing w:line="276" w:lineRule="auto"/>
              <w:jc w:val="center"/>
              <w:rPr>
                <w:rFonts w:ascii="楷体" w:hAnsi="楷体" w:eastAsia="楷体" w:cs="楷体"/>
                <w:b/>
                <w:sz w:val="24"/>
              </w:rPr>
            </w:pPr>
          </w:p>
        </w:tc>
        <w:tc>
          <w:tcPr>
            <w:tcW w:w="7221" w:type="dxa"/>
            <w:vAlign w:val="center"/>
          </w:tcPr>
          <w:p>
            <w:pPr>
              <w:spacing w:line="276" w:lineRule="auto"/>
              <w:jc w:val="center"/>
              <w:rPr>
                <w:rFonts w:ascii="楷体" w:hAnsi="楷体" w:eastAsia="楷体" w:cs="楷体"/>
                <w:b/>
                <w:sz w:val="24"/>
              </w:rPr>
            </w:pPr>
            <w:r>
              <w:rPr>
                <w:rFonts w:hint="eastAsia" w:ascii="楷体" w:hAnsi="楷体" w:eastAsia="楷体" w:cs="楷体"/>
                <w:b/>
                <w:sz w:val="24"/>
              </w:rPr>
              <w:t>（一）全院PACS系统软件要求</w:t>
            </w:r>
          </w:p>
        </w:tc>
        <w:tc>
          <w:tcPr>
            <w:tcW w:w="905" w:type="dxa"/>
            <w:vAlign w:val="center"/>
          </w:tcPr>
          <w:p>
            <w:pPr>
              <w:spacing w:line="276" w:lineRule="auto"/>
              <w:jc w:val="center"/>
              <w:rPr>
                <w:rFonts w:ascii="楷体" w:hAnsi="楷体" w:eastAsia="楷体" w:cs="楷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17" w:type="dxa"/>
            <w:vAlign w:val="center"/>
          </w:tcPr>
          <w:p>
            <w:pPr>
              <w:spacing w:line="276" w:lineRule="auto"/>
              <w:jc w:val="center"/>
              <w:rPr>
                <w:rFonts w:ascii="楷体" w:hAnsi="楷体" w:eastAsia="楷体" w:cs="楷体"/>
                <w:b/>
                <w:szCs w:val="21"/>
              </w:rPr>
            </w:pPr>
            <w:r>
              <w:rPr>
                <w:rFonts w:hint="eastAsia" w:ascii="楷体" w:hAnsi="楷体" w:eastAsia="楷体" w:cs="楷体"/>
                <w:b/>
                <w:szCs w:val="21"/>
              </w:rPr>
              <w:t>1</w:t>
            </w:r>
          </w:p>
        </w:tc>
        <w:tc>
          <w:tcPr>
            <w:tcW w:w="7221" w:type="dxa"/>
            <w:vAlign w:val="center"/>
          </w:tcPr>
          <w:p>
            <w:pPr>
              <w:spacing w:line="276" w:lineRule="auto"/>
              <w:jc w:val="center"/>
              <w:rPr>
                <w:rFonts w:ascii="楷体" w:hAnsi="楷体" w:eastAsia="楷体" w:cs="楷体"/>
                <w:b/>
                <w:szCs w:val="21"/>
              </w:rPr>
            </w:pPr>
            <w:r>
              <w:rPr>
                <w:rFonts w:hint="eastAsia" w:ascii="楷体" w:hAnsi="楷体" w:eastAsia="楷体" w:cs="楷体"/>
                <w:b/>
                <w:szCs w:val="21"/>
              </w:rPr>
              <w:t>PACS服务器平台软件要求</w:t>
            </w:r>
          </w:p>
        </w:tc>
        <w:tc>
          <w:tcPr>
            <w:tcW w:w="905" w:type="dxa"/>
            <w:vAlign w:val="center"/>
          </w:tcPr>
          <w:p>
            <w:pPr>
              <w:spacing w:line="276" w:lineRule="auto"/>
              <w:jc w:val="center"/>
              <w:rPr>
                <w:rFonts w:ascii="楷体" w:hAnsi="楷体" w:eastAsia="楷体" w:cs="楷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1.1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支持我院现有所有DICOM影像及其他影像设备的连接。</w:t>
            </w:r>
          </w:p>
        </w:tc>
        <w:tc>
          <w:tcPr>
            <w:tcW w:w="905" w:type="dxa"/>
            <w:vAlign w:val="center"/>
          </w:tcPr>
          <w:p>
            <w:pPr>
              <w:spacing w:line="276" w:lineRule="auto"/>
              <w:jc w:val="center"/>
              <w:rPr>
                <w:rFonts w:ascii="楷体" w:hAnsi="楷体" w:eastAsia="楷体" w:cs="楷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17" w:type="dxa"/>
            <w:vAlign w:val="center"/>
          </w:tcPr>
          <w:p>
            <w:pPr>
              <w:spacing w:line="360" w:lineRule="auto"/>
              <w:jc w:val="center"/>
              <w:rPr>
                <w:rFonts w:ascii="楷体" w:hAnsi="楷体" w:eastAsia="楷体" w:cs="楷体"/>
                <w:b/>
                <w:color w:val="000000"/>
                <w:szCs w:val="21"/>
              </w:rPr>
            </w:pPr>
            <w:r>
              <w:rPr>
                <w:rFonts w:hint="eastAsia" w:ascii="楷体" w:hAnsi="楷体" w:eastAsia="楷体" w:cs="楷体"/>
                <w:color w:val="000000"/>
                <w:szCs w:val="21"/>
              </w:rPr>
              <w:t>1.2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兼容CT、MR、CR、DR、DSA、RF等其他所有影像设备。</w:t>
            </w:r>
          </w:p>
        </w:tc>
        <w:tc>
          <w:tcPr>
            <w:tcW w:w="905" w:type="dxa"/>
            <w:vAlign w:val="center"/>
          </w:tcPr>
          <w:p>
            <w:pPr>
              <w:spacing w:line="276" w:lineRule="auto"/>
              <w:jc w:val="center"/>
              <w:rPr>
                <w:rFonts w:ascii="楷体" w:hAnsi="楷体" w:eastAsia="楷体" w:cs="楷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1.3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符合DICOM3.0标准，完整支持符合DICOM标准的成像设备和数据类型，系统平台设计能支持DICOM要求的数据处理、流程管理、网络发布、显示设置等。能支持放射\超声\内镜\病理科室图像全部以DICOM标准进行存储和显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b/>
                <w:color w:val="000000"/>
                <w:szCs w:val="21"/>
              </w:rPr>
            </w:pPr>
            <w:r>
              <w:rPr>
                <w:rFonts w:hint="eastAsia" w:ascii="楷体" w:hAnsi="楷体" w:eastAsia="楷体" w:cs="楷体"/>
                <w:color w:val="000000"/>
                <w:szCs w:val="21"/>
              </w:rPr>
              <w:t>1.4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WORKLIST SCP功能（用于将病人信息送到MODALITY,避免设备端信息重复输入）</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1.5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DICOM Q/R SCU/SCP</w:t>
            </w:r>
            <w:r>
              <w:rPr>
                <w:rFonts w:hint="eastAsia" w:ascii="楷体" w:hAnsi="楷体" w:eastAsia="楷体" w:cs="楷体"/>
                <w:szCs w:val="21"/>
                <w:lang w:val="fr-FR"/>
              </w:rPr>
              <w:t>、</w:t>
            </w:r>
            <w:r>
              <w:rPr>
                <w:rFonts w:hint="eastAsia" w:ascii="楷体" w:hAnsi="楷体" w:eastAsia="楷体" w:cs="楷体"/>
                <w:szCs w:val="21"/>
              </w:rPr>
              <w:t>DICOM Storage</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1.6</w:t>
            </w:r>
          </w:p>
        </w:tc>
        <w:tc>
          <w:tcPr>
            <w:tcW w:w="7221" w:type="dxa"/>
            <w:vAlign w:val="center"/>
          </w:tcPr>
          <w:p>
            <w:pPr>
              <w:spacing w:line="276" w:lineRule="auto"/>
              <w:rPr>
                <w:rFonts w:ascii="楷体" w:hAnsi="楷体" w:eastAsia="楷体" w:cs="楷体"/>
                <w:szCs w:val="21"/>
                <w:lang w:val="fr-FR"/>
              </w:rPr>
            </w:pPr>
            <w:r>
              <w:rPr>
                <w:rFonts w:hint="eastAsia" w:ascii="楷体" w:hAnsi="楷体" w:eastAsia="楷体" w:cs="楷体"/>
                <w:szCs w:val="21"/>
              </w:rPr>
              <w:t>支持</w:t>
            </w:r>
            <w:r>
              <w:rPr>
                <w:rFonts w:hint="eastAsia" w:ascii="楷体" w:hAnsi="楷体" w:eastAsia="楷体" w:cs="楷体"/>
                <w:szCs w:val="21"/>
                <w:lang w:val="fr-FR"/>
              </w:rPr>
              <w:t>DICOM</w:t>
            </w:r>
            <w:r>
              <w:rPr>
                <w:rFonts w:hint="eastAsia" w:ascii="楷体" w:hAnsi="楷体" w:eastAsia="楷体" w:cs="楷体"/>
                <w:szCs w:val="21"/>
              </w:rPr>
              <w:t>存储承诺服务</w:t>
            </w:r>
            <w:r>
              <w:rPr>
                <w:rFonts w:hint="eastAsia" w:ascii="楷体" w:hAnsi="楷体" w:eastAsia="楷体" w:cs="楷体"/>
                <w:szCs w:val="21"/>
                <w:lang w:val="fr-FR"/>
              </w:rPr>
              <w:t>Storage Commitment SCU/SCP，</w:t>
            </w:r>
            <w:r>
              <w:rPr>
                <w:rFonts w:hint="eastAsia" w:ascii="楷体" w:hAnsi="楷体" w:eastAsia="楷体" w:cs="楷体"/>
                <w:szCs w:val="21"/>
              </w:rPr>
              <w:t>确保影像资料传送的正确性与完整性</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1.7</w:t>
            </w:r>
          </w:p>
        </w:tc>
        <w:tc>
          <w:tcPr>
            <w:tcW w:w="7221" w:type="dxa"/>
            <w:vAlign w:val="center"/>
          </w:tcPr>
          <w:p>
            <w:pPr>
              <w:spacing w:line="276" w:lineRule="auto"/>
              <w:rPr>
                <w:rFonts w:ascii="楷体" w:hAnsi="楷体" w:eastAsia="楷体" w:cs="楷体"/>
                <w:szCs w:val="21"/>
                <w:lang w:val="fr-FR"/>
              </w:rPr>
            </w:pPr>
            <w:r>
              <w:rPr>
                <w:rFonts w:hint="eastAsia" w:ascii="楷体" w:hAnsi="楷体" w:eastAsia="楷体" w:cs="楷体"/>
                <w:szCs w:val="21"/>
              </w:rPr>
              <w:t>支持</w:t>
            </w:r>
            <w:r>
              <w:rPr>
                <w:rFonts w:hint="eastAsia" w:ascii="楷体" w:hAnsi="楷体" w:eastAsia="楷体" w:cs="楷体"/>
                <w:szCs w:val="21"/>
                <w:lang w:val="fr-FR"/>
              </w:rPr>
              <w:t>DICOM</w:t>
            </w:r>
            <w:r>
              <w:rPr>
                <w:rFonts w:hint="eastAsia" w:ascii="楷体" w:hAnsi="楷体" w:eastAsia="楷体" w:cs="楷体"/>
                <w:szCs w:val="21"/>
              </w:rPr>
              <w:t>传送与接收</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1.8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支持将DICOM设备的影像经技师检查工作站质量保证后再传输、归档到服务器，确保数据准确。</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1.9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支持影像的自动路由（Auto-routing）功能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1.10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支持对不同影像设备分别设定不同的影像传输模式和语法</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1.11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服务器要能定时自动用 DICOM 标准格式无损压缩图像，平均压缩比要求大于 2:1</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1.12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通过技师检查工作站来纠正患者的相关信息进行匹配</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1.13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支持不同厂家的CT、MR、CR、DR、RF、MG、DF、SC、DSA、NM、PET、US、ES等所有医疗影像设备</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1.14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支持DICOM RAW DATA、DICOM Part 10、DICOM JPEG-Lossless、DICOM JPEG-Lossy、BMP、JPG等影像类型</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1.15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▲支持成熟的医用胶片按需打印控制方法</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1.16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可根据用户的需求，设置存储设备的影像删除策略。在删除影像前需要确认影像已经备份。影像删除恢复功能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1.17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数据合法性校验</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1.18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支持纠正病人的相关信息</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1.19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同一病人影像归并</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1.20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支持多层存储与管理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1.21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原始数据备份功能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1.22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支持多种压缩格式存储</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1.23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支持用户自定义比例进行影像压缩</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1.24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系统支持医学X光影像滤波处理的二级修正方法。</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1.25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支持修改纠正患者相关信息</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1.26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▲系统具有医学X光影像处理控制参量的智能优选方法</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1.27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kern w:val="0"/>
                <w:szCs w:val="21"/>
              </w:rPr>
              <w:t>数据库及系统架构要求：PACS系统须同时支持和成功部署应用Oracle和SQLserver等主流数据库；</w:t>
            </w:r>
            <w:r>
              <w:rPr>
                <w:rFonts w:hint="eastAsia" w:ascii="楷体" w:hAnsi="楷体" w:eastAsia="楷体" w:cs="楷体"/>
                <w:szCs w:val="21"/>
              </w:rPr>
              <w:t>系统架构：全院PACS系统支持一体化设计，支持放射、超声、内镜、病理是基于同一数据库引擎的一体化无缝集成的医疗影像网络系统。</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1.28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根据用户类别或组类别赋予使用权限。</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1.29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系统所有用户由系统管理员统一创建，并根据该用户在业务流程中担任的角色设置用户权限。</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1.30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每个用户必须使用各自的ID和密码登录、访问系统。</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1.31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技术中心对PACS系统进行远程管理和远程维护。</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1.32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支持系统对于影像/存储/数据库/备份服务器以及客户终端的中央监控。</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1.33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用户登录系统后，对用户登录/离开，影响操作、数据更改都会被系统保留，以日志的方式记录在数据库中并备份。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1.34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记录系统中所有硬件及软件的所有错误、修复及升级的记录。</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1.35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影像服务器故障时，诊断和临床应用完全不受影响，诊断工作站可以从影像设备直接获取影像。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1.36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数据库服务器故障时，确保用户仍可以从影像获取服务器取得影像。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1.37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能保证在主服务器或网络系统瘫痪时，通过配置技师检查工作站来保持工作，系统恢复后，再将所有数据传递至服务器，并恢复正常的工作流程。</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1.38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自动送到离线备份管理单元进行DVD或硬盘刻录，并严格遵循DICOM Part 10和PDI集成模式要求。</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1.39</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产品达到国际通用的诊断及临床应用认证标准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1.40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 xml:space="preserve">现放射学信息存取方面的影像管理、影像显示、报告阅读功能。符合“放射学信息存取（ARI Profile）”集成模式“影像管理（IM）；影像显示(ID)；报告阅读(RRD)” 3个功能角色 </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1.41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 xml:space="preserve">实现放射学证据文档方面的影像管理、影像显示、标记注释生成功能。符合“证据文档（ED Profile）”集成模式“影像管理（IM）；影像显示(ID)；标记注释生成(EC)”3个功能角色 </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1.42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 xml:space="preserve">现乳腺成像MAMMO方面的 标记注释生成（EC）。符合IHE-C“乳腺成像（MAMMO Profile）”集成模式“标记注释生成（EC）”功能角色 </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1.43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 xml:space="preserve">支持心脏病学领域的检索心电图显示方面的显示心电图（DISPLAY）、心电图数据源（INFO_SRC）功能扩展。符合“检索心电图显示（ECG）”集成模式“显示心电图（DISPLAY）、心电图数据源（INFO_SRC）”2个功能角色 </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1.44</w:t>
            </w:r>
          </w:p>
        </w:tc>
        <w:tc>
          <w:tcPr>
            <w:tcW w:w="7221" w:type="dxa"/>
            <w:vAlign w:val="center"/>
          </w:tcPr>
          <w:p>
            <w:pPr>
              <w:spacing w:line="276" w:lineRule="auto"/>
              <w:rPr>
                <w:rFonts w:ascii="楷体" w:hAnsi="楷体" w:eastAsia="楷体" w:cs="楷体"/>
                <w:color w:val="000000"/>
                <w:szCs w:val="21"/>
              </w:rPr>
            </w:pPr>
            <w:r>
              <w:rPr>
                <w:rFonts w:hint="eastAsia" w:ascii="楷体" w:hAnsi="楷体" w:eastAsia="楷体" w:cs="楷体"/>
                <w:color w:val="000000"/>
                <w:szCs w:val="21"/>
              </w:rPr>
              <w:t>针对影像数据集中管理的要求，系统具有集中式区域医疗影像信息装置的技术。</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1.45</w:t>
            </w:r>
          </w:p>
        </w:tc>
        <w:tc>
          <w:tcPr>
            <w:tcW w:w="7221" w:type="dxa"/>
            <w:vAlign w:val="center"/>
          </w:tcPr>
          <w:p>
            <w:pPr>
              <w:spacing w:line="276" w:lineRule="auto"/>
              <w:rPr>
                <w:rFonts w:ascii="楷体" w:hAnsi="楷体" w:eastAsia="楷体" w:cs="楷体"/>
                <w:color w:val="000000"/>
                <w:szCs w:val="21"/>
              </w:rPr>
            </w:pPr>
            <w:r>
              <w:rPr>
                <w:rFonts w:hint="eastAsia" w:ascii="楷体" w:hAnsi="楷体" w:eastAsia="楷体" w:cs="楷体"/>
                <w:color w:val="000000"/>
                <w:szCs w:val="21"/>
              </w:rPr>
              <w:t>支持PACS系统服务监控。</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pPr>
              <w:spacing w:line="276" w:lineRule="auto"/>
              <w:jc w:val="center"/>
              <w:rPr>
                <w:rFonts w:ascii="楷体" w:hAnsi="楷体" w:eastAsia="楷体" w:cs="楷体"/>
                <w:b/>
                <w:szCs w:val="21"/>
              </w:rPr>
            </w:pPr>
            <w:r>
              <w:rPr>
                <w:rFonts w:hint="eastAsia" w:ascii="楷体" w:hAnsi="楷体" w:eastAsia="楷体" w:cs="楷体"/>
                <w:b/>
                <w:szCs w:val="21"/>
              </w:rPr>
              <w:t>2</w:t>
            </w:r>
          </w:p>
        </w:tc>
        <w:tc>
          <w:tcPr>
            <w:tcW w:w="7221" w:type="dxa"/>
            <w:vAlign w:val="center"/>
          </w:tcPr>
          <w:p>
            <w:pPr>
              <w:spacing w:line="276" w:lineRule="auto"/>
              <w:jc w:val="center"/>
              <w:rPr>
                <w:rFonts w:ascii="楷体" w:hAnsi="楷体" w:eastAsia="楷体" w:cs="楷体"/>
                <w:b/>
                <w:szCs w:val="21"/>
              </w:rPr>
            </w:pPr>
            <w:r>
              <w:rPr>
                <w:rFonts w:hint="eastAsia" w:ascii="楷体" w:hAnsi="楷体" w:eastAsia="楷体" w:cs="楷体"/>
                <w:b/>
                <w:szCs w:val="21"/>
              </w:rPr>
              <w:t>放射信息系统软件（RIS）要求</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2.1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color w:val="000000"/>
                <w:szCs w:val="21"/>
              </w:rPr>
              <w:t>▲产品符合国家卫健委（原卫生部）《医院信息基本数据集标准》中的医学影像系统（PACS和RIS）数据标准。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2.2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兼容放射科内所有影像检查的信息录入、查询管理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2.3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遵循IHE技术框架设计RIS系统</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2.4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全面支持HL7和DICOM 3.0标准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2.5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支持所有检查项目的穷举，由临床科室确定检查项目，取消划价环节</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2.6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可以管理检查费用和耗材等相关内容</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2.7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具有磁卡、IC卡、条码输入、手工输入</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2.8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支持并具有申请单拍摄功能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360" w:lineRule="auto"/>
              <w:jc w:val="center"/>
              <w:rPr>
                <w:rFonts w:ascii="楷体" w:hAnsi="楷体" w:eastAsia="楷体" w:cs="楷体"/>
                <w:color w:val="000000"/>
                <w:szCs w:val="21"/>
              </w:rPr>
            </w:pPr>
            <w:r>
              <w:rPr>
                <w:rFonts w:hint="eastAsia" w:ascii="楷体" w:hAnsi="楷体" w:eastAsia="楷体" w:cs="楷体"/>
                <w:color w:val="000000"/>
                <w:szCs w:val="21"/>
              </w:rPr>
              <w:t>2.9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支持检查科室内统一检查号管理，具有检查患者唯一主索引管理服务，兼容放射科内各种ID号管理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2.10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支持登记号和检查号管理（按科室、检查类型分别配置格式）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2.11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与HIS、EMR交互支持HL7和数据库两种方式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2.12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全面支持中文，对不支持中文的影像设备允许配置纯英文交互</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2.13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支持WORKLIST SCP功能（用于将病人信息送到MODALITY,避免设备端信息重复输入）</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2.14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支持并具有MPPS确认功能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2.15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所有工作站具有排队叫号功能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2.16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支持放射登记功能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2.17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支持检查登记/取消</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2.18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检查单打印，可打印条码</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2.19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检查登记单可以按检查类型和检查项目自由配置格式和内容</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2.20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预置各种检查的检查项目，并可预制各种检查参数和使用胶片数量；实现检查信息的快速输入</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2.21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支持由HIS系统直接登记</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2.22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支持检查的确认、取消和改变</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2.23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中文姓名输入后拼音自动输入</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2.24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扫描检查申请单并调阅</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2.25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显示和查询病人检查状态</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2.26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支持多个检查项目同时登记</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2.27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登记员可以在登记备注中填写信息传达给医生，提请注意。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2.28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支持全键盘操作，所有登记过程无需鼠标操作，加快登记流程。</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2.29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支持技师检查功能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2.30</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图像自动核对：确保影像信息与患者信息的正确性和一致性，必要时可以进行人工纠错</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2.31</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支持自动校正、补足设备端无法录入的属性，如Accession Number等</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2.32</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支持补拍影像自动匹配及归档</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2.33</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自动报警匹配失败的任务，允许手工匹配</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2.34</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检查信息的确认：可记录检查医生、检查时间、检查过程及数据（耗材、曝光参数、造影剂名称及剂量、备注等）</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2.35</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图像确认：窗宽窗位、放大缩小、旋转翻转、测量标注等影像质量评估，符合质控要求</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2.36</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技师管理功能：工作量统计，耗材统计，差错控制，质控反馈，个人收藏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2.37</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可以显示扫描的检查申请单或电子申请单</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2.38</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病人信息要求醒目，提醒检查医生对照病人，以免人员弄错。</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2.39</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提供检查备注功能：当技师在检查过程中发现了一些需要注意的情况，他们可以通过检查备注形式提请诊断医生注意。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2.40</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提供检查技师的签名功能，以便统计工作量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2.41</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支持放射诊断报告功能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2.42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根据用户的权限、角色显示工作列表</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2.43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报告任务自动刷新，支持任务优先级、支持工作列表病人类型颜色标记功能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2.44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可以浏览电子申请单和已拍摄申请单</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2.45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内置报告模板和常见词组（症状和检查所见数据字典）。采用单选和多选方式，鼠标点击便可完成报告书写。报告模板和常见词组可根据医生需求随时添加、修改。</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2.46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模版的树状节点可以任意拖动，如上移、下移、任意拖动，包括将公有模板直接拖入到私有模板中。</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2.47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报告模版功能。有常见疾病的模版，模版分为公有模版和私有模版，并可以互相转换。</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2.48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支持报告常用词汇（片语）输入功能，包括系统级和用户级，可以复制，粘贴</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2.49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能够灵活制作、设置打印报告的模板，可以由医院自己定义报告模板，自定义打印格式，自定义病人基本信息及检查信息显示格式，自定义条码打印格式。在书写报告过程中可随时切换报告单样式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2.50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支持报告回退流程，支持图文报告显示、打印功能，可以灵活选择报告打印机，支持报告的预览和打印，支持默认打印模板记忆和选择。</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2.51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历史报告对比浏览功能: 在显示和浏览当前报告时，显示历史报告，在同一界面能打开当前历史图像功能能够进行历史报告和历史影像对比；在当前书写报告界面下方显示当前病人的所有历史检查记录，包括超声、内镜、病理等其它辅助检查，支持统一ID和同名匹配，并具备查看报告和查看图像功能。支持历史报告痕迹对比支持当前报告与历史报告自动留痕对比并进行增改删不同颜色标识对比。</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2.52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诊断报告时，同一病人一次多部位检查，支持只产生一条报告记录；</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2.53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按照使用频率自动调整报告内容模板排列顺序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2.54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报告书写、审核权限管理，支持阅片、审核、修订、打印，支持多级医生审核和会诊。上级医生可批准或驳回下级医生的初步诊断, 并加注评语最后由放射科医生打印报告。留下历史修改/审核记录内容和修改/审核者。</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2.55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支持报告医生书写备注，支持报告的数字签名，确保报告的正确性和安全性</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2.56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支持报告内容合理性的自动验证：可自定义验证规则，如男性对应子宫等</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2.57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诊断符合率，在既往报告中添加标记诊断符合率的功能，主治医师以上可以操作，可进行报告诊断质量管理（报告评分）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2.58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报告出具时间控制功能,未写报告超时报警</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2.59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能够导出报告内容到XML, RTF, html等</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2.60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支持诊断结论查询，并可将查询结果导出到EXCEL或文本文件作进一步统计打印</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2.61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支持将兴趣病例材料保存为教学、个人收藏、分类收藏等功能。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2.62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软件锁定功能，报告医生暂时离开时可锁定工作站，并只能通过输入当前用户的密码解开锁定</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2.63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支持报告属性选择，主要有：阳性、传染病、会诊、示教、需随访，临时报告、敏感报告等标记</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2.64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支持危急短信发送功能：可根据情况调用医院信息集成平台的短信发送模块发送危急短信给相关人，以采取必要的措施。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2.65</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报告收藏功能：支持关键影像标记功能，可以根据自己需要将感兴趣的病历材料保存为教学、个人收藏、分类收藏等，用于示教、写论文等。</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2.66</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支持集体会诊/示教读片；可输入会诊情况，包括会诊医生、会诊记录、会诊结论。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2.67</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可直接在报告工作站上调阅按需打印的“电子胶片”，也方便诊断医生对技术员进行质控，也方便与临床医生之间的交流。</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2.68</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支持在报告工作站书写报告界面打印胶片,支持多分格拍片和非标准的品字形排版打印，打印预览框中提供CTRL,SHIFT键多选；提供DEL键、功能按钮等方式删除选中的一个或多个图像；对选中的影像提供CTRL+C复制，CTRL+V粘贴，CTRL+X剪切快捷键；提供窗宽窗位调节、平移、翻转、缩放、按胶片尺寸比例裁剪、区域自由截取、反转、定位线显示取消、自定义布局。</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2.69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可按省放射技术质控要求进行质控</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2.70</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诊断报告报告工作站软件支持按照自定义选择的号段进行写报告。</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2.71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智能提醒功能，具有男女性别判别等自定义的诊断报告智能提醒功能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2.72</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具有危急值管理、阳性病人、传染病人智能提醒和自动标识功能，支持自动触发相应流程。</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2.73</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支持质控管理：申请质控、技术质控、诊断质控</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2.74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支持检查权值、报告权值管理。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2.75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支持查询统计</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2.76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支持多种索引方式快速检索病人基本信息/检查基本信息</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2.77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阳性率、特殊疾病的统计和查询</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2.78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登记员工作量、检查技师、报告医生、审核医生工作量统计</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2.79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检查项目、申请科室、胶片使用量，收费情况明细统计</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2.80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支持将检查信息导出到Excel统计</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2.81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各类统计报表打印</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2.82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其他科室提出的查询功能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2.83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支持基于WEB方式的按医生工作量、科室工作量、岗位工作量、检查项目统计、分时段工作量统计、检查用时监控统计、复合检索统计，支持图表化统计、导出、打印。</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2.84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支持基于WEB方式的影像质控服务，包含：技术摄片质控、诊断报告质控、随机抽检、质控评分、质控查询。</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2.85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支持排队叫号管理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2.86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按用户类别或者组类别赋予使用权限</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2.87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系统的所有用户由系统管理员统一创建，并根据该用户在业务流程中担任的角色设置用户权限，还可根据用户需求设置初始密码。可按用户或者组类别赋予使用权限，支持对于个别用户或者用户组，分配使用或者变更系统资源及数据的使用控制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2.88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每个用户必须使用各自的ID和密码登录系统，访问系统中的数据。</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2.89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用户登录系统后，对用户登录/离开，影响操作、数据更改都会被系统保留，以LOG的方式记录在数据库中并备份。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2.90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支持痕迹保留，并符合相关法律法规的要求</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2.91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记录系统中所有硬件及软件的所有错误、修复及升级的记录。</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2.92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支持系统对于获取/存储/数据库/备份服务器以及客户终端的中央监控。</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b/>
                <w:szCs w:val="21"/>
              </w:rPr>
            </w:pPr>
            <w:r>
              <w:rPr>
                <w:rFonts w:hint="eastAsia" w:ascii="楷体" w:hAnsi="楷体" w:eastAsia="楷体" w:cs="楷体"/>
                <w:b/>
                <w:szCs w:val="21"/>
              </w:rPr>
              <w:t>3</w:t>
            </w:r>
          </w:p>
        </w:tc>
        <w:tc>
          <w:tcPr>
            <w:tcW w:w="7221" w:type="dxa"/>
            <w:vAlign w:val="center"/>
          </w:tcPr>
          <w:p>
            <w:pPr>
              <w:spacing w:line="276" w:lineRule="auto"/>
              <w:jc w:val="center"/>
              <w:rPr>
                <w:rFonts w:ascii="楷体" w:hAnsi="楷体" w:eastAsia="楷体" w:cs="楷体"/>
                <w:b/>
                <w:szCs w:val="21"/>
              </w:rPr>
            </w:pPr>
            <w:r>
              <w:rPr>
                <w:rFonts w:hint="eastAsia" w:ascii="楷体" w:hAnsi="楷体" w:eastAsia="楷体" w:cs="楷体"/>
                <w:b/>
                <w:szCs w:val="21"/>
              </w:rPr>
              <w:t>PACS图像处理软件要求</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3.1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查询条件：病人编号、病人姓名、性别、年龄、检查日期、检查号、诊断医师、申请科室、检查类型、检查部位、申请医师、操作医师、报告医师、审核医师、诊断结论、阅片状态、报告状态、审核状态、按病人登记、摄片、报告等节点的时间、按检查机房/设备名称查询</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3.2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用户可配置查询条件</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3.3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支持模糊查询</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3.4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支持图像处理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3.5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支持图像无级缩放</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3.6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支持图像旋转、翻转</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3.7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支持图像移动漫游（能限框漫游和自由漫游）</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3.8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支持图像黑白翻转</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3.9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支持伪彩</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3.10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支持放大镜：支持无级平滑地放大</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3.11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支持图像复制</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3.12</w:t>
            </w:r>
          </w:p>
        </w:tc>
        <w:tc>
          <w:tcPr>
            <w:tcW w:w="7221" w:type="dxa"/>
            <w:vAlign w:val="center"/>
          </w:tcPr>
          <w:p>
            <w:pPr>
              <w:spacing w:line="276" w:lineRule="auto"/>
              <w:rPr>
                <w:rFonts w:ascii="楷体" w:hAnsi="楷体" w:eastAsia="楷体" w:cs="楷体"/>
                <w:color w:val="000000"/>
                <w:szCs w:val="21"/>
              </w:rPr>
            </w:pPr>
            <w:r>
              <w:rPr>
                <w:rFonts w:hint="eastAsia" w:ascii="楷体" w:hAnsi="楷体" w:eastAsia="楷体" w:cs="楷体"/>
                <w:color w:val="000000"/>
                <w:szCs w:val="21"/>
              </w:rPr>
              <w:t>支持各种方式的窗宽窗位调节：如线性、脉冲、非线性等。</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3.13</w:t>
            </w:r>
          </w:p>
        </w:tc>
        <w:tc>
          <w:tcPr>
            <w:tcW w:w="7221" w:type="dxa"/>
            <w:vAlign w:val="center"/>
          </w:tcPr>
          <w:p>
            <w:pPr>
              <w:spacing w:line="276" w:lineRule="auto"/>
              <w:rPr>
                <w:rFonts w:ascii="楷体" w:hAnsi="楷体" w:eastAsia="楷体" w:cs="楷体"/>
                <w:color w:val="FF0000"/>
                <w:szCs w:val="21"/>
              </w:rPr>
            </w:pPr>
            <w:r>
              <w:rPr>
                <w:rFonts w:hint="eastAsia" w:ascii="楷体" w:hAnsi="楷体" w:eastAsia="楷体" w:cs="楷体"/>
                <w:color w:val="000000"/>
                <w:szCs w:val="21"/>
              </w:rPr>
              <w:t>PACS图像处理软件支持磁共振波谱分析 (MRS)技术，能够正确解析和显示波谱曲线、峰值及比率，可以对体内有关能量代谢和病灶代谢状况的变化做连续动态观察，能用图像形式来表达机体代谢的信息；PACS图像处理软件支持解析和显示磁共振影像的立体三维重建后处理彩色图像，辅助临床诊断应用。</w:t>
            </w:r>
            <w:r>
              <w:rPr>
                <w:rFonts w:hint="eastAsia" w:ascii="楷体" w:hAnsi="楷体" w:eastAsia="楷体" w:cs="楷体"/>
                <w:color w:val="FF0000"/>
                <w:szCs w:val="21"/>
              </w:rPr>
              <w:t xml:space="preserve"> </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3.14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可预置F2—F12功能键对应的不同的窗宽窗位；方便医生快捷地使用。</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3.15</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支持12BIT以上灰阶的调节</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3.16</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放大镜内的图像具有窗宽窗位调节功能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3.17</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同帧比较时不同序列可采用不同窗宽窗位</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对ROI（感兴趣区）可自动显示其最优化的窗宽窗位</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可按照：UID、影像号、日期和时间、影像位置、摄像时间等方式对影像进行排序；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3.2</w:t>
            </w:r>
            <w:r>
              <w:rPr>
                <w:rFonts w:hint="eastAsia" w:ascii="楷体" w:hAnsi="楷体" w:eastAsia="楷体" w:cs="楷体"/>
              </w:rPr>
              <w:t>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支持图像遮盖功能：圆形遮盖、矩形遮盖、任意形状遮盖</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3.21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支持影像可进行滤波处理：高通滤波器、边缘增强滤波器、梯度叠影；</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3.22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支持测量处理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3.23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支持距离测量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3.24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支持角度测量：三点、四点、扇形角</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3.25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支持椭圆测量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3.26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支持任意形状面积测量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3.27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支持文本注释</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3.28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支持长度、面积计算显示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3.29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ROI平均密度值测量：圆形、矩形、任意形状</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3.3</w:t>
            </w:r>
            <w:r>
              <w:rPr>
                <w:rFonts w:hint="eastAsia" w:ascii="楷体" w:hAnsi="楷体" w:eastAsia="楷体" w:cs="楷体"/>
              </w:rPr>
              <w:t>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bCs/>
                <w:szCs w:val="21"/>
              </w:rPr>
              <w:t>可进行密度分布显示（ROI曲线、圆形、矩形）</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3.31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注释文字保存、复制、粘贴（不对原始图像数据作改动）</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3.32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测量信息保存、复制、粘贴（不对原始图像数据作改动）</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3.33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支持心胸比测量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3.34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支持CT平均值、最小值、最大值测量、容积测量(VR)</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3.35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支持CT直方图</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3.36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支持MG一键布局</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3.37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支持图像拼接</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3.38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支持12Bit压缩的DSA影像播放</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3.39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支持MPR、CPR、MIP、MinIP、VR、虚拟切割、去皮肤、去挡板功能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3.4</w:t>
            </w:r>
            <w:r>
              <w:rPr>
                <w:rFonts w:hint="eastAsia" w:ascii="楷体" w:hAnsi="楷体" w:eastAsia="楷体" w:cs="楷体"/>
              </w:rPr>
              <w:t>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MPR支持修改层厚</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3.41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支持图像显示、图像导出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3.42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可按不同组合进行挂片布局</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3.43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同一窗口内多个病人图像对比</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3.44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根据影响种类不同，可采用不同的标注类型</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3.45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同序列内可实现图像属性操作的自动同步</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3.46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恢复原始图像功能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3.47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MR和CT图像定位线显示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3.48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图像多定位线显示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3.49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支持对CT、MR不同序列图像实现定位线交叉引用的功能。可实时显示出图像间的空间位置关系</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3.5</w:t>
            </w:r>
            <w:r>
              <w:rPr>
                <w:rFonts w:hint="eastAsia" w:ascii="楷体" w:hAnsi="楷体" w:eastAsia="楷体" w:cs="楷体"/>
              </w:rPr>
              <w:t>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多序列图像在同一窗口内显示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3.51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支持对CT、MR不同序列之间的三向联动显示功能（Triangulation）。能实时显示鼠标指定位置在其他序列反映的准确位置。</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3.52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自动实现不同序列图像的同帧显示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3.53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实现同一检查的不同序列图像同帧同步滚动对比</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3.54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可显示DICOM文件头信息</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3.55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影像动态播放显示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3.56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单帧调节影像播放速度，支持播放过程中动态调整</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3.57</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多级边缘增强（锐化）</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3.58</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支持DSA数字减影</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3.59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关键图像标记和显示；即具有灰阶显示状态GSPS和关键影像标识KIN的创建和显示，便于与临床医生的交流。</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3.6</w:t>
            </w:r>
            <w:r>
              <w:rPr>
                <w:rFonts w:hint="eastAsia" w:ascii="楷体" w:hAnsi="楷体" w:eastAsia="楷体" w:cs="楷体"/>
              </w:rPr>
              <w:t>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图像信息测量及保存：必须以DICOM的方式标注到图像上(如常用的CT值)，以便与临床或外院交流。</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3.61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诊断信息的保存：作者可对当前影像进行检查备注，保存后此备注应与影像一起存入到病人的DICOM档案，以便临床医生的调阅以及以后的教学与回顾；</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3.62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其他形式文件的保存：可方便的将各种文本文件及非DICOM图像附加进该病人当前的DICOM文件中，如内置WORD文档的方式来辅助说明病人的其它情况（医疗事故鉴定书、手术计划等），并可在图像处理软件中显示；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3.63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支持多屏设置显示；支持不同精度和类型的显示器，最多到8屏；特别支持“1+N”方式，其中“1”为RIS报告界面。</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3.64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支持序列拆分、合并的功能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3.65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能在图象处理软件中选定某幅图象做标记与处理，可保存为关键影像后生成放射图文报告形式进行打印，并方便临床医生浏览。</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3.66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支持超声波、核医学、内窥镜、病理显微、ECG等图像的真彩和伪彩图像显示功能。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3.67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PACS影像浏览器的一体化集成显示，除显示CR、DR、CT、MR、DSA、DF、US、ES、PS影像外，能显示DICOM波形图格式的ECG图像，并对原始心电波形放大缩小分析,支持现场验证，可实现横向与纵向的历史图像对比分析。</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3.68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支持图像输出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3.69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支持普通打印纸输出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3.7</w:t>
            </w:r>
            <w:r>
              <w:rPr>
                <w:rFonts w:hint="eastAsia" w:ascii="楷体" w:hAnsi="楷体" w:eastAsia="楷体" w:cs="楷体"/>
              </w:rPr>
              <w:t>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支持激光相机（DICOM PRINT SCU）输出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3.71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格式转换：JPEG、BMP、AVI</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3.72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同一个病人不同检查影像可拼图打印</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3.73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不同病人的相同/不同检查影像可以拼图打印</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3.74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注释、测量、遮盖后图像输出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3.75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DICOM支持</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3.76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非DICOM图像转换为DICOM格式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3.77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DICOM光盘刻录、读取（通过DICOM DIR方式）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3.78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DICOM打印、查询检索（Q/R SCU/SCP）、传送、接收、存储</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3.79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DICOM刻录普通PC机预览功能（并可同时在刻录光盘中附加医院介绍、病人其他相关资料）</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3.8</w:t>
            </w:r>
            <w:r>
              <w:rPr>
                <w:rFonts w:hint="eastAsia" w:ascii="楷体" w:hAnsi="楷体" w:eastAsia="楷体" w:cs="楷体"/>
              </w:rPr>
              <w:t>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可自动删除满足清洁条件的本地影像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3.81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HIS、EMR集成要求</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3.82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患者身份：姓名，年龄，性别，身份证，电话号码</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3.83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接收患者编号：注册编号，外来/住院患者位置信息</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3.84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支持电子申请单的提取。提取的信息需包含病人信息、检查信息、申请信息等。</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3.85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支持电子申请单自动划价。自动划价的要求：将电子申请单相关的费用根据HIS方划价规则生成划价数据后填充到相应表中。</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3.86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支持电子申请单相关费用确认，该过程需提供单独界面，由操作人员手工完成。</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3.87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支持住院电子申请单的登记流程。返回HIS方的登记信息至少需包含登记时间、登记备注。</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3.88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支持菜单结构</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3.89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图像导入功能（将光盘内的DICOM图像或硬盘中其他图像导入到工作站中）</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3.9</w:t>
            </w:r>
            <w:r>
              <w:rPr>
                <w:rFonts w:hint="eastAsia" w:ascii="楷体" w:hAnsi="楷体" w:eastAsia="楷体" w:cs="楷体"/>
              </w:rPr>
              <w:t>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选择检查记录时自动调出相关历史检查记录</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3.91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图像布局功能：使图像的各个系列独立显示在窗口的功能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3.92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对于过去同一检查可将过去图像和最近图像进行比较的功能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3.93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预设窗宽、窗位功能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3.94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工作表清单中能看到系列号和影像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3.95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在同一界面中查看病人影像和报告</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3.96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检查/序列/图像类别的滚动显示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3.97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支持语音诊断，临床科室语音回放</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3.98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支持内置图文报告生成与输出功能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3.99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支持中文操作界面</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3.100</w:t>
            </w:r>
          </w:p>
        </w:tc>
        <w:tc>
          <w:tcPr>
            <w:tcW w:w="7221" w:type="dxa"/>
            <w:vAlign w:val="center"/>
          </w:tcPr>
          <w:p>
            <w:pPr>
              <w:spacing w:line="276" w:lineRule="auto"/>
              <w:rPr>
                <w:rFonts w:ascii="楷体" w:hAnsi="楷体" w:eastAsia="楷体" w:cs="楷体"/>
                <w:color w:val="000000"/>
                <w:szCs w:val="21"/>
              </w:rPr>
            </w:pPr>
            <w:r>
              <w:rPr>
                <w:rFonts w:hint="eastAsia" w:ascii="楷体" w:hAnsi="楷体" w:eastAsia="楷体" w:cs="楷体"/>
                <w:color w:val="000000"/>
                <w:szCs w:val="21"/>
              </w:rPr>
              <w:t>支持MPR、CPR、MIP、MinIP、VR、虚拟切割、去皮肤、去挡板功能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3.101</w:t>
            </w:r>
          </w:p>
        </w:tc>
        <w:tc>
          <w:tcPr>
            <w:tcW w:w="7221" w:type="dxa"/>
            <w:vAlign w:val="center"/>
          </w:tcPr>
          <w:p>
            <w:pPr>
              <w:spacing w:line="276" w:lineRule="auto"/>
              <w:rPr>
                <w:rFonts w:ascii="楷体" w:hAnsi="楷体" w:eastAsia="楷体" w:cs="楷体"/>
                <w:color w:val="000000"/>
                <w:szCs w:val="21"/>
              </w:rPr>
            </w:pPr>
            <w:r>
              <w:rPr>
                <w:rFonts w:hint="eastAsia" w:ascii="楷体" w:hAnsi="楷体" w:eastAsia="楷体" w:cs="楷体"/>
                <w:color w:val="000000"/>
                <w:szCs w:val="21"/>
              </w:rPr>
              <w:t>支持VR等三维后处理图像能保存为单独的序列发送到PACS服务器。</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3.102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PACS图像处理软件支持磁共振波谱分析 (MRS)技术，能够正确解析和显示波谱曲线、峰值及比率，可以对体内有关能量代谢和病灶代谢状况的变化做连续动态观察，能用图像形式来表达机体代谢的信息；PACS图像处理软件支持解析和显示磁共振影像的立体三维重建后处理彩色图像，辅助临床诊断应用。</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3.103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支持各种方式的窗宽窗位调节，如：线性、非线性、脉冲、Sigmoid等。</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3.104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展示集成影像浏览器的显示处理功能：除显示CR、DR、CT、MR、DSA、DF、US、ES、PS影像外，能显示DICOM波形图格式的ECG图像，并对原始心电波形放大缩小分析。</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3.105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灵活的操控功能及基于用户的工具按钮自定义：可根据医生平时操作习惯，定义基于用户、检查设备、检查部位的界面和按钮；工作站可自动识别角色类型，并针对该用户自己的角色和工作流程显示相应的病人工作列表、软件功能和工具按钮等；快速将所选择的常用图像处理功能（如：测量心胸比）加入到工具栏或将不常用的功能按钮从工具栏删除。</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3.106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调阅速度：要求有快速的图象显示能力。</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3.107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性能要求：调阅1幅DR胸片图像时间应小于3秒。</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3.108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调阅大于1000幅图像的单个CT检查时，要求显示其中任一指定序列中的任一屏图象的时间应小于3秒。</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3.109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具有针对64排以上CT、高场3.0 MRI产生大影像量的必备处理能力。</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3.110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图像加载与显示功能：面对千幅级的大影像量，图像必须能进行动态加载，而且显示次序可优先至影像级，即根据影像医生的操作实时预载、调度图像显示；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3.111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图像比较功能：同帧比较技术可自动同步滚动显示同一层面、不同时期的图像，如用于平扫和增强图像的比较；病人/检查/序列3级便捷的排布功能，极大地便利综合比较诊断；</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3.112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图像快速定位功能：要求不同序列的图像在定位线上实现交叉引用，可实时显示图像间的空间位置关系；</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3.113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三向动态关联功能：可快速定位到疾病点并多方向显示；能实时显示鼠标指定位置在其他序列反映的准确位置</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3.114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支持诊断工作站内置MPR后处理功能，可结合图像的快速定位技术显示矢状位/冠状位相应图像。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3.115</w:t>
            </w:r>
          </w:p>
        </w:tc>
        <w:tc>
          <w:tcPr>
            <w:tcW w:w="7221" w:type="dxa"/>
            <w:vAlign w:val="center"/>
          </w:tcPr>
          <w:p>
            <w:pPr>
              <w:pStyle w:val="61"/>
              <w:spacing w:line="276" w:lineRule="auto"/>
              <w:rPr>
                <w:rFonts w:ascii="楷体" w:hAnsi="楷体" w:eastAsia="楷体" w:cs="楷体"/>
                <w:sz w:val="21"/>
                <w:szCs w:val="21"/>
              </w:rPr>
            </w:pPr>
            <w:r>
              <w:rPr>
                <w:rFonts w:hint="eastAsia" w:ascii="楷体" w:hAnsi="楷体" w:eastAsia="楷体" w:cs="楷体"/>
                <w:sz w:val="21"/>
                <w:szCs w:val="21"/>
              </w:rPr>
              <w:t>支持多种形式的信息保存与交流。</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3.116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支持关键图像标记和显示：即具有灰阶显示状态GSPS和关键影像标识KIN的创建和显示，便于与临床医生的交流。</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3.117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支持图像信息测量及保存：必须以DICOM的方式标注到图像上(如常用的CT值、任意面积等)，以便与临床或外院交流。</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3.118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支持诊断信息的保存：作者可对当前影像进行诊断备注，保存后此备注应与影像一起存入到病人的DICOM档案，以便临床医生的调阅以及以后的教学与回顾；</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3.119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其他形式文件的保存：可方便的将各种文本文件及非DICOM图像附加进该病人当前的DICOM文件中，如内置WORD文档的方式来辅助说明病人的其它情况（医疗事故鉴定书、手术计划等），并可在图像处理软件中显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3.120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图象处理支持佝偻病间角Cobb角度测量、平行线 、圆周周长及面积；</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3.121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支持骨科专业后处理，医生可进行测量并滚动鼠标来调节、匹配各种人工关节，完成后可以GSPS方式存贮，供复查及交流；</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3.122</w:t>
            </w:r>
          </w:p>
        </w:tc>
        <w:tc>
          <w:tcPr>
            <w:tcW w:w="7221" w:type="dxa"/>
          </w:tcPr>
          <w:p>
            <w:pPr>
              <w:spacing w:line="276" w:lineRule="auto"/>
              <w:ind w:left="47" w:leftChars="-26" w:right="420" w:hanging="102" w:hangingChars="49"/>
              <w:rPr>
                <w:rFonts w:ascii="楷体" w:hAnsi="楷体" w:eastAsia="楷体" w:cs="楷体"/>
                <w:bCs/>
                <w:szCs w:val="21"/>
              </w:rPr>
            </w:pPr>
            <w:r>
              <w:rPr>
                <w:rFonts w:hint="eastAsia" w:ascii="楷体" w:hAnsi="楷体" w:eastAsia="楷体" w:cs="楷体"/>
                <w:bCs/>
                <w:szCs w:val="21"/>
              </w:rPr>
              <w:t>提供全脊柱拼接与合并功能；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3.123</w:t>
            </w:r>
          </w:p>
        </w:tc>
        <w:tc>
          <w:tcPr>
            <w:tcW w:w="7221" w:type="dxa"/>
            <w:vAlign w:val="center"/>
          </w:tcPr>
          <w:p>
            <w:pPr>
              <w:spacing w:line="276" w:lineRule="auto"/>
              <w:ind w:left="47" w:leftChars="-26" w:right="420" w:hanging="102" w:hangingChars="49"/>
              <w:rPr>
                <w:rFonts w:ascii="楷体" w:hAnsi="楷体" w:eastAsia="楷体" w:cs="楷体"/>
                <w:bCs/>
                <w:szCs w:val="21"/>
              </w:rPr>
            </w:pPr>
            <w:r>
              <w:rPr>
                <w:rFonts w:hint="eastAsia" w:ascii="楷体" w:hAnsi="楷体" w:eastAsia="楷体" w:cs="楷体"/>
                <w:bCs/>
                <w:szCs w:val="21"/>
              </w:rPr>
              <w:t>PACS 影像浏览器必须支持DICOM波形图格式的ECG图像的解析和显示，并对原始心电波形放大缩小分析，浏览窗体客户端与PACS必须同一品牌，支持验证，不接受非标格式。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2"/>
              </w:rPr>
            </w:pPr>
            <w:r>
              <w:rPr>
                <w:rFonts w:hint="eastAsia" w:ascii="楷体" w:hAnsi="楷体" w:eastAsia="楷体" w:cs="楷体"/>
                <w:szCs w:val="22"/>
              </w:rPr>
              <w:t>3.124</w:t>
            </w:r>
          </w:p>
        </w:tc>
        <w:tc>
          <w:tcPr>
            <w:tcW w:w="7221" w:type="dxa"/>
            <w:vAlign w:val="center"/>
          </w:tcPr>
          <w:p>
            <w:pPr>
              <w:spacing w:line="276" w:lineRule="auto"/>
              <w:ind w:left="47" w:leftChars="-26" w:right="420" w:hanging="102" w:hangingChars="49"/>
              <w:rPr>
                <w:rFonts w:ascii="楷体" w:hAnsi="楷体" w:eastAsia="楷体" w:cs="楷体"/>
                <w:bCs/>
                <w:szCs w:val="21"/>
              </w:rPr>
            </w:pPr>
            <w:r>
              <w:rPr>
                <w:rFonts w:hint="eastAsia" w:ascii="楷体" w:hAnsi="楷体" w:eastAsia="楷体" w:cs="楷体"/>
                <w:bCs/>
                <w:szCs w:val="21"/>
              </w:rPr>
              <w:t>PACS 影像浏览器支持图文联动的SR结构化报告，PACS系统客户端能支持并正确解析显示SR/KIN/GSPS等影像标注信息。</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b/>
                <w:szCs w:val="21"/>
              </w:rPr>
            </w:pPr>
            <w:r>
              <w:rPr>
                <w:rFonts w:hint="eastAsia" w:ascii="楷体" w:hAnsi="楷体" w:eastAsia="楷体" w:cs="楷体"/>
                <w:b/>
                <w:szCs w:val="21"/>
              </w:rPr>
              <w:t>4</w:t>
            </w:r>
          </w:p>
        </w:tc>
        <w:tc>
          <w:tcPr>
            <w:tcW w:w="7221" w:type="dxa"/>
            <w:vAlign w:val="center"/>
          </w:tcPr>
          <w:p>
            <w:pPr>
              <w:spacing w:line="276" w:lineRule="auto"/>
              <w:jc w:val="center"/>
              <w:rPr>
                <w:rFonts w:ascii="楷体" w:hAnsi="楷体" w:eastAsia="楷体" w:cs="楷体"/>
                <w:b/>
                <w:szCs w:val="21"/>
              </w:rPr>
            </w:pPr>
            <w:r>
              <w:rPr>
                <w:rFonts w:hint="eastAsia" w:ascii="楷体" w:hAnsi="楷体" w:eastAsia="楷体" w:cs="楷体"/>
                <w:b/>
                <w:szCs w:val="21"/>
              </w:rPr>
              <w:t>临床影像Web浏览服务系统要求</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4.1</w:t>
            </w:r>
          </w:p>
        </w:tc>
        <w:tc>
          <w:tcPr>
            <w:tcW w:w="7221" w:type="dxa"/>
          </w:tcPr>
          <w:p>
            <w:pPr>
              <w:pStyle w:val="7"/>
              <w:ind w:firstLine="0" w:firstLineChars="0"/>
              <w:jc w:val="left"/>
              <w:rPr>
                <w:rFonts w:ascii="楷体" w:hAnsi="楷体" w:eastAsia="楷体" w:cs="楷体"/>
                <w:color w:val="000000"/>
                <w:szCs w:val="21"/>
              </w:rPr>
            </w:pPr>
            <w:r>
              <w:rPr>
                <w:rFonts w:hint="eastAsia" w:ascii="楷体" w:hAnsi="楷体" w:eastAsia="楷体" w:cs="楷体"/>
                <w:bCs/>
                <w:szCs w:val="21"/>
              </w:rPr>
              <w:t>支持按申请科室、申请医生、病人类型、检查类型、报告状态、病人姓名、病人编号、检查号、检查时间进行搜索，支持按照检查号进行有无图像的快速定位和自动颜色标记。</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4.2</w:t>
            </w:r>
          </w:p>
        </w:tc>
        <w:tc>
          <w:tcPr>
            <w:tcW w:w="7221" w:type="dxa"/>
          </w:tcPr>
          <w:p>
            <w:pPr>
              <w:spacing w:line="276" w:lineRule="auto"/>
              <w:ind w:right="420"/>
              <w:rPr>
                <w:rFonts w:ascii="楷体" w:hAnsi="楷体" w:eastAsia="楷体" w:cs="楷体"/>
                <w:szCs w:val="21"/>
              </w:rPr>
            </w:pPr>
            <w:r>
              <w:rPr>
                <w:rFonts w:hint="eastAsia" w:ascii="楷体" w:hAnsi="楷体" w:eastAsia="楷体" w:cs="楷体"/>
                <w:bCs/>
                <w:szCs w:val="21"/>
              </w:rPr>
              <w:t>支持组合查询：</w:t>
            </w:r>
            <w:r>
              <w:rPr>
                <w:rFonts w:hint="eastAsia" w:ascii="楷体" w:hAnsi="楷体" w:eastAsia="楷体" w:cs="楷体"/>
                <w:szCs w:val="21"/>
              </w:rPr>
              <w:t>病人编号、病人姓名、性别、年龄、检查号、检查日期、申请科室、申请医生、设备类型、检查部位、阅片状态、报告状态、审核状态、检查状态、报告医生、审核医生</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4.3</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支持用户配置查询界面</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4.4</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支持用户配置查询条件</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4.5</w:t>
            </w:r>
          </w:p>
        </w:tc>
        <w:tc>
          <w:tcPr>
            <w:tcW w:w="7221" w:type="dxa"/>
          </w:tcPr>
          <w:p>
            <w:pPr>
              <w:spacing w:line="276" w:lineRule="auto"/>
              <w:rPr>
                <w:rFonts w:ascii="楷体" w:hAnsi="楷体" w:eastAsia="楷体" w:cs="楷体"/>
                <w:szCs w:val="21"/>
              </w:rPr>
            </w:pPr>
            <w:r>
              <w:rPr>
                <w:rFonts w:hint="eastAsia" w:ascii="楷体" w:hAnsi="楷体" w:eastAsia="楷体" w:cs="楷体"/>
                <w:bCs/>
                <w:szCs w:val="21"/>
              </w:rPr>
              <w:t>支持图像显示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4.6</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可显示所有接入PACS的医技图文信息</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4.7</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支持CT、MR定位线</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4.8</w:t>
            </w:r>
          </w:p>
        </w:tc>
        <w:tc>
          <w:tcPr>
            <w:tcW w:w="7221" w:type="dxa"/>
          </w:tcPr>
          <w:p>
            <w:pPr>
              <w:spacing w:line="276" w:lineRule="auto"/>
              <w:ind w:right="12"/>
              <w:rPr>
                <w:rFonts w:ascii="楷体" w:hAnsi="楷体" w:eastAsia="楷体" w:cs="楷体"/>
                <w:szCs w:val="21"/>
              </w:rPr>
            </w:pPr>
            <w:r>
              <w:rPr>
                <w:rFonts w:hint="eastAsia" w:ascii="楷体" w:hAnsi="楷体" w:eastAsia="楷体" w:cs="楷体"/>
                <w:szCs w:val="21"/>
              </w:rPr>
              <w:t>支持Modality LUT（保证影像显示质量）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4.9</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支持关键影像标识和显示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4.10</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支持动态多帧影像播放</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4.11</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支持多显示器支持</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4.12</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支持略图索引功能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4.13</w:t>
            </w:r>
          </w:p>
        </w:tc>
        <w:tc>
          <w:tcPr>
            <w:tcW w:w="7221" w:type="dxa"/>
          </w:tcPr>
          <w:p>
            <w:pPr>
              <w:spacing w:line="276" w:lineRule="auto"/>
              <w:ind w:right="12"/>
              <w:rPr>
                <w:rFonts w:ascii="楷体" w:hAnsi="楷体" w:eastAsia="楷体" w:cs="楷体"/>
                <w:szCs w:val="21"/>
              </w:rPr>
            </w:pPr>
            <w:r>
              <w:rPr>
                <w:rFonts w:hint="eastAsia" w:ascii="楷体" w:hAnsi="楷体" w:eastAsia="楷体" w:cs="楷体"/>
                <w:szCs w:val="21"/>
              </w:rPr>
              <w:t>影像基本信息标注（支持按影像类型采用不同标注），并能够保存和调用</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4.14</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支持DICOM文件头信息</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4.15</w:t>
            </w:r>
          </w:p>
        </w:tc>
        <w:tc>
          <w:tcPr>
            <w:tcW w:w="7221" w:type="dxa"/>
          </w:tcPr>
          <w:p>
            <w:pPr>
              <w:tabs>
                <w:tab w:val="left" w:pos="3204"/>
              </w:tabs>
              <w:spacing w:line="276" w:lineRule="auto"/>
              <w:ind w:right="12"/>
              <w:rPr>
                <w:rFonts w:ascii="楷体" w:hAnsi="楷体" w:eastAsia="楷体" w:cs="楷体"/>
                <w:szCs w:val="21"/>
              </w:rPr>
            </w:pPr>
            <w:r>
              <w:rPr>
                <w:rFonts w:hint="eastAsia" w:ascii="楷体" w:hAnsi="楷体" w:eastAsia="楷体" w:cs="楷体"/>
                <w:szCs w:val="21"/>
              </w:rPr>
              <w:t>支持鼠标滚轮操作翻阅影像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4.16</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同一病人的多种检查图像可在同一窗口显示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4.17</w:t>
            </w:r>
          </w:p>
        </w:tc>
        <w:tc>
          <w:tcPr>
            <w:tcW w:w="7221" w:type="dxa"/>
          </w:tcPr>
          <w:p>
            <w:pPr>
              <w:spacing w:line="276" w:lineRule="auto"/>
              <w:ind w:right="12"/>
              <w:rPr>
                <w:rFonts w:ascii="楷体" w:hAnsi="楷体" w:eastAsia="楷体" w:cs="楷体"/>
                <w:szCs w:val="21"/>
              </w:rPr>
            </w:pPr>
            <w:r>
              <w:rPr>
                <w:rFonts w:hint="eastAsia" w:ascii="楷体" w:hAnsi="楷体" w:eastAsia="楷体" w:cs="楷体"/>
                <w:szCs w:val="21"/>
              </w:rPr>
              <w:t>同一检查的多序列图像可实现同步滚动对比</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4.18</w:t>
            </w:r>
          </w:p>
        </w:tc>
        <w:tc>
          <w:tcPr>
            <w:tcW w:w="7221" w:type="dxa"/>
          </w:tcPr>
          <w:p>
            <w:pPr>
              <w:spacing w:line="276" w:lineRule="auto"/>
              <w:ind w:right="12"/>
              <w:rPr>
                <w:rFonts w:ascii="楷体" w:hAnsi="楷体" w:eastAsia="楷体" w:cs="楷体"/>
                <w:szCs w:val="21"/>
              </w:rPr>
            </w:pPr>
            <w:r>
              <w:rPr>
                <w:rFonts w:hint="eastAsia" w:ascii="楷体" w:hAnsi="楷体" w:eastAsia="楷体" w:cs="楷体"/>
                <w:bCs/>
                <w:szCs w:val="21"/>
              </w:rPr>
              <w:t>支持影像处理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4.19</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影像支持无级缩放</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4.20</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支持影像翻转、旋转</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4.21</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支持放大镜无级放大功能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4.22</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支持影像黑白反转</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4.23</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支持边缘增强（锐化）</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4.24</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支持伪彩</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4.25</w:t>
            </w:r>
          </w:p>
        </w:tc>
        <w:tc>
          <w:tcPr>
            <w:tcW w:w="7221" w:type="dxa"/>
          </w:tcPr>
          <w:p>
            <w:pPr>
              <w:spacing w:line="276" w:lineRule="auto"/>
              <w:ind w:right="12"/>
              <w:rPr>
                <w:rFonts w:ascii="楷体" w:hAnsi="楷体" w:eastAsia="楷体" w:cs="楷体"/>
                <w:szCs w:val="21"/>
              </w:rPr>
            </w:pPr>
            <w:r>
              <w:rPr>
                <w:rFonts w:hint="eastAsia" w:ascii="楷体" w:hAnsi="楷体" w:eastAsia="楷体" w:cs="楷体"/>
                <w:szCs w:val="21"/>
              </w:rPr>
              <w:t>支持同序列内可实现图像属性操作自动同步</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4.26</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支持同一病人不同时期的影像比较</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4.27</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支持恢复原始影像设置</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4.28</w:t>
            </w:r>
          </w:p>
        </w:tc>
        <w:tc>
          <w:tcPr>
            <w:tcW w:w="7221" w:type="dxa"/>
          </w:tcPr>
          <w:p>
            <w:pPr>
              <w:spacing w:line="276" w:lineRule="auto"/>
              <w:ind w:right="420"/>
              <w:rPr>
                <w:rFonts w:ascii="楷体" w:hAnsi="楷体" w:eastAsia="楷体" w:cs="楷体"/>
                <w:color w:val="000000"/>
                <w:szCs w:val="21"/>
              </w:rPr>
            </w:pPr>
            <w:r>
              <w:rPr>
                <w:rFonts w:hint="eastAsia" w:ascii="楷体" w:hAnsi="楷体" w:eastAsia="楷体" w:cs="楷体"/>
                <w:szCs w:val="21"/>
              </w:rPr>
              <w:t>▲</w:t>
            </w:r>
            <w:r>
              <w:rPr>
                <w:rFonts w:hint="eastAsia" w:ascii="楷体" w:hAnsi="楷体" w:eastAsia="楷体" w:cs="楷体"/>
                <w:color w:val="000000"/>
                <w:szCs w:val="21"/>
              </w:rPr>
              <w:t>系统具有医学X光影像适应性降噪方法</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4.29</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w:t>
            </w:r>
            <w:r>
              <w:rPr>
                <w:rFonts w:hint="eastAsia" w:ascii="楷体" w:hAnsi="楷体" w:eastAsia="楷体" w:cs="楷体"/>
                <w:bCs/>
                <w:szCs w:val="21"/>
              </w:rPr>
              <w:t>窗宽窗位</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4.30</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支持12位以上灰阶的调节</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4.31</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支持预设窗宽窗位</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4.32</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支持ROI自动窗宽窗位、非线性窗宽窗位</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4.33</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w:t>
            </w:r>
            <w:r>
              <w:rPr>
                <w:rFonts w:hint="eastAsia" w:ascii="楷体" w:hAnsi="楷体" w:eastAsia="楷体" w:cs="楷体"/>
                <w:bCs/>
                <w:szCs w:val="21"/>
              </w:rPr>
              <w:t>影像测量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4.34</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支持距离测量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4.35</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支持角度测量（3点、4点）</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4.36</w:t>
            </w:r>
          </w:p>
        </w:tc>
        <w:tc>
          <w:tcPr>
            <w:tcW w:w="7221" w:type="dxa"/>
          </w:tcPr>
          <w:p>
            <w:pPr>
              <w:spacing w:line="276" w:lineRule="auto"/>
              <w:ind w:right="12"/>
              <w:rPr>
                <w:rFonts w:ascii="楷体" w:hAnsi="楷体" w:eastAsia="楷体" w:cs="楷体"/>
                <w:szCs w:val="21"/>
              </w:rPr>
            </w:pPr>
            <w:r>
              <w:rPr>
                <w:rFonts w:hint="eastAsia" w:ascii="楷体" w:hAnsi="楷体" w:eastAsia="楷体" w:cs="楷体"/>
                <w:szCs w:val="21"/>
              </w:rPr>
              <w:t>支持面积测量（椭圆、矩形、任意面积）</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4.37</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支持CT、MR密度值测量、CT、MR密度值分布</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4.38</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支持文字注释</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4.39</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支持长度、面积计算显示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4.40</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支持注释文字、测量信息保存、复制、粘贴（不对原始图像数据作改动）</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4.41</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支持</w:t>
            </w:r>
            <w:r>
              <w:rPr>
                <w:rFonts w:hint="eastAsia" w:ascii="楷体" w:hAnsi="楷体" w:eastAsia="楷体" w:cs="楷体"/>
                <w:bCs/>
                <w:szCs w:val="21"/>
              </w:rPr>
              <w:t>图像输出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4.42</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支持常规打印纸输出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4.43</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支持DICOM、JPEG、BMP</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4.44</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支持保存在本地工作站功能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4.45</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w:t>
            </w:r>
            <w:r>
              <w:rPr>
                <w:rFonts w:hint="eastAsia" w:ascii="楷体" w:hAnsi="楷体" w:eastAsia="楷体" w:cs="楷体"/>
                <w:bCs/>
                <w:szCs w:val="21"/>
              </w:rPr>
              <w:t>临床医生分级浏览图象的形式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4.46</w:t>
            </w:r>
          </w:p>
        </w:tc>
        <w:tc>
          <w:tcPr>
            <w:tcW w:w="7221" w:type="dxa"/>
          </w:tcPr>
          <w:p>
            <w:pPr>
              <w:spacing w:line="276" w:lineRule="auto"/>
              <w:ind w:right="-36"/>
              <w:rPr>
                <w:rFonts w:ascii="楷体" w:hAnsi="楷体" w:eastAsia="楷体" w:cs="楷体"/>
                <w:szCs w:val="21"/>
              </w:rPr>
            </w:pPr>
            <w:r>
              <w:rPr>
                <w:rFonts w:hint="eastAsia" w:ascii="楷体" w:hAnsi="楷体" w:eastAsia="楷体" w:cs="楷体"/>
                <w:szCs w:val="21"/>
              </w:rPr>
              <w:t>关键影像形式（经放射医生挑选并标注后的KIN Image）</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4.47</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电子胶片形式（即放射技师挑选出要打印给病人的胶片）</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4.48</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原始图像形式（即检查设备生成的所有图像）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4.49</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满足安全性</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4.50</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使用者身份认证</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4.51</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操作日志记录</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4.52</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影像存取权限控制</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4.53</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支持中文界面</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4.54</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支持门诊、住院病区科室在临床影像浏览系统浏览、打印医技影像检查PDF报告</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4.55</w:t>
            </w:r>
          </w:p>
        </w:tc>
        <w:tc>
          <w:tcPr>
            <w:tcW w:w="7221" w:type="dxa"/>
          </w:tcPr>
          <w:p>
            <w:pPr>
              <w:spacing w:line="276" w:lineRule="auto"/>
              <w:ind w:right="12"/>
              <w:rPr>
                <w:rFonts w:ascii="楷体" w:hAnsi="楷体" w:eastAsia="楷体" w:cs="楷体"/>
                <w:szCs w:val="21"/>
              </w:rPr>
            </w:pPr>
            <w:r>
              <w:rPr>
                <w:rFonts w:hint="eastAsia" w:ascii="楷体" w:hAnsi="楷体" w:eastAsia="楷体" w:cs="楷体"/>
                <w:szCs w:val="21"/>
              </w:rPr>
              <w:t>支持同一病人的历史检查图文浏览</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4.56</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服务器具备完整的DICOM管理功能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4.57</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服务器端、浏览器端影像可以缓存</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4.58</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支持可配置的缓存自动删除规则</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b/>
                <w:szCs w:val="21"/>
              </w:rPr>
            </w:pPr>
            <w:r>
              <w:rPr>
                <w:rFonts w:hint="eastAsia" w:ascii="楷体" w:hAnsi="楷体" w:eastAsia="楷体" w:cs="楷体"/>
                <w:b/>
                <w:szCs w:val="21"/>
              </w:rPr>
              <w:t>5</w:t>
            </w:r>
          </w:p>
        </w:tc>
        <w:tc>
          <w:tcPr>
            <w:tcW w:w="7221" w:type="dxa"/>
            <w:vAlign w:val="center"/>
          </w:tcPr>
          <w:p>
            <w:pPr>
              <w:spacing w:line="276" w:lineRule="auto"/>
              <w:jc w:val="center"/>
              <w:rPr>
                <w:rFonts w:ascii="楷体" w:hAnsi="楷体" w:eastAsia="楷体" w:cs="楷体"/>
                <w:b/>
                <w:szCs w:val="21"/>
              </w:rPr>
            </w:pPr>
            <w:r>
              <w:rPr>
                <w:rFonts w:hint="eastAsia" w:ascii="楷体" w:hAnsi="楷体" w:eastAsia="楷体" w:cs="楷体"/>
                <w:b/>
                <w:szCs w:val="21"/>
              </w:rPr>
              <w:t>胶片按需打印服务软件要求</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5.1</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系统支持在取片窗口实现所有类型胶片按需打印，本服务不可以改变当前技师和医生现存的工作方式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5.2</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在登记工作站上能统一由登记员按病人的需要即时打印经放射技师在各种设备后处理工作站上处理完成（已按放射质控要求进行了放大、排版、窗宽窗位调整等）需打印给病人的胶片和医生审核的报告单给患者</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5.3</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要求能避免由技师和医生事先打印与核对胶片、报告单的麻烦，并做到放射科不再堆积已打印而没人来取的胶片，避免浪费，节省成本开支</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5.4</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病人能随时到取片窗口来打印自己的胶片，即使是几个月后来取也可以由登记员进行打印，无需技师和医生的参与</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5.5</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临床医生可以直接浏览到放射技师后处理生成的电子胶片——即经放射科技师在设备后处理工作站上处理完成（已按放射质控要求进行了放大、排版、窗宽窗位调整等）、需打印给病人的实物胶片的电子版</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5.6</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支持取片管理，接受窗口指令控制，触发后台打印，可实现在登记窗口“按需打印”要给病人的各种检查的胶片</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5.7</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可根据用户的需求，设置存储策略。在删除“电子胶片”图像前可以确认“实物胶片”是否打印</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5.8</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支持“电子胶片”图像的自动路由功能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5.9</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能对不同影像设备分别设定不同的胶片打印模式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5.10</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可根据用户的需求，设置存储策略。在删除“电子胶片”图像前可以确认“实物胶片”是否打印</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5.11</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对缓冲的“电子胶片”图像进行数据合法性校验。</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5.12</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支持“电子胶片”图像的自动路由功能。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5.13</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支持远端系统监控功能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5.14</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总体性能要求：同时接收并发数&gt;5、直通模式下延迟&lt;15秒、响应打印指令时间&lt;5秒。</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5.15</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系统支持自动识别黑白和彩色胶片、且支持黑白与彩色胶片分别打印。</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5.16</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支持同一个病人的黑白与彩色胶片分离打印且打印任务是同时发出，打印任务互不影响。</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5.17</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支持主操作台和多辅操作台按需打印胶片</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5.18</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系统具有自动归档功能，具有较高的自动归档成功率</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5.19</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支持自动、手动选择胶片打印的相机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5.20</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szCs w:val="21"/>
              </w:rPr>
              <w:t>▲系统支持医用胶片电子采集技术</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5.21</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系统支持自动选择相机，会根据相机的繁忙程度自动选择胶片的输出目标</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5.22</w:t>
            </w:r>
          </w:p>
        </w:tc>
        <w:tc>
          <w:tcPr>
            <w:tcW w:w="7221" w:type="dxa"/>
            <w:vAlign w:val="center"/>
          </w:tcPr>
          <w:p>
            <w:pPr>
              <w:widowControl/>
              <w:spacing w:line="276" w:lineRule="auto"/>
              <w:rPr>
                <w:rFonts w:ascii="楷体" w:hAnsi="楷体" w:eastAsia="楷体" w:cs="楷体"/>
                <w:color w:val="000000"/>
                <w:kern w:val="0"/>
                <w:szCs w:val="21"/>
              </w:rPr>
            </w:pPr>
            <w:r>
              <w:rPr>
                <w:rFonts w:hint="eastAsia" w:ascii="楷体" w:hAnsi="楷体" w:eastAsia="楷体" w:cs="楷体"/>
                <w:color w:val="000000"/>
                <w:kern w:val="0"/>
                <w:szCs w:val="21"/>
              </w:rPr>
              <w:t>支持自助式取片取报告；具有胶片按需打印、自助式取片在二甲及以上综合性医院优化放射检查工作流程的应用。</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b/>
                <w:bCs/>
                <w:szCs w:val="21"/>
              </w:rPr>
            </w:pPr>
            <w:r>
              <w:rPr>
                <w:rFonts w:hint="eastAsia" w:ascii="楷体" w:hAnsi="楷体" w:eastAsia="楷体" w:cs="楷体"/>
                <w:b/>
                <w:bCs/>
                <w:szCs w:val="21"/>
              </w:rPr>
              <w:t>6</w:t>
            </w:r>
          </w:p>
        </w:tc>
        <w:tc>
          <w:tcPr>
            <w:tcW w:w="7221" w:type="dxa"/>
            <w:vAlign w:val="center"/>
          </w:tcPr>
          <w:p>
            <w:pPr>
              <w:widowControl/>
              <w:spacing w:line="276" w:lineRule="auto"/>
              <w:jc w:val="center"/>
              <w:rPr>
                <w:rFonts w:ascii="楷体" w:hAnsi="楷体" w:eastAsia="楷体" w:cs="楷体"/>
                <w:b/>
                <w:bCs/>
                <w:color w:val="000000"/>
                <w:kern w:val="0"/>
                <w:szCs w:val="21"/>
              </w:rPr>
            </w:pPr>
            <w:r>
              <w:rPr>
                <w:rFonts w:hint="eastAsia" w:ascii="楷体" w:hAnsi="楷体" w:eastAsia="楷体" w:cs="楷体"/>
                <w:b/>
                <w:bCs/>
                <w:color w:val="000000"/>
                <w:kern w:val="0"/>
                <w:szCs w:val="21"/>
                <w:lang w:bidi="ar"/>
              </w:rPr>
              <w:t>影像质控平台软件要求</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6.1</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支持用户键入用户名和密码进行系统登入。</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6.2</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要求基于B/S架构和基于医院PACS系统交互对接实现影像质控服务。</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6.3</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支持列表查询。支持系统登入成功以后界面自动跳转到主列表查询界面。</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6.4</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支持增加条件进行检查信息的查询。</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6.5</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支持报告质控。</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6.6</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根据报告基本要素完善度的评分要求进行勾选打分，质控端可以进行分类并随机抽样，包含但不仅限于时效、检查类型、病人类型、抽样列数等条件进行随机抽样。抽查到的检查可以在界面内打开报告查看，分值勾选内可以进行自定义设置。</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6.7</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支持在主列表页面双击记录页面跳转至报告质控页面。</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6.8</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支持在报告质控页面可以浏览报告内容和影像信息。</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6.9</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支持选择评分项。点击确定位评分进行提交。</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6.10</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支持提交完成以后页面刷新，正确显示分值。</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6.11</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支持对已评分的报告可以进行修改评分操作。</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6.12</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支持图像质控。</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6.13</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具有技术员对图像进行分类并随机抽查的功能，抽查数量可以人为控制。</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6.14</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影像质控数据的随机抽取、在线摄片影像质控评分服务。</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6.15</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支持基础维护。</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6.16</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支持分类管理对评分类别进行维护管理。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6.17</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支持评分类型与检查类型对应。</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6.18</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如果类别没有选择类型，则该质控类别则支持使用于所有检查。</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6.19</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支持项目管理，对评分项目进行添加和删除。</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6.20</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支持评分项目优化管理。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6.21</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可灵活配置和扩展质控评分规范的评分项目、扣分项目。</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6.22</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可在质控评分后需进行质控评估，提出整改措施和查看整改反馈。</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6.23</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支持质控统计。</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6.24</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支持按选择医生的类别和时间以及检查类型 对报告的优良率进行统计，并支持导出打印功能。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6.25</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提供多角度和样式的动态图表化展示提供质控分析。</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6.26</w:t>
            </w:r>
          </w:p>
        </w:tc>
        <w:tc>
          <w:tcPr>
            <w:tcW w:w="7221" w:type="dxa"/>
            <w:vAlign w:val="center"/>
          </w:tcPr>
          <w:p>
            <w:pPr>
              <w:pStyle w:val="19"/>
              <w:spacing w:after="150"/>
              <w:textAlignment w:val="center"/>
              <w:rPr>
                <w:rFonts w:ascii="楷体" w:hAnsi="楷体" w:eastAsia="楷体" w:cs="楷体"/>
              </w:rPr>
            </w:pPr>
            <w:r>
              <w:rPr>
                <w:rFonts w:hint="eastAsia" w:ascii="楷体" w:hAnsi="楷体" w:eastAsia="楷体" w:cs="楷体"/>
                <w:sz w:val="21"/>
                <w:szCs w:val="21"/>
              </w:rPr>
              <w:t>支持可以自定义评分标准，包括自定义权重设置、加分、减分等。</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b/>
                <w:bCs/>
                <w:szCs w:val="21"/>
              </w:rPr>
            </w:pPr>
            <w:r>
              <w:rPr>
                <w:rFonts w:hint="eastAsia" w:ascii="楷体" w:hAnsi="楷体" w:eastAsia="楷体" w:cs="楷体"/>
                <w:b/>
                <w:bCs/>
                <w:szCs w:val="21"/>
              </w:rPr>
              <w:t>7</w:t>
            </w:r>
          </w:p>
        </w:tc>
        <w:tc>
          <w:tcPr>
            <w:tcW w:w="7221" w:type="dxa"/>
            <w:vAlign w:val="center"/>
          </w:tcPr>
          <w:p>
            <w:pPr>
              <w:widowControl/>
              <w:jc w:val="center"/>
              <w:textAlignment w:val="center"/>
              <w:rPr>
                <w:rFonts w:ascii="楷体" w:hAnsi="楷体" w:eastAsia="楷体" w:cs="楷体"/>
                <w:b/>
                <w:bCs/>
                <w:color w:val="000000"/>
                <w:szCs w:val="21"/>
              </w:rPr>
            </w:pPr>
            <w:r>
              <w:rPr>
                <w:rFonts w:hint="eastAsia" w:ascii="楷体" w:hAnsi="楷体" w:eastAsia="楷体" w:cs="楷体"/>
                <w:b/>
                <w:bCs/>
                <w:color w:val="000000"/>
                <w:szCs w:val="21"/>
              </w:rPr>
              <w:t>排班管理系统软件要求</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7.1</w:t>
            </w:r>
          </w:p>
        </w:tc>
        <w:tc>
          <w:tcPr>
            <w:tcW w:w="7221" w:type="dxa"/>
            <w:vAlign w:val="center"/>
          </w:tcPr>
          <w:p>
            <w:pPr>
              <w:widowControl/>
              <w:jc w:val="left"/>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可以根据排班情况自动分配工作量，具有每日工作量的统计图展现（做到每人、每日），可以方便日后计入绩效考核。</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7.2</w:t>
            </w:r>
          </w:p>
        </w:tc>
        <w:tc>
          <w:tcPr>
            <w:tcW w:w="7221" w:type="dxa"/>
            <w:vAlign w:val="center"/>
          </w:tcPr>
          <w:p>
            <w:pPr>
              <w:widowControl/>
              <w:jc w:val="left"/>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支持科室人员排班。</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7.3</w:t>
            </w:r>
          </w:p>
        </w:tc>
        <w:tc>
          <w:tcPr>
            <w:tcW w:w="7221" w:type="dxa"/>
            <w:vAlign w:val="center"/>
          </w:tcPr>
          <w:p>
            <w:pPr>
              <w:widowControl/>
              <w:jc w:val="left"/>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支持排班统计、复制、打印、EXCEL导出。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7.4</w:t>
            </w:r>
          </w:p>
        </w:tc>
        <w:tc>
          <w:tcPr>
            <w:tcW w:w="7221" w:type="dxa"/>
            <w:vAlign w:val="center"/>
          </w:tcPr>
          <w:p>
            <w:pPr>
              <w:widowControl/>
              <w:jc w:val="left"/>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支持排班管理，支持定义岗位、人员和时间的坐标变换。</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7.5</w:t>
            </w:r>
          </w:p>
        </w:tc>
        <w:tc>
          <w:tcPr>
            <w:tcW w:w="7221" w:type="dxa"/>
            <w:vAlign w:val="center"/>
          </w:tcPr>
          <w:p>
            <w:pPr>
              <w:widowControl/>
              <w:jc w:val="left"/>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支持B/S架构，任意联网的电脑登录账户进行排班、查询统计和配置管理。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7.6</w:t>
            </w:r>
          </w:p>
        </w:tc>
        <w:tc>
          <w:tcPr>
            <w:tcW w:w="7221" w:type="dxa"/>
            <w:vAlign w:val="center"/>
          </w:tcPr>
          <w:p>
            <w:pPr>
              <w:widowControl/>
              <w:jc w:val="left"/>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支持排班自定义配置、排班类型及类型分组自定义设置。</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7.7</w:t>
            </w:r>
          </w:p>
        </w:tc>
        <w:tc>
          <w:tcPr>
            <w:tcW w:w="7221" w:type="dxa"/>
            <w:vAlign w:val="center"/>
          </w:tcPr>
          <w:p>
            <w:pPr>
              <w:widowControl/>
              <w:jc w:val="left"/>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支持设备管理功能，包含：设备信息、设备日志、设备维护、设备保养及保修协议。</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7.8</w:t>
            </w:r>
          </w:p>
        </w:tc>
        <w:tc>
          <w:tcPr>
            <w:tcW w:w="7221" w:type="dxa"/>
            <w:vAlign w:val="center"/>
          </w:tcPr>
          <w:p>
            <w:pPr>
              <w:widowControl/>
              <w:jc w:val="left"/>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支持放射耗材管理，包含：耗材信息、出入库记录管理。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7.9</w:t>
            </w:r>
          </w:p>
        </w:tc>
        <w:tc>
          <w:tcPr>
            <w:tcW w:w="7221" w:type="dxa"/>
            <w:vAlign w:val="center"/>
          </w:tcPr>
          <w:p>
            <w:pPr>
              <w:widowControl/>
              <w:jc w:val="left"/>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支持科员管理、交班记录功能，支持系统配置、日志查询及权限分配等系统管理功能。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17" w:type="dxa"/>
            <w:vAlign w:val="center"/>
          </w:tcPr>
          <w:p>
            <w:pPr>
              <w:widowControl/>
              <w:jc w:val="center"/>
              <w:rPr>
                <w:rFonts w:ascii="楷体" w:hAnsi="楷体" w:eastAsia="楷体" w:cs="楷体"/>
                <w:b/>
                <w:bCs/>
                <w:szCs w:val="21"/>
              </w:rPr>
            </w:pPr>
            <w:r>
              <w:rPr>
                <w:rFonts w:hint="eastAsia" w:ascii="楷体" w:hAnsi="楷体" w:eastAsia="楷体" w:cs="楷体"/>
                <w:b/>
                <w:bCs/>
                <w:szCs w:val="21"/>
              </w:rPr>
              <w:t>8</w:t>
            </w:r>
          </w:p>
        </w:tc>
        <w:tc>
          <w:tcPr>
            <w:tcW w:w="7221" w:type="dxa"/>
            <w:vAlign w:val="center"/>
          </w:tcPr>
          <w:p>
            <w:pPr>
              <w:widowControl/>
              <w:jc w:val="center"/>
              <w:textAlignment w:val="center"/>
              <w:rPr>
                <w:rFonts w:ascii="楷体" w:hAnsi="楷体" w:eastAsia="楷体" w:cs="楷体"/>
                <w:b/>
                <w:bCs/>
                <w:color w:val="000000"/>
                <w:szCs w:val="21"/>
              </w:rPr>
            </w:pPr>
            <w:r>
              <w:rPr>
                <w:rFonts w:hint="eastAsia" w:ascii="楷体" w:hAnsi="楷体" w:eastAsia="楷体" w:cs="楷体"/>
                <w:b/>
                <w:bCs/>
                <w:color w:val="000000"/>
                <w:szCs w:val="21"/>
              </w:rPr>
              <w:t>排队叫号系统软件要求</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8.1</w:t>
            </w:r>
          </w:p>
        </w:tc>
        <w:tc>
          <w:tcPr>
            <w:tcW w:w="7221" w:type="dxa"/>
            <w:vAlign w:val="center"/>
          </w:tcPr>
          <w:p>
            <w:pPr>
              <w:widowControl/>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排队叫号系统支持与放射超声内镜PACS（登记系统、叫号系统、放射检查工作站、超声内镜图文网络工作站系统）完整集成、无缝数据融合和信息共享，排队叫号系统能与PACS/RIS系统实现无缝嵌入集成。</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8.2</w:t>
            </w:r>
          </w:p>
        </w:tc>
        <w:tc>
          <w:tcPr>
            <w:tcW w:w="7221" w:type="dxa"/>
            <w:vAlign w:val="center"/>
          </w:tcPr>
          <w:p>
            <w:pPr>
              <w:widowControl/>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排队叫号支持顺呼、重呼、预呼等候、顺延、未准备、弃号。</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8.3</w:t>
            </w:r>
          </w:p>
        </w:tc>
        <w:tc>
          <w:tcPr>
            <w:tcW w:w="7221" w:type="dxa"/>
            <w:vAlign w:val="center"/>
          </w:tcPr>
          <w:p>
            <w:pPr>
              <w:widowControl/>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支持排队叫号屏幕自定义显示画面布局、叫号次数、叫号语速自定义、自定义诊室对应的检查队列、呼叫信息的格式、显示报告分发状态。</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8.4</w:t>
            </w:r>
          </w:p>
        </w:tc>
        <w:tc>
          <w:tcPr>
            <w:tcW w:w="7221" w:type="dxa"/>
            <w:vAlign w:val="center"/>
          </w:tcPr>
          <w:p>
            <w:pPr>
              <w:widowControl/>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支持叫号患者姓名隐私保护处理机制。</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8.5</w:t>
            </w:r>
          </w:p>
        </w:tc>
        <w:tc>
          <w:tcPr>
            <w:tcW w:w="7221" w:type="dxa"/>
            <w:vAlign w:val="center"/>
          </w:tcPr>
          <w:p>
            <w:pPr>
              <w:widowControl/>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支持对分诊区域、队列、检查室、呼叫参数、数据源的维护；支持在RIS/PACS系统中内嵌排队叫号系统、新增队列、删除队列、设置队列对应的ID值。</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8.6</w:t>
            </w:r>
          </w:p>
        </w:tc>
        <w:tc>
          <w:tcPr>
            <w:tcW w:w="7221" w:type="dxa"/>
            <w:vAlign w:val="center"/>
          </w:tcPr>
          <w:p>
            <w:pPr>
              <w:widowControl/>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支持控制台模式、支持登记工作站排队模式、支持检查工作站呼叫模式。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pStyle w:val="19"/>
              <w:spacing w:after="150"/>
              <w:jc w:val="center"/>
              <w:textAlignment w:val="center"/>
              <w:rPr>
                <w:rFonts w:ascii="楷体" w:hAnsi="楷体" w:eastAsia="楷体" w:cs="楷体"/>
              </w:rPr>
            </w:pPr>
            <w:r>
              <w:rPr>
                <w:rFonts w:hint="eastAsia" w:ascii="楷体" w:hAnsi="楷体" w:eastAsia="楷体" w:cs="楷体"/>
                <w:sz w:val="21"/>
                <w:szCs w:val="21"/>
              </w:rPr>
              <w:t>8.7</w:t>
            </w:r>
          </w:p>
        </w:tc>
        <w:tc>
          <w:tcPr>
            <w:tcW w:w="7221" w:type="dxa"/>
            <w:vAlign w:val="center"/>
          </w:tcPr>
          <w:p>
            <w:pPr>
              <w:widowControl/>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支持显示设置控制。</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b/>
                <w:szCs w:val="21"/>
              </w:rPr>
            </w:pPr>
            <w:r>
              <w:rPr>
                <w:rFonts w:hint="eastAsia" w:ascii="楷体" w:hAnsi="楷体" w:eastAsia="楷体" w:cs="楷体"/>
                <w:b/>
                <w:szCs w:val="21"/>
              </w:rPr>
              <w:t>9</w:t>
            </w:r>
          </w:p>
        </w:tc>
        <w:tc>
          <w:tcPr>
            <w:tcW w:w="7221" w:type="dxa"/>
            <w:vAlign w:val="center"/>
          </w:tcPr>
          <w:p>
            <w:pPr>
              <w:spacing w:line="276" w:lineRule="auto"/>
              <w:jc w:val="center"/>
              <w:rPr>
                <w:rFonts w:ascii="楷体" w:hAnsi="楷体" w:eastAsia="楷体" w:cs="楷体"/>
                <w:b/>
                <w:szCs w:val="21"/>
              </w:rPr>
            </w:pPr>
            <w:r>
              <w:rPr>
                <w:rFonts w:hint="eastAsia" w:ascii="楷体" w:hAnsi="楷体" w:eastAsia="楷体" w:cs="楷体"/>
                <w:b/>
                <w:szCs w:val="21"/>
              </w:rPr>
              <w:t>超声内镜信息系统软件要求</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9.1</w:t>
            </w:r>
          </w:p>
        </w:tc>
        <w:tc>
          <w:tcPr>
            <w:tcW w:w="7221" w:type="dxa"/>
            <w:vAlign w:val="center"/>
          </w:tcPr>
          <w:p>
            <w:pPr>
              <w:rPr>
                <w:rFonts w:ascii="楷体" w:hAnsi="楷体" w:eastAsia="楷体" w:cs="楷体"/>
                <w:szCs w:val="21"/>
              </w:rPr>
            </w:pPr>
            <w:r>
              <w:rPr>
                <w:rFonts w:hint="eastAsia" w:ascii="楷体" w:hAnsi="楷体" w:eastAsia="楷体" w:cs="楷体"/>
                <w:szCs w:val="21"/>
              </w:rPr>
              <w:t>支持集中及分散登记系统与工作任务。</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9.2</w:t>
            </w:r>
          </w:p>
        </w:tc>
        <w:tc>
          <w:tcPr>
            <w:tcW w:w="7221" w:type="dxa"/>
          </w:tcPr>
          <w:p>
            <w:pPr>
              <w:tabs>
                <w:tab w:val="left" w:pos="4170"/>
              </w:tabs>
              <w:spacing w:line="276" w:lineRule="auto"/>
              <w:rPr>
                <w:rFonts w:ascii="楷体" w:hAnsi="楷体" w:eastAsia="楷体" w:cs="楷体"/>
                <w:szCs w:val="21"/>
              </w:rPr>
            </w:pPr>
            <w:r>
              <w:rPr>
                <w:rFonts w:hint="eastAsia" w:ascii="楷体" w:hAnsi="楷体" w:eastAsia="楷体" w:cs="楷体"/>
                <w:szCs w:val="21"/>
              </w:rPr>
              <w:t>支持由HIS系统直接登记；支持检查登记、登记修改、登记取消。</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9.3</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支持病人信息的合并功能、同一病人信息可自动关联。</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9.4</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支持当前登记和机房资源情况的查询；支持自动分配检查机房，支持排队管理和检查调度。</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9.5</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支持接收电子申请单；支持打印电子申请单，可以按检查类型和检查项目自由配置申请单的格式和内容；</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9.6</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民族、职业、登记备注、临床诊断等支持常用语输入。</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ind w:firstLine="210" w:firstLineChars="100"/>
              <w:rPr>
                <w:rFonts w:ascii="楷体" w:hAnsi="楷体" w:eastAsia="楷体" w:cs="楷体"/>
                <w:szCs w:val="21"/>
              </w:rPr>
            </w:pPr>
            <w:r>
              <w:rPr>
                <w:rFonts w:hint="eastAsia" w:ascii="楷体" w:hAnsi="楷体" w:eastAsia="楷体" w:cs="楷体"/>
                <w:szCs w:val="21"/>
              </w:rPr>
              <w:t>9.7</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支持登记时验证年龄为零岁的检查，儿童年龄可采用天和月表示。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9.8</w:t>
            </w:r>
          </w:p>
        </w:tc>
        <w:tc>
          <w:tcPr>
            <w:tcW w:w="7221" w:type="dxa"/>
          </w:tcPr>
          <w:p>
            <w:pPr>
              <w:spacing w:line="276" w:lineRule="auto"/>
              <w:rPr>
                <w:rFonts w:ascii="楷体" w:hAnsi="楷体" w:eastAsia="楷体" w:cs="楷体"/>
                <w:szCs w:val="21"/>
              </w:rPr>
            </w:pPr>
            <w:r>
              <w:rPr>
                <w:rFonts w:hint="eastAsia" w:ascii="楷体" w:hAnsi="楷体" w:eastAsia="楷体" w:cs="楷体"/>
                <w:szCs w:val="21"/>
              </w:rPr>
              <w:t>支持加急情况下的快速登记，实现“临时病例”。</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9.9</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支持工作任务列表及查询。</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9.10</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可按机房显示已登记/已检查/已报告/已审核的列表；并显示各列表任务数。</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9.11</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可按时间范围进行检索；可按检查号精确定位某个病人。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9.12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可按时间、病人类型、门诊住院号、病床号、病人编号、姓名、性别、检查年龄、检查费用、检查状态、报告状态、附件标记、检查医生、报告记录人、报告医生、审核医生、检查设备、检查项目、检查部位、仪器型号、探头频率、临床诊断、申请科室、申请医生、影像表现、诊断意见等条件来进行组合查询相关的检查列表；</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9.13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支持对2.4项内容的模糊查询；</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9.14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支持由HIS系统驱动Windows消息的打印；支持报告的批量打印；支持将检查列表导出为Execl文件进行处理；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9.15</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支持模拟图像采集服务</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9.16</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 xml:space="preserve">分辨率至少支持768×576@PAL；640×480@NTSC，彩色最大32bit； </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9.17</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支持BNC/S-VIDEO/RGB等多种视频接口，并可配置</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9.18</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支持所有提供WDM驱动的采集卡</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9.19</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支持调整采集卡参数；如亮度、对比度、色调、饱和度、锐利度、伽玛、白平衡、逆光补偿等</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9.20</w:t>
            </w:r>
          </w:p>
        </w:tc>
        <w:tc>
          <w:tcPr>
            <w:tcW w:w="7221" w:type="dxa"/>
            <w:vAlign w:val="center"/>
          </w:tcPr>
          <w:p>
            <w:pPr>
              <w:spacing w:line="276" w:lineRule="auto"/>
              <w:ind w:right="156"/>
              <w:rPr>
                <w:rFonts w:ascii="楷体" w:hAnsi="楷体" w:eastAsia="楷体" w:cs="楷体"/>
                <w:szCs w:val="21"/>
              </w:rPr>
            </w:pPr>
            <w:r>
              <w:rPr>
                <w:rFonts w:hint="eastAsia" w:ascii="楷体" w:hAnsi="楷体" w:eastAsia="楷体" w:cs="楷体"/>
                <w:szCs w:val="21"/>
              </w:rPr>
              <w:t>支持视频录像，允许设置压缩格式；录像时仍支持单帧图像的采集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9.21</w:t>
            </w:r>
          </w:p>
        </w:tc>
        <w:tc>
          <w:tcPr>
            <w:tcW w:w="7221" w:type="dxa"/>
            <w:vAlign w:val="center"/>
          </w:tcPr>
          <w:p>
            <w:pPr>
              <w:spacing w:line="276" w:lineRule="auto"/>
              <w:ind w:right="156"/>
              <w:rPr>
                <w:rFonts w:ascii="楷体" w:hAnsi="楷体" w:eastAsia="楷体" w:cs="楷体"/>
                <w:szCs w:val="21"/>
              </w:rPr>
            </w:pPr>
            <w:r>
              <w:rPr>
                <w:rFonts w:hint="eastAsia" w:ascii="楷体" w:hAnsi="楷体" w:eastAsia="楷体" w:cs="楷体"/>
                <w:szCs w:val="21"/>
              </w:rPr>
              <w:t>支持声音的录制</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9.22</w:t>
            </w:r>
          </w:p>
        </w:tc>
        <w:tc>
          <w:tcPr>
            <w:tcW w:w="7221" w:type="dxa"/>
            <w:vAlign w:val="center"/>
          </w:tcPr>
          <w:p>
            <w:pPr>
              <w:spacing w:line="276" w:lineRule="auto"/>
              <w:ind w:right="156"/>
              <w:rPr>
                <w:rFonts w:ascii="楷体" w:hAnsi="楷体" w:eastAsia="楷体" w:cs="楷体"/>
                <w:szCs w:val="21"/>
              </w:rPr>
            </w:pPr>
            <w:r>
              <w:rPr>
                <w:rFonts w:hint="eastAsia" w:ascii="楷体" w:hAnsi="楷体" w:eastAsia="楷体" w:cs="楷体"/>
                <w:szCs w:val="21"/>
              </w:rPr>
              <w:t>支持脚踏开关、手动开关、小键盘等多种形式采集图像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9.23</w:t>
            </w:r>
          </w:p>
        </w:tc>
        <w:tc>
          <w:tcPr>
            <w:tcW w:w="7221" w:type="dxa"/>
            <w:vAlign w:val="center"/>
          </w:tcPr>
          <w:p>
            <w:pPr>
              <w:spacing w:line="276" w:lineRule="auto"/>
              <w:ind w:right="156"/>
              <w:rPr>
                <w:rFonts w:ascii="楷体" w:hAnsi="楷体" w:eastAsia="楷体" w:cs="楷体"/>
                <w:szCs w:val="21"/>
              </w:rPr>
            </w:pPr>
            <w:r>
              <w:rPr>
                <w:rFonts w:hint="eastAsia" w:ascii="楷体" w:hAnsi="楷体" w:eastAsia="楷体" w:cs="楷体"/>
                <w:szCs w:val="21"/>
              </w:rPr>
              <w:t>支持采集图像到临时缓存，待检查结束时的事后归档</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9.24</w:t>
            </w:r>
          </w:p>
        </w:tc>
        <w:tc>
          <w:tcPr>
            <w:tcW w:w="7221" w:type="dxa"/>
            <w:vAlign w:val="center"/>
          </w:tcPr>
          <w:p>
            <w:pPr>
              <w:spacing w:line="276" w:lineRule="auto"/>
              <w:ind w:right="156"/>
              <w:rPr>
                <w:rFonts w:ascii="楷体" w:hAnsi="楷体" w:eastAsia="楷体" w:cs="楷体"/>
                <w:szCs w:val="21"/>
              </w:rPr>
            </w:pPr>
            <w:r>
              <w:rPr>
                <w:rFonts w:hint="eastAsia" w:ascii="楷体" w:hAnsi="楷体" w:eastAsia="楷体" w:cs="楷体"/>
                <w:szCs w:val="21"/>
              </w:rPr>
              <w:t>支持检查/诊断双工模式（即后台采图方式），以提高效率</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9.25</w:t>
            </w:r>
          </w:p>
        </w:tc>
        <w:tc>
          <w:tcPr>
            <w:tcW w:w="7221" w:type="dxa"/>
            <w:vAlign w:val="center"/>
          </w:tcPr>
          <w:p>
            <w:pPr>
              <w:spacing w:line="276" w:lineRule="auto"/>
              <w:ind w:right="156"/>
              <w:rPr>
                <w:rFonts w:ascii="楷体" w:hAnsi="楷体" w:eastAsia="楷体" w:cs="楷体"/>
                <w:szCs w:val="21"/>
              </w:rPr>
            </w:pPr>
            <w:r>
              <w:rPr>
                <w:rFonts w:hint="eastAsia" w:ascii="楷体" w:hAnsi="楷体" w:eastAsia="楷体" w:cs="楷体"/>
                <w:szCs w:val="21"/>
              </w:rPr>
              <w:t>支持按自定义的区域采集图像（内镜）</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9.26</w:t>
            </w:r>
          </w:p>
        </w:tc>
        <w:tc>
          <w:tcPr>
            <w:tcW w:w="7221" w:type="dxa"/>
            <w:vAlign w:val="center"/>
          </w:tcPr>
          <w:p>
            <w:pPr>
              <w:spacing w:line="276" w:lineRule="auto"/>
              <w:ind w:right="156"/>
              <w:rPr>
                <w:rFonts w:ascii="楷体" w:hAnsi="楷体" w:eastAsia="楷体" w:cs="楷体"/>
                <w:szCs w:val="21"/>
              </w:rPr>
            </w:pPr>
            <w:r>
              <w:rPr>
                <w:rFonts w:hint="eastAsia" w:ascii="楷体" w:hAnsi="楷体" w:eastAsia="楷体" w:cs="楷体"/>
                <w:szCs w:val="21"/>
              </w:rPr>
              <w:t>支持自动实时计算采集的区域，以适应不同规格的内窥镜要求（内镜）</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9.27</w:t>
            </w:r>
          </w:p>
        </w:tc>
        <w:tc>
          <w:tcPr>
            <w:tcW w:w="7221" w:type="dxa"/>
            <w:vAlign w:val="center"/>
          </w:tcPr>
          <w:p>
            <w:pPr>
              <w:spacing w:line="276" w:lineRule="auto"/>
              <w:ind w:right="156"/>
              <w:rPr>
                <w:rFonts w:ascii="楷体" w:hAnsi="楷体" w:eastAsia="楷体" w:cs="楷体"/>
                <w:szCs w:val="21"/>
              </w:rPr>
            </w:pPr>
            <w:r>
              <w:rPr>
                <w:rFonts w:hint="eastAsia" w:ascii="楷体" w:hAnsi="楷体" w:eastAsia="楷体" w:cs="楷体"/>
                <w:szCs w:val="21"/>
              </w:rPr>
              <w:t>支持扁平化和倒序显示方式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9.28</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DICOM支持</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9.29</w:t>
            </w:r>
          </w:p>
        </w:tc>
        <w:tc>
          <w:tcPr>
            <w:tcW w:w="7221" w:type="dxa"/>
            <w:vAlign w:val="center"/>
          </w:tcPr>
          <w:p>
            <w:pPr>
              <w:spacing w:line="276" w:lineRule="auto"/>
              <w:ind w:right="156"/>
              <w:rPr>
                <w:rFonts w:ascii="楷体" w:hAnsi="楷体" w:eastAsia="楷体" w:cs="楷体"/>
                <w:szCs w:val="21"/>
              </w:rPr>
            </w:pPr>
            <w:r>
              <w:rPr>
                <w:rFonts w:hint="eastAsia" w:ascii="楷体" w:hAnsi="楷体" w:eastAsia="楷体" w:cs="楷体"/>
                <w:szCs w:val="21"/>
              </w:rPr>
              <w:t>支持完善的DICOM3.0标准；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9.30</w:t>
            </w:r>
          </w:p>
        </w:tc>
        <w:tc>
          <w:tcPr>
            <w:tcW w:w="7221" w:type="dxa"/>
            <w:vAlign w:val="center"/>
          </w:tcPr>
          <w:p>
            <w:pPr>
              <w:spacing w:line="276" w:lineRule="auto"/>
              <w:ind w:right="156"/>
              <w:rPr>
                <w:rFonts w:ascii="楷体" w:hAnsi="楷体" w:eastAsia="楷体" w:cs="楷体"/>
                <w:szCs w:val="21"/>
              </w:rPr>
            </w:pPr>
            <w:r>
              <w:rPr>
                <w:rFonts w:hint="eastAsia" w:ascii="楷体" w:hAnsi="楷体" w:eastAsia="楷体" w:cs="楷体"/>
                <w:szCs w:val="21"/>
              </w:rPr>
              <w:t>支持所有模拟图像转换为DICOM格式；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9.31</w:t>
            </w:r>
          </w:p>
        </w:tc>
        <w:tc>
          <w:tcPr>
            <w:tcW w:w="7221" w:type="dxa"/>
            <w:vAlign w:val="center"/>
          </w:tcPr>
          <w:p>
            <w:pPr>
              <w:spacing w:line="276" w:lineRule="auto"/>
              <w:ind w:right="156"/>
              <w:rPr>
                <w:rFonts w:ascii="楷体" w:hAnsi="楷体" w:eastAsia="楷体" w:cs="楷体"/>
                <w:szCs w:val="21"/>
              </w:rPr>
            </w:pPr>
            <w:r>
              <w:rPr>
                <w:rFonts w:hint="eastAsia" w:ascii="楷体" w:hAnsi="楷体" w:eastAsia="楷体" w:cs="楷体"/>
                <w:szCs w:val="21"/>
              </w:rPr>
              <w:t>支持Modality Worklist</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9.32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支持设备的DICOM通讯：包括DICOM存储、DICOM传送与接收及DICOM查询检索；</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9.33</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支持静态图（单帧）、动态图（多帧）格式；支持多种压缩格式；支持DICOM光盘刻录（包含DICOM DIR），普通PC机浏览。</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9.34</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支持窗宽窗位调整；支持强制窗宽窗位显示和打印；</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9.35</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支持按策略自动路由影像到PACS服务器；</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9.36</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支持查询验证（Query/Retrieve）和存储验证（Storage Commintment）</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9.37</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支持“模拟采集”和“DICOM图像接收”并行工作模式；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9.38</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支持急诊/床边检查要求的“先检查、后归档”工作模式；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9.39</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支持影像存储服务与质量管理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9.40</w:t>
            </w:r>
          </w:p>
        </w:tc>
        <w:tc>
          <w:tcPr>
            <w:tcW w:w="7221" w:type="dxa"/>
          </w:tcPr>
          <w:p>
            <w:pPr>
              <w:spacing w:line="276" w:lineRule="auto"/>
              <w:ind w:right="420"/>
              <w:rPr>
                <w:rFonts w:ascii="楷体" w:hAnsi="楷体" w:eastAsia="楷体" w:cs="楷体"/>
                <w:szCs w:val="21"/>
              </w:rPr>
            </w:pPr>
            <w:r>
              <w:rPr>
                <w:rFonts w:hint="eastAsia" w:ascii="楷体" w:hAnsi="楷体" w:eastAsia="楷体" w:cs="楷体"/>
                <w:szCs w:val="21"/>
              </w:rPr>
              <w:t>可根据用户的需求，设置存储设备的影像删除策略，在删除影像前需要确认影像已经备份；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9.41</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支持DICOM图像质控：可设置匹配项，自动核对并完善Modality Worklist相关检查属性与图像属性的一致性；</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9.42</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支持手工归档及合成功能；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9.43</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支持关键图像标记、显示及图文打印；</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9.44</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支持导入DICOM图像以及系统支持的非DICOM图像；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9.45</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允许手动发送图像到任意的DICOM节点；</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9.46</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支持调阅和显示其他医技科室的图像和报告；</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9.47</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支持在高分辨率情况下同屏操作采集和报告；</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9.48</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为便于教学，支持双屏双工模式（一屏编写报告，一屏实时监控及采集）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9.49</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支持图像筛选：静态图/动态图的取舍；</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9.50</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支持Jpeg，Bmp，Tif，PNG，JP2，GIF，TGA等多种格式图像的输出；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9.51</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支持动态影像导出为AVI文件；</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9.52</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支持动态影像的播放；</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9.53</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支持在客户端管理中心的影像；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9.54</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支持管理归档及技师检查等系统任务，以调优系统或排除故障；</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9.55</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支持图文报告</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9.56</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报告界面支持病人基本信息的显示；</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9.57</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支持报告模版管理，模版分为公有模版和私有模版，并可以互相转换；</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9.58</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报告的书写/审核权限可分为多级；报告审核后，再修改会保留原始版本；允许设置报告修改的保护时间，超过该时间的报告需要高权限用户才能修改；支持查询当前病人的历史检查以及随访记录。</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9.59</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支持电子签名；</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9.60</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支持显示分配到本机的排队工作列表；支持指定打印机；支持用户自由编辑报告的打印格式；支持打印特殊检查治疗同意书；支持从其他系统去调用病人的各种医疗资料，例如病案信息、检验结果、手术记录等</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9.61</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支持报告中附加按实际测量数据进行编辑的表格；</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9.62</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支持“检查部位、检查收费、仪器型号、探头频率、临床诊断、登记备注”的输入，并支持常用语录入。</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9.63</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支持“选择式模板”，实现超声报告的快速录入。</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9.64</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支持“分项式模板”，实现内镜类报告的需求。</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9.65</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支持同一检查按多个项目来书写报告，允许自由拆分或组合。</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9.66</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支持“图文报告”格式， 实现任意幅图像的排版；</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9.67</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支持图文报告分页打印，图文报告可回溯；打印前可先预览报告，所见即所得。</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9.68</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支持图像测量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9.69</w:t>
            </w:r>
          </w:p>
        </w:tc>
        <w:tc>
          <w:tcPr>
            <w:tcW w:w="7221" w:type="dxa"/>
            <w:vAlign w:val="center"/>
          </w:tcPr>
          <w:p>
            <w:pPr>
              <w:adjustRightInd w:val="0"/>
              <w:spacing w:line="276" w:lineRule="auto"/>
              <w:rPr>
                <w:rFonts w:ascii="楷体" w:hAnsi="楷体" w:eastAsia="楷体" w:cs="楷体"/>
                <w:szCs w:val="21"/>
              </w:rPr>
            </w:pPr>
            <w:r>
              <w:rPr>
                <w:rFonts w:hint="eastAsia" w:ascii="楷体" w:hAnsi="楷体" w:eastAsia="楷体" w:cs="楷体"/>
                <w:szCs w:val="21"/>
              </w:rPr>
              <w:t>支持模拟影像转换的（无像素间距的）DICOM影像校准；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9.70</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支持测量距离长度，角度；测量面积、周长；支持影像标注；</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9.71</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支持对普超、M-Mode,Doppler 多种类型参数校准；支持体表面积、压力、速度、心率、直径、每搏心搏量、心室射血分数、斜率；</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9.72</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支持舒张期室间隔厚度、舒张期左室腔内径、左室后壁舒张期厚度、舒张期容积；支持收缩期室间隔厚度、收缩期左室腔内径、收缩期左室后壁舒张期厚度、收缩期容积；</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9.73</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支持影像颜色自由调节；反色、图像自定义选择区域。</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9.74</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支持科室管理、支持查询统计：医生工作量报表/岗位工作量报表/科室工作量报表/设备利用率统计/收费项目统计/申请科室分布统计/检查项目分类统计/阳性率统计/随访符合率统计；</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9.75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▲支持产前超声筛查远程指导与质控系统</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9.76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支持超声图像自定义标注水印功能。</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9.77</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支持刻录备份服务</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9.78</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离线刻录：可以定期或定量将一批或单个病人的超声图像刻录到CD/DVD光盘或硬盘中，并可以在任一的电脑上浏览图像。</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9.79</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离线恢复：可以按照检查号、病人编号、病人姓名、时间范围等条件检索DVD光盘号，并可以重新将图像送回PACS服务器。</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9.80</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支持超声、内镜与病理结果的检查随访、随访结果统计。</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9.81</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内镜系统支持内镜质控管理、胃粘膜清洁度评分量表（胃镜BBPS）、波士顿肠道准备评分量表（波士顿评分）</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9.82</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内镜系统支持入镜时间提取、镜子到底时间提取、出镜时间提取、手工修改</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9.83</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在具有或提供相关内镜质控标准规范的前提下，内镜系统支持胃镜检查完整率、肠道准备优良率、肠道准备及格率、结肠镜检查成功率、早起食管癌检出率、早期胃癌检出率、早期结直肠检出率等内镜质控统计。</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9.8</w:t>
            </w:r>
            <w:r>
              <w:rPr>
                <w:rFonts w:ascii="楷体" w:hAnsi="楷体" w:eastAsia="楷体" w:cs="楷体"/>
                <w:szCs w:val="21"/>
              </w:rPr>
              <w:t>4</w:t>
            </w:r>
          </w:p>
        </w:tc>
        <w:tc>
          <w:tcPr>
            <w:tcW w:w="7221" w:type="dxa"/>
            <w:vAlign w:val="center"/>
          </w:tcPr>
          <w:p>
            <w:pPr>
              <w:spacing w:line="276" w:lineRule="auto"/>
              <w:ind w:right="420"/>
              <w:rPr>
                <w:rFonts w:ascii="楷体" w:hAnsi="楷体" w:eastAsia="楷体" w:cs="楷体"/>
                <w:szCs w:val="21"/>
              </w:rPr>
            </w:pPr>
            <w:r>
              <w:rPr>
                <w:rFonts w:hint="eastAsia" w:ascii="楷体" w:hAnsi="楷体" w:eastAsia="楷体" w:cs="楷体"/>
                <w:szCs w:val="21"/>
              </w:rPr>
              <w:t>超声内镜系统支持在断网条件下的应急工作模式，切换进入本地工作站超声内镜采集图像工作模式，待网络恢复正常后重新切换至PACS中心服务端工作模式，支持在应急模式下的采集的图像及报告数据，待网络恢复后上传同步至PACS服务器。</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b/>
                <w:szCs w:val="21"/>
              </w:rPr>
            </w:pPr>
            <w:r>
              <w:rPr>
                <w:rFonts w:hint="eastAsia" w:ascii="楷体" w:hAnsi="楷体" w:eastAsia="楷体" w:cs="楷体"/>
                <w:b/>
                <w:szCs w:val="21"/>
              </w:rPr>
              <w:t>10</w:t>
            </w:r>
          </w:p>
        </w:tc>
        <w:tc>
          <w:tcPr>
            <w:tcW w:w="7221" w:type="dxa"/>
            <w:vAlign w:val="center"/>
          </w:tcPr>
          <w:p>
            <w:pPr>
              <w:spacing w:line="276" w:lineRule="auto"/>
              <w:jc w:val="center"/>
              <w:rPr>
                <w:rFonts w:ascii="楷体" w:hAnsi="楷体" w:eastAsia="楷体" w:cs="楷体"/>
                <w:b/>
                <w:szCs w:val="21"/>
              </w:rPr>
            </w:pPr>
            <w:r>
              <w:rPr>
                <w:rFonts w:hint="eastAsia" w:ascii="楷体" w:hAnsi="楷体" w:eastAsia="楷体" w:cs="楷体"/>
                <w:b/>
                <w:szCs w:val="21"/>
              </w:rPr>
              <w:t>病理信息系统软件要求</w:t>
            </w:r>
          </w:p>
        </w:tc>
        <w:tc>
          <w:tcPr>
            <w:tcW w:w="905" w:type="dxa"/>
            <w:vAlign w:val="center"/>
          </w:tcPr>
          <w:p>
            <w:pPr>
              <w:spacing w:line="276" w:lineRule="auto"/>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支持病理标本登记</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手工登记送检病例信息，也可从HIS系统中提取病人基本信息或电子申请单信息。</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按病例库进行登记，病例库可以自定义，可指定默认的病例库。</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病理号按照当前病例库的编号规则自动升位，也可手工调整。</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登记时出现病理号重号有自动提示。</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系统自动进行“同名检索”，遇到同名病人能自动提示“其他检查”，并能进一步进行住院号或病人编号的匹配，以准确锁定该病人的历史检查。</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登记后自动生成病例状态为“已登记”。</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手工登记时，通过配置部分输入字段，记忆最后一次输入内容，提高登记效率。</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中文输入法的预置；支持“冰冻”标记，录入冰冻号等信息。</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10.10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手工设置起始病理号；已登记病人转换检查项目。</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10.11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登记错误时可以删除，删除后病理号、冰冻号回收，可以再次使用。已删除的记录可在“工作列表”模块中查看。</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10.12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支持打印电子申请单。</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10.13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▲具有标本登记、取材、脱水包埋、切片、特检医嘱、图文报告、归档管理、借阅片管理等病理全流程化管理。</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10.14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支持大体取材管理。</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10.15</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记录取材时间、取材医生和记录人员信息，可统计工作量。</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10.16</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进行取材明细记录，系统自动计算待包埋数和材块总数。</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10.17</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有“附言”记录，包括“用完”、“脱钙”、“保留”等内容。</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10.18</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记录剩余标本的存放位置。</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10.19</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取材后病例状态自动变为“已取材”；蜡块编号自动分配，连续增长。</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10.20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进行大体标本照相，通过与取材工作站相连的拍摄台，图像与病例直接关联保存。</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10.21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支持图像测量、标注功能。</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10.22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取材明细打印取材工作单，根据客户指定格式导出，取材工作单不会存在部分内容打印遗漏情况。</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10.23</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快速列表罗列所有当前检索到的记录，并显示包括病理号在内的简易信息，单击即可加载。支持快捷键加载上一列、下一列检查。</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10.24</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支持跳过相似字母蜡块号，避免“o”、“O”等相似字母导致人工识别错误问题。</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10.25</w:t>
            </w:r>
          </w:p>
        </w:tc>
        <w:tc>
          <w:tcPr>
            <w:tcW w:w="7221" w:type="dxa"/>
            <w:vAlign w:val="center"/>
          </w:tcPr>
          <w:p>
            <w:pPr>
              <w:spacing w:before="48" w:beforeLines="20" w:after="48" w:afterLines="20" w:line="276" w:lineRule="auto"/>
              <w:rPr>
                <w:rFonts w:ascii="楷体" w:hAnsi="楷体" w:eastAsia="楷体" w:cs="楷体"/>
                <w:kern w:val="0"/>
                <w:szCs w:val="21"/>
              </w:rPr>
            </w:pPr>
            <w:r>
              <w:rPr>
                <w:rFonts w:hint="eastAsia" w:ascii="楷体" w:hAnsi="楷体" w:eastAsia="楷体" w:cs="楷体"/>
                <w:szCs w:val="21"/>
              </w:rPr>
              <w:t>支持蜡块包埋管理</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10.26</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系统自动打开所有已取材但尚未包埋病例的取材明细记录，供技术员在包埋时进行核对。</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10.27</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包埋完成后进行确认，病例状态自动变为“已包埋”。</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10.28</w:t>
            </w:r>
          </w:p>
        </w:tc>
        <w:tc>
          <w:tcPr>
            <w:tcW w:w="7221" w:type="dxa"/>
            <w:vAlign w:val="center"/>
          </w:tcPr>
          <w:p>
            <w:pPr>
              <w:spacing w:line="276" w:lineRule="auto"/>
              <w:rPr>
                <w:rFonts w:ascii="楷体" w:hAnsi="楷体" w:eastAsia="楷体" w:cs="楷体"/>
                <w:snapToGrid w:val="0"/>
                <w:szCs w:val="21"/>
              </w:rPr>
            </w:pPr>
            <w:r>
              <w:rPr>
                <w:rFonts w:hint="eastAsia" w:ascii="楷体" w:hAnsi="楷体" w:eastAsia="楷体" w:cs="楷体"/>
                <w:szCs w:val="21"/>
              </w:rPr>
              <w:t>相关记录可用于技术员工作量统计。</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10.29</w:t>
            </w:r>
          </w:p>
        </w:tc>
        <w:tc>
          <w:tcPr>
            <w:tcW w:w="7221" w:type="dxa"/>
            <w:vAlign w:val="center"/>
          </w:tcPr>
          <w:p>
            <w:pPr>
              <w:pStyle w:val="62"/>
              <w:spacing w:before="48" w:beforeLines="20" w:after="48" w:afterLines="20" w:line="276" w:lineRule="auto"/>
              <w:rPr>
                <w:rFonts w:ascii="楷体" w:hAnsi="楷体" w:eastAsia="楷体" w:cs="楷体"/>
                <w:sz w:val="21"/>
                <w:szCs w:val="21"/>
              </w:rPr>
            </w:pPr>
            <w:r>
              <w:rPr>
                <w:rFonts w:hint="eastAsia" w:ascii="楷体" w:hAnsi="楷体" w:eastAsia="楷体" w:cs="楷体"/>
                <w:sz w:val="21"/>
                <w:szCs w:val="21"/>
              </w:rPr>
              <w:t>支持切片管理</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10.30</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系统自动提示所有已包埋但尚未制成切片的病例列表，或是有重切、深切要求的病例列表，或是下了免疫组化医嘱需切白片的病例列表。</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10.31</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批量打印切片条码标签；打印切片工作单。</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10.32</w:t>
            </w:r>
          </w:p>
        </w:tc>
        <w:tc>
          <w:tcPr>
            <w:tcW w:w="7221" w:type="dxa"/>
            <w:vAlign w:val="center"/>
          </w:tcPr>
          <w:p>
            <w:pPr>
              <w:spacing w:line="276" w:lineRule="auto"/>
              <w:rPr>
                <w:rFonts w:ascii="楷体" w:hAnsi="楷体" w:eastAsia="楷体" w:cs="楷体"/>
                <w:szCs w:val="21"/>
              </w:rPr>
            </w:pPr>
            <w:r>
              <w:rPr>
                <w:rFonts w:hint="eastAsia" w:ascii="楷体" w:hAnsi="楷体" w:eastAsia="楷体" w:cs="楷体"/>
                <w:szCs w:val="21"/>
              </w:rPr>
              <w:t>病例状态自动变为“已制片”；相关记录可用于技术员工作量统计。</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10.33</w:t>
            </w:r>
          </w:p>
        </w:tc>
        <w:tc>
          <w:tcPr>
            <w:tcW w:w="7221" w:type="dxa"/>
            <w:vAlign w:val="center"/>
          </w:tcPr>
          <w:p>
            <w:pPr>
              <w:pStyle w:val="62"/>
              <w:spacing w:before="48" w:beforeLines="20" w:after="48" w:afterLines="20" w:line="276" w:lineRule="auto"/>
              <w:rPr>
                <w:rFonts w:ascii="楷体" w:hAnsi="楷体" w:eastAsia="楷体" w:cs="楷体"/>
                <w:sz w:val="21"/>
                <w:szCs w:val="21"/>
              </w:rPr>
            </w:pPr>
            <w:r>
              <w:rPr>
                <w:rFonts w:hint="eastAsia" w:ascii="楷体" w:hAnsi="楷体" w:eastAsia="楷体" w:cs="楷体"/>
                <w:sz w:val="21"/>
                <w:szCs w:val="21"/>
              </w:rPr>
              <w:t>支持医嘱管理</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10.34</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 xml:space="preserve">发出内部医嘱要求，包括重切、深切、补取、免疫组化等。 </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10.35</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发出的内部医嘱在相应的工作站点上有相应提示，可查看内部医嘱相应的执行情况（医嘱状态）和结果，对免疫组化结果进行染色评价。</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10.36</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快速导入到病理诊断结果。</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10.37</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从特检医嘱信息中提取病例信息、标记物名称等内容，来自动生成免疫组化切片等切片条码标签，并打印出来。</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10.38</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按照标记物或病理号分类来打印染色工作表。</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10.39</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支持医嘱统计，标记物使用量统计、医生开出标记物统计等。打印缓发通知单。</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10.40</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支持病理图文报告</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10.41</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查看病例的基本信息、临床诊断信息、大体标本描述等内容。</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10.42</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自动提示该病例的历史病理结果和同次送检的其他标本检查情况，同时可查看其他科室系统的检查历史，包括放射、超声、内镜等本公司其他科室数据。</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10.43</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使用光学摄像头或带标准TWAIN32接口的数码摄像头，可实时浏览、采集和保存镜下图像，对图像进行测量、标注功能。</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10.44</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录入镜下所见、病理诊断、免疫组化结果、备注等诊断报告项目。</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10.45</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报告模版、报告格式自定义功能。</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10.46</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选择式报告模版，模版中设置选择项，编辑选择内容，如“低”-“中高”-“高”，“左”-“右”，“Ⅰ”-“Ⅱ”等下拉框可选择。大大提高报告书写效率。</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10.47</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报告内容预警，支持关键字提醒，如诊断内容出现“癌”等关键字时提醒用户确认。如标本部位有“左”，诊断内容出现“右”等关键字时，亦提醒用户确认。用户可自行设置关键字及预警规则。</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10.48</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重要报告痕迹后台记录和溯源查询功能，并支持历史报告版本对比功能。</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10.49</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支持报告医生、审核医生选择。</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10.50</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报告自动锁，一份检查只允许被一个报告工作站打开，防止覆盖报告。报告锁定时，其他工作站可查看、打印报告。</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10.51</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流程中自动生成“已采图”、“已写报告”、“已审核”、“已打印”、“报告延期”等检查状态。</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10.52</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不同影像科室间可以相互参考病人历史检查的图像和诊断。</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10.53</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支持报告标记，如“阳性”、“怀孕”等。支持自动传报。</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10.54</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支持随访标记，系统会自动进行提示，可录入并保存随访结果，并可继续随访或结束随访。</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10.55</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检查影像导入、导出功能。导出影像时，同步导出图像说明。</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10.56</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适应病理报告三级医生负责制。</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10.57</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快速列表罗列所有当前检索到的记录，并显示包括病理号在内的简易信息，单击即可加载。支持快捷键打开上一列、下一列检查。</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10.58</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报告收藏管理，收藏报告到自己的收藏夹，随时查看报告。</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10.59</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支持生成报告图片，支持电子签名。</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10.60</w:t>
            </w:r>
          </w:p>
        </w:tc>
        <w:tc>
          <w:tcPr>
            <w:tcW w:w="7221" w:type="dxa"/>
            <w:vAlign w:val="center"/>
          </w:tcPr>
          <w:p>
            <w:pPr>
              <w:pStyle w:val="62"/>
              <w:spacing w:before="48" w:beforeLines="20" w:after="48" w:afterLines="20" w:line="276" w:lineRule="auto"/>
              <w:rPr>
                <w:rFonts w:ascii="楷体" w:hAnsi="楷体" w:eastAsia="楷体" w:cs="楷体"/>
                <w:sz w:val="21"/>
                <w:szCs w:val="21"/>
              </w:rPr>
            </w:pPr>
            <w:r>
              <w:rPr>
                <w:rFonts w:hint="eastAsia" w:ascii="楷体" w:hAnsi="楷体" w:eastAsia="楷体" w:cs="楷体"/>
                <w:sz w:val="21"/>
                <w:szCs w:val="21"/>
              </w:rPr>
              <w:t>支持细胞学报告</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10.61</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细胞学、液基细胞学（TCT）病例独立分库管理，病理号按照预设格式自动升位；自动提示该病例的历史病理结果和同次送检的其他标本检查情况。</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10.62</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使用光学摄像头或带标准TWAIN32接口的数码摄像头，可实时浏览、采集和保存镜下图像，可对图像进行多种处理、测量、标注功能。</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10.63</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采用包括TBS2004在内的多种分级报告系统，用户点选选项即可快速输出液基细胞学报告。</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10.64</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快速列表罗列所有当前检索到的记录，并显示包括病理号在内的简易信息，单击即可加载。支持快捷键打开上一列、下一列检查。</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10.65</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支持归档管理、借阅片管理。</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10.66</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按照病理号区段，将资料（申请单或底单）、蜡块、玻片分别归档处理，录入具体的归档位置。</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10.67</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按照病理号或日期，查看归档存放位置；病例状态自动变为“已归档”。</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10.68</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借阅片管理，及时了解和处理“借出”、“归还”、“作废”的切片情况。</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10.69</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切片归还时记录外院会诊意见；打印借片凭证；外借资料超期时，软件启动时每次提醒，支持借阅片管理</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rPr>
                <w:rFonts w:ascii="楷体" w:hAnsi="楷体" w:eastAsia="楷体" w:cs="楷体"/>
                <w:szCs w:val="21"/>
              </w:rPr>
            </w:pPr>
            <w:r>
              <w:rPr>
                <w:rFonts w:hint="eastAsia" w:ascii="楷体" w:hAnsi="楷体" w:eastAsia="楷体" w:cs="楷体"/>
                <w:szCs w:val="21"/>
              </w:rPr>
              <w:t>10.70</w:t>
            </w:r>
          </w:p>
        </w:tc>
        <w:tc>
          <w:tcPr>
            <w:tcW w:w="7221" w:type="dxa"/>
            <w:vAlign w:val="center"/>
          </w:tcPr>
          <w:p>
            <w:pPr>
              <w:pStyle w:val="62"/>
              <w:spacing w:before="48" w:beforeLines="20" w:after="48" w:afterLines="20" w:line="276" w:lineRule="auto"/>
              <w:rPr>
                <w:rFonts w:ascii="楷体" w:hAnsi="楷体" w:eastAsia="楷体" w:cs="楷体"/>
                <w:sz w:val="21"/>
                <w:szCs w:val="21"/>
              </w:rPr>
            </w:pPr>
            <w:r>
              <w:rPr>
                <w:rFonts w:hint="eastAsia" w:ascii="楷体" w:hAnsi="楷体" w:eastAsia="楷体" w:cs="楷体"/>
                <w:sz w:val="21"/>
                <w:szCs w:val="21"/>
              </w:rPr>
              <w:t>支持工作列表；根据客户指定格式，导出登记薄，登记薄不会出现部分内容打印遗漏问题。</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10.71</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根据多个条件来组合查询或统计病例，可以进行模糊查询，也可以进行精确查询；查询或统计出的结果可以导出EXCEL表格文件。</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10.72</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支持批量打印病理检查底单，包含该检查详细信息；支持批量打印病理报告；支持快速查看报告，单击记录后，在下方显示肉眼所见、病理诊断等报告主要内容；手工打印条码标签，可手工录入、查询导入；查询结果排序，单击任何字段列标题即可根据该内容正序排列，再次单击则倒序排列。</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10.73</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支持临床浏览：临床浏览（报告查询）软件，为临床提供查询病理报告</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10.74</w:t>
            </w:r>
          </w:p>
        </w:tc>
        <w:tc>
          <w:tcPr>
            <w:tcW w:w="7221" w:type="dxa"/>
            <w:vAlign w:val="center"/>
          </w:tcPr>
          <w:p>
            <w:pPr>
              <w:spacing w:before="48" w:beforeLines="20" w:after="48" w:afterLines="20" w:line="276" w:lineRule="auto"/>
              <w:rPr>
                <w:rFonts w:ascii="楷体" w:hAnsi="楷体" w:eastAsia="楷体" w:cs="楷体"/>
                <w:szCs w:val="21"/>
              </w:rPr>
            </w:pPr>
            <w:r>
              <w:rPr>
                <w:rFonts w:hint="eastAsia" w:ascii="楷体" w:hAnsi="楷体" w:eastAsia="楷体" w:cs="楷体"/>
                <w:szCs w:val="21"/>
              </w:rPr>
              <w:t>可以控制浏览报告的权限，该权限由病理科自定义控制</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szCs w:val="21"/>
              </w:rPr>
            </w:pPr>
            <w:r>
              <w:rPr>
                <w:rFonts w:hint="eastAsia" w:ascii="楷体" w:hAnsi="楷体" w:eastAsia="楷体" w:cs="楷体"/>
                <w:szCs w:val="21"/>
              </w:rPr>
              <w:t>10.75</w:t>
            </w:r>
          </w:p>
        </w:tc>
        <w:tc>
          <w:tcPr>
            <w:tcW w:w="7221" w:type="dxa"/>
            <w:vAlign w:val="center"/>
          </w:tcPr>
          <w:p>
            <w:pPr>
              <w:widowControl/>
              <w:spacing w:line="276" w:lineRule="auto"/>
              <w:jc w:val="left"/>
              <w:rPr>
                <w:rFonts w:ascii="楷体" w:hAnsi="楷体" w:eastAsia="楷体" w:cs="楷体"/>
                <w:color w:val="000000"/>
                <w:kern w:val="0"/>
                <w:szCs w:val="21"/>
              </w:rPr>
            </w:pPr>
            <w:r>
              <w:rPr>
                <w:rFonts w:hint="eastAsia" w:ascii="楷体" w:hAnsi="楷体" w:eastAsia="楷体" w:cs="楷体"/>
                <w:color w:val="000000"/>
                <w:kern w:val="0"/>
                <w:szCs w:val="21"/>
              </w:rPr>
              <w:t>要求病理系统与放射、超声、内镜系统为同一数据库，实现一体化管理服务。</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spacing w:line="276" w:lineRule="auto"/>
              <w:jc w:val="center"/>
              <w:rPr>
                <w:rFonts w:ascii="楷体" w:hAnsi="楷体" w:eastAsia="楷体" w:cs="楷体"/>
                <w:b/>
                <w:bCs/>
                <w:sz w:val="24"/>
              </w:rPr>
            </w:pPr>
            <w:r>
              <w:rPr>
                <w:rFonts w:hint="eastAsia" w:ascii="楷体" w:hAnsi="楷体" w:eastAsia="楷体" w:cs="楷体"/>
                <w:b/>
                <w:bCs/>
                <w:sz w:val="24"/>
              </w:rPr>
              <w:t>（二）</w:t>
            </w:r>
          </w:p>
        </w:tc>
        <w:tc>
          <w:tcPr>
            <w:tcW w:w="7221" w:type="dxa"/>
            <w:vAlign w:val="center"/>
          </w:tcPr>
          <w:p>
            <w:pPr>
              <w:widowControl/>
              <w:spacing w:line="276" w:lineRule="auto"/>
              <w:jc w:val="center"/>
              <w:rPr>
                <w:rFonts w:ascii="楷体" w:hAnsi="楷体" w:eastAsia="楷体" w:cs="楷体"/>
                <w:b/>
                <w:bCs/>
                <w:color w:val="000000"/>
                <w:kern w:val="0"/>
                <w:sz w:val="24"/>
              </w:rPr>
            </w:pPr>
            <w:r>
              <w:rPr>
                <w:rFonts w:hint="eastAsia" w:ascii="楷体" w:hAnsi="楷体" w:eastAsia="楷体" w:cs="楷体"/>
                <w:b/>
                <w:bCs/>
                <w:color w:val="000000"/>
                <w:kern w:val="0"/>
                <w:sz w:val="24"/>
              </w:rPr>
              <w:t>云影像系统软件要求</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11.1</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支持云影像应用系统与我院PACS系统实现无缝集成和数据交互融合。</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11.2</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支持本次云影像服务与医院RIS/PACS系统、院内PACS存储、对象存储实现无缝衔接，支持院内放射超声内镜等PACS各项应用工作站实现对云端数据的直接调用。</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11.3</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支持院内私有云模式部署，支持云上影像归档与院内影像归档一致化，便于云上和院内影像归档的统一管理和数据交互，历史影像视调阅频度能自动备份至院内，实现快速方便安全的院内外一体化应用。</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11.4</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支持影像在云端应用的延伸服务，提供影像上云服务。</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11.5</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实现院内放射系统、超声系统、内镜系统等PACS系统与影像云系统的直接调用和访问，影像调用方式采用院内系统跨接对象存储，全院影像医生及临床医生工作站直接访问对象存储，本地影像作为在线，云端影像作为近线。</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11.6</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支持所有影像的云端服务，支持放射、超声、内镜、病理跨科室能基于PC端和移动端的影像数据实时共享。</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11.7</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支持通过二维码关联病人影像空间云胶片及云报告的移动端浏览。</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11.8</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支持影像及报告上传统计列表及查询功能</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11.9</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支持检查报告及电子胶片、DICOM影像的二维码扫描浏览及短信链接方式浏览均实现权限验证，以免病人隐私泄露，提高信息安全保护。</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11.10</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支持影像、诊断结果第一时间上云服务，满足医生移动端的快速调阅</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11.11</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支持历史检查报告和电子胶片的查询，并具备搜索功能</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11.12</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支持院内数据上云审核时间保护机制。</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11.13</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支持院外经典的、感兴趣的检查病例进行分类收藏及收藏夹管理。</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11.14</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支持医生分享给院外专家快速查看交流，并记录医生浏览日志。</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11.15</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支持移动端应用随意截屏泄露患者隐私，增加加密水印功能。</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11.16</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支持支持医生登陆、注册使用手机短信进行权限验证管理。</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11.17</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▲支持云收藏、云水印防截屏、一键同屏看影像及报告。</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11.18</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除DICOM Q/R SCU/SCP、DICOM Storage，院内外采用DICOM存储承诺服务Storage Commitment SCU/SCP</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11.19</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▲具有患者隐私保护及数据安全策略</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11.20</w:t>
            </w:r>
          </w:p>
        </w:tc>
        <w:tc>
          <w:tcPr>
            <w:tcW w:w="7221"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支持OCR识别匹配电子胶片，具有较高的胶片识别率。</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11.21</w:t>
            </w:r>
          </w:p>
        </w:tc>
        <w:tc>
          <w:tcPr>
            <w:tcW w:w="7221"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支持自助终端报告以及胶片打印，输入类型支持：取片单，就诊卡，门诊卡。</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11.22</w:t>
            </w:r>
          </w:p>
        </w:tc>
        <w:tc>
          <w:tcPr>
            <w:tcW w:w="7221" w:type="dxa"/>
            <w:vAlign w:val="center"/>
          </w:tcPr>
          <w:p>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支持胶片管理功能。</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11.23</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支持管理工作站对云影像数据的修改、更新服务</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11.24</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实现所有影像的云端服务，且实现放射等跨科室能基于PC端和移动端的横向和纵向影像对比和数据实时共享。</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11.25</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支持影像、报告的动态二维码管理、云分享服务</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11.26</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支持基于对象存储的云影像软件系统，实现影像及报告的云端管理应用、医生移动端应用浏览服务</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11.27</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支持通过二维码关联病人影像空间的云电子胶片、各类检查报告、DICOM影像的移动端浏览</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11.28</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支持移动端对DICOM影像的下载及浏览服务，支持移动端浏览影像，并具备测量、标注、窗宽床位调整、挂片、定位线等功能。</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11.29</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系统具有CT/MR图像的预览帧筛选方法。</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11.30</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采用HTML5技术跨平台，同时支持苹果操作系统及安卓操作系统App版扩展</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11.31</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支持医生查看患者当前和历史检查报告和电子胶片，综合了解病情和精准医疗</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11.32</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支持基于互联网PC端、PAD端、手机端的DICOM影像调阅、报告书写及浏览</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11.33</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支持WEB RIS/PACS功能，提供云影像诊断平台，方便医院影像专家实现云影像会诊咨询服务及系统管理服务，院外的阅片时必须提供H5影像浏览器、兼容PACS影像浏览器。</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11.34</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支持影像调阅、报告书写、报告模板管理</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11.35</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支持影像专家在任何时间任何地点任何终端基于互联网云影像平台进行远程在线读片、影像诊断和会诊，实现院外数据与院内系统的一体化融合。</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11.36</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支持用户管理、权限管理、医院管理、字典管理</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11.37</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▲支持基于云的医疗影像共享系统</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11.38</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具有自主研发的跨平台跨终端版本的DICOM影像阅片浏览功能</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11.39</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影像调阅支持工具栏设置、工具箱、窗宽窗位调节、影像放大缩小、图像平移、图像翻页、影像方向、动态播放</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11.40</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支持影像操作模式、影像显示窗排列、影像工具、测量工具</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11.41</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支持影像显示窗排列包括不限于：1X1排列、2X1排列、3X1排列、1X2排列、2X2排列、3X2排列、1X3排列、2X3排列、3X3排列</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11.42</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支持影像工具：长方形区域窗宽窗位、圆形区域窗宽窗位、影像位置跟踪、灰阶度反白、影像信息文字叠层、定位线、背景下载、退出全屏模式。</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11.43</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支持测量工具：测量距离、测量角度、测量矩形面积、测量椭圆面积、测量任意形状面积、测量密度、文字标注、清除当前选择的标注、清除所有标注、隐藏或显示标注。</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11.44</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支持测量距离、角度、圆形、椭圆面积、任意形状面积、密度、文字标注</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11.45</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支持影像浏览双浏览器兼容性工作（同时支持H5 Viewer和PACS影像浏览器）</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11.46</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在授权和法律提醒情况下，支持有条件开放或不开放影像下载服务</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11.47</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支持H5的Viewer服务和诊断级图像处理服务</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11.48</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支持医生移动影像交互（支持IOS、Android、windows），实现PC、PAD、手机等移动终端的远程影像会诊、远程影像诊断服务</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11.49</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支持云影像的秒级调阅、实时查看当前检查及历史检查结果、二维码分享（支持分享时效、分享权限设置）</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11.50</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▲系统支持云影像交互式高精度显示方法。</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11.51</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▲系统支持云影像快速交互显示方法。</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11.52</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支持医院提供患者云影像和云报告推送查询服务</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11.53</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医院将医技检查结果通过云平台进行发布、推送。患者可凭借取片单上的二维码，或者医院主动推送的短信/微信，直接调阅自己的图文报告和电子胶片。</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11.54</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支持患者查看自己当前和历史检查报告、影像、电子胶片，综合了解病情和精准医疗</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11.55</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szCs w:val="21"/>
              </w:rPr>
              <w:t>支持短信链接通知、扫描报告单二维码、微信公众号、互联网APP多种入口</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11.56</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支持显示主工具栏、在主工具栏显示操作模式、显示工具按钮的选项设置</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11.57</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支持最大化影像显示窗不遮挡、整个系列影像同步操作的选项设置</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11.58</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支持菜单框在按钮选择后保存、显示影像时开序列索引、使用有损影像压缩、显示影像标题栏的自定义设置</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11.59</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支持自动优化影像显示窗宽窗位排列、显示影像四角文字叠层、影像信息叠层固定在屏幕、显示影像翻页滚动控制自定义选项设置</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11.60</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支持自动运行背景下载、显示下载原始影像按钮、自动显示高清影像的自定义选项设置</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11.61</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▲支持云影像实时监控服务:针对医疗影像检查高低谷状态及资源配置，系统具有对医疗影像检查量预测的混合优化方法。</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11.62</w:t>
            </w:r>
          </w:p>
        </w:tc>
        <w:tc>
          <w:tcPr>
            <w:tcW w:w="7221" w:type="dxa"/>
            <w:vAlign w:val="center"/>
          </w:tcPr>
          <w:p>
            <w:pPr>
              <w:widowControl/>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支持PDF报告打印模块与医院PACS系统、临床WEB系统无缝集成并融合；支持放射、超声、内镜等报告实现PDF文档生成、发布、接收、存储PDF报告；支持全院内部临床医生打印标准的PDF检查报告。</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11.63</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支持数据查询、数据统计、数据调阅审计。</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11.64</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支持移动端要求（检查列表、图文报告、胶片和影像浏览）兼容支持HTML5模式和APP模式与医院其他互联网系统接入（如：医院微信公众号）。</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11.65</w:t>
            </w:r>
          </w:p>
        </w:tc>
        <w:tc>
          <w:tcPr>
            <w:tcW w:w="7221" w:type="dxa"/>
            <w:vAlign w:val="center"/>
          </w:tcPr>
          <w:p>
            <w:pPr>
              <w:widowControl/>
              <w:textAlignment w:val="center"/>
              <w:rPr>
                <w:rFonts w:ascii="楷体" w:hAnsi="楷体" w:eastAsia="楷体" w:cs="楷体"/>
                <w:color w:val="000000"/>
                <w:szCs w:val="21"/>
              </w:rPr>
            </w:pPr>
            <w:r>
              <w:rPr>
                <w:rFonts w:hint="eastAsia" w:ascii="楷体" w:hAnsi="楷体" w:eastAsia="楷体" w:cs="楷体"/>
                <w:color w:val="000000"/>
                <w:szCs w:val="21"/>
              </w:rPr>
              <w:t>满足国产软件厂商与对象存储兼容性要求：要求软件支持院内PACS对象存储，支持医技检查数据的对象存储服务，为保护病人隐私，存储位置严禁存在企业自身私有云端。</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kern w:val="0"/>
                <w:szCs w:val="21"/>
                <w:lang w:bidi="ar"/>
              </w:rPr>
            </w:pPr>
            <w:r>
              <w:rPr>
                <w:rFonts w:hint="eastAsia" w:ascii="楷体" w:hAnsi="楷体" w:eastAsia="楷体" w:cs="楷体"/>
                <w:b/>
                <w:bCs/>
                <w:color w:val="000000"/>
                <w:kern w:val="0"/>
                <w:sz w:val="24"/>
                <w:lang w:bidi="ar"/>
              </w:rPr>
              <w:t>（三）</w:t>
            </w:r>
          </w:p>
        </w:tc>
        <w:tc>
          <w:tcPr>
            <w:tcW w:w="7221" w:type="dxa"/>
            <w:vAlign w:val="center"/>
          </w:tcPr>
          <w:p>
            <w:pPr>
              <w:widowControl/>
              <w:jc w:val="center"/>
              <w:textAlignment w:val="center"/>
              <w:rPr>
                <w:rFonts w:ascii="楷体" w:hAnsi="楷体" w:eastAsia="楷体" w:cs="楷体"/>
                <w:color w:val="000000"/>
                <w:szCs w:val="21"/>
              </w:rPr>
            </w:pPr>
            <w:r>
              <w:rPr>
                <w:rFonts w:hint="eastAsia" w:ascii="楷体" w:hAnsi="楷体" w:eastAsia="楷体" w:cs="楷体"/>
                <w:b/>
                <w:bCs/>
                <w:color w:val="000000"/>
                <w:kern w:val="0"/>
                <w:sz w:val="24"/>
              </w:rPr>
              <w:t>配套硬件</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12.</w:t>
            </w:r>
            <w:r>
              <w:rPr>
                <w:rFonts w:ascii="楷体" w:hAnsi="楷体" w:eastAsia="楷体" w:cs="楷体"/>
                <w:color w:val="000000"/>
                <w:kern w:val="0"/>
                <w:szCs w:val="21"/>
                <w:lang w:bidi="ar"/>
              </w:rPr>
              <w:t>1</w:t>
            </w:r>
          </w:p>
        </w:tc>
        <w:tc>
          <w:tcPr>
            <w:tcW w:w="7221" w:type="dxa"/>
            <w:vAlign w:val="center"/>
          </w:tcPr>
          <w:p>
            <w:pPr>
              <w:widowControl/>
              <w:textAlignment w:val="center"/>
              <w:rPr>
                <w:rFonts w:ascii="楷体" w:hAnsi="楷体" w:eastAsia="楷体" w:cs="楷体"/>
                <w:b/>
                <w:bCs/>
                <w:color w:val="000000"/>
                <w:szCs w:val="21"/>
              </w:rPr>
            </w:pPr>
            <w:r>
              <w:rPr>
                <w:rFonts w:hint="eastAsia" w:ascii="楷体" w:hAnsi="楷体" w:eastAsia="楷体" w:cs="楷体"/>
                <w:b/>
                <w:bCs/>
                <w:kern w:val="0"/>
                <w:sz w:val="22"/>
                <w:szCs w:val="22"/>
              </w:rPr>
              <w:t>PACS数据库服务器</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1、国产知名品牌。</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2、架式服务器。</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3、▲Intel C624芯片组或以上，支持Intel至强可扩展处理器家族铜牌、银牌、金牌及铂金处理器产品。</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 xml:space="preserve">4、▲配置两个Intel至强 银牌 </w:t>
            </w:r>
            <w:r>
              <w:rPr>
                <w:rFonts w:ascii="楷体" w:hAnsi="楷体" w:eastAsia="楷体" w:cs="楷体"/>
                <w:color w:val="000000"/>
                <w:szCs w:val="21"/>
              </w:rPr>
              <w:t>4210R</w:t>
            </w:r>
            <w:r>
              <w:rPr>
                <w:rFonts w:hint="eastAsia" w:ascii="楷体" w:hAnsi="楷体" w:eastAsia="楷体" w:cs="楷体"/>
                <w:color w:val="000000"/>
                <w:szCs w:val="21"/>
              </w:rPr>
              <w:t>及以上处理器。</w:t>
            </w:r>
          </w:p>
          <w:p>
            <w:pPr>
              <w:widowControl/>
              <w:textAlignment w:val="center"/>
              <w:rPr>
                <w:rFonts w:ascii="楷体" w:hAnsi="楷体" w:eastAsia="楷体" w:cs="楷体"/>
                <w:color w:val="000000"/>
                <w:szCs w:val="21"/>
              </w:rPr>
            </w:pPr>
            <w:r>
              <w:rPr>
                <w:rFonts w:ascii="楷体" w:hAnsi="楷体" w:eastAsia="楷体" w:cs="楷体"/>
                <w:color w:val="000000"/>
                <w:szCs w:val="21"/>
              </w:rPr>
              <w:t>5</w:t>
            </w:r>
            <w:r>
              <w:rPr>
                <w:rFonts w:hint="eastAsia" w:ascii="楷体" w:hAnsi="楷体" w:eastAsia="楷体" w:cs="楷体"/>
                <w:color w:val="000000"/>
                <w:szCs w:val="21"/>
              </w:rPr>
              <w:t>、▲配置≥</w:t>
            </w:r>
            <w:r>
              <w:rPr>
                <w:rFonts w:ascii="楷体" w:hAnsi="楷体" w:eastAsia="楷体" w:cs="楷体"/>
                <w:color w:val="000000"/>
                <w:szCs w:val="21"/>
              </w:rPr>
              <w:t>128GB TruDDR4</w:t>
            </w:r>
            <w:r>
              <w:rPr>
                <w:rFonts w:hint="eastAsia" w:ascii="楷体" w:hAnsi="楷体" w:eastAsia="楷体" w:cs="楷体"/>
                <w:color w:val="000000"/>
                <w:szCs w:val="21"/>
              </w:rPr>
              <w:t>内存，最大支持≥</w:t>
            </w:r>
            <w:r>
              <w:rPr>
                <w:rFonts w:ascii="楷体" w:hAnsi="楷体" w:eastAsia="楷体" w:cs="楷体"/>
                <w:color w:val="000000"/>
                <w:szCs w:val="21"/>
              </w:rPr>
              <w:t>9</w:t>
            </w:r>
            <w:r>
              <w:rPr>
                <w:rFonts w:hint="eastAsia" w:ascii="楷体" w:hAnsi="楷体" w:eastAsia="楷体" w:cs="楷体"/>
                <w:color w:val="000000"/>
                <w:szCs w:val="21"/>
              </w:rPr>
              <w:t>TB内存扩展或最大支持</w:t>
            </w:r>
            <w:r>
              <w:rPr>
                <w:rFonts w:ascii="楷体" w:hAnsi="楷体" w:eastAsia="楷体" w:cs="楷体"/>
                <w:color w:val="000000"/>
                <w:szCs w:val="21"/>
              </w:rPr>
              <w:t>24</w:t>
            </w:r>
            <w:r>
              <w:rPr>
                <w:rFonts w:hint="eastAsia" w:ascii="楷体" w:hAnsi="楷体" w:eastAsia="楷体" w:cs="楷体"/>
                <w:color w:val="000000"/>
                <w:szCs w:val="21"/>
              </w:rPr>
              <w:t>根内存插槽，实配≥</w:t>
            </w:r>
            <w:r>
              <w:rPr>
                <w:rFonts w:ascii="楷体" w:hAnsi="楷体" w:eastAsia="楷体" w:cs="楷体"/>
                <w:color w:val="000000"/>
                <w:szCs w:val="21"/>
              </w:rPr>
              <w:t>24</w:t>
            </w:r>
            <w:r>
              <w:rPr>
                <w:rFonts w:hint="eastAsia" w:ascii="楷体" w:hAnsi="楷体" w:eastAsia="楷体" w:cs="楷体"/>
                <w:color w:val="000000"/>
                <w:szCs w:val="21"/>
              </w:rPr>
              <w:t>条内存插槽。</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6、▲配置≥</w:t>
            </w:r>
            <w:r>
              <w:rPr>
                <w:rFonts w:ascii="楷体" w:hAnsi="楷体" w:eastAsia="楷体" w:cs="楷体"/>
                <w:color w:val="000000"/>
                <w:szCs w:val="21"/>
              </w:rPr>
              <w:t>3</w:t>
            </w:r>
            <w:r>
              <w:rPr>
                <w:rFonts w:hint="eastAsia" w:ascii="楷体" w:hAnsi="楷体" w:eastAsia="楷体" w:cs="楷体"/>
                <w:color w:val="000000"/>
                <w:szCs w:val="21"/>
              </w:rPr>
              <w:t>块</w:t>
            </w:r>
            <w:r>
              <w:rPr>
                <w:rFonts w:ascii="楷体" w:hAnsi="楷体" w:eastAsia="楷体" w:cs="楷体"/>
                <w:color w:val="000000"/>
                <w:szCs w:val="21"/>
              </w:rPr>
              <w:t>1.2TB 2.5</w:t>
            </w:r>
            <w:r>
              <w:rPr>
                <w:rFonts w:hint="eastAsia" w:ascii="楷体" w:hAnsi="楷体" w:eastAsia="楷体" w:cs="楷体"/>
                <w:color w:val="000000"/>
                <w:szCs w:val="21"/>
              </w:rPr>
              <w:t xml:space="preserve">寸 </w:t>
            </w:r>
            <w:r>
              <w:rPr>
                <w:rFonts w:ascii="楷体" w:hAnsi="楷体" w:eastAsia="楷体" w:cs="楷体"/>
                <w:color w:val="000000"/>
                <w:szCs w:val="21"/>
              </w:rPr>
              <w:t>SAS</w:t>
            </w:r>
            <w:r>
              <w:rPr>
                <w:rFonts w:hint="eastAsia" w:ascii="楷体" w:hAnsi="楷体" w:eastAsia="楷体" w:cs="楷体"/>
                <w:color w:val="000000"/>
                <w:szCs w:val="21"/>
              </w:rPr>
              <w:t>硬盘，支持前置直连U.2</w:t>
            </w:r>
            <w:r>
              <w:rPr>
                <w:rFonts w:ascii="楷体" w:hAnsi="楷体" w:eastAsia="楷体" w:cs="楷体"/>
                <w:color w:val="000000"/>
                <w:szCs w:val="21"/>
              </w:rPr>
              <w:t xml:space="preserve"> NVMe</w:t>
            </w:r>
            <w:r>
              <w:rPr>
                <w:rFonts w:hint="eastAsia" w:ascii="楷体" w:hAnsi="楷体" w:eastAsia="楷体" w:cs="楷体"/>
                <w:color w:val="000000"/>
                <w:szCs w:val="21"/>
              </w:rPr>
              <w:t xml:space="preserve"> SSD硬盘。支持内置两个M.2且支持RAID</w:t>
            </w:r>
            <w:r>
              <w:rPr>
                <w:rFonts w:ascii="楷体" w:hAnsi="楷体" w:eastAsia="楷体" w:cs="楷体"/>
                <w:color w:val="000000"/>
                <w:szCs w:val="21"/>
              </w:rPr>
              <w:t xml:space="preserve"> 0</w:t>
            </w:r>
            <w:r>
              <w:rPr>
                <w:rFonts w:hint="eastAsia" w:ascii="楷体" w:hAnsi="楷体" w:eastAsia="楷体" w:cs="楷体"/>
                <w:color w:val="000000"/>
                <w:szCs w:val="21"/>
              </w:rPr>
              <w:t>/1；具备A</w:t>
            </w:r>
            <w:r>
              <w:rPr>
                <w:rFonts w:ascii="楷体" w:hAnsi="楷体" w:eastAsia="楷体" w:cs="楷体"/>
                <w:color w:val="000000"/>
                <w:szCs w:val="21"/>
              </w:rPr>
              <w:t>NYBAY</w:t>
            </w:r>
            <w:r>
              <w:rPr>
                <w:rFonts w:hint="eastAsia" w:ascii="楷体" w:hAnsi="楷体" w:eastAsia="楷体" w:cs="楷体"/>
                <w:color w:val="000000"/>
                <w:szCs w:val="21"/>
              </w:rPr>
              <w:t>技术可切换SAS/SATA/U.2硬盘不用更换背板</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7、配置独立阵列卡，支持0/1/10/5/50 RAID级别</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8、▲配置≥4个千兆以太网口，1个专用的管理端口，配置≥两个万兆光纤网口，含万兆光纤模块</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9、▲实配电源输出功率≥</w:t>
            </w:r>
            <w:r>
              <w:rPr>
                <w:rFonts w:ascii="楷体" w:hAnsi="楷体" w:eastAsia="楷体" w:cs="楷体"/>
                <w:color w:val="000000"/>
                <w:szCs w:val="21"/>
              </w:rPr>
              <w:t>550</w:t>
            </w:r>
            <w:r>
              <w:rPr>
                <w:rFonts w:hint="eastAsia" w:ascii="楷体" w:hAnsi="楷体" w:eastAsia="楷体" w:cs="楷体"/>
                <w:color w:val="000000"/>
                <w:szCs w:val="21"/>
              </w:rPr>
              <w:t>W 80+铂金电源，1+1热插拔冗余电源。</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0</w:t>
            </w:r>
            <w:r>
              <w:rPr>
                <w:rFonts w:hint="eastAsia" w:ascii="楷体" w:hAnsi="楷体" w:eastAsia="楷体" w:cs="楷体"/>
                <w:color w:val="000000"/>
                <w:szCs w:val="21"/>
              </w:rPr>
              <w:t>、支持≥6个冗余热插拔系统风扇。</w:t>
            </w:r>
          </w:p>
          <w:p>
            <w:pPr>
              <w:widowControl/>
              <w:textAlignment w:val="center"/>
              <w:rPr>
                <w:rFonts w:ascii="楷体" w:hAnsi="楷体" w:eastAsia="楷体" w:cs="楷体"/>
                <w:color w:val="000000"/>
                <w:szCs w:val="21"/>
              </w:rPr>
            </w:pPr>
            <w:r>
              <w:rPr>
                <w:rFonts w:ascii="楷体" w:hAnsi="楷体" w:eastAsia="楷体" w:cs="楷体"/>
                <w:color w:val="000000"/>
                <w:szCs w:val="21"/>
              </w:rPr>
              <w:t>11</w:t>
            </w:r>
            <w:r>
              <w:rPr>
                <w:rFonts w:hint="eastAsia" w:ascii="楷体" w:hAnsi="楷体" w:eastAsia="楷体" w:cs="楷体"/>
                <w:color w:val="000000"/>
                <w:szCs w:val="21"/>
              </w:rPr>
              <w:t>、≥</w:t>
            </w:r>
            <w:r>
              <w:rPr>
                <w:rFonts w:ascii="楷体" w:hAnsi="楷体" w:eastAsia="楷体" w:cs="楷体"/>
                <w:color w:val="000000"/>
                <w:szCs w:val="21"/>
              </w:rPr>
              <w:t>8</w:t>
            </w:r>
            <w:r>
              <w:rPr>
                <w:rFonts w:hint="eastAsia" w:ascii="楷体" w:hAnsi="楷体" w:eastAsia="楷体" w:cs="楷体"/>
                <w:color w:val="000000"/>
                <w:szCs w:val="21"/>
              </w:rPr>
              <w:t>个PCIe插槽，包括一个内置阵列卡专用插槽，六个标准PCIe插槽，与一个LOM专用插槽。</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2</w:t>
            </w:r>
            <w:r>
              <w:rPr>
                <w:rFonts w:hint="eastAsia" w:ascii="楷体" w:hAnsi="楷体" w:eastAsia="楷体" w:cs="楷体"/>
                <w:color w:val="000000"/>
                <w:szCs w:val="21"/>
              </w:rPr>
              <w:t>、提供前置USB口可连接手机管理服务器。</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3</w:t>
            </w:r>
            <w:r>
              <w:rPr>
                <w:rFonts w:hint="eastAsia" w:ascii="楷体" w:hAnsi="楷体" w:eastAsia="楷体" w:cs="楷体"/>
                <w:color w:val="000000"/>
                <w:szCs w:val="21"/>
              </w:rPr>
              <w:t>、满足平均无故障时间MTBF的</w:t>
            </w:r>
            <w:r>
              <w:rPr>
                <w:rFonts w:ascii="楷体" w:hAnsi="楷体" w:eastAsia="楷体" w:cs="楷体"/>
                <w:color w:val="000000"/>
                <w:szCs w:val="21"/>
              </w:rPr>
              <w:t>m1</w:t>
            </w:r>
            <w:r>
              <w:rPr>
                <w:rFonts w:hint="eastAsia" w:ascii="楷体" w:hAnsi="楷体" w:eastAsia="楷体" w:cs="楷体"/>
                <w:color w:val="000000"/>
                <w:szCs w:val="21"/>
              </w:rPr>
              <w:t>值≥</w:t>
            </w:r>
            <w:r>
              <w:rPr>
                <w:rFonts w:ascii="楷体" w:hAnsi="楷体" w:eastAsia="楷体" w:cs="楷体"/>
                <w:color w:val="000000"/>
                <w:szCs w:val="21"/>
              </w:rPr>
              <w:t>150000</w:t>
            </w:r>
            <w:r>
              <w:rPr>
                <w:rFonts w:hint="eastAsia" w:ascii="楷体" w:hAnsi="楷体" w:eastAsia="楷体" w:cs="楷体"/>
                <w:color w:val="000000"/>
                <w:szCs w:val="21"/>
              </w:rPr>
              <w:t>小时；</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4</w:t>
            </w:r>
            <w:r>
              <w:rPr>
                <w:rFonts w:hint="eastAsia" w:ascii="楷体" w:hAnsi="楷体" w:eastAsia="楷体" w:cs="楷体"/>
                <w:color w:val="000000"/>
                <w:szCs w:val="21"/>
              </w:rPr>
              <w:t>、支持针对处理器，内存，内部存储，风扇，电源，阵列卡等关键部件的故障预报警机制。支持针对处理器，内存插槽，风扇，电源，CPU板的LED故障报警指示灯支持可选的手机故障诊断面板。</w:t>
            </w:r>
          </w:p>
          <w:p>
            <w:pPr>
              <w:textAlignment w:val="center"/>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5</w:t>
            </w:r>
            <w:r>
              <w:rPr>
                <w:rFonts w:hint="eastAsia" w:ascii="楷体" w:hAnsi="楷体" w:eastAsia="楷体" w:cs="楷体"/>
                <w:color w:val="000000"/>
                <w:szCs w:val="21"/>
              </w:rPr>
              <w:t>、3年7x24X4小时保修服务，4小时上门服务</w:t>
            </w:r>
            <w:r>
              <w:rPr>
                <w:rFonts w:ascii="楷体" w:hAnsi="楷体" w:eastAsia="楷体" w:cs="楷体"/>
                <w:color w:val="000000"/>
                <w:szCs w:val="21"/>
              </w:rPr>
              <w:t xml:space="preserve"> </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12.</w:t>
            </w:r>
            <w:r>
              <w:rPr>
                <w:rFonts w:ascii="楷体" w:hAnsi="楷体" w:eastAsia="楷体" w:cs="楷体"/>
                <w:color w:val="000000"/>
                <w:kern w:val="0"/>
                <w:szCs w:val="21"/>
                <w:lang w:bidi="ar"/>
              </w:rPr>
              <w:t>2</w:t>
            </w:r>
          </w:p>
        </w:tc>
        <w:tc>
          <w:tcPr>
            <w:tcW w:w="7221" w:type="dxa"/>
            <w:vAlign w:val="center"/>
          </w:tcPr>
          <w:p>
            <w:pPr>
              <w:widowControl/>
              <w:textAlignment w:val="center"/>
              <w:rPr>
                <w:rFonts w:ascii="楷体" w:hAnsi="楷体" w:eastAsia="楷体" w:cs="楷体"/>
                <w:b/>
                <w:bCs/>
                <w:color w:val="000000"/>
                <w:szCs w:val="21"/>
              </w:rPr>
            </w:pPr>
            <w:r>
              <w:rPr>
                <w:rFonts w:hint="eastAsia" w:ascii="楷体" w:hAnsi="楷体" w:eastAsia="楷体" w:cs="楷体"/>
                <w:b/>
                <w:bCs/>
                <w:kern w:val="0"/>
                <w:sz w:val="22"/>
                <w:szCs w:val="22"/>
              </w:rPr>
              <w:t>RIS应用服务器、WEB（面向临床）服务器</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1、国产知名品牌。</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2、机架式服务器。</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3、▲Intel C624芯片组或以上，支持Intel至强可扩展处理器家族铜牌、银牌、金牌及铂金处理器产品。</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 xml:space="preserve">4、▲配置≥1个Intel至强 银牌 </w:t>
            </w:r>
            <w:r>
              <w:rPr>
                <w:rFonts w:ascii="楷体" w:hAnsi="楷体" w:eastAsia="楷体" w:cs="楷体"/>
                <w:color w:val="000000"/>
                <w:szCs w:val="21"/>
              </w:rPr>
              <w:t>4210R</w:t>
            </w:r>
            <w:r>
              <w:rPr>
                <w:rFonts w:hint="eastAsia"/>
              </w:rPr>
              <w:t>及以上</w:t>
            </w:r>
            <w:r>
              <w:rPr>
                <w:rFonts w:hint="eastAsia" w:ascii="楷体" w:hAnsi="楷体" w:eastAsia="楷体" w:cs="楷体"/>
                <w:color w:val="000000"/>
                <w:szCs w:val="21"/>
              </w:rPr>
              <w:t>处理器。</w:t>
            </w:r>
          </w:p>
          <w:p>
            <w:pPr>
              <w:widowControl/>
              <w:textAlignment w:val="center"/>
              <w:rPr>
                <w:rFonts w:ascii="楷体" w:hAnsi="楷体" w:eastAsia="楷体" w:cs="楷体"/>
                <w:color w:val="000000"/>
                <w:szCs w:val="21"/>
              </w:rPr>
            </w:pPr>
            <w:r>
              <w:rPr>
                <w:rFonts w:ascii="楷体" w:hAnsi="楷体" w:eastAsia="楷体" w:cs="楷体"/>
                <w:color w:val="000000"/>
                <w:szCs w:val="21"/>
              </w:rPr>
              <w:t>5</w:t>
            </w:r>
            <w:r>
              <w:rPr>
                <w:rFonts w:hint="eastAsia" w:ascii="楷体" w:hAnsi="楷体" w:eastAsia="楷体" w:cs="楷体"/>
                <w:color w:val="000000"/>
                <w:szCs w:val="21"/>
              </w:rPr>
              <w:t>、▲配置≥</w:t>
            </w:r>
            <w:r>
              <w:rPr>
                <w:rFonts w:ascii="楷体" w:hAnsi="楷体" w:eastAsia="楷体" w:cs="楷体"/>
                <w:color w:val="000000"/>
                <w:szCs w:val="21"/>
              </w:rPr>
              <w:t>64GB TruDDR4</w:t>
            </w:r>
            <w:r>
              <w:rPr>
                <w:rFonts w:hint="eastAsia" w:ascii="楷体" w:hAnsi="楷体" w:eastAsia="楷体" w:cs="楷体"/>
                <w:color w:val="000000"/>
                <w:szCs w:val="21"/>
              </w:rPr>
              <w:t>内存，最大支持≥</w:t>
            </w:r>
            <w:r>
              <w:rPr>
                <w:rFonts w:ascii="楷体" w:hAnsi="楷体" w:eastAsia="楷体" w:cs="楷体"/>
                <w:color w:val="000000"/>
                <w:szCs w:val="21"/>
              </w:rPr>
              <w:t>9</w:t>
            </w:r>
            <w:r>
              <w:rPr>
                <w:rFonts w:hint="eastAsia" w:ascii="楷体" w:hAnsi="楷体" w:eastAsia="楷体" w:cs="楷体"/>
                <w:color w:val="000000"/>
                <w:szCs w:val="21"/>
              </w:rPr>
              <w:t>TB内存扩展或最大支持</w:t>
            </w:r>
            <w:r>
              <w:rPr>
                <w:rFonts w:ascii="楷体" w:hAnsi="楷体" w:eastAsia="楷体" w:cs="楷体"/>
                <w:color w:val="000000"/>
                <w:szCs w:val="21"/>
              </w:rPr>
              <w:t>24</w:t>
            </w:r>
            <w:r>
              <w:rPr>
                <w:rFonts w:hint="eastAsia" w:ascii="楷体" w:hAnsi="楷体" w:eastAsia="楷体" w:cs="楷体"/>
                <w:color w:val="000000"/>
                <w:szCs w:val="21"/>
              </w:rPr>
              <w:t>根内存插槽，实配≥</w:t>
            </w:r>
            <w:r>
              <w:rPr>
                <w:rFonts w:ascii="楷体" w:hAnsi="楷体" w:eastAsia="楷体" w:cs="楷体"/>
                <w:color w:val="000000"/>
                <w:szCs w:val="21"/>
              </w:rPr>
              <w:t>24</w:t>
            </w:r>
            <w:r>
              <w:rPr>
                <w:rFonts w:hint="eastAsia" w:ascii="楷体" w:hAnsi="楷体" w:eastAsia="楷体" w:cs="楷体"/>
                <w:color w:val="000000"/>
                <w:szCs w:val="21"/>
              </w:rPr>
              <w:t>条内存插槽。</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6、▲配置≥</w:t>
            </w:r>
            <w:r>
              <w:rPr>
                <w:rFonts w:ascii="楷体" w:hAnsi="楷体" w:eastAsia="楷体" w:cs="楷体"/>
                <w:color w:val="000000"/>
                <w:szCs w:val="21"/>
              </w:rPr>
              <w:t>3</w:t>
            </w:r>
            <w:r>
              <w:rPr>
                <w:rFonts w:hint="eastAsia" w:ascii="楷体" w:hAnsi="楷体" w:eastAsia="楷体" w:cs="楷体"/>
                <w:color w:val="000000"/>
                <w:szCs w:val="21"/>
              </w:rPr>
              <w:t>块</w:t>
            </w:r>
            <w:r>
              <w:rPr>
                <w:rFonts w:ascii="楷体" w:hAnsi="楷体" w:eastAsia="楷体" w:cs="楷体"/>
                <w:color w:val="000000"/>
                <w:szCs w:val="21"/>
              </w:rPr>
              <w:t>1.2TB 2.5</w:t>
            </w:r>
            <w:r>
              <w:rPr>
                <w:rFonts w:hint="eastAsia" w:ascii="楷体" w:hAnsi="楷体" w:eastAsia="楷体" w:cs="楷体"/>
                <w:color w:val="000000"/>
                <w:szCs w:val="21"/>
              </w:rPr>
              <w:t xml:space="preserve">寸 </w:t>
            </w:r>
            <w:r>
              <w:rPr>
                <w:rFonts w:ascii="楷体" w:hAnsi="楷体" w:eastAsia="楷体" w:cs="楷体"/>
                <w:color w:val="000000"/>
                <w:szCs w:val="21"/>
              </w:rPr>
              <w:t>SAS</w:t>
            </w:r>
            <w:r>
              <w:rPr>
                <w:rFonts w:hint="eastAsia" w:ascii="楷体" w:hAnsi="楷体" w:eastAsia="楷体" w:cs="楷体"/>
                <w:color w:val="000000"/>
                <w:szCs w:val="21"/>
              </w:rPr>
              <w:t>硬盘，支持前置直连U.2</w:t>
            </w:r>
            <w:r>
              <w:rPr>
                <w:rFonts w:ascii="楷体" w:hAnsi="楷体" w:eastAsia="楷体" w:cs="楷体"/>
                <w:color w:val="000000"/>
                <w:szCs w:val="21"/>
              </w:rPr>
              <w:t xml:space="preserve"> NVMe</w:t>
            </w:r>
            <w:r>
              <w:rPr>
                <w:rFonts w:hint="eastAsia" w:ascii="楷体" w:hAnsi="楷体" w:eastAsia="楷体" w:cs="楷体"/>
                <w:color w:val="000000"/>
                <w:szCs w:val="21"/>
              </w:rPr>
              <w:t xml:space="preserve"> SSD硬盘。支持内置两个M.2且支持RAID</w:t>
            </w:r>
            <w:r>
              <w:rPr>
                <w:rFonts w:ascii="楷体" w:hAnsi="楷体" w:eastAsia="楷体" w:cs="楷体"/>
                <w:color w:val="000000"/>
                <w:szCs w:val="21"/>
              </w:rPr>
              <w:t xml:space="preserve"> 0</w:t>
            </w:r>
            <w:r>
              <w:rPr>
                <w:rFonts w:hint="eastAsia" w:ascii="楷体" w:hAnsi="楷体" w:eastAsia="楷体" w:cs="楷体"/>
                <w:color w:val="000000"/>
                <w:szCs w:val="21"/>
              </w:rPr>
              <w:t>/1；具备A</w:t>
            </w:r>
            <w:r>
              <w:rPr>
                <w:rFonts w:ascii="楷体" w:hAnsi="楷体" w:eastAsia="楷体" w:cs="楷体"/>
                <w:color w:val="000000"/>
                <w:szCs w:val="21"/>
              </w:rPr>
              <w:t>NYBAY</w:t>
            </w:r>
            <w:r>
              <w:rPr>
                <w:rFonts w:hint="eastAsia" w:ascii="楷体" w:hAnsi="楷体" w:eastAsia="楷体" w:cs="楷体"/>
                <w:color w:val="000000"/>
                <w:szCs w:val="21"/>
              </w:rPr>
              <w:t>技术可切换SAS/SATA/U.2硬盘不用更换背板</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7、配置独立阵列卡，支持0/1/10/5/50 RAID级别</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8、▲配置≥4个千兆以太网口，1个专用的管理端口，配置≥两个万兆光纤网口，含万兆光纤模块</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9、▲实配电源输出功率≥</w:t>
            </w:r>
            <w:r>
              <w:rPr>
                <w:rFonts w:ascii="楷体" w:hAnsi="楷体" w:eastAsia="楷体" w:cs="楷体"/>
                <w:color w:val="000000"/>
                <w:szCs w:val="21"/>
              </w:rPr>
              <w:t>550</w:t>
            </w:r>
            <w:r>
              <w:rPr>
                <w:rFonts w:hint="eastAsia" w:ascii="楷体" w:hAnsi="楷体" w:eastAsia="楷体" w:cs="楷体"/>
                <w:color w:val="000000"/>
                <w:szCs w:val="21"/>
              </w:rPr>
              <w:t>W 80+铂金电源，1+1热插拔冗余电源。</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0</w:t>
            </w:r>
            <w:r>
              <w:rPr>
                <w:rFonts w:hint="eastAsia" w:ascii="楷体" w:hAnsi="楷体" w:eastAsia="楷体" w:cs="楷体"/>
                <w:color w:val="000000"/>
                <w:szCs w:val="21"/>
              </w:rPr>
              <w:t>、支持≥6个冗余热插拔系统风扇。</w:t>
            </w:r>
          </w:p>
          <w:p>
            <w:pPr>
              <w:widowControl/>
              <w:textAlignment w:val="center"/>
              <w:rPr>
                <w:rFonts w:ascii="楷体" w:hAnsi="楷体" w:eastAsia="楷体" w:cs="楷体"/>
                <w:color w:val="000000"/>
                <w:szCs w:val="21"/>
              </w:rPr>
            </w:pPr>
            <w:r>
              <w:rPr>
                <w:rFonts w:ascii="楷体" w:hAnsi="楷体" w:eastAsia="楷体" w:cs="楷体"/>
                <w:color w:val="000000"/>
                <w:szCs w:val="21"/>
              </w:rPr>
              <w:t>11</w:t>
            </w:r>
            <w:r>
              <w:rPr>
                <w:rFonts w:hint="eastAsia" w:ascii="楷体" w:hAnsi="楷体" w:eastAsia="楷体" w:cs="楷体"/>
                <w:color w:val="000000"/>
                <w:szCs w:val="21"/>
              </w:rPr>
              <w:t>、≥</w:t>
            </w:r>
            <w:r>
              <w:rPr>
                <w:rFonts w:ascii="楷体" w:hAnsi="楷体" w:eastAsia="楷体" w:cs="楷体"/>
                <w:color w:val="000000"/>
                <w:szCs w:val="21"/>
              </w:rPr>
              <w:t>8</w:t>
            </w:r>
            <w:r>
              <w:rPr>
                <w:rFonts w:hint="eastAsia" w:ascii="楷体" w:hAnsi="楷体" w:eastAsia="楷体" w:cs="楷体"/>
                <w:color w:val="000000"/>
                <w:szCs w:val="21"/>
              </w:rPr>
              <w:t>个PCIe插槽，包括一个内置阵列卡专用插槽，六个标准PCIe插槽，与一个LOM专用插槽。</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2</w:t>
            </w:r>
            <w:r>
              <w:rPr>
                <w:rFonts w:hint="eastAsia" w:ascii="楷体" w:hAnsi="楷体" w:eastAsia="楷体" w:cs="楷体"/>
                <w:color w:val="000000"/>
                <w:szCs w:val="21"/>
              </w:rPr>
              <w:t>、提供前置USB口可连接手机管理服务器。</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3</w:t>
            </w:r>
            <w:r>
              <w:rPr>
                <w:rFonts w:hint="eastAsia" w:ascii="楷体" w:hAnsi="楷体" w:eastAsia="楷体" w:cs="楷体"/>
                <w:color w:val="000000"/>
                <w:szCs w:val="21"/>
              </w:rPr>
              <w:t>、满足平均无故障时间MTBF的</w:t>
            </w:r>
            <w:r>
              <w:rPr>
                <w:rFonts w:ascii="楷体" w:hAnsi="楷体" w:eastAsia="楷体" w:cs="楷体"/>
                <w:color w:val="000000"/>
                <w:szCs w:val="21"/>
              </w:rPr>
              <w:t>m1</w:t>
            </w:r>
            <w:r>
              <w:rPr>
                <w:rFonts w:hint="eastAsia" w:ascii="楷体" w:hAnsi="楷体" w:eastAsia="楷体" w:cs="楷体"/>
                <w:color w:val="000000"/>
                <w:szCs w:val="21"/>
              </w:rPr>
              <w:t>值≥</w:t>
            </w:r>
            <w:r>
              <w:rPr>
                <w:rFonts w:ascii="楷体" w:hAnsi="楷体" w:eastAsia="楷体" w:cs="楷体"/>
                <w:color w:val="000000"/>
                <w:szCs w:val="21"/>
              </w:rPr>
              <w:t>150000</w:t>
            </w:r>
            <w:r>
              <w:rPr>
                <w:rFonts w:hint="eastAsia" w:ascii="楷体" w:hAnsi="楷体" w:eastAsia="楷体" w:cs="楷体"/>
                <w:color w:val="000000"/>
                <w:szCs w:val="21"/>
              </w:rPr>
              <w:t>小时</w:t>
            </w:r>
            <w:r>
              <w:rPr>
                <w:rFonts w:ascii="楷体" w:hAnsi="楷体" w:eastAsia="楷体" w:cs="楷体"/>
                <w:color w:val="000000"/>
                <w:szCs w:val="21"/>
              </w:rPr>
              <w:t xml:space="preserve"> </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4</w:t>
            </w:r>
            <w:r>
              <w:rPr>
                <w:rFonts w:hint="eastAsia" w:ascii="楷体" w:hAnsi="楷体" w:eastAsia="楷体" w:cs="楷体"/>
                <w:color w:val="000000"/>
                <w:szCs w:val="21"/>
              </w:rPr>
              <w:t>、支持针对处理器，内存，内部存储，风扇，电源，阵列卡等关键部件的故障预报警机制。支持针对处理器，内存插槽，风扇，电源，CPU板的LED故障报警指示灯支持可选的手机故障诊断面板。</w:t>
            </w:r>
          </w:p>
          <w:p>
            <w:pPr>
              <w:textAlignment w:val="center"/>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5</w:t>
            </w:r>
            <w:r>
              <w:rPr>
                <w:rFonts w:hint="eastAsia" w:ascii="楷体" w:hAnsi="楷体" w:eastAsia="楷体" w:cs="楷体"/>
                <w:color w:val="000000"/>
                <w:szCs w:val="21"/>
              </w:rPr>
              <w:t>、3年7x24X4小时保修服务，4小时上门服务</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12.</w:t>
            </w:r>
            <w:r>
              <w:rPr>
                <w:rFonts w:ascii="楷体" w:hAnsi="楷体" w:eastAsia="楷体" w:cs="楷体"/>
                <w:color w:val="000000"/>
                <w:kern w:val="0"/>
                <w:szCs w:val="21"/>
                <w:lang w:bidi="ar"/>
              </w:rPr>
              <w:t>3</w:t>
            </w:r>
          </w:p>
        </w:tc>
        <w:tc>
          <w:tcPr>
            <w:tcW w:w="7221" w:type="dxa"/>
            <w:vAlign w:val="center"/>
          </w:tcPr>
          <w:p>
            <w:pPr>
              <w:widowControl/>
              <w:textAlignment w:val="center"/>
              <w:rPr>
                <w:rFonts w:ascii="楷体" w:hAnsi="楷体" w:eastAsia="楷体" w:cs="楷体"/>
                <w:b/>
                <w:bCs/>
                <w:color w:val="000000"/>
                <w:szCs w:val="21"/>
              </w:rPr>
            </w:pPr>
            <w:r>
              <w:rPr>
                <w:rFonts w:hint="eastAsia" w:ascii="楷体" w:hAnsi="楷体" w:eastAsia="楷体" w:cs="楷体"/>
                <w:b/>
                <w:bCs/>
                <w:kern w:val="0"/>
                <w:sz w:val="22"/>
                <w:szCs w:val="22"/>
              </w:rPr>
              <w:t>院内私有云的云服务器</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1、国产知名品牌。</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2、机架式服务器。</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3、▲Intel C624芯片组或以上，支持Intel至强可扩展处理器家族铜牌、银牌、金牌及铂金处理器产品。</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 xml:space="preserve">4、▲配置≥1个Intel至强 银牌 </w:t>
            </w:r>
            <w:r>
              <w:rPr>
                <w:rFonts w:ascii="楷体" w:hAnsi="楷体" w:eastAsia="楷体" w:cs="楷体"/>
                <w:color w:val="000000"/>
                <w:szCs w:val="21"/>
              </w:rPr>
              <w:t>4210R</w:t>
            </w:r>
            <w:r>
              <w:rPr>
                <w:rFonts w:hint="eastAsia" w:ascii="楷体" w:hAnsi="楷体" w:eastAsia="楷体" w:cs="楷体"/>
                <w:color w:val="000000"/>
                <w:szCs w:val="21"/>
              </w:rPr>
              <w:t>及以上处理器。</w:t>
            </w:r>
          </w:p>
          <w:p>
            <w:pPr>
              <w:widowControl/>
              <w:textAlignment w:val="center"/>
              <w:rPr>
                <w:rFonts w:ascii="楷体" w:hAnsi="楷体" w:eastAsia="楷体" w:cs="楷体"/>
                <w:color w:val="000000"/>
                <w:szCs w:val="21"/>
              </w:rPr>
            </w:pPr>
            <w:r>
              <w:rPr>
                <w:rFonts w:ascii="楷体" w:hAnsi="楷体" w:eastAsia="楷体" w:cs="楷体"/>
                <w:color w:val="000000"/>
                <w:szCs w:val="21"/>
              </w:rPr>
              <w:t>5</w:t>
            </w:r>
            <w:r>
              <w:rPr>
                <w:rFonts w:hint="eastAsia" w:ascii="楷体" w:hAnsi="楷体" w:eastAsia="楷体" w:cs="楷体"/>
                <w:color w:val="000000"/>
                <w:szCs w:val="21"/>
              </w:rPr>
              <w:t>、▲配置≥</w:t>
            </w:r>
            <w:r>
              <w:rPr>
                <w:rFonts w:ascii="楷体" w:hAnsi="楷体" w:eastAsia="楷体" w:cs="楷体"/>
                <w:color w:val="000000"/>
                <w:szCs w:val="21"/>
              </w:rPr>
              <w:t>32GB TruDDR4</w:t>
            </w:r>
            <w:r>
              <w:rPr>
                <w:rFonts w:hint="eastAsia" w:ascii="楷体" w:hAnsi="楷体" w:eastAsia="楷体" w:cs="楷体"/>
                <w:color w:val="000000"/>
                <w:szCs w:val="21"/>
              </w:rPr>
              <w:t>内存，最大支持≥</w:t>
            </w:r>
            <w:r>
              <w:rPr>
                <w:rFonts w:ascii="楷体" w:hAnsi="楷体" w:eastAsia="楷体" w:cs="楷体"/>
                <w:color w:val="000000"/>
                <w:szCs w:val="21"/>
              </w:rPr>
              <w:t>9</w:t>
            </w:r>
            <w:r>
              <w:rPr>
                <w:rFonts w:hint="eastAsia" w:ascii="楷体" w:hAnsi="楷体" w:eastAsia="楷体" w:cs="楷体"/>
                <w:color w:val="000000"/>
                <w:szCs w:val="21"/>
              </w:rPr>
              <w:t>TB内存扩展或最大支持</w:t>
            </w:r>
            <w:r>
              <w:rPr>
                <w:rFonts w:ascii="楷体" w:hAnsi="楷体" w:eastAsia="楷体" w:cs="楷体"/>
                <w:color w:val="000000"/>
                <w:szCs w:val="21"/>
              </w:rPr>
              <w:t>24</w:t>
            </w:r>
            <w:r>
              <w:rPr>
                <w:rFonts w:hint="eastAsia" w:ascii="楷体" w:hAnsi="楷体" w:eastAsia="楷体" w:cs="楷体"/>
                <w:color w:val="000000"/>
                <w:szCs w:val="21"/>
              </w:rPr>
              <w:t>根内存插槽，实配≥</w:t>
            </w:r>
            <w:r>
              <w:rPr>
                <w:rFonts w:ascii="楷体" w:hAnsi="楷体" w:eastAsia="楷体" w:cs="楷体"/>
                <w:color w:val="000000"/>
                <w:szCs w:val="21"/>
              </w:rPr>
              <w:t>24</w:t>
            </w:r>
            <w:r>
              <w:rPr>
                <w:rFonts w:hint="eastAsia" w:ascii="楷体" w:hAnsi="楷体" w:eastAsia="楷体" w:cs="楷体"/>
                <w:color w:val="000000"/>
                <w:szCs w:val="21"/>
              </w:rPr>
              <w:t>条内存插槽。</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6、▲配置≥</w:t>
            </w:r>
            <w:r>
              <w:rPr>
                <w:rFonts w:ascii="楷体" w:hAnsi="楷体" w:eastAsia="楷体" w:cs="楷体"/>
                <w:color w:val="000000"/>
                <w:szCs w:val="21"/>
              </w:rPr>
              <w:t>3</w:t>
            </w:r>
            <w:r>
              <w:rPr>
                <w:rFonts w:hint="eastAsia" w:ascii="楷体" w:hAnsi="楷体" w:eastAsia="楷体" w:cs="楷体"/>
                <w:color w:val="000000"/>
                <w:szCs w:val="21"/>
              </w:rPr>
              <w:t>块</w:t>
            </w:r>
            <w:r>
              <w:rPr>
                <w:rFonts w:ascii="楷体" w:hAnsi="楷体" w:eastAsia="楷体" w:cs="楷体"/>
                <w:color w:val="000000"/>
                <w:szCs w:val="21"/>
              </w:rPr>
              <w:t>1.2TB 2.5</w:t>
            </w:r>
            <w:r>
              <w:rPr>
                <w:rFonts w:hint="eastAsia" w:ascii="楷体" w:hAnsi="楷体" w:eastAsia="楷体" w:cs="楷体"/>
                <w:color w:val="000000"/>
                <w:szCs w:val="21"/>
              </w:rPr>
              <w:t xml:space="preserve">寸 </w:t>
            </w:r>
            <w:r>
              <w:rPr>
                <w:rFonts w:ascii="楷体" w:hAnsi="楷体" w:eastAsia="楷体" w:cs="楷体"/>
                <w:color w:val="000000"/>
                <w:szCs w:val="21"/>
              </w:rPr>
              <w:t>SAS</w:t>
            </w:r>
            <w:r>
              <w:rPr>
                <w:rFonts w:hint="eastAsia" w:ascii="楷体" w:hAnsi="楷体" w:eastAsia="楷体" w:cs="楷体"/>
                <w:color w:val="000000"/>
                <w:szCs w:val="21"/>
              </w:rPr>
              <w:t>硬盘，支持前置直连U.2</w:t>
            </w:r>
            <w:r>
              <w:rPr>
                <w:rFonts w:ascii="楷体" w:hAnsi="楷体" w:eastAsia="楷体" w:cs="楷体"/>
                <w:color w:val="000000"/>
                <w:szCs w:val="21"/>
              </w:rPr>
              <w:t xml:space="preserve"> NVMe</w:t>
            </w:r>
            <w:r>
              <w:rPr>
                <w:rFonts w:hint="eastAsia" w:ascii="楷体" w:hAnsi="楷体" w:eastAsia="楷体" w:cs="楷体"/>
                <w:color w:val="000000"/>
                <w:szCs w:val="21"/>
              </w:rPr>
              <w:t xml:space="preserve"> SSD硬盘。支持内置两个M.2且支持RAID</w:t>
            </w:r>
            <w:r>
              <w:rPr>
                <w:rFonts w:ascii="楷体" w:hAnsi="楷体" w:eastAsia="楷体" w:cs="楷体"/>
                <w:color w:val="000000"/>
                <w:szCs w:val="21"/>
              </w:rPr>
              <w:t xml:space="preserve"> 0</w:t>
            </w:r>
            <w:r>
              <w:rPr>
                <w:rFonts w:hint="eastAsia" w:ascii="楷体" w:hAnsi="楷体" w:eastAsia="楷体" w:cs="楷体"/>
                <w:color w:val="000000"/>
                <w:szCs w:val="21"/>
              </w:rPr>
              <w:t>/1；具备A</w:t>
            </w:r>
            <w:r>
              <w:rPr>
                <w:rFonts w:ascii="楷体" w:hAnsi="楷体" w:eastAsia="楷体" w:cs="楷体"/>
                <w:color w:val="000000"/>
                <w:szCs w:val="21"/>
              </w:rPr>
              <w:t>NYBAY</w:t>
            </w:r>
            <w:r>
              <w:rPr>
                <w:rFonts w:hint="eastAsia" w:ascii="楷体" w:hAnsi="楷体" w:eastAsia="楷体" w:cs="楷体"/>
                <w:color w:val="000000"/>
                <w:szCs w:val="21"/>
              </w:rPr>
              <w:t>技术可切换SAS/SATA/U.2硬盘不用更换背板</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7、配置独立阵列卡，支持0/1/10/5/50 RAID级别</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8、▲配置≥4个千兆以太网口，1个专用的管理端口，配置≥两个万兆光纤网口，含万兆光纤模块</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9、▲实配电源输出功率≥</w:t>
            </w:r>
            <w:r>
              <w:rPr>
                <w:rFonts w:ascii="楷体" w:hAnsi="楷体" w:eastAsia="楷体" w:cs="楷体"/>
                <w:color w:val="000000"/>
                <w:szCs w:val="21"/>
              </w:rPr>
              <w:t>550</w:t>
            </w:r>
            <w:r>
              <w:rPr>
                <w:rFonts w:hint="eastAsia" w:ascii="楷体" w:hAnsi="楷体" w:eastAsia="楷体" w:cs="楷体"/>
                <w:color w:val="000000"/>
                <w:szCs w:val="21"/>
              </w:rPr>
              <w:t>W 80+铂金电源，1+1热插拔冗余电源。</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0</w:t>
            </w:r>
            <w:r>
              <w:rPr>
                <w:rFonts w:hint="eastAsia" w:ascii="楷体" w:hAnsi="楷体" w:eastAsia="楷体" w:cs="楷体"/>
                <w:color w:val="000000"/>
                <w:szCs w:val="21"/>
              </w:rPr>
              <w:t>、支持≥6个冗余热插拔系统风扇。</w:t>
            </w:r>
          </w:p>
          <w:p>
            <w:pPr>
              <w:widowControl/>
              <w:textAlignment w:val="center"/>
              <w:rPr>
                <w:rFonts w:ascii="楷体" w:hAnsi="楷体" w:eastAsia="楷体" w:cs="楷体"/>
                <w:color w:val="000000"/>
                <w:szCs w:val="21"/>
              </w:rPr>
            </w:pPr>
            <w:r>
              <w:rPr>
                <w:rFonts w:ascii="楷体" w:hAnsi="楷体" w:eastAsia="楷体" w:cs="楷体"/>
                <w:color w:val="000000"/>
                <w:szCs w:val="21"/>
              </w:rPr>
              <w:t>11</w:t>
            </w:r>
            <w:r>
              <w:rPr>
                <w:rFonts w:hint="eastAsia" w:ascii="楷体" w:hAnsi="楷体" w:eastAsia="楷体" w:cs="楷体"/>
                <w:color w:val="000000"/>
                <w:szCs w:val="21"/>
              </w:rPr>
              <w:t>、≥</w:t>
            </w:r>
            <w:r>
              <w:rPr>
                <w:rFonts w:ascii="楷体" w:hAnsi="楷体" w:eastAsia="楷体" w:cs="楷体"/>
                <w:color w:val="000000"/>
                <w:szCs w:val="21"/>
              </w:rPr>
              <w:t>8</w:t>
            </w:r>
            <w:r>
              <w:rPr>
                <w:rFonts w:hint="eastAsia" w:ascii="楷体" w:hAnsi="楷体" w:eastAsia="楷体" w:cs="楷体"/>
                <w:color w:val="000000"/>
                <w:szCs w:val="21"/>
              </w:rPr>
              <w:t>个PCIe插槽，包括一个内置阵列卡专用插槽，六个标准PCIe插槽，与一个LOM专用插槽。</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2</w:t>
            </w:r>
            <w:r>
              <w:rPr>
                <w:rFonts w:hint="eastAsia" w:ascii="楷体" w:hAnsi="楷体" w:eastAsia="楷体" w:cs="楷体"/>
                <w:color w:val="000000"/>
                <w:szCs w:val="21"/>
              </w:rPr>
              <w:t>、提供前置USB口可连接手机管理服务器。</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3</w:t>
            </w:r>
            <w:r>
              <w:rPr>
                <w:rFonts w:hint="eastAsia" w:ascii="楷体" w:hAnsi="楷体" w:eastAsia="楷体" w:cs="楷体"/>
                <w:color w:val="000000"/>
                <w:szCs w:val="21"/>
              </w:rPr>
              <w:t>、满足平均无故障时间MTBF的</w:t>
            </w:r>
            <w:r>
              <w:rPr>
                <w:rFonts w:ascii="楷体" w:hAnsi="楷体" w:eastAsia="楷体" w:cs="楷体"/>
                <w:color w:val="000000"/>
                <w:szCs w:val="21"/>
              </w:rPr>
              <w:t>m1</w:t>
            </w:r>
            <w:r>
              <w:rPr>
                <w:rFonts w:hint="eastAsia" w:ascii="楷体" w:hAnsi="楷体" w:eastAsia="楷体" w:cs="楷体"/>
                <w:color w:val="000000"/>
                <w:szCs w:val="21"/>
              </w:rPr>
              <w:t>值≥</w:t>
            </w:r>
            <w:r>
              <w:rPr>
                <w:rFonts w:ascii="楷体" w:hAnsi="楷体" w:eastAsia="楷体" w:cs="楷体"/>
                <w:color w:val="000000"/>
                <w:szCs w:val="21"/>
              </w:rPr>
              <w:t>150000</w:t>
            </w:r>
            <w:r>
              <w:rPr>
                <w:rFonts w:hint="eastAsia" w:ascii="楷体" w:hAnsi="楷体" w:eastAsia="楷体" w:cs="楷体"/>
                <w:color w:val="000000"/>
                <w:szCs w:val="21"/>
              </w:rPr>
              <w:t>小时。</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4</w:t>
            </w:r>
            <w:r>
              <w:rPr>
                <w:rFonts w:hint="eastAsia" w:ascii="楷体" w:hAnsi="楷体" w:eastAsia="楷体" w:cs="楷体"/>
                <w:color w:val="000000"/>
                <w:szCs w:val="21"/>
              </w:rPr>
              <w:t>、支持针对处理器，内存，内部存储，风扇，电源，阵列卡等关键部件的故障预报警机制。支持针对处理器，内存插槽，风扇，电源，CPU板的LED故障报警指示灯支持可选的手机故障诊断面板。</w:t>
            </w:r>
          </w:p>
          <w:p>
            <w:pPr>
              <w:widowControl/>
              <w:textAlignment w:val="center"/>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5</w:t>
            </w:r>
            <w:r>
              <w:rPr>
                <w:rFonts w:hint="eastAsia" w:ascii="楷体" w:hAnsi="楷体" w:eastAsia="楷体" w:cs="楷体"/>
                <w:color w:val="000000"/>
                <w:szCs w:val="21"/>
              </w:rPr>
              <w:t>、3年7x24X4小时保修服务，4小时上门服务</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12.</w:t>
            </w:r>
            <w:r>
              <w:rPr>
                <w:rFonts w:ascii="楷体" w:hAnsi="楷体" w:eastAsia="楷体" w:cs="楷体"/>
                <w:color w:val="000000"/>
                <w:kern w:val="0"/>
                <w:szCs w:val="21"/>
                <w:lang w:bidi="ar"/>
              </w:rPr>
              <w:t>4</w:t>
            </w:r>
          </w:p>
        </w:tc>
        <w:tc>
          <w:tcPr>
            <w:tcW w:w="7221" w:type="dxa"/>
            <w:vAlign w:val="center"/>
          </w:tcPr>
          <w:p>
            <w:pPr>
              <w:widowControl/>
              <w:textAlignment w:val="center"/>
              <w:rPr>
                <w:rFonts w:ascii="楷体" w:hAnsi="楷体" w:eastAsia="楷体" w:cs="楷体"/>
                <w:b/>
                <w:bCs/>
                <w:color w:val="000000"/>
                <w:szCs w:val="21"/>
              </w:rPr>
            </w:pPr>
            <w:r>
              <w:rPr>
                <w:rFonts w:hint="eastAsia" w:ascii="楷体" w:hAnsi="楷体" w:eastAsia="楷体" w:cs="楷体"/>
                <w:b/>
                <w:bCs/>
                <w:color w:val="000000"/>
                <w:szCs w:val="21"/>
              </w:rPr>
              <w:t>对象存储（配置2台数据交换机）</w:t>
            </w:r>
          </w:p>
          <w:p>
            <w:pPr>
              <w:widowControl/>
              <w:rPr>
                <w:rFonts w:ascii="楷体" w:hAnsi="楷体" w:eastAsia="楷体" w:cs="楷体"/>
                <w:color w:val="000000"/>
                <w:szCs w:val="21"/>
              </w:rPr>
            </w:pPr>
            <w:r>
              <w:rPr>
                <w:rFonts w:ascii="楷体" w:hAnsi="楷体" w:eastAsia="楷体" w:cs="楷体"/>
                <w:color w:val="000000"/>
                <w:szCs w:val="21"/>
              </w:rPr>
              <w:t>1、国内知名存储厂商。</w:t>
            </w:r>
          </w:p>
          <w:p>
            <w:pPr>
              <w:widowControl/>
              <w:rPr>
                <w:rFonts w:ascii="楷体" w:hAnsi="楷体" w:eastAsia="楷体" w:cs="楷体"/>
                <w:color w:val="000000"/>
                <w:szCs w:val="21"/>
              </w:rPr>
            </w:pPr>
            <w:r>
              <w:rPr>
                <w:rFonts w:ascii="楷体" w:hAnsi="楷体" w:eastAsia="楷体" w:cs="楷体"/>
                <w:color w:val="000000"/>
                <w:szCs w:val="21"/>
              </w:rPr>
              <w:t>2、▲配置通用机架式节点≥3个，</w:t>
            </w:r>
            <w:r>
              <w:rPr>
                <w:rFonts w:hint="eastAsia" w:ascii="楷体" w:hAnsi="楷体" w:eastAsia="楷体" w:cs="楷体"/>
                <w:color w:val="000000"/>
                <w:szCs w:val="21"/>
              </w:rPr>
              <w:t>系统支持≥</w:t>
            </w:r>
            <w:r>
              <w:rPr>
                <w:rFonts w:ascii="楷体" w:hAnsi="楷体" w:eastAsia="楷体" w:cs="楷体"/>
                <w:color w:val="000000"/>
                <w:szCs w:val="21"/>
              </w:rPr>
              <w:t>5120个对象存储节点，且无单独元数据节点</w:t>
            </w:r>
            <w:r>
              <w:rPr>
                <w:rFonts w:hint="eastAsia" w:ascii="楷体" w:hAnsi="楷体" w:eastAsia="楷体" w:cs="楷体"/>
                <w:color w:val="000000"/>
                <w:szCs w:val="21"/>
              </w:rPr>
              <w:t>。</w:t>
            </w:r>
            <w:r>
              <w:rPr>
                <w:rFonts w:ascii="楷体" w:hAnsi="楷体" w:eastAsia="楷体" w:cs="楷体"/>
                <w:color w:val="000000"/>
                <w:szCs w:val="21"/>
              </w:rPr>
              <w:t>单节点配置≥2颗处理器，单颗处理器要求主频≥2.4GHz，物理核≥16。</w:t>
            </w:r>
          </w:p>
          <w:p>
            <w:pPr>
              <w:widowControl/>
              <w:rPr>
                <w:rFonts w:ascii="楷体" w:hAnsi="楷体" w:eastAsia="楷体" w:cs="楷体"/>
                <w:color w:val="000000"/>
                <w:szCs w:val="21"/>
              </w:rPr>
            </w:pPr>
            <w:r>
              <w:rPr>
                <w:rFonts w:ascii="楷体" w:hAnsi="楷体" w:eastAsia="楷体" w:cs="楷体"/>
                <w:color w:val="000000"/>
                <w:szCs w:val="21"/>
              </w:rPr>
              <w:t>3、</w:t>
            </w:r>
            <w:r>
              <w:rPr>
                <w:rFonts w:hint="eastAsia" w:ascii="楷体" w:hAnsi="楷体" w:eastAsia="楷体" w:cs="楷体"/>
                <w:color w:val="000000"/>
                <w:szCs w:val="21"/>
              </w:rPr>
              <w:t>▲</w:t>
            </w:r>
            <w:r>
              <w:rPr>
                <w:rFonts w:ascii="楷体" w:hAnsi="楷体" w:eastAsia="楷体" w:cs="楷体"/>
                <w:color w:val="000000"/>
                <w:szCs w:val="21"/>
              </w:rPr>
              <w:t>内存：每节点配置≥128GB DDR4内存。</w:t>
            </w:r>
          </w:p>
          <w:p>
            <w:pPr>
              <w:widowControl/>
              <w:rPr>
                <w:rFonts w:ascii="楷体" w:hAnsi="楷体" w:eastAsia="楷体" w:cs="楷体"/>
                <w:color w:val="000000"/>
                <w:szCs w:val="21"/>
              </w:rPr>
            </w:pPr>
            <w:r>
              <w:rPr>
                <w:rFonts w:ascii="楷体" w:hAnsi="楷体" w:eastAsia="楷体" w:cs="楷体"/>
                <w:color w:val="000000"/>
                <w:szCs w:val="21"/>
              </w:rPr>
              <w:t>4、</w:t>
            </w:r>
            <w:r>
              <w:rPr>
                <w:rFonts w:hint="eastAsia" w:ascii="楷体" w:hAnsi="楷体" w:eastAsia="楷体" w:cs="楷体"/>
                <w:color w:val="000000"/>
                <w:szCs w:val="21"/>
              </w:rPr>
              <w:t>▲</w:t>
            </w:r>
            <w:r>
              <w:rPr>
                <w:rFonts w:ascii="楷体" w:hAnsi="楷体" w:eastAsia="楷体" w:cs="楷体"/>
                <w:color w:val="000000"/>
                <w:szCs w:val="21"/>
              </w:rPr>
              <w:t>硬盘：每节点配置≥2*480GB SSD，≥2*1.92TB NVMe SSD，≥6*4TB NL-SAS硬盘。</w:t>
            </w:r>
          </w:p>
          <w:p>
            <w:pPr>
              <w:widowControl/>
              <w:rPr>
                <w:rFonts w:ascii="楷体" w:hAnsi="楷体" w:eastAsia="楷体" w:cs="楷体"/>
                <w:color w:val="000000"/>
                <w:szCs w:val="21"/>
              </w:rPr>
            </w:pPr>
            <w:r>
              <w:rPr>
                <w:rFonts w:ascii="楷体" w:hAnsi="楷体" w:eastAsia="楷体" w:cs="楷体"/>
                <w:color w:val="000000"/>
                <w:szCs w:val="21"/>
              </w:rPr>
              <w:t>5、</w:t>
            </w:r>
            <w:r>
              <w:rPr>
                <w:rFonts w:hint="eastAsia" w:ascii="楷体" w:hAnsi="楷体" w:eastAsia="楷体" w:cs="楷体"/>
                <w:color w:val="000000"/>
                <w:szCs w:val="21"/>
              </w:rPr>
              <w:t>▲</w:t>
            </w:r>
            <w:r>
              <w:rPr>
                <w:rFonts w:ascii="楷体" w:hAnsi="楷体" w:eastAsia="楷体" w:cs="楷体"/>
                <w:color w:val="000000"/>
                <w:szCs w:val="21"/>
              </w:rPr>
              <w:t>SAS卡：每节点配置八通道 SAS3.0 Cache高性能RAID SAS卡，可支持raid0.raid1，raid1E，raid10, jbod直通模式。</w:t>
            </w:r>
          </w:p>
          <w:p>
            <w:pPr>
              <w:widowControl/>
              <w:rPr>
                <w:rFonts w:ascii="楷体" w:hAnsi="楷体" w:eastAsia="楷体" w:cs="楷体"/>
                <w:color w:val="000000"/>
                <w:szCs w:val="21"/>
              </w:rPr>
            </w:pPr>
            <w:r>
              <w:rPr>
                <w:rFonts w:ascii="楷体" w:hAnsi="楷体" w:eastAsia="楷体" w:cs="楷体"/>
                <w:color w:val="000000"/>
                <w:szCs w:val="21"/>
              </w:rPr>
              <w:t>6、</w:t>
            </w:r>
            <w:r>
              <w:rPr>
                <w:rFonts w:hint="eastAsia" w:ascii="楷体" w:hAnsi="楷体" w:eastAsia="楷体" w:cs="楷体"/>
                <w:color w:val="000000"/>
                <w:szCs w:val="21"/>
              </w:rPr>
              <w:t>▲</w:t>
            </w:r>
            <w:r>
              <w:rPr>
                <w:rFonts w:ascii="楷体" w:hAnsi="楷体" w:eastAsia="楷体" w:cs="楷体"/>
                <w:color w:val="000000"/>
                <w:szCs w:val="21"/>
              </w:rPr>
              <w:t>每节点配置≥2*1Gb 以太网，≥4*10Gb以太网。</w:t>
            </w:r>
          </w:p>
          <w:p>
            <w:pPr>
              <w:widowControl/>
              <w:rPr>
                <w:rFonts w:ascii="楷体" w:hAnsi="楷体" w:eastAsia="楷体" w:cs="楷体"/>
                <w:color w:val="000000"/>
                <w:szCs w:val="21"/>
              </w:rPr>
            </w:pPr>
            <w:r>
              <w:rPr>
                <w:rFonts w:ascii="楷体" w:hAnsi="楷体" w:eastAsia="楷体" w:cs="楷体"/>
                <w:color w:val="000000"/>
                <w:szCs w:val="21"/>
              </w:rPr>
              <w:t>7、</w:t>
            </w:r>
            <w:r>
              <w:rPr>
                <w:rFonts w:hint="eastAsia" w:ascii="楷体" w:hAnsi="楷体" w:eastAsia="楷体" w:cs="楷体"/>
                <w:color w:val="000000"/>
                <w:szCs w:val="21"/>
              </w:rPr>
              <w:t>▲</w:t>
            </w:r>
            <w:r>
              <w:rPr>
                <w:rFonts w:ascii="楷体" w:hAnsi="楷体" w:eastAsia="楷体" w:cs="楷体"/>
                <w:color w:val="000000"/>
                <w:szCs w:val="21"/>
              </w:rPr>
              <w:t>电源及外设：每节点配置</w:t>
            </w:r>
            <w:r>
              <w:rPr>
                <w:rFonts w:hint="eastAsia" w:ascii="楷体" w:hAnsi="楷体" w:eastAsia="楷体" w:cs="楷体"/>
                <w:color w:val="000000"/>
                <w:szCs w:val="21"/>
              </w:rPr>
              <w:t>≥</w:t>
            </w:r>
            <w:r>
              <w:rPr>
                <w:rFonts w:ascii="楷体" w:hAnsi="楷体" w:eastAsia="楷体" w:cs="楷体"/>
                <w:color w:val="000000"/>
                <w:szCs w:val="21"/>
              </w:rPr>
              <w:t>2个冗余电源模块；两个热插拔风扇，配置机架安装导轨。</w:t>
            </w:r>
          </w:p>
          <w:p>
            <w:pPr>
              <w:widowControl/>
              <w:rPr>
                <w:rFonts w:ascii="楷体" w:hAnsi="楷体" w:eastAsia="楷体" w:cs="楷体"/>
                <w:color w:val="000000"/>
                <w:szCs w:val="21"/>
              </w:rPr>
            </w:pPr>
            <w:r>
              <w:rPr>
                <w:rFonts w:ascii="楷体" w:hAnsi="楷体" w:eastAsia="楷体" w:cs="楷体"/>
                <w:color w:val="000000"/>
                <w:szCs w:val="21"/>
              </w:rPr>
              <w:t>8</w:t>
            </w:r>
            <w:r>
              <w:rPr>
                <w:rFonts w:hint="eastAsia" w:ascii="楷体" w:hAnsi="楷体" w:eastAsia="楷体" w:cs="楷体"/>
                <w:color w:val="000000"/>
                <w:szCs w:val="21"/>
              </w:rPr>
              <w:t>、▲数据交换机：配置</w:t>
            </w:r>
            <w:r>
              <w:rPr>
                <w:rFonts w:ascii="楷体" w:hAnsi="楷体" w:eastAsia="楷体" w:cs="楷体"/>
                <w:color w:val="000000"/>
                <w:szCs w:val="21"/>
              </w:rPr>
              <w:t>≥</w:t>
            </w:r>
            <w:r>
              <w:rPr>
                <w:rFonts w:hint="eastAsia" w:ascii="楷体" w:hAnsi="楷体" w:eastAsia="楷体" w:cs="楷体"/>
                <w:color w:val="000000"/>
                <w:szCs w:val="21"/>
              </w:rPr>
              <w:t>2个数据交换节点，每节点配置</w:t>
            </w:r>
            <w:r>
              <w:rPr>
                <w:rFonts w:ascii="楷体" w:hAnsi="楷体" w:eastAsia="楷体" w:cs="楷体"/>
                <w:color w:val="000000"/>
                <w:szCs w:val="21"/>
              </w:rPr>
              <w:t>≥16</w:t>
            </w:r>
            <w:r>
              <w:rPr>
                <w:rFonts w:hint="eastAsia" w:ascii="楷体" w:hAnsi="楷体" w:eastAsia="楷体" w:cs="楷体"/>
                <w:color w:val="000000"/>
                <w:szCs w:val="21"/>
              </w:rPr>
              <w:t>个千兆电口，</w:t>
            </w:r>
            <w:r>
              <w:rPr>
                <w:rFonts w:ascii="楷体" w:hAnsi="楷体" w:eastAsia="楷体" w:cs="楷体"/>
                <w:color w:val="000000"/>
                <w:szCs w:val="21"/>
              </w:rPr>
              <w:t>≥16</w:t>
            </w:r>
            <w:r>
              <w:rPr>
                <w:rFonts w:hint="eastAsia" w:ascii="楷体" w:hAnsi="楷体" w:eastAsia="楷体" w:cs="楷体"/>
                <w:color w:val="000000"/>
                <w:szCs w:val="21"/>
              </w:rPr>
              <w:t>个1</w:t>
            </w:r>
            <w:r>
              <w:rPr>
                <w:rFonts w:ascii="楷体" w:hAnsi="楷体" w:eastAsia="楷体" w:cs="楷体"/>
                <w:color w:val="000000"/>
                <w:szCs w:val="21"/>
              </w:rPr>
              <w:t>0GE</w:t>
            </w:r>
            <w:r>
              <w:rPr>
                <w:rFonts w:hint="eastAsia" w:ascii="楷体" w:hAnsi="楷体" w:eastAsia="楷体" w:cs="楷体"/>
                <w:color w:val="000000"/>
                <w:szCs w:val="21"/>
              </w:rPr>
              <w:t>接口，</w:t>
            </w:r>
            <w:r>
              <w:rPr>
                <w:rFonts w:ascii="楷体" w:hAnsi="楷体" w:eastAsia="楷体" w:cs="楷体"/>
                <w:color w:val="000000"/>
                <w:szCs w:val="21"/>
              </w:rPr>
              <w:t>≥2</w:t>
            </w:r>
            <w:r>
              <w:rPr>
                <w:rFonts w:hint="eastAsia" w:ascii="楷体" w:hAnsi="楷体" w:eastAsia="楷体" w:cs="楷体"/>
                <w:color w:val="000000"/>
                <w:szCs w:val="21"/>
              </w:rPr>
              <w:t>个4</w:t>
            </w:r>
            <w:r>
              <w:rPr>
                <w:rFonts w:ascii="楷体" w:hAnsi="楷体" w:eastAsia="楷体" w:cs="楷体"/>
                <w:color w:val="000000"/>
                <w:szCs w:val="21"/>
              </w:rPr>
              <w:t>0GE</w:t>
            </w:r>
            <w:r>
              <w:rPr>
                <w:rFonts w:hint="eastAsia" w:ascii="楷体" w:hAnsi="楷体" w:eastAsia="楷体" w:cs="楷体"/>
                <w:color w:val="000000"/>
                <w:szCs w:val="21"/>
              </w:rPr>
              <w:t>接口，含</w:t>
            </w:r>
            <w:r>
              <w:rPr>
                <w:rFonts w:ascii="楷体" w:hAnsi="楷体" w:eastAsia="楷体" w:cs="楷体"/>
                <w:color w:val="000000"/>
                <w:szCs w:val="21"/>
              </w:rPr>
              <w:t>≥</w:t>
            </w:r>
            <w:r>
              <w:rPr>
                <w:rFonts w:hint="eastAsia" w:ascii="楷体" w:hAnsi="楷体" w:eastAsia="楷体" w:cs="楷体"/>
                <w:color w:val="000000"/>
                <w:szCs w:val="21"/>
              </w:rPr>
              <w:t>6个1</w:t>
            </w:r>
            <w:r>
              <w:rPr>
                <w:rFonts w:ascii="楷体" w:hAnsi="楷体" w:eastAsia="楷体" w:cs="楷体"/>
                <w:color w:val="000000"/>
                <w:szCs w:val="21"/>
              </w:rPr>
              <w:t>0GE</w:t>
            </w:r>
            <w:r>
              <w:rPr>
                <w:rFonts w:hint="eastAsia" w:ascii="楷体" w:hAnsi="楷体" w:eastAsia="楷体" w:cs="楷体"/>
                <w:color w:val="000000"/>
                <w:szCs w:val="21"/>
              </w:rPr>
              <w:t>多模光模块。</w:t>
            </w:r>
          </w:p>
          <w:p>
            <w:pPr>
              <w:widowControl/>
              <w:rPr>
                <w:rFonts w:ascii="楷体" w:hAnsi="楷体" w:eastAsia="楷体" w:cs="楷体"/>
                <w:color w:val="000000"/>
                <w:szCs w:val="21"/>
              </w:rPr>
            </w:pPr>
            <w:r>
              <w:rPr>
                <w:rFonts w:hint="eastAsia" w:ascii="楷体" w:hAnsi="楷体" w:eastAsia="楷体" w:cs="楷体"/>
                <w:color w:val="000000"/>
                <w:szCs w:val="21"/>
              </w:rPr>
              <w:t>9、软件无版权纠纷，提供相关自主知识产权证明</w:t>
            </w:r>
          </w:p>
          <w:p>
            <w:pPr>
              <w:widowControl/>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0</w:t>
            </w:r>
            <w:r>
              <w:rPr>
                <w:rFonts w:hint="eastAsia" w:ascii="楷体" w:hAnsi="楷体" w:eastAsia="楷体" w:cs="楷体"/>
                <w:color w:val="000000"/>
                <w:szCs w:val="21"/>
              </w:rPr>
              <w:t>、▲系统架构为分布式架构，支持智能负载均衡，支持在线扩容，通过在线增加存储节点增加集群规模，系统不停机，业务流量不中断</w:t>
            </w:r>
          </w:p>
          <w:p>
            <w:pPr>
              <w:widowControl/>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1</w:t>
            </w:r>
            <w:r>
              <w:rPr>
                <w:rFonts w:hint="eastAsia" w:ascii="楷体" w:hAnsi="楷体" w:eastAsia="楷体" w:cs="楷体"/>
                <w:color w:val="000000"/>
                <w:szCs w:val="21"/>
              </w:rPr>
              <w:t>、▲支持纵向扩展，初始槽位无需满配，可根据实际容量需要增加硬盘</w:t>
            </w:r>
          </w:p>
          <w:p>
            <w:pPr>
              <w:widowControl/>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2</w:t>
            </w:r>
            <w:r>
              <w:rPr>
                <w:rFonts w:hint="eastAsia" w:ascii="楷体" w:hAnsi="楷体" w:eastAsia="楷体" w:cs="楷体"/>
                <w:color w:val="000000"/>
                <w:szCs w:val="21"/>
              </w:rPr>
              <w:t>、支持</w:t>
            </w:r>
            <w:r>
              <w:rPr>
                <w:rFonts w:ascii="楷体" w:hAnsi="楷体" w:eastAsia="楷体" w:cs="楷体"/>
                <w:color w:val="000000"/>
                <w:szCs w:val="21"/>
              </w:rPr>
              <w:t xml:space="preserve"> N+1/2/3/4 纠删保护技术，存储系统支持在4个节点或 4 块硬盘同时故障的情况下数据不丢失、业务流量不中断</w:t>
            </w:r>
            <w:r>
              <w:rPr>
                <w:rFonts w:hint="eastAsia" w:ascii="楷体" w:hAnsi="楷体" w:eastAsia="楷体" w:cs="楷体"/>
                <w:color w:val="000000"/>
                <w:szCs w:val="21"/>
              </w:rPr>
              <w:t>。</w:t>
            </w:r>
          </w:p>
          <w:p>
            <w:pPr>
              <w:widowControl/>
              <w:rPr>
                <w:rFonts w:ascii="楷体" w:hAnsi="楷体" w:eastAsia="楷体" w:cs="楷体"/>
                <w:color w:val="000000"/>
                <w:szCs w:val="21"/>
              </w:rPr>
            </w:pPr>
            <w:r>
              <w:rPr>
                <w:rFonts w:ascii="楷体" w:hAnsi="楷体" w:eastAsia="楷体" w:cs="楷体"/>
                <w:color w:val="000000"/>
                <w:szCs w:val="21"/>
              </w:rPr>
              <w:t>13</w:t>
            </w:r>
            <w:r>
              <w:rPr>
                <w:rFonts w:hint="eastAsia" w:ascii="楷体" w:hAnsi="楷体" w:eastAsia="楷体" w:cs="楷体"/>
                <w:color w:val="000000"/>
                <w:szCs w:val="21"/>
              </w:rPr>
              <w:t>、支持开启端到端的数据一致性校验，预防因字节跳变、读偏、写偏造成的静默数据错误问题。</w:t>
            </w:r>
          </w:p>
          <w:p>
            <w:pPr>
              <w:widowControl/>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4</w:t>
            </w:r>
            <w:r>
              <w:rPr>
                <w:rFonts w:hint="eastAsia" w:ascii="楷体" w:hAnsi="楷体" w:eastAsia="楷体" w:cs="楷体"/>
                <w:color w:val="000000"/>
                <w:szCs w:val="21"/>
              </w:rPr>
              <w:t>、支持 WEB 界面支持多节点同时在线无缝升级或打补丁，数据不丢失，业务流量不中断。</w:t>
            </w:r>
          </w:p>
          <w:p>
            <w:pPr>
              <w:widowControl/>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5</w:t>
            </w:r>
            <w:r>
              <w:rPr>
                <w:rFonts w:hint="eastAsia" w:ascii="楷体" w:hAnsi="楷体" w:eastAsia="楷体" w:cs="楷体"/>
                <w:color w:val="000000"/>
                <w:szCs w:val="21"/>
              </w:rPr>
              <w:t>、支持定制化的 IAM 服务，支持对单个账户下子用户、用户组配置 IAM 策略，进行细粒度访问权限管理，并提供相关 API 接口。</w:t>
            </w:r>
          </w:p>
          <w:p>
            <w:pPr>
              <w:widowControl/>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6</w:t>
            </w:r>
            <w:r>
              <w:rPr>
                <w:rFonts w:hint="eastAsia" w:ascii="楷体" w:hAnsi="楷体" w:eastAsia="楷体" w:cs="楷体"/>
                <w:color w:val="000000"/>
                <w:szCs w:val="21"/>
              </w:rPr>
              <w:t>、支持元数据检索功能，元数据检索为分布式集群模式，支持内置搜索引擎检索符合条件的对象，支持对存储文件添加自定义元数据，提供对对象名、系统元数据、用户自定义元数据的精确查询和模糊匹配功能，并提供相关 API 接口。</w:t>
            </w:r>
          </w:p>
          <w:p>
            <w:pPr>
              <w:widowControl/>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7</w:t>
            </w:r>
            <w:r>
              <w:rPr>
                <w:rFonts w:hint="eastAsia" w:ascii="楷体" w:hAnsi="楷体" w:eastAsia="楷体" w:cs="楷体"/>
                <w:color w:val="000000"/>
                <w:szCs w:val="21"/>
              </w:rPr>
              <w:t>、提供对含相同前缀的临时 URL 的批量处理功能并提供相应 API 接口，可应对例如大量文件、文件夹同时上传、下载使用场景。</w:t>
            </w:r>
          </w:p>
          <w:p>
            <w:pPr>
              <w:widowControl/>
              <w:rPr>
                <w:rFonts w:ascii="楷体" w:hAnsi="楷体" w:eastAsia="楷体" w:cs="楷体"/>
                <w:color w:val="000000"/>
                <w:szCs w:val="21"/>
              </w:rPr>
            </w:pPr>
            <w:r>
              <w:rPr>
                <w:rFonts w:ascii="楷体" w:hAnsi="楷体" w:eastAsia="楷体" w:cs="楷体"/>
                <w:color w:val="000000"/>
                <w:szCs w:val="21"/>
              </w:rPr>
              <w:t>18</w:t>
            </w:r>
            <w:r>
              <w:rPr>
                <w:rFonts w:hint="eastAsia" w:ascii="楷体" w:hAnsi="楷体" w:eastAsia="楷体" w:cs="楷体"/>
                <w:color w:val="000000"/>
                <w:szCs w:val="21"/>
              </w:rPr>
              <w:t>、支持 web 界面上生成带有效期的临时 URL 链接来分享对象，支持自定义设置有效期，并分享给他人下载。支持浏览器访问该临时 URL，拖拽播放超大视频，可拖拽到任意位置在线播放</w:t>
            </w:r>
          </w:p>
          <w:p>
            <w:pPr>
              <w:widowControl/>
              <w:rPr>
                <w:rFonts w:ascii="楷体" w:hAnsi="楷体" w:eastAsia="楷体" w:cs="楷体"/>
                <w:color w:val="000000"/>
                <w:szCs w:val="21"/>
              </w:rPr>
            </w:pPr>
            <w:r>
              <w:rPr>
                <w:rFonts w:ascii="楷体" w:hAnsi="楷体" w:eastAsia="楷体" w:cs="楷体"/>
                <w:color w:val="000000"/>
                <w:szCs w:val="21"/>
              </w:rPr>
              <w:t>19</w:t>
            </w:r>
            <w:r>
              <w:rPr>
                <w:rFonts w:hint="eastAsia" w:ascii="楷体" w:hAnsi="楷体" w:eastAsia="楷体" w:cs="楷体"/>
                <w:color w:val="000000"/>
                <w:szCs w:val="21"/>
              </w:rPr>
              <w:t>、web界面支持拖拽文件、文件夹上传，支持设置上传并发数，支持文件夹下载。</w:t>
            </w:r>
          </w:p>
          <w:p>
            <w:pPr>
              <w:widowControl/>
              <w:rPr>
                <w:rFonts w:ascii="楷体" w:hAnsi="楷体" w:eastAsia="楷体" w:cs="楷体"/>
                <w:color w:val="000000"/>
                <w:szCs w:val="21"/>
              </w:rPr>
            </w:pPr>
            <w:r>
              <w:rPr>
                <w:rFonts w:hint="eastAsia" w:ascii="楷体" w:hAnsi="楷体" w:eastAsia="楷体" w:cs="楷体"/>
                <w:color w:val="000000"/>
                <w:szCs w:val="21"/>
              </w:rPr>
              <w:t>2</w:t>
            </w:r>
            <w:r>
              <w:rPr>
                <w:rFonts w:ascii="楷体" w:hAnsi="楷体" w:eastAsia="楷体" w:cs="楷体"/>
                <w:color w:val="000000"/>
                <w:szCs w:val="21"/>
              </w:rPr>
              <w:t>0</w:t>
            </w:r>
            <w:r>
              <w:rPr>
                <w:rFonts w:hint="eastAsia" w:ascii="楷体" w:hAnsi="楷体" w:eastAsia="楷体" w:cs="楷体"/>
                <w:color w:val="000000"/>
                <w:szCs w:val="21"/>
              </w:rPr>
              <w:t>、支持对象多版本功能，支持同时列举当前版本和历史版本的对象，可实现对 txt、 pdf、图片、 MP3、MP4 文件历史版本的在线预览、检索、下载、分享链接、修改元数据。</w:t>
            </w:r>
          </w:p>
          <w:p>
            <w:pPr>
              <w:widowControl/>
              <w:rPr>
                <w:rFonts w:ascii="楷体" w:hAnsi="楷体" w:eastAsia="楷体" w:cs="楷体"/>
                <w:color w:val="000000"/>
                <w:szCs w:val="21"/>
              </w:rPr>
            </w:pPr>
            <w:r>
              <w:rPr>
                <w:rFonts w:hint="eastAsia" w:ascii="楷体" w:hAnsi="楷体" w:eastAsia="楷体" w:cs="楷体"/>
                <w:color w:val="000000"/>
                <w:szCs w:val="21"/>
              </w:rPr>
              <w:t>2</w:t>
            </w:r>
            <w:r>
              <w:rPr>
                <w:rFonts w:ascii="楷体" w:hAnsi="楷体" w:eastAsia="楷体" w:cs="楷体"/>
                <w:color w:val="000000"/>
                <w:szCs w:val="21"/>
              </w:rPr>
              <w:t>1</w:t>
            </w:r>
            <w:r>
              <w:rPr>
                <w:rFonts w:hint="eastAsia" w:ascii="楷体" w:hAnsi="楷体" w:eastAsia="楷体" w:cs="楷体"/>
                <w:color w:val="000000"/>
                <w:szCs w:val="21"/>
              </w:rPr>
              <w:t>、支持对象重命名、修改对象元数据、对象复制、对象移动功能；</w:t>
            </w:r>
            <w:r>
              <w:rPr>
                <w:rFonts w:ascii="楷体" w:hAnsi="楷体" w:eastAsia="楷体" w:cs="楷体"/>
                <w:color w:val="000000"/>
                <w:szCs w:val="21"/>
              </w:rPr>
              <w:t xml:space="preserve"> </w:t>
            </w:r>
          </w:p>
          <w:p>
            <w:pPr>
              <w:widowControl/>
              <w:rPr>
                <w:rFonts w:ascii="楷体" w:hAnsi="楷体" w:eastAsia="楷体" w:cs="楷体"/>
                <w:color w:val="000000"/>
                <w:szCs w:val="21"/>
              </w:rPr>
            </w:pPr>
            <w:r>
              <w:rPr>
                <w:rFonts w:hint="eastAsia" w:ascii="楷体" w:hAnsi="楷体" w:eastAsia="楷体" w:cs="楷体"/>
                <w:color w:val="000000"/>
                <w:szCs w:val="21"/>
              </w:rPr>
              <w:t>2</w:t>
            </w:r>
            <w:r>
              <w:rPr>
                <w:rFonts w:ascii="楷体" w:hAnsi="楷体" w:eastAsia="楷体" w:cs="楷体"/>
                <w:color w:val="000000"/>
                <w:szCs w:val="21"/>
              </w:rPr>
              <w:t>2</w:t>
            </w:r>
            <w:r>
              <w:rPr>
                <w:rFonts w:hint="eastAsia" w:ascii="楷体" w:hAnsi="楷体" w:eastAsia="楷体" w:cs="楷体"/>
                <w:color w:val="000000"/>
                <w:szCs w:val="21"/>
              </w:rPr>
              <w:t>、支持桶的性能</w:t>
            </w:r>
            <w:r>
              <w:rPr>
                <w:rFonts w:ascii="楷体" w:hAnsi="楷体" w:eastAsia="楷体" w:cs="楷体"/>
                <w:color w:val="000000"/>
                <w:szCs w:val="21"/>
              </w:rPr>
              <w:t>QoS管理，支持在线修改QoS的QPS和带宽上限；</w:t>
            </w:r>
            <w:r>
              <w:rPr>
                <w:rFonts w:hint="eastAsia" w:ascii="楷体" w:hAnsi="楷体" w:eastAsia="楷体" w:cs="楷体"/>
                <w:color w:val="000000"/>
                <w:szCs w:val="21"/>
              </w:rPr>
              <w:t>支持账户的性能</w:t>
            </w:r>
            <w:r>
              <w:rPr>
                <w:rFonts w:ascii="楷体" w:hAnsi="楷体" w:eastAsia="楷体" w:cs="楷体"/>
                <w:color w:val="000000"/>
                <w:szCs w:val="21"/>
              </w:rPr>
              <w:t>QoS管理，支持在线修改QoS的QPS和带宽上限</w:t>
            </w:r>
            <w:r>
              <w:rPr>
                <w:rFonts w:hint="eastAsia" w:ascii="楷体" w:hAnsi="楷体" w:eastAsia="楷体" w:cs="楷体"/>
                <w:color w:val="000000"/>
                <w:szCs w:val="21"/>
              </w:rPr>
              <w:t>。</w:t>
            </w:r>
          </w:p>
          <w:p>
            <w:pPr>
              <w:widowControl/>
              <w:rPr>
                <w:rFonts w:ascii="楷体" w:hAnsi="楷体" w:eastAsia="楷体" w:cs="楷体"/>
                <w:color w:val="000000"/>
                <w:szCs w:val="21"/>
              </w:rPr>
            </w:pPr>
            <w:r>
              <w:rPr>
                <w:rFonts w:ascii="楷体" w:hAnsi="楷体" w:eastAsia="楷体" w:cs="楷体"/>
                <w:color w:val="000000"/>
                <w:szCs w:val="21"/>
              </w:rPr>
              <w:t>23</w:t>
            </w:r>
            <w:r>
              <w:rPr>
                <w:rFonts w:hint="eastAsia" w:ascii="楷体" w:hAnsi="楷体" w:eastAsia="楷体" w:cs="楷体"/>
                <w:color w:val="000000"/>
                <w:szCs w:val="21"/>
              </w:rPr>
              <w:t>、支持本地存储（Windows、 Linux）到 S3 的数据互迁移，支持 S3 与 S3、 OSS 与 S3、 OSS 与 OSS 之间的数据迁移</w:t>
            </w:r>
          </w:p>
          <w:p>
            <w:pPr>
              <w:widowControl/>
              <w:rPr>
                <w:rFonts w:ascii="楷体" w:hAnsi="楷体" w:eastAsia="楷体" w:cs="楷体"/>
                <w:color w:val="000000"/>
                <w:szCs w:val="21"/>
              </w:rPr>
            </w:pPr>
            <w:r>
              <w:rPr>
                <w:rFonts w:hint="eastAsia" w:ascii="楷体" w:hAnsi="楷体" w:eastAsia="楷体" w:cs="楷体"/>
                <w:color w:val="000000"/>
                <w:szCs w:val="21"/>
              </w:rPr>
              <w:t>2</w:t>
            </w:r>
            <w:r>
              <w:rPr>
                <w:rFonts w:ascii="楷体" w:hAnsi="楷体" w:eastAsia="楷体" w:cs="楷体"/>
                <w:color w:val="000000"/>
                <w:szCs w:val="21"/>
              </w:rPr>
              <w:t>4</w:t>
            </w:r>
            <w:r>
              <w:rPr>
                <w:rFonts w:hint="eastAsia" w:ascii="楷体" w:hAnsi="楷体" w:eastAsia="楷体" w:cs="楷体"/>
                <w:color w:val="000000"/>
                <w:szCs w:val="21"/>
              </w:rPr>
              <w:t>、</w:t>
            </w:r>
            <w:r>
              <w:rPr>
                <w:rFonts w:ascii="楷体" w:hAnsi="楷体" w:eastAsia="楷体" w:cs="楷体"/>
                <w:color w:val="000000"/>
                <w:szCs w:val="21"/>
              </w:rPr>
              <w:t>提供三年</w:t>
            </w:r>
            <w:r>
              <w:rPr>
                <w:rFonts w:hint="eastAsia" w:ascii="楷体" w:hAnsi="楷体" w:eastAsia="楷体" w:cs="楷体"/>
                <w:color w:val="000000"/>
                <w:szCs w:val="21"/>
              </w:rPr>
              <w:t>7*24小时</w:t>
            </w:r>
            <w:r>
              <w:rPr>
                <w:rFonts w:ascii="楷体" w:hAnsi="楷体" w:eastAsia="楷体" w:cs="楷体"/>
                <w:color w:val="000000"/>
                <w:szCs w:val="21"/>
              </w:rPr>
              <w:t>原厂维保；原厂上门安装</w:t>
            </w:r>
            <w:r>
              <w:rPr>
                <w:rFonts w:hint="eastAsia" w:ascii="楷体" w:hAnsi="楷体" w:eastAsia="楷体" w:cs="楷体"/>
                <w:color w:val="000000"/>
                <w:szCs w:val="21"/>
              </w:rPr>
              <w:t>服务</w:t>
            </w:r>
            <w:r>
              <w:rPr>
                <w:rFonts w:ascii="楷体" w:hAnsi="楷体" w:eastAsia="楷体" w:cs="楷体"/>
                <w:color w:val="000000"/>
                <w:szCs w:val="21"/>
              </w:rPr>
              <w:t>；</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12.</w:t>
            </w:r>
            <w:r>
              <w:rPr>
                <w:rFonts w:ascii="楷体" w:hAnsi="楷体" w:eastAsia="楷体" w:cs="楷体"/>
                <w:color w:val="000000"/>
                <w:kern w:val="0"/>
                <w:szCs w:val="21"/>
                <w:lang w:bidi="ar"/>
              </w:rPr>
              <w:t>5</w:t>
            </w:r>
          </w:p>
        </w:tc>
        <w:tc>
          <w:tcPr>
            <w:tcW w:w="7221" w:type="dxa"/>
            <w:vAlign w:val="center"/>
          </w:tcPr>
          <w:p>
            <w:pPr>
              <w:widowControl/>
              <w:rPr>
                <w:rFonts w:ascii="楷体" w:hAnsi="楷体" w:eastAsia="楷体" w:cs="楷体"/>
                <w:b/>
                <w:bCs/>
                <w:color w:val="000000"/>
                <w:szCs w:val="21"/>
              </w:rPr>
            </w:pPr>
            <w:r>
              <w:rPr>
                <w:rFonts w:hint="eastAsia" w:ascii="楷体" w:hAnsi="楷体" w:eastAsia="楷体" w:cs="楷体"/>
                <w:b/>
                <w:bCs/>
                <w:color w:val="000000"/>
                <w:szCs w:val="21"/>
              </w:rPr>
              <w:t>千兆交换机</w:t>
            </w:r>
          </w:p>
          <w:p>
            <w:pPr>
              <w:widowControl/>
              <w:rPr>
                <w:rFonts w:ascii="楷体" w:hAnsi="楷体" w:eastAsia="楷体" w:cs="楷体"/>
                <w:color w:val="000000"/>
                <w:szCs w:val="21"/>
              </w:rPr>
            </w:pPr>
            <w:r>
              <w:rPr>
                <w:rFonts w:hint="eastAsia" w:ascii="楷体" w:hAnsi="楷体" w:eastAsia="楷体" w:cs="楷体"/>
                <w:color w:val="000000"/>
                <w:szCs w:val="21"/>
              </w:rPr>
              <w:t>1、接口：固化</w:t>
            </w:r>
            <w:r>
              <w:rPr>
                <w:rFonts w:ascii="楷体" w:hAnsi="楷体" w:eastAsia="楷体" w:cs="楷体"/>
                <w:color w:val="000000"/>
                <w:szCs w:val="21"/>
              </w:rPr>
              <w:t>10/100/1000M以太网端口≥24，固化10G/1G SFP+光接口≥4个；</w:t>
            </w:r>
          </w:p>
          <w:p>
            <w:pPr>
              <w:widowControl/>
              <w:rPr>
                <w:rFonts w:ascii="楷体" w:hAnsi="楷体" w:eastAsia="楷体" w:cs="楷体"/>
                <w:color w:val="000000"/>
                <w:szCs w:val="21"/>
              </w:rPr>
            </w:pPr>
            <w:r>
              <w:rPr>
                <w:rFonts w:hint="eastAsia" w:ascii="楷体" w:hAnsi="楷体" w:eastAsia="楷体" w:cs="楷体"/>
                <w:color w:val="000000"/>
                <w:szCs w:val="21"/>
              </w:rPr>
              <w:t>2、交换容量≥</w:t>
            </w:r>
            <w:r>
              <w:rPr>
                <w:rFonts w:ascii="楷体" w:hAnsi="楷体" w:eastAsia="楷体" w:cs="楷体"/>
                <w:color w:val="000000"/>
                <w:szCs w:val="21"/>
              </w:rPr>
              <w:t>330G,包转发率≥108Mpps</w:t>
            </w:r>
          </w:p>
          <w:p>
            <w:pPr>
              <w:widowControl/>
              <w:rPr>
                <w:rFonts w:ascii="楷体" w:hAnsi="楷体" w:eastAsia="楷体" w:cs="楷体"/>
                <w:color w:val="000000"/>
                <w:szCs w:val="21"/>
              </w:rPr>
            </w:pPr>
            <w:r>
              <w:rPr>
                <w:rFonts w:hint="eastAsia" w:ascii="楷体" w:hAnsi="楷体" w:eastAsia="楷体" w:cs="楷体"/>
                <w:color w:val="000000"/>
                <w:szCs w:val="21"/>
              </w:rPr>
              <w:t>3、▲为保证设备在受到外界机械碰撞时能够正常运行，要求所投交换机</w:t>
            </w:r>
            <w:r>
              <w:rPr>
                <w:rFonts w:ascii="楷体" w:hAnsi="楷体" w:eastAsia="楷体" w:cs="楷体"/>
                <w:color w:val="000000"/>
                <w:szCs w:val="21"/>
              </w:rPr>
              <w:t>IK防护测试级别至少达到IK05</w:t>
            </w:r>
            <w:r>
              <w:rPr>
                <w:rFonts w:hint="eastAsia" w:ascii="楷体" w:hAnsi="楷体" w:eastAsia="楷体" w:cs="楷体"/>
                <w:color w:val="000000"/>
                <w:szCs w:val="21"/>
              </w:rPr>
              <w:t>。</w:t>
            </w:r>
          </w:p>
          <w:p>
            <w:pPr>
              <w:widowControl/>
              <w:rPr>
                <w:rFonts w:ascii="楷体" w:hAnsi="楷体" w:eastAsia="楷体" w:cs="楷体"/>
                <w:color w:val="000000"/>
                <w:szCs w:val="21"/>
              </w:rPr>
            </w:pPr>
            <w:r>
              <w:rPr>
                <w:rFonts w:hint="eastAsia" w:ascii="楷体" w:hAnsi="楷体" w:eastAsia="楷体" w:cs="楷体"/>
                <w:color w:val="000000"/>
                <w:szCs w:val="21"/>
              </w:rPr>
              <w:t>4、支持生成树协议</w:t>
            </w:r>
            <w:r>
              <w:rPr>
                <w:rFonts w:ascii="楷体" w:hAnsi="楷体" w:eastAsia="楷体" w:cs="楷体"/>
                <w:color w:val="000000"/>
                <w:szCs w:val="21"/>
              </w:rPr>
              <w:t>STP(IEEE 802.1d)，RSTP(IEEE 802.1w)和MSTP(IEEE 802.1s)，完全保证快速收敛，提高容错能力，保证网络的稳定运行和链路的负载均衡，合理使用网络通道，提供冗余链路利用率。</w:t>
            </w:r>
          </w:p>
          <w:p>
            <w:pPr>
              <w:widowControl/>
              <w:rPr>
                <w:rFonts w:ascii="楷体" w:hAnsi="楷体" w:eastAsia="楷体" w:cs="楷体"/>
                <w:color w:val="000000"/>
                <w:szCs w:val="21"/>
              </w:rPr>
            </w:pPr>
            <w:r>
              <w:rPr>
                <w:rFonts w:ascii="楷体" w:hAnsi="楷体" w:eastAsia="楷体" w:cs="楷体"/>
                <w:color w:val="000000"/>
                <w:szCs w:val="21"/>
              </w:rPr>
              <w:t>5</w:t>
            </w:r>
            <w:r>
              <w:rPr>
                <w:rFonts w:hint="eastAsia" w:ascii="楷体" w:hAnsi="楷体" w:eastAsia="楷体" w:cs="楷体"/>
                <w:color w:val="000000"/>
                <w:szCs w:val="21"/>
              </w:rPr>
              <w:t>、支持</w:t>
            </w:r>
            <w:r>
              <w:rPr>
                <w:rFonts w:ascii="楷体" w:hAnsi="楷体" w:eastAsia="楷体" w:cs="楷体"/>
                <w:color w:val="000000"/>
                <w:szCs w:val="21"/>
              </w:rPr>
              <w:t>IPV4/IPV6静态路由，RIP、RIPng</w:t>
            </w:r>
          </w:p>
          <w:p>
            <w:pPr>
              <w:widowControl/>
              <w:rPr>
                <w:rFonts w:ascii="楷体" w:hAnsi="楷体" w:eastAsia="楷体" w:cs="楷体"/>
                <w:color w:val="000000"/>
                <w:szCs w:val="21"/>
              </w:rPr>
            </w:pPr>
            <w:r>
              <w:rPr>
                <w:rFonts w:hint="eastAsia" w:ascii="楷体" w:hAnsi="楷体" w:eastAsia="楷体" w:cs="楷体"/>
                <w:color w:val="000000"/>
                <w:szCs w:val="21"/>
              </w:rPr>
              <w:t>6、支持特有的</w:t>
            </w:r>
            <w:r>
              <w:rPr>
                <w:rFonts w:ascii="楷体" w:hAnsi="楷体" w:eastAsia="楷体" w:cs="楷体"/>
                <w:color w:val="000000"/>
                <w:szCs w:val="21"/>
              </w:rPr>
              <w:t>CPU保护策略，对发往CPU的数据流，进行流区分和优先级队列分级处理，并根据需要实施带宽限速，充分保护CPU不被非法流量占用、恶意攻击和资源消耗</w:t>
            </w:r>
          </w:p>
          <w:p>
            <w:pPr>
              <w:widowControl/>
              <w:rPr>
                <w:rFonts w:ascii="楷体" w:hAnsi="楷体" w:eastAsia="楷体" w:cs="楷体"/>
                <w:color w:val="000000"/>
                <w:szCs w:val="21"/>
              </w:rPr>
            </w:pPr>
            <w:r>
              <w:rPr>
                <w:rFonts w:ascii="楷体" w:hAnsi="楷体" w:eastAsia="楷体" w:cs="楷体"/>
                <w:color w:val="000000"/>
                <w:szCs w:val="21"/>
              </w:rPr>
              <w:t>7</w:t>
            </w:r>
            <w:r>
              <w:rPr>
                <w:rFonts w:hint="eastAsia" w:ascii="楷体" w:hAnsi="楷体" w:eastAsia="楷体" w:cs="楷体"/>
                <w:color w:val="000000"/>
                <w:szCs w:val="21"/>
              </w:rPr>
              <w:t>、支持快速链路检测协议</w:t>
            </w:r>
            <w:r>
              <w:rPr>
                <w:rFonts w:ascii="楷体" w:hAnsi="楷体" w:eastAsia="楷体" w:cs="楷体"/>
                <w:color w:val="000000"/>
                <w:szCs w:val="21"/>
              </w:rPr>
              <w:t>RLDP，可快速检测链路的通断和光纤链路的单向性，并支持端口下的环路检测功能，防止端口下因私接Hub等设备形成的环路而导致网络故障的现象。</w:t>
            </w:r>
          </w:p>
          <w:p>
            <w:pPr>
              <w:widowControl/>
              <w:rPr>
                <w:rFonts w:ascii="楷体" w:hAnsi="楷体" w:eastAsia="楷体" w:cs="楷体"/>
                <w:color w:val="000000"/>
                <w:szCs w:val="21"/>
              </w:rPr>
            </w:pPr>
            <w:r>
              <w:rPr>
                <w:rFonts w:ascii="楷体" w:hAnsi="楷体" w:eastAsia="楷体" w:cs="楷体"/>
                <w:color w:val="000000"/>
                <w:szCs w:val="21"/>
              </w:rPr>
              <w:t>8</w:t>
            </w:r>
            <w:r>
              <w:rPr>
                <w:rFonts w:hint="eastAsia" w:ascii="楷体" w:hAnsi="楷体" w:eastAsia="楷体" w:cs="楷体"/>
                <w:color w:val="000000"/>
                <w:szCs w:val="21"/>
              </w:rPr>
              <w:t>、设备自带云管理功能，即插即用，可随时查看网络健康度，告警及时推送，有日记事件供回溯</w:t>
            </w:r>
          </w:p>
          <w:p>
            <w:pPr>
              <w:widowControl/>
              <w:rPr>
                <w:rFonts w:ascii="楷体" w:hAnsi="楷体" w:eastAsia="楷体" w:cs="楷体"/>
                <w:color w:val="000000"/>
                <w:szCs w:val="21"/>
              </w:rPr>
            </w:pPr>
            <w:r>
              <w:rPr>
                <w:rFonts w:ascii="楷体" w:hAnsi="楷体" w:eastAsia="楷体" w:cs="楷体"/>
                <w:color w:val="000000"/>
                <w:szCs w:val="21"/>
              </w:rPr>
              <w:t>9</w:t>
            </w:r>
            <w:r>
              <w:rPr>
                <w:rFonts w:hint="eastAsia" w:ascii="楷体" w:hAnsi="楷体" w:eastAsia="楷体" w:cs="楷体"/>
                <w:color w:val="000000"/>
                <w:szCs w:val="21"/>
              </w:rPr>
              <w:t>、提供工信部设备进网许可证，</w:t>
            </w:r>
            <w:r>
              <w:rPr>
                <w:rFonts w:ascii="楷体" w:hAnsi="楷体" w:eastAsia="楷体" w:cs="楷体"/>
                <w:color w:val="000000"/>
                <w:szCs w:val="21"/>
              </w:rPr>
              <w:t>要求所投设备遵守国家标准的设计规则，并提供中国质量认证中心出具的《中国国家强制性产品认证证书》</w:t>
            </w:r>
          </w:p>
          <w:p>
            <w:pPr>
              <w:widowControl/>
              <w:rPr>
                <w:rFonts w:ascii="楷体" w:hAnsi="楷体" w:eastAsia="楷体" w:cs="楷体"/>
                <w:color w:val="000000"/>
                <w:szCs w:val="21"/>
              </w:rPr>
            </w:pPr>
            <w:r>
              <w:rPr>
                <w:rFonts w:hint="eastAsia" w:ascii="楷体" w:hAnsi="楷体" w:eastAsia="楷体" w:cs="楷体"/>
                <w:color w:val="000000"/>
                <w:szCs w:val="21"/>
              </w:rPr>
              <w:t>1</w:t>
            </w:r>
            <w:r>
              <w:rPr>
                <w:rFonts w:ascii="楷体" w:hAnsi="楷体" w:eastAsia="楷体" w:cs="楷体"/>
                <w:color w:val="000000"/>
                <w:szCs w:val="21"/>
              </w:rPr>
              <w:t>0</w:t>
            </w:r>
            <w:r>
              <w:rPr>
                <w:rFonts w:hint="eastAsia" w:ascii="楷体" w:hAnsi="楷体" w:eastAsia="楷体" w:cs="楷体"/>
                <w:color w:val="000000"/>
                <w:szCs w:val="21"/>
              </w:rPr>
              <w:t>、三年服务</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12.</w:t>
            </w:r>
            <w:r>
              <w:rPr>
                <w:rFonts w:ascii="楷体" w:hAnsi="楷体" w:eastAsia="楷体" w:cs="楷体"/>
                <w:color w:val="000000"/>
                <w:kern w:val="0"/>
                <w:szCs w:val="21"/>
                <w:lang w:bidi="ar"/>
              </w:rPr>
              <w:t>6</w:t>
            </w:r>
          </w:p>
        </w:tc>
        <w:tc>
          <w:tcPr>
            <w:tcW w:w="7221" w:type="dxa"/>
            <w:vAlign w:val="center"/>
          </w:tcPr>
          <w:p>
            <w:pPr>
              <w:widowControl/>
              <w:rPr>
                <w:rFonts w:ascii="楷体" w:hAnsi="楷体" w:eastAsia="楷体" w:cs="楷体"/>
                <w:b/>
                <w:bCs/>
                <w:kern w:val="0"/>
                <w:sz w:val="22"/>
                <w:szCs w:val="22"/>
              </w:rPr>
            </w:pPr>
            <w:r>
              <w:rPr>
                <w:rFonts w:hint="eastAsia" w:ascii="楷体" w:hAnsi="楷体" w:eastAsia="楷体" w:cs="楷体"/>
                <w:b/>
                <w:bCs/>
                <w:kern w:val="0"/>
                <w:sz w:val="22"/>
                <w:szCs w:val="22"/>
              </w:rPr>
              <w:t>叫号大屏电视机</w:t>
            </w:r>
          </w:p>
          <w:p>
            <w:pPr>
              <w:widowControl/>
            </w:pPr>
            <w:r>
              <w:rPr>
                <w:rFonts w:hint="eastAsia" w:ascii="楷体" w:hAnsi="楷体" w:eastAsia="楷体" w:cs="楷体"/>
                <w:color w:val="000000"/>
                <w:szCs w:val="21"/>
              </w:rPr>
              <w:t>≥55尺寸及以上液晶电视，支持安卓操作系统4.4及以上，支持第三方应用APK安装</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12.</w:t>
            </w:r>
            <w:r>
              <w:rPr>
                <w:rFonts w:ascii="楷体" w:hAnsi="楷体" w:eastAsia="楷体" w:cs="楷体"/>
                <w:color w:val="000000"/>
                <w:kern w:val="0"/>
                <w:szCs w:val="21"/>
                <w:lang w:bidi="ar"/>
              </w:rPr>
              <w:t>7</w:t>
            </w:r>
          </w:p>
        </w:tc>
        <w:tc>
          <w:tcPr>
            <w:tcW w:w="7221" w:type="dxa"/>
            <w:vAlign w:val="center"/>
          </w:tcPr>
          <w:p>
            <w:pPr>
              <w:widowControl/>
              <w:rPr>
                <w:rFonts w:ascii="楷体" w:hAnsi="楷体" w:eastAsia="楷体" w:cs="楷体"/>
                <w:b/>
                <w:bCs/>
                <w:kern w:val="0"/>
                <w:sz w:val="22"/>
                <w:szCs w:val="22"/>
              </w:rPr>
            </w:pPr>
            <w:r>
              <w:rPr>
                <w:rFonts w:hint="eastAsia" w:ascii="楷体" w:hAnsi="楷体" w:eastAsia="楷体" w:cs="楷体"/>
                <w:b/>
                <w:bCs/>
                <w:kern w:val="0"/>
                <w:sz w:val="22"/>
                <w:szCs w:val="22"/>
              </w:rPr>
              <w:t>手写板</w:t>
            </w:r>
          </w:p>
          <w:p>
            <w:pPr>
              <w:spacing w:line="360" w:lineRule="auto"/>
            </w:pPr>
            <w:r>
              <w:rPr>
                <w:rFonts w:hint="eastAsia" w:ascii="楷体" w:hAnsi="楷体" w:eastAsia="楷体" w:cs="楷体"/>
                <w:color w:val="000000"/>
                <w:szCs w:val="21"/>
              </w:rPr>
              <w:t>支持USB接口，电磁式手写签名显示板</w:t>
            </w:r>
          </w:p>
        </w:tc>
        <w:tc>
          <w:tcPr>
            <w:tcW w:w="905" w:type="dxa"/>
            <w:vAlign w:val="center"/>
          </w:tcPr>
          <w:p>
            <w:pPr>
              <w:widowControl/>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7" w:type="dxa"/>
            <w:vAlign w:val="center"/>
          </w:tcPr>
          <w:p>
            <w:pPr>
              <w:widowControl/>
              <w:jc w:val="center"/>
              <w:textAlignment w:val="center"/>
              <w:rPr>
                <w:rFonts w:ascii="楷体" w:hAnsi="楷体" w:eastAsia="楷体" w:cs="楷体"/>
                <w:color w:val="000000"/>
                <w:kern w:val="0"/>
                <w:szCs w:val="21"/>
                <w:lang w:bidi="ar"/>
              </w:rPr>
            </w:pPr>
            <w:r>
              <w:rPr>
                <w:rFonts w:hint="eastAsia" w:ascii="楷体" w:hAnsi="楷体" w:eastAsia="楷体" w:cs="楷体"/>
                <w:color w:val="000000"/>
                <w:kern w:val="0"/>
                <w:szCs w:val="21"/>
                <w:lang w:bidi="ar"/>
              </w:rPr>
              <w:t>12.</w:t>
            </w:r>
            <w:r>
              <w:rPr>
                <w:rFonts w:ascii="楷体" w:hAnsi="楷体" w:eastAsia="楷体" w:cs="楷体"/>
                <w:color w:val="000000"/>
                <w:kern w:val="0"/>
                <w:szCs w:val="21"/>
                <w:lang w:bidi="ar"/>
              </w:rPr>
              <w:t>8</w:t>
            </w:r>
          </w:p>
        </w:tc>
        <w:tc>
          <w:tcPr>
            <w:tcW w:w="7221" w:type="dxa"/>
            <w:vAlign w:val="center"/>
          </w:tcPr>
          <w:p>
            <w:pPr>
              <w:widowControl/>
              <w:rPr>
                <w:rFonts w:ascii="楷体" w:hAnsi="楷体" w:eastAsia="楷体" w:cs="楷体"/>
                <w:b/>
                <w:bCs/>
                <w:kern w:val="0"/>
                <w:sz w:val="22"/>
                <w:szCs w:val="22"/>
              </w:rPr>
            </w:pPr>
            <w:r>
              <w:rPr>
                <w:rFonts w:hint="eastAsia" w:ascii="楷体" w:hAnsi="楷体" w:eastAsia="楷体" w:cs="楷体"/>
                <w:b/>
                <w:bCs/>
                <w:kern w:val="0"/>
                <w:sz w:val="22"/>
                <w:szCs w:val="22"/>
              </w:rPr>
              <w:t>电脑</w:t>
            </w:r>
          </w:p>
          <w:p>
            <w:pPr>
              <w:widowControl/>
            </w:pPr>
            <w:r>
              <w:rPr>
                <w:rFonts w:hint="eastAsia" w:ascii="楷体" w:hAnsi="楷体" w:eastAsia="楷体" w:cs="楷体"/>
                <w:color w:val="000000"/>
                <w:szCs w:val="21"/>
              </w:rPr>
              <w:t>CPU：≥i5、内存：≥8G、硬盘：≥500G固态硬盘、鼠标键盘、显示器：≥23英寸，网卡：RJ45</w:t>
            </w:r>
          </w:p>
        </w:tc>
        <w:tc>
          <w:tcPr>
            <w:tcW w:w="905" w:type="dxa"/>
            <w:vAlign w:val="center"/>
          </w:tcPr>
          <w:p>
            <w:pPr>
              <w:widowControl/>
              <w:jc w:val="left"/>
              <w:rPr>
                <w:rFonts w:ascii="楷体" w:hAnsi="楷体" w:eastAsia="楷体" w:cs="楷体"/>
              </w:rPr>
            </w:pPr>
          </w:p>
        </w:tc>
      </w:tr>
    </w:tbl>
    <w:p>
      <w:pPr>
        <w:rPr>
          <w:lang w:val="zh-CN"/>
        </w:rPr>
      </w:pPr>
    </w:p>
    <w:bookmarkEnd w:id="333"/>
    <w:bookmarkEnd w:id="334"/>
    <w:bookmarkEnd w:id="335"/>
    <w:bookmarkEnd w:id="336"/>
    <w:bookmarkEnd w:id="337"/>
    <w:bookmarkEnd w:id="338"/>
    <w:bookmarkEnd w:id="339"/>
    <w:bookmarkEnd w:id="340"/>
    <w:p>
      <w:pPr>
        <w:pageBreakBefore/>
        <w:numPr>
          <w:ilvl w:val="0"/>
          <w:numId w:val="3"/>
        </w:numPr>
        <w:adjustRightInd w:val="0"/>
        <w:snapToGrid w:val="0"/>
        <w:spacing w:line="360" w:lineRule="auto"/>
        <w:jc w:val="center"/>
        <w:outlineLvl w:val="0"/>
        <w:rPr>
          <w:rFonts w:ascii="仿宋" w:hAnsi="仿宋" w:eastAsia="仿宋" w:cs="仿宋"/>
          <w:b/>
          <w:sz w:val="32"/>
          <w:szCs w:val="32"/>
          <w:lang w:val="zh-CN"/>
        </w:rPr>
      </w:pPr>
      <w:bookmarkStart w:id="342" w:name="_Toc6869"/>
      <w:bookmarkStart w:id="343" w:name="_Toc30412"/>
      <w:bookmarkStart w:id="344" w:name="_Toc20745"/>
      <w:bookmarkStart w:id="345" w:name="_Toc25524"/>
      <w:bookmarkStart w:id="346" w:name="_Toc15680"/>
      <w:bookmarkStart w:id="347" w:name="_Toc475451547"/>
      <w:bookmarkStart w:id="348" w:name="_Toc23736"/>
      <w:bookmarkStart w:id="349" w:name="_Toc8548"/>
      <w:bookmarkStart w:id="350" w:name="_Toc14093"/>
      <w:r>
        <w:rPr>
          <w:rFonts w:hint="eastAsia" w:ascii="仿宋" w:hAnsi="仿宋" w:eastAsia="仿宋" w:cs="仿宋"/>
          <w:b/>
          <w:sz w:val="32"/>
          <w:szCs w:val="32"/>
        </w:rPr>
        <w:t xml:space="preserve"> </w:t>
      </w:r>
      <w:r>
        <w:rPr>
          <w:rFonts w:hint="eastAsia" w:ascii="仿宋" w:hAnsi="仿宋" w:eastAsia="仿宋" w:cs="仿宋"/>
          <w:b/>
          <w:sz w:val="32"/>
          <w:szCs w:val="32"/>
          <w:lang w:val="zh-CN"/>
        </w:rPr>
        <w:t xml:space="preserve"> </w:t>
      </w:r>
      <w:bookmarkStart w:id="351" w:name="_Toc5583"/>
      <w:bookmarkStart w:id="352" w:name="_Toc14859"/>
      <w:r>
        <w:rPr>
          <w:rFonts w:hint="eastAsia" w:ascii="仿宋" w:hAnsi="仿宋" w:eastAsia="仿宋" w:cs="仿宋"/>
          <w:b/>
          <w:sz w:val="32"/>
          <w:szCs w:val="32"/>
          <w:lang w:val="zh-CN"/>
        </w:rPr>
        <w:t>合同条款及格式</w:t>
      </w:r>
      <w:bookmarkEnd w:id="351"/>
      <w:bookmarkEnd w:id="352"/>
    </w:p>
    <w:p>
      <w:pPr>
        <w:tabs>
          <w:tab w:val="left" w:pos="5670"/>
        </w:tabs>
        <w:autoSpaceDE w:val="0"/>
        <w:autoSpaceDN w:val="0"/>
        <w:adjustRightInd w:val="0"/>
        <w:snapToGrid w:val="0"/>
        <w:spacing w:line="360" w:lineRule="auto"/>
        <w:jc w:val="center"/>
        <w:rPr>
          <w:rFonts w:ascii="仿宋" w:hAnsi="仿宋" w:eastAsia="仿宋" w:cs="仿宋"/>
          <w:b/>
          <w:bCs/>
          <w:sz w:val="44"/>
          <w:szCs w:val="44"/>
        </w:rPr>
      </w:pPr>
    </w:p>
    <w:p>
      <w:pPr>
        <w:tabs>
          <w:tab w:val="left" w:pos="5670"/>
        </w:tabs>
        <w:autoSpaceDE w:val="0"/>
        <w:autoSpaceDN w:val="0"/>
        <w:adjustRightInd w:val="0"/>
        <w:snapToGrid w:val="0"/>
        <w:spacing w:line="360" w:lineRule="auto"/>
        <w:jc w:val="center"/>
        <w:rPr>
          <w:rFonts w:ascii="仿宋" w:hAnsi="仿宋" w:eastAsia="仿宋" w:cs="仿宋"/>
          <w:b/>
          <w:bCs/>
          <w:sz w:val="44"/>
          <w:szCs w:val="44"/>
        </w:rPr>
      </w:pPr>
    </w:p>
    <w:p>
      <w:pPr>
        <w:tabs>
          <w:tab w:val="left" w:pos="5670"/>
        </w:tabs>
        <w:autoSpaceDE w:val="0"/>
        <w:autoSpaceDN w:val="0"/>
        <w:adjustRightInd w:val="0"/>
        <w:snapToGrid w:val="0"/>
        <w:spacing w:line="360" w:lineRule="auto"/>
        <w:jc w:val="center"/>
        <w:rPr>
          <w:rFonts w:ascii="宋体" w:hAnsi="宋体" w:cs="宋体"/>
          <w:b/>
          <w:bCs/>
          <w:sz w:val="44"/>
          <w:szCs w:val="44"/>
        </w:rPr>
      </w:pPr>
      <w:r>
        <w:rPr>
          <w:rFonts w:hint="eastAsia" w:ascii="宋体" w:hAnsi="宋体" w:cs="宋体"/>
          <w:b/>
          <w:bCs/>
          <w:sz w:val="44"/>
          <w:szCs w:val="44"/>
        </w:rPr>
        <w:t>镇巴县人民医院PACS及肺小结节智能诊断系统采购项目</w:t>
      </w:r>
    </w:p>
    <w:p>
      <w:pPr>
        <w:tabs>
          <w:tab w:val="left" w:pos="5670"/>
        </w:tabs>
        <w:autoSpaceDE w:val="0"/>
        <w:autoSpaceDN w:val="0"/>
        <w:adjustRightInd w:val="0"/>
        <w:snapToGrid w:val="0"/>
        <w:spacing w:line="360" w:lineRule="auto"/>
        <w:jc w:val="center"/>
        <w:rPr>
          <w:rFonts w:ascii="宋体" w:hAnsi="宋体" w:cs="宋体"/>
          <w:b/>
          <w:bCs/>
          <w:sz w:val="44"/>
          <w:szCs w:val="44"/>
        </w:rPr>
      </w:pPr>
      <w:r>
        <w:rPr>
          <w:rFonts w:hint="eastAsia" w:ascii="宋体" w:hAnsi="宋体" w:cs="宋体"/>
          <w:b/>
          <w:bCs/>
          <w:sz w:val="44"/>
          <w:szCs w:val="44"/>
        </w:rPr>
        <w:t>第</w:t>
      </w:r>
      <w:r>
        <w:rPr>
          <w:rFonts w:hint="eastAsia" w:ascii="宋体" w:hAnsi="宋体" w:cs="宋体"/>
          <w:b/>
          <w:bCs/>
          <w:sz w:val="44"/>
          <w:szCs w:val="44"/>
          <w:u w:val="single"/>
        </w:rPr>
        <w:t xml:space="preserve">   </w:t>
      </w:r>
      <w:r>
        <w:rPr>
          <w:rFonts w:hint="eastAsia" w:ascii="宋体" w:hAnsi="宋体" w:cs="宋体"/>
          <w:b/>
          <w:bCs/>
          <w:sz w:val="44"/>
          <w:szCs w:val="44"/>
        </w:rPr>
        <w:t xml:space="preserve">包 </w:t>
      </w:r>
    </w:p>
    <w:p>
      <w:pPr>
        <w:pStyle w:val="2"/>
        <w:jc w:val="center"/>
        <w:rPr>
          <w:rFonts w:ascii="宋体" w:hAnsi="宋体" w:cs="宋体"/>
          <w:b/>
          <w:bCs/>
          <w:sz w:val="44"/>
          <w:szCs w:val="44"/>
        </w:rPr>
      </w:pPr>
    </w:p>
    <w:p>
      <w:pPr>
        <w:spacing w:line="800" w:lineRule="exact"/>
        <w:rPr>
          <w:rFonts w:ascii="宋体" w:hAnsi="宋体" w:cs="宋体"/>
          <w:b/>
          <w:sz w:val="36"/>
          <w:szCs w:val="36"/>
        </w:rPr>
      </w:pPr>
    </w:p>
    <w:p>
      <w:pPr>
        <w:spacing w:line="800" w:lineRule="exact"/>
        <w:jc w:val="center"/>
        <w:rPr>
          <w:rFonts w:ascii="宋体" w:hAnsi="宋体" w:cs="宋体"/>
          <w:b/>
          <w:sz w:val="36"/>
          <w:szCs w:val="36"/>
        </w:rPr>
      </w:pPr>
      <w:r>
        <w:rPr>
          <w:rFonts w:hint="eastAsia" w:ascii="宋体" w:hAnsi="宋体" w:cs="宋体"/>
          <w:b/>
          <w:sz w:val="36"/>
          <w:szCs w:val="36"/>
        </w:rPr>
        <w:t>服 务 合 同</w:t>
      </w:r>
    </w:p>
    <w:p>
      <w:pPr>
        <w:spacing w:line="440" w:lineRule="exact"/>
        <w:ind w:firstLine="480" w:firstLineChars="200"/>
        <w:rPr>
          <w:rFonts w:ascii="宋体" w:hAnsi="宋体" w:cs="宋体"/>
          <w:sz w:val="24"/>
        </w:rPr>
      </w:pPr>
    </w:p>
    <w:p>
      <w:pPr>
        <w:pStyle w:val="2"/>
        <w:rPr>
          <w:rFonts w:ascii="宋体" w:hAnsi="宋体" w:cs="宋体"/>
        </w:rPr>
      </w:pPr>
    </w:p>
    <w:p>
      <w:pPr>
        <w:pStyle w:val="2"/>
        <w:rPr>
          <w:rFonts w:ascii="宋体" w:hAnsi="宋体" w:cs="宋体"/>
        </w:rPr>
      </w:pPr>
    </w:p>
    <w:p>
      <w:pPr>
        <w:pStyle w:val="2"/>
        <w:rPr>
          <w:rFonts w:ascii="宋体" w:hAnsi="宋体" w:cs="宋体"/>
        </w:rPr>
      </w:pPr>
    </w:p>
    <w:p>
      <w:pPr>
        <w:ind w:firstLine="2080" w:firstLineChars="650"/>
        <w:rPr>
          <w:rFonts w:ascii="宋体" w:hAnsi="宋体" w:cs="宋体"/>
          <w:sz w:val="32"/>
          <w:szCs w:val="32"/>
        </w:rPr>
      </w:pPr>
      <w:r>
        <w:rPr>
          <w:rFonts w:hint="eastAsia" w:ascii="宋体" w:hAnsi="宋体" w:cs="宋体"/>
          <w:sz w:val="32"/>
          <w:szCs w:val="32"/>
        </w:rPr>
        <w:t>甲  方：镇巴县人民医院</w:t>
      </w:r>
    </w:p>
    <w:p>
      <w:pPr>
        <w:tabs>
          <w:tab w:val="left" w:pos="480"/>
        </w:tabs>
        <w:ind w:firstLine="640" w:firstLineChars="200"/>
        <w:rPr>
          <w:rFonts w:ascii="宋体" w:hAnsi="宋体" w:cs="宋体"/>
          <w:sz w:val="32"/>
          <w:szCs w:val="32"/>
        </w:rPr>
      </w:pPr>
      <w:r>
        <w:rPr>
          <w:rFonts w:hint="eastAsia" w:ascii="宋体" w:hAnsi="宋体" w:cs="宋体"/>
          <w:sz w:val="32"/>
          <w:szCs w:val="32"/>
        </w:rPr>
        <w:t xml:space="preserve">         乙  方：xxxx</w:t>
      </w:r>
    </w:p>
    <w:p>
      <w:pPr>
        <w:rPr>
          <w:rFonts w:ascii="宋体" w:hAnsi="宋体" w:cs="宋体"/>
          <w:sz w:val="32"/>
          <w:szCs w:val="32"/>
        </w:rPr>
      </w:pPr>
      <w:r>
        <w:rPr>
          <w:rFonts w:hint="eastAsia" w:ascii="宋体" w:hAnsi="宋体" w:cs="宋体"/>
          <w:sz w:val="32"/>
          <w:szCs w:val="32"/>
        </w:rPr>
        <w:t xml:space="preserve">             鉴证方： </w:t>
      </w:r>
    </w:p>
    <w:p>
      <w:pPr>
        <w:jc w:val="center"/>
        <w:rPr>
          <w:rFonts w:ascii="宋体" w:hAnsi="宋体" w:cs="宋体"/>
          <w:sz w:val="30"/>
          <w:szCs w:val="30"/>
        </w:rPr>
      </w:pPr>
    </w:p>
    <w:p>
      <w:pPr>
        <w:jc w:val="center"/>
        <w:rPr>
          <w:rFonts w:ascii="宋体" w:hAnsi="宋体" w:cs="宋体"/>
          <w:sz w:val="32"/>
          <w:szCs w:val="32"/>
        </w:rPr>
      </w:pPr>
    </w:p>
    <w:p>
      <w:pPr>
        <w:jc w:val="center"/>
        <w:rPr>
          <w:rFonts w:ascii="宋体" w:hAnsi="宋体" w:cs="宋体"/>
          <w:sz w:val="32"/>
          <w:szCs w:val="32"/>
        </w:rPr>
      </w:pPr>
      <w:r>
        <w:rPr>
          <w:rFonts w:hint="eastAsia" w:ascii="宋体" w:hAnsi="宋体" w:cs="宋体"/>
          <w:sz w:val="32"/>
          <w:szCs w:val="32"/>
        </w:rPr>
        <w:t>2023年 月</w:t>
      </w:r>
    </w:p>
    <w:p>
      <w:pPr>
        <w:spacing w:line="360" w:lineRule="auto"/>
        <w:ind w:firstLine="480" w:firstLineChars="200"/>
        <w:rPr>
          <w:rFonts w:ascii="仿宋" w:hAnsi="仿宋" w:eastAsia="仿宋" w:cs="仿宋"/>
          <w:sz w:val="24"/>
        </w:rPr>
        <w:sectPr>
          <w:headerReference r:id="rId3" w:type="default"/>
          <w:footerReference r:id="rId4" w:type="default"/>
          <w:pgSz w:w="11906" w:h="16838"/>
          <w:pgMar w:top="1417" w:right="1417" w:bottom="1417" w:left="1417" w:header="851" w:footer="992" w:gutter="0"/>
          <w:cols w:space="0" w:num="1"/>
          <w:docGrid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供 货 合 同</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甲方（采购人）：</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 xml:space="preserve">乙方（成交供应商）： </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镇巴县人民医院PACS及肺小结节智能诊断系统采购项目(项目编号：DX2023-166）在由陕西笃信招标有限公司组织公开招标，</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(以下简称“甲方”)确定</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（以下简称“乙方”）为本项目第</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包的中标供应商。</w:t>
      </w:r>
    </w:p>
    <w:p>
      <w:pPr>
        <w:spacing w:line="360" w:lineRule="auto"/>
        <w:ind w:firstLine="480" w:firstLineChars="200"/>
        <w:jc w:val="left"/>
        <w:rPr>
          <w:rFonts w:eastAsia="仿宋"/>
          <w:bCs/>
        </w:rPr>
      </w:pPr>
      <w:r>
        <w:rPr>
          <w:rFonts w:hint="eastAsia" w:ascii="仿宋" w:hAnsi="仿宋" w:eastAsia="仿宋" w:cs="仿宋"/>
          <w:bCs/>
          <w:sz w:val="24"/>
          <w:szCs w:val="24"/>
        </w:rPr>
        <w:t>依据《中华人民共和国民法典》和《中华人民共和国政府采购法》及相关法律法规的规定，经双方协商，就甲方</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项目由乙方负责提供相关服务，按下述条款和条件签署本合同。</w:t>
      </w:r>
    </w:p>
    <w:p>
      <w:pPr>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第一条：项目内容</w:t>
      </w:r>
    </w:p>
    <w:p>
      <w:pPr>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（一）项目名称：</w:t>
      </w:r>
    </w:p>
    <w:p>
      <w:pPr>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（二）具体事项：</w:t>
      </w:r>
    </w:p>
    <w:p>
      <w:pPr>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第二条：服务期、地点</w:t>
      </w:r>
    </w:p>
    <w:p>
      <w:pPr>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1、服务期：</w:t>
      </w:r>
      <w:r>
        <w:rPr>
          <w:rFonts w:hint="eastAsia" w:ascii="仿宋" w:hAnsi="仿宋" w:eastAsia="仿宋" w:cs="仿宋"/>
          <w:sz w:val="24"/>
          <w:szCs w:val="24"/>
          <w:highlight w:val="none"/>
          <w:lang w:val="en-US" w:eastAsia="zh-CN"/>
        </w:rPr>
        <w:t>9</w:t>
      </w:r>
      <w:r>
        <w:rPr>
          <w:rFonts w:ascii="仿宋" w:hAnsi="仿宋" w:eastAsia="仿宋" w:cs="仿宋"/>
          <w:sz w:val="24"/>
          <w:szCs w:val="24"/>
          <w:highlight w:val="none"/>
        </w:rPr>
        <w:t>0天</w:t>
      </w:r>
    </w:p>
    <w:p>
      <w:pPr>
        <w:spacing w:line="360" w:lineRule="auto"/>
        <w:ind w:firstLine="480" w:firstLineChars="200"/>
        <w:jc w:val="left"/>
        <w:rPr>
          <w:rFonts w:ascii="仿宋" w:hAnsi="仿宋" w:eastAsia="仿宋" w:cs="仿宋"/>
          <w:b/>
          <w:sz w:val="24"/>
          <w:szCs w:val="24"/>
          <w:highlight w:val="none"/>
        </w:rPr>
      </w:pPr>
      <w:r>
        <w:rPr>
          <w:rFonts w:hint="eastAsia" w:ascii="仿宋" w:hAnsi="仿宋" w:eastAsia="仿宋" w:cs="仿宋"/>
          <w:bCs/>
          <w:sz w:val="24"/>
          <w:szCs w:val="24"/>
          <w:highlight w:val="none"/>
        </w:rPr>
        <w:t>2、服务地点：采购人指定要求。</w:t>
      </w:r>
    </w:p>
    <w:p>
      <w:pPr>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第三条：合同价款及付款安排</w:t>
      </w:r>
    </w:p>
    <w:p>
      <w:pPr>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1.付款方式甲乙双方协商。</w:t>
      </w:r>
    </w:p>
    <w:p>
      <w:pPr>
        <w:pStyle w:val="64"/>
        <w:tabs>
          <w:tab w:val="left" w:pos="945"/>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2、支付方式：甲方直接将货款通过银行转账的方式转入乙方指定的专用账号。乙方专用账户名为：</w:t>
      </w:r>
      <w:r>
        <w:rPr>
          <w:rFonts w:hint="eastAsia" w:ascii="仿宋" w:hAnsi="仿宋" w:eastAsia="仿宋" w:cs="仿宋"/>
          <w:sz w:val="24"/>
          <w:szCs w:val="24"/>
          <w:u w:val="single"/>
        </w:rPr>
        <w:t xml:space="preserve">                           </w:t>
      </w:r>
    </w:p>
    <w:p>
      <w:pPr>
        <w:pStyle w:val="64"/>
        <w:tabs>
          <w:tab w:val="left" w:pos="945"/>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账号为：</w:t>
      </w:r>
      <w:r>
        <w:rPr>
          <w:rFonts w:hint="eastAsia" w:ascii="仿宋" w:hAnsi="仿宋" w:eastAsia="仿宋" w:cs="仿宋"/>
          <w:sz w:val="24"/>
          <w:szCs w:val="24"/>
          <w:u w:val="single"/>
        </w:rPr>
        <w:t xml:space="preserve">                               </w:t>
      </w:r>
    </w:p>
    <w:p>
      <w:pPr>
        <w:pStyle w:val="64"/>
        <w:tabs>
          <w:tab w:val="left" w:pos="945"/>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开户行为：</w:t>
      </w:r>
      <w:r>
        <w:rPr>
          <w:rFonts w:hint="eastAsia" w:ascii="仿宋" w:hAnsi="仿宋" w:eastAsia="仿宋" w:cs="仿宋"/>
          <w:sz w:val="24"/>
          <w:szCs w:val="24"/>
          <w:u w:val="single"/>
        </w:rPr>
        <w:t xml:space="preserve">                              </w:t>
      </w:r>
    </w:p>
    <w:p>
      <w:pPr>
        <w:spacing w:line="360" w:lineRule="auto"/>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3、甲方付款之前，乙方应提供等额的增值税发票。乙方逾期提供发票导致甲方逾期付款的，不视为甲方违约。</w:t>
      </w:r>
    </w:p>
    <w:p>
      <w:pPr>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第四条：双方的权利和义务</w:t>
      </w:r>
    </w:p>
    <w:p>
      <w:pPr>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（一）甲方的权利和义务</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rPr>
        <w:t>1、甲方有权享有乙方按照约定提供的服务。</w:t>
      </w:r>
    </w:p>
    <w:p>
      <w:pPr>
        <w:pStyle w:val="65"/>
        <w:spacing w:line="360" w:lineRule="auto"/>
        <w:ind w:firstLine="480" w:firstLineChars="200"/>
        <w:rPr>
          <w:rFonts w:ascii="仿宋" w:hAnsi="仿宋" w:eastAsia="仿宋" w:cs="仿宋"/>
          <w:kern w:val="2"/>
          <w:sz w:val="24"/>
        </w:rPr>
      </w:pPr>
      <w:r>
        <w:rPr>
          <w:rFonts w:hint="eastAsia" w:ascii="仿宋" w:hAnsi="仿宋" w:eastAsia="仿宋" w:cs="仿宋"/>
          <w:kern w:val="2"/>
          <w:sz w:val="24"/>
        </w:rPr>
        <w:t>2、甲方有权要求乙方按合同约定时间交付产品。</w:t>
      </w:r>
    </w:p>
    <w:p>
      <w:pPr>
        <w:pStyle w:val="65"/>
        <w:spacing w:line="360" w:lineRule="auto"/>
        <w:ind w:firstLine="480" w:firstLineChars="200"/>
        <w:rPr>
          <w:rFonts w:ascii="仿宋" w:hAnsi="仿宋" w:eastAsia="仿宋" w:cs="仿宋"/>
          <w:kern w:val="2"/>
          <w:sz w:val="24"/>
        </w:rPr>
      </w:pPr>
      <w:r>
        <w:rPr>
          <w:rFonts w:hint="eastAsia" w:ascii="仿宋" w:hAnsi="仿宋" w:eastAsia="仿宋" w:cs="仿宋"/>
          <w:kern w:val="2"/>
          <w:sz w:val="24"/>
        </w:rPr>
        <w:t>3、甲方负责配合乙方提供进场实施所需要的本项目相关的软硬件环境、系统基础设施，积极配合乙方提出的配合请求，提供必须的工具软件，提供乙方提出的其他合理的工作、生活条件，及时按照合同约定方式对乙方提供的执行文档进行确认。</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4、甲方有责任配合乙方协调院内接口的研发工作和联调等工作。</w:t>
      </w:r>
    </w:p>
    <w:p>
      <w:pPr>
        <w:tabs>
          <w:tab w:val="left" w:pos="5250"/>
        </w:tabs>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5、保存所有的当前程序并完成数据的备份，约束其员工正确使用和应用产品。</w:t>
      </w:r>
    </w:p>
    <w:p>
      <w:pPr>
        <w:tabs>
          <w:tab w:val="left" w:pos="5250"/>
        </w:tabs>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6、负责提供培训场地，组织参加培训的人员按时出席。</w:t>
      </w:r>
    </w:p>
    <w:p>
      <w:pPr>
        <w:pStyle w:val="65"/>
        <w:spacing w:line="360" w:lineRule="auto"/>
        <w:ind w:firstLine="480" w:firstLineChars="200"/>
        <w:rPr>
          <w:rFonts w:ascii="仿宋" w:hAnsi="仿宋" w:eastAsia="仿宋" w:cs="仿宋"/>
          <w:bCs/>
          <w:sz w:val="24"/>
        </w:rPr>
      </w:pPr>
      <w:r>
        <w:rPr>
          <w:rFonts w:hint="eastAsia" w:ascii="仿宋" w:hAnsi="仿宋" w:eastAsia="仿宋" w:cs="仿宋"/>
          <w:kern w:val="2"/>
          <w:sz w:val="24"/>
        </w:rPr>
        <w:t>7、依据合同协助乙方完成验收等相关事宜并按照合同要求支付费用。</w:t>
      </w:r>
    </w:p>
    <w:p>
      <w:pPr>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（二） 乙方的权利和义务</w:t>
      </w:r>
    </w:p>
    <w:p>
      <w:pPr>
        <w:pStyle w:val="65"/>
        <w:spacing w:line="360" w:lineRule="auto"/>
        <w:ind w:firstLine="480" w:firstLineChars="200"/>
        <w:rPr>
          <w:rFonts w:ascii="仿宋" w:hAnsi="仿宋" w:eastAsia="仿宋" w:cs="仿宋"/>
          <w:kern w:val="2"/>
          <w:sz w:val="24"/>
        </w:rPr>
      </w:pPr>
      <w:r>
        <w:rPr>
          <w:rFonts w:hint="eastAsia" w:ascii="仿宋" w:hAnsi="仿宋" w:eastAsia="仿宋" w:cs="仿宋"/>
          <w:kern w:val="2"/>
          <w:sz w:val="24"/>
        </w:rPr>
        <w:t>1、乙方有权要求甲方为乙方履行本合同提供便利，要求甲方提供必须的相关资料。</w:t>
      </w:r>
    </w:p>
    <w:p>
      <w:pPr>
        <w:pStyle w:val="65"/>
        <w:spacing w:line="360" w:lineRule="auto"/>
        <w:ind w:firstLine="480" w:firstLineChars="200"/>
        <w:rPr>
          <w:rFonts w:ascii="仿宋" w:hAnsi="仿宋" w:eastAsia="仿宋" w:cs="仿宋"/>
          <w:kern w:val="2"/>
          <w:sz w:val="24"/>
        </w:rPr>
      </w:pPr>
      <w:r>
        <w:rPr>
          <w:rFonts w:hint="eastAsia" w:ascii="仿宋" w:hAnsi="仿宋" w:eastAsia="仿宋" w:cs="仿宋"/>
          <w:kern w:val="2"/>
          <w:sz w:val="24"/>
        </w:rPr>
        <w:t>2、乙方有权要求甲方按本合同约定支付费用。</w:t>
      </w:r>
    </w:p>
    <w:p>
      <w:pPr>
        <w:pStyle w:val="65"/>
        <w:spacing w:line="360" w:lineRule="auto"/>
        <w:ind w:firstLine="480" w:firstLineChars="200"/>
        <w:rPr>
          <w:rFonts w:ascii="仿宋" w:hAnsi="仿宋" w:eastAsia="仿宋" w:cs="仿宋"/>
          <w:kern w:val="2"/>
          <w:sz w:val="24"/>
        </w:rPr>
      </w:pPr>
      <w:r>
        <w:rPr>
          <w:rFonts w:hint="eastAsia" w:ascii="仿宋" w:hAnsi="仿宋" w:eastAsia="仿宋" w:cs="仿宋"/>
          <w:kern w:val="2"/>
          <w:sz w:val="24"/>
        </w:rPr>
        <w:t>3、乙方保证其所交付的产品没有侵犯任何第三人的知识产权和商业秘密。</w:t>
      </w:r>
    </w:p>
    <w:p>
      <w:pPr>
        <w:pStyle w:val="65"/>
        <w:spacing w:line="360" w:lineRule="auto"/>
        <w:ind w:firstLine="480" w:firstLineChars="200"/>
        <w:rPr>
          <w:rFonts w:ascii="仿宋" w:hAnsi="仿宋" w:eastAsia="仿宋" w:cs="仿宋"/>
          <w:kern w:val="2"/>
          <w:sz w:val="24"/>
        </w:rPr>
      </w:pPr>
      <w:r>
        <w:rPr>
          <w:rFonts w:hint="eastAsia" w:ascii="仿宋" w:hAnsi="仿宋" w:eastAsia="仿宋" w:cs="仿宋"/>
          <w:kern w:val="2"/>
          <w:sz w:val="24"/>
        </w:rPr>
        <w:t>4、乙方应按合同约定提供项目相关的技术文档材料，及时交付产品。</w:t>
      </w:r>
    </w:p>
    <w:p>
      <w:pPr>
        <w:pStyle w:val="65"/>
        <w:spacing w:line="360" w:lineRule="auto"/>
        <w:ind w:firstLine="480" w:firstLineChars="200"/>
        <w:rPr>
          <w:rFonts w:ascii="仿宋" w:hAnsi="仿宋" w:eastAsia="仿宋" w:cs="仿宋"/>
          <w:kern w:val="2"/>
          <w:sz w:val="24"/>
        </w:rPr>
      </w:pPr>
      <w:r>
        <w:rPr>
          <w:rFonts w:hint="eastAsia" w:ascii="仿宋" w:hAnsi="仿宋" w:eastAsia="仿宋" w:cs="仿宋"/>
          <w:kern w:val="2"/>
          <w:sz w:val="24"/>
        </w:rPr>
        <w:t>5、对双方共同确认的甲方受训人员提供集中培训服务。</w:t>
      </w:r>
    </w:p>
    <w:p>
      <w:pPr>
        <w:pStyle w:val="65"/>
        <w:spacing w:line="360" w:lineRule="auto"/>
        <w:ind w:firstLine="480" w:firstLineChars="200"/>
        <w:rPr>
          <w:rFonts w:ascii="仿宋" w:hAnsi="仿宋" w:eastAsia="仿宋" w:cs="仿宋"/>
          <w:kern w:val="2"/>
          <w:sz w:val="24"/>
        </w:rPr>
      </w:pPr>
      <w:r>
        <w:rPr>
          <w:rFonts w:hint="eastAsia" w:ascii="仿宋" w:hAnsi="仿宋" w:eastAsia="仿宋" w:cs="仿宋"/>
          <w:kern w:val="2"/>
          <w:sz w:val="24"/>
        </w:rPr>
        <w:t>6、按照双方确认的期限负责产品的安装、测试、调试工作及后续的维护工作。</w:t>
      </w:r>
    </w:p>
    <w:p>
      <w:pPr>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第五条：验收</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（一）由采购人实施验收</w:t>
      </w:r>
    </w:p>
    <w:p>
      <w:pPr>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（二）验收依据：系统运行、数据上报、业务对接正常</w:t>
      </w:r>
    </w:p>
    <w:p>
      <w:pPr>
        <w:spacing w:line="360" w:lineRule="auto"/>
        <w:ind w:firstLine="480" w:firstLineChars="200"/>
        <w:rPr>
          <w:rFonts w:ascii="仿宋" w:hAnsi="仿宋" w:eastAsia="仿宋" w:cs="仿宋"/>
        </w:rPr>
      </w:pPr>
      <w:r>
        <w:rPr>
          <w:rFonts w:hint="eastAsia" w:ascii="仿宋" w:hAnsi="仿宋" w:eastAsia="仿宋" w:cs="仿宋"/>
          <w:color w:val="000000"/>
          <w:sz w:val="24"/>
        </w:rPr>
        <w:t>（三）如项目未通过验收的，乙方应排除故障，进行整改，承担相关费用。如甲方未在约定时间内完成验收工作、未提出书面异议，则视为项目验收合格。若甲方认为乙方交付的产品存在不符合合同约定情形的，甲方应在收到乙方验收申请后20日内提出书面异议，双方友好协商解决。乙方应在双方确认的期限内用符合本合同约定的产品更换或整改产品，乙方承担更换或整改产品产生的所有费用，乙方更换或整改产品后再次申请验收，直至验收通过。</w:t>
      </w:r>
    </w:p>
    <w:p>
      <w:pPr>
        <w:spacing w:line="360" w:lineRule="auto"/>
        <w:ind w:firstLine="480" w:firstLineChars="200"/>
      </w:pPr>
      <w:r>
        <w:rPr>
          <w:rFonts w:hint="eastAsia" w:ascii="仿宋" w:hAnsi="仿宋" w:eastAsia="仿宋" w:cs="仿宋"/>
          <w:color w:val="000000"/>
          <w:sz w:val="24"/>
        </w:rPr>
        <w:t>（四）本项目实施过程中，项目的内容、要求、验收、使用标准以采购文件要求为依据，若甲方中途变更方案或产品以及由此引起的相应费用的变化，双方另行协商达成一致意见后以书面形式确定。</w:t>
      </w:r>
    </w:p>
    <w:p>
      <w:pPr>
        <w:pStyle w:val="64"/>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第六条：售后服务：</w:t>
      </w:r>
    </w:p>
    <w:p>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1、乙方承诺经销商上门服务时间不得低于24小时。</w:t>
      </w:r>
    </w:p>
    <w:p>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2、乙方承诺保证不影响甲方正常业务和保证数据完整的前提下进行实施工作。并承担由此工作带来的所有责任和造成的经济损失。</w:t>
      </w:r>
    </w:p>
    <w:p>
      <w:pPr>
        <w:spacing w:line="360" w:lineRule="auto"/>
        <w:ind w:firstLine="480" w:firstLineChars="200"/>
        <w:jc w:val="left"/>
        <w:rPr>
          <w:rFonts w:ascii="仿宋" w:hAnsi="仿宋" w:eastAsia="仿宋" w:cs="仿宋"/>
          <w:color w:val="000000"/>
          <w:sz w:val="24"/>
          <w:highlight w:val="none"/>
        </w:rPr>
      </w:pPr>
      <w:r>
        <w:rPr>
          <w:rFonts w:hint="eastAsia" w:ascii="仿宋" w:hAnsi="仿宋" w:eastAsia="仿宋" w:cs="仿宋"/>
          <w:color w:val="000000"/>
          <w:sz w:val="24"/>
        </w:rPr>
        <w:t>3、乙方承诺，整体项</w:t>
      </w:r>
      <w:r>
        <w:rPr>
          <w:rFonts w:hint="eastAsia" w:ascii="仿宋" w:hAnsi="仿宋" w:eastAsia="仿宋" w:cs="仿宋"/>
          <w:color w:val="000000"/>
          <w:sz w:val="24"/>
          <w:highlight w:val="none"/>
        </w:rPr>
        <w:t>目验收合格后进入质保期，质保期为一年。</w:t>
      </w:r>
    </w:p>
    <w:p>
      <w:pPr>
        <w:spacing w:line="360" w:lineRule="auto"/>
        <w:ind w:firstLine="480" w:firstLineChars="200"/>
        <w:jc w:val="left"/>
        <w:rPr>
          <w:rFonts w:ascii="仿宋" w:hAnsi="仿宋" w:eastAsia="仿宋" w:cs="仿宋"/>
          <w:color w:val="000000"/>
          <w:sz w:val="24"/>
          <w:highlight w:val="none"/>
        </w:rPr>
      </w:pPr>
      <w:r>
        <w:rPr>
          <w:rFonts w:hint="eastAsia" w:ascii="仿宋" w:hAnsi="仿宋" w:eastAsia="仿宋" w:cs="仿宋"/>
          <w:color w:val="000000"/>
          <w:sz w:val="24"/>
          <w:highlight w:val="none"/>
        </w:rPr>
        <w:t>4、乙方承诺，指定专业项目经理专职负责整体项目实施。甲方有权要求乙方更换项目专职经理。</w:t>
      </w:r>
    </w:p>
    <w:p>
      <w:pPr>
        <w:spacing w:line="360" w:lineRule="auto"/>
        <w:ind w:firstLine="480" w:firstLineChars="200"/>
        <w:jc w:val="left"/>
        <w:rPr>
          <w:rFonts w:ascii="仿宋" w:hAnsi="仿宋" w:eastAsia="仿宋" w:cs="仿宋"/>
          <w:color w:val="000000"/>
          <w:sz w:val="24"/>
          <w:highlight w:val="none"/>
        </w:rPr>
      </w:pPr>
      <w:r>
        <w:rPr>
          <w:rFonts w:hint="eastAsia" w:ascii="仿宋" w:hAnsi="仿宋" w:eastAsia="仿宋" w:cs="仿宋"/>
          <w:color w:val="000000"/>
          <w:sz w:val="24"/>
          <w:highlight w:val="none"/>
        </w:rPr>
        <w:t>5、乙方承诺，当产品不能正常运行时，应在接到甲方通知后1小时内响应，提供电话、网络远程等技术支持，如果通过以上方式仍不能正常运行的，乙方必须在24小时内到达现场进行维护。</w:t>
      </w:r>
    </w:p>
    <w:p>
      <w:pPr>
        <w:spacing w:line="360" w:lineRule="auto"/>
        <w:ind w:firstLine="480" w:firstLineChars="200"/>
        <w:jc w:val="left"/>
        <w:rPr>
          <w:rFonts w:ascii="仿宋" w:hAnsi="仿宋" w:eastAsia="仿宋" w:cs="仿宋"/>
          <w:color w:val="000000"/>
          <w:sz w:val="24"/>
          <w:highlight w:val="none"/>
        </w:rPr>
      </w:pPr>
      <w:r>
        <w:rPr>
          <w:rFonts w:hint="eastAsia" w:ascii="仿宋" w:hAnsi="仿宋" w:eastAsia="仿宋" w:cs="仿宋"/>
          <w:color w:val="000000"/>
          <w:sz w:val="24"/>
          <w:highlight w:val="none"/>
        </w:rPr>
        <w:t>6、乙方承诺，在系统投入使用前，必须对各应用系统相关人员进行免费业务技术培训，对甲方信息科管理人员免费提供具有针对性的系统培训，以保证系统各项功能让甲方完全掌握，培训期限至甲方受训人员完全掌握产品各项功能为止。培训方式由双方商定，若需异地培训，因异地培训产生的所有费用由乙方承担。</w:t>
      </w:r>
    </w:p>
    <w:p>
      <w:pPr>
        <w:spacing w:line="360" w:lineRule="auto"/>
        <w:ind w:firstLine="480" w:firstLineChars="200"/>
        <w:jc w:val="left"/>
        <w:rPr>
          <w:rFonts w:ascii="仿宋" w:hAnsi="仿宋" w:eastAsia="仿宋" w:cs="仿宋"/>
          <w:color w:val="000000"/>
          <w:sz w:val="24"/>
          <w:highlight w:val="none"/>
        </w:rPr>
      </w:pPr>
      <w:r>
        <w:rPr>
          <w:rFonts w:hint="eastAsia" w:ascii="仿宋" w:hAnsi="仿宋" w:eastAsia="仿宋" w:cs="仿宋"/>
          <w:color w:val="000000"/>
          <w:sz w:val="24"/>
          <w:highlight w:val="none"/>
        </w:rPr>
        <w:t>7、保修、质保期内，维修费用、乙方维修人员的差旅费及其它相关费用均由乙方承担。</w:t>
      </w:r>
    </w:p>
    <w:p>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highlight w:val="none"/>
        </w:rPr>
        <w:t>8、乙方提供产品应无任何瑕疵，如在使用过程中本产品存在隐蔽瑕疵造成医疗事故而引发的纠纷，由乙方全额负责赔偿，并免费为甲方修复瑕疵</w:t>
      </w:r>
      <w:r>
        <w:rPr>
          <w:rFonts w:hint="eastAsia" w:ascii="仿宋" w:hAnsi="仿宋" w:eastAsia="仿宋" w:cs="仿宋"/>
          <w:color w:val="000000"/>
          <w:sz w:val="24"/>
        </w:rPr>
        <w:t>或更新换代，期间产生的费用均由乙方承担。</w:t>
      </w:r>
    </w:p>
    <w:p>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9、保修、质保期后为有偿服务，甲乙双方可另行签订服务协议，原则上不超过合同总额的10%。</w:t>
      </w:r>
    </w:p>
    <w:p>
      <w:pPr>
        <w:spacing w:line="360" w:lineRule="auto"/>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第七条：知识产权及保密条款：</w:t>
      </w:r>
    </w:p>
    <w:p>
      <w:pPr>
        <w:numPr>
          <w:ilvl w:val="0"/>
          <w:numId w:val="4"/>
        </w:num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乙方保证其提供本合同项下的产品具备相应资质，为履行本合同而使用的产品不存在权利瑕疵或侵害第三人利益的情形。</w:t>
      </w:r>
    </w:p>
    <w:p>
      <w:pPr>
        <w:pStyle w:val="22"/>
        <w:tabs>
          <w:tab w:val="left" w:pos="6240"/>
        </w:tabs>
        <w:spacing w:line="360" w:lineRule="auto"/>
        <w:ind w:left="0" w:leftChars="0" w:firstLine="480"/>
        <w:rPr>
          <w:rFonts w:ascii="仿宋" w:hAnsi="仿宋" w:eastAsia="仿宋" w:cs="仿宋"/>
          <w:color w:val="000000"/>
          <w:sz w:val="24"/>
          <w:szCs w:val="24"/>
        </w:rPr>
      </w:pPr>
      <w:r>
        <w:rPr>
          <w:rFonts w:hint="eastAsia" w:ascii="仿宋" w:hAnsi="仿宋" w:eastAsia="仿宋" w:cs="仿宋"/>
          <w:color w:val="000000"/>
          <w:sz w:val="24"/>
        </w:rPr>
        <w:t>2、</w:t>
      </w:r>
      <w:r>
        <w:rPr>
          <w:rFonts w:hint="eastAsia" w:ascii="仿宋" w:hAnsi="仿宋" w:eastAsia="仿宋" w:cs="仿宋"/>
          <w:color w:val="000000"/>
          <w:sz w:val="24"/>
          <w:szCs w:val="24"/>
        </w:rPr>
        <w:t>本项目涉及的保密内容包括技术信息、经营信息等，双方都有责任对对方提供的技术情报、资料数据及商业秘密保密，不得向第三方泄露。</w:t>
      </w:r>
    </w:p>
    <w:p>
      <w:pPr>
        <w:pStyle w:val="17"/>
        <w:spacing w:line="360" w:lineRule="auto"/>
        <w:ind w:firstLineChars="200"/>
        <w:jc w:val="left"/>
        <w:rPr>
          <w:rFonts w:ascii="仿宋" w:hAnsi="仿宋" w:eastAsia="仿宋" w:cs="仿宋"/>
          <w:color w:val="000000"/>
          <w:kern w:val="2"/>
          <w:sz w:val="24"/>
          <w:szCs w:val="24"/>
        </w:rPr>
      </w:pPr>
      <w:r>
        <w:rPr>
          <w:rFonts w:hint="eastAsia" w:ascii="仿宋" w:hAnsi="仿宋" w:eastAsia="仿宋" w:cs="仿宋"/>
          <w:color w:val="000000"/>
          <w:kern w:val="2"/>
          <w:sz w:val="24"/>
          <w:szCs w:val="24"/>
        </w:rPr>
        <w:t>3、未经对方同意，任何一方不得以任何形式公开本合同及附件内容。双方在未征得对方同意的情况下，不得向第三方泄露在项目中接触到的需要保密的信息和资料。不得为任何本合同之外的其他目的而自行使用或允许他人使用从对方获得的信息（包括但不限于所有的报告、摘录、纪要、文件、计划、报表、复印件等）。</w:t>
      </w:r>
    </w:p>
    <w:p>
      <w:pPr>
        <w:pStyle w:val="17"/>
        <w:spacing w:line="360" w:lineRule="auto"/>
        <w:ind w:firstLineChars="200"/>
        <w:jc w:val="left"/>
        <w:rPr>
          <w:rFonts w:ascii="仿宋" w:hAnsi="仿宋" w:eastAsia="仿宋" w:cs="仿宋"/>
          <w:color w:val="000000"/>
          <w:kern w:val="2"/>
          <w:sz w:val="24"/>
          <w:szCs w:val="24"/>
        </w:rPr>
      </w:pPr>
      <w:r>
        <w:rPr>
          <w:rFonts w:hint="eastAsia" w:ascii="仿宋" w:hAnsi="仿宋" w:eastAsia="仿宋" w:cs="仿宋"/>
          <w:color w:val="000000"/>
          <w:kern w:val="2"/>
          <w:sz w:val="24"/>
          <w:szCs w:val="24"/>
        </w:rPr>
        <w:t>4、负有保密义务的人员范围为甲乙双方参与及知悉项目的所有人员，双方负有永久保密义务。</w:t>
      </w:r>
      <w:r>
        <w:rPr>
          <w:rFonts w:hint="eastAsia" w:ascii="仿宋" w:hAnsi="仿宋" w:eastAsia="仿宋" w:cs="仿宋"/>
          <w:color w:val="000000"/>
          <w:kern w:val="2"/>
          <w:sz w:val="24"/>
          <w:szCs w:val="24"/>
        </w:rPr>
        <w:tab/>
      </w:r>
    </w:p>
    <w:p>
      <w:pPr>
        <w:pStyle w:val="17"/>
        <w:spacing w:line="360" w:lineRule="auto"/>
        <w:ind w:firstLineChars="200"/>
        <w:jc w:val="left"/>
        <w:rPr>
          <w:rFonts w:ascii="仿宋" w:hAnsi="仿宋" w:eastAsia="仿宋" w:cs="仿宋"/>
          <w:color w:val="000000"/>
          <w:kern w:val="2"/>
          <w:sz w:val="24"/>
          <w:szCs w:val="24"/>
        </w:rPr>
      </w:pPr>
      <w:r>
        <w:rPr>
          <w:rFonts w:hint="eastAsia" w:ascii="仿宋" w:hAnsi="仿宋" w:eastAsia="仿宋" w:cs="仿宋"/>
          <w:color w:val="000000"/>
          <w:kern w:val="2"/>
          <w:sz w:val="24"/>
          <w:szCs w:val="24"/>
        </w:rPr>
        <w:t>5、本项目项下产生数据资料、统计资料等电子信息所有权属于甲方，未经甲方书面同意，乙方不得以任何方式使用或变相使用，不得以任何方式向第三方披露，否则，乙方应当向甲方赔偿损失。</w:t>
      </w:r>
    </w:p>
    <w:p>
      <w:pPr>
        <w:pStyle w:val="64"/>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line="360" w:lineRule="auto"/>
        <w:ind w:firstLine="482" w:firstLineChars="200"/>
        <w:rPr>
          <w:rFonts w:ascii="仿宋" w:hAnsi="仿宋" w:eastAsia="仿宋" w:cs="仿宋"/>
          <w:b/>
          <w:sz w:val="24"/>
          <w:szCs w:val="24"/>
        </w:rPr>
      </w:pPr>
      <w:r>
        <w:rPr>
          <w:rFonts w:hint="eastAsia" w:ascii="仿宋" w:hAnsi="仿宋" w:eastAsia="仿宋" w:cs="仿宋"/>
          <w:b/>
          <w:color w:val="000000"/>
          <w:kern w:val="2"/>
          <w:sz w:val="24"/>
          <w:szCs w:val="24"/>
        </w:rPr>
        <w:t>第八条：</w:t>
      </w:r>
      <w:r>
        <w:rPr>
          <w:rFonts w:hint="eastAsia" w:ascii="仿宋" w:hAnsi="仿宋" w:eastAsia="仿宋" w:cs="仿宋"/>
          <w:b/>
          <w:sz w:val="24"/>
          <w:szCs w:val="24"/>
        </w:rPr>
        <w:t>违约责任：</w:t>
      </w:r>
    </w:p>
    <w:p>
      <w:pPr>
        <w:numPr>
          <w:ilvl w:val="255"/>
          <w:numId w:val="0"/>
        </w:numPr>
        <w:spacing w:line="360" w:lineRule="auto"/>
        <w:ind w:firstLine="480" w:firstLineChars="200"/>
        <w:rPr>
          <w:rFonts w:ascii="仿宋" w:hAnsi="仿宋" w:eastAsia="仿宋" w:cs="仿宋"/>
          <w:sz w:val="24"/>
        </w:rPr>
      </w:pPr>
      <w:r>
        <w:rPr>
          <w:rFonts w:hint="eastAsia" w:ascii="仿宋" w:hAnsi="仿宋" w:eastAsia="仿宋" w:cs="仿宋"/>
          <w:sz w:val="24"/>
        </w:rPr>
        <w:t>1、 乙方如不能按时交货，应向甲方支付迟延履行的违约金，每逾期一天以逾期交货货款金额为基数按照日</w:t>
      </w:r>
      <w:r>
        <w:rPr>
          <w:rFonts w:hint="eastAsia" w:ascii="仿宋" w:hAnsi="仿宋" w:eastAsia="仿宋" w:cs="仿宋"/>
          <w:sz w:val="24"/>
          <w:u w:val="single"/>
        </w:rPr>
        <w:t xml:space="preserve"> 0.2 </w:t>
      </w:r>
      <w:r>
        <w:rPr>
          <w:rFonts w:hint="eastAsia" w:ascii="仿宋" w:hAnsi="仿宋" w:eastAsia="仿宋" w:cs="仿宋"/>
          <w:sz w:val="24"/>
        </w:rPr>
        <w:t>‰计算违约金。乙方如未按照本合同约定时间完成安装、调试等义务，每逾期一天应向甲方支付本合同总价款</w:t>
      </w:r>
      <w:r>
        <w:rPr>
          <w:rFonts w:hint="eastAsia" w:ascii="仿宋" w:hAnsi="仿宋" w:eastAsia="仿宋" w:cs="仿宋"/>
          <w:sz w:val="24"/>
          <w:u w:val="single"/>
        </w:rPr>
        <w:t xml:space="preserve">  0.2  </w:t>
      </w:r>
      <w:r>
        <w:rPr>
          <w:rFonts w:hint="eastAsia" w:ascii="仿宋" w:hAnsi="仿宋" w:eastAsia="仿宋" w:cs="仿宋"/>
          <w:sz w:val="24"/>
        </w:rPr>
        <w:t>‰的违约金。乙方逾期超过</w:t>
      </w:r>
      <w:r>
        <w:rPr>
          <w:rFonts w:hint="eastAsia" w:ascii="仿宋" w:hAnsi="仿宋" w:eastAsia="仿宋" w:cs="仿宋"/>
          <w:sz w:val="24"/>
          <w:u w:val="single"/>
        </w:rPr>
        <w:t xml:space="preserve"> 60 </w:t>
      </w:r>
      <w:r>
        <w:rPr>
          <w:rFonts w:hint="eastAsia" w:ascii="仿宋" w:hAnsi="仿宋" w:eastAsia="仿宋" w:cs="仿宋"/>
          <w:sz w:val="24"/>
        </w:rPr>
        <w:t>天的，甲方有权解除合同。</w:t>
      </w:r>
    </w:p>
    <w:p>
      <w:pPr>
        <w:numPr>
          <w:ilvl w:val="255"/>
          <w:numId w:val="0"/>
        </w:numPr>
        <w:spacing w:line="360" w:lineRule="auto"/>
        <w:ind w:firstLine="480" w:firstLineChars="200"/>
        <w:rPr>
          <w:rFonts w:ascii="仿宋" w:hAnsi="仿宋" w:eastAsia="仿宋" w:cs="仿宋"/>
          <w:sz w:val="24"/>
        </w:rPr>
      </w:pPr>
      <w:r>
        <w:rPr>
          <w:rFonts w:hint="eastAsia" w:ascii="仿宋" w:hAnsi="仿宋" w:eastAsia="仿宋" w:cs="仿宋"/>
          <w:sz w:val="24"/>
        </w:rPr>
        <w:t>如乙方交付的产品数量、品种、规格、质量不符合国家标准和合同约定的，由乙方负责包换、退货，并承担由此给甲方造成的所有经济损失。</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 除前款约定外，乙方未按合同要求提供产品或提供虚假材料，且质量不能满足技术要求的，甲方有权解除合同，并对乙方的违法、违约行为进行追究。</w:t>
      </w:r>
    </w:p>
    <w:p>
      <w:pPr>
        <w:spacing w:line="360" w:lineRule="auto"/>
        <w:ind w:firstLine="480" w:firstLineChars="200"/>
        <w:rPr>
          <w:rFonts w:ascii="仿宋" w:hAnsi="仿宋" w:eastAsia="仿宋" w:cs="仿宋"/>
          <w:sz w:val="24"/>
        </w:rPr>
      </w:pPr>
      <w:r>
        <w:rPr>
          <w:rFonts w:hint="eastAsia" w:ascii="仿宋" w:hAnsi="仿宋" w:eastAsia="仿宋" w:cs="仿宋"/>
          <w:sz w:val="24"/>
        </w:rPr>
        <w:t>3、乙方确保甲方购买的产品拥有合法的知识产权（即为正版软件），如因甲方购买、使用该软件引起与其它第三方发生法律、经济纠纷的，乙方应主动承担全部责任，积极参与处理因软件引起的与其他第三方发生法律、经济责任，承担甲方因此造成的全部损失（包括但不限于赔偿费、律师费、交通费、诉讼费等），并且乙方应退还甲方支付的所有款项，以及支付合同价款总额的</w:t>
      </w:r>
      <w:r>
        <w:rPr>
          <w:rFonts w:hint="eastAsia" w:ascii="仿宋" w:hAnsi="仿宋" w:eastAsia="仿宋" w:cs="仿宋"/>
          <w:sz w:val="24"/>
          <w:u w:val="single"/>
        </w:rPr>
        <w:t>20%</w:t>
      </w:r>
      <w:r>
        <w:rPr>
          <w:rFonts w:hint="eastAsia" w:ascii="仿宋" w:hAnsi="仿宋" w:eastAsia="仿宋" w:cs="仿宋"/>
          <w:sz w:val="24"/>
        </w:rPr>
        <w:t>违约金。</w:t>
      </w:r>
    </w:p>
    <w:p>
      <w:pPr>
        <w:pStyle w:val="65"/>
        <w:spacing w:line="360" w:lineRule="auto"/>
        <w:ind w:firstLine="480" w:firstLineChars="200"/>
        <w:rPr>
          <w:rFonts w:ascii="仿宋" w:hAnsi="仿宋" w:eastAsia="仿宋" w:cs="仿宋"/>
        </w:rPr>
      </w:pPr>
      <w:r>
        <w:rPr>
          <w:rFonts w:hint="eastAsia" w:ascii="仿宋" w:hAnsi="仿宋" w:eastAsia="仿宋" w:cs="仿宋"/>
          <w:kern w:val="2"/>
          <w:sz w:val="24"/>
        </w:rPr>
        <w:t>4、甲方未按合同约定提供工作条件或完成配合事项，或者提供工作条件、完成配合事项不符合合同约定影响项目进度和质量的，项目交付期限相应顺延。</w:t>
      </w:r>
    </w:p>
    <w:p>
      <w:pPr>
        <w:pStyle w:val="17"/>
        <w:spacing w:line="360" w:lineRule="auto"/>
        <w:ind w:firstLineChars="200"/>
        <w:jc w:val="left"/>
        <w:rPr>
          <w:rFonts w:ascii="仿宋" w:hAnsi="仿宋" w:eastAsia="仿宋" w:cs="仿宋"/>
          <w:color w:val="000000"/>
          <w:sz w:val="24"/>
        </w:rPr>
      </w:pPr>
      <w:r>
        <w:rPr>
          <w:rFonts w:hint="eastAsia" w:ascii="仿宋" w:hAnsi="仿宋" w:eastAsia="仿宋" w:cs="仿宋"/>
          <w:kern w:val="2"/>
          <w:sz w:val="24"/>
          <w:szCs w:val="24"/>
        </w:rPr>
        <w:t>5、因甲方违约导致本合同解除的，乙方有权按已履行完毕的服务内容向甲方收取对应合同价款。</w:t>
      </w:r>
    </w:p>
    <w:p>
      <w:pPr>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6、因乙方违约导致合同解除的，乙方应向甲方退还已收的所有款项，并向甲方支付</w:t>
      </w:r>
      <w:r>
        <w:rPr>
          <w:rFonts w:hint="eastAsia" w:ascii="仿宋" w:hAnsi="仿宋" w:eastAsia="仿宋" w:cs="仿宋"/>
          <w:sz w:val="24"/>
        </w:rPr>
        <w:t>合同价款总额的</w:t>
      </w:r>
      <w:r>
        <w:rPr>
          <w:rFonts w:hint="eastAsia" w:ascii="仿宋" w:hAnsi="仿宋" w:eastAsia="仿宋" w:cs="仿宋"/>
          <w:sz w:val="24"/>
          <w:u w:val="single"/>
        </w:rPr>
        <w:t>20%</w:t>
      </w:r>
      <w:r>
        <w:rPr>
          <w:rFonts w:hint="eastAsia" w:ascii="仿宋" w:hAnsi="仿宋" w:eastAsia="仿宋" w:cs="仿宋"/>
          <w:sz w:val="24"/>
        </w:rPr>
        <w:t>违约金。</w:t>
      </w:r>
    </w:p>
    <w:p>
      <w:pPr>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第九条：不可抗力：</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如果由于无法预见并且对其发生和后果无法防止或避免的事件，如地震、水灾、火灾和其他自然灾害、战争、暴动、和类似的军事行动，民间骚动以及政府的禁运令、禁止令或其他政府限制和行动，或者其他阻止一方履行本合同义务的任何事件或原因（统称：不可抗力事件）。直接致使遇到上述事件的一方（即受阻方）不能履行本合同约定的全部或部分义务的，受阻方应立即书面通知另一方，并在不可抗力事件发生后十五个工作日内提供有关该事件的权威机关的书面材料，包括陈述迟延履行、部分履行或无法履行本合同义务的理由的说明书，方可免责。</w:t>
      </w:r>
    </w:p>
    <w:p>
      <w:pPr>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第十条：纠纷的解决：</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本合同在履行过程中发生的与本合同有关的任何争议，由甲、乙双方先行友好协商解决，协商不成的，任何一方有权向甲方所在地人民法院起诉。</w:t>
      </w:r>
    </w:p>
    <w:p>
      <w:pPr>
        <w:spacing w:line="360" w:lineRule="auto"/>
        <w:ind w:firstLine="482" w:firstLineChars="200"/>
        <w:rPr>
          <w:rFonts w:ascii="仿宋" w:hAnsi="仿宋" w:eastAsia="仿宋" w:cs="仿宋"/>
          <w:color w:val="000000"/>
          <w:sz w:val="24"/>
        </w:rPr>
      </w:pPr>
      <w:r>
        <w:rPr>
          <w:rFonts w:hint="eastAsia" w:ascii="仿宋" w:hAnsi="仿宋" w:eastAsia="仿宋" w:cs="仿宋"/>
          <w:b/>
          <w:color w:val="000000"/>
          <w:sz w:val="24"/>
        </w:rPr>
        <w:t>第十一条</w:t>
      </w:r>
      <w:r>
        <w:rPr>
          <w:rFonts w:hint="eastAsia" w:ascii="仿宋" w:hAnsi="仿宋" w:eastAsia="仿宋" w:cs="仿宋"/>
          <w:color w:val="000000"/>
          <w:sz w:val="24"/>
        </w:rPr>
        <w:t>：本合同一式肆份，甲乙双方各执贰份，均具有同等法律效力。</w:t>
      </w:r>
    </w:p>
    <w:p>
      <w:pPr>
        <w:spacing w:line="360" w:lineRule="auto"/>
        <w:ind w:firstLine="482" w:firstLineChars="200"/>
        <w:rPr>
          <w:rFonts w:ascii="仿宋" w:hAnsi="仿宋" w:eastAsia="仿宋" w:cs="仿宋"/>
          <w:color w:val="000000"/>
          <w:sz w:val="24"/>
        </w:rPr>
      </w:pPr>
      <w:r>
        <w:rPr>
          <w:rFonts w:hint="eastAsia" w:ascii="仿宋" w:hAnsi="仿宋" w:eastAsia="仿宋" w:cs="仿宋"/>
          <w:b/>
          <w:color w:val="000000"/>
          <w:sz w:val="24"/>
        </w:rPr>
        <w:t>第十二条</w:t>
      </w:r>
      <w:r>
        <w:rPr>
          <w:rFonts w:hint="eastAsia" w:ascii="仿宋" w:hAnsi="仿宋" w:eastAsia="仿宋" w:cs="仿宋"/>
          <w:color w:val="000000"/>
          <w:sz w:val="24"/>
        </w:rPr>
        <w:t>：本合同未尽事宜，由甲、乙双方另行签订补充协议，补充协议作为合同附件与本合同具有同等法律效力。</w:t>
      </w:r>
    </w:p>
    <w:p>
      <w:pPr>
        <w:spacing w:line="360" w:lineRule="auto"/>
        <w:ind w:firstLine="482" w:firstLineChars="200"/>
        <w:rPr>
          <w:rFonts w:ascii="仿宋" w:hAnsi="仿宋" w:eastAsia="仿宋" w:cs="仿宋"/>
          <w:color w:val="000000"/>
          <w:sz w:val="24"/>
        </w:rPr>
      </w:pPr>
      <w:r>
        <w:rPr>
          <w:rFonts w:hint="eastAsia" w:ascii="仿宋" w:hAnsi="仿宋" w:eastAsia="仿宋" w:cs="仿宋"/>
          <w:b/>
          <w:color w:val="000000"/>
          <w:sz w:val="24"/>
        </w:rPr>
        <w:t>第十三条</w:t>
      </w:r>
      <w:r>
        <w:rPr>
          <w:rFonts w:hint="eastAsia" w:ascii="仿宋" w:hAnsi="仿宋" w:eastAsia="仿宋" w:cs="仿宋"/>
          <w:color w:val="000000"/>
          <w:sz w:val="24"/>
        </w:rPr>
        <w:t>：本合同自甲、乙双方正式授权代表签字并加盖公章之日生效。</w:t>
      </w:r>
    </w:p>
    <w:p>
      <w:pPr>
        <w:spacing w:line="360" w:lineRule="auto"/>
        <w:ind w:firstLine="482" w:firstLineChars="200"/>
        <w:rPr>
          <w:rFonts w:ascii="仿宋" w:hAnsi="仿宋" w:eastAsia="仿宋" w:cs="仿宋"/>
          <w:color w:val="000000"/>
          <w:sz w:val="24"/>
        </w:rPr>
      </w:pPr>
      <w:r>
        <w:rPr>
          <w:rFonts w:hint="eastAsia" w:ascii="仿宋" w:hAnsi="仿宋" w:eastAsia="仿宋" w:cs="仿宋"/>
          <w:b/>
          <w:color w:val="000000"/>
          <w:sz w:val="24"/>
        </w:rPr>
        <w:t>第十四条</w:t>
      </w:r>
      <w:r>
        <w:rPr>
          <w:rFonts w:hint="eastAsia" w:ascii="仿宋" w:hAnsi="仿宋" w:eastAsia="仿宋" w:cs="仿宋"/>
          <w:color w:val="000000"/>
          <w:sz w:val="24"/>
        </w:rPr>
        <w:t>：本合同有效期自生效之日起至合同执行完毕时止。</w:t>
      </w:r>
    </w:p>
    <w:p>
      <w:pPr>
        <w:spacing w:line="360" w:lineRule="auto"/>
        <w:ind w:firstLine="482" w:firstLineChars="200"/>
      </w:pPr>
      <w:r>
        <w:rPr>
          <w:rFonts w:hint="eastAsia" w:ascii="仿宋" w:hAnsi="仿宋" w:eastAsia="仿宋" w:cs="仿宋"/>
          <w:b/>
          <w:color w:val="000000"/>
          <w:sz w:val="24"/>
        </w:rPr>
        <w:t>第十五条：</w:t>
      </w:r>
      <w:r>
        <w:rPr>
          <w:rFonts w:hint="eastAsia" w:ascii="仿宋" w:hAnsi="仿宋" w:eastAsia="仿宋" w:cs="仿宋"/>
          <w:color w:val="000000"/>
          <w:sz w:val="24"/>
        </w:rPr>
        <w:t>本合同应当按照中华人民共和国的现行法律、法规进行解释。</w:t>
      </w:r>
    </w:p>
    <w:p>
      <w:pPr>
        <w:pStyle w:val="22"/>
      </w:pPr>
    </w:p>
    <w:tbl>
      <w:tblPr>
        <w:tblStyle w:val="23"/>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2"/>
        <w:gridCol w:w="3102"/>
        <w:gridCol w:w="3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102" w:type="dxa"/>
            <w:shd w:val="clear" w:color="auto" w:fill="D8D8D8"/>
            <w:vAlign w:val="center"/>
          </w:tcPr>
          <w:p>
            <w:pPr>
              <w:jc w:val="center"/>
              <w:rPr>
                <w:rFonts w:ascii="仿宋" w:hAnsi="仿宋" w:eastAsia="仿宋" w:cs="仿宋"/>
                <w:b/>
                <w:color w:val="000000"/>
                <w:sz w:val="24"/>
                <w:szCs w:val="24"/>
              </w:rPr>
            </w:pPr>
            <w:r>
              <w:rPr>
                <w:rFonts w:hint="eastAsia" w:ascii="仿宋" w:hAnsi="仿宋" w:eastAsia="仿宋" w:cs="仿宋"/>
                <w:b/>
                <w:color w:val="000000"/>
                <w:sz w:val="24"/>
                <w:szCs w:val="24"/>
              </w:rPr>
              <w:t>甲  方</w:t>
            </w:r>
          </w:p>
        </w:tc>
        <w:tc>
          <w:tcPr>
            <w:tcW w:w="3102" w:type="dxa"/>
            <w:shd w:val="clear" w:color="auto" w:fill="D8D8D8"/>
            <w:vAlign w:val="center"/>
          </w:tcPr>
          <w:p>
            <w:pPr>
              <w:jc w:val="center"/>
              <w:rPr>
                <w:rFonts w:ascii="仿宋" w:hAnsi="仿宋" w:eastAsia="仿宋" w:cs="仿宋"/>
                <w:b/>
                <w:color w:val="000000"/>
                <w:sz w:val="24"/>
                <w:szCs w:val="24"/>
              </w:rPr>
            </w:pPr>
            <w:r>
              <w:rPr>
                <w:rFonts w:hint="eastAsia" w:ascii="仿宋" w:hAnsi="仿宋" w:eastAsia="仿宋" w:cs="仿宋"/>
                <w:b/>
                <w:color w:val="000000"/>
                <w:sz w:val="24"/>
                <w:szCs w:val="24"/>
              </w:rPr>
              <w:t>乙  方</w:t>
            </w:r>
          </w:p>
        </w:tc>
        <w:tc>
          <w:tcPr>
            <w:tcW w:w="3104" w:type="dxa"/>
            <w:shd w:val="clear" w:color="auto" w:fill="D8D8D8"/>
            <w:vAlign w:val="center"/>
          </w:tcPr>
          <w:p>
            <w:pPr>
              <w:jc w:val="center"/>
              <w:rPr>
                <w:rFonts w:ascii="仿宋" w:hAnsi="仿宋" w:eastAsia="仿宋" w:cs="仿宋"/>
                <w:b/>
                <w:color w:val="000000"/>
                <w:sz w:val="24"/>
                <w:szCs w:val="24"/>
              </w:rPr>
            </w:pPr>
            <w:r>
              <w:rPr>
                <w:rFonts w:hint="eastAsia" w:ascii="仿宋" w:hAnsi="仿宋" w:eastAsia="仿宋" w:cs="仿宋"/>
                <w:b/>
                <w:color w:val="000000"/>
                <w:sz w:val="24"/>
                <w:szCs w:val="24"/>
              </w:rPr>
              <w:t>鉴 证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3102"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采购人</w:t>
            </w:r>
          </w:p>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（公章）</w:t>
            </w:r>
          </w:p>
        </w:tc>
        <w:tc>
          <w:tcPr>
            <w:tcW w:w="3102"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成交供应商</w:t>
            </w:r>
          </w:p>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（公章）</w:t>
            </w:r>
          </w:p>
        </w:tc>
        <w:tc>
          <w:tcPr>
            <w:tcW w:w="3104"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采购代理机构</w:t>
            </w:r>
          </w:p>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2"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地址：</w:t>
            </w:r>
          </w:p>
        </w:tc>
        <w:tc>
          <w:tcPr>
            <w:tcW w:w="3102"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地址：</w:t>
            </w:r>
          </w:p>
        </w:tc>
        <w:tc>
          <w:tcPr>
            <w:tcW w:w="3104"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2"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邮编：</w:t>
            </w:r>
          </w:p>
        </w:tc>
        <w:tc>
          <w:tcPr>
            <w:tcW w:w="3102"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邮编：</w:t>
            </w:r>
          </w:p>
        </w:tc>
        <w:tc>
          <w:tcPr>
            <w:tcW w:w="3104"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2"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法定代表人或代理人：</w:t>
            </w:r>
          </w:p>
        </w:tc>
        <w:tc>
          <w:tcPr>
            <w:tcW w:w="3102"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法定代表人或代理人：</w:t>
            </w:r>
          </w:p>
        </w:tc>
        <w:tc>
          <w:tcPr>
            <w:tcW w:w="3104"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2"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负责人：（签字）</w:t>
            </w:r>
          </w:p>
        </w:tc>
        <w:tc>
          <w:tcPr>
            <w:tcW w:w="3102"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负责人：（签字）</w:t>
            </w:r>
          </w:p>
        </w:tc>
        <w:tc>
          <w:tcPr>
            <w:tcW w:w="3104"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2"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电话：</w:t>
            </w:r>
          </w:p>
        </w:tc>
        <w:tc>
          <w:tcPr>
            <w:tcW w:w="3102"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电话：</w:t>
            </w:r>
          </w:p>
        </w:tc>
        <w:tc>
          <w:tcPr>
            <w:tcW w:w="3104"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2" w:type="dxa"/>
            <w:vAlign w:val="center"/>
          </w:tcPr>
          <w:p>
            <w:pPr>
              <w:spacing w:line="360" w:lineRule="auto"/>
              <w:rPr>
                <w:rFonts w:ascii="仿宋" w:hAnsi="仿宋" w:eastAsia="仿宋" w:cs="仿宋"/>
                <w:color w:val="000000"/>
                <w:sz w:val="24"/>
                <w:szCs w:val="24"/>
              </w:rPr>
            </w:pPr>
          </w:p>
        </w:tc>
        <w:tc>
          <w:tcPr>
            <w:tcW w:w="3102"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开户银行：</w:t>
            </w:r>
          </w:p>
        </w:tc>
        <w:tc>
          <w:tcPr>
            <w:tcW w:w="3104" w:type="dxa"/>
            <w:vAlign w:val="center"/>
          </w:tcPr>
          <w:p>
            <w:pPr>
              <w:spacing w:line="360" w:lineRule="auto"/>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2" w:type="dxa"/>
            <w:vAlign w:val="center"/>
          </w:tcPr>
          <w:p>
            <w:pPr>
              <w:spacing w:line="360" w:lineRule="auto"/>
              <w:rPr>
                <w:rFonts w:ascii="仿宋" w:hAnsi="仿宋" w:eastAsia="仿宋" w:cs="仿宋"/>
                <w:color w:val="000000"/>
                <w:sz w:val="24"/>
                <w:szCs w:val="24"/>
              </w:rPr>
            </w:pPr>
          </w:p>
        </w:tc>
        <w:tc>
          <w:tcPr>
            <w:tcW w:w="3102"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账号：</w:t>
            </w:r>
          </w:p>
        </w:tc>
        <w:tc>
          <w:tcPr>
            <w:tcW w:w="3104" w:type="dxa"/>
            <w:vAlign w:val="center"/>
          </w:tcPr>
          <w:p>
            <w:pPr>
              <w:spacing w:line="360" w:lineRule="auto"/>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2"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日期：   年  月  日</w:t>
            </w:r>
          </w:p>
        </w:tc>
        <w:tc>
          <w:tcPr>
            <w:tcW w:w="3102"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日期：   年  月  日</w:t>
            </w:r>
          </w:p>
        </w:tc>
        <w:tc>
          <w:tcPr>
            <w:tcW w:w="3104"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日期：   年  月  日</w:t>
            </w:r>
          </w:p>
        </w:tc>
      </w:tr>
    </w:tbl>
    <w:p>
      <w:pPr>
        <w:pStyle w:val="66"/>
        <w:ind w:firstLine="480"/>
        <w:rPr>
          <w:rFonts w:ascii="仿宋" w:hAnsi="仿宋" w:eastAsia="仿宋" w:cs="仿宋"/>
          <w:bCs/>
          <w:sz w:val="24"/>
          <w:szCs w:val="24"/>
        </w:rPr>
      </w:pPr>
    </w:p>
    <w:p>
      <w:pPr>
        <w:pStyle w:val="12"/>
        <w:rPr>
          <w:rFonts w:ascii="仿宋" w:hAnsi="仿宋" w:eastAsia="仿宋" w:cs="仿宋"/>
          <w:sz w:val="24"/>
          <w:szCs w:val="24"/>
        </w:rPr>
      </w:pPr>
    </w:p>
    <w:p>
      <w:pPr>
        <w:pStyle w:val="12"/>
        <w:rPr>
          <w:rFonts w:ascii="仿宋" w:hAnsi="仿宋" w:eastAsia="仿宋" w:cs="仿宋"/>
          <w:sz w:val="24"/>
          <w:szCs w:val="24"/>
        </w:rPr>
      </w:pPr>
    </w:p>
    <w:p>
      <w:pPr>
        <w:pStyle w:val="12"/>
        <w:rPr>
          <w:rFonts w:ascii="仿宋" w:hAnsi="仿宋" w:eastAsia="仿宋" w:cs="仿宋"/>
          <w:sz w:val="24"/>
          <w:szCs w:val="24"/>
        </w:rPr>
      </w:pPr>
    </w:p>
    <w:p>
      <w:pPr>
        <w:pageBreakBefore/>
        <w:autoSpaceDE w:val="0"/>
        <w:autoSpaceDN w:val="0"/>
        <w:adjustRightInd w:val="0"/>
        <w:snapToGrid w:val="0"/>
        <w:spacing w:line="360" w:lineRule="auto"/>
        <w:jc w:val="center"/>
        <w:outlineLvl w:val="0"/>
        <w:rPr>
          <w:rFonts w:ascii="仿宋" w:hAnsi="仿宋" w:eastAsia="仿宋" w:cs="仿宋"/>
          <w:b/>
          <w:bCs/>
          <w:sz w:val="32"/>
          <w:szCs w:val="32"/>
        </w:rPr>
      </w:pPr>
      <w:bookmarkStart w:id="353" w:name="_Toc5283"/>
      <w:r>
        <w:rPr>
          <w:rFonts w:hint="eastAsia" w:ascii="仿宋" w:hAnsi="仿宋" w:eastAsia="仿宋" w:cs="仿宋"/>
          <w:b/>
          <w:bCs/>
          <w:sz w:val="32"/>
          <w:szCs w:val="32"/>
          <w:lang w:val="zh-CN"/>
        </w:rPr>
        <w:t>第五部分</w:t>
      </w:r>
      <w:r>
        <w:rPr>
          <w:rFonts w:hint="eastAsia" w:ascii="仿宋" w:hAnsi="仿宋" w:eastAsia="仿宋" w:cs="仿宋"/>
          <w:b/>
          <w:bCs/>
          <w:sz w:val="32"/>
          <w:szCs w:val="32"/>
        </w:rPr>
        <w:t xml:space="preserve">  投标文件格式</w:t>
      </w:r>
      <w:bookmarkEnd w:id="353"/>
    </w:p>
    <w:p>
      <w:pPr>
        <w:autoSpaceDE w:val="0"/>
        <w:autoSpaceDN w:val="0"/>
        <w:adjustRightInd w:val="0"/>
        <w:snapToGrid w:val="0"/>
        <w:spacing w:line="360" w:lineRule="auto"/>
        <w:jc w:val="right"/>
        <w:rPr>
          <w:rFonts w:ascii="仿宋" w:hAnsi="仿宋" w:eastAsia="仿宋" w:cs="仿宋"/>
          <w:b/>
          <w:bCs/>
          <w:sz w:val="32"/>
          <w:szCs w:val="32"/>
          <w:lang w:val="zh-CN"/>
        </w:rPr>
      </w:pPr>
    </w:p>
    <w:p>
      <w:pPr>
        <w:autoSpaceDE w:val="0"/>
        <w:autoSpaceDN w:val="0"/>
        <w:adjustRightInd w:val="0"/>
        <w:snapToGrid w:val="0"/>
        <w:spacing w:line="360" w:lineRule="auto"/>
        <w:jc w:val="right"/>
        <w:rPr>
          <w:rFonts w:ascii="仿宋" w:hAnsi="仿宋" w:eastAsia="仿宋" w:cs="仿宋"/>
          <w:b/>
          <w:bCs/>
          <w:sz w:val="32"/>
          <w:szCs w:val="32"/>
          <w:lang w:val="zh-CN"/>
        </w:rPr>
      </w:pPr>
      <w:r>
        <w:rPr>
          <w:rFonts w:hint="eastAsia" w:ascii="仿宋" w:hAnsi="仿宋" w:eastAsia="仿宋" w:cs="仿宋"/>
          <w:b/>
          <w:bCs/>
          <w:sz w:val="32"/>
          <w:szCs w:val="32"/>
          <w:lang w:val="zh-CN"/>
        </w:rPr>
        <w:t>正本/副本</w:t>
      </w:r>
    </w:p>
    <w:p>
      <w:pPr>
        <w:autoSpaceDE w:val="0"/>
        <w:autoSpaceDN w:val="0"/>
        <w:adjustRightInd w:val="0"/>
        <w:spacing w:line="360" w:lineRule="auto"/>
        <w:jc w:val="left"/>
        <w:rPr>
          <w:rFonts w:ascii="仿宋" w:hAnsi="仿宋" w:eastAsia="仿宋" w:cs="仿宋"/>
          <w:b/>
          <w:bCs/>
          <w:sz w:val="32"/>
          <w:szCs w:val="32"/>
          <w:lang w:val="zh-CN"/>
        </w:rPr>
      </w:pPr>
    </w:p>
    <w:p>
      <w:pPr>
        <w:tabs>
          <w:tab w:val="left" w:pos="5670"/>
        </w:tabs>
        <w:autoSpaceDE w:val="0"/>
        <w:autoSpaceDN w:val="0"/>
        <w:adjustRightInd w:val="0"/>
        <w:spacing w:line="360" w:lineRule="auto"/>
        <w:rPr>
          <w:rFonts w:ascii="仿宋" w:hAnsi="仿宋" w:eastAsia="仿宋" w:cs="仿宋"/>
          <w:b/>
          <w:bCs/>
          <w:sz w:val="32"/>
          <w:szCs w:val="32"/>
        </w:rPr>
      </w:pPr>
      <w:r>
        <w:rPr>
          <w:rFonts w:ascii="仿宋" w:hAnsi="仿宋" w:eastAsia="仿宋" w:cs="仿宋"/>
          <w:b/>
          <w:bCs/>
          <w:sz w:val="32"/>
          <w:szCs w:val="32"/>
        </w:rPr>
        <w:t>政府采购项目</w:t>
      </w:r>
    </w:p>
    <w:p>
      <w:pPr>
        <w:autoSpaceDE w:val="0"/>
        <w:autoSpaceDN w:val="0"/>
        <w:adjustRightInd w:val="0"/>
        <w:snapToGrid w:val="0"/>
        <w:spacing w:line="360" w:lineRule="auto"/>
        <w:rPr>
          <w:rFonts w:ascii="仿宋" w:hAnsi="仿宋" w:eastAsia="仿宋" w:cs="仿宋"/>
          <w:b/>
          <w:bCs/>
          <w:sz w:val="32"/>
          <w:szCs w:val="32"/>
          <w:lang w:val="zh-CN"/>
        </w:rPr>
      </w:pPr>
      <w:r>
        <w:rPr>
          <w:rFonts w:hint="eastAsia" w:ascii="仿宋" w:hAnsi="仿宋" w:eastAsia="仿宋" w:cs="仿宋"/>
          <w:b/>
          <w:bCs/>
          <w:sz w:val="32"/>
          <w:szCs w:val="32"/>
          <w:lang w:val="zh-CN"/>
        </w:rPr>
        <w:t xml:space="preserve">政采编号：ZCSP-镇巴县-2023-00069                         </w:t>
      </w:r>
    </w:p>
    <w:p>
      <w:pPr>
        <w:tabs>
          <w:tab w:val="left" w:pos="5670"/>
        </w:tabs>
        <w:autoSpaceDE w:val="0"/>
        <w:autoSpaceDN w:val="0"/>
        <w:adjustRightInd w:val="0"/>
        <w:spacing w:line="360" w:lineRule="auto"/>
        <w:rPr>
          <w:rFonts w:ascii="仿宋" w:hAnsi="仿宋" w:eastAsia="仿宋" w:cs="仿宋"/>
          <w:b/>
          <w:bCs/>
          <w:sz w:val="32"/>
          <w:szCs w:val="32"/>
        </w:rPr>
      </w:pPr>
      <w:r>
        <w:rPr>
          <w:rFonts w:hint="eastAsia" w:ascii="仿宋" w:hAnsi="仿宋" w:eastAsia="仿宋" w:cs="仿宋"/>
          <w:b/>
          <w:bCs/>
          <w:sz w:val="32"/>
          <w:szCs w:val="32"/>
          <w:lang w:val="zh-CN"/>
        </w:rPr>
        <w:t>项目编号：</w:t>
      </w:r>
      <w:r>
        <w:rPr>
          <w:rFonts w:hint="eastAsia" w:ascii="仿宋" w:hAnsi="仿宋" w:eastAsia="仿宋" w:cs="仿宋"/>
          <w:b/>
          <w:bCs/>
          <w:sz w:val="32"/>
          <w:szCs w:val="32"/>
        </w:rPr>
        <w:t>DX2023-166</w:t>
      </w:r>
    </w:p>
    <w:p>
      <w:pPr>
        <w:tabs>
          <w:tab w:val="left" w:pos="5670"/>
        </w:tabs>
        <w:autoSpaceDE w:val="0"/>
        <w:autoSpaceDN w:val="0"/>
        <w:adjustRightInd w:val="0"/>
        <w:spacing w:line="360" w:lineRule="auto"/>
        <w:rPr>
          <w:rFonts w:ascii="宋体" w:hAnsi="宋体" w:cs="宋体"/>
          <w:b/>
          <w:bCs/>
          <w:sz w:val="44"/>
          <w:szCs w:val="44"/>
        </w:rPr>
      </w:pPr>
    </w:p>
    <w:p>
      <w:pPr>
        <w:tabs>
          <w:tab w:val="left" w:pos="5670"/>
        </w:tabs>
        <w:autoSpaceDE w:val="0"/>
        <w:autoSpaceDN w:val="0"/>
        <w:adjustRightInd w:val="0"/>
        <w:spacing w:line="360" w:lineRule="auto"/>
        <w:jc w:val="center"/>
        <w:rPr>
          <w:rFonts w:ascii="宋体" w:hAnsi="宋体" w:cs="宋体"/>
          <w:b/>
          <w:bCs/>
          <w:sz w:val="40"/>
          <w:szCs w:val="40"/>
        </w:rPr>
      </w:pPr>
      <w:r>
        <w:rPr>
          <w:rFonts w:hint="eastAsia" w:ascii="宋体" w:hAnsi="宋体" w:cs="宋体"/>
          <w:b/>
          <w:bCs/>
          <w:sz w:val="40"/>
          <w:szCs w:val="40"/>
        </w:rPr>
        <w:t>镇巴县人民医院PACS及肺小结节智能诊断系统</w:t>
      </w:r>
    </w:p>
    <w:p>
      <w:pPr>
        <w:tabs>
          <w:tab w:val="left" w:pos="5670"/>
        </w:tabs>
        <w:autoSpaceDE w:val="0"/>
        <w:autoSpaceDN w:val="0"/>
        <w:adjustRightInd w:val="0"/>
        <w:spacing w:line="360" w:lineRule="auto"/>
        <w:jc w:val="center"/>
        <w:rPr>
          <w:rFonts w:ascii="宋体" w:hAnsi="宋体" w:cs="宋体"/>
          <w:b/>
          <w:bCs/>
          <w:sz w:val="40"/>
          <w:szCs w:val="40"/>
        </w:rPr>
      </w:pPr>
      <w:r>
        <w:rPr>
          <w:rFonts w:hint="eastAsia" w:ascii="宋体" w:hAnsi="宋体" w:cs="宋体"/>
          <w:b/>
          <w:bCs/>
          <w:sz w:val="40"/>
          <w:szCs w:val="40"/>
        </w:rPr>
        <w:t>采购项目</w:t>
      </w:r>
    </w:p>
    <w:p>
      <w:pPr>
        <w:tabs>
          <w:tab w:val="left" w:pos="5670"/>
        </w:tabs>
        <w:autoSpaceDE w:val="0"/>
        <w:autoSpaceDN w:val="0"/>
        <w:adjustRightInd w:val="0"/>
        <w:spacing w:line="360" w:lineRule="auto"/>
        <w:jc w:val="center"/>
        <w:rPr>
          <w:rFonts w:ascii="宋体" w:hAnsi="宋体" w:cs="宋体"/>
          <w:b/>
          <w:bCs/>
          <w:sz w:val="44"/>
          <w:szCs w:val="44"/>
        </w:rPr>
      </w:pPr>
      <w:r>
        <w:rPr>
          <w:rFonts w:hint="eastAsia" w:ascii="宋体" w:hAnsi="宋体" w:cs="宋体"/>
          <w:b/>
          <w:bCs/>
          <w:sz w:val="44"/>
          <w:szCs w:val="44"/>
        </w:rPr>
        <w:t>（包1：PACS系统）</w:t>
      </w:r>
    </w:p>
    <w:p>
      <w:pPr>
        <w:pStyle w:val="21"/>
        <w:ind w:firstLine="210"/>
        <w:rPr>
          <w:rFonts w:ascii="仿宋" w:hAnsi="仿宋" w:eastAsia="仿宋" w:cs="仿宋"/>
        </w:rPr>
      </w:pPr>
    </w:p>
    <w:p>
      <w:pPr>
        <w:tabs>
          <w:tab w:val="left" w:pos="5670"/>
        </w:tabs>
        <w:autoSpaceDE w:val="0"/>
        <w:autoSpaceDN w:val="0"/>
        <w:adjustRightInd w:val="0"/>
        <w:spacing w:line="360" w:lineRule="auto"/>
        <w:jc w:val="center"/>
        <w:rPr>
          <w:rFonts w:ascii="仿宋" w:hAnsi="仿宋" w:eastAsia="仿宋" w:cs="仿宋"/>
          <w:b/>
          <w:sz w:val="44"/>
          <w:szCs w:val="44"/>
        </w:rPr>
      </w:pPr>
    </w:p>
    <w:p>
      <w:pPr>
        <w:tabs>
          <w:tab w:val="left" w:pos="5670"/>
        </w:tabs>
        <w:autoSpaceDE w:val="0"/>
        <w:autoSpaceDN w:val="0"/>
        <w:adjustRightInd w:val="0"/>
        <w:spacing w:line="360" w:lineRule="auto"/>
        <w:jc w:val="center"/>
        <w:rPr>
          <w:rFonts w:ascii="仿宋" w:hAnsi="仿宋" w:eastAsia="仿宋" w:cs="仿宋"/>
          <w:b/>
          <w:sz w:val="44"/>
          <w:szCs w:val="44"/>
        </w:rPr>
      </w:pPr>
      <w:r>
        <w:rPr>
          <w:rFonts w:hint="eastAsia" w:ascii="仿宋" w:hAnsi="仿宋" w:eastAsia="仿宋" w:cs="仿宋"/>
          <w:b/>
          <w:sz w:val="44"/>
          <w:szCs w:val="44"/>
        </w:rPr>
        <w:t>投 标 文 件</w:t>
      </w:r>
    </w:p>
    <w:p>
      <w:pPr>
        <w:autoSpaceDE w:val="0"/>
        <w:autoSpaceDN w:val="0"/>
        <w:adjustRightInd w:val="0"/>
        <w:spacing w:line="360" w:lineRule="auto"/>
        <w:jc w:val="center"/>
        <w:rPr>
          <w:rFonts w:ascii="仿宋" w:hAnsi="仿宋" w:eastAsia="仿宋" w:cs="仿宋"/>
          <w:sz w:val="32"/>
          <w:szCs w:val="32"/>
        </w:rPr>
      </w:pPr>
    </w:p>
    <w:p>
      <w:pPr>
        <w:autoSpaceDE w:val="0"/>
        <w:autoSpaceDN w:val="0"/>
        <w:adjustRightInd w:val="0"/>
        <w:spacing w:line="360" w:lineRule="auto"/>
        <w:jc w:val="center"/>
        <w:rPr>
          <w:rFonts w:ascii="仿宋" w:hAnsi="仿宋" w:eastAsia="仿宋" w:cs="仿宋"/>
          <w:sz w:val="32"/>
          <w:szCs w:val="32"/>
        </w:rPr>
      </w:pPr>
    </w:p>
    <w:p>
      <w:pPr>
        <w:pStyle w:val="38"/>
        <w:rPr>
          <w:rFonts w:ascii="仿宋" w:hAnsi="仿宋" w:eastAsia="仿宋" w:cs="仿宋"/>
        </w:rPr>
      </w:pPr>
    </w:p>
    <w:p>
      <w:pPr>
        <w:pStyle w:val="38"/>
        <w:rPr>
          <w:rFonts w:ascii="仿宋" w:hAnsi="仿宋" w:eastAsia="仿宋" w:cs="仿宋"/>
        </w:rPr>
      </w:pP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投  标 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（盖章）</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sz w:val="32"/>
        </w:rPr>
        <w:t>法定代表人或授权代表：</w:t>
      </w:r>
      <w:r>
        <w:rPr>
          <w:rFonts w:hint="eastAsia" w:ascii="仿宋" w:hAnsi="仿宋" w:eastAsia="仿宋" w:cs="仿宋"/>
          <w:b/>
          <w:sz w:val="32"/>
          <w:u w:val="single"/>
        </w:rPr>
        <w:t xml:space="preserve">             </w:t>
      </w:r>
      <w:r>
        <w:rPr>
          <w:rFonts w:hint="eastAsia" w:ascii="仿宋" w:hAnsi="仿宋" w:eastAsia="仿宋" w:cs="仿宋"/>
          <w:b/>
          <w:bCs/>
          <w:sz w:val="32"/>
          <w:szCs w:val="32"/>
        </w:rPr>
        <w:t>（签字）</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日    期：</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pageBreakBefore/>
        <w:spacing w:line="360" w:lineRule="auto"/>
        <w:jc w:val="center"/>
        <w:rPr>
          <w:rFonts w:ascii="仿宋" w:hAnsi="仿宋" w:eastAsia="仿宋" w:cs="仿宋"/>
          <w:b/>
          <w:bCs/>
          <w:sz w:val="32"/>
          <w:szCs w:val="15"/>
          <w:lang w:val="zh-CN"/>
        </w:rPr>
      </w:pPr>
      <w:r>
        <w:rPr>
          <w:rFonts w:hint="eastAsia" w:ascii="仿宋" w:hAnsi="仿宋" w:eastAsia="仿宋" w:cs="仿宋"/>
          <w:b/>
          <w:bCs/>
          <w:sz w:val="32"/>
          <w:szCs w:val="15"/>
          <w:lang w:val="zh-CN"/>
        </w:rPr>
        <w:t>目</w:t>
      </w:r>
      <w:r>
        <w:rPr>
          <w:rFonts w:hint="eastAsia" w:ascii="仿宋" w:hAnsi="仿宋" w:eastAsia="仿宋" w:cs="仿宋"/>
          <w:b/>
          <w:bCs/>
          <w:sz w:val="32"/>
          <w:szCs w:val="15"/>
        </w:rPr>
        <w:t xml:space="preserve">  </w:t>
      </w:r>
      <w:r>
        <w:rPr>
          <w:rFonts w:hint="eastAsia" w:ascii="仿宋" w:hAnsi="仿宋" w:eastAsia="仿宋" w:cs="仿宋"/>
          <w:b/>
          <w:bCs/>
          <w:sz w:val="32"/>
          <w:szCs w:val="15"/>
          <w:lang w:val="zh-CN"/>
        </w:rPr>
        <w:t>录</w:t>
      </w:r>
    </w:p>
    <w:p>
      <w:pPr>
        <w:jc w:val="center"/>
        <w:rPr>
          <w:rFonts w:ascii="仿宋" w:hAnsi="仿宋" w:eastAsia="仿宋" w:cs="仿宋"/>
          <w:lang w:val="zh-CN"/>
        </w:rPr>
      </w:pPr>
      <w:r>
        <w:rPr>
          <w:rFonts w:hint="eastAsia" w:ascii="仿宋" w:hAnsi="仿宋" w:eastAsia="仿宋" w:cs="仿宋"/>
          <w:sz w:val="24"/>
          <w:szCs w:val="16"/>
          <w:lang w:val="zh-CN"/>
        </w:rPr>
        <w:t>请根据投标文件内容自动生成目录</w:t>
      </w:r>
    </w:p>
    <w:p>
      <w:pPr>
        <w:pageBreakBefore/>
        <w:spacing w:line="360" w:lineRule="auto"/>
        <w:jc w:val="center"/>
        <w:outlineLvl w:val="1"/>
        <w:rPr>
          <w:rFonts w:ascii="仿宋" w:hAnsi="仿宋" w:eastAsia="仿宋" w:cs="仿宋"/>
          <w:lang w:val="zh-CN"/>
        </w:rPr>
      </w:pPr>
      <w:bookmarkStart w:id="354" w:name="_Toc13697"/>
      <w:bookmarkStart w:id="355" w:name="_Toc3821"/>
      <w:bookmarkStart w:id="356" w:name="_Toc14636"/>
      <w:bookmarkStart w:id="357" w:name="_Toc27884"/>
      <w:bookmarkStart w:id="358" w:name="_Toc20494"/>
      <w:bookmarkStart w:id="359" w:name="_Toc32314"/>
      <w:r>
        <w:rPr>
          <w:rFonts w:hint="eastAsia" w:ascii="仿宋" w:hAnsi="仿宋" w:eastAsia="仿宋" w:cs="仿宋"/>
          <w:b/>
          <w:bCs/>
          <w:sz w:val="32"/>
          <w:szCs w:val="15"/>
          <w:lang w:val="zh-CN"/>
        </w:rPr>
        <w:t>一、投标函</w:t>
      </w:r>
      <w:bookmarkEnd w:id="354"/>
      <w:bookmarkEnd w:id="355"/>
      <w:bookmarkEnd w:id="356"/>
      <w:bookmarkEnd w:id="357"/>
      <w:bookmarkEnd w:id="358"/>
      <w:bookmarkEnd w:id="359"/>
    </w:p>
    <w:p>
      <w:pPr>
        <w:autoSpaceDE w:val="0"/>
        <w:autoSpaceDN w:val="0"/>
        <w:adjustRightInd w:val="0"/>
        <w:spacing w:line="360" w:lineRule="auto"/>
        <w:rPr>
          <w:rFonts w:ascii="仿宋" w:hAnsi="仿宋" w:eastAsia="仿宋" w:cs="仿宋"/>
          <w:b/>
          <w:bCs/>
          <w:sz w:val="24"/>
          <w:szCs w:val="24"/>
        </w:rPr>
      </w:pPr>
      <w:r>
        <w:rPr>
          <w:rFonts w:hint="eastAsia" w:ascii="仿宋" w:hAnsi="仿宋" w:eastAsia="仿宋" w:cs="仿宋"/>
          <w:b/>
          <w:bCs/>
          <w:sz w:val="24"/>
          <w:szCs w:val="24"/>
          <w:lang w:val="zh-CN"/>
        </w:rPr>
        <w:t>陕西笃信招标有限公司：</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我单位收到贵公司关于</w:t>
      </w:r>
      <w:r>
        <w:rPr>
          <w:rFonts w:hint="eastAsia" w:ascii="仿宋" w:hAnsi="仿宋" w:eastAsia="仿宋" w:cs="仿宋"/>
          <w:sz w:val="24"/>
          <w:szCs w:val="24"/>
          <w:u w:val="single"/>
        </w:rPr>
        <w:t>镇巴县人民医院PACS及肺小结节智能诊断系统采购项目</w:t>
      </w:r>
      <w:r>
        <w:rPr>
          <w:rFonts w:hint="eastAsia" w:ascii="仿宋" w:hAnsi="仿宋" w:eastAsia="仿宋" w:cs="仿宋"/>
          <w:sz w:val="24"/>
          <w:szCs w:val="24"/>
        </w:rPr>
        <w:t>（项目编号：DX2023-166）的招标文件，经详细研究，我们决定参加本次项目第</w:t>
      </w:r>
      <w:r>
        <w:rPr>
          <w:rFonts w:hint="eastAsia" w:ascii="仿宋" w:hAnsi="仿宋" w:eastAsia="仿宋" w:cs="仿宋"/>
          <w:sz w:val="24"/>
          <w:szCs w:val="24"/>
          <w:u w:val="single"/>
        </w:rPr>
        <w:t xml:space="preserve"> 1 </w:t>
      </w:r>
      <w:r>
        <w:rPr>
          <w:rFonts w:hint="eastAsia" w:ascii="仿宋" w:hAnsi="仿宋" w:eastAsia="仿宋" w:cs="仿宋"/>
          <w:sz w:val="24"/>
          <w:szCs w:val="24"/>
        </w:rPr>
        <w:t>包招标活动并投标。为此，我方郑重声明以下诸点，并负法律责任。</w:t>
      </w:r>
    </w:p>
    <w:p>
      <w:pPr>
        <w:numPr>
          <w:ilvl w:val="0"/>
          <w:numId w:val="5"/>
        </w:num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愿意按照招标文件中的一切要求，向采购人提供所需所有货物。</w:t>
      </w:r>
    </w:p>
    <w:p>
      <w:pPr>
        <w:pStyle w:val="14"/>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二、按招标文件的规定，我公司的投标总报价大写：</w:t>
      </w:r>
      <w:r>
        <w:rPr>
          <w:rFonts w:hint="eastAsia" w:ascii="仿宋" w:hAnsi="仿宋" w:eastAsia="仿宋" w:cs="仿宋"/>
          <w:sz w:val="24"/>
          <w:szCs w:val="24"/>
          <w:u w:val="single"/>
        </w:rPr>
        <w:t xml:space="preserve">        </w:t>
      </w:r>
      <w:r>
        <w:rPr>
          <w:rFonts w:hint="eastAsia" w:ascii="仿宋" w:hAnsi="仿宋" w:eastAsia="仿宋" w:cs="仿宋"/>
          <w:sz w:val="24"/>
          <w:szCs w:val="24"/>
        </w:rPr>
        <w:t>小写：</w:t>
      </w:r>
      <w:r>
        <w:rPr>
          <w:rFonts w:hint="eastAsia" w:ascii="仿宋" w:hAnsi="仿宋" w:eastAsia="仿宋" w:cs="仿宋"/>
          <w:sz w:val="24"/>
          <w:szCs w:val="24"/>
          <w:u w:val="single"/>
        </w:rPr>
        <w:t xml:space="preserve">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三、我方提交的投标文件正本一份、副本三份、第五部分 四、投标人资格证明文件一份及有效电子版一份，并保证投标文件提供的数据和材料真实、准确。否则，愿承担相关的法律责任。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四、我方已详细阅读了招标文件，完全理解并放弃提出含糊不清或易形成歧义的表述和资料。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五、我方愿意向贵方提供任何与本次招标有关的数据、情况、样品和技术资料，若贵方需要，我方愿意提供我方作出的一切承诺的证明材料。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六、开标后在规定的投标有效期内撤回投标，我们愿接受政府采购的有关处罚决定。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七、我方承诺遵守《中华人民共和国政府采购法》及其实施条例的有关规定，保证在获得中标资格后：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1、按照招标文件确定的事项签订合同，履行双方所签订的合同，并承担合同规定的责任和义务；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2、我方保证按规定和标准向贵方缴纳中标服务费；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3、投标文件有效期延长至合同履行完毕，且有效期自开标之日起不少于90天。</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八、我方完全理解最低报价不是中标的唯一条件，并尊重评标委员会的评标结论和定标结果。</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九、一旦我方中标,我方同意与使用单位签订保密协议；</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十、有关于本投标文件的函电，请按下列地址联系。</w:t>
      </w:r>
    </w:p>
    <w:p>
      <w:pPr>
        <w:autoSpaceDE w:val="0"/>
        <w:autoSpaceDN w:val="0"/>
        <w:adjustRightInd w:val="0"/>
        <w:spacing w:line="360" w:lineRule="auto"/>
        <w:ind w:firstLine="480" w:firstLineChars="200"/>
        <w:rPr>
          <w:rFonts w:ascii="仿宋" w:hAnsi="仿宋" w:eastAsia="仿宋" w:cs="仿宋"/>
          <w:b/>
          <w:sz w:val="24"/>
          <w:szCs w:val="24"/>
          <w:u w:val="single"/>
        </w:rPr>
      </w:pPr>
      <w:r>
        <w:rPr>
          <w:rFonts w:hint="eastAsia" w:ascii="仿宋" w:hAnsi="仿宋" w:eastAsia="仿宋" w:cs="仿宋"/>
          <w:sz w:val="24"/>
          <w:szCs w:val="24"/>
        </w:rPr>
        <w:t>投标人全称（印章）：</w:t>
      </w:r>
      <w:r>
        <w:rPr>
          <w:rFonts w:hint="eastAsia" w:ascii="仿宋" w:hAnsi="仿宋" w:eastAsia="仿宋" w:cs="仿宋"/>
          <w:b/>
          <w:sz w:val="24"/>
          <w:szCs w:val="24"/>
          <w:u w:val="single"/>
        </w:rPr>
        <w:t xml:space="preserve">                                 </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b/>
          <w:sz w:val="24"/>
          <w:szCs w:val="24"/>
          <w:u w:val="single"/>
        </w:rPr>
        <w:t xml:space="preserve">                                           </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b/>
          <w:sz w:val="24"/>
          <w:szCs w:val="24"/>
          <w:u w:val="single"/>
        </w:rPr>
        <w:t xml:space="preserve">                                           </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账    号：</w:t>
      </w:r>
      <w:r>
        <w:rPr>
          <w:rFonts w:hint="eastAsia" w:ascii="仿宋" w:hAnsi="仿宋" w:eastAsia="仿宋" w:cs="仿宋"/>
          <w:b/>
          <w:sz w:val="24"/>
          <w:szCs w:val="24"/>
          <w:u w:val="single"/>
        </w:rPr>
        <w:t xml:space="preserve">                                           </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b/>
          <w:sz w:val="24"/>
          <w:szCs w:val="24"/>
          <w:u w:val="single"/>
        </w:rPr>
        <w:t xml:space="preserve">                                          </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传    真：</w:t>
      </w:r>
      <w:r>
        <w:rPr>
          <w:rFonts w:hint="eastAsia" w:ascii="仿宋" w:hAnsi="仿宋" w:eastAsia="仿宋" w:cs="仿宋"/>
          <w:b/>
          <w:sz w:val="24"/>
          <w:szCs w:val="24"/>
          <w:u w:val="single"/>
        </w:rPr>
        <w:t xml:space="preserve">                                          </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邮    编：</w:t>
      </w:r>
      <w:r>
        <w:rPr>
          <w:rFonts w:hint="eastAsia" w:ascii="仿宋" w:hAnsi="仿宋" w:eastAsia="仿宋" w:cs="仿宋"/>
          <w:b/>
          <w:sz w:val="24"/>
          <w:szCs w:val="24"/>
          <w:u w:val="single"/>
        </w:rPr>
        <w:t xml:space="preserve">                                          </w:t>
      </w:r>
      <w:r>
        <w:rPr>
          <w:rFonts w:hint="eastAsia" w:ascii="仿宋" w:hAnsi="仿宋" w:eastAsia="仿宋" w:cs="仿宋"/>
          <w:sz w:val="24"/>
          <w:szCs w:val="24"/>
        </w:rPr>
        <w:t xml:space="preserve"> </w:t>
      </w:r>
    </w:p>
    <w:p>
      <w:pPr>
        <w:autoSpaceDE w:val="0"/>
        <w:autoSpaceDN w:val="0"/>
        <w:adjustRightInd w:val="0"/>
        <w:spacing w:line="360" w:lineRule="auto"/>
        <w:jc w:val="center"/>
        <w:rPr>
          <w:rFonts w:ascii="仿宋" w:hAnsi="仿宋" w:eastAsia="仿宋" w:cs="仿宋"/>
          <w:sz w:val="24"/>
          <w:szCs w:val="24"/>
        </w:rPr>
      </w:pPr>
      <w:r>
        <w:rPr>
          <w:rFonts w:hint="eastAsia" w:ascii="仿宋" w:hAnsi="仿宋" w:eastAsia="仿宋" w:cs="仿宋"/>
          <w:sz w:val="24"/>
          <w:szCs w:val="24"/>
        </w:rPr>
        <w:t xml:space="preserve">                 </w:t>
      </w:r>
    </w:p>
    <w:p>
      <w:pPr>
        <w:autoSpaceDE w:val="0"/>
        <w:autoSpaceDN w:val="0"/>
        <w:adjustRightInd w:val="0"/>
        <w:snapToGrid w:val="0"/>
        <w:spacing w:line="360" w:lineRule="auto"/>
        <w:jc w:val="right"/>
        <w:rPr>
          <w:rFonts w:ascii="仿宋" w:hAnsi="仿宋" w:eastAsia="仿宋" w:cs="仿宋"/>
          <w:sz w:val="24"/>
          <w:szCs w:val="24"/>
          <w:lang w:val="zh-CN"/>
        </w:rPr>
        <w:sectPr>
          <w:headerReference r:id="rId5" w:type="default"/>
          <w:footerReference r:id="rId6" w:type="default"/>
          <w:pgSz w:w="11906" w:h="16838"/>
          <w:pgMar w:top="1417" w:right="1701" w:bottom="1417" w:left="1701" w:header="851" w:footer="992" w:gutter="0"/>
          <w:cols w:space="720" w:num="1"/>
          <w:docGrid w:linePitch="312" w:charSpace="0"/>
        </w:sect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4"/>
        <w:spacing w:line="360" w:lineRule="auto"/>
        <w:rPr>
          <w:rFonts w:ascii="仿宋" w:hAnsi="仿宋" w:eastAsia="仿宋" w:cs="仿宋"/>
          <w:sz w:val="32"/>
          <w:szCs w:val="15"/>
          <w:lang w:val="zh-CN"/>
        </w:rPr>
      </w:pPr>
      <w:bookmarkStart w:id="360" w:name="_Toc12108"/>
      <w:bookmarkStart w:id="361" w:name="_Toc15900"/>
      <w:bookmarkStart w:id="362" w:name="_Toc3436"/>
      <w:bookmarkStart w:id="363" w:name="_Toc30818"/>
      <w:bookmarkStart w:id="364" w:name="_Toc30144"/>
      <w:bookmarkStart w:id="365" w:name="_Toc4521"/>
      <w:bookmarkStart w:id="366" w:name="_Toc22952"/>
      <w:bookmarkStart w:id="367" w:name="_Toc7809"/>
      <w:bookmarkStart w:id="368" w:name="_Toc19367"/>
      <w:bookmarkStart w:id="369" w:name="_Toc20056"/>
      <w:bookmarkStart w:id="370" w:name="_Toc18879"/>
      <w:bookmarkStart w:id="371" w:name="_Toc22013"/>
      <w:bookmarkStart w:id="372" w:name="_Toc24304"/>
      <w:bookmarkStart w:id="373" w:name="_Toc16389"/>
      <w:bookmarkStart w:id="374" w:name="_Toc18565"/>
      <w:bookmarkStart w:id="375" w:name="_Toc13002"/>
      <w:bookmarkStart w:id="376" w:name="_Toc475451554"/>
      <w:bookmarkStart w:id="377" w:name="_Toc17040"/>
      <w:bookmarkStart w:id="378" w:name="_Toc475451801"/>
      <w:bookmarkStart w:id="379" w:name="_Toc473056004"/>
      <w:r>
        <w:rPr>
          <w:rFonts w:hint="eastAsia" w:ascii="仿宋" w:hAnsi="仿宋" w:eastAsia="仿宋" w:cs="仿宋"/>
          <w:sz w:val="32"/>
          <w:szCs w:val="15"/>
          <w:lang w:val="zh-CN"/>
        </w:rPr>
        <w:t>二、开标一览表（唱标报告）</w:t>
      </w:r>
      <w:bookmarkEnd w:id="360"/>
      <w:bookmarkEnd w:id="361"/>
      <w:bookmarkEnd w:id="362"/>
      <w:bookmarkEnd w:id="363"/>
      <w:bookmarkEnd w:id="364"/>
      <w:bookmarkEnd w:id="365"/>
      <w:bookmarkEnd w:id="366"/>
      <w:bookmarkEnd w:id="367"/>
      <w:bookmarkEnd w:id="368"/>
    </w:p>
    <w:tbl>
      <w:tblPr>
        <w:tblStyle w:val="23"/>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6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208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项目名称</w:t>
            </w:r>
          </w:p>
        </w:tc>
        <w:tc>
          <w:tcPr>
            <w:tcW w:w="6488"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镇巴县人民医院PACS及肺小结节智能诊断系统采购项目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208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包号及名称</w:t>
            </w:r>
          </w:p>
        </w:tc>
        <w:tc>
          <w:tcPr>
            <w:tcW w:w="6488"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u w:val="single"/>
              </w:rPr>
              <w:t xml:space="preserve">第 1 包： PACS系统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208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项目编号</w:t>
            </w:r>
          </w:p>
        </w:tc>
        <w:tc>
          <w:tcPr>
            <w:tcW w:w="6488"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DX2023-166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2087" w:type="dxa"/>
            <w:vAlign w:val="center"/>
          </w:tcPr>
          <w:p>
            <w:pPr>
              <w:widowControl/>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投标总报价</w:t>
            </w:r>
          </w:p>
          <w:p>
            <w:pPr>
              <w:widowControl/>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（元）</w:t>
            </w:r>
          </w:p>
        </w:tc>
        <w:tc>
          <w:tcPr>
            <w:tcW w:w="6488" w:type="dxa"/>
            <w:vAlign w:val="center"/>
          </w:tcPr>
          <w:p>
            <w:pPr>
              <w:widowControl/>
              <w:spacing w:line="360" w:lineRule="auto"/>
              <w:jc w:val="left"/>
              <w:rPr>
                <w:rFonts w:ascii="仿宋" w:hAnsi="仿宋" w:eastAsia="仿宋" w:cs="仿宋"/>
                <w:kern w:val="0"/>
                <w:sz w:val="24"/>
                <w:szCs w:val="24"/>
              </w:rPr>
            </w:pPr>
            <w:r>
              <w:rPr>
                <w:rFonts w:hint="eastAsia" w:ascii="仿宋" w:hAnsi="仿宋" w:eastAsia="仿宋" w:cs="仿宋"/>
                <w:kern w:val="0"/>
                <w:sz w:val="24"/>
                <w:szCs w:val="24"/>
              </w:rPr>
              <w:t>　</w:t>
            </w:r>
          </w:p>
          <w:p>
            <w:pPr>
              <w:widowControl/>
              <w:spacing w:line="360" w:lineRule="auto"/>
              <w:jc w:val="left"/>
              <w:rPr>
                <w:rFonts w:ascii="仿宋" w:hAnsi="仿宋" w:eastAsia="仿宋" w:cs="仿宋"/>
                <w:kern w:val="0"/>
                <w:sz w:val="24"/>
                <w:szCs w:val="24"/>
              </w:rPr>
            </w:pPr>
            <w:r>
              <w:rPr>
                <w:rFonts w:hint="eastAsia" w:ascii="仿宋" w:hAnsi="仿宋" w:eastAsia="仿宋" w:cs="仿宋"/>
                <w:kern w:val="0"/>
                <w:sz w:val="24"/>
                <w:szCs w:val="24"/>
              </w:rPr>
              <w:t>大写：</w:t>
            </w:r>
          </w:p>
          <w:p>
            <w:pPr>
              <w:widowControl/>
              <w:spacing w:line="360" w:lineRule="auto"/>
              <w:jc w:val="left"/>
              <w:rPr>
                <w:rFonts w:ascii="仿宋" w:hAnsi="仿宋" w:eastAsia="仿宋" w:cs="仿宋"/>
                <w:kern w:val="0"/>
                <w:sz w:val="24"/>
                <w:szCs w:val="24"/>
              </w:rPr>
            </w:pPr>
            <w:r>
              <w:rPr>
                <w:rFonts w:hint="eastAsia" w:ascii="仿宋" w:hAnsi="仿宋" w:eastAsia="仿宋" w:cs="仿宋"/>
                <w:kern w:val="0"/>
                <w:sz w:val="24"/>
                <w:szCs w:val="24"/>
              </w:rPr>
              <w:t>小写：</w:t>
            </w:r>
          </w:p>
          <w:p>
            <w:pPr>
              <w:widowControl/>
              <w:spacing w:line="360" w:lineRule="auto"/>
              <w:jc w:val="left"/>
              <w:rPr>
                <w:rFonts w:ascii="仿宋" w:hAnsi="仿宋" w:eastAsia="仿宋" w:cs="仿宋"/>
                <w:kern w:val="0"/>
                <w:sz w:val="24"/>
                <w:szCs w:val="24"/>
              </w:rPr>
            </w:pPr>
            <w:r>
              <w:rPr>
                <w:rFonts w:hint="eastAsia" w:ascii="仿宋" w:hAnsi="仿宋"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087" w:type="dxa"/>
            <w:vAlign w:val="center"/>
          </w:tcPr>
          <w:p>
            <w:pPr>
              <w:widowControl/>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服务期</w:t>
            </w:r>
          </w:p>
        </w:tc>
        <w:tc>
          <w:tcPr>
            <w:tcW w:w="6488" w:type="dxa"/>
            <w:vAlign w:val="center"/>
          </w:tcPr>
          <w:p>
            <w:pPr>
              <w:widowControl/>
              <w:spacing w:line="360" w:lineRule="auto"/>
              <w:jc w:val="left"/>
              <w:rPr>
                <w:rFonts w:ascii="仿宋" w:hAnsi="仿宋" w:eastAsia="仿宋" w:cs="仿宋"/>
                <w:kern w:val="0"/>
                <w:sz w:val="24"/>
                <w:szCs w:val="24"/>
              </w:rPr>
            </w:pPr>
          </w:p>
        </w:tc>
      </w:tr>
    </w:tbl>
    <w:p>
      <w:pPr>
        <w:widowControl/>
        <w:spacing w:line="360"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说明：</w:t>
      </w:r>
    </w:p>
    <w:p>
      <w:pPr>
        <w:widowControl/>
        <w:spacing w:line="360"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1.本表所列各项数据与招标文件其它地方表述不一致时，以本表为准。</w:t>
      </w:r>
    </w:p>
    <w:p>
      <w:pPr>
        <w:widowControl/>
        <w:spacing w:line="360"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2.投标总报价以元为单位，四舍五入精确到小数点后两位。</w:t>
      </w:r>
    </w:p>
    <w:p>
      <w:pPr>
        <w:widowControl/>
        <w:spacing w:line="360"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3.投标总报价应与分项报价表中合计金额一致。</w:t>
      </w:r>
    </w:p>
    <w:p>
      <w:pPr>
        <w:widowControl/>
        <w:spacing w:line="360" w:lineRule="auto"/>
        <w:rPr>
          <w:rFonts w:ascii="仿宋" w:hAnsi="仿宋" w:eastAsia="仿宋" w:cs="仿宋"/>
          <w:bCs/>
          <w:kern w:val="0"/>
          <w:sz w:val="24"/>
          <w:szCs w:val="24"/>
        </w:rPr>
      </w:pPr>
    </w:p>
    <w:p>
      <w:pPr>
        <w:spacing w:line="360" w:lineRule="auto"/>
        <w:ind w:firstLine="4080" w:firstLineChars="1700"/>
        <w:rPr>
          <w:rFonts w:ascii="仿宋" w:hAnsi="仿宋" w:eastAsia="仿宋" w:cs="仿宋"/>
          <w:sz w:val="24"/>
          <w:szCs w:val="24"/>
        </w:rPr>
      </w:pPr>
      <w:r>
        <w:rPr>
          <w:rFonts w:hint="eastAsia" w:ascii="仿宋" w:hAnsi="仿宋" w:eastAsia="仿宋" w:cs="仿宋"/>
          <w:sz w:val="24"/>
          <w:szCs w:val="24"/>
        </w:rPr>
        <w:t>投标人（公章）：</w:t>
      </w:r>
      <w:r>
        <w:rPr>
          <w:rFonts w:hint="eastAsia" w:ascii="仿宋" w:hAnsi="仿宋" w:eastAsia="仿宋" w:cs="仿宋"/>
          <w:sz w:val="24"/>
          <w:szCs w:val="24"/>
          <w:u w:val="single"/>
        </w:rPr>
        <w:t xml:space="preserve">                        </w:t>
      </w:r>
    </w:p>
    <w:p>
      <w:pPr>
        <w:spacing w:line="360" w:lineRule="auto"/>
        <w:ind w:firstLine="4080" w:firstLineChars="17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adjustRightInd w:val="0"/>
        <w:snapToGrid w:val="0"/>
        <w:spacing w:line="360" w:lineRule="auto"/>
        <w:ind w:firstLine="4080" w:firstLineChars="1700"/>
        <w:rPr>
          <w:rFonts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pStyle w:val="4"/>
        <w:keepNext w:val="0"/>
        <w:pageBreakBefore/>
        <w:spacing w:line="360" w:lineRule="auto"/>
        <w:ind w:left="420" w:leftChars="200"/>
        <w:rPr>
          <w:rFonts w:ascii="仿宋" w:hAnsi="仿宋" w:eastAsia="仿宋" w:cs="仿宋"/>
          <w:sz w:val="32"/>
          <w:szCs w:val="32"/>
        </w:rPr>
      </w:pPr>
      <w:bookmarkStart w:id="380" w:name="_Toc22783"/>
      <w:r>
        <w:rPr>
          <w:rFonts w:hint="eastAsia" w:ascii="仿宋" w:hAnsi="仿宋" w:eastAsia="仿宋" w:cs="仿宋"/>
          <w:sz w:val="32"/>
          <w:szCs w:val="32"/>
        </w:rPr>
        <w:t>三、</w:t>
      </w:r>
      <w:bookmarkEnd w:id="369"/>
      <w:bookmarkEnd w:id="370"/>
      <w:bookmarkEnd w:id="371"/>
      <w:r>
        <w:rPr>
          <w:rFonts w:hint="eastAsia" w:ascii="仿宋" w:hAnsi="仿宋" w:eastAsia="仿宋" w:cs="仿宋"/>
          <w:sz w:val="32"/>
          <w:szCs w:val="32"/>
        </w:rPr>
        <w:t>分项报价表</w:t>
      </w:r>
      <w:bookmarkEnd w:id="372"/>
      <w:bookmarkEnd w:id="373"/>
      <w:bookmarkEnd w:id="374"/>
      <w:bookmarkEnd w:id="375"/>
      <w:bookmarkEnd w:id="380"/>
    </w:p>
    <w:p>
      <w:pPr>
        <w:ind w:left="420" w:leftChars="200"/>
        <w:jc w:val="center"/>
        <w:rPr>
          <w:rFonts w:ascii="仿宋" w:hAnsi="仿宋" w:eastAsia="仿宋" w:cs="仿宋"/>
          <w:sz w:val="24"/>
          <w:szCs w:val="24"/>
        </w:rPr>
      </w:pPr>
    </w:p>
    <w:p>
      <w:pPr>
        <w:ind w:left="420" w:leftChars="200"/>
        <w:jc w:val="center"/>
        <w:rPr>
          <w:rFonts w:ascii="仿宋" w:hAnsi="仿宋" w:eastAsia="仿宋" w:cs="仿宋"/>
          <w:sz w:val="24"/>
          <w:szCs w:val="24"/>
        </w:rPr>
      </w:pPr>
      <w:r>
        <w:rPr>
          <w:rFonts w:hint="eastAsia" w:ascii="仿宋" w:hAnsi="仿宋" w:eastAsia="仿宋" w:cs="仿宋"/>
          <w:sz w:val="24"/>
          <w:szCs w:val="24"/>
        </w:rPr>
        <w:t>投标人自行编制</w:t>
      </w:r>
    </w:p>
    <w:p>
      <w:pPr>
        <w:pStyle w:val="14"/>
        <w:rPr>
          <w:rFonts w:ascii="仿宋" w:hAnsi="仿宋" w:eastAsia="仿宋" w:cs="仿宋"/>
          <w:sz w:val="24"/>
          <w:szCs w:val="24"/>
        </w:rPr>
      </w:pPr>
    </w:p>
    <w:p>
      <w:pPr>
        <w:pStyle w:val="14"/>
        <w:rPr>
          <w:rFonts w:ascii="仿宋" w:hAnsi="仿宋" w:eastAsia="仿宋" w:cs="仿宋"/>
          <w:sz w:val="24"/>
          <w:szCs w:val="24"/>
        </w:rPr>
      </w:pPr>
    </w:p>
    <w:p>
      <w:pPr>
        <w:pStyle w:val="14"/>
        <w:rPr>
          <w:rFonts w:ascii="仿宋" w:hAnsi="仿宋" w:eastAsia="仿宋" w:cs="仿宋"/>
          <w:sz w:val="24"/>
          <w:szCs w:val="24"/>
        </w:rPr>
      </w:pPr>
    </w:p>
    <w:p>
      <w:pPr>
        <w:pStyle w:val="14"/>
        <w:rPr>
          <w:rFonts w:ascii="仿宋" w:hAnsi="仿宋" w:eastAsia="仿宋" w:cs="仿宋"/>
          <w:sz w:val="24"/>
          <w:szCs w:val="24"/>
        </w:rPr>
      </w:pPr>
    </w:p>
    <w:p>
      <w:pPr>
        <w:spacing w:line="360" w:lineRule="auto"/>
        <w:ind w:firstLine="4080" w:firstLineChars="1700"/>
        <w:rPr>
          <w:rFonts w:ascii="仿宋" w:hAnsi="仿宋" w:eastAsia="仿宋" w:cs="仿宋"/>
          <w:sz w:val="24"/>
          <w:szCs w:val="24"/>
        </w:rPr>
      </w:pPr>
      <w:r>
        <w:rPr>
          <w:rFonts w:hint="eastAsia" w:ascii="仿宋" w:hAnsi="仿宋" w:eastAsia="仿宋" w:cs="仿宋"/>
          <w:sz w:val="24"/>
          <w:szCs w:val="24"/>
        </w:rPr>
        <w:t>投标人（公章）：</w:t>
      </w:r>
      <w:r>
        <w:rPr>
          <w:rFonts w:hint="eastAsia" w:ascii="仿宋" w:hAnsi="仿宋" w:eastAsia="仿宋" w:cs="仿宋"/>
          <w:sz w:val="24"/>
          <w:szCs w:val="24"/>
          <w:u w:val="single"/>
        </w:rPr>
        <w:t xml:space="preserve">                       </w:t>
      </w:r>
    </w:p>
    <w:p>
      <w:pPr>
        <w:spacing w:line="360" w:lineRule="auto"/>
        <w:ind w:firstLine="4080" w:firstLineChars="17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pStyle w:val="14"/>
        <w:ind w:firstLine="4080" w:firstLineChars="1700"/>
        <w:rPr>
          <w:rFonts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pStyle w:val="4"/>
        <w:keepNext w:val="0"/>
        <w:pageBreakBefore/>
        <w:spacing w:line="360" w:lineRule="auto"/>
        <w:ind w:left="420" w:leftChars="200"/>
        <w:rPr>
          <w:rFonts w:ascii="仿宋" w:hAnsi="仿宋" w:eastAsia="仿宋" w:cs="仿宋"/>
          <w:sz w:val="32"/>
          <w:szCs w:val="32"/>
          <w:lang w:val="zh-CN"/>
        </w:rPr>
      </w:pPr>
      <w:bookmarkStart w:id="381" w:name="_Toc11864"/>
      <w:bookmarkStart w:id="382" w:name="_Toc5122"/>
      <w:bookmarkStart w:id="383" w:name="_Toc28835"/>
      <w:bookmarkStart w:id="384" w:name="_Toc27541"/>
      <w:bookmarkStart w:id="385" w:name="_Toc5607"/>
      <w:bookmarkStart w:id="386" w:name="_Toc2318"/>
      <w:bookmarkStart w:id="387" w:name="_Toc10639"/>
      <w:bookmarkStart w:id="388" w:name="_Toc27212"/>
      <w:r>
        <w:rPr>
          <w:rFonts w:hint="eastAsia" w:ascii="仿宋" w:hAnsi="仿宋" w:eastAsia="仿宋" w:cs="仿宋"/>
          <w:sz w:val="32"/>
          <w:szCs w:val="32"/>
          <w:lang w:val="zh-CN"/>
        </w:rPr>
        <w:t>四、投标人资格证明文件</w:t>
      </w:r>
      <w:bookmarkEnd w:id="381"/>
    </w:p>
    <w:p>
      <w:pPr>
        <w:pStyle w:val="19"/>
        <w:spacing w:before="0" w:beforeAutospacing="0" w:after="0" w:afterAutospacing="0" w:line="360" w:lineRule="auto"/>
        <w:jc w:val="both"/>
        <w:textAlignment w:val="baseline"/>
        <w:rPr>
          <w:rFonts w:ascii="仿宋" w:hAnsi="仿宋" w:eastAsia="仿宋" w:cs="仿宋"/>
          <w:b/>
          <w:bCs/>
          <w:shd w:val="clear" w:color="auto" w:fill="FFFFFF"/>
        </w:rPr>
      </w:pPr>
      <w:r>
        <w:rPr>
          <w:rFonts w:hint="eastAsia" w:ascii="仿宋" w:hAnsi="仿宋" w:eastAsia="仿宋" w:cs="仿宋"/>
          <w:b/>
          <w:bCs/>
          <w:shd w:val="clear" w:color="auto" w:fill="FFFFFF"/>
        </w:rPr>
        <w:t>（1）基本资格条件：符合《中华人民共和国政府采购法》第二十二条的规定；</w:t>
      </w: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1、提供统一社会信用代码的营业执照或其他组织经营的合法凭证或自然人的提供身份证明文件；</w:t>
      </w: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2、财务状况报告：提供具有财务审计资质单位出具的2021或2022年度财务报告或开标前六个月内其基本账户银行出具的资信证明或财政部门认可的政府采购专业担保机构出具的担保函，以上形式的证明资料提供任何一种即可；</w:t>
      </w: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3、税收缴纳证明：提供已缴纳的 2022年1月1日以来至少一个月的纳税证明或完税证明，纳税证明或完税证明上应有代收机构或税务机关的公章或业务专用章。依法免税的投标人应提供相关文件证明；</w:t>
      </w: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4、社会保障资金缴纳证明：提供已缴存的 2022年1月1日以来至少一个月的社会保障资金缴存单据或社保机构开具的社会保险参保缴费情况证明。成立时间至提交投标文件截止时间不足一个月或依法不需要缴纳社会保障资金的投标人应提供相关文件证明；</w:t>
      </w: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5、出具履行合同所必需的设备和专业技术能力的书面声明；</w:t>
      </w:r>
    </w:p>
    <w:p>
      <w:pPr>
        <w:pStyle w:val="19"/>
        <w:spacing w:before="0" w:beforeAutospacing="0" w:after="0" w:afterAutospacing="0" w:line="460" w:lineRule="exact"/>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6、出具参加本次政府采购活动的书面声明；</w:t>
      </w:r>
    </w:p>
    <w:p>
      <w:pPr>
        <w:pStyle w:val="19"/>
        <w:spacing w:before="0" w:beforeAutospacing="0" w:after="0" w:afterAutospacing="0" w:line="360" w:lineRule="auto"/>
        <w:jc w:val="both"/>
        <w:textAlignment w:val="baseline"/>
        <w:rPr>
          <w:rFonts w:ascii="仿宋" w:hAnsi="仿宋" w:eastAsia="仿宋" w:cs="仿宋"/>
          <w:b/>
          <w:bCs/>
          <w:shd w:val="clear" w:color="auto" w:fill="FFFFFF"/>
        </w:rPr>
      </w:pPr>
      <w:r>
        <w:rPr>
          <w:rFonts w:hint="eastAsia" w:ascii="仿宋" w:hAnsi="仿宋" w:eastAsia="仿宋" w:cs="仿宋"/>
          <w:b/>
          <w:bCs/>
          <w:shd w:val="clear" w:color="auto" w:fill="FFFFFF"/>
        </w:rPr>
        <w:t>（2）特定资格条件：</w:t>
      </w:r>
    </w:p>
    <w:p>
      <w:pPr>
        <w:pStyle w:val="19"/>
        <w:spacing w:before="0" w:beforeAutospacing="0" w:after="0" w:afterAutospacing="0" w:line="360" w:lineRule="auto"/>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1、法定代表人授权书及被授权人身份证，并且提供有效的劳动合同或投标截止前六个月内任意一个月养老保险缴纳证明（法人参加只需提供法定代表人身份证明）；</w:t>
      </w:r>
    </w:p>
    <w:p>
      <w:pPr>
        <w:pStyle w:val="19"/>
        <w:spacing w:before="0" w:beforeAutospacing="0" w:after="0" w:afterAutospacing="0" w:line="360" w:lineRule="auto"/>
        <w:ind w:firstLine="48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2、符合《财政部关于在政府采购活动中查询及使用信用记录有关问题的通知》（财库【2016】125号）文件中信用查询的要求；（此项由采购人与采购代理单位在开标时查询，以现场查询为准）；</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注：“</w:t>
      </w:r>
      <w:r>
        <w:rPr>
          <w:rFonts w:hint="eastAsia" w:ascii="仿宋" w:hAnsi="仿宋" w:eastAsia="仿宋" w:cs="仿宋"/>
          <w:b/>
          <w:bCs/>
          <w:sz w:val="24"/>
          <w:szCs w:val="24"/>
          <w:lang w:val="zh-CN"/>
        </w:rPr>
        <w:t>四、投标人资格证明文件</w:t>
      </w:r>
      <w:r>
        <w:rPr>
          <w:rFonts w:hint="eastAsia" w:ascii="仿宋" w:hAnsi="仿宋" w:eastAsia="仿宋" w:cs="仿宋"/>
          <w:b/>
          <w:bCs/>
          <w:sz w:val="24"/>
          <w:szCs w:val="24"/>
        </w:rPr>
        <w:t>”单独胶装成册1本，与投标文件正本一同密封。</w:t>
      </w:r>
    </w:p>
    <w:p>
      <w:pPr>
        <w:pStyle w:val="14"/>
        <w:rPr>
          <w:rFonts w:ascii="仿宋" w:hAnsi="仿宋" w:eastAsia="仿宋" w:cs="仿宋"/>
          <w:lang w:val="zh-CN"/>
        </w:rPr>
      </w:pPr>
    </w:p>
    <w:p>
      <w:pPr>
        <w:pageBreakBefore/>
        <w:spacing w:line="360" w:lineRule="auto"/>
        <w:jc w:val="center"/>
        <w:rPr>
          <w:rFonts w:ascii="仿宋" w:hAnsi="仿宋" w:eastAsia="仿宋" w:cs="仿宋"/>
          <w:b/>
          <w:bCs/>
          <w:sz w:val="24"/>
          <w:szCs w:val="24"/>
        </w:rPr>
      </w:pPr>
      <w:bookmarkStart w:id="389" w:name="_Toc25082"/>
      <w:bookmarkStart w:id="390" w:name="_Toc5216"/>
      <w:bookmarkStart w:id="391" w:name="_Toc10643"/>
      <w:bookmarkStart w:id="392" w:name="_Toc10845"/>
      <w:r>
        <w:rPr>
          <w:rFonts w:hint="eastAsia" w:ascii="仿宋" w:hAnsi="仿宋" w:eastAsia="仿宋" w:cs="仿宋"/>
          <w:b/>
          <w:bCs/>
          <w:sz w:val="32"/>
          <w:szCs w:val="32"/>
        </w:rPr>
        <w:t>投标人基本情况表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1053"/>
        <w:gridCol w:w="2205"/>
        <w:gridCol w:w="198"/>
        <w:gridCol w:w="1227"/>
        <w:gridCol w:w="1620"/>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310" w:type="dxa"/>
            <w:gridSpan w:val="3"/>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投标人名称</w:t>
            </w:r>
          </w:p>
        </w:tc>
        <w:tc>
          <w:tcPr>
            <w:tcW w:w="3630" w:type="dxa"/>
            <w:gridSpan w:val="3"/>
            <w:vAlign w:val="center"/>
          </w:tcPr>
          <w:p>
            <w:pPr>
              <w:topLinePunct/>
              <w:spacing w:line="360" w:lineRule="auto"/>
              <w:jc w:val="center"/>
              <w:rPr>
                <w:rFonts w:ascii="仿宋" w:hAnsi="仿宋" w:eastAsia="仿宋" w:cs="仿宋"/>
                <w:sz w:val="24"/>
                <w:szCs w:val="24"/>
              </w:rPr>
            </w:pPr>
          </w:p>
        </w:tc>
        <w:tc>
          <w:tcPr>
            <w:tcW w:w="1620" w:type="dxa"/>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法定代表人</w:t>
            </w:r>
          </w:p>
        </w:tc>
        <w:tc>
          <w:tcPr>
            <w:tcW w:w="1657" w:type="dxa"/>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2310" w:type="dxa"/>
            <w:gridSpan w:val="3"/>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统一社会信用代码</w:t>
            </w:r>
          </w:p>
        </w:tc>
        <w:tc>
          <w:tcPr>
            <w:tcW w:w="3630" w:type="dxa"/>
            <w:gridSpan w:val="3"/>
            <w:vAlign w:val="center"/>
          </w:tcPr>
          <w:p>
            <w:pPr>
              <w:topLinePunct/>
              <w:spacing w:line="360" w:lineRule="auto"/>
              <w:jc w:val="center"/>
              <w:rPr>
                <w:rFonts w:ascii="仿宋" w:hAnsi="仿宋" w:eastAsia="仿宋" w:cs="仿宋"/>
                <w:sz w:val="24"/>
                <w:szCs w:val="24"/>
              </w:rPr>
            </w:pPr>
          </w:p>
        </w:tc>
        <w:tc>
          <w:tcPr>
            <w:tcW w:w="1620" w:type="dxa"/>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邮政编码</w:t>
            </w:r>
          </w:p>
        </w:tc>
        <w:tc>
          <w:tcPr>
            <w:tcW w:w="1657" w:type="dxa"/>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310" w:type="dxa"/>
            <w:gridSpan w:val="3"/>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上年营业收入</w:t>
            </w:r>
          </w:p>
        </w:tc>
        <w:tc>
          <w:tcPr>
            <w:tcW w:w="3630" w:type="dxa"/>
            <w:gridSpan w:val="3"/>
            <w:vAlign w:val="center"/>
          </w:tcPr>
          <w:p>
            <w:pPr>
              <w:topLinePunct/>
              <w:spacing w:line="360" w:lineRule="auto"/>
              <w:jc w:val="center"/>
              <w:rPr>
                <w:rFonts w:ascii="仿宋" w:hAnsi="仿宋" w:eastAsia="仿宋" w:cs="仿宋"/>
                <w:sz w:val="24"/>
                <w:szCs w:val="24"/>
              </w:rPr>
            </w:pPr>
          </w:p>
        </w:tc>
        <w:tc>
          <w:tcPr>
            <w:tcW w:w="1620" w:type="dxa"/>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员工总人数</w:t>
            </w:r>
          </w:p>
        </w:tc>
        <w:tc>
          <w:tcPr>
            <w:tcW w:w="1657" w:type="dxa"/>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restart"/>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营业执照</w:t>
            </w:r>
          </w:p>
        </w:tc>
        <w:tc>
          <w:tcPr>
            <w:tcW w:w="1592" w:type="dxa"/>
            <w:gridSpan w:val="2"/>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注册号码</w:t>
            </w:r>
          </w:p>
        </w:tc>
        <w:tc>
          <w:tcPr>
            <w:tcW w:w="2205" w:type="dxa"/>
            <w:vAlign w:val="center"/>
          </w:tcPr>
          <w:p>
            <w:pPr>
              <w:topLinePunct/>
              <w:spacing w:line="360" w:lineRule="auto"/>
              <w:jc w:val="center"/>
              <w:rPr>
                <w:rFonts w:ascii="仿宋" w:hAnsi="仿宋" w:eastAsia="仿宋" w:cs="仿宋"/>
                <w:sz w:val="24"/>
                <w:szCs w:val="24"/>
              </w:rPr>
            </w:pPr>
          </w:p>
        </w:tc>
        <w:tc>
          <w:tcPr>
            <w:tcW w:w="1425" w:type="dxa"/>
            <w:gridSpan w:val="2"/>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注册地址</w:t>
            </w:r>
          </w:p>
        </w:tc>
        <w:tc>
          <w:tcPr>
            <w:tcW w:w="3277" w:type="dxa"/>
            <w:gridSpan w:val="2"/>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pacing w:line="360" w:lineRule="auto"/>
              <w:jc w:val="center"/>
              <w:rPr>
                <w:rFonts w:ascii="仿宋" w:hAnsi="仿宋" w:eastAsia="仿宋" w:cs="仿宋"/>
                <w:sz w:val="24"/>
                <w:szCs w:val="24"/>
              </w:rPr>
            </w:pPr>
          </w:p>
        </w:tc>
        <w:tc>
          <w:tcPr>
            <w:tcW w:w="1592" w:type="dxa"/>
            <w:gridSpan w:val="2"/>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发证机关</w:t>
            </w:r>
          </w:p>
        </w:tc>
        <w:tc>
          <w:tcPr>
            <w:tcW w:w="2205" w:type="dxa"/>
            <w:vAlign w:val="center"/>
          </w:tcPr>
          <w:p>
            <w:pPr>
              <w:topLinePunct/>
              <w:spacing w:line="360" w:lineRule="auto"/>
              <w:jc w:val="center"/>
              <w:rPr>
                <w:rFonts w:ascii="仿宋" w:hAnsi="仿宋" w:eastAsia="仿宋" w:cs="仿宋"/>
                <w:sz w:val="24"/>
                <w:szCs w:val="24"/>
              </w:rPr>
            </w:pPr>
          </w:p>
        </w:tc>
        <w:tc>
          <w:tcPr>
            <w:tcW w:w="1425" w:type="dxa"/>
            <w:gridSpan w:val="2"/>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发证日期</w:t>
            </w:r>
          </w:p>
        </w:tc>
        <w:tc>
          <w:tcPr>
            <w:tcW w:w="3277" w:type="dxa"/>
            <w:gridSpan w:val="2"/>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pacing w:line="360" w:lineRule="auto"/>
              <w:jc w:val="center"/>
              <w:rPr>
                <w:rFonts w:ascii="仿宋" w:hAnsi="仿宋" w:eastAsia="仿宋" w:cs="仿宋"/>
                <w:sz w:val="24"/>
                <w:szCs w:val="24"/>
              </w:rPr>
            </w:pPr>
          </w:p>
        </w:tc>
        <w:tc>
          <w:tcPr>
            <w:tcW w:w="1592" w:type="dxa"/>
            <w:gridSpan w:val="2"/>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营业范围</w:t>
            </w:r>
          </w:p>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（主营）</w:t>
            </w:r>
          </w:p>
        </w:tc>
        <w:tc>
          <w:tcPr>
            <w:tcW w:w="6907" w:type="dxa"/>
            <w:gridSpan w:val="5"/>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pacing w:line="360" w:lineRule="auto"/>
              <w:jc w:val="center"/>
              <w:rPr>
                <w:rFonts w:ascii="仿宋" w:hAnsi="仿宋" w:eastAsia="仿宋" w:cs="仿宋"/>
                <w:sz w:val="24"/>
                <w:szCs w:val="24"/>
              </w:rPr>
            </w:pPr>
          </w:p>
        </w:tc>
        <w:tc>
          <w:tcPr>
            <w:tcW w:w="1592" w:type="dxa"/>
            <w:gridSpan w:val="2"/>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营业范围</w:t>
            </w:r>
          </w:p>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（兼营）</w:t>
            </w:r>
          </w:p>
        </w:tc>
        <w:tc>
          <w:tcPr>
            <w:tcW w:w="6907" w:type="dxa"/>
            <w:gridSpan w:val="5"/>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2310" w:type="dxa"/>
            <w:gridSpan w:val="3"/>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基本账户开户行及账号</w:t>
            </w:r>
          </w:p>
        </w:tc>
        <w:tc>
          <w:tcPr>
            <w:tcW w:w="6907" w:type="dxa"/>
            <w:gridSpan w:val="5"/>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2310" w:type="dxa"/>
            <w:gridSpan w:val="3"/>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资产总额（万元）</w:t>
            </w:r>
          </w:p>
        </w:tc>
        <w:tc>
          <w:tcPr>
            <w:tcW w:w="6907" w:type="dxa"/>
            <w:gridSpan w:val="5"/>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2310" w:type="dxa"/>
            <w:gridSpan w:val="3"/>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资质名称</w:t>
            </w:r>
          </w:p>
        </w:tc>
        <w:tc>
          <w:tcPr>
            <w:tcW w:w="2403" w:type="dxa"/>
            <w:gridSpan w:val="2"/>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等级</w:t>
            </w:r>
          </w:p>
        </w:tc>
        <w:tc>
          <w:tcPr>
            <w:tcW w:w="1227" w:type="dxa"/>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发证机关</w:t>
            </w:r>
          </w:p>
        </w:tc>
        <w:tc>
          <w:tcPr>
            <w:tcW w:w="3277" w:type="dxa"/>
            <w:gridSpan w:val="2"/>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310" w:type="dxa"/>
            <w:gridSpan w:val="3"/>
            <w:vAlign w:val="center"/>
          </w:tcPr>
          <w:p>
            <w:pPr>
              <w:topLinePunct/>
              <w:spacing w:line="360" w:lineRule="auto"/>
              <w:jc w:val="center"/>
              <w:rPr>
                <w:rFonts w:ascii="仿宋" w:hAnsi="仿宋" w:eastAsia="仿宋" w:cs="仿宋"/>
                <w:sz w:val="24"/>
                <w:szCs w:val="24"/>
              </w:rPr>
            </w:pPr>
          </w:p>
        </w:tc>
        <w:tc>
          <w:tcPr>
            <w:tcW w:w="2403" w:type="dxa"/>
            <w:gridSpan w:val="2"/>
            <w:vAlign w:val="center"/>
          </w:tcPr>
          <w:p>
            <w:pPr>
              <w:topLinePunct/>
              <w:spacing w:line="360" w:lineRule="auto"/>
              <w:jc w:val="center"/>
              <w:rPr>
                <w:rFonts w:ascii="仿宋" w:hAnsi="仿宋" w:eastAsia="仿宋" w:cs="仿宋"/>
                <w:sz w:val="24"/>
                <w:szCs w:val="24"/>
              </w:rPr>
            </w:pPr>
          </w:p>
        </w:tc>
        <w:tc>
          <w:tcPr>
            <w:tcW w:w="1227" w:type="dxa"/>
            <w:vAlign w:val="center"/>
          </w:tcPr>
          <w:p>
            <w:pPr>
              <w:topLinePunct/>
              <w:spacing w:line="360" w:lineRule="auto"/>
              <w:jc w:val="center"/>
              <w:rPr>
                <w:rFonts w:ascii="仿宋" w:hAnsi="仿宋" w:eastAsia="仿宋" w:cs="仿宋"/>
                <w:sz w:val="24"/>
                <w:szCs w:val="24"/>
              </w:rPr>
            </w:pPr>
          </w:p>
        </w:tc>
        <w:tc>
          <w:tcPr>
            <w:tcW w:w="3277" w:type="dxa"/>
            <w:gridSpan w:val="2"/>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310" w:type="dxa"/>
            <w:gridSpan w:val="3"/>
            <w:vAlign w:val="center"/>
          </w:tcPr>
          <w:p>
            <w:pPr>
              <w:topLinePunct/>
              <w:spacing w:line="360" w:lineRule="auto"/>
              <w:jc w:val="center"/>
              <w:rPr>
                <w:rFonts w:ascii="仿宋" w:hAnsi="仿宋" w:eastAsia="仿宋" w:cs="仿宋"/>
                <w:sz w:val="24"/>
                <w:szCs w:val="24"/>
              </w:rPr>
            </w:pPr>
          </w:p>
        </w:tc>
        <w:tc>
          <w:tcPr>
            <w:tcW w:w="2403" w:type="dxa"/>
            <w:gridSpan w:val="2"/>
            <w:vAlign w:val="center"/>
          </w:tcPr>
          <w:p>
            <w:pPr>
              <w:topLinePunct/>
              <w:spacing w:line="360" w:lineRule="auto"/>
              <w:jc w:val="center"/>
              <w:rPr>
                <w:rFonts w:ascii="仿宋" w:hAnsi="仿宋" w:eastAsia="仿宋" w:cs="仿宋"/>
                <w:sz w:val="24"/>
                <w:szCs w:val="24"/>
              </w:rPr>
            </w:pPr>
          </w:p>
        </w:tc>
        <w:tc>
          <w:tcPr>
            <w:tcW w:w="1227" w:type="dxa"/>
            <w:vAlign w:val="center"/>
          </w:tcPr>
          <w:p>
            <w:pPr>
              <w:topLinePunct/>
              <w:spacing w:line="360" w:lineRule="auto"/>
              <w:jc w:val="center"/>
              <w:rPr>
                <w:rFonts w:ascii="仿宋" w:hAnsi="仿宋" w:eastAsia="仿宋" w:cs="仿宋"/>
                <w:sz w:val="24"/>
                <w:szCs w:val="24"/>
              </w:rPr>
            </w:pPr>
          </w:p>
        </w:tc>
        <w:tc>
          <w:tcPr>
            <w:tcW w:w="3277" w:type="dxa"/>
            <w:gridSpan w:val="2"/>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257" w:type="dxa"/>
            <w:gridSpan w:val="2"/>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备注</w:t>
            </w:r>
          </w:p>
        </w:tc>
        <w:tc>
          <w:tcPr>
            <w:tcW w:w="7960" w:type="dxa"/>
            <w:gridSpan w:val="6"/>
            <w:vAlign w:val="center"/>
          </w:tcPr>
          <w:p>
            <w:pPr>
              <w:topLinePunct/>
              <w:spacing w:line="360" w:lineRule="auto"/>
              <w:jc w:val="center"/>
              <w:rPr>
                <w:rFonts w:ascii="仿宋" w:hAnsi="仿宋" w:eastAsia="仿宋" w:cs="仿宋"/>
                <w:sz w:val="24"/>
                <w:szCs w:val="24"/>
              </w:rPr>
            </w:pPr>
          </w:p>
        </w:tc>
      </w:tr>
    </w:tbl>
    <w:p>
      <w:pPr>
        <w:autoSpaceDE w:val="0"/>
        <w:autoSpaceDN w:val="0"/>
        <w:adjustRightInd w:val="0"/>
        <w:snapToGrid w:val="0"/>
        <w:spacing w:before="120" w:beforeLines="50"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说明：企业类型指大型、中型、小型、微型；</w:t>
      </w:r>
    </w:p>
    <w:p>
      <w:pPr>
        <w:spacing w:line="360" w:lineRule="auto"/>
        <w:ind w:firstLine="3840" w:firstLineChars="1600"/>
        <w:rPr>
          <w:rFonts w:ascii="仿宋" w:hAnsi="仿宋" w:eastAsia="仿宋" w:cs="仿宋"/>
          <w:sz w:val="24"/>
          <w:szCs w:val="24"/>
        </w:rPr>
      </w:pPr>
    </w:p>
    <w:p>
      <w:pPr>
        <w:spacing w:line="360" w:lineRule="auto"/>
        <w:ind w:firstLine="3840" w:firstLineChars="1600"/>
        <w:rPr>
          <w:rFonts w:ascii="仿宋" w:hAnsi="仿宋" w:eastAsia="仿宋" w:cs="仿宋"/>
          <w:sz w:val="24"/>
          <w:szCs w:val="24"/>
        </w:rPr>
      </w:pPr>
      <w:r>
        <w:rPr>
          <w:rFonts w:hint="eastAsia" w:ascii="仿宋" w:hAnsi="仿宋" w:eastAsia="仿宋" w:cs="仿宋"/>
          <w:sz w:val="24"/>
          <w:szCs w:val="24"/>
        </w:rPr>
        <w:t>投标人（公章）：</w:t>
      </w:r>
      <w:r>
        <w:rPr>
          <w:rFonts w:hint="eastAsia" w:ascii="仿宋" w:hAnsi="仿宋" w:eastAsia="仿宋" w:cs="仿宋"/>
          <w:sz w:val="24"/>
          <w:szCs w:val="24"/>
          <w:u w:val="single"/>
        </w:rPr>
        <w:t xml:space="preserve">                           </w:t>
      </w:r>
    </w:p>
    <w:p>
      <w:pPr>
        <w:spacing w:line="360" w:lineRule="auto"/>
        <w:ind w:firstLine="3840" w:firstLineChars="16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spacing w:line="360" w:lineRule="auto"/>
        <w:ind w:firstLine="3840" w:firstLineChars="1600"/>
        <w:rPr>
          <w:rFonts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pStyle w:val="14"/>
        <w:pageBreakBefore/>
        <w:jc w:val="center"/>
        <w:rPr>
          <w:rFonts w:ascii="仿宋" w:hAnsi="仿宋" w:eastAsia="仿宋" w:cs="仿宋"/>
          <w:b/>
          <w:bCs/>
          <w:sz w:val="28"/>
          <w:szCs w:val="28"/>
        </w:rPr>
      </w:pPr>
      <w:bookmarkStart w:id="393" w:name="_Toc22457"/>
      <w:r>
        <w:rPr>
          <w:rFonts w:hint="eastAsia" w:ascii="仿宋" w:hAnsi="仿宋" w:eastAsia="仿宋" w:cs="仿宋"/>
          <w:b/>
          <w:bCs/>
          <w:sz w:val="28"/>
          <w:szCs w:val="28"/>
        </w:rPr>
        <w:t>（一）提供统一社会信用代码的营业执照或其他组织经营的合法凭证或自然人的提供身份证明文件</w:t>
      </w:r>
      <w:bookmarkEnd w:id="393"/>
      <w:bookmarkStart w:id="394" w:name="_Toc21445"/>
    </w:p>
    <w:p>
      <w:pPr>
        <w:pageBreakBefore/>
        <w:spacing w:line="360" w:lineRule="auto"/>
        <w:jc w:val="center"/>
        <w:rPr>
          <w:rFonts w:ascii="仿宋" w:hAnsi="仿宋" w:eastAsia="仿宋" w:cs="仿宋"/>
          <w:b/>
          <w:bCs/>
          <w:sz w:val="28"/>
          <w:szCs w:val="28"/>
        </w:rPr>
      </w:pPr>
      <w:r>
        <w:rPr>
          <w:rFonts w:hint="eastAsia" w:ascii="仿宋" w:hAnsi="仿宋" w:eastAsia="仿宋" w:cs="仿宋"/>
          <w:b/>
          <w:bCs/>
          <w:sz w:val="28"/>
          <w:szCs w:val="28"/>
        </w:rPr>
        <w:t>（二）财务状况报告</w:t>
      </w:r>
      <w:bookmarkEnd w:id="394"/>
      <w:bookmarkStart w:id="395" w:name="_Toc17757"/>
    </w:p>
    <w:p>
      <w:pPr>
        <w:pStyle w:val="14"/>
        <w:jc w:val="center"/>
        <w:rPr>
          <w:rFonts w:eastAsia="仿宋"/>
          <w:sz w:val="24"/>
          <w:szCs w:val="24"/>
        </w:rPr>
      </w:pPr>
      <w:r>
        <w:rPr>
          <w:rFonts w:hint="eastAsia" w:ascii="仿宋" w:hAnsi="仿宋" w:eastAsia="仿宋" w:cs="仿宋"/>
          <w:sz w:val="24"/>
          <w:szCs w:val="24"/>
        </w:rPr>
        <w:t>提供扫描件或复印件加盖单位公章</w:t>
      </w:r>
    </w:p>
    <w:p>
      <w:pPr>
        <w:pageBreakBefore/>
        <w:spacing w:line="360" w:lineRule="auto"/>
        <w:jc w:val="center"/>
        <w:rPr>
          <w:rFonts w:ascii="仿宋" w:hAnsi="仿宋" w:eastAsia="仿宋" w:cs="仿宋"/>
          <w:b/>
          <w:sz w:val="28"/>
          <w:szCs w:val="28"/>
        </w:rPr>
      </w:pPr>
      <w:r>
        <w:rPr>
          <w:rFonts w:hint="eastAsia" w:ascii="仿宋" w:hAnsi="仿宋" w:eastAsia="仿宋" w:cs="仿宋"/>
          <w:b/>
          <w:sz w:val="28"/>
          <w:szCs w:val="28"/>
        </w:rPr>
        <w:t>（三）税收缴纳证明</w:t>
      </w:r>
      <w:bookmarkEnd w:id="395"/>
    </w:p>
    <w:p>
      <w:pPr>
        <w:pStyle w:val="14"/>
        <w:spacing w:line="360" w:lineRule="auto"/>
        <w:rPr>
          <w:rFonts w:ascii="仿宋" w:hAnsi="仿宋" w:eastAsia="仿宋" w:cs="仿宋"/>
        </w:rPr>
      </w:pPr>
    </w:p>
    <w:p>
      <w:pPr>
        <w:rPr>
          <w:rFonts w:ascii="仿宋" w:hAnsi="仿宋" w:eastAsia="仿宋" w:cs="仿宋"/>
          <w:b/>
          <w:sz w:val="28"/>
          <w:szCs w:val="28"/>
        </w:rPr>
      </w:pPr>
      <w:bookmarkStart w:id="396" w:name="_Toc8139"/>
      <w:r>
        <w:rPr>
          <w:rFonts w:hint="eastAsia" w:ascii="仿宋" w:hAnsi="仿宋" w:eastAsia="仿宋" w:cs="仿宋"/>
          <w:b/>
          <w:sz w:val="28"/>
          <w:szCs w:val="28"/>
        </w:rPr>
        <w:br w:type="page"/>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（四）社会保障资金缴纳证明</w:t>
      </w:r>
      <w:bookmarkEnd w:id="396"/>
    </w:p>
    <w:p>
      <w:pPr>
        <w:pageBreakBefore/>
        <w:spacing w:line="360" w:lineRule="auto"/>
        <w:jc w:val="center"/>
        <w:rPr>
          <w:rFonts w:ascii="仿宋" w:hAnsi="仿宋" w:eastAsia="仿宋" w:cs="仿宋"/>
          <w:b/>
          <w:sz w:val="28"/>
          <w:szCs w:val="28"/>
        </w:rPr>
      </w:pPr>
      <w:bookmarkStart w:id="397" w:name="_Toc8586"/>
      <w:r>
        <w:rPr>
          <w:rFonts w:hint="eastAsia" w:ascii="仿宋" w:hAnsi="仿宋" w:eastAsia="仿宋" w:cs="仿宋"/>
          <w:b/>
          <w:bCs/>
          <w:sz w:val="28"/>
          <w:szCs w:val="28"/>
        </w:rPr>
        <w:t>（五）出具履行合同所必需的设备和专业技术能力的书面声明</w:t>
      </w:r>
      <w:bookmarkEnd w:id="397"/>
    </w:p>
    <w:p>
      <w:pPr>
        <w:spacing w:line="360" w:lineRule="auto"/>
        <w:rPr>
          <w:rFonts w:ascii="仿宋" w:hAnsi="仿宋" w:eastAsia="仿宋" w:cs="仿宋"/>
          <w:spacing w:val="4"/>
          <w:sz w:val="24"/>
          <w:szCs w:val="24"/>
          <w:u w:val="single"/>
        </w:rPr>
      </w:pPr>
      <w:r>
        <w:rPr>
          <w:rFonts w:hint="eastAsia" w:ascii="仿宋" w:hAnsi="仿宋" w:eastAsia="仿宋" w:cs="仿宋"/>
          <w:spacing w:val="4"/>
          <w:sz w:val="24"/>
          <w:szCs w:val="24"/>
        </w:rPr>
        <w:t>致：</w:t>
      </w:r>
      <w:r>
        <w:rPr>
          <w:rFonts w:hint="eastAsia" w:ascii="仿宋" w:hAnsi="仿宋" w:eastAsia="仿宋" w:cs="仿宋"/>
          <w:spacing w:val="4"/>
          <w:sz w:val="24"/>
          <w:szCs w:val="24"/>
          <w:u w:val="single"/>
        </w:rPr>
        <w:t xml:space="preserve">     （采购人名称）    ：</w:t>
      </w:r>
    </w:p>
    <w:p>
      <w:pPr>
        <w:spacing w:line="360" w:lineRule="auto"/>
        <w:ind w:firstLine="480" w:firstLineChars="200"/>
        <w:rPr>
          <w:rFonts w:ascii="仿宋" w:hAnsi="仿宋" w:eastAsia="仿宋" w:cs="仿宋"/>
          <w:spacing w:val="4"/>
          <w:sz w:val="24"/>
          <w:szCs w:val="24"/>
          <w:u w:val="single"/>
        </w:rPr>
      </w:pPr>
      <w:r>
        <w:rPr>
          <w:rFonts w:hint="eastAsia" w:ascii="仿宋" w:hAnsi="仿宋" w:eastAsia="仿宋" w:cs="仿宋"/>
          <w:kern w:val="0"/>
          <w:sz w:val="24"/>
          <w:szCs w:val="24"/>
          <w:lang w:bidi="ar"/>
        </w:rPr>
        <w:t>我方作为</w:t>
      </w:r>
      <w:r>
        <w:rPr>
          <w:rFonts w:hint="eastAsia" w:ascii="仿宋" w:hAnsi="仿宋" w:eastAsia="仿宋" w:cs="仿宋"/>
          <w:kern w:val="0"/>
          <w:sz w:val="24"/>
          <w:szCs w:val="24"/>
          <w:u w:val="single"/>
          <w:lang w:bidi="ar"/>
        </w:rPr>
        <w:t xml:space="preserve">         （项目名称）         </w:t>
      </w:r>
      <w:r>
        <w:rPr>
          <w:rFonts w:hint="eastAsia" w:ascii="仿宋" w:hAnsi="仿宋" w:eastAsia="仿宋" w:cs="仿宋"/>
          <w:kern w:val="0"/>
          <w:sz w:val="24"/>
          <w:szCs w:val="24"/>
          <w:lang w:bidi="ar"/>
        </w:rPr>
        <w:t>（项目编号：</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）第</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包的投标人，在此郑重声明：</w:t>
      </w:r>
    </w:p>
    <w:p>
      <w:pPr>
        <w:widowControl/>
        <w:spacing w:line="360" w:lineRule="auto"/>
        <w:ind w:firstLine="480" w:firstLineChars="200"/>
        <w:jc w:val="left"/>
        <w:rPr>
          <w:rFonts w:ascii="仿宋" w:hAnsi="仿宋" w:eastAsia="仿宋" w:cs="仿宋"/>
          <w:kern w:val="0"/>
          <w:sz w:val="24"/>
          <w:szCs w:val="24"/>
          <w:lang w:bidi="ar"/>
        </w:rPr>
      </w:pPr>
      <w:r>
        <w:rPr>
          <w:rFonts w:hint="eastAsia" w:ascii="仿宋" w:hAnsi="仿宋" w:eastAsia="仿宋" w:cs="仿宋"/>
          <w:kern w:val="0"/>
          <w:sz w:val="24"/>
          <w:szCs w:val="24"/>
          <w:lang w:bidi="ar"/>
        </w:rPr>
        <w:t>我方具备履行合同所必须的设备和专业技术能力。</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kern w:val="0"/>
          <w:sz w:val="24"/>
          <w:szCs w:val="24"/>
          <w:lang w:bidi="ar"/>
        </w:rPr>
        <w:t xml:space="preserve">如有不实，我方将无条件地退出本项目的采购活动，并遵照《政府采购法》有关“提供虚假材料的规定”接受处罚。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kern w:val="0"/>
          <w:sz w:val="24"/>
          <w:szCs w:val="24"/>
          <w:lang w:bidi="ar"/>
        </w:rPr>
        <w:t>特此声明。</w:t>
      </w:r>
    </w:p>
    <w:p>
      <w:pPr>
        <w:spacing w:before="240" w:beforeLines="100" w:after="120" w:afterLines="50" w:line="360" w:lineRule="auto"/>
        <w:ind w:firstLine="620" w:firstLineChars="250"/>
        <w:rPr>
          <w:rFonts w:ascii="仿宋" w:hAnsi="仿宋" w:eastAsia="仿宋" w:cs="仿宋"/>
          <w:spacing w:val="4"/>
          <w:sz w:val="24"/>
          <w:szCs w:val="24"/>
        </w:rPr>
      </w:pPr>
    </w:p>
    <w:p>
      <w:pPr>
        <w:spacing w:before="240" w:beforeLines="100" w:after="120" w:afterLines="50" w:line="360" w:lineRule="auto"/>
        <w:ind w:firstLine="170"/>
        <w:rPr>
          <w:rFonts w:ascii="仿宋" w:hAnsi="仿宋" w:eastAsia="仿宋" w:cs="仿宋"/>
          <w:spacing w:val="4"/>
          <w:sz w:val="24"/>
          <w:szCs w:val="24"/>
        </w:rPr>
      </w:pPr>
    </w:p>
    <w:p>
      <w:pPr>
        <w:spacing w:before="240" w:beforeLines="100" w:after="120" w:afterLines="50" w:line="360" w:lineRule="auto"/>
        <w:ind w:firstLine="170"/>
        <w:rPr>
          <w:rFonts w:ascii="仿宋" w:hAnsi="仿宋" w:eastAsia="仿宋" w:cs="仿宋"/>
          <w:spacing w:val="4"/>
          <w:sz w:val="24"/>
          <w:szCs w:val="24"/>
        </w:rPr>
      </w:pPr>
    </w:p>
    <w:p>
      <w:pPr>
        <w:spacing w:line="360" w:lineRule="auto"/>
        <w:ind w:firstLine="3998" w:firstLineChars="1666"/>
        <w:rPr>
          <w:rFonts w:ascii="仿宋" w:hAnsi="仿宋" w:eastAsia="仿宋" w:cs="仿宋"/>
          <w:sz w:val="24"/>
          <w:szCs w:val="24"/>
        </w:rPr>
      </w:pPr>
      <w:r>
        <w:rPr>
          <w:rFonts w:hint="eastAsia" w:ascii="仿宋" w:hAnsi="仿宋" w:eastAsia="仿宋" w:cs="仿宋"/>
          <w:sz w:val="24"/>
          <w:szCs w:val="24"/>
        </w:rPr>
        <w:t>投标人（公章）：</w:t>
      </w:r>
      <w:r>
        <w:rPr>
          <w:rFonts w:hint="eastAsia" w:ascii="仿宋" w:hAnsi="仿宋" w:eastAsia="仿宋" w:cs="仿宋"/>
          <w:sz w:val="24"/>
          <w:szCs w:val="24"/>
          <w:u w:val="single"/>
        </w:rPr>
        <w:t xml:space="preserve">                         </w:t>
      </w:r>
    </w:p>
    <w:p>
      <w:pPr>
        <w:spacing w:line="360" w:lineRule="auto"/>
        <w:ind w:firstLine="3998" w:firstLineChars="1666"/>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spacing w:line="360" w:lineRule="auto"/>
        <w:ind w:firstLine="3998" w:firstLineChars="1666"/>
        <w:rPr>
          <w:rFonts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spacing w:line="360" w:lineRule="auto"/>
        <w:rPr>
          <w:rFonts w:ascii="仿宋" w:hAnsi="仿宋" w:eastAsia="仿宋" w:cs="仿宋"/>
          <w:bCs/>
          <w:sz w:val="24"/>
          <w:szCs w:val="24"/>
        </w:rPr>
      </w:pPr>
    </w:p>
    <w:p>
      <w:pPr>
        <w:spacing w:line="360" w:lineRule="auto"/>
        <w:rPr>
          <w:rFonts w:ascii="仿宋" w:hAnsi="仿宋" w:eastAsia="仿宋" w:cs="仿宋"/>
          <w:bCs/>
          <w:sz w:val="24"/>
          <w:szCs w:val="24"/>
        </w:rPr>
      </w:pPr>
    </w:p>
    <w:p>
      <w:pPr>
        <w:spacing w:line="360" w:lineRule="auto"/>
        <w:rPr>
          <w:rFonts w:ascii="仿宋" w:hAnsi="仿宋" w:eastAsia="仿宋" w:cs="仿宋"/>
          <w:bCs/>
          <w:sz w:val="24"/>
          <w:szCs w:val="24"/>
        </w:rPr>
      </w:pPr>
      <w:r>
        <w:rPr>
          <w:rFonts w:hint="eastAsia" w:ascii="仿宋" w:hAnsi="仿宋" w:eastAsia="仿宋" w:cs="仿宋"/>
          <w:bCs/>
          <w:sz w:val="24"/>
          <w:szCs w:val="24"/>
        </w:rPr>
        <w:br w:type="page"/>
      </w:r>
    </w:p>
    <w:p>
      <w:pPr>
        <w:spacing w:line="360" w:lineRule="auto"/>
        <w:jc w:val="center"/>
        <w:rPr>
          <w:rFonts w:ascii="仿宋" w:hAnsi="仿宋" w:eastAsia="仿宋" w:cs="仿宋"/>
          <w:b/>
          <w:sz w:val="28"/>
          <w:szCs w:val="28"/>
        </w:rPr>
      </w:pPr>
      <w:bookmarkStart w:id="398" w:name="_Toc1093"/>
      <w:bookmarkStart w:id="399" w:name="_Toc19749"/>
      <w:r>
        <w:rPr>
          <w:rFonts w:hint="eastAsia" w:ascii="仿宋" w:hAnsi="仿宋" w:eastAsia="仿宋" w:cs="仿宋"/>
          <w:b/>
          <w:sz w:val="28"/>
          <w:szCs w:val="28"/>
        </w:rPr>
        <w:t>（六）参加政府采购活动的书面声明</w:t>
      </w:r>
      <w:bookmarkEnd w:id="398"/>
      <w:bookmarkEnd w:id="399"/>
    </w:p>
    <w:p>
      <w:pPr>
        <w:spacing w:line="360" w:lineRule="auto"/>
        <w:rPr>
          <w:rFonts w:ascii="仿宋" w:hAnsi="仿宋" w:eastAsia="仿宋" w:cs="仿宋"/>
          <w:spacing w:val="4"/>
          <w:sz w:val="24"/>
          <w:szCs w:val="24"/>
          <w:u w:val="single"/>
        </w:rPr>
      </w:pPr>
      <w:r>
        <w:rPr>
          <w:rFonts w:hint="eastAsia" w:ascii="仿宋" w:hAnsi="仿宋" w:eastAsia="仿宋" w:cs="仿宋"/>
          <w:spacing w:val="4"/>
          <w:sz w:val="24"/>
          <w:szCs w:val="24"/>
        </w:rPr>
        <w:t>致：</w:t>
      </w:r>
      <w:r>
        <w:rPr>
          <w:rFonts w:hint="eastAsia" w:ascii="仿宋" w:hAnsi="仿宋" w:eastAsia="仿宋" w:cs="仿宋"/>
          <w:spacing w:val="4"/>
          <w:sz w:val="24"/>
          <w:szCs w:val="24"/>
          <w:u w:val="single"/>
        </w:rPr>
        <w:t xml:space="preserve">     （采购人名称）    ：</w:t>
      </w:r>
    </w:p>
    <w:p>
      <w:pPr>
        <w:widowControl/>
        <w:spacing w:line="360" w:lineRule="auto"/>
        <w:ind w:firstLine="480" w:firstLineChars="200"/>
        <w:jc w:val="left"/>
        <w:rPr>
          <w:rFonts w:ascii="仿宋" w:hAnsi="仿宋" w:eastAsia="仿宋" w:cs="仿宋"/>
          <w:kern w:val="0"/>
          <w:sz w:val="24"/>
          <w:szCs w:val="24"/>
          <w:lang w:bidi="ar"/>
        </w:rPr>
      </w:pPr>
      <w:r>
        <w:rPr>
          <w:rFonts w:hint="eastAsia" w:ascii="仿宋" w:hAnsi="仿宋" w:eastAsia="仿宋" w:cs="仿宋"/>
          <w:kern w:val="0"/>
          <w:sz w:val="24"/>
          <w:szCs w:val="24"/>
          <w:lang w:bidi="ar"/>
        </w:rPr>
        <w:t>我方作为</w:t>
      </w:r>
      <w:r>
        <w:rPr>
          <w:rFonts w:hint="eastAsia" w:ascii="仿宋" w:hAnsi="仿宋" w:eastAsia="仿宋" w:cs="仿宋"/>
          <w:kern w:val="0"/>
          <w:sz w:val="24"/>
          <w:szCs w:val="24"/>
          <w:u w:val="single"/>
          <w:lang w:bidi="ar"/>
        </w:rPr>
        <w:t xml:space="preserve">         （项目名称）         </w:t>
      </w:r>
      <w:r>
        <w:rPr>
          <w:rFonts w:hint="eastAsia" w:ascii="仿宋" w:hAnsi="仿宋" w:eastAsia="仿宋" w:cs="仿宋"/>
          <w:kern w:val="0"/>
          <w:sz w:val="24"/>
          <w:szCs w:val="24"/>
          <w:lang w:bidi="ar"/>
        </w:rPr>
        <w:t>（项目编号：</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）第</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包的投标人，在此郑重声明：</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kern w:val="0"/>
          <w:sz w:val="24"/>
          <w:szCs w:val="24"/>
          <w:lang w:bidi="ar"/>
        </w:rPr>
        <w:t>1、在参加本次政府采购活动前 3 年内的经营活动中</w:t>
      </w:r>
      <w:r>
        <w:rPr>
          <w:rFonts w:hint="eastAsia" w:ascii="仿宋" w:hAnsi="仿宋" w:eastAsia="仿宋" w:cs="仿宋"/>
          <w:kern w:val="0"/>
          <w:sz w:val="24"/>
          <w:szCs w:val="24"/>
          <w:u w:val="single"/>
          <w:lang w:bidi="ar"/>
        </w:rPr>
        <w:t>____</w:t>
      </w:r>
      <w:r>
        <w:rPr>
          <w:rFonts w:hint="eastAsia" w:ascii="仿宋" w:hAnsi="仿宋" w:eastAsia="仿宋" w:cs="仿宋"/>
          <w:kern w:val="0"/>
          <w:sz w:val="24"/>
          <w:szCs w:val="24"/>
          <w:lang w:bidi="ar"/>
        </w:rPr>
        <w:t>（填“没有”或“有”）重大违法记录。投标人</w:t>
      </w:r>
      <w:r>
        <w:rPr>
          <w:rFonts w:hint="eastAsia" w:ascii="仿宋" w:hAnsi="仿宋" w:eastAsia="仿宋" w:cs="仿宋"/>
          <w:b/>
          <w:bCs/>
          <w:kern w:val="0"/>
          <w:sz w:val="24"/>
          <w:szCs w:val="24"/>
          <w:lang w:bidi="ar"/>
        </w:rPr>
        <w:t xml:space="preserve">在参加政府采购活动前 3 年内因违法经营被禁止在一定期限内参加政府采购活动，期限届满的，可以参加政府采购活动，但应提供期限届满的证明材料。 </w:t>
      </w:r>
    </w:p>
    <w:p>
      <w:pPr>
        <w:widowControl/>
        <w:spacing w:line="360" w:lineRule="auto"/>
        <w:ind w:firstLine="480" w:firstLineChars="200"/>
        <w:jc w:val="left"/>
        <w:rPr>
          <w:rFonts w:ascii="仿宋" w:hAnsi="仿宋" w:eastAsia="仿宋" w:cs="仿宋"/>
          <w:kern w:val="0"/>
          <w:sz w:val="24"/>
          <w:szCs w:val="24"/>
          <w:lang w:bidi="ar"/>
        </w:rPr>
      </w:pPr>
      <w:r>
        <w:rPr>
          <w:rFonts w:hint="eastAsia" w:ascii="仿宋" w:hAnsi="仿宋" w:eastAsia="仿宋" w:cs="仿宋"/>
          <w:kern w:val="0"/>
          <w:sz w:val="24"/>
          <w:szCs w:val="24"/>
          <w:lang w:bidi="ar"/>
        </w:rPr>
        <w:t>2、我方______（填“未被列入”或“被列入”）失信被执行人名单。</w:t>
      </w:r>
    </w:p>
    <w:p>
      <w:pPr>
        <w:widowControl/>
        <w:spacing w:line="360" w:lineRule="auto"/>
        <w:ind w:firstLine="480" w:firstLineChars="200"/>
        <w:jc w:val="left"/>
        <w:rPr>
          <w:rFonts w:ascii="仿宋" w:hAnsi="仿宋" w:eastAsia="仿宋" w:cs="仿宋"/>
          <w:kern w:val="0"/>
          <w:sz w:val="24"/>
          <w:szCs w:val="24"/>
          <w:lang w:bidi="ar"/>
        </w:rPr>
      </w:pPr>
      <w:r>
        <w:rPr>
          <w:rFonts w:hint="eastAsia" w:ascii="仿宋" w:hAnsi="仿宋" w:eastAsia="仿宋" w:cs="仿宋"/>
          <w:kern w:val="0"/>
          <w:sz w:val="24"/>
          <w:szCs w:val="24"/>
          <w:lang w:bidi="ar"/>
        </w:rPr>
        <w:t>3、我方______（填“未被列入”或“被列入”）重大税收违法案件当事人名单。</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kern w:val="0"/>
          <w:sz w:val="24"/>
          <w:szCs w:val="24"/>
          <w:lang w:bidi="ar"/>
        </w:rPr>
        <w:t xml:space="preserve">4、我方______（填“未被列入”或“被列入”）政府采购严重违法失信行为记录名单。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kern w:val="0"/>
          <w:sz w:val="24"/>
          <w:szCs w:val="24"/>
          <w:lang w:bidi="ar"/>
        </w:rPr>
        <w:t xml:space="preserve">如有不实，我方将无条件地退出本项目的采购活动，并遵照《政府采购法》有关“提供虚假材料的规定”接受处罚。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kern w:val="0"/>
          <w:sz w:val="24"/>
          <w:szCs w:val="24"/>
          <w:lang w:bidi="ar"/>
        </w:rPr>
        <w:t>特此声明。</w:t>
      </w:r>
    </w:p>
    <w:p>
      <w:pPr>
        <w:autoSpaceDE w:val="0"/>
        <w:autoSpaceDN w:val="0"/>
        <w:adjustRightInd w:val="0"/>
        <w:spacing w:line="360" w:lineRule="auto"/>
        <w:ind w:firstLine="480" w:firstLineChars="200"/>
        <w:rPr>
          <w:rFonts w:ascii="仿宋" w:hAnsi="仿宋" w:eastAsia="仿宋" w:cs="仿宋"/>
          <w:sz w:val="24"/>
          <w:szCs w:val="24"/>
        </w:rPr>
      </w:pPr>
    </w:p>
    <w:p>
      <w:pPr>
        <w:autoSpaceDE w:val="0"/>
        <w:autoSpaceDN w:val="0"/>
        <w:adjustRightInd w:val="0"/>
        <w:spacing w:line="360" w:lineRule="auto"/>
        <w:ind w:firstLine="480" w:firstLineChars="200"/>
        <w:rPr>
          <w:rFonts w:ascii="仿宋" w:hAnsi="仿宋" w:eastAsia="仿宋" w:cs="仿宋"/>
          <w:sz w:val="24"/>
          <w:szCs w:val="24"/>
        </w:rPr>
      </w:pPr>
    </w:p>
    <w:p>
      <w:pPr>
        <w:spacing w:line="360" w:lineRule="auto"/>
        <w:ind w:firstLine="3840" w:firstLineChars="1600"/>
        <w:rPr>
          <w:rFonts w:ascii="仿宋" w:hAnsi="仿宋" w:eastAsia="仿宋" w:cs="仿宋"/>
          <w:sz w:val="24"/>
          <w:szCs w:val="24"/>
        </w:rPr>
      </w:pPr>
      <w:r>
        <w:rPr>
          <w:rFonts w:hint="eastAsia" w:ascii="仿宋" w:hAnsi="仿宋" w:eastAsia="仿宋" w:cs="仿宋"/>
          <w:sz w:val="24"/>
          <w:szCs w:val="24"/>
        </w:rPr>
        <w:t>投标人（公章）：</w:t>
      </w:r>
      <w:r>
        <w:rPr>
          <w:rFonts w:hint="eastAsia" w:ascii="仿宋" w:hAnsi="仿宋" w:eastAsia="仿宋" w:cs="仿宋"/>
          <w:sz w:val="24"/>
          <w:szCs w:val="24"/>
          <w:u w:val="single"/>
        </w:rPr>
        <w:t xml:space="preserve">                              </w:t>
      </w:r>
    </w:p>
    <w:p>
      <w:pPr>
        <w:spacing w:line="360" w:lineRule="auto"/>
        <w:ind w:firstLine="3840" w:firstLineChars="16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spacing w:line="360" w:lineRule="auto"/>
        <w:ind w:firstLine="3840" w:firstLineChars="1600"/>
        <w:rPr>
          <w:rFonts w:ascii="仿宋" w:hAnsi="仿宋" w:eastAsia="仿宋" w:cs="仿宋"/>
          <w:lang w:val="zh-CN"/>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pageBreakBefore/>
        <w:spacing w:line="360" w:lineRule="auto"/>
        <w:jc w:val="center"/>
        <w:rPr>
          <w:rFonts w:ascii="仿宋" w:hAnsi="仿宋" w:eastAsia="仿宋" w:cs="仿宋"/>
          <w:b/>
          <w:sz w:val="28"/>
          <w:szCs w:val="28"/>
          <w:lang w:val="zh-CN"/>
        </w:rPr>
      </w:pPr>
      <w:bookmarkStart w:id="400" w:name="_Toc19939"/>
      <w:r>
        <w:rPr>
          <w:rFonts w:hint="eastAsia" w:ascii="仿宋" w:hAnsi="仿宋" w:eastAsia="仿宋" w:cs="仿宋"/>
          <w:b/>
          <w:sz w:val="28"/>
          <w:szCs w:val="28"/>
          <w:lang w:val="zh-CN"/>
        </w:rPr>
        <w:t>（七）特定资格要求</w:t>
      </w:r>
      <w:bookmarkEnd w:id="400"/>
    </w:p>
    <w:p>
      <w:pPr>
        <w:adjustRightInd w:val="0"/>
        <w:snapToGrid w:val="0"/>
        <w:spacing w:line="360" w:lineRule="auto"/>
        <w:jc w:val="center"/>
        <w:rPr>
          <w:rFonts w:ascii="仿宋" w:hAnsi="仿宋" w:eastAsia="仿宋" w:cs="仿宋"/>
          <w:b/>
          <w:sz w:val="24"/>
          <w:szCs w:val="24"/>
        </w:rPr>
      </w:pPr>
      <w:bookmarkStart w:id="401" w:name="_Toc495671263"/>
      <w:bookmarkStart w:id="402" w:name="_Toc495681252"/>
      <w:bookmarkStart w:id="403" w:name="_Toc495681406"/>
      <w:bookmarkStart w:id="404" w:name="_Toc495681533"/>
      <w:bookmarkStart w:id="405" w:name="_Toc495908048"/>
      <w:bookmarkStart w:id="406" w:name="_Toc1610"/>
      <w:r>
        <w:rPr>
          <w:rFonts w:hint="eastAsia" w:ascii="仿宋" w:hAnsi="仿宋" w:eastAsia="仿宋" w:cs="仿宋"/>
          <w:b/>
          <w:sz w:val="24"/>
          <w:szCs w:val="24"/>
        </w:rPr>
        <w:t>1、法定代表人身份证明</w:t>
      </w:r>
      <w:bookmarkEnd w:id="401"/>
      <w:bookmarkEnd w:id="402"/>
      <w:bookmarkEnd w:id="403"/>
      <w:bookmarkEnd w:id="404"/>
      <w:bookmarkEnd w:id="405"/>
      <w:bookmarkEnd w:id="406"/>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rPr>
      </w:pPr>
      <w:r>
        <w:rPr>
          <w:rFonts w:hint="eastAsia" w:ascii="仿宋" w:hAnsi="仿宋" w:eastAsia="仿宋" w:cs="仿宋"/>
          <w:sz w:val="24"/>
          <w:szCs w:val="24"/>
        </w:rPr>
        <w:t>投标人</w:t>
      </w:r>
      <w:r>
        <w:rPr>
          <w:rFonts w:hint="eastAsia" w:ascii="仿宋" w:hAnsi="仿宋" w:eastAsia="仿宋" w:cs="仿宋"/>
          <w:kern w:val="0"/>
          <w:sz w:val="24"/>
          <w:szCs w:val="24"/>
        </w:rPr>
        <w:t>名称：</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统一社会信用代码：</w:t>
      </w:r>
      <w:r>
        <w:rPr>
          <w:rFonts w:hint="eastAsia" w:ascii="仿宋" w:hAnsi="仿宋" w:eastAsia="仿宋" w:cs="仿宋"/>
          <w:ker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u w:val="single"/>
        </w:rPr>
      </w:pPr>
      <w:r>
        <w:rPr>
          <w:rFonts w:hint="eastAsia" w:ascii="仿宋" w:hAnsi="仿宋" w:eastAsia="仿宋" w:cs="仿宋"/>
          <w:kern w:val="0"/>
          <w:sz w:val="24"/>
          <w:szCs w:val="24"/>
        </w:rPr>
        <w:t>注册地址：</w:t>
      </w:r>
      <w:r>
        <w:rPr>
          <w:rFonts w:hint="eastAsia" w:ascii="仿宋" w:hAnsi="仿宋" w:eastAsia="仿宋" w:cs="仿宋"/>
          <w:ker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成立时间：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年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日；经营期限：</w:t>
      </w:r>
      <w:r>
        <w:rPr>
          <w:rFonts w:hint="eastAsia" w:ascii="仿宋" w:hAnsi="仿宋" w:eastAsia="仿宋" w:cs="仿宋"/>
          <w:ker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u w:val="single"/>
        </w:rPr>
      </w:pPr>
      <w:r>
        <w:rPr>
          <w:rFonts w:hint="eastAsia" w:ascii="仿宋" w:hAnsi="仿宋" w:eastAsia="仿宋" w:cs="仿宋"/>
          <w:kern w:val="0"/>
          <w:sz w:val="24"/>
          <w:szCs w:val="24"/>
        </w:rPr>
        <w:t>经营范围：主营：</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；兼营：</w:t>
      </w:r>
      <w:r>
        <w:rPr>
          <w:rFonts w:hint="eastAsia" w:ascii="仿宋" w:hAnsi="仿宋" w:eastAsia="仿宋" w:cs="仿宋"/>
          <w:ker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姓名：</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性别：</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年龄：</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r>
        <w:rPr>
          <w:rFonts w:hint="eastAsia" w:ascii="仿宋" w:hAnsi="仿宋" w:eastAsia="仿宋" w:cs="仿宋"/>
          <w:sz w:val="24"/>
          <w:szCs w:val="24"/>
        </w:rPr>
        <w:t>投标人</w:t>
      </w:r>
      <w:r>
        <w:rPr>
          <w:rFonts w:hint="eastAsia" w:ascii="仿宋" w:hAnsi="仿宋" w:eastAsia="仿宋" w:cs="仿宋"/>
          <w:kern w:val="0"/>
          <w:sz w:val="24"/>
          <w:szCs w:val="24"/>
        </w:rPr>
        <w:t>名称）的法定代表人。</w:t>
      </w:r>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特此证明。</w:t>
      </w:r>
    </w:p>
    <w:p>
      <w:pPr>
        <w:autoSpaceDE w:val="0"/>
        <w:autoSpaceDN w:val="0"/>
        <w:adjustRightInd w:val="0"/>
        <w:snapToGrid w:val="0"/>
        <w:spacing w:before="120"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附：法定代表人身份证复印件</w:t>
      </w:r>
    </w:p>
    <w:tbl>
      <w:tblPr>
        <w:tblStyle w:val="23"/>
        <w:tblW w:w="7996" w:type="dxa"/>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sz w:val="24"/>
                <w:szCs w:val="24"/>
                <w:lang w:val="zh-CN"/>
              </w:rPr>
            </w:pPr>
            <w:r>
              <w:rPr>
                <w:rFonts w:hint="eastAsia" w:ascii="仿宋" w:hAnsi="仿宋" w:eastAsia="仿宋" w:cs="仿宋"/>
                <w:sz w:val="24"/>
                <w:szCs w:val="24"/>
                <w:lang w:val="zh-CN"/>
              </w:rPr>
              <w:t>法定代表人身份证</w:t>
            </w:r>
          </w:p>
          <w:p>
            <w:pPr>
              <w:spacing w:line="360" w:lineRule="auto"/>
              <w:jc w:val="center"/>
              <w:rPr>
                <w:rFonts w:ascii="仿宋" w:hAnsi="仿宋" w:eastAsia="仿宋" w:cs="仿宋"/>
                <w:sz w:val="24"/>
                <w:szCs w:val="24"/>
                <w:u w:val="single"/>
              </w:rPr>
            </w:pPr>
            <w:r>
              <w:rPr>
                <w:rFonts w:hint="eastAsia" w:ascii="仿宋" w:hAnsi="仿宋" w:eastAsia="仿宋" w:cs="仿宋"/>
                <w:sz w:val="24"/>
                <w:szCs w:val="24"/>
                <w:lang w:val="zh-CN"/>
              </w:rPr>
              <w:t>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sz w:val="24"/>
                <w:szCs w:val="24"/>
                <w:lang w:val="zh-CN"/>
              </w:rPr>
            </w:pPr>
            <w:r>
              <w:rPr>
                <w:rFonts w:hint="eastAsia" w:ascii="仿宋" w:hAnsi="仿宋" w:eastAsia="仿宋" w:cs="仿宋"/>
                <w:sz w:val="24"/>
                <w:szCs w:val="24"/>
                <w:lang w:val="zh-CN"/>
              </w:rPr>
              <w:t>法定代表人身份证</w:t>
            </w:r>
          </w:p>
          <w:p>
            <w:pPr>
              <w:spacing w:line="360" w:lineRule="auto"/>
              <w:jc w:val="center"/>
              <w:rPr>
                <w:rFonts w:ascii="仿宋" w:hAnsi="仿宋" w:eastAsia="仿宋" w:cs="仿宋"/>
                <w:sz w:val="24"/>
                <w:szCs w:val="24"/>
                <w:u w:val="single"/>
              </w:rPr>
            </w:pPr>
            <w:r>
              <w:rPr>
                <w:rFonts w:hint="eastAsia" w:ascii="仿宋" w:hAnsi="仿宋" w:eastAsia="仿宋" w:cs="仿宋"/>
                <w:sz w:val="24"/>
                <w:szCs w:val="24"/>
                <w:lang w:val="zh-CN"/>
              </w:rPr>
              <w:t>复印件</w:t>
            </w:r>
          </w:p>
        </w:tc>
      </w:tr>
    </w:tbl>
    <w:p>
      <w:pPr>
        <w:spacing w:line="360" w:lineRule="auto"/>
        <w:ind w:firstLine="1920" w:firstLineChars="800"/>
        <w:rPr>
          <w:rFonts w:ascii="仿宋" w:hAnsi="仿宋" w:eastAsia="仿宋" w:cs="仿宋"/>
          <w:sz w:val="24"/>
          <w:szCs w:val="24"/>
        </w:rPr>
      </w:pPr>
    </w:p>
    <w:p>
      <w:pPr>
        <w:spacing w:line="360" w:lineRule="auto"/>
        <w:ind w:firstLine="5280" w:firstLineChars="2200"/>
        <w:rPr>
          <w:rFonts w:ascii="仿宋" w:hAnsi="仿宋" w:eastAsia="仿宋" w:cs="仿宋"/>
          <w:sz w:val="24"/>
          <w:szCs w:val="24"/>
        </w:rPr>
      </w:pPr>
      <w:r>
        <w:rPr>
          <w:rFonts w:hint="eastAsia" w:ascii="仿宋" w:hAnsi="仿宋" w:eastAsia="仿宋" w:cs="仿宋"/>
          <w:sz w:val="24"/>
          <w:szCs w:val="24"/>
        </w:rPr>
        <w:t>投标人（公章）：</w:t>
      </w:r>
      <w:r>
        <w:rPr>
          <w:rFonts w:hint="eastAsia" w:ascii="仿宋" w:hAnsi="仿宋" w:eastAsia="仿宋" w:cs="仿宋"/>
          <w:sz w:val="24"/>
          <w:szCs w:val="24"/>
          <w:u w:val="single"/>
        </w:rPr>
        <w:t xml:space="preserve">                        </w:t>
      </w:r>
    </w:p>
    <w:p>
      <w:pPr>
        <w:spacing w:line="360" w:lineRule="auto"/>
        <w:ind w:firstLine="5280" w:firstLineChars="2200"/>
        <w:rPr>
          <w:rFonts w:ascii="仿宋" w:hAnsi="仿宋" w:eastAsia="仿宋" w:cs="仿宋"/>
          <w:sz w:val="24"/>
          <w:szCs w:val="24"/>
          <w:u w:val="single"/>
        </w:rPr>
      </w:pPr>
      <w:r>
        <w:rPr>
          <w:rFonts w:hint="eastAsia" w:ascii="仿宋" w:hAnsi="仿宋" w:eastAsia="仿宋" w:cs="仿宋"/>
          <w:sz w:val="24"/>
          <w:szCs w:val="24"/>
        </w:rPr>
        <w:t>法定代表人（签字或盖章）：</w:t>
      </w:r>
      <w:r>
        <w:rPr>
          <w:rFonts w:hint="eastAsia" w:ascii="仿宋" w:hAnsi="仿宋" w:eastAsia="仿宋" w:cs="仿宋"/>
          <w:sz w:val="24"/>
          <w:szCs w:val="24"/>
          <w:u w:val="single"/>
        </w:rPr>
        <w:t xml:space="preserve">                    </w:t>
      </w:r>
    </w:p>
    <w:p>
      <w:pPr>
        <w:adjustRightInd w:val="0"/>
        <w:snapToGrid w:val="0"/>
        <w:spacing w:line="360" w:lineRule="auto"/>
        <w:ind w:firstLine="5280" w:firstLineChars="2200"/>
        <w:rPr>
          <w:rFonts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bCs/>
          <w:sz w:val="24"/>
          <w:szCs w:val="24"/>
        </w:rPr>
        <w:br w:type="page"/>
      </w:r>
      <w:bookmarkStart w:id="407" w:name="_Toc495681407"/>
      <w:bookmarkStart w:id="408" w:name="_Toc495681534"/>
      <w:bookmarkStart w:id="409" w:name="_Toc495908049"/>
      <w:bookmarkStart w:id="410" w:name="_Toc495681253"/>
      <w:bookmarkStart w:id="411" w:name="_Toc18921"/>
      <w:bookmarkStart w:id="412" w:name="_Toc495671264"/>
      <w:r>
        <w:rPr>
          <w:rFonts w:hint="eastAsia" w:ascii="仿宋" w:hAnsi="仿宋" w:eastAsia="仿宋" w:cs="仿宋"/>
          <w:b/>
          <w:sz w:val="24"/>
          <w:szCs w:val="24"/>
        </w:rPr>
        <w:t>2、法定代表人授权书</w:t>
      </w:r>
      <w:bookmarkEnd w:id="407"/>
      <w:bookmarkEnd w:id="408"/>
      <w:bookmarkEnd w:id="409"/>
      <w:bookmarkEnd w:id="410"/>
      <w:bookmarkEnd w:id="411"/>
      <w:bookmarkEnd w:id="412"/>
    </w:p>
    <w:p>
      <w:pPr>
        <w:autoSpaceDE w:val="0"/>
        <w:autoSpaceDN w:val="0"/>
        <w:adjustRightInd w:val="0"/>
        <w:spacing w:line="360" w:lineRule="auto"/>
        <w:rPr>
          <w:rFonts w:ascii="仿宋" w:hAnsi="仿宋" w:eastAsia="仿宋" w:cs="仿宋"/>
          <w:sz w:val="24"/>
          <w:szCs w:val="24"/>
        </w:rPr>
      </w:pPr>
      <w:r>
        <w:rPr>
          <w:rFonts w:hint="eastAsia" w:ascii="仿宋" w:hAnsi="仿宋" w:eastAsia="仿宋" w:cs="仿宋"/>
          <w:sz w:val="24"/>
          <w:szCs w:val="24"/>
          <w:lang w:val="zh-CN"/>
        </w:rPr>
        <w:t>陕西笃信招标有限公司：</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zh-CN"/>
        </w:rPr>
        <w:t>注册于</w:t>
      </w:r>
      <w:r>
        <w:rPr>
          <w:rFonts w:hint="eastAsia" w:ascii="仿宋" w:hAnsi="仿宋" w:eastAsia="仿宋" w:cs="仿宋"/>
          <w:sz w:val="24"/>
          <w:szCs w:val="24"/>
          <w:u w:val="single"/>
          <w:lang w:val="zh-CN"/>
        </w:rPr>
        <w:t xml:space="preserve">  （工商行政管理局名称）  </w:t>
      </w:r>
      <w:r>
        <w:rPr>
          <w:rFonts w:hint="eastAsia" w:ascii="仿宋" w:hAnsi="仿宋" w:eastAsia="仿宋" w:cs="仿宋"/>
          <w:sz w:val="24"/>
          <w:szCs w:val="24"/>
          <w:lang w:val="zh-CN"/>
        </w:rPr>
        <w:t>之</w:t>
      </w:r>
      <w:r>
        <w:rPr>
          <w:rFonts w:hint="eastAsia" w:ascii="仿宋" w:hAnsi="仿宋" w:eastAsia="仿宋" w:cs="仿宋"/>
          <w:sz w:val="24"/>
          <w:szCs w:val="24"/>
          <w:u w:val="single"/>
          <w:lang w:val="zh-CN"/>
        </w:rPr>
        <w:t xml:space="preserve">   （投标人全称）  </w:t>
      </w:r>
      <w:r>
        <w:rPr>
          <w:rFonts w:hint="eastAsia" w:ascii="仿宋" w:hAnsi="仿宋" w:eastAsia="仿宋" w:cs="仿宋"/>
          <w:sz w:val="24"/>
          <w:szCs w:val="24"/>
          <w:lang w:val="zh-CN"/>
        </w:rPr>
        <w:t>的法定代表人</w:t>
      </w:r>
      <w:r>
        <w:rPr>
          <w:rFonts w:hint="eastAsia" w:ascii="仿宋" w:hAnsi="仿宋" w:eastAsia="仿宋" w:cs="仿宋"/>
          <w:sz w:val="24"/>
          <w:szCs w:val="24"/>
          <w:u w:val="single"/>
          <w:lang w:val="zh-CN"/>
        </w:rPr>
        <w:t xml:space="preserve"> （姓名）</w:t>
      </w: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授权</w:t>
      </w:r>
      <w:r>
        <w:rPr>
          <w:rFonts w:hint="eastAsia" w:ascii="仿宋" w:hAnsi="仿宋" w:eastAsia="仿宋" w:cs="仿宋"/>
          <w:sz w:val="24"/>
          <w:szCs w:val="24"/>
          <w:u w:val="single"/>
          <w:lang w:val="zh-CN"/>
        </w:rPr>
        <w:t xml:space="preserve"> （被授权人姓名）</w:t>
      </w:r>
      <w:r>
        <w:rPr>
          <w:rFonts w:hint="eastAsia" w:ascii="仿宋" w:hAnsi="仿宋" w:eastAsia="仿宋" w:cs="仿宋"/>
          <w:sz w:val="24"/>
          <w:szCs w:val="24"/>
          <w:u w:val="single"/>
        </w:rPr>
        <w:t xml:space="preserve"> </w:t>
      </w:r>
      <w:r>
        <w:rPr>
          <w:rFonts w:hint="eastAsia" w:ascii="仿宋" w:hAnsi="仿宋" w:eastAsia="仿宋" w:cs="仿宋"/>
          <w:sz w:val="24"/>
          <w:szCs w:val="24"/>
        </w:rPr>
        <w:t>为我方合法委托代理人。代理人根据授权，以我方名义签署、澄清、说明、递交、撤回、修改</w:t>
      </w:r>
      <w:r>
        <w:rPr>
          <w:rFonts w:hint="eastAsia" w:ascii="仿宋" w:hAnsi="仿宋" w:eastAsia="仿宋" w:cs="仿宋"/>
          <w:sz w:val="24"/>
          <w:szCs w:val="24"/>
          <w:u w:val="single"/>
        </w:rPr>
        <w:t xml:space="preserve">     （项目名称）     </w:t>
      </w:r>
      <w:r>
        <w:rPr>
          <w:rFonts w:hint="eastAsia" w:ascii="仿宋" w:hAnsi="仿宋" w:eastAsia="仿宋" w:cs="仿宋"/>
          <w:kern w:val="0"/>
          <w:sz w:val="24"/>
          <w:szCs w:val="24"/>
          <w:lang w:bidi="ar"/>
        </w:rPr>
        <w:t>第</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包</w:t>
      </w:r>
      <w:r>
        <w:rPr>
          <w:rFonts w:hint="eastAsia" w:ascii="仿宋" w:hAnsi="仿宋" w:eastAsia="仿宋" w:cs="仿宋"/>
          <w:sz w:val="24"/>
          <w:szCs w:val="24"/>
        </w:rPr>
        <w:t>投标文件、签订合同和处理有关事宜，其法律后果由我方承担。</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代理人无转委托权。</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（盖单位公章）</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spacing w:line="360" w:lineRule="auto"/>
        <w:ind w:firstLine="5520" w:firstLineChars="23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本授权有效期：自开标之日起90日历日。</w:t>
      </w:r>
    </w:p>
    <w:p>
      <w:pPr>
        <w:pStyle w:val="14"/>
        <w:ind w:firstLine="480" w:firstLineChars="200"/>
        <w:rPr>
          <w:rFonts w:eastAsia="仿宋"/>
        </w:rPr>
      </w:pPr>
      <w:r>
        <w:rPr>
          <w:rFonts w:hint="eastAsia" w:ascii="仿宋" w:hAnsi="仿宋" w:eastAsia="仿宋" w:cs="仿宋"/>
          <w:sz w:val="24"/>
          <w:szCs w:val="24"/>
        </w:rPr>
        <w:t>附：法定代表人和被授权委托代理人身份证复印件。</w:t>
      </w:r>
    </w:p>
    <w:p>
      <w:pPr>
        <w:pStyle w:val="14"/>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3"/>
        <w:gridCol w:w="3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4003" w:type="dxa"/>
            <w:vAlign w:val="center"/>
          </w:tcPr>
          <w:p>
            <w:pPr>
              <w:spacing w:line="360" w:lineRule="auto"/>
              <w:jc w:val="center"/>
              <w:rPr>
                <w:rFonts w:ascii="仿宋" w:hAnsi="仿宋" w:eastAsia="仿宋" w:cs="仿宋"/>
                <w:bCs/>
                <w:sz w:val="24"/>
                <w:szCs w:val="24"/>
              </w:rPr>
            </w:pPr>
            <w:r>
              <w:rPr>
                <w:rFonts w:hint="eastAsia" w:ascii="仿宋" w:hAnsi="仿宋" w:eastAsia="仿宋" w:cs="仿宋"/>
                <w:sz w:val="24"/>
                <w:szCs w:val="24"/>
              </w:rPr>
              <w:t>法定代表人身份证复印件</w:t>
            </w:r>
          </w:p>
        </w:tc>
        <w:tc>
          <w:tcPr>
            <w:tcW w:w="3772" w:type="dxa"/>
            <w:vAlign w:val="center"/>
          </w:tcPr>
          <w:p>
            <w:pPr>
              <w:spacing w:line="360" w:lineRule="auto"/>
              <w:jc w:val="center"/>
              <w:rPr>
                <w:rFonts w:ascii="仿宋" w:hAnsi="仿宋" w:eastAsia="仿宋" w:cs="仿宋"/>
                <w:bCs/>
                <w:sz w:val="24"/>
                <w:szCs w:val="24"/>
              </w:rPr>
            </w:pPr>
            <w:r>
              <w:rPr>
                <w:rFonts w:hint="eastAsia" w:ascii="仿宋" w:hAnsi="仿宋" w:eastAsia="仿宋" w:cs="仿宋"/>
                <w:sz w:val="24"/>
                <w:szCs w:val="24"/>
              </w:rPr>
              <w:t>被授权委托代理人身份证复印件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4003" w:type="dxa"/>
            <w:vAlign w:val="center"/>
          </w:tcPr>
          <w:p>
            <w:pPr>
              <w:spacing w:line="360" w:lineRule="auto"/>
              <w:jc w:val="center"/>
              <w:rPr>
                <w:rFonts w:ascii="仿宋" w:hAnsi="仿宋" w:eastAsia="仿宋" w:cs="仿宋"/>
                <w:bCs/>
                <w:sz w:val="24"/>
                <w:szCs w:val="24"/>
              </w:rPr>
            </w:pPr>
            <w:r>
              <w:rPr>
                <w:rFonts w:hint="eastAsia" w:ascii="仿宋" w:hAnsi="仿宋" w:eastAsia="仿宋" w:cs="仿宋"/>
                <w:sz w:val="24"/>
                <w:szCs w:val="24"/>
              </w:rPr>
              <w:t>法定代表人身份证复印件</w:t>
            </w:r>
          </w:p>
        </w:tc>
        <w:tc>
          <w:tcPr>
            <w:tcW w:w="3772" w:type="dxa"/>
            <w:vAlign w:val="center"/>
          </w:tcPr>
          <w:p>
            <w:pPr>
              <w:spacing w:line="360" w:lineRule="auto"/>
              <w:jc w:val="center"/>
              <w:rPr>
                <w:rFonts w:ascii="仿宋" w:hAnsi="仿宋" w:eastAsia="仿宋" w:cs="仿宋"/>
                <w:bCs/>
                <w:sz w:val="24"/>
                <w:szCs w:val="24"/>
              </w:rPr>
            </w:pPr>
            <w:r>
              <w:rPr>
                <w:rFonts w:hint="eastAsia" w:ascii="仿宋" w:hAnsi="仿宋" w:eastAsia="仿宋" w:cs="仿宋"/>
                <w:sz w:val="24"/>
                <w:szCs w:val="24"/>
              </w:rPr>
              <w:t>被授权委托代理人身份证复印件</w:t>
            </w:r>
          </w:p>
        </w:tc>
      </w:tr>
    </w:tbl>
    <w:p>
      <w:pPr>
        <w:spacing w:line="360" w:lineRule="auto"/>
        <w:rPr>
          <w:rFonts w:ascii="仿宋" w:hAnsi="仿宋" w:eastAsia="仿宋" w:cs="仿宋"/>
          <w:sz w:val="24"/>
          <w:szCs w:val="24"/>
          <w:lang w:val="zh-CN"/>
        </w:rPr>
      </w:pPr>
    </w:p>
    <w:p>
      <w:pPr>
        <w:spacing w:line="360" w:lineRule="auto"/>
        <w:rPr>
          <w:rFonts w:ascii="仿宋" w:hAnsi="仿宋" w:eastAsia="仿宋" w:cs="仿宋"/>
          <w:b/>
          <w:sz w:val="24"/>
          <w:szCs w:val="24"/>
        </w:rPr>
      </w:pPr>
      <w:r>
        <w:rPr>
          <w:rFonts w:hint="eastAsia" w:ascii="仿宋" w:hAnsi="仿宋" w:eastAsia="仿宋" w:cs="仿宋"/>
          <w:sz w:val="24"/>
          <w:szCs w:val="24"/>
          <w:lang w:val="zh-CN"/>
        </w:rPr>
        <w:t>说明：</w:t>
      </w:r>
      <w:r>
        <w:rPr>
          <w:rFonts w:hint="eastAsia" w:ascii="仿宋" w:hAnsi="仿宋" w:eastAsia="仿宋" w:cs="仿宋"/>
          <w:sz w:val="24"/>
          <w:szCs w:val="24"/>
        </w:rPr>
        <w:t>后附被授权代表本单位证明：有效的劳动合同或开标前六个月任意一个月的社会保险参保缴纳证明。</w:t>
      </w:r>
    </w:p>
    <w:p>
      <w:pPr>
        <w:adjustRightInd w:val="0"/>
        <w:snapToGrid w:val="0"/>
        <w:spacing w:line="360" w:lineRule="auto"/>
        <w:jc w:val="center"/>
        <w:rPr>
          <w:rFonts w:ascii="仿宋" w:hAnsi="仿宋" w:eastAsia="仿宋" w:cs="仿宋"/>
          <w:b/>
          <w:sz w:val="28"/>
          <w:szCs w:val="28"/>
          <w:lang w:val="zh-CN"/>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p>
    <w:p>
      <w:pPr>
        <w:adjustRightInd w:val="0"/>
        <w:snapToGrid w:val="0"/>
        <w:spacing w:line="360" w:lineRule="auto"/>
        <w:jc w:val="center"/>
        <w:rPr>
          <w:rFonts w:ascii="仿宋" w:hAnsi="仿宋" w:eastAsia="仿宋" w:cs="仿宋"/>
          <w:b/>
          <w:sz w:val="28"/>
          <w:szCs w:val="28"/>
          <w:lang w:val="zh-CN"/>
        </w:rPr>
      </w:pPr>
      <w:r>
        <w:rPr>
          <w:rFonts w:hint="eastAsia" w:ascii="仿宋" w:hAnsi="仿宋" w:eastAsia="仿宋" w:cs="仿宋"/>
          <w:b/>
          <w:sz w:val="28"/>
          <w:szCs w:val="28"/>
          <w:lang w:val="zh-CN"/>
        </w:rPr>
        <w:t>（八）提供政府采购政策等证明材料</w:t>
      </w:r>
      <w:bookmarkEnd w:id="389"/>
      <w:bookmarkEnd w:id="390"/>
      <w:bookmarkEnd w:id="391"/>
      <w:bookmarkEnd w:id="392"/>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（1）中小企业声明函（如适用，请提供，格式见附件1，注：本项目属于</w:t>
      </w:r>
      <w:r>
        <w:rPr>
          <w:rFonts w:hint="eastAsia" w:ascii="仿宋" w:hAnsi="仿宋" w:eastAsia="仿宋" w:cs="仿宋"/>
          <w:b/>
          <w:bCs/>
          <w:sz w:val="24"/>
          <w:szCs w:val="24"/>
        </w:rPr>
        <w:t>软件和信息技术服务业</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（2）残疾人福利性单位声明函（如适用，请提供，格式见附件2）；</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（3）监狱企业、福利企业证明材料（如适用，请提供）；  </w:t>
      </w:r>
    </w:p>
    <w:p>
      <w:pPr>
        <w:spacing w:line="360" w:lineRule="auto"/>
        <w:ind w:firstLine="480" w:firstLineChars="200"/>
        <w:rPr>
          <w:rFonts w:ascii="仿宋" w:hAnsi="仿宋" w:eastAsia="仿宋" w:cs="仿宋"/>
          <w:sz w:val="24"/>
          <w:szCs w:val="24"/>
        </w:rPr>
        <w:sectPr>
          <w:footerReference r:id="rId7" w:type="default"/>
          <w:pgSz w:w="11906" w:h="16838"/>
          <w:pgMar w:top="1417" w:right="1701" w:bottom="1417" w:left="1701" w:header="851" w:footer="992" w:gutter="0"/>
          <w:cols w:space="720" w:num="1"/>
          <w:docGrid w:linePitch="312" w:charSpace="0"/>
        </w:sectPr>
      </w:pPr>
      <w:r>
        <w:rPr>
          <w:rFonts w:hint="eastAsia" w:ascii="仿宋" w:hAnsi="仿宋" w:eastAsia="仿宋" w:cs="仿宋"/>
          <w:sz w:val="24"/>
          <w:szCs w:val="24"/>
        </w:rPr>
        <w:t>（4）节能环保产品、环境标志产品明细表（如适用，请按招标文件中采购项目需要落实的政府采购政策第2条相关规定提供相关证明材料）；</w:t>
      </w:r>
    </w:p>
    <w:p>
      <w:pPr>
        <w:pageBreakBefore/>
        <w:adjustRightInd w:val="0"/>
        <w:snapToGrid w:val="0"/>
        <w:spacing w:line="360" w:lineRule="auto"/>
        <w:jc w:val="left"/>
        <w:rPr>
          <w:rFonts w:ascii="仿宋" w:hAnsi="仿宋" w:eastAsia="仿宋" w:cs="仿宋"/>
          <w:b/>
          <w:bCs/>
          <w:sz w:val="24"/>
          <w:szCs w:val="24"/>
        </w:rPr>
      </w:pPr>
      <w:r>
        <w:rPr>
          <w:rFonts w:hint="eastAsia" w:ascii="仿宋" w:hAnsi="仿宋" w:eastAsia="仿宋" w:cs="仿宋"/>
          <w:b/>
          <w:bCs/>
          <w:sz w:val="24"/>
          <w:szCs w:val="24"/>
        </w:rPr>
        <w:t>附件1</w:t>
      </w:r>
    </w:p>
    <w:p>
      <w:pPr>
        <w:spacing w:line="360" w:lineRule="auto"/>
        <w:jc w:val="center"/>
        <w:rPr>
          <w:rFonts w:ascii="仿宋" w:hAnsi="仿宋" w:eastAsia="仿宋" w:cs="仿宋"/>
          <w:sz w:val="28"/>
          <w:szCs w:val="28"/>
        </w:rPr>
      </w:pPr>
      <w:r>
        <w:rPr>
          <w:rFonts w:hint="eastAsia" w:ascii="仿宋" w:hAnsi="仿宋" w:eastAsia="仿宋" w:cs="仿宋"/>
          <w:b/>
          <w:bCs/>
          <w:sz w:val="28"/>
          <w:szCs w:val="24"/>
        </w:rPr>
        <w:t>中小企业声明函（工程、服务）</w:t>
      </w:r>
    </w:p>
    <w:p>
      <w:pPr>
        <w:pStyle w:val="2"/>
        <w:kinsoku w:val="0"/>
        <w:overflowPunct w:val="0"/>
        <w:spacing w:before="34" w:line="360" w:lineRule="auto"/>
        <w:ind w:firstLine="480" w:firstLineChars="200"/>
        <w:rPr>
          <w:rFonts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 号）的规定，本公司（联合体）参加</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2"/>
        <w:kinsoku w:val="0"/>
        <w:overflowPunct w:val="0"/>
        <w:spacing w:before="34"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pPr>
        <w:pStyle w:val="2"/>
        <w:kinsoku w:val="0"/>
        <w:overflowPunct w:val="0"/>
        <w:spacing w:before="34"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ab/>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pPr>
        <w:pStyle w:val="2"/>
        <w:kinsoku w:val="0"/>
        <w:overflowPunct w:val="0"/>
        <w:spacing w:before="34" w:line="360" w:lineRule="auto"/>
        <w:ind w:left="765" w:right="138" w:hanging="5"/>
        <w:rPr>
          <w:rFonts w:ascii="仿宋" w:hAnsi="仿宋" w:eastAsia="仿宋" w:cs="仿宋"/>
          <w:sz w:val="24"/>
          <w:szCs w:val="24"/>
        </w:rPr>
      </w:pPr>
      <w:r>
        <w:rPr>
          <w:rFonts w:hint="eastAsia" w:ascii="仿宋" w:hAnsi="仿宋" w:eastAsia="仿宋" w:cs="仿宋"/>
          <w:sz w:val="24"/>
          <w:szCs w:val="24"/>
        </w:rPr>
        <w:t xml:space="preserve">…… </w:t>
      </w:r>
    </w:p>
    <w:p>
      <w:pPr>
        <w:pStyle w:val="2"/>
        <w:kinsoku w:val="0"/>
        <w:overflowPunct w:val="0"/>
        <w:spacing w:before="34" w:line="360" w:lineRule="auto"/>
        <w:ind w:firstLine="480" w:firstLineChars="200"/>
        <w:rPr>
          <w:rFonts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pPr>
        <w:pStyle w:val="2"/>
        <w:kinsoku w:val="0"/>
        <w:overflowPunct w:val="0"/>
        <w:spacing w:before="34" w:line="360" w:lineRule="auto"/>
        <w:ind w:firstLine="480" w:firstLineChars="200"/>
        <w:rPr>
          <w:rFonts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pPr>
        <w:pStyle w:val="2"/>
        <w:kinsoku w:val="0"/>
        <w:overflowPunct w:val="0"/>
        <w:spacing w:before="56" w:line="360" w:lineRule="auto"/>
        <w:ind w:left="3960" w:right="1748"/>
        <w:rPr>
          <w:rFonts w:ascii="仿宋" w:hAnsi="仿宋" w:eastAsia="仿宋" w:cs="仿宋"/>
          <w:spacing w:val="-18"/>
          <w:sz w:val="24"/>
          <w:szCs w:val="24"/>
        </w:rPr>
      </w:pPr>
    </w:p>
    <w:p>
      <w:pPr>
        <w:spacing w:line="360" w:lineRule="auto"/>
        <w:ind w:firstLine="3024" w:firstLineChars="1200"/>
        <w:rPr>
          <w:rFonts w:ascii="仿宋" w:hAnsi="仿宋" w:eastAsia="仿宋" w:cs="仿宋"/>
          <w:spacing w:val="6"/>
          <w:sz w:val="24"/>
          <w:szCs w:val="24"/>
        </w:rPr>
      </w:pPr>
      <w:r>
        <w:rPr>
          <w:rFonts w:hint="eastAsia" w:ascii="仿宋" w:hAnsi="仿宋" w:eastAsia="仿宋" w:cs="仿宋"/>
          <w:spacing w:val="6"/>
          <w:sz w:val="24"/>
          <w:szCs w:val="24"/>
        </w:rPr>
        <w:t>企业名称（盖章）：</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 xml:space="preserve"> </w:t>
      </w:r>
    </w:p>
    <w:p>
      <w:pPr>
        <w:spacing w:line="360" w:lineRule="auto"/>
        <w:ind w:firstLine="3024" w:firstLineChars="1200"/>
        <w:rPr>
          <w:rFonts w:ascii="仿宋" w:hAnsi="仿宋" w:eastAsia="仿宋" w:cs="仿宋"/>
          <w:spacing w:val="6"/>
          <w:sz w:val="24"/>
          <w:szCs w:val="24"/>
          <w:u w:val="single"/>
        </w:rPr>
      </w:pPr>
      <w:r>
        <w:rPr>
          <w:rFonts w:hint="eastAsia" w:ascii="仿宋" w:hAnsi="仿宋" w:eastAsia="仿宋" w:cs="仿宋"/>
          <w:spacing w:val="6"/>
          <w:sz w:val="24"/>
          <w:szCs w:val="24"/>
        </w:rPr>
        <w:t>日    期：</w:t>
      </w:r>
      <w:r>
        <w:rPr>
          <w:rFonts w:hint="eastAsia" w:ascii="仿宋" w:hAnsi="仿宋" w:eastAsia="仿宋" w:cs="仿宋"/>
          <w:spacing w:val="6"/>
          <w:sz w:val="24"/>
          <w:szCs w:val="24"/>
          <w:u w:val="single"/>
        </w:rPr>
        <w:t xml:space="preserve">                            </w:t>
      </w:r>
    </w:p>
    <w:p>
      <w:pPr>
        <w:spacing w:line="360" w:lineRule="auto"/>
        <w:rPr>
          <w:rFonts w:ascii="仿宋" w:hAnsi="仿宋" w:eastAsia="仿宋" w:cs="仿宋"/>
          <w:spacing w:val="6"/>
          <w:sz w:val="24"/>
          <w:szCs w:val="24"/>
        </w:rPr>
      </w:pP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1、从业人员、营业收入、资产总额填报上一年度数据，无上一年度数据的新成立企业可不填报。</w:t>
      </w:r>
    </w:p>
    <w:p>
      <w:pPr>
        <w:autoSpaceDE w:val="0"/>
        <w:autoSpaceDN w:val="0"/>
        <w:adjustRightInd w:val="0"/>
        <w:spacing w:line="360" w:lineRule="auto"/>
        <w:ind w:firstLine="480" w:firstLineChars="200"/>
        <w:rPr>
          <w:rFonts w:ascii="仿宋" w:hAnsi="仿宋" w:eastAsia="仿宋" w:cs="仿宋"/>
          <w:sz w:val="24"/>
          <w:szCs w:val="24"/>
        </w:rPr>
      </w:pPr>
    </w:p>
    <w:p>
      <w:pPr>
        <w:pageBreakBefore/>
        <w:spacing w:line="360" w:lineRule="auto"/>
        <w:rPr>
          <w:rFonts w:ascii="仿宋" w:hAnsi="仿宋" w:eastAsia="仿宋" w:cs="仿宋"/>
          <w:b/>
          <w:spacing w:val="6"/>
          <w:sz w:val="24"/>
          <w:szCs w:val="24"/>
        </w:rPr>
      </w:pPr>
      <w:r>
        <w:rPr>
          <w:rFonts w:hint="eastAsia" w:ascii="仿宋" w:hAnsi="仿宋" w:eastAsia="仿宋" w:cs="仿宋"/>
          <w:b/>
          <w:sz w:val="24"/>
          <w:szCs w:val="24"/>
        </w:rPr>
        <w:t>附件2：</w:t>
      </w:r>
    </w:p>
    <w:p>
      <w:pPr>
        <w:spacing w:line="360" w:lineRule="auto"/>
        <w:jc w:val="center"/>
        <w:rPr>
          <w:rFonts w:ascii="仿宋" w:hAnsi="仿宋" w:eastAsia="仿宋" w:cs="仿宋"/>
          <w:b/>
          <w:spacing w:val="6"/>
          <w:sz w:val="24"/>
          <w:szCs w:val="24"/>
        </w:rPr>
      </w:pPr>
      <w:r>
        <w:rPr>
          <w:rFonts w:hint="eastAsia" w:ascii="仿宋" w:hAnsi="仿宋" w:eastAsia="仿宋" w:cs="仿宋"/>
          <w:b/>
          <w:spacing w:val="6"/>
          <w:sz w:val="24"/>
          <w:szCs w:val="24"/>
        </w:rPr>
        <w:t>残疾人福利性单位声明函</w:t>
      </w:r>
    </w:p>
    <w:p>
      <w:pPr>
        <w:spacing w:line="360" w:lineRule="auto"/>
        <w:ind w:firstLine="504" w:firstLineChars="200"/>
        <w:rPr>
          <w:rFonts w:ascii="仿宋" w:hAnsi="仿宋" w:eastAsia="仿宋" w:cs="仿宋"/>
          <w:spacing w:val="6"/>
          <w:sz w:val="24"/>
          <w:szCs w:val="24"/>
        </w:rPr>
      </w:pPr>
      <w:r>
        <w:rPr>
          <w:rFonts w:hint="eastAsia" w:ascii="仿宋" w:hAnsi="仿宋" w:eastAsia="仿宋" w:cs="仿宋"/>
          <w:spacing w:val="6"/>
          <w:sz w:val="24"/>
          <w:szCs w:val="24"/>
        </w:rPr>
        <w:t>本单位郑重声明，根据《财政部 民政部 中国残疾人联合会关于促进残疾人就业政府采购政策的通知》（财库</w:t>
      </w:r>
      <w:r>
        <w:rPr>
          <w:rFonts w:hint="eastAsia" w:ascii="仿宋" w:hAnsi="仿宋" w:eastAsia="仿宋" w:cs="仿宋"/>
          <w:sz w:val="24"/>
          <w:szCs w:val="24"/>
        </w:rPr>
        <w:t>〔2017〕 141</w:t>
      </w:r>
      <w:r>
        <w:rPr>
          <w:rFonts w:hint="eastAsia" w:ascii="仿宋" w:hAnsi="仿宋" w:eastAsia="仿宋" w:cs="仿宋"/>
          <w:spacing w:val="6"/>
          <w:sz w:val="24"/>
          <w:szCs w:val="24"/>
        </w:rPr>
        <w:t>号）的规定，本单位为符合条件的残疾人福利性单位，且本单位参加</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单位的</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仿宋" w:hAnsi="仿宋" w:eastAsia="仿宋" w:cs="仿宋"/>
          <w:spacing w:val="6"/>
          <w:sz w:val="24"/>
          <w:szCs w:val="24"/>
        </w:rPr>
      </w:pPr>
      <w:r>
        <w:rPr>
          <w:rFonts w:hint="eastAsia" w:ascii="仿宋" w:hAnsi="仿宋" w:eastAsia="仿宋" w:cs="仿宋"/>
          <w:spacing w:val="6"/>
          <w:sz w:val="24"/>
          <w:szCs w:val="24"/>
        </w:rPr>
        <w:t>本单位对上述声明的真实性负责。如有虚假，将依法承担相应责任。</w:t>
      </w:r>
    </w:p>
    <w:p>
      <w:pPr>
        <w:spacing w:line="360" w:lineRule="auto"/>
        <w:ind w:firstLine="504" w:firstLineChars="200"/>
        <w:rPr>
          <w:rFonts w:ascii="仿宋" w:hAnsi="仿宋" w:eastAsia="仿宋" w:cs="仿宋"/>
          <w:spacing w:val="6"/>
          <w:sz w:val="24"/>
          <w:szCs w:val="24"/>
        </w:rPr>
      </w:pPr>
    </w:p>
    <w:p>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投标人（公章）：</w:t>
      </w:r>
      <w:r>
        <w:rPr>
          <w:rFonts w:hint="eastAsia" w:ascii="仿宋" w:hAnsi="仿宋" w:eastAsia="仿宋" w:cs="仿宋"/>
          <w:sz w:val="24"/>
          <w:szCs w:val="24"/>
          <w:u w:val="single"/>
        </w:rPr>
        <w:t xml:space="preserve">                           </w:t>
      </w:r>
    </w:p>
    <w:p>
      <w:pPr>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_GB2312" w:hAnsi="仿宋_GB2312" w:eastAsia="仿宋_GB2312" w:cs="仿宋_GB2312"/>
          <w:sz w:val="24"/>
          <w:szCs w:val="24"/>
          <w:u w:val="single"/>
        </w:rPr>
        <w:t xml:space="preserve">       </w:t>
      </w:r>
    </w:p>
    <w:p>
      <w:pPr>
        <w:adjustRightInd w:val="0"/>
        <w:snapToGrid w:val="0"/>
        <w:spacing w:line="360" w:lineRule="auto"/>
        <w:rPr>
          <w:rFonts w:ascii="仿宋" w:hAnsi="仿宋" w:eastAsia="仿宋" w:cs="仿宋"/>
          <w:sz w:val="24"/>
          <w:szCs w:val="24"/>
        </w:rPr>
      </w:pPr>
    </w:p>
    <w:p>
      <w:pPr>
        <w:autoSpaceDE w:val="0"/>
        <w:autoSpaceDN w:val="0"/>
        <w:adjustRightInd w:val="0"/>
        <w:snapToGrid w:val="0"/>
        <w:spacing w:line="360" w:lineRule="auto"/>
        <w:rPr>
          <w:rFonts w:ascii="仿宋" w:hAnsi="仿宋" w:eastAsia="仿宋" w:cs="仿宋"/>
          <w:bCs/>
          <w:sz w:val="24"/>
          <w:szCs w:val="24"/>
        </w:rPr>
      </w:pPr>
      <w:r>
        <w:rPr>
          <w:rFonts w:hint="eastAsia" w:ascii="仿宋" w:hAnsi="仿宋" w:eastAsia="仿宋" w:cs="仿宋"/>
          <w:sz w:val="24"/>
          <w:szCs w:val="24"/>
        </w:rPr>
        <w:t>说明：</w:t>
      </w:r>
      <w:r>
        <w:rPr>
          <w:rFonts w:hint="eastAsia" w:ascii="仿宋" w:hAnsi="仿宋" w:eastAsia="仿宋" w:cs="仿宋"/>
          <w:bCs/>
          <w:sz w:val="24"/>
          <w:szCs w:val="24"/>
        </w:rPr>
        <w:t>未按上述要求提供、</w:t>
      </w:r>
      <w:r>
        <w:rPr>
          <w:rFonts w:hint="eastAsia" w:ascii="仿宋" w:hAnsi="仿宋" w:eastAsia="仿宋" w:cs="仿宋"/>
          <w:sz w:val="24"/>
          <w:szCs w:val="24"/>
        </w:rPr>
        <w:t>填写</w:t>
      </w:r>
      <w:r>
        <w:rPr>
          <w:rFonts w:hint="eastAsia" w:ascii="仿宋" w:hAnsi="仿宋" w:eastAsia="仿宋" w:cs="仿宋"/>
          <w:bCs/>
          <w:sz w:val="24"/>
          <w:szCs w:val="24"/>
        </w:rPr>
        <w:t>的，评审时不予以考虑。</w:t>
      </w:r>
    </w:p>
    <w:p>
      <w:pPr>
        <w:pageBreakBefore/>
        <w:spacing w:line="360" w:lineRule="auto"/>
        <w:rPr>
          <w:rFonts w:ascii="仿宋" w:hAnsi="仿宋" w:eastAsia="仿宋" w:cs="仿宋"/>
          <w:b/>
          <w:sz w:val="24"/>
          <w:szCs w:val="24"/>
        </w:rPr>
      </w:pPr>
      <w:r>
        <w:rPr>
          <w:rFonts w:hint="eastAsia" w:ascii="仿宋" w:hAnsi="仿宋" w:eastAsia="仿宋" w:cs="仿宋"/>
          <w:b/>
          <w:sz w:val="24"/>
          <w:szCs w:val="24"/>
        </w:rPr>
        <w:t>附件3：</w:t>
      </w:r>
    </w:p>
    <w:p>
      <w:pPr>
        <w:spacing w:line="360" w:lineRule="auto"/>
        <w:ind w:firstLine="506" w:firstLineChars="200"/>
        <w:jc w:val="center"/>
        <w:rPr>
          <w:rFonts w:ascii="仿宋" w:hAnsi="仿宋" w:eastAsia="仿宋" w:cs="仿宋"/>
          <w:b/>
          <w:bCs/>
          <w:spacing w:val="6"/>
          <w:sz w:val="24"/>
          <w:szCs w:val="24"/>
        </w:rPr>
      </w:pPr>
      <w:r>
        <w:rPr>
          <w:rFonts w:hint="eastAsia" w:ascii="仿宋" w:hAnsi="仿宋" w:eastAsia="仿宋" w:cs="仿宋"/>
          <w:b/>
          <w:bCs/>
          <w:spacing w:val="6"/>
          <w:sz w:val="24"/>
          <w:szCs w:val="24"/>
        </w:rPr>
        <w:t>监狱企业证明函</w:t>
      </w:r>
    </w:p>
    <w:p>
      <w:pPr>
        <w:spacing w:line="360" w:lineRule="auto"/>
        <w:ind w:firstLine="504" w:firstLineChars="200"/>
        <w:rPr>
          <w:rFonts w:ascii="仿宋" w:hAnsi="仿宋" w:eastAsia="仿宋" w:cs="仿宋"/>
          <w:spacing w:val="6"/>
          <w:sz w:val="24"/>
          <w:szCs w:val="24"/>
        </w:rPr>
      </w:pPr>
      <w:r>
        <w:rPr>
          <w:rFonts w:hint="eastAsia" w:ascii="仿宋" w:hAnsi="仿宋" w:eastAsia="仿宋" w:cs="仿宋"/>
          <w:spacing w:val="6"/>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504" w:firstLineChars="200"/>
        <w:rPr>
          <w:rFonts w:ascii="仿宋" w:hAnsi="仿宋" w:eastAsia="仿宋" w:cs="仿宋"/>
          <w:spacing w:val="6"/>
          <w:sz w:val="24"/>
          <w:szCs w:val="24"/>
        </w:rPr>
      </w:pPr>
      <w:r>
        <w:rPr>
          <w:rFonts w:hint="eastAsia" w:ascii="仿宋" w:hAnsi="仿宋" w:eastAsia="仿宋" w:cs="仿宋"/>
          <w:spacing w:val="6"/>
          <w:sz w:val="24"/>
          <w:szCs w:val="24"/>
        </w:rPr>
        <w:t>监狱企业参加政府采购活动时，应当提供由省级以上监狱管理局、戒毒管理局（含新疆生产建设兵团）出具的属于监狱企业的证明文件。</w:t>
      </w:r>
    </w:p>
    <w:p>
      <w:pPr>
        <w:spacing w:line="588" w:lineRule="exact"/>
        <w:ind w:firstLine="436" w:firstLineChars="200"/>
        <w:rPr>
          <w:rFonts w:ascii="宋体" w:hAnsi="宋体" w:cs="宋体"/>
          <w:spacing w:val="4"/>
          <w:szCs w:val="21"/>
        </w:rPr>
      </w:pPr>
    </w:p>
    <w:p>
      <w:pPr>
        <w:spacing w:before="120" w:beforeLines="50" w:after="120" w:afterLines="50" w:line="480" w:lineRule="auto"/>
        <w:jc w:val="right"/>
        <w:rPr>
          <w:rFonts w:ascii="宋体" w:hAnsi="宋体" w:cs="宋体"/>
          <w:spacing w:val="4"/>
          <w:szCs w:val="21"/>
        </w:rPr>
      </w:pPr>
    </w:p>
    <w:p>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投标人（公章）：</w:t>
      </w:r>
      <w:r>
        <w:rPr>
          <w:rFonts w:hint="eastAsia" w:ascii="仿宋" w:hAnsi="仿宋" w:eastAsia="仿宋" w:cs="仿宋"/>
          <w:sz w:val="24"/>
          <w:szCs w:val="24"/>
          <w:u w:val="single"/>
        </w:rPr>
        <w:t xml:space="preserve">                           </w:t>
      </w:r>
    </w:p>
    <w:p>
      <w:pPr>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_GB2312" w:hAnsi="仿宋_GB2312" w:eastAsia="仿宋_GB2312" w:cs="仿宋_GB2312"/>
          <w:sz w:val="24"/>
          <w:szCs w:val="24"/>
          <w:u w:val="single"/>
        </w:rPr>
        <w:t xml:space="preserve">       </w:t>
      </w:r>
    </w:p>
    <w:p>
      <w:pPr>
        <w:adjustRightInd w:val="0"/>
        <w:snapToGrid w:val="0"/>
        <w:spacing w:line="360" w:lineRule="auto"/>
        <w:ind w:firstLine="240" w:firstLineChars="100"/>
        <w:rPr>
          <w:rFonts w:ascii="仿宋" w:hAnsi="仿宋" w:eastAsia="仿宋" w:cs="仿宋"/>
          <w:sz w:val="24"/>
          <w:szCs w:val="24"/>
        </w:rPr>
      </w:pPr>
    </w:p>
    <w:p>
      <w:pPr>
        <w:pStyle w:val="22"/>
        <w:ind w:left="0" w:leftChars="0" w:firstLine="0" w:firstLineChars="0"/>
        <w:sectPr>
          <w:pgSz w:w="11906" w:h="16838"/>
          <w:pgMar w:top="1417" w:right="1701" w:bottom="1417" w:left="1701" w:header="851" w:footer="992" w:gutter="0"/>
          <w:cols w:space="720" w:num="1"/>
          <w:docGrid w:linePitch="312" w:charSpace="0"/>
        </w:sectPr>
      </w:pPr>
      <w:r>
        <w:rPr>
          <w:rFonts w:hint="eastAsia" w:ascii="仿宋" w:hAnsi="仿宋" w:eastAsia="仿宋" w:cs="仿宋"/>
          <w:sz w:val="24"/>
          <w:szCs w:val="24"/>
        </w:rPr>
        <w:t>说明：</w:t>
      </w:r>
      <w:r>
        <w:rPr>
          <w:rFonts w:hint="eastAsia" w:ascii="仿宋" w:hAnsi="仿宋" w:eastAsia="仿宋" w:cs="仿宋"/>
          <w:bCs/>
          <w:sz w:val="24"/>
          <w:szCs w:val="24"/>
        </w:rPr>
        <w:t>未按上述要求提供、</w:t>
      </w:r>
      <w:r>
        <w:rPr>
          <w:rFonts w:hint="eastAsia" w:ascii="仿宋" w:hAnsi="仿宋" w:eastAsia="仿宋" w:cs="仿宋"/>
          <w:sz w:val="24"/>
          <w:szCs w:val="24"/>
        </w:rPr>
        <w:t>填写</w:t>
      </w:r>
      <w:r>
        <w:rPr>
          <w:rFonts w:hint="eastAsia" w:ascii="仿宋" w:hAnsi="仿宋" w:eastAsia="仿宋" w:cs="仿宋"/>
          <w:bCs/>
          <w:sz w:val="24"/>
          <w:szCs w:val="24"/>
        </w:rPr>
        <w:t>的，评审时不予以考虑。</w:t>
      </w:r>
    </w:p>
    <w:p>
      <w:pPr>
        <w:pStyle w:val="4"/>
        <w:keepNext w:val="0"/>
        <w:pageBreakBefore/>
        <w:spacing w:line="360" w:lineRule="auto"/>
        <w:rPr>
          <w:rFonts w:ascii="仿宋" w:hAnsi="仿宋" w:eastAsia="仿宋" w:cs="仿宋"/>
          <w:szCs w:val="44"/>
          <w:lang w:val="zh-CN"/>
        </w:rPr>
      </w:pPr>
      <w:bookmarkStart w:id="413" w:name="_Toc12270"/>
      <w:r>
        <w:rPr>
          <w:rFonts w:hint="eastAsia" w:ascii="仿宋" w:hAnsi="仿宋" w:eastAsia="仿宋" w:cs="仿宋"/>
          <w:sz w:val="32"/>
          <w:szCs w:val="32"/>
          <w:lang w:val="zh-CN"/>
        </w:rPr>
        <w:t>五、合同主要条款偏离表</w:t>
      </w:r>
      <w:bookmarkEnd w:id="376"/>
      <w:bookmarkEnd w:id="377"/>
      <w:bookmarkEnd w:id="378"/>
      <w:bookmarkEnd w:id="379"/>
      <w:bookmarkEnd w:id="382"/>
      <w:bookmarkEnd w:id="383"/>
      <w:bookmarkEnd w:id="384"/>
      <w:bookmarkEnd w:id="385"/>
      <w:bookmarkEnd w:id="386"/>
      <w:bookmarkEnd w:id="387"/>
      <w:bookmarkEnd w:id="388"/>
      <w:bookmarkEnd w:id="413"/>
    </w:p>
    <w:p>
      <w:pPr>
        <w:spacing w:line="360" w:lineRule="auto"/>
        <w:jc w:val="left"/>
        <w:rPr>
          <w:rFonts w:ascii="仿宋" w:hAnsi="仿宋" w:eastAsia="仿宋" w:cs="仿宋"/>
          <w:sz w:val="24"/>
          <w:szCs w:val="24"/>
        </w:rPr>
      </w:pPr>
      <w:r>
        <w:rPr>
          <w:rFonts w:hint="eastAsia" w:ascii="仿宋" w:hAnsi="仿宋" w:eastAsia="仿宋" w:cs="仿宋"/>
          <w:bCs/>
          <w:kern w:val="0"/>
          <w:sz w:val="24"/>
          <w:szCs w:val="24"/>
        </w:rPr>
        <w:t xml:space="preserve">项目编号：                                           包号：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678"/>
        <w:gridCol w:w="840"/>
        <w:gridCol w:w="1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vAlign w:val="center"/>
          </w:tcPr>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380" w:type="dxa"/>
            <w:vAlign w:val="center"/>
          </w:tcPr>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文件</w:t>
            </w:r>
          </w:p>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条目号</w:t>
            </w:r>
          </w:p>
        </w:tc>
        <w:tc>
          <w:tcPr>
            <w:tcW w:w="2341" w:type="dxa"/>
            <w:vAlign w:val="center"/>
          </w:tcPr>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招标文件</w:t>
            </w:r>
          </w:p>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合同主要条款</w:t>
            </w:r>
          </w:p>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要求</w:t>
            </w:r>
          </w:p>
        </w:tc>
        <w:tc>
          <w:tcPr>
            <w:tcW w:w="2678" w:type="dxa"/>
            <w:vAlign w:val="center"/>
          </w:tcPr>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投标文件</w:t>
            </w:r>
          </w:p>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合同主要条款</w:t>
            </w:r>
          </w:p>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响应</w:t>
            </w:r>
          </w:p>
        </w:tc>
        <w:tc>
          <w:tcPr>
            <w:tcW w:w="840" w:type="dxa"/>
            <w:vAlign w:val="center"/>
          </w:tcPr>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偏离</w:t>
            </w:r>
          </w:p>
        </w:tc>
        <w:tc>
          <w:tcPr>
            <w:tcW w:w="1731" w:type="dxa"/>
            <w:vAlign w:val="center"/>
          </w:tcPr>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偏离</w:t>
            </w:r>
          </w:p>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adjustRightInd w:val="0"/>
              <w:snapToGrid w:val="0"/>
              <w:spacing w:line="360" w:lineRule="auto"/>
              <w:ind w:right="24"/>
              <w:rPr>
                <w:rFonts w:ascii="仿宋" w:hAnsi="仿宋" w:eastAsia="仿宋" w:cs="仿宋"/>
                <w:bCs/>
                <w:sz w:val="24"/>
                <w:szCs w:val="24"/>
              </w:rPr>
            </w:pPr>
          </w:p>
        </w:tc>
        <w:tc>
          <w:tcPr>
            <w:tcW w:w="1380" w:type="dxa"/>
          </w:tcPr>
          <w:p>
            <w:pPr>
              <w:adjustRightInd w:val="0"/>
              <w:snapToGrid w:val="0"/>
              <w:spacing w:line="360" w:lineRule="auto"/>
              <w:ind w:right="24"/>
              <w:rPr>
                <w:rFonts w:ascii="仿宋" w:hAnsi="仿宋" w:eastAsia="仿宋" w:cs="仿宋"/>
                <w:bCs/>
                <w:sz w:val="24"/>
                <w:szCs w:val="24"/>
              </w:rPr>
            </w:pPr>
          </w:p>
        </w:tc>
        <w:tc>
          <w:tcPr>
            <w:tcW w:w="2341" w:type="dxa"/>
          </w:tcPr>
          <w:p>
            <w:pPr>
              <w:adjustRightInd w:val="0"/>
              <w:snapToGrid w:val="0"/>
              <w:spacing w:line="360" w:lineRule="auto"/>
              <w:ind w:right="24"/>
              <w:rPr>
                <w:rFonts w:ascii="仿宋" w:hAnsi="仿宋" w:eastAsia="仿宋" w:cs="仿宋"/>
                <w:bCs/>
                <w:sz w:val="24"/>
                <w:szCs w:val="24"/>
              </w:rPr>
            </w:pPr>
          </w:p>
        </w:tc>
        <w:tc>
          <w:tcPr>
            <w:tcW w:w="2678" w:type="dxa"/>
          </w:tcPr>
          <w:p>
            <w:pPr>
              <w:adjustRightInd w:val="0"/>
              <w:snapToGrid w:val="0"/>
              <w:spacing w:line="360" w:lineRule="auto"/>
              <w:ind w:right="24"/>
              <w:rPr>
                <w:rFonts w:ascii="仿宋" w:hAnsi="仿宋" w:eastAsia="仿宋" w:cs="仿宋"/>
                <w:bCs/>
                <w:sz w:val="24"/>
                <w:szCs w:val="24"/>
              </w:rPr>
            </w:pPr>
          </w:p>
        </w:tc>
        <w:tc>
          <w:tcPr>
            <w:tcW w:w="840" w:type="dxa"/>
          </w:tcPr>
          <w:p>
            <w:pPr>
              <w:adjustRightInd w:val="0"/>
              <w:snapToGrid w:val="0"/>
              <w:spacing w:line="360" w:lineRule="auto"/>
              <w:ind w:right="24"/>
              <w:rPr>
                <w:rFonts w:ascii="仿宋" w:hAnsi="仿宋" w:eastAsia="仿宋" w:cs="仿宋"/>
                <w:bCs/>
                <w:sz w:val="24"/>
                <w:szCs w:val="24"/>
              </w:rPr>
            </w:pPr>
          </w:p>
        </w:tc>
        <w:tc>
          <w:tcPr>
            <w:tcW w:w="1731" w:type="dxa"/>
          </w:tcPr>
          <w:p>
            <w:pPr>
              <w:adjustRightInd w:val="0"/>
              <w:snapToGrid w:val="0"/>
              <w:spacing w:line="360" w:lineRule="auto"/>
              <w:ind w:right="24"/>
              <w:rPr>
                <w:rFonts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adjustRightInd w:val="0"/>
              <w:snapToGrid w:val="0"/>
              <w:spacing w:line="360" w:lineRule="auto"/>
              <w:ind w:right="24"/>
              <w:rPr>
                <w:rFonts w:ascii="仿宋" w:hAnsi="仿宋" w:eastAsia="仿宋" w:cs="仿宋"/>
                <w:bCs/>
                <w:sz w:val="24"/>
                <w:szCs w:val="24"/>
              </w:rPr>
            </w:pPr>
          </w:p>
        </w:tc>
        <w:tc>
          <w:tcPr>
            <w:tcW w:w="1380" w:type="dxa"/>
          </w:tcPr>
          <w:p>
            <w:pPr>
              <w:adjustRightInd w:val="0"/>
              <w:snapToGrid w:val="0"/>
              <w:spacing w:line="360" w:lineRule="auto"/>
              <w:ind w:right="24"/>
              <w:rPr>
                <w:rFonts w:ascii="仿宋" w:hAnsi="仿宋" w:eastAsia="仿宋" w:cs="仿宋"/>
                <w:bCs/>
                <w:sz w:val="24"/>
                <w:szCs w:val="24"/>
              </w:rPr>
            </w:pPr>
          </w:p>
        </w:tc>
        <w:tc>
          <w:tcPr>
            <w:tcW w:w="2341" w:type="dxa"/>
          </w:tcPr>
          <w:p>
            <w:pPr>
              <w:adjustRightInd w:val="0"/>
              <w:snapToGrid w:val="0"/>
              <w:spacing w:line="360" w:lineRule="auto"/>
              <w:ind w:right="24"/>
              <w:rPr>
                <w:rFonts w:ascii="仿宋" w:hAnsi="仿宋" w:eastAsia="仿宋" w:cs="仿宋"/>
                <w:bCs/>
                <w:sz w:val="24"/>
                <w:szCs w:val="24"/>
              </w:rPr>
            </w:pPr>
          </w:p>
        </w:tc>
        <w:tc>
          <w:tcPr>
            <w:tcW w:w="2678" w:type="dxa"/>
          </w:tcPr>
          <w:p>
            <w:pPr>
              <w:adjustRightInd w:val="0"/>
              <w:snapToGrid w:val="0"/>
              <w:spacing w:line="360" w:lineRule="auto"/>
              <w:ind w:right="24"/>
              <w:rPr>
                <w:rFonts w:ascii="仿宋" w:hAnsi="仿宋" w:eastAsia="仿宋" w:cs="仿宋"/>
                <w:bCs/>
                <w:sz w:val="24"/>
                <w:szCs w:val="24"/>
              </w:rPr>
            </w:pPr>
          </w:p>
        </w:tc>
        <w:tc>
          <w:tcPr>
            <w:tcW w:w="840" w:type="dxa"/>
          </w:tcPr>
          <w:p>
            <w:pPr>
              <w:adjustRightInd w:val="0"/>
              <w:snapToGrid w:val="0"/>
              <w:spacing w:line="360" w:lineRule="auto"/>
              <w:ind w:right="24"/>
              <w:rPr>
                <w:rFonts w:ascii="仿宋" w:hAnsi="仿宋" w:eastAsia="仿宋" w:cs="仿宋"/>
                <w:bCs/>
                <w:sz w:val="24"/>
                <w:szCs w:val="24"/>
              </w:rPr>
            </w:pPr>
          </w:p>
        </w:tc>
        <w:tc>
          <w:tcPr>
            <w:tcW w:w="1731" w:type="dxa"/>
          </w:tcPr>
          <w:p>
            <w:pPr>
              <w:adjustRightInd w:val="0"/>
              <w:snapToGrid w:val="0"/>
              <w:spacing w:line="360" w:lineRule="auto"/>
              <w:ind w:right="24"/>
              <w:rPr>
                <w:rFonts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adjustRightInd w:val="0"/>
              <w:snapToGrid w:val="0"/>
              <w:spacing w:line="360" w:lineRule="auto"/>
              <w:ind w:right="24"/>
              <w:rPr>
                <w:rFonts w:ascii="仿宋" w:hAnsi="仿宋" w:eastAsia="仿宋" w:cs="仿宋"/>
                <w:bCs/>
                <w:sz w:val="24"/>
                <w:szCs w:val="24"/>
              </w:rPr>
            </w:pPr>
          </w:p>
        </w:tc>
        <w:tc>
          <w:tcPr>
            <w:tcW w:w="1380" w:type="dxa"/>
          </w:tcPr>
          <w:p>
            <w:pPr>
              <w:adjustRightInd w:val="0"/>
              <w:snapToGrid w:val="0"/>
              <w:spacing w:line="360" w:lineRule="auto"/>
              <w:ind w:right="24"/>
              <w:rPr>
                <w:rFonts w:ascii="仿宋" w:hAnsi="仿宋" w:eastAsia="仿宋" w:cs="仿宋"/>
                <w:bCs/>
                <w:sz w:val="24"/>
                <w:szCs w:val="24"/>
              </w:rPr>
            </w:pPr>
          </w:p>
        </w:tc>
        <w:tc>
          <w:tcPr>
            <w:tcW w:w="2341" w:type="dxa"/>
          </w:tcPr>
          <w:p>
            <w:pPr>
              <w:adjustRightInd w:val="0"/>
              <w:snapToGrid w:val="0"/>
              <w:spacing w:line="360" w:lineRule="auto"/>
              <w:ind w:right="24"/>
              <w:rPr>
                <w:rFonts w:ascii="仿宋" w:hAnsi="仿宋" w:eastAsia="仿宋" w:cs="仿宋"/>
                <w:bCs/>
                <w:sz w:val="24"/>
                <w:szCs w:val="24"/>
              </w:rPr>
            </w:pPr>
          </w:p>
        </w:tc>
        <w:tc>
          <w:tcPr>
            <w:tcW w:w="2678" w:type="dxa"/>
          </w:tcPr>
          <w:p>
            <w:pPr>
              <w:adjustRightInd w:val="0"/>
              <w:snapToGrid w:val="0"/>
              <w:spacing w:line="360" w:lineRule="auto"/>
              <w:ind w:right="24"/>
              <w:rPr>
                <w:rFonts w:ascii="仿宋" w:hAnsi="仿宋" w:eastAsia="仿宋" w:cs="仿宋"/>
                <w:bCs/>
                <w:sz w:val="24"/>
                <w:szCs w:val="24"/>
              </w:rPr>
            </w:pPr>
          </w:p>
        </w:tc>
        <w:tc>
          <w:tcPr>
            <w:tcW w:w="840" w:type="dxa"/>
          </w:tcPr>
          <w:p>
            <w:pPr>
              <w:adjustRightInd w:val="0"/>
              <w:snapToGrid w:val="0"/>
              <w:spacing w:line="360" w:lineRule="auto"/>
              <w:ind w:right="24"/>
              <w:rPr>
                <w:rFonts w:ascii="仿宋" w:hAnsi="仿宋" w:eastAsia="仿宋" w:cs="仿宋"/>
                <w:bCs/>
                <w:sz w:val="24"/>
                <w:szCs w:val="24"/>
              </w:rPr>
            </w:pPr>
          </w:p>
        </w:tc>
        <w:tc>
          <w:tcPr>
            <w:tcW w:w="1731" w:type="dxa"/>
          </w:tcPr>
          <w:p>
            <w:pPr>
              <w:adjustRightInd w:val="0"/>
              <w:snapToGrid w:val="0"/>
              <w:spacing w:line="360" w:lineRule="auto"/>
              <w:ind w:right="24"/>
              <w:rPr>
                <w:rFonts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adjustRightInd w:val="0"/>
              <w:snapToGrid w:val="0"/>
              <w:spacing w:line="360" w:lineRule="auto"/>
              <w:ind w:right="24"/>
              <w:rPr>
                <w:rFonts w:ascii="仿宋" w:hAnsi="仿宋" w:eastAsia="仿宋" w:cs="仿宋"/>
                <w:bCs/>
                <w:sz w:val="24"/>
                <w:szCs w:val="24"/>
              </w:rPr>
            </w:pPr>
          </w:p>
        </w:tc>
        <w:tc>
          <w:tcPr>
            <w:tcW w:w="1380" w:type="dxa"/>
          </w:tcPr>
          <w:p>
            <w:pPr>
              <w:adjustRightInd w:val="0"/>
              <w:snapToGrid w:val="0"/>
              <w:spacing w:line="360" w:lineRule="auto"/>
              <w:ind w:right="24"/>
              <w:rPr>
                <w:rFonts w:ascii="仿宋" w:hAnsi="仿宋" w:eastAsia="仿宋" w:cs="仿宋"/>
                <w:bCs/>
                <w:sz w:val="24"/>
                <w:szCs w:val="24"/>
              </w:rPr>
            </w:pPr>
          </w:p>
        </w:tc>
        <w:tc>
          <w:tcPr>
            <w:tcW w:w="2341" w:type="dxa"/>
          </w:tcPr>
          <w:p>
            <w:pPr>
              <w:adjustRightInd w:val="0"/>
              <w:snapToGrid w:val="0"/>
              <w:spacing w:line="360" w:lineRule="auto"/>
              <w:ind w:right="24"/>
              <w:rPr>
                <w:rFonts w:ascii="仿宋" w:hAnsi="仿宋" w:eastAsia="仿宋" w:cs="仿宋"/>
                <w:bCs/>
                <w:sz w:val="24"/>
                <w:szCs w:val="24"/>
              </w:rPr>
            </w:pPr>
          </w:p>
        </w:tc>
        <w:tc>
          <w:tcPr>
            <w:tcW w:w="2678" w:type="dxa"/>
          </w:tcPr>
          <w:p>
            <w:pPr>
              <w:adjustRightInd w:val="0"/>
              <w:snapToGrid w:val="0"/>
              <w:spacing w:line="360" w:lineRule="auto"/>
              <w:ind w:right="24"/>
              <w:rPr>
                <w:rFonts w:ascii="仿宋" w:hAnsi="仿宋" w:eastAsia="仿宋" w:cs="仿宋"/>
                <w:bCs/>
                <w:sz w:val="24"/>
                <w:szCs w:val="24"/>
              </w:rPr>
            </w:pPr>
          </w:p>
        </w:tc>
        <w:tc>
          <w:tcPr>
            <w:tcW w:w="840" w:type="dxa"/>
          </w:tcPr>
          <w:p>
            <w:pPr>
              <w:adjustRightInd w:val="0"/>
              <w:snapToGrid w:val="0"/>
              <w:spacing w:line="360" w:lineRule="auto"/>
              <w:ind w:right="24"/>
              <w:rPr>
                <w:rFonts w:ascii="仿宋" w:hAnsi="仿宋" w:eastAsia="仿宋" w:cs="仿宋"/>
                <w:bCs/>
                <w:sz w:val="24"/>
                <w:szCs w:val="24"/>
              </w:rPr>
            </w:pPr>
          </w:p>
        </w:tc>
        <w:tc>
          <w:tcPr>
            <w:tcW w:w="1731" w:type="dxa"/>
          </w:tcPr>
          <w:p>
            <w:pPr>
              <w:adjustRightInd w:val="0"/>
              <w:snapToGrid w:val="0"/>
              <w:spacing w:line="360" w:lineRule="auto"/>
              <w:ind w:right="24"/>
              <w:rPr>
                <w:rFonts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adjustRightInd w:val="0"/>
              <w:snapToGrid w:val="0"/>
              <w:spacing w:line="360" w:lineRule="auto"/>
              <w:ind w:right="24"/>
              <w:rPr>
                <w:rFonts w:ascii="仿宋" w:hAnsi="仿宋" w:eastAsia="仿宋" w:cs="仿宋"/>
                <w:bCs/>
                <w:sz w:val="24"/>
                <w:szCs w:val="24"/>
              </w:rPr>
            </w:pPr>
          </w:p>
        </w:tc>
        <w:tc>
          <w:tcPr>
            <w:tcW w:w="1380" w:type="dxa"/>
          </w:tcPr>
          <w:p>
            <w:pPr>
              <w:adjustRightInd w:val="0"/>
              <w:snapToGrid w:val="0"/>
              <w:spacing w:line="360" w:lineRule="auto"/>
              <w:ind w:right="24"/>
              <w:rPr>
                <w:rFonts w:ascii="仿宋" w:hAnsi="仿宋" w:eastAsia="仿宋" w:cs="仿宋"/>
                <w:bCs/>
                <w:sz w:val="24"/>
                <w:szCs w:val="24"/>
              </w:rPr>
            </w:pPr>
          </w:p>
        </w:tc>
        <w:tc>
          <w:tcPr>
            <w:tcW w:w="2341" w:type="dxa"/>
          </w:tcPr>
          <w:p>
            <w:pPr>
              <w:adjustRightInd w:val="0"/>
              <w:snapToGrid w:val="0"/>
              <w:spacing w:line="360" w:lineRule="auto"/>
              <w:ind w:right="24"/>
              <w:rPr>
                <w:rFonts w:ascii="仿宋" w:hAnsi="仿宋" w:eastAsia="仿宋" w:cs="仿宋"/>
                <w:bCs/>
                <w:sz w:val="24"/>
                <w:szCs w:val="24"/>
              </w:rPr>
            </w:pPr>
          </w:p>
        </w:tc>
        <w:tc>
          <w:tcPr>
            <w:tcW w:w="2678" w:type="dxa"/>
          </w:tcPr>
          <w:p>
            <w:pPr>
              <w:adjustRightInd w:val="0"/>
              <w:snapToGrid w:val="0"/>
              <w:spacing w:line="360" w:lineRule="auto"/>
              <w:ind w:right="24"/>
              <w:rPr>
                <w:rFonts w:ascii="仿宋" w:hAnsi="仿宋" w:eastAsia="仿宋" w:cs="仿宋"/>
                <w:bCs/>
                <w:sz w:val="24"/>
                <w:szCs w:val="24"/>
              </w:rPr>
            </w:pPr>
          </w:p>
        </w:tc>
        <w:tc>
          <w:tcPr>
            <w:tcW w:w="840" w:type="dxa"/>
          </w:tcPr>
          <w:p>
            <w:pPr>
              <w:adjustRightInd w:val="0"/>
              <w:snapToGrid w:val="0"/>
              <w:spacing w:line="360" w:lineRule="auto"/>
              <w:ind w:right="24"/>
              <w:rPr>
                <w:rFonts w:ascii="仿宋" w:hAnsi="仿宋" w:eastAsia="仿宋" w:cs="仿宋"/>
                <w:bCs/>
                <w:sz w:val="24"/>
                <w:szCs w:val="24"/>
              </w:rPr>
            </w:pPr>
          </w:p>
        </w:tc>
        <w:tc>
          <w:tcPr>
            <w:tcW w:w="1731" w:type="dxa"/>
          </w:tcPr>
          <w:p>
            <w:pPr>
              <w:adjustRightInd w:val="0"/>
              <w:snapToGrid w:val="0"/>
              <w:spacing w:line="360" w:lineRule="auto"/>
              <w:ind w:right="24"/>
              <w:rPr>
                <w:rFonts w:ascii="仿宋" w:hAnsi="仿宋" w:eastAsia="仿宋" w:cs="仿宋"/>
                <w:bCs/>
                <w:sz w:val="24"/>
                <w:szCs w:val="24"/>
              </w:rPr>
            </w:pPr>
          </w:p>
        </w:tc>
      </w:tr>
    </w:tbl>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说明：</w:t>
      </w:r>
    </w:p>
    <w:p>
      <w:pPr>
        <w:numPr>
          <w:ilvl w:val="0"/>
          <w:numId w:val="6"/>
        </w:num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本表只填写投标文件中与招标文件有偏离（包括负偏离和正偏离）的内容，在投标文件中须一一列出，无偏离时须提供空白表。</w:t>
      </w:r>
    </w:p>
    <w:p>
      <w:pPr>
        <w:numPr>
          <w:ilvl w:val="0"/>
          <w:numId w:val="6"/>
        </w:num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投标人必须据实填写，不得虚假响应，否则将取消其投标或中标资格，并按有关规定进处罚。</w:t>
      </w:r>
    </w:p>
    <w:p>
      <w:pPr>
        <w:spacing w:line="360" w:lineRule="auto"/>
        <w:ind w:firstLine="480" w:firstLineChars="200"/>
        <w:rPr>
          <w:rFonts w:ascii="仿宋" w:hAnsi="仿宋" w:eastAsia="仿宋" w:cs="仿宋"/>
          <w:sz w:val="24"/>
          <w:szCs w:val="24"/>
        </w:rPr>
      </w:pPr>
    </w:p>
    <w:p>
      <w:pPr>
        <w:spacing w:line="360" w:lineRule="auto"/>
        <w:ind w:firstLine="4080" w:firstLineChars="1700"/>
        <w:rPr>
          <w:rFonts w:ascii="仿宋" w:hAnsi="仿宋" w:eastAsia="仿宋" w:cs="仿宋"/>
          <w:sz w:val="24"/>
          <w:szCs w:val="24"/>
        </w:rPr>
      </w:pPr>
      <w:r>
        <w:rPr>
          <w:rFonts w:hint="eastAsia" w:ascii="仿宋" w:hAnsi="仿宋" w:eastAsia="仿宋" w:cs="仿宋"/>
          <w:sz w:val="24"/>
          <w:szCs w:val="24"/>
        </w:rPr>
        <w:t>投标人（公章）：</w:t>
      </w:r>
      <w:r>
        <w:rPr>
          <w:rFonts w:hint="eastAsia" w:ascii="仿宋" w:hAnsi="仿宋" w:eastAsia="仿宋" w:cs="仿宋"/>
          <w:sz w:val="24"/>
          <w:szCs w:val="24"/>
          <w:u w:val="single"/>
        </w:rPr>
        <w:t xml:space="preserve">                       </w:t>
      </w:r>
    </w:p>
    <w:p>
      <w:pPr>
        <w:spacing w:line="360" w:lineRule="auto"/>
        <w:ind w:firstLine="4080" w:firstLineChars="17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autoSpaceDE w:val="0"/>
        <w:autoSpaceDN w:val="0"/>
        <w:adjustRightInd w:val="0"/>
        <w:spacing w:line="360" w:lineRule="auto"/>
        <w:ind w:firstLine="4080" w:firstLineChars="1700"/>
        <w:rPr>
          <w:rFonts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bookmarkStart w:id="414" w:name="_Toc475451803"/>
      <w:bookmarkStart w:id="415" w:name="_Toc473056006"/>
      <w:bookmarkStart w:id="416" w:name="_Toc475451556"/>
    </w:p>
    <w:p>
      <w:pPr>
        <w:pStyle w:val="4"/>
        <w:keepNext w:val="0"/>
        <w:pageBreakBefore/>
        <w:adjustRightInd w:val="0"/>
        <w:spacing w:line="416" w:lineRule="atLeast"/>
        <w:textAlignment w:val="baseline"/>
        <w:rPr>
          <w:rFonts w:ascii="仿宋" w:hAnsi="仿宋" w:eastAsia="仿宋" w:cs="仿宋"/>
          <w:sz w:val="24"/>
          <w:szCs w:val="24"/>
          <w:lang w:val="zh-CN"/>
        </w:rPr>
        <w:sectPr>
          <w:pgSz w:w="11906" w:h="16838"/>
          <w:pgMar w:top="1417" w:right="1701" w:bottom="1417" w:left="1701" w:header="851" w:footer="992" w:gutter="0"/>
          <w:cols w:space="720" w:num="1"/>
          <w:docGrid w:linePitch="312" w:charSpace="0"/>
        </w:sectPr>
      </w:pPr>
      <w:bookmarkStart w:id="417" w:name="_Toc11930"/>
    </w:p>
    <w:bookmarkEnd w:id="417"/>
    <w:p>
      <w:pPr>
        <w:pStyle w:val="4"/>
        <w:keepNext w:val="0"/>
        <w:pageBreakBefore/>
        <w:spacing w:line="360" w:lineRule="auto"/>
        <w:rPr>
          <w:rFonts w:ascii="仿宋" w:hAnsi="仿宋" w:eastAsia="仿宋" w:cs="仿宋"/>
          <w:b w:val="0"/>
          <w:kern w:val="2"/>
          <w:sz w:val="24"/>
          <w:szCs w:val="24"/>
          <w:lang w:val="zh-CN"/>
        </w:rPr>
      </w:pPr>
      <w:bookmarkStart w:id="418" w:name="_Toc8297"/>
      <w:bookmarkStart w:id="419" w:name="_Toc26791"/>
      <w:bookmarkStart w:id="420" w:name="_Toc13042"/>
      <w:bookmarkStart w:id="421" w:name="_Toc14308"/>
      <w:bookmarkStart w:id="422" w:name="_Toc12478"/>
      <w:bookmarkStart w:id="423" w:name="_Toc370"/>
      <w:bookmarkStart w:id="424" w:name="_Toc31212"/>
      <w:bookmarkStart w:id="425" w:name="_Toc4404"/>
      <w:bookmarkStart w:id="426" w:name="_Toc518"/>
      <w:bookmarkStart w:id="427" w:name="_Toc4764"/>
      <w:bookmarkStart w:id="428" w:name="_Toc22966"/>
      <w:bookmarkStart w:id="429" w:name="_Toc4501"/>
      <w:bookmarkStart w:id="430" w:name="_Toc8261"/>
      <w:r>
        <w:rPr>
          <w:rStyle w:val="37"/>
          <w:rFonts w:hint="eastAsia" w:ascii="仿宋" w:hAnsi="仿宋" w:eastAsia="仿宋" w:cs="仿宋"/>
          <w:b/>
          <w:sz w:val="32"/>
          <w:szCs w:val="21"/>
          <w:lang w:val="zh-CN"/>
        </w:rPr>
        <w:t>六、</w:t>
      </w:r>
      <w:bookmarkEnd w:id="418"/>
      <w:bookmarkEnd w:id="419"/>
      <w:bookmarkEnd w:id="420"/>
      <w:bookmarkEnd w:id="421"/>
      <w:bookmarkStart w:id="431" w:name="_Toc3451"/>
      <w:bookmarkStart w:id="432" w:name="_Toc13495"/>
      <w:bookmarkStart w:id="433" w:name="_Toc21194"/>
      <w:bookmarkStart w:id="434" w:name="_Toc3056"/>
      <w:bookmarkStart w:id="435" w:name="_Toc26734"/>
      <w:bookmarkStart w:id="436" w:name="_Toc300"/>
      <w:bookmarkStart w:id="437" w:name="_Toc31326"/>
      <w:bookmarkStart w:id="438" w:name="_Toc18224"/>
      <w:bookmarkStart w:id="439" w:name="_Toc31471"/>
      <w:r>
        <w:rPr>
          <w:rFonts w:hint="eastAsia" w:ascii="仿宋" w:hAnsi="仿宋" w:eastAsia="仿宋" w:cs="仿宋"/>
          <w:sz w:val="32"/>
          <w:szCs w:val="21"/>
          <w:lang w:val="zh-CN"/>
        </w:rPr>
        <w:t>技术规格偏离表</w:t>
      </w:r>
      <w:bookmarkEnd w:id="422"/>
    </w:p>
    <w:p>
      <w:pPr>
        <w:spacing w:line="360" w:lineRule="auto"/>
        <w:rPr>
          <w:rFonts w:ascii="仿宋" w:hAnsi="仿宋" w:eastAsia="仿宋" w:cs="仿宋"/>
          <w:sz w:val="28"/>
          <w:szCs w:val="28"/>
        </w:rPr>
      </w:pPr>
      <w:r>
        <w:rPr>
          <w:rFonts w:hint="eastAsia" w:ascii="仿宋" w:hAnsi="仿宋" w:eastAsia="仿宋" w:cs="仿宋"/>
          <w:sz w:val="24"/>
          <w:szCs w:val="24"/>
        </w:rPr>
        <w:t>项目编号：                                            包号：</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65"/>
        <w:gridCol w:w="2520"/>
        <w:gridCol w:w="2625"/>
        <w:gridCol w:w="840"/>
        <w:gridCol w:w="1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05" w:type="dxa"/>
            <w:vAlign w:val="center"/>
          </w:tcPr>
          <w:p>
            <w:pPr>
              <w:adjustRightInd w:val="0"/>
              <w:snapToGrid w:val="0"/>
              <w:ind w:right="23"/>
              <w:jc w:val="center"/>
              <w:rPr>
                <w:rFonts w:ascii="仿宋" w:hAnsi="仿宋" w:eastAsia="仿宋" w:cs="仿宋"/>
                <w:b/>
                <w:bCs/>
                <w:szCs w:val="21"/>
              </w:rPr>
            </w:pPr>
            <w:r>
              <w:rPr>
                <w:rFonts w:hint="eastAsia" w:ascii="仿宋" w:hAnsi="仿宋" w:eastAsia="仿宋" w:cs="仿宋"/>
                <w:b/>
                <w:bCs/>
                <w:szCs w:val="21"/>
              </w:rPr>
              <w:t>序号</w:t>
            </w:r>
          </w:p>
        </w:tc>
        <w:tc>
          <w:tcPr>
            <w:tcW w:w="1365" w:type="dxa"/>
            <w:vAlign w:val="center"/>
          </w:tcPr>
          <w:p>
            <w:pPr>
              <w:adjustRightInd w:val="0"/>
              <w:snapToGrid w:val="0"/>
              <w:ind w:right="23"/>
              <w:jc w:val="center"/>
              <w:rPr>
                <w:rFonts w:ascii="仿宋" w:hAnsi="仿宋" w:eastAsia="仿宋" w:cs="仿宋"/>
                <w:b/>
                <w:bCs/>
                <w:szCs w:val="21"/>
              </w:rPr>
            </w:pPr>
            <w:r>
              <w:rPr>
                <w:rFonts w:hint="eastAsia" w:ascii="仿宋" w:hAnsi="仿宋" w:eastAsia="仿宋" w:cs="仿宋"/>
                <w:b/>
                <w:bCs/>
                <w:szCs w:val="21"/>
              </w:rPr>
              <w:t>文件</w:t>
            </w:r>
          </w:p>
          <w:p>
            <w:pPr>
              <w:adjustRightInd w:val="0"/>
              <w:snapToGrid w:val="0"/>
              <w:ind w:right="23"/>
              <w:jc w:val="center"/>
              <w:rPr>
                <w:rFonts w:ascii="仿宋" w:hAnsi="仿宋" w:eastAsia="仿宋" w:cs="仿宋"/>
                <w:b/>
                <w:bCs/>
                <w:szCs w:val="21"/>
              </w:rPr>
            </w:pPr>
            <w:r>
              <w:rPr>
                <w:rFonts w:hint="eastAsia" w:ascii="仿宋" w:hAnsi="仿宋" w:eastAsia="仿宋" w:cs="仿宋"/>
                <w:b/>
                <w:bCs/>
                <w:szCs w:val="21"/>
              </w:rPr>
              <w:t>条目号</w:t>
            </w:r>
          </w:p>
        </w:tc>
        <w:tc>
          <w:tcPr>
            <w:tcW w:w="2520" w:type="dxa"/>
            <w:vAlign w:val="center"/>
          </w:tcPr>
          <w:p>
            <w:pPr>
              <w:adjustRightInd w:val="0"/>
              <w:snapToGrid w:val="0"/>
              <w:ind w:right="23"/>
              <w:jc w:val="center"/>
              <w:rPr>
                <w:rFonts w:ascii="仿宋" w:hAnsi="仿宋" w:eastAsia="仿宋" w:cs="仿宋"/>
                <w:b/>
                <w:szCs w:val="21"/>
              </w:rPr>
            </w:pPr>
            <w:r>
              <w:rPr>
                <w:rFonts w:hint="eastAsia" w:ascii="仿宋" w:hAnsi="仿宋" w:eastAsia="仿宋" w:cs="仿宋"/>
                <w:b/>
                <w:szCs w:val="21"/>
              </w:rPr>
              <w:t>招标文件</w:t>
            </w:r>
          </w:p>
          <w:p>
            <w:pPr>
              <w:adjustRightInd w:val="0"/>
              <w:snapToGrid w:val="0"/>
              <w:ind w:right="23"/>
              <w:jc w:val="center"/>
              <w:rPr>
                <w:rFonts w:ascii="仿宋" w:hAnsi="仿宋" w:eastAsia="仿宋" w:cs="仿宋"/>
                <w:b/>
                <w:bCs/>
                <w:szCs w:val="21"/>
              </w:rPr>
            </w:pPr>
            <w:r>
              <w:rPr>
                <w:rFonts w:hint="eastAsia" w:ascii="仿宋" w:hAnsi="仿宋" w:eastAsia="仿宋" w:cs="仿宋"/>
                <w:b/>
                <w:szCs w:val="21"/>
              </w:rPr>
              <w:t>规格及技术需求</w:t>
            </w:r>
          </w:p>
        </w:tc>
        <w:tc>
          <w:tcPr>
            <w:tcW w:w="2625" w:type="dxa"/>
            <w:vAlign w:val="center"/>
          </w:tcPr>
          <w:p>
            <w:pPr>
              <w:adjustRightInd w:val="0"/>
              <w:snapToGrid w:val="0"/>
              <w:ind w:right="23"/>
              <w:jc w:val="center"/>
              <w:rPr>
                <w:rFonts w:ascii="仿宋" w:hAnsi="仿宋" w:eastAsia="仿宋" w:cs="仿宋"/>
                <w:b/>
                <w:szCs w:val="21"/>
              </w:rPr>
            </w:pPr>
            <w:r>
              <w:rPr>
                <w:rFonts w:hint="eastAsia" w:ascii="仿宋" w:hAnsi="仿宋" w:eastAsia="仿宋" w:cs="仿宋"/>
                <w:b/>
                <w:szCs w:val="21"/>
              </w:rPr>
              <w:t>投标文件</w:t>
            </w:r>
          </w:p>
          <w:p>
            <w:pPr>
              <w:adjustRightInd w:val="0"/>
              <w:snapToGrid w:val="0"/>
              <w:ind w:right="23"/>
              <w:jc w:val="center"/>
              <w:rPr>
                <w:rFonts w:ascii="仿宋" w:hAnsi="仿宋" w:eastAsia="仿宋" w:cs="仿宋"/>
                <w:b/>
                <w:bCs/>
                <w:szCs w:val="21"/>
              </w:rPr>
            </w:pPr>
            <w:r>
              <w:rPr>
                <w:rFonts w:hint="eastAsia" w:ascii="仿宋" w:hAnsi="仿宋" w:eastAsia="仿宋" w:cs="仿宋"/>
                <w:b/>
                <w:szCs w:val="21"/>
              </w:rPr>
              <w:t>规格及技术参数</w:t>
            </w:r>
          </w:p>
        </w:tc>
        <w:tc>
          <w:tcPr>
            <w:tcW w:w="840" w:type="dxa"/>
            <w:vAlign w:val="center"/>
          </w:tcPr>
          <w:p>
            <w:pPr>
              <w:adjustRightInd w:val="0"/>
              <w:snapToGrid w:val="0"/>
              <w:ind w:right="23"/>
              <w:jc w:val="center"/>
              <w:rPr>
                <w:rFonts w:ascii="仿宋" w:hAnsi="仿宋" w:eastAsia="仿宋" w:cs="仿宋"/>
                <w:b/>
                <w:bCs/>
                <w:szCs w:val="21"/>
              </w:rPr>
            </w:pPr>
            <w:r>
              <w:rPr>
                <w:rFonts w:hint="eastAsia" w:ascii="仿宋" w:hAnsi="仿宋" w:eastAsia="仿宋" w:cs="仿宋"/>
                <w:b/>
                <w:bCs/>
                <w:szCs w:val="21"/>
              </w:rPr>
              <w:t>偏离</w:t>
            </w:r>
          </w:p>
        </w:tc>
        <w:tc>
          <w:tcPr>
            <w:tcW w:w="1680" w:type="dxa"/>
            <w:vAlign w:val="center"/>
          </w:tcPr>
          <w:p>
            <w:pPr>
              <w:adjustRightInd w:val="0"/>
              <w:snapToGrid w:val="0"/>
              <w:ind w:right="23"/>
              <w:jc w:val="center"/>
              <w:rPr>
                <w:rFonts w:ascii="仿宋" w:hAnsi="仿宋" w:eastAsia="仿宋" w:cs="仿宋"/>
                <w:b/>
                <w:bCs/>
                <w:szCs w:val="21"/>
              </w:rPr>
            </w:pPr>
            <w:r>
              <w:rPr>
                <w:rFonts w:hint="eastAsia" w:ascii="仿宋" w:hAnsi="仿宋" w:eastAsia="仿宋" w:cs="仿宋"/>
                <w:b/>
                <w:bCs/>
                <w:szCs w:val="21"/>
              </w:rPr>
              <w:t>偏离</w:t>
            </w:r>
          </w:p>
          <w:p>
            <w:pPr>
              <w:adjustRightInd w:val="0"/>
              <w:snapToGrid w:val="0"/>
              <w:ind w:right="23"/>
              <w:jc w:val="center"/>
              <w:rPr>
                <w:rFonts w:ascii="仿宋" w:hAnsi="仿宋" w:eastAsia="仿宋" w:cs="仿宋"/>
                <w:b/>
                <w:bCs/>
                <w:szCs w:val="21"/>
              </w:rPr>
            </w:pPr>
            <w:r>
              <w:rPr>
                <w:rFonts w:hint="eastAsia" w:ascii="仿宋" w:hAnsi="仿宋" w:eastAsia="仿宋" w:cs="仿宋"/>
                <w:b/>
                <w:bCs/>
                <w:szCs w:val="21"/>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tcPr>
          <w:p>
            <w:pPr>
              <w:adjustRightInd w:val="0"/>
              <w:snapToGrid w:val="0"/>
              <w:spacing w:line="360" w:lineRule="auto"/>
              <w:ind w:right="24"/>
              <w:rPr>
                <w:rFonts w:ascii="仿宋" w:hAnsi="仿宋" w:eastAsia="仿宋" w:cs="仿宋"/>
                <w:bCs/>
                <w:szCs w:val="21"/>
              </w:rPr>
            </w:pPr>
          </w:p>
        </w:tc>
        <w:tc>
          <w:tcPr>
            <w:tcW w:w="1365" w:type="dxa"/>
          </w:tcPr>
          <w:p>
            <w:pPr>
              <w:adjustRightInd w:val="0"/>
              <w:snapToGrid w:val="0"/>
              <w:spacing w:line="360" w:lineRule="auto"/>
              <w:ind w:right="24"/>
              <w:rPr>
                <w:rFonts w:ascii="仿宋" w:hAnsi="仿宋" w:eastAsia="仿宋" w:cs="仿宋"/>
                <w:bCs/>
                <w:szCs w:val="21"/>
              </w:rPr>
            </w:pPr>
          </w:p>
        </w:tc>
        <w:tc>
          <w:tcPr>
            <w:tcW w:w="2520" w:type="dxa"/>
          </w:tcPr>
          <w:p>
            <w:pPr>
              <w:adjustRightInd w:val="0"/>
              <w:snapToGrid w:val="0"/>
              <w:spacing w:line="360" w:lineRule="auto"/>
              <w:ind w:right="24"/>
              <w:rPr>
                <w:rFonts w:ascii="仿宋" w:hAnsi="仿宋" w:eastAsia="仿宋" w:cs="仿宋"/>
                <w:bCs/>
                <w:szCs w:val="21"/>
              </w:rPr>
            </w:pPr>
          </w:p>
        </w:tc>
        <w:tc>
          <w:tcPr>
            <w:tcW w:w="2625" w:type="dxa"/>
          </w:tcPr>
          <w:p>
            <w:pPr>
              <w:adjustRightInd w:val="0"/>
              <w:snapToGrid w:val="0"/>
              <w:spacing w:line="360" w:lineRule="auto"/>
              <w:ind w:right="24"/>
              <w:rPr>
                <w:rFonts w:ascii="仿宋" w:hAnsi="仿宋" w:eastAsia="仿宋" w:cs="仿宋"/>
                <w:bCs/>
                <w:szCs w:val="21"/>
              </w:rPr>
            </w:pPr>
          </w:p>
        </w:tc>
        <w:tc>
          <w:tcPr>
            <w:tcW w:w="840" w:type="dxa"/>
          </w:tcPr>
          <w:p>
            <w:pPr>
              <w:adjustRightInd w:val="0"/>
              <w:snapToGrid w:val="0"/>
              <w:spacing w:line="360" w:lineRule="auto"/>
              <w:ind w:right="24"/>
              <w:rPr>
                <w:rFonts w:ascii="仿宋" w:hAnsi="仿宋" w:eastAsia="仿宋" w:cs="仿宋"/>
                <w:bCs/>
                <w:szCs w:val="21"/>
              </w:rPr>
            </w:pPr>
          </w:p>
        </w:tc>
        <w:tc>
          <w:tcPr>
            <w:tcW w:w="1680" w:type="dxa"/>
          </w:tcPr>
          <w:p>
            <w:pPr>
              <w:adjustRightInd w:val="0"/>
              <w:snapToGrid w:val="0"/>
              <w:spacing w:line="360" w:lineRule="auto"/>
              <w:ind w:right="24"/>
              <w:rPr>
                <w:rFonts w:ascii="仿宋" w:hAnsi="仿宋" w:eastAsia="仿宋" w:cs="仿宋"/>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tcPr>
          <w:p>
            <w:pPr>
              <w:adjustRightInd w:val="0"/>
              <w:snapToGrid w:val="0"/>
              <w:spacing w:line="360" w:lineRule="auto"/>
              <w:ind w:right="24"/>
              <w:rPr>
                <w:rFonts w:ascii="仿宋" w:hAnsi="仿宋" w:eastAsia="仿宋" w:cs="仿宋"/>
                <w:bCs/>
                <w:szCs w:val="21"/>
              </w:rPr>
            </w:pPr>
          </w:p>
        </w:tc>
        <w:tc>
          <w:tcPr>
            <w:tcW w:w="1365" w:type="dxa"/>
          </w:tcPr>
          <w:p>
            <w:pPr>
              <w:adjustRightInd w:val="0"/>
              <w:snapToGrid w:val="0"/>
              <w:spacing w:line="360" w:lineRule="auto"/>
              <w:ind w:right="24"/>
              <w:rPr>
                <w:rFonts w:ascii="仿宋" w:hAnsi="仿宋" w:eastAsia="仿宋" w:cs="仿宋"/>
                <w:bCs/>
                <w:szCs w:val="21"/>
              </w:rPr>
            </w:pPr>
          </w:p>
        </w:tc>
        <w:tc>
          <w:tcPr>
            <w:tcW w:w="2520" w:type="dxa"/>
          </w:tcPr>
          <w:p>
            <w:pPr>
              <w:adjustRightInd w:val="0"/>
              <w:snapToGrid w:val="0"/>
              <w:spacing w:line="360" w:lineRule="auto"/>
              <w:ind w:right="24"/>
              <w:rPr>
                <w:rFonts w:ascii="仿宋" w:hAnsi="仿宋" w:eastAsia="仿宋" w:cs="仿宋"/>
                <w:bCs/>
                <w:szCs w:val="21"/>
              </w:rPr>
            </w:pPr>
          </w:p>
        </w:tc>
        <w:tc>
          <w:tcPr>
            <w:tcW w:w="2625" w:type="dxa"/>
          </w:tcPr>
          <w:p>
            <w:pPr>
              <w:adjustRightInd w:val="0"/>
              <w:snapToGrid w:val="0"/>
              <w:spacing w:line="360" w:lineRule="auto"/>
              <w:ind w:right="24"/>
              <w:rPr>
                <w:rFonts w:ascii="仿宋" w:hAnsi="仿宋" w:eastAsia="仿宋" w:cs="仿宋"/>
                <w:bCs/>
                <w:szCs w:val="21"/>
              </w:rPr>
            </w:pPr>
          </w:p>
        </w:tc>
        <w:tc>
          <w:tcPr>
            <w:tcW w:w="840" w:type="dxa"/>
          </w:tcPr>
          <w:p>
            <w:pPr>
              <w:adjustRightInd w:val="0"/>
              <w:snapToGrid w:val="0"/>
              <w:spacing w:line="360" w:lineRule="auto"/>
              <w:ind w:right="24"/>
              <w:rPr>
                <w:rFonts w:ascii="仿宋" w:hAnsi="仿宋" w:eastAsia="仿宋" w:cs="仿宋"/>
                <w:bCs/>
                <w:szCs w:val="21"/>
              </w:rPr>
            </w:pPr>
          </w:p>
        </w:tc>
        <w:tc>
          <w:tcPr>
            <w:tcW w:w="1680" w:type="dxa"/>
          </w:tcPr>
          <w:p>
            <w:pPr>
              <w:adjustRightInd w:val="0"/>
              <w:snapToGrid w:val="0"/>
              <w:spacing w:line="360" w:lineRule="auto"/>
              <w:ind w:right="24"/>
              <w:rPr>
                <w:rFonts w:ascii="仿宋" w:hAnsi="仿宋" w:eastAsia="仿宋" w:cs="仿宋"/>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tcPr>
          <w:p>
            <w:pPr>
              <w:adjustRightInd w:val="0"/>
              <w:snapToGrid w:val="0"/>
              <w:spacing w:line="360" w:lineRule="auto"/>
              <w:ind w:right="24"/>
              <w:rPr>
                <w:rFonts w:ascii="仿宋" w:hAnsi="仿宋" w:eastAsia="仿宋" w:cs="仿宋"/>
                <w:bCs/>
                <w:szCs w:val="21"/>
              </w:rPr>
            </w:pPr>
          </w:p>
        </w:tc>
        <w:tc>
          <w:tcPr>
            <w:tcW w:w="1365" w:type="dxa"/>
          </w:tcPr>
          <w:p>
            <w:pPr>
              <w:adjustRightInd w:val="0"/>
              <w:snapToGrid w:val="0"/>
              <w:spacing w:line="360" w:lineRule="auto"/>
              <w:ind w:right="24"/>
              <w:rPr>
                <w:rFonts w:ascii="仿宋" w:hAnsi="仿宋" w:eastAsia="仿宋" w:cs="仿宋"/>
                <w:bCs/>
                <w:szCs w:val="21"/>
              </w:rPr>
            </w:pPr>
          </w:p>
        </w:tc>
        <w:tc>
          <w:tcPr>
            <w:tcW w:w="2520" w:type="dxa"/>
          </w:tcPr>
          <w:p>
            <w:pPr>
              <w:adjustRightInd w:val="0"/>
              <w:snapToGrid w:val="0"/>
              <w:spacing w:line="360" w:lineRule="auto"/>
              <w:ind w:right="24"/>
              <w:rPr>
                <w:rFonts w:ascii="仿宋" w:hAnsi="仿宋" w:eastAsia="仿宋" w:cs="仿宋"/>
                <w:bCs/>
                <w:szCs w:val="21"/>
              </w:rPr>
            </w:pPr>
          </w:p>
        </w:tc>
        <w:tc>
          <w:tcPr>
            <w:tcW w:w="2625" w:type="dxa"/>
          </w:tcPr>
          <w:p>
            <w:pPr>
              <w:adjustRightInd w:val="0"/>
              <w:snapToGrid w:val="0"/>
              <w:spacing w:line="360" w:lineRule="auto"/>
              <w:ind w:right="24"/>
              <w:rPr>
                <w:rFonts w:ascii="仿宋" w:hAnsi="仿宋" w:eastAsia="仿宋" w:cs="仿宋"/>
                <w:bCs/>
                <w:szCs w:val="21"/>
              </w:rPr>
            </w:pPr>
          </w:p>
        </w:tc>
        <w:tc>
          <w:tcPr>
            <w:tcW w:w="840" w:type="dxa"/>
          </w:tcPr>
          <w:p>
            <w:pPr>
              <w:adjustRightInd w:val="0"/>
              <w:snapToGrid w:val="0"/>
              <w:spacing w:line="360" w:lineRule="auto"/>
              <w:ind w:right="24"/>
              <w:rPr>
                <w:rFonts w:ascii="仿宋" w:hAnsi="仿宋" w:eastAsia="仿宋" w:cs="仿宋"/>
                <w:bCs/>
                <w:szCs w:val="21"/>
              </w:rPr>
            </w:pPr>
          </w:p>
        </w:tc>
        <w:tc>
          <w:tcPr>
            <w:tcW w:w="1680" w:type="dxa"/>
          </w:tcPr>
          <w:p>
            <w:pPr>
              <w:adjustRightInd w:val="0"/>
              <w:snapToGrid w:val="0"/>
              <w:spacing w:line="360" w:lineRule="auto"/>
              <w:ind w:right="24"/>
              <w:rPr>
                <w:rFonts w:ascii="仿宋" w:hAnsi="仿宋" w:eastAsia="仿宋" w:cs="仿宋"/>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tcPr>
          <w:p>
            <w:pPr>
              <w:adjustRightInd w:val="0"/>
              <w:snapToGrid w:val="0"/>
              <w:spacing w:line="360" w:lineRule="auto"/>
              <w:ind w:right="24"/>
              <w:rPr>
                <w:rFonts w:ascii="仿宋" w:hAnsi="仿宋" w:eastAsia="仿宋" w:cs="仿宋"/>
                <w:bCs/>
                <w:szCs w:val="21"/>
              </w:rPr>
            </w:pPr>
          </w:p>
        </w:tc>
        <w:tc>
          <w:tcPr>
            <w:tcW w:w="1365" w:type="dxa"/>
          </w:tcPr>
          <w:p>
            <w:pPr>
              <w:adjustRightInd w:val="0"/>
              <w:snapToGrid w:val="0"/>
              <w:spacing w:line="360" w:lineRule="auto"/>
              <w:ind w:right="24"/>
              <w:rPr>
                <w:rFonts w:ascii="仿宋" w:hAnsi="仿宋" w:eastAsia="仿宋" w:cs="仿宋"/>
                <w:bCs/>
                <w:szCs w:val="21"/>
              </w:rPr>
            </w:pPr>
          </w:p>
        </w:tc>
        <w:tc>
          <w:tcPr>
            <w:tcW w:w="2520" w:type="dxa"/>
          </w:tcPr>
          <w:p>
            <w:pPr>
              <w:adjustRightInd w:val="0"/>
              <w:snapToGrid w:val="0"/>
              <w:spacing w:line="360" w:lineRule="auto"/>
              <w:ind w:right="24"/>
              <w:rPr>
                <w:rFonts w:ascii="仿宋" w:hAnsi="仿宋" w:eastAsia="仿宋" w:cs="仿宋"/>
                <w:bCs/>
                <w:szCs w:val="21"/>
              </w:rPr>
            </w:pPr>
          </w:p>
        </w:tc>
        <w:tc>
          <w:tcPr>
            <w:tcW w:w="2625" w:type="dxa"/>
          </w:tcPr>
          <w:p>
            <w:pPr>
              <w:adjustRightInd w:val="0"/>
              <w:snapToGrid w:val="0"/>
              <w:spacing w:line="360" w:lineRule="auto"/>
              <w:ind w:right="24"/>
              <w:rPr>
                <w:rFonts w:ascii="仿宋" w:hAnsi="仿宋" w:eastAsia="仿宋" w:cs="仿宋"/>
                <w:bCs/>
                <w:szCs w:val="21"/>
              </w:rPr>
            </w:pPr>
          </w:p>
        </w:tc>
        <w:tc>
          <w:tcPr>
            <w:tcW w:w="840" w:type="dxa"/>
          </w:tcPr>
          <w:p>
            <w:pPr>
              <w:adjustRightInd w:val="0"/>
              <w:snapToGrid w:val="0"/>
              <w:spacing w:line="360" w:lineRule="auto"/>
              <w:ind w:right="24"/>
              <w:rPr>
                <w:rFonts w:ascii="仿宋" w:hAnsi="仿宋" w:eastAsia="仿宋" w:cs="仿宋"/>
                <w:bCs/>
                <w:szCs w:val="21"/>
              </w:rPr>
            </w:pPr>
          </w:p>
        </w:tc>
        <w:tc>
          <w:tcPr>
            <w:tcW w:w="1680" w:type="dxa"/>
          </w:tcPr>
          <w:p>
            <w:pPr>
              <w:adjustRightInd w:val="0"/>
              <w:snapToGrid w:val="0"/>
              <w:spacing w:line="360" w:lineRule="auto"/>
              <w:ind w:right="24"/>
              <w:rPr>
                <w:rFonts w:ascii="仿宋" w:hAnsi="仿宋" w:eastAsia="仿宋" w:cs="仿宋"/>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tcPr>
          <w:p>
            <w:pPr>
              <w:adjustRightInd w:val="0"/>
              <w:snapToGrid w:val="0"/>
              <w:spacing w:line="360" w:lineRule="auto"/>
              <w:ind w:right="24"/>
              <w:rPr>
                <w:rFonts w:ascii="仿宋" w:hAnsi="仿宋" w:eastAsia="仿宋" w:cs="仿宋"/>
                <w:bCs/>
                <w:szCs w:val="21"/>
              </w:rPr>
            </w:pPr>
          </w:p>
        </w:tc>
        <w:tc>
          <w:tcPr>
            <w:tcW w:w="1365" w:type="dxa"/>
          </w:tcPr>
          <w:p>
            <w:pPr>
              <w:adjustRightInd w:val="0"/>
              <w:snapToGrid w:val="0"/>
              <w:spacing w:line="360" w:lineRule="auto"/>
              <w:ind w:right="24"/>
              <w:rPr>
                <w:rFonts w:ascii="仿宋" w:hAnsi="仿宋" w:eastAsia="仿宋" w:cs="仿宋"/>
                <w:bCs/>
                <w:szCs w:val="21"/>
              </w:rPr>
            </w:pPr>
          </w:p>
        </w:tc>
        <w:tc>
          <w:tcPr>
            <w:tcW w:w="2520" w:type="dxa"/>
          </w:tcPr>
          <w:p>
            <w:pPr>
              <w:adjustRightInd w:val="0"/>
              <w:snapToGrid w:val="0"/>
              <w:spacing w:line="360" w:lineRule="auto"/>
              <w:ind w:right="24"/>
              <w:rPr>
                <w:rFonts w:ascii="仿宋" w:hAnsi="仿宋" w:eastAsia="仿宋" w:cs="仿宋"/>
                <w:bCs/>
                <w:szCs w:val="21"/>
              </w:rPr>
            </w:pPr>
          </w:p>
        </w:tc>
        <w:tc>
          <w:tcPr>
            <w:tcW w:w="2625" w:type="dxa"/>
          </w:tcPr>
          <w:p>
            <w:pPr>
              <w:adjustRightInd w:val="0"/>
              <w:snapToGrid w:val="0"/>
              <w:spacing w:line="360" w:lineRule="auto"/>
              <w:ind w:right="24"/>
              <w:rPr>
                <w:rFonts w:ascii="仿宋" w:hAnsi="仿宋" w:eastAsia="仿宋" w:cs="仿宋"/>
                <w:bCs/>
                <w:szCs w:val="21"/>
              </w:rPr>
            </w:pPr>
          </w:p>
        </w:tc>
        <w:tc>
          <w:tcPr>
            <w:tcW w:w="840" w:type="dxa"/>
          </w:tcPr>
          <w:p>
            <w:pPr>
              <w:adjustRightInd w:val="0"/>
              <w:snapToGrid w:val="0"/>
              <w:spacing w:line="360" w:lineRule="auto"/>
              <w:ind w:right="24"/>
              <w:rPr>
                <w:rFonts w:ascii="仿宋" w:hAnsi="仿宋" w:eastAsia="仿宋" w:cs="仿宋"/>
                <w:bCs/>
                <w:szCs w:val="21"/>
              </w:rPr>
            </w:pPr>
          </w:p>
        </w:tc>
        <w:tc>
          <w:tcPr>
            <w:tcW w:w="1680" w:type="dxa"/>
          </w:tcPr>
          <w:p>
            <w:pPr>
              <w:adjustRightInd w:val="0"/>
              <w:snapToGrid w:val="0"/>
              <w:spacing w:line="360" w:lineRule="auto"/>
              <w:ind w:right="24"/>
              <w:rPr>
                <w:rFonts w:ascii="仿宋" w:hAnsi="仿宋" w:eastAsia="仿宋" w:cs="仿宋"/>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tcPr>
          <w:p>
            <w:pPr>
              <w:adjustRightInd w:val="0"/>
              <w:snapToGrid w:val="0"/>
              <w:spacing w:line="360" w:lineRule="auto"/>
              <w:ind w:right="24"/>
              <w:rPr>
                <w:rFonts w:ascii="仿宋" w:hAnsi="仿宋" w:eastAsia="仿宋" w:cs="仿宋"/>
                <w:bCs/>
                <w:szCs w:val="21"/>
              </w:rPr>
            </w:pPr>
          </w:p>
        </w:tc>
        <w:tc>
          <w:tcPr>
            <w:tcW w:w="1365" w:type="dxa"/>
          </w:tcPr>
          <w:p>
            <w:pPr>
              <w:adjustRightInd w:val="0"/>
              <w:snapToGrid w:val="0"/>
              <w:spacing w:line="360" w:lineRule="auto"/>
              <w:ind w:right="24"/>
              <w:rPr>
                <w:rFonts w:ascii="仿宋" w:hAnsi="仿宋" w:eastAsia="仿宋" w:cs="仿宋"/>
                <w:bCs/>
                <w:szCs w:val="21"/>
              </w:rPr>
            </w:pPr>
          </w:p>
        </w:tc>
        <w:tc>
          <w:tcPr>
            <w:tcW w:w="2520" w:type="dxa"/>
          </w:tcPr>
          <w:p>
            <w:pPr>
              <w:adjustRightInd w:val="0"/>
              <w:snapToGrid w:val="0"/>
              <w:spacing w:line="360" w:lineRule="auto"/>
              <w:ind w:right="24"/>
              <w:rPr>
                <w:rFonts w:ascii="仿宋" w:hAnsi="仿宋" w:eastAsia="仿宋" w:cs="仿宋"/>
                <w:bCs/>
                <w:szCs w:val="21"/>
              </w:rPr>
            </w:pPr>
          </w:p>
        </w:tc>
        <w:tc>
          <w:tcPr>
            <w:tcW w:w="2625" w:type="dxa"/>
          </w:tcPr>
          <w:p>
            <w:pPr>
              <w:adjustRightInd w:val="0"/>
              <w:snapToGrid w:val="0"/>
              <w:spacing w:line="360" w:lineRule="auto"/>
              <w:ind w:right="24"/>
              <w:rPr>
                <w:rFonts w:ascii="仿宋" w:hAnsi="仿宋" w:eastAsia="仿宋" w:cs="仿宋"/>
                <w:bCs/>
                <w:szCs w:val="21"/>
              </w:rPr>
            </w:pPr>
          </w:p>
        </w:tc>
        <w:tc>
          <w:tcPr>
            <w:tcW w:w="840" w:type="dxa"/>
          </w:tcPr>
          <w:p>
            <w:pPr>
              <w:adjustRightInd w:val="0"/>
              <w:snapToGrid w:val="0"/>
              <w:spacing w:line="360" w:lineRule="auto"/>
              <w:ind w:right="24"/>
              <w:rPr>
                <w:rFonts w:ascii="仿宋" w:hAnsi="仿宋" w:eastAsia="仿宋" w:cs="仿宋"/>
                <w:bCs/>
                <w:szCs w:val="21"/>
              </w:rPr>
            </w:pPr>
          </w:p>
        </w:tc>
        <w:tc>
          <w:tcPr>
            <w:tcW w:w="1680" w:type="dxa"/>
          </w:tcPr>
          <w:p>
            <w:pPr>
              <w:adjustRightInd w:val="0"/>
              <w:snapToGrid w:val="0"/>
              <w:spacing w:line="360" w:lineRule="auto"/>
              <w:ind w:right="24"/>
              <w:rPr>
                <w:rFonts w:ascii="仿宋" w:hAnsi="仿宋" w:eastAsia="仿宋" w:cs="仿宋"/>
                <w:bCs/>
                <w:szCs w:val="21"/>
              </w:rPr>
            </w:pPr>
          </w:p>
        </w:tc>
      </w:tr>
    </w:tbl>
    <w:p>
      <w:pPr>
        <w:spacing w:line="540" w:lineRule="exact"/>
        <w:ind w:right="-197" w:rightChars="-94" w:firstLine="480" w:firstLineChars="200"/>
        <w:jc w:val="left"/>
        <w:rPr>
          <w:rFonts w:ascii="仿宋" w:hAnsi="仿宋" w:eastAsia="仿宋" w:cs="仿宋"/>
          <w:sz w:val="24"/>
          <w:szCs w:val="24"/>
        </w:rPr>
      </w:pPr>
      <w:r>
        <w:rPr>
          <w:rFonts w:hint="eastAsia" w:ascii="仿宋" w:hAnsi="仿宋" w:eastAsia="仿宋" w:cs="仿宋"/>
          <w:sz w:val="24"/>
          <w:szCs w:val="24"/>
        </w:rPr>
        <w:t>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1.本表根据“第三部分 采购内容及要求”逐一响应。</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2.投标人必须据实填写，不得虚假响应，否则将取消其投标或中标资格，并按有关规定进处罚。</w:t>
      </w:r>
    </w:p>
    <w:p>
      <w:pPr>
        <w:rPr>
          <w:rFonts w:ascii="仿宋" w:hAnsi="仿宋" w:eastAsia="仿宋" w:cs="仿宋"/>
        </w:rPr>
      </w:pPr>
    </w:p>
    <w:p>
      <w:pPr>
        <w:spacing w:line="360" w:lineRule="auto"/>
        <w:rPr>
          <w:rFonts w:ascii="仿宋" w:hAnsi="仿宋" w:eastAsia="仿宋" w:cs="仿宋"/>
          <w:sz w:val="24"/>
          <w:szCs w:val="24"/>
        </w:rPr>
      </w:pPr>
    </w:p>
    <w:p>
      <w:pPr>
        <w:spacing w:line="360" w:lineRule="auto"/>
        <w:ind w:firstLine="560" w:firstLineChars="200"/>
        <w:rPr>
          <w:rFonts w:ascii="仿宋" w:hAnsi="仿宋" w:eastAsia="仿宋" w:cs="仿宋"/>
          <w:sz w:val="28"/>
          <w:szCs w:val="28"/>
        </w:rPr>
      </w:pPr>
    </w:p>
    <w:p>
      <w:pPr>
        <w:spacing w:line="360" w:lineRule="auto"/>
        <w:ind w:firstLine="4080" w:firstLineChars="1700"/>
        <w:rPr>
          <w:rFonts w:ascii="仿宋" w:hAnsi="仿宋" w:eastAsia="仿宋" w:cs="仿宋"/>
          <w:sz w:val="24"/>
          <w:szCs w:val="24"/>
        </w:rPr>
      </w:pPr>
      <w:r>
        <w:rPr>
          <w:rFonts w:hint="eastAsia" w:ascii="仿宋" w:hAnsi="仿宋" w:eastAsia="仿宋" w:cs="仿宋"/>
          <w:sz w:val="24"/>
          <w:szCs w:val="24"/>
        </w:rPr>
        <w:t>投标人（公章）：</w:t>
      </w:r>
      <w:r>
        <w:rPr>
          <w:rFonts w:hint="eastAsia" w:ascii="仿宋" w:hAnsi="仿宋" w:eastAsia="仿宋" w:cs="仿宋"/>
          <w:sz w:val="24"/>
          <w:szCs w:val="24"/>
          <w:u w:val="single"/>
        </w:rPr>
        <w:t xml:space="preserve">                       </w:t>
      </w:r>
    </w:p>
    <w:p>
      <w:pPr>
        <w:spacing w:line="360" w:lineRule="auto"/>
        <w:ind w:firstLine="4080" w:firstLineChars="17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ind w:firstLine="4080" w:firstLineChars="1700"/>
        <w:rPr>
          <w:rFonts w:ascii="仿宋" w:hAnsi="仿宋" w:eastAsia="仿宋" w:cs="仿宋"/>
          <w:sz w:val="32"/>
          <w:szCs w:val="21"/>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spacing w:line="360" w:lineRule="auto"/>
        <w:ind w:firstLine="4080" w:firstLineChars="1700"/>
        <w:rPr>
          <w:rFonts w:ascii="仿宋" w:hAnsi="仿宋" w:eastAsia="仿宋" w:cs="仿宋"/>
          <w:sz w:val="24"/>
          <w:szCs w:val="24"/>
          <w:u w:val="single"/>
        </w:rPr>
      </w:pPr>
    </w:p>
    <w:p>
      <w:pPr>
        <w:rPr>
          <w:rFonts w:ascii="仿宋" w:hAnsi="仿宋" w:eastAsia="仿宋" w:cs="仿宋"/>
          <w:sz w:val="24"/>
          <w:szCs w:val="24"/>
          <w:u w:val="single"/>
        </w:rPr>
      </w:pPr>
      <w:r>
        <w:rPr>
          <w:rFonts w:hint="eastAsia" w:ascii="仿宋" w:hAnsi="仿宋" w:eastAsia="仿宋" w:cs="仿宋"/>
          <w:sz w:val="24"/>
          <w:szCs w:val="24"/>
          <w:u w:val="single"/>
        </w:rPr>
        <w:br w:type="page"/>
      </w:r>
    </w:p>
    <w:bookmarkEnd w:id="342"/>
    <w:bookmarkEnd w:id="343"/>
    <w:bookmarkEnd w:id="344"/>
    <w:bookmarkEnd w:id="345"/>
    <w:bookmarkEnd w:id="346"/>
    <w:bookmarkEnd w:id="347"/>
    <w:bookmarkEnd w:id="348"/>
    <w:bookmarkEnd w:id="349"/>
    <w:bookmarkEnd w:id="350"/>
    <w:bookmarkEnd w:id="414"/>
    <w:bookmarkEnd w:id="415"/>
    <w:bookmarkEnd w:id="416"/>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Pr>
        <w:pageBreakBefore/>
        <w:spacing w:line="360" w:lineRule="auto"/>
        <w:jc w:val="center"/>
        <w:outlineLvl w:val="1"/>
        <w:rPr>
          <w:rFonts w:ascii="仿宋" w:hAnsi="仿宋" w:eastAsia="仿宋" w:cs="仿宋"/>
          <w:b/>
          <w:bCs/>
          <w:sz w:val="44"/>
          <w:szCs w:val="44"/>
        </w:rPr>
      </w:pPr>
      <w:bookmarkStart w:id="440" w:name="_Toc16907"/>
      <w:bookmarkStart w:id="441" w:name="_Toc15948"/>
      <w:r>
        <w:rPr>
          <w:rStyle w:val="37"/>
          <w:rFonts w:hint="eastAsia" w:ascii="仿宋" w:hAnsi="仿宋" w:eastAsia="仿宋" w:cs="仿宋"/>
          <w:sz w:val="32"/>
          <w:szCs w:val="21"/>
        </w:rPr>
        <w:t>七、</w:t>
      </w:r>
      <w:r>
        <w:rPr>
          <w:rFonts w:hint="eastAsia" w:ascii="仿宋" w:hAnsi="仿宋" w:eastAsia="仿宋" w:cs="仿宋"/>
          <w:b/>
          <w:sz w:val="32"/>
          <w:szCs w:val="32"/>
        </w:rPr>
        <w:t>技术方案</w:t>
      </w:r>
      <w:bookmarkEnd w:id="440"/>
      <w:bookmarkEnd w:id="441"/>
    </w:p>
    <w:p>
      <w:pPr>
        <w:pStyle w:val="58"/>
        <w:spacing w:line="360" w:lineRule="auto"/>
        <w:jc w:val="center"/>
        <w:rPr>
          <w:rFonts w:ascii="仿宋" w:hAnsi="仿宋" w:eastAsia="仿宋" w:cs="仿宋"/>
          <w:kern w:val="2"/>
          <w:szCs w:val="24"/>
        </w:rPr>
      </w:pPr>
    </w:p>
    <w:p>
      <w:pPr>
        <w:pStyle w:val="58"/>
        <w:spacing w:line="360" w:lineRule="auto"/>
        <w:jc w:val="center"/>
        <w:rPr>
          <w:rFonts w:ascii="仿宋" w:hAnsi="仿宋" w:eastAsia="仿宋" w:cs="仿宋"/>
          <w:kern w:val="2"/>
          <w:szCs w:val="24"/>
        </w:rPr>
      </w:pPr>
      <w:r>
        <w:rPr>
          <w:rFonts w:hint="eastAsia" w:ascii="仿宋" w:hAnsi="仿宋" w:eastAsia="仿宋" w:cs="仿宋"/>
          <w:kern w:val="2"/>
          <w:szCs w:val="24"/>
        </w:rPr>
        <w:t>根据评分因素自行编制</w:t>
      </w:r>
    </w:p>
    <w:p>
      <w:pPr>
        <w:pStyle w:val="57"/>
        <w:keepLines w:val="0"/>
        <w:pageBreakBefore/>
        <w:spacing w:line="360" w:lineRule="auto"/>
        <w:jc w:val="center"/>
        <w:outlineLvl w:val="1"/>
        <w:rPr>
          <w:rFonts w:ascii="仿宋" w:hAnsi="仿宋" w:eastAsia="仿宋" w:cs="仿宋"/>
          <w:bCs w:val="0"/>
          <w:sz w:val="32"/>
          <w:szCs w:val="32"/>
          <w:lang w:val="zh-CN"/>
        </w:rPr>
        <w:sectPr>
          <w:footerReference r:id="rId8" w:type="default"/>
          <w:pgSz w:w="11906" w:h="16838"/>
          <w:pgMar w:top="1417" w:right="1701" w:bottom="1417" w:left="1701" w:header="851" w:footer="992" w:gutter="0"/>
          <w:cols w:space="720" w:num="1"/>
          <w:docGrid w:linePitch="312" w:charSpace="0"/>
        </w:sectPr>
      </w:pPr>
    </w:p>
    <w:p>
      <w:pPr>
        <w:pageBreakBefore/>
        <w:spacing w:line="360" w:lineRule="auto"/>
        <w:jc w:val="center"/>
        <w:outlineLvl w:val="1"/>
        <w:rPr>
          <w:rFonts w:ascii="仿宋" w:hAnsi="仿宋" w:eastAsia="仿宋" w:cs="仿宋"/>
          <w:b/>
          <w:sz w:val="32"/>
          <w:szCs w:val="32"/>
        </w:rPr>
      </w:pPr>
      <w:bookmarkStart w:id="442" w:name="_Toc22956"/>
      <w:bookmarkStart w:id="443" w:name="_Toc20544"/>
      <w:bookmarkStart w:id="444" w:name="_Toc15733"/>
      <w:bookmarkStart w:id="445" w:name="_Toc25402"/>
      <w:bookmarkStart w:id="446" w:name="_Toc27566"/>
      <w:bookmarkStart w:id="447" w:name="_Toc2686"/>
      <w:bookmarkStart w:id="448" w:name="_Toc28055"/>
      <w:bookmarkStart w:id="449" w:name="_Toc24871"/>
      <w:bookmarkStart w:id="450" w:name="_Toc23262"/>
      <w:bookmarkStart w:id="451" w:name="_Toc17301"/>
      <w:r>
        <w:rPr>
          <w:rFonts w:hint="eastAsia" w:ascii="仿宋" w:hAnsi="仿宋" w:eastAsia="仿宋" w:cs="仿宋"/>
          <w:b/>
          <w:sz w:val="32"/>
          <w:szCs w:val="32"/>
        </w:rPr>
        <w:t>八、</w:t>
      </w:r>
      <w:bookmarkEnd w:id="442"/>
      <w:bookmarkEnd w:id="443"/>
      <w:bookmarkEnd w:id="444"/>
      <w:bookmarkEnd w:id="445"/>
      <w:bookmarkEnd w:id="446"/>
      <w:bookmarkEnd w:id="447"/>
      <w:bookmarkEnd w:id="448"/>
      <w:bookmarkEnd w:id="449"/>
      <w:bookmarkEnd w:id="450"/>
      <w:bookmarkStart w:id="452" w:name="_Toc30152"/>
      <w:bookmarkStart w:id="453" w:name="_Toc17895"/>
      <w:bookmarkStart w:id="454" w:name="_Toc15935"/>
      <w:r>
        <w:rPr>
          <w:rFonts w:hint="eastAsia" w:ascii="仿宋" w:hAnsi="仿宋" w:eastAsia="仿宋" w:cs="仿宋"/>
          <w:b/>
          <w:sz w:val="32"/>
          <w:szCs w:val="32"/>
        </w:rPr>
        <w:t>售后服务及培训方案</w:t>
      </w:r>
      <w:bookmarkEnd w:id="451"/>
    </w:p>
    <w:p>
      <w:pPr>
        <w:pStyle w:val="2"/>
        <w:jc w:val="center"/>
        <w:rPr>
          <w:rFonts w:ascii="仿宋" w:hAnsi="仿宋" w:eastAsia="仿宋" w:cs="仿宋"/>
          <w:sz w:val="24"/>
          <w:szCs w:val="24"/>
        </w:rPr>
      </w:pPr>
    </w:p>
    <w:bookmarkEnd w:id="452"/>
    <w:bookmarkEnd w:id="453"/>
    <w:bookmarkEnd w:id="454"/>
    <w:p>
      <w:pPr>
        <w:pStyle w:val="58"/>
        <w:spacing w:line="360" w:lineRule="auto"/>
        <w:jc w:val="center"/>
        <w:rPr>
          <w:rFonts w:ascii="仿宋" w:hAnsi="仿宋" w:eastAsia="仿宋" w:cs="仿宋"/>
          <w:kern w:val="2"/>
          <w:szCs w:val="24"/>
        </w:rPr>
      </w:pPr>
      <w:bookmarkStart w:id="455" w:name="_Toc6638"/>
      <w:bookmarkStart w:id="456" w:name="_Toc10131"/>
      <w:bookmarkStart w:id="457" w:name="_Toc8020"/>
      <w:bookmarkStart w:id="458" w:name="_Toc475451804"/>
      <w:bookmarkStart w:id="459" w:name="_Toc23271"/>
      <w:bookmarkStart w:id="460" w:name="_Toc27139"/>
      <w:bookmarkStart w:id="461" w:name="_Toc19696"/>
      <w:bookmarkStart w:id="462" w:name="_Toc8031"/>
      <w:bookmarkStart w:id="463" w:name="_Toc18031"/>
      <w:bookmarkStart w:id="464" w:name="_Toc475451557"/>
      <w:bookmarkStart w:id="465" w:name="_Toc473056008"/>
      <w:r>
        <w:rPr>
          <w:rFonts w:hint="eastAsia" w:ascii="仿宋" w:hAnsi="仿宋" w:eastAsia="仿宋" w:cs="仿宋"/>
          <w:kern w:val="2"/>
          <w:szCs w:val="24"/>
        </w:rPr>
        <w:t>根据评分因素自行编制</w:t>
      </w:r>
    </w:p>
    <w:p>
      <w:pPr>
        <w:pStyle w:val="57"/>
        <w:keepLines w:val="0"/>
        <w:pageBreakBefore/>
        <w:spacing w:line="360" w:lineRule="auto"/>
        <w:jc w:val="center"/>
        <w:outlineLvl w:val="1"/>
        <w:rPr>
          <w:rFonts w:ascii="仿宋" w:hAnsi="仿宋" w:eastAsia="仿宋" w:cs="仿宋"/>
          <w:bCs w:val="0"/>
          <w:sz w:val="32"/>
          <w:szCs w:val="32"/>
          <w:lang w:val="zh-CN"/>
        </w:rPr>
        <w:sectPr>
          <w:pgSz w:w="11906" w:h="16838"/>
          <w:pgMar w:top="1417" w:right="1701" w:bottom="1417" w:left="1701" w:header="851" w:footer="992" w:gutter="0"/>
          <w:cols w:space="720" w:num="1"/>
          <w:docGrid w:linePitch="312" w:charSpace="0"/>
        </w:sectPr>
      </w:pPr>
    </w:p>
    <w:p>
      <w:pPr>
        <w:pageBreakBefore/>
        <w:spacing w:line="360" w:lineRule="auto"/>
        <w:jc w:val="center"/>
        <w:outlineLvl w:val="1"/>
        <w:rPr>
          <w:rFonts w:ascii="仿宋" w:hAnsi="仿宋" w:eastAsia="仿宋" w:cs="仿宋"/>
          <w:b/>
          <w:sz w:val="44"/>
          <w:szCs w:val="44"/>
        </w:rPr>
      </w:pPr>
      <w:bookmarkStart w:id="466" w:name="_Toc649"/>
      <w:bookmarkStart w:id="467" w:name="_Toc20496"/>
      <w:r>
        <w:rPr>
          <w:rFonts w:hint="eastAsia" w:ascii="仿宋" w:hAnsi="仿宋" w:eastAsia="仿宋" w:cs="仿宋"/>
          <w:b/>
          <w:sz w:val="32"/>
          <w:szCs w:val="32"/>
        </w:rPr>
        <w:t>九、近年业绩的有关证明材料</w:t>
      </w:r>
      <w:bookmarkEnd w:id="455"/>
      <w:bookmarkEnd w:id="456"/>
      <w:bookmarkEnd w:id="457"/>
      <w:bookmarkEnd w:id="458"/>
      <w:bookmarkEnd w:id="459"/>
      <w:bookmarkEnd w:id="460"/>
      <w:bookmarkEnd w:id="461"/>
      <w:bookmarkEnd w:id="462"/>
      <w:bookmarkEnd w:id="463"/>
      <w:bookmarkEnd w:id="464"/>
      <w:bookmarkEnd w:id="465"/>
      <w:bookmarkEnd w:id="466"/>
      <w:bookmarkEnd w:id="467"/>
    </w:p>
    <w:tbl>
      <w:tblPr>
        <w:tblStyle w:val="23"/>
        <w:tblW w:w="93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2520"/>
        <w:gridCol w:w="1470"/>
        <w:gridCol w:w="1470"/>
        <w:gridCol w:w="13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0" w:type="dxa"/>
            <w:vAlign w:val="center"/>
          </w:tcPr>
          <w:p>
            <w:pPr>
              <w:jc w:val="center"/>
              <w:rPr>
                <w:rFonts w:ascii="仿宋" w:hAnsi="仿宋" w:eastAsia="仿宋" w:cs="仿宋"/>
                <w:b/>
                <w:sz w:val="24"/>
                <w:szCs w:val="24"/>
              </w:rPr>
            </w:pPr>
            <w:r>
              <w:rPr>
                <w:rFonts w:hint="eastAsia" w:ascii="仿宋" w:hAnsi="仿宋" w:eastAsia="仿宋" w:cs="仿宋"/>
                <w:b/>
                <w:sz w:val="24"/>
                <w:szCs w:val="24"/>
              </w:rPr>
              <w:t>序号</w:t>
            </w:r>
          </w:p>
        </w:tc>
        <w:tc>
          <w:tcPr>
            <w:tcW w:w="1620" w:type="dxa"/>
            <w:vAlign w:val="center"/>
          </w:tcPr>
          <w:p>
            <w:pPr>
              <w:jc w:val="center"/>
              <w:rPr>
                <w:rFonts w:ascii="仿宋" w:hAnsi="仿宋" w:eastAsia="仿宋" w:cs="仿宋"/>
                <w:b/>
                <w:sz w:val="24"/>
                <w:szCs w:val="24"/>
              </w:rPr>
            </w:pPr>
            <w:r>
              <w:rPr>
                <w:rFonts w:hint="eastAsia" w:ascii="仿宋" w:hAnsi="仿宋" w:eastAsia="仿宋" w:cs="仿宋"/>
                <w:b/>
                <w:sz w:val="24"/>
                <w:szCs w:val="24"/>
              </w:rPr>
              <w:t>用户名称</w:t>
            </w:r>
          </w:p>
        </w:tc>
        <w:tc>
          <w:tcPr>
            <w:tcW w:w="2520" w:type="dxa"/>
            <w:vAlign w:val="center"/>
          </w:tcPr>
          <w:p>
            <w:pPr>
              <w:jc w:val="center"/>
              <w:rPr>
                <w:rFonts w:ascii="仿宋" w:hAnsi="仿宋" w:eastAsia="仿宋" w:cs="仿宋"/>
                <w:b/>
                <w:sz w:val="24"/>
                <w:szCs w:val="24"/>
              </w:rPr>
            </w:pPr>
            <w:r>
              <w:rPr>
                <w:rFonts w:hint="eastAsia" w:ascii="仿宋" w:hAnsi="仿宋" w:eastAsia="仿宋" w:cs="仿宋"/>
                <w:b/>
                <w:sz w:val="24"/>
                <w:szCs w:val="24"/>
              </w:rPr>
              <w:t>项目名称</w:t>
            </w:r>
          </w:p>
        </w:tc>
        <w:tc>
          <w:tcPr>
            <w:tcW w:w="1470" w:type="dxa"/>
            <w:vAlign w:val="center"/>
          </w:tcPr>
          <w:p>
            <w:pPr>
              <w:jc w:val="center"/>
              <w:rPr>
                <w:rFonts w:ascii="仿宋" w:hAnsi="仿宋" w:eastAsia="仿宋" w:cs="仿宋"/>
                <w:b/>
                <w:sz w:val="24"/>
                <w:szCs w:val="24"/>
              </w:rPr>
            </w:pPr>
            <w:r>
              <w:rPr>
                <w:rFonts w:hint="eastAsia" w:ascii="仿宋" w:hAnsi="仿宋" w:eastAsia="仿宋" w:cs="仿宋"/>
                <w:b/>
                <w:sz w:val="24"/>
                <w:szCs w:val="24"/>
              </w:rPr>
              <w:t>合同金额</w:t>
            </w:r>
          </w:p>
        </w:tc>
        <w:tc>
          <w:tcPr>
            <w:tcW w:w="1470" w:type="dxa"/>
            <w:vAlign w:val="center"/>
          </w:tcPr>
          <w:p>
            <w:pPr>
              <w:jc w:val="center"/>
              <w:rPr>
                <w:rFonts w:ascii="仿宋" w:hAnsi="仿宋" w:eastAsia="仿宋" w:cs="仿宋"/>
                <w:b/>
                <w:sz w:val="24"/>
                <w:szCs w:val="24"/>
              </w:rPr>
            </w:pPr>
            <w:r>
              <w:rPr>
                <w:rFonts w:hint="eastAsia" w:ascii="仿宋" w:hAnsi="仿宋" w:eastAsia="仿宋" w:cs="仿宋"/>
                <w:b/>
                <w:sz w:val="24"/>
                <w:szCs w:val="24"/>
              </w:rPr>
              <w:t>签订时间</w:t>
            </w:r>
          </w:p>
        </w:tc>
        <w:tc>
          <w:tcPr>
            <w:tcW w:w="1365" w:type="dxa"/>
            <w:vAlign w:val="center"/>
          </w:tcPr>
          <w:p>
            <w:pPr>
              <w:jc w:val="center"/>
              <w:rPr>
                <w:rFonts w:ascii="仿宋" w:hAnsi="仿宋" w:eastAsia="仿宋" w:cs="仿宋"/>
                <w:b/>
                <w:sz w:val="24"/>
                <w:szCs w:val="24"/>
              </w:rPr>
            </w:pPr>
            <w:r>
              <w:rPr>
                <w:rFonts w:hint="eastAsia" w:ascii="仿宋" w:hAnsi="仿宋" w:eastAsia="仿宋" w:cs="仿宋"/>
                <w:b/>
                <w:sz w:val="24"/>
                <w:szCs w:val="24"/>
              </w:rPr>
              <w:t>完成项目质量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520" w:type="dxa"/>
          </w:tcPr>
          <w:p>
            <w:pPr>
              <w:spacing w:line="360" w:lineRule="auto"/>
              <w:rPr>
                <w:rFonts w:ascii="仿宋" w:hAnsi="仿宋" w:eastAsia="仿宋" w:cs="仿宋"/>
                <w:sz w:val="24"/>
                <w:szCs w:val="24"/>
              </w:rPr>
            </w:pPr>
          </w:p>
        </w:tc>
        <w:tc>
          <w:tcPr>
            <w:tcW w:w="1470" w:type="dxa"/>
          </w:tcPr>
          <w:p>
            <w:pPr>
              <w:spacing w:line="360" w:lineRule="auto"/>
              <w:rPr>
                <w:rFonts w:ascii="仿宋" w:hAnsi="仿宋" w:eastAsia="仿宋" w:cs="仿宋"/>
                <w:sz w:val="24"/>
                <w:szCs w:val="24"/>
              </w:rPr>
            </w:pPr>
          </w:p>
        </w:tc>
        <w:tc>
          <w:tcPr>
            <w:tcW w:w="1470" w:type="dxa"/>
          </w:tcPr>
          <w:p>
            <w:pPr>
              <w:spacing w:line="360" w:lineRule="auto"/>
              <w:rPr>
                <w:rFonts w:ascii="仿宋" w:hAnsi="仿宋" w:eastAsia="仿宋" w:cs="仿宋"/>
                <w:sz w:val="24"/>
                <w:szCs w:val="24"/>
              </w:rPr>
            </w:pPr>
          </w:p>
        </w:tc>
        <w:tc>
          <w:tcPr>
            <w:tcW w:w="1365"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520" w:type="dxa"/>
          </w:tcPr>
          <w:p>
            <w:pPr>
              <w:spacing w:line="360" w:lineRule="auto"/>
              <w:rPr>
                <w:rFonts w:ascii="仿宋" w:hAnsi="仿宋" w:eastAsia="仿宋" w:cs="仿宋"/>
                <w:sz w:val="24"/>
                <w:szCs w:val="24"/>
              </w:rPr>
            </w:pPr>
          </w:p>
        </w:tc>
        <w:tc>
          <w:tcPr>
            <w:tcW w:w="1470" w:type="dxa"/>
          </w:tcPr>
          <w:p>
            <w:pPr>
              <w:spacing w:line="360" w:lineRule="auto"/>
              <w:rPr>
                <w:rFonts w:ascii="仿宋" w:hAnsi="仿宋" w:eastAsia="仿宋" w:cs="仿宋"/>
                <w:sz w:val="24"/>
                <w:szCs w:val="24"/>
              </w:rPr>
            </w:pPr>
          </w:p>
        </w:tc>
        <w:tc>
          <w:tcPr>
            <w:tcW w:w="1470" w:type="dxa"/>
          </w:tcPr>
          <w:p>
            <w:pPr>
              <w:spacing w:line="360" w:lineRule="auto"/>
              <w:rPr>
                <w:rFonts w:ascii="仿宋" w:hAnsi="仿宋" w:eastAsia="仿宋" w:cs="仿宋"/>
                <w:sz w:val="24"/>
                <w:szCs w:val="24"/>
              </w:rPr>
            </w:pPr>
          </w:p>
        </w:tc>
        <w:tc>
          <w:tcPr>
            <w:tcW w:w="1365"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520" w:type="dxa"/>
          </w:tcPr>
          <w:p>
            <w:pPr>
              <w:spacing w:line="360" w:lineRule="auto"/>
              <w:rPr>
                <w:rFonts w:ascii="仿宋" w:hAnsi="仿宋" w:eastAsia="仿宋" w:cs="仿宋"/>
                <w:sz w:val="24"/>
                <w:szCs w:val="24"/>
              </w:rPr>
            </w:pPr>
          </w:p>
        </w:tc>
        <w:tc>
          <w:tcPr>
            <w:tcW w:w="1470" w:type="dxa"/>
          </w:tcPr>
          <w:p>
            <w:pPr>
              <w:spacing w:line="360" w:lineRule="auto"/>
              <w:rPr>
                <w:rFonts w:ascii="仿宋" w:hAnsi="仿宋" w:eastAsia="仿宋" w:cs="仿宋"/>
                <w:sz w:val="24"/>
                <w:szCs w:val="24"/>
              </w:rPr>
            </w:pPr>
          </w:p>
        </w:tc>
        <w:tc>
          <w:tcPr>
            <w:tcW w:w="1470" w:type="dxa"/>
          </w:tcPr>
          <w:p>
            <w:pPr>
              <w:spacing w:line="360" w:lineRule="auto"/>
              <w:rPr>
                <w:rFonts w:ascii="仿宋" w:hAnsi="仿宋" w:eastAsia="仿宋" w:cs="仿宋"/>
                <w:sz w:val="24"/>
                <w:szCs w:val="24"/>
              </w:rPr>
            </w:pPr>
          </w:p>
        </w:tc>
        <w:tc>
          <w:tcPr>
            <w:tcW w:w="1365"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520" w:type="dxa"/>
          </w:tcPr>
          <w:p>
            <w:pPr>
              <w:spacing w:line="360" w:lineRule="auto"/>
              <w:rPr>
                <w:rFonts w:ascii="仿宋" w:hAnsi="仿宋" w:eastAsia="仿宋" w:cs="仿宋"/>
                <w:sz w:val="24"/>
                <w:szCs w:val="24"/>
              </w:rPr>
            </w:pPr>
          </w:p>
        </w:tc>
        <w:tc>
          <w:tcPr>
            <w:tcW w:w="1470" w:type="dxa"/>
          </w:tcPr>
          <w:p>
            <w:pPr>
              <w:spacing w:line="360" w:lineRule="auto"/>
              <w:rPr>
                <w:rFonts w:ascii="仿宋" w:hAnsi="仿宋" w:eastAsia="仿宋" w:cs="仿宋"/>
                <w:sz w:val="24"/>
                <w:szCs w:val="24"/>
              </w:rPr>
            </w:pPr>
          </w:p>
        </w:tc>
        <w:tc>
          <w:tcPr>
            <w:tcW w:w="1470" w:type="dxa"/>
          </w:tcPr>
          <w:p>
            <w:pPr>
              <w:spacing w:line="360" w:lineRule="auto"/>
              <w:rPr>
                <w:rFonts w:ascii="仿宋" w:hAnsi="仿宋" w:eastAsia="仿宋" w:cs="仿宋"/>
                <w:sz w:val="24"/>
                <w:szCs w:val="24"/>
              </w:rPr>
            </w:pPr>
          </w:p>
        </w:tc>
        <w:tc>
          <w:tcPr>
            <w:tcW w:w="1365"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520" w:type="dxa"/>
          </w:tcPr>
          <w:p>
            <w:pPr>
              <w:spacing w:line="360" w:lineRule="auto"/>
              <w:rPr>
                <w:rFonts w:ascii="仿宋" w:hAnsi="仿宋" w:eastAsia="仿宋" w:cs="仿宋"/>
                <w:sz w:val="24"/>
                <w:szCs w:val="24"/>
              </w:rPr>
            </w:pPr>
          </w:p>
        </w:tc>
        <w:tc>
          <w:tcPr>
            <w:tcW w:w="1470" w:type="dxa"/>
          </w:tcPr>
          <w:p>
            <w:pPr>
              <w:spacing w:line="360" w:lineRule="auto"/>
              <w:rPr>
                <w:rFonts w:ascii="仿宋" w:hAnsi="仿宋" w:eastAsia="仿宋" w:cs="仿宋"/>
                <w:sz w:val="24"/>
                <w:szCs w:val="24"/>
              </w:rPr>
            </w:pPr>
          </w:p>
        </w:tc>
        <w:tc>
          <w:tcPr>
            <w:tcW w:w="1470" w:type="dxa"/>
          </w:tcPr>
          <w:p>
            <w:pPr>
              <w:spacing w:line="360" w:lineRule="auto"/>
              <w:rPr>
                <w:rFonts w:ascii="仿宋" w:hAnsi="仿宋" w:eastAsia="仿宋" w:cs="仿宋"/>
                <w:sz w:val="24"/>
                <w:szCs w:val="24"/>
              </w:rPr>
            </w:pPr>
          </w:p>
        </w:tc>
        <w:tc>
          <w:tcPr>
            <w:tcW w:w="1365"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520" w:type="dxa"/>
          </w:tcPr>
          <w:p>
            <w:pPr>
              <w:spacing w:line="360" w:lineRule="auto"/>
              <w:rPr>
                <w:rFonts w:ascii="仿宋" w:hAnsi="仿宋" w:eastAsia="仿宋" w:cs="仿宋"/>
                <w:sz w:val="24"/>
                <w:szCs w:val="24"/>
              </w:rPr>
            </w:pPr>
          </w:p>
        </w:tc>
        <w:tc>
          <w:tcPr>
            <w:tcW w:w="1470" w:type="dxa"/>
          </w:tcPr>
          <w:p>
            <w:pPr>
              <w:spacing w:line="360" w:lineRule="auto"/>
              <w:rPr>
                <w:rFonts w:ascii="仿宋" w:hAnsi="仿宋" w:eastAsia="仿宋" w:cs="仿宋"/>
                <w:sz w:val="24"/>
                <w:szCs w:val="24"/>
              </w:rPr>
            </w:pPr>
          </w:p>
        </w:tc>
        <w:tc>
          <w:tcPr>
            <w:tcW w:w="1470" w:type="dxa"/>
          </w:tcPr>
          <w:p>
            <w:pPr>
              <w:spacing w:line="360" w:lineRule="auto"/>
              <w:rPr>
                <w:rFonts w:ascii="仿宋" w:hAnsi="仿宋" w:eastAsia="仿宋" w:cs="仿宋"/>
                <w:sz w:val="24"/>
                <w:szCs w:val="24"/>
              </w:rPr>
            </w:pPr>
          </w:p>
        </w:tc>
        <w:tc>
          <w:tcPr>
            <w:tcW w:w="1365"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520" w:type="dxa"/>
          </w:tcPr>
          <w:p>
            <w:pPr>
              <w:spacing w:line="360" w:lineRule="auto"/>
              <w:rPr>
                <w:rFonts w:ascii="仿宋" w:hAnsi="仿宋" w:eastAsia="仿宋" w:cs="仿宋"/>
                <w:sz w:val="24"/>
                <w:szCs w:val="24"/>
              </w:rPr>
            </w:pPr>
          </w:p>
        </w:tc>
        <w:tc>
          <w:tcPr>
            <w:tcW w:w="1470" w:type="dxa"/>
          </w:tcPr>
          <w:p>
            <w:pPr>
              <w:spacing w:line="360" w:lineRule="auto"/>
              <w:rPr>
                <w:rFonts w:ascii="仿宋" w:hAnsi="仿宋" w:eastAsia="仿宋" w:cs="仿宋"/>
                <w:sz w:val="24"/>
                <w:szCs w:val="24"/>
              </w:rPr>
            </w:pPr>
          </w:p>
        </w:tc>
        <w:tc>
          <w:tcPr>
            <w:tcW w:w="1470" w:type="dxa"/>
          </w:tcPr>
          <w:p>
            <w:pPr>
              <w:spacing w:line="360" w:lineRule="auto"/>
              <w:rPr>
                <w:rFonts w:ascii="仿宋" w:hAnsi="仿宋" w:eastAsia="仿宋" w:cs="仿宋"/>
                <w:sz w:val="24"/>
                <w:szCs w:val="24"/>
              </w:rPr>
            </w:pPr>
          </w:p>
        </w:tc>
        <w:tc>
          <w:tcPr>
            <w:tcW w:w="1365"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520" w:type="dxa"/>
          </w:tcPr>
          <w:p>
            <w:pPr>
              <w:spacing w:line="360" w:lineRule="auto"/>
              <w:rPr>
                <w:rFonts w:ascii="仿宋" w:hAnsi="仿宋" w:eastAsia="仿宋" w:cs="仿宋"/>
                <w:sz w:val="24"/>
                <w:szCs w:val="24"/>
              </w:rPr>
            </w:pPr>
          </w:p>
        </w:tc>
        <w:tc>
          <w:tcPr>
            <w:tcW w:w="1470" w:type="dxa"/>
          </w:tcPr>
          <w:p>
            <w:pPr>
              <w:spacing w:line="360" w:lineRule="auto"/>
              <w:rPr>
                <w:rFonts w:ascii="仿宋" w:hAnsi="仿宋" w:eastAsia="仿宋" w:cs="仿宋"/>
                <w:sz w:val="24"/>
                <w:szCs w:val="24"/>
              </w:rPr>
            </w:pPr>
          </w:p>
        </w:tc>
        <w:tc>
          <w:tcPr>
            <w:tcW w:w="1470" w:type="dxa"/>
          </w:tcPr>
          <w:p>
            <w:pPr>
              <w:spacing w:line="360" w:lineRule="auto"/>
              <w:rPr>
                <w:rFonts w:ascii="仿宋" w:hAnsi="仿宋" w:eastAsia="仿宋" w:cs="仿宋"/>
                <w:sz w:val="24"/>
                <w:szCs w:val="24"/>
              </w:rPr>
            </w:pPr>
          </w:p>
        </w:tc>
        <w:tc>
          <w:tcPr>
            <w:tcW w:w="1365"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520" w:type="dxa"/>
          </w:tcPr>
          <w:p>
            <w:pPr>
              <w:spacing w:line="360" w:lineRule="auto"/>
              <w:rPr>
                <w:rFonts w:ascii="仿宋" w:hAnsi="仿宋" w:eastAsia="仿宋" w:cs="仿宋"/>
                <w:sz w:val="24"/>
                <w:szCs w:val="24"/>
              </w:rPr>
            </w:pPr>
          </w:p>
        </w:tc>
        <w:tc>
          <w:tcPr>
            <w:tcW w:w="1470" w:type="dxa"/>
          </w:tcPr>
          <w:p>
            <w:pPr>
              <w:spacing w:line="360" w:lineRule="auto"/>
              <w:rPr>
                <w:rFonts w:ascii="仿宋" w:hAnsi="仿宋" w:eastAsia="仿宋" w:cs="仿宋"/>
                <w:sz w:val="24"/>
                <w:szCs w:val="24"/>
              </w:rPr>
            </w:pPr>
          </w:p>
        </w:tc>
        <w:tc>
          <w:tcPr>
            <w:tcW w:w="1470" w:type="dxa"/>
          </w:tcPr>
          <w:p>
            <w:pPr>
              <w:spacing w:line="360" w:lineRule="auto"/>
              <w:rPr>
                <w:rFonts w:ascii="仿宋" w:hAnsi="仿宋" w:eastAsia="仿宋" w:cs="仿宋"/>
                <w:sz w:val="24"/>
                <w:szCs w:val="24"/>
              </w:rPr>
            </w:pPr>
          </w:p>
        </w:tc>
        <w:tc>
          <w:tcPr>
            <w:tcW w:w="1365"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520" w:type="dxa"/>
          </w:tcPr>
          <w:p>
            <w:pPr>
              <w:spacing w:line="360" w:lineRule="auto"/>
              <w:rPr>
                <w:rFonts w:ascii="仿宋" w:hAnsi="仿宋" w:eastAsia="仿宋" w:cs="仿宋"/>
                <w:sz w:val="24"/>
                <w:szCs w:val="24"/>
              </w:rPr>
            </w:pPr>
          </w:p>
        </w:tc>
        <w:tc>
          <w:tcPr>
            <w:tcW w:w="1470" w:type="dxa"/>
          </w:tcPr>
          <w:p>
            <w:pPr>
              <w:spacing w:line="360" w:lineRule="auto"/>
              <w:rPr>
                <w:rFonts w:ascii="仿宋" w:hAnsi="仿宋" w:eastAsia="仿宋" w:cs="仿宋"/>
                <w:sz w:val="24"/>
                <w:szCs w:val="24"/>
              </w:rPr>
            </w:pPr>
          </w:p>
        </w:tc>
        <w:tc>
          <w:tcPr>
            <w:tcW w:w="1470" w:type="dxa"/>
          </w:tcPr>
          <w:p>
            <w:pPr>
              <w:spacing w:line="360" w:lineRule="auto"/>
              <w:rPr>
                <w:rFonts w:ascii="仿宋" w:hAnsi="仿宋" w:eastAsia="仿宋" w:cs="仿宋"/>
                <w:sz w:val="24"/>
                <w:szCs w:val="24"/>
              </w:rPr>
            </w:pPr>
          </w:p>
        </w:tc>
        <w:tc>
          <w:tcPr>
            <w:tcW w:w="1365" w:type="dxa"/>
          </w:tcPr>
          <w:p>
            <w:pPr>
              <w:spacing w:line="360" w:lineRule="auto"/>
              <w:rPr>
                <w:rFonts w:ascii="仿宋" w:hAnsi="仿宋" w:eastAsia="仿宋" w:cs="仿宋"/>
                <w:sz w:val="24"/>
                <w:szCs w:val="24"/>
              </w:rPr>
            </w:pPr>
          </w:p>
        </w:tc>
      </w:tr>
    </w:tbl>
    <w:p>
      <w:pPr>
        <w:autoSpaceDE w:val="0"/>
        <w:autoSpaceDN w:val="0"/>
        <w:adjustRightInd w:val="0"/>
        <w:spacing w:line="360" w:lineRule="auto"/>
        <w:rPr>
          <w:rFonts w:ascii="仿宋" w:hAnsi="仿宋" w:eastAsia="仿宋" w:cs="仿宋"/>
          <w:sz w:val="24"/>
          <w:szCs w:val="24"/>
          <w:lang w:val="zh-CN"/>
        </w:rPr>
      </w:pPr>
      <w:r>
        <w:rPr>
          <w:rFonts w:hint="eastAsia" w:ascii="仿宋" w:hAnsi="仿宋" w:eastAsia="仿宋" w:cs="仿宋"/>
          <w:sz w:val="24"/>
          <w:szCs w:val="24"/>
          <w:lang w:val="zh-CN"/>
        </w:rPr>
        <w:t>说明：</w:t>
      </w:r>
    </w:p>
    <w:p>
      <w:pPr>
        <w:autoSpaceDE w:val="0"/>
        <w:autoSpaceDN w:val="0"/>
        <w:adjustRightInd w:val="0"/>
        <w:spacing w:line="360" w:lineRule="auto"/>
        <w:rPr>
          <w:rFonts w:ascii="仿宋" w:hAnsi="仿宋" w:eastAsia="仿宋" w:cs="仿宋"/>
          <w:sz w:val="24"/>
          <w:szCs w:val="24"/>
          <w:lang w:val="zh-CN"/>
        </w:rPr>
      </w:pPr>
      <w:r>
        <w:rPr>
          <w:rFonts w:hint="eastAsia" w:ascii="仿宋" w:hAnsi="仿宋" w:eastAsia="仿宋" w:cs="仿宋"/>
          <w:sz w:val="24"/>
          <w:szCs w:val="24"/>
          <w:lang w:val="zh-CN"/>
        </w:rPr>
        <w:t>1.相关业绩需提供合同复印件</w:t>
      </w:r>
      <w:r>
        <w:rPr>
          <w:rFonts w:hint="eastAsia" w:ascii="仿宋" w:hAnsi="仿宋" w:eastAsia="仿宋" w:cs="仿宋"/>
          <w:sz w:val="24"/>
          <w:szCs w:val="24"/>
        </w:rPr>
        <w:t>加盖单位公章</w:t>
      </w:r>
      <w:r>
        <w:rPr>
          <w:rFonts w:hint="eastAsia" w:ascii="仿宋" w:hAnsi="仿宋" w:eastAsia="仿宋" w:cs="仿宋"/>
          <w:sz w:val="24"/>
          <w:szCs w:val="24"/>
          <w:lang w:val="zh-CN"/>
        </w:rPr>
        <w:t>。</w:t>
      </w:r>
    </w:p>
    <w:p>
      <w:pPr>
        <w:autoSpaceDE w:val="0"/>
        <w:autoSpaceDN w:val="0"/>
        <w:adjustRightInd w:val="0"/>
        <w:spacing w:line="360" w:lineRule="auto"/>
        <w:rPr>
          <w:rFonts w:ascii="仿宋" w:hAnsi="仿宋" w:eastAsia="仿宋" w:cs="仿宋"/>
          <w:sz w:val="24"/>
          <w:szCs w:val="24"/>
          <w:lang w:val="zh-CN"/>
        </w:rPr>
      </w:pPr>
      <w:r>
        <w:rPr>
          <w:rFonts w:hint="eastAsia" w:ascii="仿宋" w:hAnsi="仿宋" w:eastAsia="仿宋" w:cs="仿宋"/>
          <w:sz w:val="24"/>
          <w:szCs w:val="24"/>
          <w:lang w:val="zh-CN"/>
        </w:rPr>
        <w:t>2.投标人应如实列出以上情况，如有隐瞒，一经查实将导致其投标文件被拒绝。</w:t>
      </w:r>
    </w:p>
    <w:p>
      <w:pPr>
        <w:autoSpaceDE w:val="0"/>
        <w:autoSpaceDN w:val="0"/>
        <w:adjustRightInd w:val="0"/>
        <w:spacing w:line="360" w:lineRule="auto"/>
        <w:rPr>
          <w:rFonts w:ascii="仿宋" w:hAnsi="仿宋" w:eastAsia="仿宋" w:cs="仿宋"/>
          <w:sz w:val="24"/>
          <w:szCs w:val="24"/>
          <w:lang w:val="zh-CN"/>
        </w:rPr>
      </w:pPr>
      <w:r>
        <w:rPr>
          <w:rFonts w:hint="eastAsia" w:ascii="仿宋" w:hAnsi="仿宋" w:eastAsia="仿宋" w:cs="仿宋"/>
          <w:sz w:val="24"/>
          <w:szCs w:val="24"/>
          <w:lang w:val="zh-CN"/>
        </w:rPr>
        <w:t>3.未按上述要求提供、填写的，评审时不予以考虑。</w:t>
      </w:r>
    </w:p>
    <w:p>
      <w:pPr>
        <w:spacing w:line="360" w:lineRule="auto"/>
        <w:ind w:right="-197" w:rightChars="-94" w:firstLine="480" w:firstLineChars="200"/>
        <w:jc w:val="left"/>
        <w:rPr>
          <w:rFonts w:ascii="仿宋" w:hAnsi="仿宋" w:eastAsia="仿宋" w:cs="仿宋"/>
          <w:sz w:val="24"/>
          <w:szCs w:val="24"/>
        </w:rPr>
      </w:pPr>
    </w:p>
    <w:p>
      <w:pPr>
        <w:spacing w:line="360" w:lineRule="auto"/>
        <w:ind w:right="-197" w:rightChars="-94" w:firstLine="480" w:firstLineChars="200"/>
        <w:jc w:val="left"/>
        <w:rPr>
          <w:rFonts w:ascii="仿宋" w:hAnsi="仿宋" w:eastAsia="仿宋" w:cs="仿宋"/>
          <w:sz w:val="24"/>
          <w:szCs w:val="24"/>
        </w:rPr>
      </w:pPr>
    </w:p>
    <w:p>
      <w:pPr>
        <w:spacing w:line="360" w:lineRule="auto"/>
        <w:ind w:firstLine="4080" w:firstLineChars="1700"/>
        <w:rPr>
          <w:rFonts w:ascii="仿宋" w:hAnsi="仿宋" w:eastAsia="仿宋" w:cs="仿宋"/>
          <w:sz w:val="24"/>
          <w:szCs w:val="24"/>
        </w:rPr>
      </w:pPr>
      <w:r>
        <w:rPr>
          <w:rFonts w:hint="eastAsia" w:ascii="仿宋" w:hAnsi="仿宋" w:eastAsia="仿宋" w:cs="仿宋"/>
          <w:sz w:val="24"/>
          <w:szCs w:val="24"/>
        </w:rPr>
        <w:t>投标人（公章）：</w:t>
      </w:r>
      <w:r>
        <w:rPr>
          <w:rFonts w:hint="eastAsia" w:ascii="仿宋" w:hAnsi="仿宋" w:eastAsia="仿宋" w:cs="仿宋"/>
          <w:sz w:val="24"/>
          <w:szCs w:val="24"/>
          <w:u w:val="single"/>
        </w:rPr>
        <w:t xml:space="preserve">                        </w:t>
      </w:r>
    </w:p>
    <w:p>
      <w:pPr>
        <w:spacing w:line="360" w:lineRule="auto"/>
        <w:ind w:firstLine="4080" w:firstLineChars="17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autoSpaceDE w:val="0"/>
        <w:autoSpaceDN w:val="0"/>
        <w:adjustRightInd w:val="0"/>
        <w:spacing w:line="360" w:lineRule="auto"/>
        <w:ind w:firstLine="4080" w:firstLineChars="1700"/>
        <w:rPr>
          <w:rFonts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bookmarkStart w:id="468" w:name="_Toc3523"/>
      <w:bookmarkStart w:id="469" w:name="_Toc18036"/>
      <w:bookmarkStart w:id="470" w:name="_Toc4012"/>
      <w:bookmarkStart w:id="471" w:name="_Toc28776"/>
      <w:bookmarkStart w:id="472" w:name="_Toc11796"/>
      <w:bookmarkStart w:id="473" w:name="_Toc19495"/>
      <w:bookmarkStart w:id="474" w:name="_Toc17302"/>
      <w:bookmarkStart w:id="475" w:name="_Toc23592"/>
      <w:bookmarkStart w:id="476" w:name="_Toc8517"/>
      <w:bookmarkStart w:id="477" w:name="_Toc32284"/>
      <w:bookmarkStart w:id="478" w:name="_Toc14104"/>
      <w:bookmarkStart w:id="479" w:name="_Toc24201"/>
      <w:bookmarkStart w:id="480" w:name="_Toc31387"/>
      <w:bookmarkStart w:id="481" w:name="_Toc16864"/>
      <w:bookmarkStart w:id="482" w:name="_Toc32626"/>
      <w:bookmarkStart w:id="483" w:name="_Toc16096"/>
    </w:p>
    <w:bookmarkEnd w:id="468"/>
    <w:bookmarkEnd w:id="469"/>
    <w:bookmarkEnd w:id="470"/>
    <w:bookmarkEnd w:id="471"/>
    <w:bookmarkEnd w:id="472"/>
    <w:bookmarkEnd w:id="473"/>
    <w:bookmarkEnd w:id="474"/>
    <w:bookmarkEnd w:id="475"/>
    <w:p>
      <w:pPr>
        <w:pStyle w:val="4"/>
        <w:keepNext w:val="0"/>
        <w:pageBreakBefore/>
        <w:spacing w:line="360" w:lineRule="auto"/>
        <w:rPr>
          <w:rFonts w:ascii="仿宋" w:hAnsi="仿宋" w:eastAsia="仿宋" w:cs="仿宋"/>
          <w:b w:val="0"/>
          <w:bCs/>
          <w:szCs w:val="44"/>
        </w:rPr>
      </w:pPr>
      <w:bookmarkStart w:id="484" w:name="_Toc8976"/>
      <w:bookmarkStart w:id="485" w:name="_Toc16454"/>
      <w:r>
        <w:rPr>
          <w:rFonts w:hint="eastAsia" w:ascii="仿宋" w:hAnsi="仿宋" w:eastAsia="仿宋" w:cs="仿宋"/>
          <w:sz w:val="36"/>
        </w:rPr>
        <w:t>十</w:t>
      </w:r>
      <w:r>
        <w:rPr>
          <w:rFonts w:hint="eastAsia" w:ascii="仿宋" w:hAnsi="仿宋" w:eastAsia="仿宋" w:cs="仿宋"/>
          <w:sz w:val="32"/>
          <w:szCs w:val="32"/>
        </w:rPr>
        <w:t>、投标人企业关系关联承诺书</w:t>
      </w:r>
      <w:bookmarkEnd w:id="476"/>
      <w:bookmarkEnd w:id="477"/>
      <w:bookmarkEnd w:id="478"/>
      <w:bookmarkEnd w:id="479"/>
      <w:bookmarkEnd w:id="480"/>
      <w:bookmarkEnd w:id="481"/>
      <w:bookmarkEnd w:id="482"/>
      <w:bookmarkEnd w:id="483"/>
      <w:bookmarkEnd w:id="484"/>
      <w:bookmarkEnd w:id="485"/>
    </w:p>
    <w:p>
      <w:pPr>
        <w:spacing w:line="360" w:lineRule="auto"/>
        <w:rPr>
          <w:rFonts w:ascii="仿宋" w:hAnsi="仿宋" w:eastAsia="仿宋" w:cs="仿宋"/>
          <w:spacing w:val="4"/>
          <w:sz w:val="24"/>
          <w:szCs w:val="24"/>
        </w:rPr>
      </w:pPr>
    </w:p>
    <w:p>
      <w:pPr>
        <w:spacing w:line="360" w:lineRule="auto"/>
        <w:rPr>
          <w:rFonts w:ascii="仿宋" w:hAnsi="仿宋" w:eastAsia="仿宋" w:cs="仿宋"/>
          <w:spacing w:val="4"/>
          <w:sz w:val="24"/>
          <w:szCs w:val="24"/>
          <w:u w:val="single"/>
        </w:rPr>
      </w:pPr>
      <w:r>
        <w:rPr>
          <w:rFonts w:hint="eastAsia" w:ascii="仿宋" w:hAnsi="仿宋" w:eastAsia="仿宋" w:cs="仿宋"/>
          <w:spacing w:val="4"/>
          <w:sz w:val="24"/>
          <w:szCs w:val="24"/>
        </w:rPr>
        <w:t>致：</w:t>
      </w:r>
      <w:r>
        <w:rPr>
          <w:rFonts w:hint="eastAsia" w:ascii="仿宋" w:hAnsi="仿宋" w:eastAsia="仿宋" w:cs="仿宋"/>
          <w:spacing w:val="4"/>
          <w:sz w:val="24"/>
          <w:szCs w:val="24"/>
          <w:u w:val="single"/>
        </w:rPr>
        <w:t xml:space="preserve">     （采购人名称）   </w:t>
      </w:r>
    </w:p>
    <w:p>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我方作为</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（项目编号：</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r>
        <w:rPr>
          <w:rFonts w:hint="eastAsia" w:ascii="仿宋" w:hAnsi="仿宋" w:eastAsia="仿宋" w:cs="仿宋"/>
          <w:kern w:val="0"/>
          <w:sz w:val="24"/>
          <w:szCs w:val="24"/>
          <w:lang w:bidi="ar"/>
        </w:rPr>
        <w:t>第</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包</w:t>
      </w:r>
      <w:r>
        <w:rPr>
          <w:rFonts w:hint="eastAsia" w:ascii="仿宋" w:hAnsi="仿宋" w:eastAsia="仿宋" w:cs="仿宋"/>
          <w:kern w:val="0"/>
          <w:sz w:val="24"/>
          <w:szCs w:val="24"/>
        </w:rPr>
        <w:t>的投标人，在此郑重声明：</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1、投标人在本项目中，不存在与其它投标人负责人为同一人，有控股、管理等关联关系承诺。</w:t>
      </w:r>
    </w:p>
    <w:p>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2、我方未为本项目提供整体设计、规范编制或者项目管理、监理、检测等服务。</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kern w:val="0"/>
          <w:sz w:val="24"/>
          <w:szCs w:val="24"/>
        </w:rPr>
        <w:t xml:space="preserve">如有不实，我方将无条件地退出本项目的采购活动，并遵照《政府采购法》有关“提供虚假材料的规定”接受处罚。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kern w:val="0"/>
          <w:sz w:val="24"/>
          <w:szCs w:val="24"/>
        </w:rPr>
        <w:t>特此声明。</w:t>
      </w:r>
    </w:p>
    <w:p>
      <w:pPr>
        <w:autoSpaceDE w:val="0"/>
        <w:autoSpaceDN w:val="0"/>
        <w:adjustRightInd w:val="0"/>
        <w:spacing w:line="360" w:lineRule="auto"/>
        <w:ind w:firstLine="480" w:firstLineChars="200"/>
        <w:rPr>
          <w:rFonts w:ascii="仿宋" w:hAnsi="仿宋" w:eastAsia="仿宋" w:cs="仿宋"/>
          <w:sz w:val="24"/>
          <w:szCs w:val="24"/>
        </w:rPr>
      </w:pPr>
    </w:p>
    <w:p>
      <w:pPr>
        <w:pStyle w:val="21"/>
        <w:ind w:firstLine="240"/>
        <w:rPr>
          <w:rFonts w:ascii="仿宋" w:hAnsi="仿宋" w:eastAsia="仿宋" w:cs="仿宋"/>
          <w:sz w:val="24"/>
        </w:rPr>
      </w:pPr>
    </w:p>
    <w:p>
      <w:pPr>
        <w:autoSpaceDE w:val="0"/>
        <w:autoSpaceDN w:val="0"/>
        <w:adjustRightInd w:val="0"/>
        <w:spacing w:line="360" w:lineRule="auto"/>
        <w:jc w:val="center"/>
        <w:rPr>
          <w:rFonts w:ascii="仿宋" w:hAnsi="仿宋" w:eastAsia="仿宋" w:cs="仿宋"/>
          <w:b/>
          <w:sz w:val="24"/>
          <w:szCs w:val="24"/>
        </w:rPr>
      </w:pPr>
    </w:p>
    <w:p>
      <w:pPr>
        <w:spacing w:line="360" w:lineRule="auto"/>
        <w:ind w:firstLine="4080" w:firstLineChars="1700"/>
        <w:rPr>
          <w:rFonts w:ascii="仿宋" w:hAnsi="仿宋" w:eastAsia="仿宋" w:cs="仿宋"/>
          <w:sz w:val="24"/>
          <w:szCs w:val="24"/>
        </w:rPr>
      </w:pPr>
      <w:r>
        <w:rPr>
          <w:rFonts w:hint="eastAsia" w:ascii="仿宋" w:hAnsi="仿宋" w:eastAsia="仿宋" w:cs="仿宋"/>
          <w:sz w:val="24"/>
          <w:szCs w:val="24"/>
        </w:rPr>
        <w:t>投标人（公章）：</w:t>
      </w:r>
      <w:r>
        <w:rPr>
          <w:rFonts w:hint="eastAsia" w:ascii="仿宋" w:hAnsi="仿宋" w:eastAsia="仿宋" w:cs="仿宋"/>
          <w:sz w:val="24"/>
          <w:szCs w:val="24"/>
          <w:u w:val="single"/>
        </w:rPr>
        <w:t xml:space="preserve">                        </w:t>
      </w:r>
    </w:p>
    <w:p>
      <w:pPr>
        <w:spacing w:line="360" w:lineRule="auto"/>
        <w:ind w:firstLine="4080" w:firstLineChars="17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spacing w:line="360" w:lineRule="auto"/>
        <w:ind w:firstLine="4080" w:firstLineChars="1700"/>
        <w:rPr>
          <w:rFonts w:ascii="仿宋" w:hAnsi="仿宋" w:eastAsia="仿宋" w:cs="仿宋"/>
          <w:sz w:val="32"/>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pageBreakBefore/>
        <w:spacing w:line="360" w:lineRule="auto"/>
        <w:jc w:val="center"/>
        <w:outlineLvl w:val="1"/>
        <w:rPr>
          <w:rFonts w:ascii="仿宋" w:hAnsi="仿宋" w:eastAsia="仿宋" w:cs="仿宋"/>
          <w:b/>
          <w:kern w:val="0"/>
          <w:sz w:val="32"/>
          <w:szCs w:val="24"/>
          <w:lang w:val="zh-CN"/>
        </w:rPr>
      </w:pPr>
      <w:bookmarkStart w:id="486" w:name="_Toc12844"/>
      <w:bookmarkStart w:id="487" w:name="_Toc2945"/>
      <w:bookmarkStart w:id="488" w:name="_Toc19579"/>
      <w:bookmarkStart w:id="489" w:name="_Toc5082"/>
      <w:bookmarkStart w:id="490" w:name="_Toc31226"/>
      <w:bookmarkStart w:id="491" w:name="_Toc2681"/>
      <w:bookmarkStart w:id="492" w:name="_Toc2180"/>
      <w:bookmarkStart w:id="493" w:name="_Toc6248"/>
      <w:bookmarkStart w:id="494" w:name="_Toc19643"/>
      <w:bookmarkStart w:id="495" w:name="_Toc7489"/>
      <w:bookmarkStart w:id="496" w:name="_Toc28697"/>
      <w:bookmarkStart w:id="497" w:name="_Toc26328"/>
      <w:bookmarkStart w:id="498" w:name="_Toc14521"/>
      <w:r>
        <w:rPr>
          <w:rFonts w:hint="eastAsia" w:ascii="仿宋" w:hAnsi="仿宋" w:eastAsia="仿宋" w:cs="仿宋"/>
          <w:b/>
          <w:kern w:val="0"/>
          <w:sz w:val="32"/>
          <w:szCs w:val="24"/>
          <w:lang w:val="zh-CN"/>
        </w:rPr>
        <w:t>十</w:t>
      </w:r>
      <w:r>
        <w:rPr>
          <w:rFonts w:hint="eastAsia" w:ascii="仿宋" w:hAnsi="仿宋" w:eastAsia="仿宋" w:cs="仿宋"/>
          <w:b/>
          <w:kern w:val="0"/>
          <w:sz w:val="32"/>
          <w:szCs w:val="24"/>
        </w:rPr>
        <w:t>一</w:t>
      </w:r>
      <w:r>
        <w:rPr>
          <w:rFonts w:hint="eastAsia" w:ascii="仿宋" w:hAnsi="仿宋" w:eastAsia="仿宋" w:cs="仿宋"/>
          <w:b/>
          <w:kern w:val="0"/>
          <w:sz w:val="32"/>
          <w:szCs w:val="24"/>
          <w:lang w:val="zh-CN"/>
        </w:rPr>
        <w:t>、投标人廉洁自律承诺书</w:t>
      </w:r>
      <w:bookmarkEnd w:id="486"/>
      <w:bookmarkEnd w:id="487"/>
      <w:bookmarkEnd w:id="488"/>
      <w:bookmarkEnd w:id="489"/>
      <w:bookmarkEnd w:id="490"/>
      <w:bookmarkEnd w:id="491"/>
      <w:bookmarkEnd w:id="492"/>
      <w:bookmarkEnd w:id="493"/>
      <w:bookmarkEnd w:id="494"/>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为了积极配合</w:t>
      </w:r>
      <w:r>
        <w:rPr>
          <w:rFonts w:hint="eastAsia" w:ascii="仿宋" w:hAnsi="仿宋" w:eastAsia="仿宋" w:cs="仿宋"/>
          <w:snapToGrid w:val="0"/>
          <w:sz w:val="24"/>
          <w:szCs w:val="24"/>
          <w:u w:val="single"/>
        </w:rPr>
        <w:t xml:space="preserve">  </w:t>
      </w:r>
      <w:r>
        <w:rPr>
          <w:rFonts w:hint="eastAsia" w:ascii="仿宋" w:hAnsi="仿宋" w:eastAsia="仿宋" w:cs="仿宋"/>
          <w:spacing w:val="4"/>
          <w:sz w:val="24"/>
          <w:szCs w:val="24"/>
          <w:u w:val="single"/>
        </w:rPr>
        <w:t>（采购人名称）</w:t>
      </w:r>
      <w:r>
        <w:rPr>
          <w:rFonts w:hint="eastAsia" w:ascii="仿宋" w:hAnsi="仿宋" w:eastAsia="仿宋" w:cs="仿宋"/>
          <w:snapToGrid w:val="0"/>
          <w:sz w:val="24"/>
          <w:szCs w:val="24"/>
          <w:u w:val="single"/>
        </w:rPr>
        <w:t xml:space="preserve">    </w:t>
      </w:r>
      <w:r>
        <w:rPr>
          <w:rFonts w:hint="eastAsia" w:ascii="仿宋" w:hAnsi="仿宋" w:eastAsia="仿宋" w:cs="仿宋"/>
          <w:snapToGrid w:val="0"/>
          <w:sz w:val="24"/>
          <w:szCs w:val="24"/>
        </w:rPr>
        <w:t>进行的</w:t>
      </w:r>
      <w:r>
        <w:rPr>
          <w:rFonts w:hint="eastAsia" w:ascii="仿宋" w:hAnsi="仿宋" w:eastAsia="仿宋" w:cs="仿宋"/>
          <w:snapToGrid w:val="0"/>
          <w:sz w:val="24"/>
          <w:szCs w:val="24"/>
          <w:u w:val="single"/>
        </w:rPr>
        <w:t xml:space="preserve">    （项目名称）    </w:t>
      </w:r>
      <w:r>
        <w:rPr>
          <w:rFonts w:hint="eastAsia" w:ascii="仿宋" w:hAnsi="仿宋" w:eastAsia="仿宋" w:cs="仿宋"/>
          <w:kern w:val="0"/>
          <w:sz w:val="24"/>
          <w:szCs w:val="24"/>
          <w:lang w:bidi="ar"/>
        </w:rPr>
        <w:t>第</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包</w:t>
      </w:r>
      <w:r>
        <w:rPr>
          <w:rFonts w:hint="eastAsia" w:ascii="仿宋" w:hAnsi="仿宋" w:eastAsia="仿宋" w:cs="仿宋"/>
          <w:snapToGrid w:val="0"/>
          <w:sz w:val="24"/>
          <w:szCs w:val="24"/>
        </w:rPr>
        <w:t>招标</w:t>
      </w:r>
      <w:r>
        <w:fldChar w:fldCharType="begin"/>
      </w:r>
      <w:r>
        <w:instrText xml:space="preserve"> HYPERLINK "http://www.yjbys.com/" </w:instrText>
      </w:r>
      <w:r>
        <w:fldChar w:fldCharType="separate"/>
      </w:r>
      <w:r>
        <w:rPr>
          <w:rFonts w:hint="eastAsia" w:ascii="仿宋" w:hAnsi="仿宋" w:eastAsia="仿宋" w:cs="仿宋"/>
          <w:snapToGrid w:val="0"/>
          <w:sz w:val="24"/>
          <w:szCs w:val="24"/>
        </w:rPr>
        <w:t>工作</w:t>
      </w:r>
      <w:r>
        <w:rPr>
          <w:rFonts w:hint="eastAsia" w:ascii="仿宋" w:hAnsi="仿宋" w:eastAsia="仿宋" w:cs="仿宋"/>
          <w:snapToGrid w:val="0"/>
          <w:sz w:val="24"/>
          <w:szCs w:val="24"/>
        </w:rPr>
        <w:fldChar w:fldCharType="end"/>
      </w:r>
      <w:r>
        <w:rPr>
          <w:rFonts w:hint="eastAsia" w:ascii="仿宋" w:hAnsi="仿宋" w:eastAsia="仿宋" w:cs="仿宋"/>
          <w:snapToGrid w:val="0"/>
          <w:sz w:val="24"/>
          <w:szCs w:val="24"/>
        </w:rPr>
        <w:t>，有效遏制不公平竞争和违规违纪问题的发生，确保招标工作的公平、公正、公开，我们特向贵司郑重承诺，在政府采购过程中严格遵守下列行为准则：</w:t>
      </w:r>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1、严格遵守国家有关法律法规及相关政策，以及廉洁从业的各项规定。</w:t>
      </w:r>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2、不以围标、串标、陪标、挂靠、提供虚假信息、恶意干扰采购人、评标委员会评审等违规手段实现中标目的；</w:t>
      </w:r>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3、不以任何理由、任何形式向采购人相关工作人员或其亲戚、朋友等利益相关人行贿或馈赠礼金、有价证券、贵重物品。</w:t>
      </w:r>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4、不以任何名义为采购人相关工作人员或其亲戚、朋友等利益相关人支付、报销应由其个人支付的费用。</w:t>
      </w:r>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5、不以任何理由安排采购人相关工作人员或其亲戚、朋友等利益相关人参加健身、娱乐和旅游等活动。</w:t>
      </w:r>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6、不为采购人的业务部门、关联企业或人员，购置或提供通讯工具、交通工具、高档办公用品或装修住房等。</w:t>
      </w:r>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7、不以贿赂之外的其他方式拉拢采购方相关工作人员，使其违背公平、公开、公正竞争原则，帮助实现中标目的。</w:t>
      </w:r>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8、如果采购人相关工作人员以帮助实现成交目的为对价向投标人索取贿赂或谋求其他个人利益，投标人应拒绝采购人相关工作人员的要求，并向采购人监督部门举报。</w:t>
      </w:r>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如果承诺人违背上述承诺并中标，承诺人自愿承担与贵司签订的合同无效、贵司有权拒绝支付合同款、承诺人自身损失自己承担并赔偿贵司因此产生的一切损失的民事法律责任及因此产生的刑事责任。</w:t>
      </w:r>
    </w:p>
    <w:p>
      <w:pPr>
        <w:spacing w:line="360" w:lineRule="auto"/>
        <w:ind w:firstLine="4080" w:firstLineChars="1700"/>
        <w:rPr>
          <w:rFonts w:ascii="仿宋" w:hAnsi="仿宋" w:eastAsia="仿宋" w:cs="仿宋"/>
          <w:sz w:val="24"/>
          <w:szCs w:val="24"/>
        </w:rPr>
      </w:pPr>
      <w:bookmarkStart w:id="499" w:name="_Toc1644"/>
      <w:bookmarkStart w:id="500" w:name="_Toc25981"/>
      <w:bookmarkStart w:id="501" w:name="_Toc4293"/>
      <w:bookmarkStart w:id="502" w:name="_Toc7233"/>
    </w:p>
    <w:p>
      <w:pPr>
        <w:spacing w:line="360" w:lineRule="auto"/>
        <w:ind w:firstLine="3158" w:firstLineChars="1316"/>
        <w:rPr>
          <w:rFonts w:ascii="仿宋" w:hAnsi="仿宋" w:eastAsia="仿宋" w:cs="仿宋"/>
          <w:sz w:val="24"/>
          <w:szCs w:val="24"/>
        </w:rPr>
      </w:pPr>
      <w:r>
        <w:rPr>
          <w:rFonts w:hint="eastAsia" w:ascii="仿宋" w:hAnsi="仿宋" w:eastAsia="仿宋" w:cs="仿宋"/>
          <w:sz w:val="24"/>
          <w:szCs w:val="24"/>
        </w:rPr>
        <w:t>投标人（公章）：</w:t>
      </w:r>
      <w:r>
        <w:rPr>
          <w:rFonts w:hint="eastAsia" w:ascii="仿宋" w:hAnsi="仿宋" w:eastAsia="仿宋" w:cs="仿宋"/>
          <w:sz w:val="24"/>
          <w:szCs w:val="24"/>
          <w:u w:val="single"/>
        </w:rPr>
        <w:t xml:space="preserve">                            </w:t>
      </w:r>
    </w:p>
    <w:p>
      <w:pPr>
        <w:spacing w:line="360" w:lineRule="auto"/>
        <w:ind w:firstLine="3158" w:firstLineChars="1316"/>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spacing w:line="360" w:lineRule="auto"/>
        <w:ind w:firstLine="3158" w:firstLineChars="1316"/>
        <w:rPr>
          <w:rFonts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pStyle w:val="4"/>
        <w:keepNext w:val="0"/>
        <w:pageBreakBefore/>
        <w:spacing w:line="360" w:lineRule="auto"/>
        <w:rPr>
          <w:rFonts w:ascii="仿宋" w:hAnsi="仿宋" w:eastAsia="仿宋" w:cs="仿宋"/>
          <w:szCs w:val="22"/>
          <w:lang w:val="zh-CN"/>
        </w:rPr>
      </w:pPr>
      <w:bookmarkStart w:id="503" w:name="_Toc25138"/>
      <w:bookmarkStart w:id="504" w:name="_Toc13032"/>
      <w:bookmarkStart w:id="505" w:name="_Toc9795"/>
      <w:r>
        <w:rPr>
          <w:rFonts w:hint="eastAsia" w:ascii="仿宋" w:hAnsi="仿宋" w:eastAsia="仿宋" w:cs="仿宋"/>
          <w:sz w:val="32"/>
          <w:szCs w:val="21"/>
        </w:rPr>
        <w:t>十二</w:t>
      </w:r>
      <w:r>
        <w:rPr>
          <w:rFonts w:hint="eastAsia" w:ascii="仿宋" w:hAnsi="仿宋" w:eastAsia="仿宋" w:cs="仿宋"/>
          <w:sz w:val="32"/>
          <w:szCs w:val="24"/>
          <w:lang w:val="zh-CN"/>
        </w:rPr>
        <w:t>、投标人认为有必要补充说明的事项</w:t>
      </w:r>
      <w:bookmarkEnd w:id="495"/>
      <w:bookmarkEnd w:id="496"/>
      <w:bookmarkEnd w:id="497"/>
      <w:bookmarkEnd w:id="498"/>
      <w:bookmarkEnd w:id="499"/>
      <w:bookmarkEnd w:id="500"/>
      <w:bookmarkEnd w:id="501"/>
      <w:bookmarkEnd w:id="502"/>
      <w:bookmarkEnd w:id="503"/>
      <w:bookmarkEnd w:id="504"/>
      <w:bookmarkEnd w:id="505"/>
    </w:p>
    <w:p>
      <w:pPr>
        <w:rPr>
          <w:rFonts w:ascii="仿宋" w:hAnsi="仿宋" w:eastAsia="仿宋" w:cs="仿宋"/>
          <w:lang w:val="zh-CN"/>
        </w:rPr>
      </w:pPr>
    </w:p>
    <w:p>
      <w:pPr>
        <w:rPr>
          <w:rFonts w:ascii="仿宋" w:hAnsi="仿宋" w:eastAsia="仿宋" w:cs="仿宋"/>
          <w:lang w:val="zh-CN"/>
        </w:rPr>
      </w:pPr>
    </w:p>
    <w:sectPr>
      <w:footerReference r:id="rId9" w:type="default"/>
      <w:pgSz w:w="11906" w:h="16838"/>
      <w:pgMar w:top="1417" w:right="1701" w:bottom="1417"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宋体, SimSun">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34</w:t>
                          </w:r>
                          <w:r>
                            <w:fldChar w:fldCharType="end"/>
                          </w:r>
                          <w:r>
                            <w:t xml:space="preserve"> 页 共 </w:t>
                          </w:r>
                          <w:r>
                            <w:rPr>
                              <w:rFonts w:hint="eastAsia"/>
                              <w:lang w:val="en-US" w:eastAsia="zh-CN"/>
                            </w:rPr>
                            <w:t>93</w:t>
                          </w:r>
                          <w:r>
                            <w:t xml:space="preserve"> 页</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lCNQ8g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JQjUPIAQAAmgMAAA4AAAAAAAAAAQAgAAAAHgEAAGRycy9lMm9Eb2Mu&#10;eG1sUEsFBgAAAAAGAAYAWQEAAFg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34</w:t>
                    </w:r>
                    <w:r>
                      <w:fldChar w:fldCharType="end"/>
                    </w:r>
                    <w:r>
                      <w:t xml:space="preserve"> 页 共 </w:t>
                    </w:r>
                    <w:r>
                      <w:rPr>
                        <w:rFonts w:hint="eastAsia"/>
                        <w:lang w:val="en-US" w:eastAsia="zh-CN"/>
                      </w:rPr>
                      <w:t>93</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66</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98</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66</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98</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142</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142</w:t>
                    </w:r>
                    <w: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142</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142</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144</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144</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jc w:val="right"/>
      <w:rPr>
        <w:rFonts w:ascii="仿宋" w:hAnsi="仿宋" w:eastAsia="仿宋" w:cs="仿宋"/>
        <w:b/>
        <w:bCs/>
      </w:rPr>
    </w:pPr>
    <w:r>
      <w:rPr>
        <w:rFonts w:hint="eastAsia" w:ascii="仿宋" w:hAnsi="仿宋" w:eastAsia="仿宋" w:cs="仿宋"/>
        <w:b/>
        <w:bCs/>
      </w:rPr>
      <w:t>镇巴县人民医院PACS及肺小结节智能诊断系统采购项目招标文件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sz w:val="15"/>
        <w:szCs w:val="15"/>
      </w:rPr>
    </w:pPr>
    <w:r>
      <w:rPr>
        <w:rFonts w:hint="eastAsia" w:ascii="仿宋" w:hAnsi="仿宋" w:eastAsia="仿宋" w:cs="仿宋"/>
        <w:b/>
        <w:bCs/>
      </w:rPr>
      <w:t>镇巴县人民医院PACS及肺小结节智能诊断系统采购项目招标文件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229C5"/>
    <w:multiLevelType w:val="singleLevel"/>
    <w:tmpl w:val="94E229C5"/>
    <w:lvl w:ilvl="0" w:tentative="0">
      <w:start w:val="1"/>
      <w:numFmt w:val="chineseCounting"/>
      <w:suff w:val="nothing"/>
      <w:lvlText w:val="%1、"/>
      <w:lvlJc w:val="left"/>
      <w:rPr>
        <w:rFonts w:hint="eastAsia"/>
      </w:rPr>
    </w:lvl>
  </w:abstractNum>
  <w:abstractNum w:abstractNumId="1">
    <w:nsid w:val="BA8B1867"/>
    <w:multiLevelType w:val="singleLevel"/>
    <w:tmpl w:val="BA8B1867"/>
    <w:lvl w:ilvl="0" w:tentative="0">
      <w:start w:val="1"/>
      <w:numFmt w:val="decimal"/>
      <w:lvlText w:val="%1."/>
      <w:lvlJc w:val="left"/>
      <w:pPr>
        <w:tabs>
          <w:tab w:val="left" w:pos="312"/>
        </w:tabs>
      </w:pPr>
    </w:lvl>
  </w:abstractNum>
  <w:abstractNum w:abstractNumId="2">
    <w:nsid w:val="43B940C3"/>
    <w:multiLevelType w:val="multilevel"/>
    <w:tmpl w:val="43B940C3"/>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5"/>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46273165"/>
    <w:multiLevelType w:val="singleLevel"/>
    <w:tmpl w:val="46273165"/>
    <w:lvl w:ilvl="0" w:tentative="0">
      <w:start w:val="1"/>
      <w:numFmt w:val="decimal"/>
      <w:suff w:val="nothing"/>
      <w:lvlText w:val="%1、"/>
      <w:lvlJc w:val="left"/>
    </w:lvl>
  </w:abstractNum>
  <w:abstractNum w:abstractNumId="4">
    <w:nsid w:val="46753089"/>
    <w:multiLevelType w:val="multilevel"/>
    <w:tmpl w:val="46753089"/>
    <w:lvl w:ilvl="0" w:tentative="0">
      <w:start w:val="1"/>
      <w:numFmt w:val="decimal"/>
      <w:lvlText w:val="%1."/>
      <w:lvlJc w:val="left"/>
      <w:pPr>
        <w:ind w:left="774" w:hanging="420"/>
      </w:pPr>
      <w:rPr>
        <w:rFonts w:hint="eastAsia"/>
      </w:rPr>
    </w:lvl>
    <w:lvl w:ilvl="1" w:tentative="0">
      <w:start w:val="1"/>
      <w:numFmt w:val="decimal"/>
      <w:lvlText w:val="%2、"/>
      <w:lvlJc w:val="left"/>
      <w:pPr>
        <w:ind w:left="1562" w:hanging="720"/>
      </w:pPr>
      <w:rPr>
        <w:rFonts w:hint="default"/>
      </w:rPr>
    </w:lvl>
    <w:lvl w:ilvl="2" w:tentative="0">
      <w:start w:val="1"/>
      <w:numFmt w:val="lowerRoman"/>
      <w:lvlText w:val="%3."/>
      <w:lvlJc w:val="right"/>
      <w:pPr>
        <w:ind w:left="1614" w:hanging="420"/>
      </w:pPr>
    </w:lvl>
    <w:lvl w:ilvl="3" w:tentative="0">
      <w:start w:val="1"/>
      <w:numFmt w:val="decimal"/>
      <w:lvlText w:val="%4."/>
      <w:lvlJc w:val="left"/>
      <w:pPr>
        <w:ind w:left="2034" w:hanging="420"/>
      </w:pPr>
    </w:lvl>
    <w:lvl w:ilvl="4" w:tentative="0">
      <w:start w:val="1"/>
      <w:numFmt w:val="lowerLetter"/>
      <w:lvlText w:val="%5)"/>
      <w:lvlJc w:val="left"/>
      <w:pPr>
        <w:ind w:left="2454" w:hanging="420"/>
      </w:pPr>
    </w:lvl>
    <w:lvl w:ilvl="5" w:tentative="0">
      <w:start w:val="1"/>
      <w:numFmt w:val="lowerRoman"/>
      <w:lvlText w:val="%6."/>
      <w:lvlJc w:val="right"/>
      <w:pPr>
        <w:ind w:left="2874" w:hanging="420"/>
      </w:pPr>
    </w:lvl>
    <w:lvl w:ilvl="6" w:tentative="0">
      <w:start w:val="1"/>
      <w:numFmt w:val="decimal"/>
      <w:lvlText w:val="%7."/>
      <w:lvlJc w:val="left"/>
      <w:pPr>
        <w:ind w:left="3294" w:hanging="420"/>
      </w:pPr>
    </w:lvl>
    <w:lvl w:ilvl="7" w:tentative="0">
      <w:start w:val="1"/>
      <w:numFmt w:val="lowerLetter"/>
      <w:lvlText w:val="%8)"/>
      <w:lvlJc w:val="left"/>
      <w:pPr>
        <w:ind w:left="3714" w:hanging="420"/>
      </w:pPr>
    </w:lvl>
    <w:lvl w:ilvl="8" w:tentative="0">
      <w:start w:val="1"/>
      <w:numFmt w:val="lowerRoman"/>
      <w:lvlText w:val="%9."/>
      <w:lvlJc w:val="right"/>
      <w:pPr>
        <w:ind w:left="4134" w:hanging="420"/>
      </w:pPr>
    </w:lvl>
  </w:abstractNum>
  <w:abstractNum w:abstractNumId="5">
    <w:nsid w:val="77311624"/>
    <w:multiLevelType w:val="singleLevel"/>
    <w:tmpl w:val="77311624"/>
    <w:lvl w:ilvl="0" w:tentative="0">
      <w:start w:val="4"/>
      <w:numFmt w:val="chineseCounting"/>
      <w:suff w:val="space"/>
      <w:lvlText w:val="第%1部分"/>
      <w:lvlJc w:val="left"/>
      <w:rPr>
        <w:rFonts w:hint="eastAsia"/>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0YTIwNTRjYmJiMzcwOTU5NWY2NGMwNWE2NWZkZGMifQ=="/>
  </w:docVars>
  <w:rsids>
    <w:rsidRoot w:val="618052A3"/>
    <w:rsid w:val="003602C0"/>
    <w:rsid w:val="003F4217"/>
    <w:rsid w:val="0040418E"/>
    <w:rsid w:val="00775A20"/>
    <w:rsid w:val="00A9602A"/>
    <w:rsid w:val="00AE2A39"/>
    <w:rsid w:val="00B8683C"/>
    <w:rsid w:val="01072ECF"/>
    <w:rsid w:val="01BF4CFA"/>
    <w:rsid w:val="02AC2878"/>
    <w:rsid w:val="033663E9"/>
    <w:rsid w:val="054C4B68"/>
    <w:rsid w:val="0560491E"/>
    <w:rsid w:val="05CB26F0"/>
    <w:rsid w:val="06011214"/>
    <w:rsid w:val="063B0A55"/>
    <w:rsid w:val="064E2CB2"/>
    <w:rsid w:val="0653540D"/>
    <w:rsid w:val="06AC1954"/>
    <w:rsid w:val="06DB123D"/>
    <w:rsid w:val="06E762C1"/>
    <w:rsid w:val="07030667"/>
    <w:rsid w:val="072064EB"/>
    <w:rsid w:val="07402317"/>
    <w:rsid w:val="083113C7"/>
    <w:rsid w:val="084163BB"/>
    <w:rsid w:val="08DA1CCC"/>
    <w:rsid w:val="092F2224"/>
    <w:rsid w:val="09461CD6"/>
    <w:rsid w:val="094E1B96"/>
    <w:rsid w:val="095D31BB"/>
    <w:rsid w:val="0A195CCB"/>
    <w:rsid w:val="0ABD0267"/>
    <w:rsid w:val="0AC83A82"/>
    <w:rsid w:val="0B0C46B6"/>
    <w:rsid w:val="0BC342A5"/>
    <w:rsid w:val="0C39505A"/>
    <w:rsid w:val="0E0D3F34"/>
    <w:rsid w:val="0E1550A0"/>
    <w:rsid w:val="0E802CFD"/>
    <w:rsid w:val="0F987A35"/>
    <w:rsid w:val="0FEE4F26"/>
    <w:rsid w:val="103435D2"/>
    <w:rsid w:val="108A40C0"/>
    <w:rsid w:val="10953ECE"/>
    <w:rsid w:val="1178071A"/>
    <w:rsid w:val="11FA38F3"/>
    <w:rsid w:val="12927AEC"/>
    <w:rsid w:val="13FE1DA7"/>
    <w:rsid w:val="142B7B4A"/>
    <w:rsid w:val="143F67C8"/>
    <w:rsid w:val="14537958"/>
    <w:rsid w:val="14751E40"/>
    <w:rsid w:val="152C2ACA"/>
    <w:rsid w:val="153E1FEF"/>
    <w:rsid w:val="15DE2AC3"/>
    <w:rsid w:val="15E74E5F"/>
    <w:rsid w:val="16802AF3"/>
    <w:rsid w:val="16FE6533"/>
    <w:rsid w:val="17030848"/>
    <w:rsid w:val="170E6DF4"/>
    <w:rsid w:val="17276132"/>
    <w:rsid w:val="185D5709"/>
    <w:rsid w:val="186E28F7"/>
    <w:rsid w:val="18B90CA4"/>
    <w:rsid w:val="18EB42EB"/>
    <w:rsid w:val="19297178"/>
    <w:rsid w:val="194C152D"/>
    <w:rsid w:val="19740018"/>
    <w:rsid w:val="1983340D"/>
    <w:rsid w:val="19AC21F2"/>
    <w:rsid w:val="1A0E3F19"/>
    <w:rsid w:val="1A121B15"/>
    <w:rsid w:val="1AF228FD"/>
    <w:rsid w:val="1B377F57"/>
    <w:rsid w:val="1B430CEF"/>
    <w:rsid w:val="1B8E5725"/>
    <w:rsid w:val="1BA477C3"/>
    <w:rsid w:val="1C044E7D"/>
    <w:rsid w:val="1C1439B9"/>
    <w:rsid w:val="1C715771"/>
    <w:rsid w:val="1C760B0D"/>
    <w:rsid w:val="1D5B1219"/>
    <w:rsid w:val="1D631BA7"/>
    <w:rsid w:val="1D9B202C"/>
    <w:rsid w:val="1DD871C9"/>
    <w:rsid w:val="1E017374"/>
    <w:rsid w:val="1E4946EC"/>
    <w:rsid w:val="1EA64545"/>
    <w:rsid w:val="1FB42CDC"/>
    <w:rsid w:val="2030768E"/>
    <w:rsid w:val="20561977"/>
    <w:rsid w:val="2070384A"/>
    <w:rsid w:val="20804AA9"/>
    <w:rsid w:val="209C09BE"/>
    <w:rsid w:val="20EF433C"/>
    <w:rsid w:val="212E2BED"/>
    <w:rsid w:val="21B30412"/>
    <w:rsid w:val="22364F87"/>
    <w:rsid w:val="2267000F"/>
    <w:rsid w:val="22710E72"/>
    <w:rsid w:val="227B168C"/>
    <w:rsid w:val="23725C3B"/>
    <w:rsid w:val="23BD535D"/>
    <w:rsid w:val="243D57B7"/>
    <w:rsid w:val="24A51F64"/>
    <w:rsid w:val="24B347CF"/>
    <w:rsid w:val="25666B23"/>
    <w:rsid w:val="2578616C"/>
    <w:rsid w:val="25BE0250"/>
    <w:rsid w:val="25E95AE4"/>
    <w:rsid w:val="26640BBA"/>
    <w:rsid w:val="26B20955"/>
    <w:rsid w:val="276E06FD"/>
    <w:rsid w:val="27DA227F"/>
    <w:rsid w:val="28EF40E2"/>
    <w:rsid w:val="29103985"/>
    <w:rsid w:val="29313E7E"/>
    <w:rsid w:val="297A7FEE"/>
    <w:rsid w:val="29C24F53"/>
    <w:rsid w:val="2A220659"/>
    <w:rsid w:val="2BD221E1"/>
    <w:rsid w:val="2C140E32"/>
    <w:rsid w:val="2DB00B23"/>
    <w:rsid w:val="2E027D31"/>
    <w:rsid w:val="2E3E76E5"/>
    <w:rsid w:val="2EB81439"/>
    <w:rsid w:val="2EEC419D"/>
    <w:rsid w:val="2F0903C1"/>
    <w:rsid w:val="2F1A6C71"/>
    <w:rsid w:val="2F23488F"/>
    <w:rsid w:val="2F7964B4"/>
    <w:rsid w:val="2F9F0138"/>
    <w:rsid w:val="2FB93357"/>
    <w:rsid w:val="2FDB651F"/>
    <w:rsid w:val="30166359"/>
    <w:rsid w:val="30431C6F"/>
    <w:rsid w:val="30524A68"/>
    <w:rsid w:val="30AD27CA"/>
    <w:rsid w:val="31067E98"/>
    <w:rsid w:val="31681718"/>
    <w:rsid w:val="31B06E61"/>
    <w:rsid w:val="31D04A2D"/>
    <w:rsid w:val="32965068"/>
    <w:rsid w:val="32A20235"/>
    <w:rsid w:val="32AC6125"/>
    <w:rsid w:val="32C93046"/>
    <w:rsid w:val="33446DD8"/>
    <w:rsid w:val="33741B4D"/>
    <w:rsid w:val="33AB4423"/>
    <w:rsid w:val="33AB6754"/>
    <w:rsid w:val="34157AB2"/>
    <w:rsid w:val="345F6CD7"/>
    <w:rsid w:val="34EC175F"/>
    <w:rsid w:val="350136B0"/>
    <w:rsid w:val="35014303"/>
    <w:rsid w:val="35AD6FFF"/>
    <w:rsid w:val="35BD41C8"/>
    <w:rsid w:val="35F17FFE"/>
    <w:rsid w:val="35FA112A"/>
    <w:rsid w:val="360953A3"/>
    <w:rsid w:val="36166B4A"/>
    <w:rsid w:val="365F178C"/>
    <w:rsid w:val="367403BC"/>
    <w:rsid w:val="371D7D99"/>
    <w:rsid w:val="37FC7836"/>
    <w:rsid w:val="3806579E"/>
    <w:rsid w:val="39377B01"/>
    <w:rsid w:val="395F3A3A"/>
    <w:rsid w:val="39A139DA"/>
    <w:rsid w:val="39F8254C"/>
    <w:rsid w:val="3B4073A0"/>
    <w:rsid w:val="3CF25686"/>
    <w:rsid w:val="3D3D5BAB"/>
    <w:rsid w:val="3D7F3B9F"/>
    <w:rsid w:val="3E601A5E"/>
    <w:rsid w:val="3E7D13AA"/>
    <w:rsid w:val="3EA65882"/>
    <w:rsid w:val="3F5E2A2C"/>
    <w:rsid w:val="40B569EF"/>
    <w:rsid w:val="40D565A8"/>
    <w:rsid w:val="40E63D94"/>
    <w:rsid w:val="412905E8"/>
    <w:rsid w:val="41EB2146"/>
    <w:rsid w:val="420E7E94"/>
    <w:rsid w:val="4286079A"/>
    <w:rsid w:val="43582ED4"/>
    <w:rsid w:val="436B5CCE"/>
    <w:rsid w:val="436E13CB"/>
    <w:rsid w:val="43D74E11"/>
    <w:rsid w:val="44047913"/>
    <w:rsid w:val="44B96C55"/>
    <w:rsid w:val="456D021B"/>
    <w:rsid w:val="45ED646D"/>
    <w:rsid w:val="46043E2E"/>
    <w:rsid w:val="46A95600"/>
    <w:rsid w:val="47E65B1D"/>
    <w:rsid w:val="484A1F91"/>
    <w:rsid w:val="48666E6E"/>
    <w:rsid w:val="486F645E"/>
    <w:rsid w:val="489D68C6"/>
    <w:rsid w:val="48AC1C62"/>
    <w:rsid w:val="48C76ACB"/>
    <w:rsid w:val="48D4271A"/>
    <w:rsid w:val="49440499"/>
    <w:rsid w:val="4944510A"/>
    <w:rsid w:val="49536D89"/>
    <w:rsid w:val="49AA0038"/>
    <w:rsid w:val="49C76E01"/>
    <w:rsid w:val="4A043B24"/>
    <w:rsid w:val="4A3519DC"/>
    <w:rsid w:val="4A91038C"/>
    <w:rsid w:val="4B665589"/>
    <w:rsid w:val="4D743BC1"/>
    <w:rsid w:val="4E064BD2"/>
    <w:rsid w:val="4E91125B"/>
    <w:rsid w:val="4EC60B02"/>
    <w:rsid w:val="4ED714F3"/>
    <w:rsid w:val="4FB85661"/>
    <w:rsid w:val="503F4646"/>
    <w:rsid w:val="507F7AAB"/>
    <w:rsid w:val="50F002FC"/>
    <w:rsid w:val="510E5765"/>
    <w:rsid w:val="51860B4A"/>
    <w:rsid w:val="51BD627C"/>
    <w:rsid w:val="52016BEB"/>
    <w:rsid w:val="52522CA0"/>
    <w:rsid w:val="52656E08"/>
    <w:rsid w:val="526A7F2E"/>
    <w:rsid w:val="52B020C9"/>
    <w:rsid w:val="52C24E98"/>
    <w:rsid w:val="52CD68BD"/>
    <w:rsid w:val="5321240E"/>
    <w:rsid w:val="5459227D"/>
    <w:rsid w:val="55B03527"/>
    <w:rsid w:val="566B2BB0"/>
    <w:rsid w:val="569641F3"/>
    <w:rsid w:val="5776135F"/>
    <w:rsid w:val="57E92A5F"/>
    <w:rsid w:val="5801517A"/>
    <w:rsid w:val="581035A9"/>
    <w:rsid w:val="58676F42"/>
    <w:rsid w:val="58710332"/>
    <w:rsid w:val="58A75040"/>
    <w:rsid w:val="59520CDF"/>
    <w:rsid w:val="599E6D32"/>
    <w:rsid w:val="59CD17F4"/>
    <w:rsid w:val="5A0317C0"/>
    <w:rsid w:val="5A89045F"/>
    <w:rsid w:val="5AB36363"/>
    <w:rsid w:val="5ABD64B6"/>
    <w:rsid w:val="5B422FE5"/>
    <w:rsid w:val="5B710B94"/>
    <w:rsid w:val="5B8B6B3E"/>
    <w:rsid w:val="5BDE40AB"/>
    <w:rsid w:val="5C1C768F"/>
    <w:rsid w:val="5C784EFF"/>
    <w:rsid w:val="5CA12F52"/>
    <w:rsid w:val="5CA20A34"/>
    <w:rsid w:val="5CCD06DA"/>
    <w:rsid w:val="5CD56263"/>
    <w:rsid w:val="5CE7781B"/>
    <w:rsid w:val="5D855C78"/>
    <w:rsid w:val="5DDE0FF4"/>
    <w:rsid w:val="5E005E6E"/>
    <w:rsid w:val="5E8D5FD6"/>
    <w:rsid w:val="5EE7689A"/>
    <w:rsid w:val="5F68121B"/>
    <w:rsid w:val="5F683E68"/>
    <w:rsid w:val="600B4430"/>
    <w:rsid w:val="60AB52FB"/>
    <w:rsid w:val="60F867A5"/>
    <w:rsid w:val="612F0AAC"/>
    <w:rsid w:val="618052A3"/>
    <w:rsid w:val="61A05A41"/>
    <w:rsid w:val="62005091"/>
    <w:rsid w:val="62D973EC"/>
    <w:rsid w:val="636542F2"/>
    <w:rsid w:val="636769DF"/>
    <w:rsid w:val="638A29AA"/>
    <w:rsid w:val="644B5969"/>
    <w:rsid w:val="654B1A84"/>
    <w:rsid w:val="6639491E"/>
    <w:rsid w:val="663A635E"/>
    <w:rsid w:val="663B7C52"/>
    <w:rsid w:val="67314798"/>
    <w:rsid w:val="67A95BE8"/>
    <w:rsid w:val="68807FB0"/>
    <w:rsid w:val="689A700E"/>
    <w:rsid w:val="68B353BC"/>
    <w:rsid w:val="690E3C70"/>
    <w:rsid w:val="69364C4E"/>
    <w:rsid w:val="6A3C0184"/>
    <w:rsid w:val="6A820CB5"/>
    <w:rsid w:val="6BA83A30"/>
    <w:rsid w:val="6C441E01"/>
    <w:rsid w:val="6CA11C93"/>
    <w:rsid w:val="6D7C1D5A"/>
    <w:rsid w:val="6E3F249C"/>
    <w:rsid w:val="6E515ED7"/>
    <w:rsid w:val="6E923519"/>
    <w:rsid w:val="6EA02693"/>
    <w:rsid w:val="6F961D52"/>
    <w:rsid w:val="6FA72ED5"/>
    <w:rsid w:val="70332F55"/>
    <w:rsid w:val="705661F5"/>
    <w:rsid w:val="715227D8"/>
    <w:rsid w:val="71D5145B"/>
    <w:rsid w:val="731D6723"/>
    <w:rsid w:val="74013F78"/>
    <w:rsid w:val="74336640"/>
    <w:rsid w:val="76F70D77"/>
    <w:rsid w:val="77253808"/>
    <w:rsid w:val="775A752D"/>
    <w:rsid w:val="77DF601B"/>
    <w:rsid w:val="77E02A90"/>
    <w:rsid w:val="784C1F84"/>
    <w:rsid w:val="79746AE6"/>
    <w:rsid w:val="79752E15"/>
    <w:rsid w:val="79F235F5"/>
    <w:rsid w:val="7A172027"/>
    <w:rsid w:val="7A1E4046"/>
    <w:rsid w:val="7A210D18"/>
    <w:rsid w:val="7AF21885"/>
    <w:rsid w:val="7C043FDC"/>
    <w:rsid w:val="7C0959BF"/>
    <w:rsid w:val="7D4E4DE2"/>
    <w:rsid w:val="7D7D49E3"/>
    <w:rsid w:val="7DA470FA"/>
    <w:rsid w:val="7DC64810"/>
    <w:rsid w:val="7DCE01D9"/>
    <w:rsid w:val="7E080F10"/>
    <w:rsid w:val="7E164EE4"/>
    <w:rsid w:val="7E6F2759"/>
    <w:rsid w:val="7EDA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0"/>
    <w:pPr>
      <w:keepNext/>
      <w:jc w:val="center"/>
      <w:outlineLvl w:val="0"/>
    </w:pPr>
    <w:rPr>
      <w:rFonts w:ascii="黑体" w:hAnsi="黑体"/>
      <w:b/>
      <w:kern w:val="0"/>
      <w:sz w:val="44"/>
    </w:rPr>
  </w:style>
  <w:style w:type="paragraph" w:styleId="4">
    <w:name w:val="heading 2"/>
    <w:basedOn w:val="1"/>
    <w:next w:val="1"/>
    <w:link w:val="37"/>
    <w:qFormat/>
    <w:uiPriority w:val="0"/>
    <w:pPr>
      <w:keepNext/>
      <w:spacing w:line="720" w:lineRule="exact"/>
      <w:jc w:val="center"/>
      <w:outlineLvl w:val="1"/>
    </w:pPr>
    <w:rPr>
      <w:rFonts w:ascii="黑体" w:hAnsi="黑体"/>
      <w:b/>
      <w:kern w:val="0"/>
      <w:sz w:val="44"/>
    </w:rPr>
  </w:style>
  <w:style w:type="paragraph" w:styleId="5">
    <w:name w:val="heading 3"/>
    <w:next w:val="1"/>
    <w:qFormat/>
    <w:uiPriority w:val="9"/>
    <w:pPr>
      <w:keepNext/>
      <w:keepLines/>
      <w:numPr>
        <w:ilvl w:val="2"/>
        <w:numId w:val="1"/>
      </w:numPr>
      <w:spacing w:before="120" w:after="120" w:line="360" w:lineRule="auto"/>
      <w:outlineLvl w:val="2"/>
    </w:pPr>
    <w:rPr>
      <w:rFonts w:asciiTheme="majorEastAsia" w:hAnsiTheme="minorHAnsi" w:eastAsiaTheme="majorEastAsia" w:cstheme="minorBidi"/>
      <w:b/>
      <w:bCs/>
      <w:kern w:val="2"/>
      <w:sz w:val="32"/>
      <w:szCs w:val="32"/>
      <w:lang w:val="en-US" w:eastAsia="zh-CN" w:bidi="ar-SA"/>
    </w:rPr>
  </w:style>
  <w:style w:type="paragraph" w:styleId="6">
    <w:name w:val="heading 4"/>
    <w:basedOn w:val="1"/>
    <w:next w:val="1"/>
    <w:qFormat/>
    <w:uiPriority w:val="0"/>
    <w:pPr>
      <w:keepNext/>
      <w:spacing w:line="600" w:lineRule="exact"/>
      <w:jc w:val="center"/>
      <w:outlineLvl w:val="3"/>
    </w:pPr>
    <w:rPr>
      <w:rFonts w:ascii="楷体_GB2312" w:eastAsia="楷体_GB2312"/>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ind w:firstLine="420" w:firstLineChars="200"/>
    </w:pPr>
  </w:style>
  <w:style w:type="paragraph" w:styleId="8">
    <w:name w:val="toa heading"/>
    <w:basedOn w:val="1"/>
    <w:next w:val="1"/>
    <w:unhideWhenUsed/>
    <w:qFormat/>
    <w:uiPriority w:val="99"/>
    <w:pPr>
      <w:spacing w:before="120"/>
    </w:pPr>
    <w:rPr>
      <w:rFonts w:ascii="Arial" w:hAnsi="Arial"/>
      <w:sz w:val="24"/>
    </w:rPr>
  </w:style>
  <w:style w:type="paragraph" w:styleId="9">
    <w:name w:val="annotation text"/>
    <w:basedOn w:val="1"/>
    <w:link w:val="67"/>
    <w:qFormat/>
    <w:uiPriority w:val="0"/>
    <w:pPr>
      <w:jc w:val="left"/>
    </w:pPr>
  </w:style>
  <w:style w:type="paragraph" w:styleId="10">
    <w:name w:val="Body Text Indent"/>
    <w:basedOn w:val="1"/>
    <w:next w:val="1"/>
    <w:semiHidden/>
    <w:unhideWhenUsed/>
    <w:qFormat/>
    <w:uiPriority w:val="99"/>
    <w:pPr>
      <w:ind w:left="420" w:leftChars="200"/>
    </w:pPr>
  </w:style>
  <w:style w:type="paragraph" w:styleId="11">
    <w:name w:val="toc 3"/>
    <w:basedOn w:val="1"/>
    <w:next w:val="1"/>
    <w:semiHidden/>
    <w:qFormat/>
    <w:uiPriority w:val="0"/>
    <w:pPr>
      <w:ind w:left="840" w:leftChars="400"/>
    </w:pPr>
  </w:style>
  <w:style w:type="paragraph" w:styleId="12">
    <w:name w:val="Plain Text"/>
    <w:basedOn w:val="1"/>
    <w:qFormat/>
    <w:uiPriority w:val="0"/>
    <w:rPr>
      <w:rFonts w:ascii="宋体" w:hAnsi="Courier New" w:cs="Courier New"/>
      <w:szCs w:val="21"/>
    </w:rPr>
  </w:style>
  <w:style w:type="paragraph" w:styleId="13">
    <w:name w:val="Body Text Indent 2"/>
    <w:basedOn w:val="1"/>
    <w:qFormat/>
    <w:uiPriority w:val="0"/>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60" w:lineRule="auto"/>
      <w:ind w:right="25" w:rightChars="12" w:firstLine="360" w:firstLineChars="150"/>
      <w:jc w:val="left"/>
    </w:pPr>
    <w:rPr>
      <w:rFonts w:ascii="宋体"/>
      <w:color w:val="000000"/>
      <w:kern w:val="0"/>
      <w:sz w:val="24"/>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9060"/>
      </w:tabs>
      <w:spacing w:line="360" w:lineRule="auto"/>
    </w:pPr>
  </w:style>
  <w:style w:type="paragraph" w:styleId="17">
    <w:name w:val="Body Text Indent 3"/>
    <w:basedOn w:val="1"/>
    <w:unhideWhenUsed/>
    <w:qFormat/>
    <w:uiPriority w:val="0"/>
    <w:pPr>
      <w:spacing w:line="380" w:lineRule="exact"/>
      <w:ind w:firstLine="480"/>
    </w:pPr>
    <w:rPr>
      <w:rFonts w:ascii="宋体" w:hAnsi="宋体" w:cs="宋体"/>
      <w:kern w:val="0"/>
      <w:sz w:val="20"/>
    </w:rPr>
  </w:style>
  <w:style w:type="paragraph" w:styleId="18">
    <w:name w:val="toc 2"/>
    <w:basedOn w:val="1"/>
    <w:next w:val="1"/>
    <w:semiHidden/>
    <w:qFormat/>
    <w:uiPriority w:val="0"/>
    <w:pPr>
      <w:tabs>
        <w:tab w:val="right" w:leader="dot" w:pos="9060"/>
      </w:tabs>
      <w:spacing w:line="360" w:lineRule="auto"/>
      <w:ind w:left="420" w:leftChars="200"/>
    </w:p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0">
    <w:name w:val="annotation subject"/>
    <w:basedOn w:val="9"/>
    <w:next w:val="9"/>
    <w:link w:val="68"/>
    <w:qFormat/>
    <w:uiPriority w:val="0"/>
    <w:rPr>
      <w:b/>
      <w:bCs/>
    </w:rPr>
  </w:style>
  <w:style w:type="paragraph" w:styleId="21">
    <w:name w:val="Body Text First Indent"/>
    <w:basedOn w:val="2"/>
    <w:next w:val="1"/>
    <w:unhideWhenUsed/>
    <w:qFormat/>
    <w:uiPriority w:val="99"/>
    <w:pPr>
      <w:ind w:firstLine="420" w:firstLineChars="100"/>
    </w:pPr>
    <w:rPr>
      <w:szCs w:val="24"/>
    </w:rPr>
  </w:style>
  <w:style w:type="paragraph" w:styleId="22">
    <w:name w:val="Body Text First Indent 2"/>
    <w:basedOn w:val="10"/>
    <w:next w:val="1"/>
    <w:semiHidden/>
    <w:unhideWhenUsed/>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FollowedHyperlink"/>
    <w:basedOn w:val="25"/>
    <w:qFormat/>
    <w:uiPriority w:val="0"/>
    <w:rPr>
      <w:color w:val="333333"/>
      <w:u w:val="none"/>
    </w:rPr>
  </w:style>
  <w:style w:type="character" w:styleId="28">
    <w:name w:val="Emphasis"/>
    <w:basedOn w:val="25"/>
    <w:qFormat/>
    <w:uiPriority w:val="0"/>
  </w:style>
  <w:style w:type="character" w:styleId="29">
    <w:name w:val="HTML Definition"/>
    <w:basedOn w:val="25"/>
    <w:qFormat/>
    <w:uiPriority w:val="0"/>
    <w:rPr>
      <w:i/>
      <w:iCs/>
    </w:rPr>
  </w:style>
  <w:style w:type="character" w:styleId="30">
    <w:name w:val="Hyperlink"/>
    <w:basedOn w:val="25"/>
    <w:qFormat/>
    <w:uiPriority w:val="0"/>
    <w:rPr>
      <w:color w:val="333333"/>
      <w:u w:val="none"/>
    </w:rPr>
  </w:style>
  <w:style w:type="character" w:styleId="31">
    <w:name w:val="HTML Code"/>
    <w:basedOn w:val="25"/>
    <w:qFormat/>
    <w:uiPriority w:val="0"/>
    <w:rPr>
      <w:rFonts w:hint="default" w:ascii="Consolas" w:hAnsi="Consolas" w:eastAsia="Consolas" w:cs="Consolas"/>
      <w:color w:val="C7254E"/>
      <w:sz w:val="21"/>
      <w:szCs w:val="21"/>
      <w:shd w:val="clear" w:color="auto" w:fill="F9F2F4"/>
    </w:rPr>
  </w:style>
  <w:style w:type="character" w:styleId="32">
    <w:name w:val="annotation reference"/>
    <w:basedOn w:val="25"/>
    <w:qFormat/>
    <w:uiPriority w:val="0"/>
    <w:rPr>
      <w:sz w:val="21"/>
      <w:szCs w:val="21"/>
    </w:rPr>
  </w:style>
  <w:style w:type="character" w:styleId="33">
    <w:name w:val="HTML Keyboard"/>
    <w:basedOn w:val="25"/>
    <w:qFormat/>
    <w:uiPriority w:val="0"/>
    <w:rPr>
      <w:rFonts w:hint="default" w:ascii="Consolas" w:hAnsi="Consolas" w:eastAsia="Consolas" w:cs="Consolas"/>
      <w:color w:val="FFFFFF"/>
      <w:sz w:val="21"/>
      <w:szCs w:val="21"/>
      <w:shd w:val="clear" w:color="auto" w:fill="333333"/>
    </w:rPr>
  </w:style>
  <w:style w:type="character" w:styleId="34">
    <w:name w:val="HTML Sample"/>
    <w:basedOn w:val="25"/>
    <w:qFormat/>
    <w:uiPriority w:val="0"/>
    <w:rPr>
      <w:rFonts w:ascii="Consolas" w:hAnsi="Consolas" w:eastAsia="Consolas" w:cs="Consolas"/>
      <w:sz w:val="21"/>
      <w:szCs w:val="21"/>
    </w:rPr>
  </w:style>
  <w:style w:type="paragraph" w:customStyle="1" w:styleId="35">
    <w:name w:val="font5"/>
    <w:basedOn w:val="1"/>
    <w:qFormat/>
    <w:uiPriority w:val="0"/>
    <w:pPr>
      <w:widowControl/>
      <w:spacing w:before="100" w:beforeAutospacing="1" w:after="100" w:afterAutospacing="1"/>
      <w:jc w:val="left"/>
    </w:pPr>
    <w:rPr>
      <w:rFonts w:hint="eastAsia" w:ascii="宋体" w:hAnsi="宋体"/>
      <w:kern w:val="0"/>
      <w:sz w:val="24"/>
      <w:szCs w:val="24"/>
    </w:rPr>
  </w:style>
  <w:style w:type="character" w:customStyle="1" w:styleId="36">
    <w:name w:val="标题 1 字符"/>
    <w:link w:val="3"/>
    <w:qFormat/>
    <w:uiPriority w:val="0"/>
    <w:rPr>
      <w:rFonts w:ascii="黑体" w:hAnsi="黑体"/>
      <w:b/>
      <w:kern w:val="0"/>
      <w:sz w:val="44"/>
    </w:rPr>
  </w:style>
  <w:style w:type="character" w:customStyle="1" w:styleId="37">
    <w:name w:val="标题 2 字符"/>
    <w:link w:val="4"/>
    <w:qFormat/>
    <w:uiPriority w:val="0"/>
    <w:rPr>
      <w:rFonts w:ascii="黑体" w:hAnsi="黑体"/>
      <w:b/>
      <w:kern w:val="0"/>
      <w:sz w:val="44"/>
    </w:rPr>
  </w:style>
  <w:style w:type="paragraph" w:customStyle="1" w:styleId="38">
    <w:name w:val="列出段落1"/>
    <w:basedOn w:val="1"/>
    <w:qFormat/>
    <w:uiPriority w:val="34"/>
    <w:pPr>
      <w:ind w:firstLine="420" w:firstLineChars="200"/>
    </w:pPr>
    <w:rPr>
      <w:rFonts w:ascii="Calibri" w:hAnsi="Calibri" w:cs="黑体"/>
      <w:szCs w:val="22"/>
    </w:rPr>
  </w:style>
  <w:style w:type="character" w:customStyle="1" w:styleId="39">
    <w:name w:val="font61"/>
    <w:basedOn w:val="25"/>
    <w:qFormat/>
    <w:uiPriority w:val="0"/>
    <w:rPr>
      <w:rFonts w:hint="eastAsia" w:ascii="宋体" w:hAnsi="宋体" w:eastAsia="宋体" w:cs="宋体"/>
      <w:b/>
      <w:color w:val="000000"/>
      <w:sz w:val="20"/>
      <w:szCs w:val="20"/>
      <w:u w:val="none"/>
    </w:rPr>
  </w:style>
  <w:style w:type="character" w:customStyle="1" w:styleId="40">
    <w:name w:val="font11"/>
    <w:basedOn w:val="25"/>
    <w:qFormat/>
    <w:uiPriority w:val="0"/>
    <w:rPr>
      <w:rFonts w:hint="eastAsia" w:ascii="宋体" w:hAnsi="宋体" w:eastAsia="宋体" w:cs="宋体"/>
      <w:color w:val="000000"/>
      <w:sz w:val="21"/>
      <w:szCs w:val="21"/>
      <w:u w:val="none"/>
    </w:rPr>
  </w:style>
  <w:style w:type="character" w:customStyle="1" w:styleId="41">
    <w:name w:val="font01"/>
    <w:basedOn w:val="25"/>
    <w:qFormat/>
    <w:uiPriority w:val="0"/>
    <w:rPr>
      <w:rFonts w:hint="eastAsia" w:ascii="宋体" w:hAnsi="宋体" w:eastAsia="宋体" w:cs="宋体"/>
      <w:color w:val="000000"/>
      <w:sz w:val="18"/>
      <w:szCs w:val="18"/>
      <w:u w:val="none"/>
    </w:rPr>
  </w:style>
  <w:style w:type="character" w:customStyle="1" w:styleId="42">
    <w:name w:val="font21"/>
    <w:basedOn w:val="25"/>
    <w:qFormat/>
    <w:uiPriority w:val="0"/>
    <w:rPr>
      <w:rFonts w:ascii="Calibri" w:hAnsi="Calibri" w:cs="Calibri"/>
      <w:color w:val="000000"/>
      <w:sz w:val="21"/>
      <w:szCs w:val="21"/>
      <w:u w:val="none"/>
    </w:rPr>
  </w:style>
  <w:style w:type="character" w:customStyle="1" w:styleId="43">
    <w:name w:val="font51"/>
    <w:basedOn w:val="25"/>
    <w:qFormat/>
    <w:uiPriority w:val="0"/>
    <w:rPr>
      <w:rFonts w:hint="default" w:ascii="Times New Roman" w:hAnsi="Times New Roman" w:cs="Times New Roman"/>
      <w:color w:val="000000"/>
      <w:sz w:val="20"/>
      <w:szCs w:val="20"/>
      <w:u w:val="none"/>
    </w:rPr>
  </w:style>
  <w:style w:type="character" w:customStyle="1" w:styleId="44">
    <w:name w:val="font41"/>
    <w:basedOn w:val="25"/>
    <w:qFormat/>
    <w:uiPriority w:val="0"/>
    <w:rPr>
      <w:rFonts w:hint="default" w:ascii="Times New Roman" w:hAnsi="Times New Roman" w:cs="Times New Roman"/>
      <w:color w:val="000000"/>
      <w:sz w:val="20"/>
      <w:szCs w:val="20"/>
      <w:u w:val="none"/>
    </w:rPr>
  </w:style>
  <w:style w:type="character" w:customStyle="1" w:styleId="45">
    <w:name w:val="font71"/>
    <w:basedOn w:val="25"/>
    <w:qFormat/>
    <w:uiPriority w:val="0"/>
    <w:rPr>
      <w:rFonts w:hint="eastAsia" w:ascii="宋体" w:hAnsi="宋体" w:eastAsia="宋体" w:cs="宋体"/>
      <w:color w:val="FF0000"/>
      <w:sz w:val="18"/>
      <w:szCs w:val="18"/>
      <w:u w:val="none"/>
    </w:rPr>
  </w:style>
  <w:style w:type="character" w:customStyle="1" w:styleId="46">
    <w:name w:val="font31"/>
    <w:basedOn w:val="25"/>
    <w:qFormat/>
    <w:uiPriority w:val="0"/>
    <w:rPr>
      <w:rFonts w:hint="eastAsia" w:ascii="宋体" w:hAnsi="宋体" w:eastAsia="宋体" w:cs="宋体"/>
      <w:color w:val="000000"/>
      <w:sz w:val="18"/>
      <w:szCs w:val="18"/>
      <w:u w:val="none"/>
    </w:rPr>
  </w:style>
  <w:style w:type="character" w:customStyle="1" w:styleId="47">
    <w:name w:val="font101"/>
    <w:basedOn w:val="25"/>
    <w:qFormat/>
    <w:uiPriority w:val="0"/>
    <w:rPr>
      <w:rFonts w:hint="eastAsia" w:ascii="宋体" w:hAnsi="宋体" w:eastAsia="宋体" w:cs="宋体"/>
      <w:color w:val="FF0000"/>
      <w:sz w:val="18"/>
      <w:szCs w:val="18"/>
      <w:u w:val="none"/>
    </w:rPr>
  </w:style>
  <w:style w:type="character" w:customStyle="1" w:styleId="48">
    <w:name w:val="button"/>
    <w:basedOn w:val="25"/>
    <w:qFormat/>
    <w:uiPriority w:val="0"/>
  </w:style>
  <w:style w:type="character" w:customStyle="1" w:styleId="49">
    <w:name w:val="hour_pm"/>
    <w:basedOn w:val="25"/>
    <w:qFormat/>
    <w:uiPriority w:val="0"/>
  </w:style>
  <w:style w:type="character" w:customStyle="1" w:styleId="50">
    <w:name w:val="hover3"/>
    <w:basedOn w:val="25"/>
    <w:qFormat/>
    <w:uiPriority w:val="0"/>
    <w:rPr>
      <w:shd w:val="clear" w:color="auto" w:fill="EEEEEE"/>
    </w:rPr>
  </w:style>
  <w:style w:type="character" w:customStyle="1" w:styleId="51">
    <w:name w:val="tmpztreemove_arrow"/>
    <w:basedOn w:val="25"/>
    <w:qFormat/>
    <w:uiPriority w:val="0"/>
    <w:rPr>
      <w:shd w:val="clear" w:color="auto" w:fill="FFFFFF"/>
    </w:rPr>
  </w:style>
  <w:style w:type="character" w:customStyle="1" w:styleId="52">
    <w:name w:val="hour_am"/>
    <w:basedOn w:val="25"/>
    <w:qFormat/>
    <w:uiPriority w:val="0"/>
  </w:style>
  <w:style w:type="character" w:customStyle="1" w:styleId="53">
    <w:name w:val="old"/>
    <w:basedOn w:val="25"/>
    <w:qFormat/>
    <w:uiPriority w:val="0"/>
    <w:rPr>
      <w:color w:val="999999"/>
    </w:rPr>
  </w:style>
  <w:style w:type="character" w:customStyle="1" w:styleId="54">
    <w:name w:val="glyphicon4"/>
    <w:basedOn w:val="25"/>
    <w:qFormat/>
    <w:uiPriority w:val="0"/>
  </w:style>
  <w:style w:type="character" w:customStyle="1" w:styleId="55">
    <w:name w:val="indent"/>
    <w:basedOn w:val="25"/>
    <w:qFormat/>
    <w:uiPriority w:val="0"/>
  </w:style>
  <w:style w:type="character" w:customStyle="1" w:styleId="56">
    <w:name w:val="NormalCharacter"/>
    <w:semiHidden/>
    <w:qFormat/>
    <w:uiPriority w:val="0"/>
  </w:style>
  <w:style w:type="paragraph" w:customStyle="1" w:styleId="57">
    <w:name w:val="Heading4"/>
    <w:basedOn w:val="1"/>
    <w:next w:val="1"/>
    <w:qFormat/>
    <w:uiPriority w:val="0"/>
    <w:pPr>
      <w:keepNext/>
      <w:keepLines/>
      <w:spacing w:before="280" w:after="290" w:line="376" w:lineRule="auto"/>
      <w:textAlignment w:val="baseline"/>
    </w:pPr>
    <w:rPr>
      <w:rFonts w:ascii="Arial" w:hAnsi="Arial"/>
      <w:b/>
      <w:bCs/>
      <w:szCs w:val="28"/>
    </w:rPr>
  </w:style>
  <w:style w:type="paragraph" w:customStyle="1" w:styleId="58">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styleId="59">
    <w:name w:val="List Paragraph"/>
    <w:basedOn w:val="1"/>
    <w:qFormat/>
    <w:uiPriority w:val="0"/>
    <w:pPr>
      <w:ind w:firstLine="420" w:firstLineChars="200"/>
    </w:pPr>
  </w:style>
  <w:style w:type="paragraph" w:styleId="60">
    <w:name w:val="No Spacing"/>
    <w:qFormat/>
    <w:uiPriority w:val="1"/>
    <w:rPr>
      <w:rFonts w:asciiTheme="minorHAnsi" w:hAnsiTheme="minorHAnsi" w:eastAsiaTheme="minorEastAsia" w:cstheme="minorBidi"/>
      <w:sz w:val="24"/>
      <w:szCs w:val="22"/>
      <w:lang w:val="en-US" w:eastAsia="zh-CN" w:bidi="ar-SA"/>
    </w:rPr>
  </w:style>
  <w:style w:type="paragraph" w:customStyle="1" w:styleId="61">
    <w:name w:val="Char1 Char Char Char"/>
    <w:basedOn w:val="1"/>
    <w:qFormat/>
    <w:uiPriority w:val="0"/>
    <w:rPr>
      <w:rFonts w:ascii="Tahoma" w:hAnsi="Tahoma"/>
      <w:sz w:val="24"/>
    </w:rPr>
  </w:style>
  <w:style w:type="paragraph" w:customStyle="1" w:styleId="62">
    <w:name w:val="1 Char Char Char Char"/>
    <w:basedOn w:val="1"/>
    <w:qFormat/>
    <w:uiPriority w:val="0"/>
    <w:rPr>
      <w:rFonts w:ascii="Tahoma" w:hAnsi="Tahoma"/>
      <w:sz w:val="24"/>
    </w:rPr>
  </w:style>
  <w:style w:type="paragraph" w:customStyle="1" w:styleId="63">
    <w:name w:val="_Style 10"/>
    <w:basedOn w:val="1"/>
    <w:next w:val="59"/>
    <w:qFormat/>
    <w:uiPriority w:val="34"/>
    <w:pPr>
      <w:ind w:firstLine="420" w:firstLineChars="200"/>
    </w:pPr>
  </w:style>
  <w:style w:type="paragraph" w:customStyle="1" w:styleId="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65">
    <w:name w:val="Standard"/>
    <w:qFormat/>
    <w:uiPriority w:val="0"/>
    <w:pPr>
      <w:widowControl w:val="0"/>
      <w:suppressAutoHyphens/>
      <w:autoSpaceDN w:val="0"/>
      <w:jc w:val="both"/>
      <w:textAlignment w:val="baseline"/>
    </w:pPr>
    <w:rPr>
      <w:rFonts w:ascii="Times New Roman" w:hAnsi="Times New Roman" w:eastAsia="宋体, SimSun" w:cs="Times New Roman"/>
      <w:kern w:val="3"/>
      <w:sz w:val="21"/>
      <w:szCs w:val="24"/>
      <w:lang w:val="en-US" w:eastAsia="zh-CN" w:bidi="ar-SA"/>
    </w:rPr>
  </w:style>
  <w:style w:type="paragraph" w:customStyle="1" w:styleId="66">
    <w:name w:val="Normal Indent1"/>
    <w:basedOn w:val="1"/>
    <w:qFormat/>
    <w:uiPriority w:val="99"/>
    <w:pPr>
      <w:ind w:firstLine="880" w:firstLineChars="200"/>
    </w:pPr>
  </w:style>
  <w:style w:type="character" w:customStyle="1" w:styleId="67">
    <w:name w:val="批注文字 字符"/>
    <w:basedOn w:val="25"/>
    <w:link w:val="9"/>
    <w:qFormat/>
    <w:uiPriority w:val="0"/>
    <w:rPr>
      <w:kern w:val="2"/>
      <w:sz w:val="21"/>
    </w:rPr>
  </w:style>
  <w:style w:type="character" w:customStyle="1" w:styleId="68">
    <w:name w:val="批注主题 字符"/>
    <w:basedOn w:val="67"/>
    <w:link w:val="20"/>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49621</Words>
  <Characters>54622</Characters>
  <Lines>455</Lines>
  <Paragraphs>128</Paragraphs>
  <TotalTime>163</TotalTime>
  <ScaleCrop>false</ScaleCrop>
  <LinksUpToDate>false</LinksUpToDate>
  <CharactersWithSpaces>57137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2023-05-08T03:48:00Z</dcterms:created>
  <dc:creator>Administrator</dc:creator>
  <cp:lastModifiedBy>Administrator</cp:lastModifiedBy>
  <cp:lastPrinted>2022-05-25T01:50:00Z</cp:lastPrinted>
  <dcterms:modified xsi:type="dcterms:W3CDTF">2023-05-31T07:43:37Z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578E773ABFD347BBA4D831AA1ECBCFB0_13</vt:lpwstr>
  </property>
</Properties>
</file>