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32"/>
          <w:szCs w:val="32"/>
          <w:u w:val="none"/>
          <w:lang w:eastAsia="zh-CN"/>
        </w:rPr>
      </w:pPr>
      <w:r>
        <w:rPr>
          <w:rFonts w:hint="eastAsia" w:ascii="楷体" w:hAnsi="楷体" w:eastAsia="楷体" w:cs="楷体"/>
          <w:b/>
          <w:sz w:val="32"/>
          <w:szCs w:val="32"/>
          <w:u w:val="none"/>
          <w:lang w:eastAsia="zh-CN"/>
        </w:rPr>
        <w:t>镇巴县渔渡镇永久村村级组织活动场所建设项目</w:t>
      </w:r>
    </w:p>
    <w:p>
      <w:pPr>
        <w:jc w:val="center"/>
        <w:rPr>
          <w:rFonts w:hint="eastAsia" w:ascii="楷体" w:hAnsi="楷体" w:eastAsia="楷体" w:cs="楷体"/>
          <w:sz w:val="28"/>
          <w:szCs w:val="24"/>
        </w:rPr>
      </w:pPr>
      <w:r>
        <w:rPr>
          <w:rFonts w:hint="eastAsia" w:ascii="楷体" w:hAnsi="楷体" w:eastAsia="楷体" w:cs="楷体"/>
          <w:b/>
          <w:sz w:val="32"/>
          <w:szCs w:val="32"/>
          <w:u w:val="none"/>
          <w:lang w:eastAsia="zh-CN"/>
        </w:rPr>
        <w:t>采购内容及要求</w:t>
      </w:r>
    </w:p>
    <w:p>
      <w:pPr>
        <w:spacing w:line="276" w:lineRule="auto"/>
        <w:jc w:val="center"/>
        <w:rPr>
          <w:rFonts w:hint="eastAsia" w:ascii="楷体" w:hAnsi="楷体" w:eastAsia="楷体" w:cs="楷体"/>
          <w:sz w:val="24"/>
        </w:rPr>
      </w:pP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一、项目基本情况</w:t>
      </w:r>
    </w:p>
    <w:p>
      <w:pPr>
        <w:ind w:left="279" w:leftChars="133" w:firstLine="560" w:firstLineChars="200"/>
        <w:rPr>
          <w:rFonts w:hint="eastAsia" w:ascii="楷体" w:hAnsi="楷体" w:eastAsia="楷体" w:cs="楷体"/>
          <w:color w:val="000000"/>
          <w:sz w:val="28"/>
          <w:lang w:val="en-US" w:eastAsia="zh-CN"/>
        </w:rPr>
      </w:pPr>
      <w:r>
        <w:rPr>
          <w:rFonts w:hint="eastAsia" w:ascii="楷体" w:hAnsi="楷体" w:eastAsia="楷体" w:cs="楷体"/>
          <w:color w:val="000000"/>
          <w:sz w:val="28"/>
          <w:lang w:eastAsia="zh-CN"/>
        </w:rPr>
        <w:t>该项目采购内容为：建设一栋三层村级组织活动场所，总建筑面积 498 平方米，建筑占地面积 180平方米，高 10.95 米。</w:t>
      </w:r>
      <w:r>
        <w:rPr>
          <w:rFonts w:hint="eastAsia" w:ascii="楷体" w:hAnsi="楷体" w:eastAsia="楷体" w:cs="楷体"/>
          <w:color w:val="000000"/>
          <w:sz w:val="28"/>
          <w:lang w:val="en-US" w:eastAsia="zh-CN"/>
        </w:rPr>
        <w:t>现对该项目进行竞争性磋商。</w:t>
      </w:r>
    </w:p>
    <w:p>
      <w:pPr>
        <w:ind w:left="279" w:leftChars="133" w:firstLine="0" w:firstLineChars="0"/>
        <w:rPr>
          <w:rFonts w:hint="eastAsia" w:ascii="楷体" w:hAnsi="楷体" w:eastAsia="楷体" w:cs="楷体"/>
          <w:color w:val="000000"/>
          <w:sz w:val="28"/>
        </w:rPr>
      </w:pPr>
      <w:r>
        <w:rPr>
          <w:rFonts w:hint="eastAsia" w:ascii="楷体" w:hAnsi="楷体" w:eastAsia="楷体" w:cs="楷体"/>
          <w:color w:val="000000"/>
          <w:sz w:val="28"/>
        </w:rPr>
        <w:t>二、采购预算及形成方式</w:t>
      </w:r>
    </w:p>
    <w:p>
      <w:pPr>
        <w:ind w:firstLine="560" w:firstLineChars="200"/>
        <w:rPr>
          <w:rFonts w:hint="eastAsia" w:ascii="楷体" w:hAnsi="楷体" w:eastAsia="楷体" w:cs="楷体"/>
          <w:sz w:val="28"/>
        </w:rPr>
      </w:pPr>
      <w:r>
        <w:rPr>
          <w:rFonts w:hint="eastAsia" w:ascii="楷体" w:hAnsi="楷体" w:eastAsia="楷体" w:cs="楷体"/>
          <w:color w:val="000000"/>
          <w:sz w:val="28"/>
        </w:rPr>
        <w:t>该项目资金来源为</w:t>
      </w:r>
      <w:r>
        <w:rPr>
          <w:rFonts w:hint="eastAsia" w:ascii="楷体" w:hAnsi="楷体" w:eastAsia="楷体" w:cs="楷体"/>
          <w:color w:val="000000" w:themeColor="text1"/>
          <w:sz w:val="28"/>
          <w:lang w:val="en-US" w:eastAsia="zh-CN"/>
        </w:rPr>
        <w:t>财政</w:t>
      </w:r>
      <w:r>
        <w:rPr>
          <w:rFonts w:hint="eastAsia" w:ascii="楷体" w:hAnsi="楷体" w:eastAsia="楷体" w:cs="楷体"/>
          <w:color w:val="000000"/>
          <w:sz w:val="28"/>
          <w:lang w:val="en-US" w:eastAsia="zh-CN"/>
        </w:rPr>
        <w:t>资金</w:t>
      </w:r>
      <w:r>
        <w:rPr>
          <w:rFonts w:hint="eastAsia" w:ascii="楷体" w:hAnsi="楷体" w:eastAsia="楷体" w:cs="楷体"/>
          <w:color w:val="000000"/>
          <w:sz w:val="28"/>
        </w:rPr>
        <w:t>。</w:t>
      </w:r>
      <w:r>
        <w:rPr>
          <w:rFonts w:hint="eastAsia" w:ascii="楷体" w:hAnsi="楷体" w:eastAsia="楷体" w:cs="楷体"/>
          <w:color w:val="000000"/>
          <w:sz w:val="28"/>
          <w:lang w:val="en-US" w:eastAsia="zh-CN"/>
        </w:rPr>
        <w:t>预算形成方式</w:t>
      </w:r>
      <w:r>
        <w:rPr>
          <w:rFonts w:hint="eastAsia" w:ascii="楷体" w:hAnsi="楷体" w:eastAsia="楷体" w:cs="楷体"/>
          <w:color w:val="000000"/>
          <w:sz w:val="28"/>
        </w:rPr>
        <w:t>按《陕西省建筑工程量单计</w:t>
      </w:r>
      <w:r>
        <w:rPr>
          <w:rFonts w:hint="eastAsia" w:ascii="楷体" w:hAnsi="楷体" w:eastAsia="楷体" w:cs="楷体"/>
          <w:sz w:val="28"/>
        </w:rPr>
        <w:t>价规则（2009）版》、《陕西省建筑装饰工程消耗量定额（2004）版》、《陕西省建设工程消耗量定额补充定额（2004）版》及与消耗量等额配套使用的</w:t>
      </w:r>
      <w:r>
        <w:rPr>
          <w:rFonts w:hint="eastAsia" w:ascii="楷体" w:hAnsi="楷体" w:eastAsia="楷体" w:cs="楷体"/>
          <w:color w:val="000000"/>
          <w:sz w:val="28"/>
        </w:rPr>
        <w:t>《陕西省建设工程价目表</w:t>
      </w:r>
      <w:r>
        <w:rPr>
          <w:rFonts w:hint="eastAsia" w:ascii="楷体" w:hAnsi="楷体" w:eastAsia="楷体" w:cs="楷体"/>
          <w:sz w:val="28"/>
        </w:rPr>
        <w:t>2009）版》、</w:t>
      </w:r>
      <w:r>
        <w:rPr>
          <w:rFonts w:hint="eastAsia" w:ascii="楷体" w:hAnsi="楷体" w:eastAsia="楷体" w:cs="楷体"/>
          <w:color w:val="000000"/>
          <w:sz w:val="28"/>
        </w:rPr>
        <w:t>《参考费率</w:t>
      </w:r>
      <w:r>
        <w:rPr>
          <w:rFonts w:hint="eastAsia" w:ascii="楷体" w:hAnsi="楷体" w:eastAsia="楷体" w:cs="楷体"/>
          <w:sz w:val="28"/>
        </w:rPr>
        <w:t>》等相关计价文件</w:t>
      </w:r>
      <w:r>
        <w:rPr>
          <w:rFonts w:hint="eastAsia" w:ascii="楷体" w:hAnsi="楷体" w:eastAsia="楷体" w:cs="楷体"/>
          <w:color w:val="000000"/>
          <w:sz w:val="28"/>
          <w:lang w:eastAsia="zh-CN"/>
        </w:rPr>
        <w:t>；</w:t>
      </w:r>
      <w:r>
        <w:rPr>
          <w:rFonts w:hint="eastAsia" w:ascii="楷体" w:hAnsi="楷体" w:eastAsia="楷体" w:cs="楷体"/>
          <w:color w:val="000000"/>
          <w:sz w:val="28"/>
        </w:rPr>
        <w:t>人工费执行</w:t>
      </w:r>
      <w:r>
        <w:rPr>
          <w:rFonts w:hint="eastAsia" w:ascii="楷体" w:hAnsi="楷体" w:eastAsia="楷体" w:cs="楷体"/>
          <w:sz w:val="28"/>
        </w:rPr>
        <w:t>（陕建发【2</w:t>
      </w:r>
      <w:r>
        <w:rPr>
          <w:rFonts w:ascii="楷体" w:hAnsi="楷体" w:eastAsia="楷体" w:cs="楷体"/>
          <w:sz w:val="28"/>
        </w:rPr>
        <w:t>021</w:t>
      </w:r>
      <w:r>
        <w:rPr>
          <w:rFonts w:hint="eastAsia" w:ascii="楷体" w:hAnsi="楷体" w:eastAsia="楷体" w:cs="楷体"/>
          <w:sz w:val="28"/>
        </w:rPr>
        <w:t>】</w:t>
      </w:r>
      <w:r>
        <w:rPr>
          <w:rFonts w:ascii="楷体" w:hAnsi="楷体" w:eastAsia="楷体" w:cs="楷体"/>
          <w:sz w:val="28"/>
        </w:rPr>
        <w:t>1097</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sz w:val="28"/>
        </w:rPr>
        <w:t>规费税金执行（陕建发【201</w:t>
      </w:r>
      <w:r>
        <w:rPr>
          <w:rFonts w:ascii="楷体" w:hAnsi="楷体" w:eastAsia="楷体" w:cs="楷体"/>
          <w:sz w:val="28"/>
        </w:rPr>
        <w:t>9</w:t>
      </w:r>
      <w:r>
        <w:rPr>
          <w:rFonts w:hint="eastAsia" w:ascii="楷体" w:hAnsi="楷体" w:eastAsia="楷体" w:cs="楷体"/>
          <w:sz w:val="28"/>
        </w:rPr>
        <w:t>】</w:t>
      </w:r>
      <w:r>
        <w:rPr>
          <w:rFonts w:ascii="楷体" w:hAnsi="楷体" w:eastAsia="楷体" w:cs="楷体"/>
          <w:sz w:val="28"/>
        </w:rPr>
        <w:t>45</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color w:val="000000"/>
          <w:sz w:val="28"/>
        </w:rPr>
        <w:t>材料价格按202</w:t>
      </w:r>
      <w:r>
        <w:rPr>
          <w:rFonts w:hint="eastAsia" w:ascii="楷体" w:hAnsi="楷体" w:eastAsia="楷体" w:cs="楷体"/>
          <w:color w:val="000000"/>
          <w:sz w:val="28"/>
          <w:lang w:val="en-US" w:eastAsia="zh-CN"/>
        </w:rPr>
        <w:t>3</w:t>
      </w:r>
      <w:r>
        <w:rPr>
          <w:rFonts w:hint="eastAsia" w:ascii="楷体" w:hAnsi="楷体" w:eastAsia="楷体" w:cs="楷体"/>
          <w:color w:val="000000"/>
          <w:sz w:val="28"/>
        </w:rPr>
        <w:t>年第</w:t>
      </w:r>
      <w:r>
        <w:rPr>
          <w:rFonts w:hint="eastAsia" w:ascii="楷体" w:hAnsi="楷体" w:eastAsia="楷体" w:cs="楷体"/>
          <w:color w:val="000000"/>
          <w:sz w:val="28"/>
          <w:lang w:val="en-US" w:eastAsia="zh-CN"/>
        </w:rPr>
        <w:t>9</w:t>
      </w:r>
      <w:r>
        <w:rPr>
          <w:rFonts w:hint="eastAsia" w:ascii="楷体" w:hAnsi="楷体" w:eastAsia="楷体" w:cs="楷体"/>
          <w:color w:val="000000"/>
          <w:sz w:val="28"/>
        </w:rPr>
        <w:t>期《汉中市建设工程造价信息》计入</w:t>
      </w:r>
      <w:r>
        <w:rPr>
          <w:rFonts w:hint="eastAsia" w:ascii="楷体" w:hAnsi="楷体" w:eastAsia="楷体" w:cs="楷体"/>
          <w:color w:val="000000"/>
          <w:sz w:val="28"/>
          <w:lang w:eastAsia="zh-CN"/>
        </w:rPr>
        <w:t>；</w:t>
      </w:r>
      <w:r>
        <w:rPr>
          <w:rFonts w:hint="eastAsia" w:ascii="楷体" w:hAnsi="楷体" w:eastAsia="楷体" w:cs="楷体"/>
          <w:sz w:val="28"/>
        </w:rPr>
        <w:t xml:space="preserve">运用广联达云计价平台GCCP 6.0 </w:t>
      </w:r>
      <w:r>
        <w:rPr>
          <w:rFonts w:hint="eastAsia" w:ascii="楷体" w:hAnsi="楷体" w:eastAsia="楷体" w:cs="楷体"/>
          <w:sz w:val="28"/>
          <w:lang w:eastAsia="zh-CN"/>
        </w:rPr>
        <w:t>计价。</w:t>
      </w:r>
      <w:r>
        <w:rPr>
          <w:rFonts w:hint="eastAsia" w:ascii="楷体" w:hAnsi="楷体" w:eastAsia="楷体" w:cs="楷体"/>
          <w:sz w:val="28"/>
        </w:rPr>
        <w:t xml:space="preserve"> </w:t>
      </w: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三、具体采购内容和技术规格要求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941"/>
        <w:gridCol w:w="1777"/>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序号</w:t>
            </w:r>
          </w:p>
        </w:tc>
        <w:tc>
          <w:tcPr>
            <w:tcW w:w="2941"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项目名称及内容</w:t>
            </w:r>
          </w:p>
        </w:tc>
        <w:tc>
          <w:tcPr>
            <w:tcW w:w="1777"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数量</w:t>
            </w:r>
          </w:p>
        </w:tc>
        <w:tc>
          <w:tcPr>
            <w:tcW w:w="2698"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预算金额（</w:t>
            </w:r>
            <w:r>
              <w:rPr>
                <w:rFonts w:hint="eastAsia" w:ascii="楷体" w:hAnsi="楷体" w:eastAsia="楷体" w:cs="楷体"/>
                <w:sz w:val="24"/>
                <w:szCs w:val="32"/>
                <w:lang w:eastAsia="zh-CN"/>
              </w:rPr>
              <w:t>万</w:t>
            </w:r>
            <w:r>
              <w:rPr>
                <w:rFonts w:hint="eastAsia" w:ascii="楷体" w:hAnsi="楷体" w:eastAsia="楷体" w:cs="楷体"/>
                <w:sz w:val="24"/>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w:t>
            </w:r>
          </w:p>
        </w:tc>
        <w:tc>
          <w:tcPr>
            <w:tcW w:w="2941" w:type="dxa"/>
            <w:vAlign w:val="center"/>
          </w:tcPr>
          <w:p>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pacing w:val="-11"/>
                <w:sz w:val="24"/>
                <w:szCs w:val="32"/>
                <w:lang w:eastAsia="zh-CN"/>
              </w:rPr>
              <w:t>镇巴县渔渡镇永久村村级组织活动场所建设项目</w:t>
            </w:r>
          </w:p>
        </w:tc>
        <w:tc>
          <w:tcPr>
            <w:tcW w:w="1777"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lang w:eastAsia="zh-CN"/>
              </w:rPr>
            </w:pPr>
            <w:r>
              <w:rPr>
                <w:rFonts w:hint="eastAsia" w:ascii="楷体" w:hAnsi="楷体" w:eastAsia="楷体" w:cs="楷体"/>
                <w:sz w:val="24"/>
                <w:szCs w:val="32"/>
                <w:lang w:eastAsia="zh-CN"/>
              </w:rPr>
              <w:t>1</w:t>
            </w:r>
          </w:p>
        </w:tc>
        <w:tc>
          <w:tcPr>
            <w:tcW w:w="2698" w:type="dxa"/>
            <w:vAlign w:val="center"/>
          </w:tcPr>
          <w:p>
            <w:pPr>
              <w:numPr>
                <w:ilvl w:val="0"/>
                <w:numId w:val="0"/>
              </w:numPr>
              <w:adjustRightInd w:val="0"/>
              <w:snapToGrid w:val="0"/>
              <w:spacing w:line="360" w:lineRule="auto"/>
              <w:ind w:firstLine="240" w:firstLineChars="100"/>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140</w:t>
            </w:r>
          </w:p>
        </w:tc>
      </w:tr>
    </w:tbl>
    <w:p>
      <w:pPr>
        <w:numPr>
          <w:ilvl w:val="0"/>
          <w:numId w:val="0"/>
        </w:numPr>
        <w:adjustRightInd w:val="0"/>
        <w:snapToGrid w:val="0"/>
        <w:spacing w:line="360" w:lineRule="auto"/>
        <w:rPr>
          <w:rFonts w:hint="eastAsia" w:ascii="楷体" w:hAnsi="楷体" w:eastAsia="楷体" w:cs="楷体"/>
          <w:sz w:val="24"/>
          <w:szCs w:val="32"/>
        </w:rPr>
      </w:pPr>
      <w:r>
        <w:rPr>
          <w:rFonts w:hint="eastAsia" w:ascii="楷体" w:hAnsi="楷体" w:eastAsia="楷体" w:cs="楷体"/>
          <w:sz w:val="24"/>
          <w:szCs w:val="32"/>
          <w:lang w:val="en-US" w:eastAsia="zh-CN"/>
        </w:rPr>
        <w:t>四、</w:t>
      </w:r>
      <w:r>
        <w:rPr>
          <w:rFonts w:hint="eastAsia" w:ascii="楷体" w:hAnsi="楷体" w:eastAsia="楷体" w:cs="楷体"/>
          <w:sz w:val="24"/>
          <w:szCs w:val="32"/>
        </w:rPr>
        <w:t>技术标准要求(依照标准、参照标准）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1、中标人负责施工完毕后，中标人提交验收文件，采购方组织监理共同进行技术验收（中标人协助），验收以国家标准等相关技术规定或以合同文本中描述的有关技术要求为准。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2、发包人给出的委托书或项目招标文件。</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eastAsia="zh-CN"/>
        </w:rPr>
      </w:pPr>
      <w:r>
        <w:rPr>
          <w:rFonts w:hint="eastAsia" w:ascii="楷体" w:hAnsi="楷体" w:eastAsia="楷体" w:cs="楷体"/>
          <w:color w:val="000000" w:themeColor="text1"/>
          <w:sz w:val="24"/>
          <w:szCs w:val="32"/>
          <w:lang w:val="en-US" w:eastAsia="zh-CN"/>
        </w:rPr>
        <w:t>3、发包人提供的基础资料。</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rPr>
      </w:pPr>
      <w:r>
        <w:rPr>
          <w:rFonts w:hint="eastAsia" w:ascii="楷体" w:hAnsi="楷体" w:eastAsia="楷体" w:cs="楷体"/>
          <w:color w:val="000000" w:themeColor="text1"/>
          <w:sz w:val="24"/>
          <w:szCs w:val="32"/>
          <w:lang w:eastAsia="zh-CN"/>
        </w:rPr>
        <w:t>五、</w:t>
      </w:r>
      <w:r>
        <w:rPr>
          <w:rFonts w:hint="eastAsia" w:ascii="楷体" w:hAnsi="楷体" w:eastAsia="楷体" w:cs="楷体"/>
          <w:color w:val="000000" w:themeColor="text1"/>
          <w:sz w:val="24"/>
          <w:szCs w:val="32"/>
        </w:rPr>
        <w:t>完成时间</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eastAsia="zh-CN"/>
        </w:rPr>
        <w:t>工期：</w:t>
      </w:r>
      <w:r>
        <w:rPr>
          <w:rFonts w:hint="eastAsia" w:ascii="楷体" w:hAnsi="楷体" w:eastAsia="楷体" w:cs="楷体"/>
          <w:color w:val="000000" w:themeColor="text1"/>
          <w:sz w:val="24"/>
          <w:szCs w:val="32"/>
          <w:lang w:val="en-US" w:eastAsia="zh-CN"/>
        </w:rPr>
        <w:t xml:space="preserve"> </w:t>
      </w:r>
      <w:r>
        <w:rPr>
          <w:rFonts w:hint="eastAsia" w:ascii="楷体" w:hAnsi="楷体" w:eastAsia="楷体" w:cs="楷体"/>
          <w:color w:val="000000" w:themeColor="text1"/>
          <w:sz w:val="24"/>
          <w:szCs w:val="32"/>
          <w:u w:val="single"/>
          <w:lang w:val="en-US" w:eastAsia="zh-CN"/>
        </w:rPr>
        <w:t xml:space="preserve">  120 </w:t>
      </w:r>
      <w:r>
        <w:rPr>
          <w:rFonts w:hint="eastAsia" w:ascii="楷体" w:hAnsi="楷体" w:eastAsia="楷体" w:cs="楷体"/>
          <w:color w:val="000000" w:themeColor="text1"/>
          <w:sz w:val="24"/>
          <w:szCs w:val="32"/>
          <w:u w:val="none"/>
          <w:lang w:val="en-US" w:eastAsia="zh-CN"/>
        </w:rPr>
        <w:t>天</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1.双方交流、沟通、成果上会等待确认、汇报、审查的时间及因发包人或不可抗力原因造成的延误时间不包含在本条约定的时间期限内。</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2.经发包人、</w:t>
      </w:r>
      <w:r>
        <w:rPr>
          <w:rFonts w:hint="eastAsia" w:ascii="楷体" w:hAnsi="楷体" w:eastAsia="楷体" w:cs="楷体"/>
          <w:sz w:val="24"/>
          <w:szCs w:val="32"/>
          <w:lang w:eastAsia="zh-CN"/>
        </w:rPr>
        <w:t>承包</w:t>
      </w:r>
      <w:r>
        <w:rPr>
          <w:rFonts w:hint="eastAsia" w:ascii="楷体" w:hAnsi="楷体" w:eastAsia="楷体" w:cs="楷体"/>
          <w:sz w:val="24"/>
          <w:szCs w:val="32"/>
        </w:rPr>
        <w:t>人双方协商一致，以上工作时间可根据实际情况作必要调整，双方另行签订补充协议。</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六、验收方法及标准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rPr>
      </w:pPr>
      <w:r>
        <w:rPr>
          <w:rFonts w:hint="eastAsia" w:ascii="楷体" w:hAnsi="楷体" w:eastAsia="楷体" w:cs="楷体"/>
          <w:color w:val="auto"/>
          <w:sz w:val="24"/>
          <w:szCs w:val="32"/>
          <w:lang w:eastAsia="zh-CN"/>
        </w:rPr>
        <w:t>七、</w:t>
      </w:r>
      <w:r>
        <w:rPr>
          <w:rFonts w:hint="eastAsia" w:ascii="楷体" w:hAnsi="楷体" w:eastAsia="楷体" w:cs="楷体"/>
          <w:color w:val="auto"/>
          <w:sz w:val="24"/>
          <w:szCs w:val="32"/>
        </w:rPr>
        <w:t>付款方式</w:t>
      </w:r>
    </w:p>
    <w:p>
      <w:pPr>
        <w:numPr>
          <w:ilvl w:val="0"/>
          <w:numId w:val="0"/>
        </w:numPr>
        <w:adjustRightInd w:val="0"/>
        <w:snapToGrid w:val="0"/>
        <w:spacing w:line="360" w:lineRule="auto"/>
        <w:ind w:firstLine="240" w:firstLineChars="100"/>
        <w:rPr>
          <w:rFonts w:hint="eastAsia" w:ascii="楷体" w:hAnsi="楷体" w:eastAsia="楷体" w:cs="楷体"/>
          <w:color w:val="FF0000"/>
          <w:sz w:val="30"/>
          <w:szCs w:val="32"/>
        </w:rPr>
      </w:pPr>
      <w:r>
        <w:rPr>
          <w:rFonts w:hint="eastAsia" w:ascii="楷体" w:hAnsi="楷体" w:eastAsia="楷体" w:cs="楷体"/>
          <w:color w:val="auto"/>
          <w:kern w:val="0"/>
          <w:sz w:val="24"/>
          <w:szCs w:val="32"/>
          <w:lang w:val="en-US" w:eastAsia="zh-CN" w:bidi="ar-SA"/>
        </w:rPr>
        <w:t>关于付款周期的约定： 按合同约定</w:t>
      </w:r>
      <w:r>
        <w:rPr>
          <w:rFonts w:hint="eastAsia" w:ascii="楷体" w:hAnsi="楷体" w:eastAsia="楷体" w:cs="楷体"/>
          <w:color w:val="auto"/>
          <w:sz w:val="30"/>
          <w:szCs w:val="32"/>
        </w:rPr>
        <w:t>。</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lang w:eastAsia="zh-CN"/>
        </w:rPr>
        <w:t>八、</w:t>
      </w:r>
      <w:r>
        <w:rPr>
          <w:rFonts w:hint="eastAsia" w:ascii="楷体" w:hAnsi="楷体" w:eastAsia="楷体" w:cs="楷体"/>
          <w:sz w:val="24"/>
          <w:szCs w:val="32"/>
        </w:rPr>
        <w:t>售后服务要求</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1、服务内容：配合主管部门提供咨询服务；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2、服务期限：直至缺陷责任期满。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九、</w:t>
      </w:r>
      <w:r>
        <w:rPr>
          <w:rFonts w:hint="eastAsia" w:ascii="楷体" w:hAnsi="楷体" w:eastAsia="楷体" w:cs="楷体"/>
          <w:sz w:val="24"/>
          <w:szCs w:val="32"/>
        </w:rPr>
        <w:t>供应商资格要求</w:t>
      </w:r>
    </w:p>
    <w:p>
      <w:pPr>
        <w:pStyle w:val="28"/>
        <w:keepNext w:val="0"/>
        <w:keepLines w:val="0"/>
        <w:pageBreakBefore w:val="0"/>
        <w:kinsoku/>
        <w:wordWrap/>
        <w:overflowPunct/>
        <w:topLinePunct w:val="0"/>
        <w:autoSpaceDE/>
        <w:autoSpaceDN/>
        <w:bidi w:val="0"/>
        <w:adjustRightInd/>
        <w:snapToGrid w:val="0"/>
        <w:spacing w:after="156" w:afterLines="50" w:line="620" w:lineRule="exact"/>
        <w:ind w:firstLine="480" w:firstLineChars="200"/>
        <w:contextualSpacing/>
        <w:jc w:val="left"/>
        <w:textAlignment w:val="auto"/>
        <w:rPr>
          <w:rFonts w:hint="eastAsia" w:ascii="楷体" w:hAnsi="楷体" w:eastAsia="楷体" w:cs="楷体"/>
          <w:sz w:val="24"/>
          <w:szCs w:val="32"/>
          <w:lang w:eastAsia="zh-CN"/>
        </w:rPr>
      </w:pPr>
      <w:r>
        <w:rPr>
          <w:rFonts w:hint="eastAsia" w:ascii="楷体" w:hAnsi="楷体" w:eastAsia="楷体" w:cs="楷体"/>
          <w:sz w:val="24"/>
          <w:szCs w:val="32"/>
          <w:lang w:val="en-US" w:eastAsia="zh-CN"/>
        </w:rPr>
        <w:t>1</w:t>
      </w:r>
      <w:r>
        <w:rPr>
          <w:rFonts w:hint="eastAsia" w:ascii="楷体" w:hAnsi="楷体" w:eastAsia="楷体" w:cs="楷体"/>
          <w:sz w:val="24"/>
          <w:szCs w:val="32"/>
        </w:rPr>
        <w:t>.本项目的特定资格要求：（1）具有独立承担民事责任能力的法人、其他组织或自然人，并出具合法有效的统一社会信用代码的营业执照或事业单位法人证书等国家规定的相关证明，自然人参与的提供其身份证明；（2）提供202</w:t>
      </w:r>
      <w:r>
        <w:rPr>
          <w:rFonts w:hint="eastAsia" w:ascii="楷体" w:hAnsi="楷体" w:eastAsia="楷体" w:cs="楷体"/>
          <w:sz w:val="24"/>
          <w:szCs w:val="32"/>
          <w:lang w:val="en-US" w:eastAsia="zh-CN"/>
        </w:rPr>
        <w:t>3</w:t>
      </w:r>
      <w:r>
        <w:rPr>
          <w:rFonts w:hint="eastAsia" w:ascii="楷体" w:hAnsi="楷体" w:eastAsia="楷体" w:cs="楷体"/>
          <w:sz w:val="24"/>
          <w:szCs w:val="32"/>
        </w:rPr>
        <w:t>年1月以来任意1个月缴纳税收的缴费凭据（打印件，加盖单位公章）；依法不需要缴纳的供应商应提供相关文件证明；（3）参加政府采购活动前3年内在经营活动中没有重大违法记录的书面声明；（4）递交投标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5）法定代表人授权委托书和被授权人有效身份证（法定代表人直接参加的只须出示法定代表人身份证）；（6）供应商须具备建筑工程施工总承包三级及以上资质，具有合格有效的安全生产许可证；（7）拟派项目经理须具备建筑工程专业二级及以上注册建造师资质，取得安全生产考核合格证（建安B证），在本单位注册，且未担任其他在建项目声明；（8）供应商财务状况报告：202</w:t>
      </w:r>
      <w:r>
        <w:rPr>
          <w:rFonts w:hint="eastAsia" w:ascii="楷体" w:hAnsi="楷体" w:eastAsia="楷体" w:cs="楷体"/>
          <w:sz w:val="24"/>
          <w:szCs w:val="32"/>
          <w:lang w:val="en-US" w:eastAsia="zh-CN"/>
        </w:rPr>
        <w:t>2</w:t>
      </w:r>
      <w:r>
        <w:rPr>
          <w:rFonts w:hint="eastAsia" w:ascii="楷体" w:hAnsi="楷体" w:eastAsia="楷体" w:cs="楷体"/>
          <w:sz w:val="24"/>
          <w:szCs w:val="32"/>
        </w:rPr>
        <w:t>年度审计报告或近3个月内出具的银行资信证明；（9）本项目不接受联合体</w:t>
      </w:r>
      <w:r>
        <w:rPr>
          <w:rFonts w:hint="eastAsia" w:ascii="楷体" w:hAnsi="楷体" w:eastAsia="楷体" w:cs="楷体"/>
          <w:sz w:val="24"/>
          <w:szCs w:val="32"/>
          <w:lang w:eastAsia="zh-CN"/>
        </w:rPr>
        <w:t>磋商</w:t>
      </w:r>
      <w:r>
        <w:rPr>
          <w:rFonts w:hint="eastAsia" w:ascii="楷体" w:hAnsi="楷体" w:eastAsia="楷体" w:cs="楷体"/>
          <w:sz w:val="24"/>
          <w:szCs w:val="32"/>
        </w:rPr>
        <w:t>，单位负责人为同一人或者存在控股、管理关系的不同单位不得同时投标</w:t>
      </w:r>
      <w:r>
        <w:rPr>
          <w:rFonts w:hint="eastAsia" w:ascii="楷体" w:hAnsi="楷体" w:eastAsia="楷体" w:cs="楷体"/>
          <w:sz w:val="24"/>
          <w:szCs w:val="32"/>
          <w:lang w:eastAsia="zh-CN"/>
        </w:rPr>
        <w:t>。</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十、其他要求</w:t>
      </w:r>
    </w:p>
    <w:p>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 xml:space="preserve">                    </w:t>
      </w:r>
    </w:p>
    <w:p>
      <w:pPr>
        <w:numPr>
          <w:ilvl w:val="0"/>
          <w:numId w:val="0"/>
        </w:numPr>
        <w:adjustRightInd w:val="0"/>
        <w:snapToGrid w:val="0"/>
        <w:spacing w:line="360" w:lineRule="auto"/>
        <w:rPr>
          <w:rFonts w:hint="eastAsia" w:ascii="楷体" w:hAnsi="楷体" w:eastAsia="楷体" w:cs="楷体"/>
          <w:sz w:val="24"/>
          <w:szCs w:val="32"/>
          <w:lang w:val="en-US" w:eastAsia="zh-CN"/>
        </w:rPr>
      </w:pPr>
    </w:p>
    <w:p>
      <w:pPr>
        <w:numPr>
          <w:ilvl w:val="0"/>
          <w:numId w:val="0"/>
        </w:numPr>
        <w:adjustRightInd w:val="0"/>
        <w:snapToGrid w:val="0"/>
        <w:spacing w:line="360" w:lineRule="auto"/>
        <w:rPr>
          <w:rFonts w:hint="eastAsia" w:ascii="楷体" w:hAnsi="楷体" w:eastAsia="楷体" w:cs="楷体"/>
          <w:sz w:val="24"/>
          <w:szCs w:val="32"/>
          <w:lang w:val="en-US" w:eastAsia="zh-CN"/>
        </w:rPr>
      </w:pPr>
    </w:p>
    <w:p>
      <w:pPr>
        <w:numPr>
          <w:ilvl w:val="0"/>
          <w:numId w:val="0"/>
        </w:numPr>
        <w:adjustRightInd w:val="0"/>
        <w:snapToGrid w:val="0"/>
        <w:spacing w:line="360" w:lineRule="auto"/>
        <w:rPr>
          <w:rFonts w:hint="eastAsia" w:ascii="楷体" w:hAnsi="楷体" w:eastAsia="楷体" w:cs="楷体"/>
          <w:sz w:val="24"/>
          <w:szCs w:val="32"/>
          <w:lang w:val="en-US" w:eastAsia="zh-CN"/>
        </w:rPr>
      </w:pPr>
    </w:p>
    <w:p>
      <w:pPr>
        <w:numPr>
          <w:ilvl w:val="0"/>
          <w:numId w:val="0"/>
        </w:numPr>
        <w:adjustRightInd w:val="0"/>
        <w:snapToGrid w:val="0"/>
        <w:spacing w:line="360" w:lineRule="auto"/>
        <w:rPr>
          <w:rFonts w:hint="eastAsia" w:ascii="楷体" w:hAnsi="楷体" w:eastAsia="楷体" w:cs="楷体"/>
          <w:sz w:val="24"/>
          <w:szCs w:val="32"/>
          <w:lang w:val="en-US" w:eastAsia="zh-CN"/>
        </w:rPr>
      </w:pPr>
    </w:p>
    <w:p>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 xml:space="preserve">                                                   镇巴县渔渡镇人民政府</w:t>
      </w:r>
    </w:p>
    <w:p>
      <w:pPr>
        <w:numPr>
          <w:ilvl w:val="0"/>
          <w:numId w:val="0"/>
        </w:numPr>
        <w:adjustRightInd w:val="0"/>
        <w:snapToGrid w:val="0"/>
        <w:spacing w:line="360" w:lineRule="auto"/>
        <w:ind w:firstLine="6480" w:firstLineChars="2700"/>
        <w:rPr>
          <w:rFonts w:hint="default" w:ascii="楷体" w:hAnsi="楷体" w:eastAsia="楷体" w:cs="楷体"/>
          <w:sz w:val="24"/>
          <w:szCs w:val="32"/>
          <w:lang w:val="en-US" w:eastAsia="zh-CN"/>
        </w:rPr>
      </w:pPr>
      <w:bookmarkStart w:id="0" w:name="_GoBack"/>
      <w:bookmarkEnd w:id="0"/>
      <w:r>
        <w:rPr>
          <w:rFonts w:hint="eastAsia" w:ascii="楷体" w:hAnsi="楷体" w:eastAsia="楷体" w:cs="楷体"/>
          <w:sz w:val="24"/>
          <w:szCs w:val="32"/>
          <w:lang w:val="en-US" w:eastAsia="zh-CN"/>
        </w:rPr>
        <w:t>2024年1月4日</w:t>
      </w:r>
    </w:p>
    <w:p>
      <w:pPr>
        <w:pStyle w:val="14"/>
        <w:ind w:left="0" w:leftChars="0" w:firstLine="0" w:firstLineChars="0"/>
        <w:rPr>
          <w:rFonts w:hint="eastAsia" w:ascii="楷体" w:hAnsi="楷体" w:eastAsia="楷体" w:cs="楷体"/>
          <w:sz w:val="24"/>
          <w:szCs w:val="24"/>
          <w:lang w:val="en-US" w:eastAsia="zh-CN"/>
        </w:rPr>
      </w:pPr>
    </w:p>
    <w:p>
      <w:pPr>
        <w:pStyle w:val="14"/>
        <w:rPr>
          <w:rFonts w:hint="eastAsia" w:ascii="楷体" w:hAnsi="楷体" w:eastAsia="楷体" w:cs="楷体"/>
          <w:sz w:val="24"/>
          <w:szCs w:val="32"/>
          <w:lang w:val="en-US" w:eastAsia="zh-CN"/>
        </w:rPr>
      </w:pP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6D0CE9"/>
    <w:rsid w:val="00992A4F"/>
    <w:rsid w:val="00A626E3"/>
    <w:rsid w:val="00AA5DBC"/>
    <w:rsid w:val="00E2168D"/>
    <w:rsid w:val="00EF109F"/>
    <w:rsid w:val="00FE57E8"/>
    <w:rsid w:val="00FF1073"/>
    <w:rsid w:val="014F0711"/>
    <w:rsid w:val="04001E75"/>
    <w:rsid w:val="05D215EF"/>
    <w:rsid w:val="07DA29F1"/>
    <w:rsid w:val="090F437A"/>
    <w:rsid w:val="0D646FD0"/>
    <w:rsid w:val="0E123096"/>
    <w:rsid w:val="0FAB0EE6"/>
    <w:rsid w:val="10797237"/>
    <w:rsid w:val="10FE13F7"/>
    <w:rsid w:val="12ED3C4A"/>
    <w:rsid w:val="15A54D74"/>
    <w:rsid w:val="16CE3251"/>
    <w:rsid w:val="18A33DA3"/>
    <w:rsid w:val="18E611E1"/>
    <w:rsid w:val="19D76D7C"/>
    <w:rsid w:val="19EB65EA"/>
    <w:rsid w:val="1A6F0441"/>
    <w:rsid w:val="1B3B7780"/>
    <w:rsid w:val="20012D19"/>
    <w:rsid w:val="200E34D5"/>
    <w:rsid w:val="21463165"/>
    <w:rsid w:val="21575429"/>
    <w:rsid w:val="216F2EED"/>
    <w:rsid w:val="219F0AC7"/>
    <w:rsid w:val="21DE514B"/>
    <w:rsid w:val="22665141"/>
    <w:rsid w:val="23F8272D"/>
    <w:rsid w:val="28CB1244"/>
    <w:rsid w:val="2BEF76B5"/>
    <w:rsid w:val="2E1D14C2"/>
    <w:rsid w:val="2FC150DC"/>
    <w:rsid w:val="2FC93918"/>
    <w:rsid w:val="30413EEA"/>
    <w:rsid w:val="328A733E"/>
    <w:rsid w:val="33064502"/>
    <w:rsid w:val="33905E8E"/>
    <w:rsid w:val="345968B4"/>
    <w:rsid w:val="35D119BA"/>
    <w:rsid w:val="362D7FF8"/>
    <w:rsid w:val="36371B12"/>
    <w:rsid w:val="3B5878C5"/>
    <w:rsid w:val="3BF37E36"/>
    <w:rsid w:val="3C615DCD"/>
    <w:rsid w:val="3C7C5835"/>
    <w:rsid w:val="3CEC4769"/>
    <w:rsid w:val="3E3143FD"/>
    <w:rsid w:val="3EB83FFD"/>
    <w:rsid w:val="404C7394"/>
    <w:rsid w:val="41377F7D"/>
    <w:rsid w:val="46607F75"/>
    <w:rsid w:val="46A2233C"/>
    <w:rsid w:val="46C027C2"/>
    <w:rsid w:val="477A6E15"/>
    <w:rsid w:val="47BD086A"/>
    <w:rsid w:val="47BF4078"/>
    <w:rsid w:val="4AD81433"/>
    <w:rsid w:val="4BC863A1"/>
    <w:rsid w:val="4CAB23AE"/>
    <w:rsid w:val="4DEB68FD"/>
    <w:rsid w:val="4F50502B"/>
    <w:rsid w:val="50E27F05"/>
    <w:rsid w:val="52097713"/>
    <w:rsid w:val="52384FEF"/>
    <w:rsid w:val="54300083"/>
    <w:rsid w:val="56660C90"/>
    <w:rsid w:val="56E61DD1"/>
    <w:rsid w:val="57E52089"/>
    <w:rsid w:val="58180AEB"/>
    <w:rsid w:val="58507E4A"/>
    <w:rsid w:val="5B24111A"/>
    <w:rsid w:val="5E9758D0"/>
    <w:rsid w:val="5E9F7435"/>
    <w:rsid w:val="5F883CE9"/>
    <w:rsid w:val="5FDA449D"/>
    <w:rsid w:val="60A725D1"/>
    <w:rsid w:val="618476F8"/>
    <w:rsid w:val="62D34B56"/>
    <w:rsid w:val="63225422"/>
    <w:rsid w:val="68CB6C3B"/>
    <w:rsid w:val="68D979E8"/>
    <w:rsid w:val="69CF4947"/>
    <w:rsid w:val="6A330FF7"/>
    <w:rsid w:val="6A4E6484"/>
    <w:rsid w:val="6A651F24"/>
    <w:rsid w:val="6DDD7632"/>
    <w:rsid w:val="6EED0414"/>
    <w:rsid w:val="6F180B0B"/>
    <w:rsid w:val="7004359C"/>
    <w:rsid w:val="70934920"/>
    <w:rsid w:val="71754026"/>
    <w:rsid w:val="71867FE1"/>
    <w:rsid w:val="7309711B"/>
    <w:rsid w:val="764A7FD1"/>
    <w:rsid w:val="78240663"/>
    <w:rsid w:val="78247F45"/>
    <w:rsid w:val="78D03B05"/>
    <w:rsid w:val="7A083C89"/>
    <w:rsid w:val="7A4C482F"/>
    <w:rsid w:val="7A542F12"/>
    <w:rsid w:val="7ACA775B"/>
    <w:rsid w:val="7BC65BA9"/>
    <w:rsid w:val="7C460294"/>
    <w:rsid w:val="7C8E41ED"/>
    <w:rsid w:val="7CAD4FBB"/>
    <w:rsid w:val="7D126BCC"/>
    <w:rsid w:val="7FE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afterLines="0"/>
    </w:pPr>
  </w:style>
  <w:style w:type="paragraph" w:styleId="5">
    <w:name w:val="Body Text First Indent"/>
    <w:basedOn w:val="4"/>
    <w:next w:val="6"/>
    <w:autoRedefine/>
    <w:qFormat/>
    <w:uiPriority w:val="0"/>
    <w:pPr>
      <w:ind w:firstLine="420" w:firstLineChars="100"/>
    </w:pPr>
    <w:rPr>
      <w:sz w:val="21"/>
      <w:szCs w:val="24"/>
    </w:rPr>
  </w:style>
  <w:style w:type="paragraph" w:styleId="6">
    <w:name w:val="toc 6"/>
    <w:basedOn w:val="1"/>
    <w:next w:val="1"/>
    <w:autoRedefine/>
    <w:qFormat/>
    <w:uiPriority w:val="0"/>
    <w:pPr>
      <w:ind w:left="1050"/>
      <w:jc w:val="left"/>
    </w:pPr>
    <w:rPr>
      <w:rFonts w:ascii="仿宋_GB2312" w:eastAsia="仿宋_GB2312"/>
      <w:sz w:val="18"/>
      <w:szCs w:val="18"/>
    </w:rPr>
  </w:style>
  <w:style w:type="paragraph" w:styleId="7">
    <w:name w:val="Body Text Indent"/>
    <w:basedOn w:val="1"/>
    <w:autoRedefine/>
    <w:semiHidden/>
    <w:qFormat/>
    <w:uiPriority w:val="99"/>
    <w:pPr>
      <w:spacing w:after="120"/>
      <w:ind w:left="420" w:leftChars="200"/>
    </w:pPr>
  </w:style>
  <w:style w:type="paragraph" w:styleId="8">
    <w:name w:val="Body Text Indent 2"/>
    <w:basedOn w:val="1"/>
    <w:qFormat/>
    <w:uiPriority w:val="0"/>
    <w:pPr>
      <w:ind w:firstLine="538" w:firstLineChars="192"/>
    </w:pPr>
    <w:rPr>
      <w:sz w:val="28"/>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tabs>
        <w:tab w:val="right" w:leader="dot" w:pos="8715"/>
      </w:tabs>
      <w:ind w:left="991" w:leftChars="472"/>
    </w:pPr>
    <w:rPr>
      <w:rFonts w:ascii="宋体" w:hAnsi="宋体" w:cs="HiddenHorzOCR"/>
      <w:kern w:val="0"/>
      <w:sz w:val="24"/>
    </w:rPr>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7"/>
    <w:qFormat/>
    <w:uiPriority w:val="0"/>
    <w:pPr>
      <w:ind w:firstLine="42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autoRedefine/>
    <w:qFormat/>
    <w:uiPriority w:val="20"/>
    <w:rPr>
      <w:i/>
      <w:iCs/>
    </w:rPr>
  </w:style>
  <w:style w:type="character" w:styleId="19">
    <w:name w:val="Hyperlink"/>
    <w:basedOn w:val="17"/>
    <w:autoRedefine/>
    <w:semiHidden/>
    <w:unhideWhenUsed/>
    <w:qFormat/>
    <w:uiPriority w:val="99"/>
    <w:rPr>
      <w:color w:val="0000FF"/>
      <w:u w:val="single"/>
    </w:rPr>
  </w:style>
  <w:style w:type="character" w:styleId="20">
    <w:name w:val="HTML Cite"/>
    <w:basedOn w:val="17"/>
    <w:semiHidden/>
    <w:unhideWhenUsed/>
    <w:qFormat/>
    <w:uiPriority w:val="99"/>
    <w:rPr>
      <w:i/>
      <w:iCs/>
    </w:rPr>
  </w:style>
  <w:style w:type="character" w:customStyle="1" w:styleId="21">
    <w:name w:val="页眉 Char"/>
    <w:basedOn w:val="17"/>
    <w:link w:val="11"/>
    <w:autoRedefine/>
    <w:semiHidden/>
    <w:qFormat/>
    <w:uiPriority w:val="99"/>
    <w:rPr>
      <w:sz w:val="18"/>
      <w:szCs w:val="18"/>
    </w:rPr>
  </w:style>
  <w:style w:type="character" w:customStyle="1" w:styleId="22">
    <w:name w:val="页脚 Char"/>
    <w:basedOn w:val="17"/>
    <w:link w:val="10"/>
    <w:autoRedefine/>
    <w:semiHidden/>
    <w:qFormat/>
    <w:uiPriority w:val="99"/>
    <w:rPr>
      <w:sz w:val="18"/>
      <w:szCs w:val="18"/>
    </w:rPr>
  </w:style>
  <w:style w:type="character" w:customStyle="1" w:styleId="23">
    <w:name w:val="标题 3 Char"/>
    <w:basedOn w:val="17"/>
    <w:link w:val="2"/>
    <w:autoRedefine/>
    <w:qFormat/>
    <w:uiPriority w:val="9"/>
    <w:rPr>
      <w:rFonts w:ascii="宋体" w:hAnsi="宋体" w:eastAsia="宋体" w:cs="宋体"/>
      <w:b/>
      <w:bCs/>
      <w:kern w:val="0"/>
      <w:sz w:val="27"/>
      <w:szCs w:val="27"/>
    </w:rPr>
  </w:style>
  <w:style w:type="character" w:customStyle="1" w:styleId="24">
    <w:name w:val="fw_ext"/>
    <w:basedOn w:val="17"/>
    <w:autoRedefine/>
    <w:qFormat/>
    <w:uiPriority w:val="0"/>
  </w:style>
  <w:style w:type="character" w:customStyle="1" w:styleId="25">
    <w:name w:val="批注框文本 Char"/>
    <w:basedOn w:val="17"/>
    <w:link w:val="9"/>
    <w:semiHidden/>
    <w:qFormat/>
    <w:uiPriority w:val="99"/>
    <w:rPr>
      <w:sz w:val="18"/>
      <w:szCs w:val="18"/>
    </w:rPr>
  </w:style>
  <w:style w:type="paragraph" w:customStyle="1" w:styleId="26">
    <w:name w:val="*正文"/>
    <w:basedOn w:val="1"/>
    <w:autoRedefine/>
    <w:qFormat/>
    <w:uiPriority w:val="0"/>
    <w:pPr>
      <w:widowControl/>
      <w:spacing w:line="360" w:lineRule="auto"/>
      <w:ind w:firstLine="200" w:firstLineChars="200"/>
      <w:contextualSpacing/>
    </w:pPr>
    <w:rPr>
      <w:rFonts w:ascii="time" w:hAnsi="time"/>
      <w:kern w:val="0"/>
      <w:sz w:val="24"/>
      <w:lang w:bidi="en-US"/>
    </w:rPr>
  </w:style>
  <w:style w:type="paragraph" w:styleId="27">
    <w:name w:val="List Paragraph"/>
    <w:basedOn w:val="1"/>
    <w:autoRedefine/>
    <w:unhideWhenUsed/>
    <w:qFormat/>
    <w:uiPriority w:val="99"/>
    <w:pPr>
      <w:ind w:firstLine="420" w:firstLineChars="200"/>
    </w:pPr>
  </w:style>
  <w:style w:type="paragraph" w:customStyle="1" w:styleId="28">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1432</Characters>
  <Lines>9</Lines>
  <Paragraphs>2</Paragraphs>
  <TotalTime>2</TotalTime>
  <ScaleCrop>false</ScaleCrop>
  <LinksUpToDate>false</LinksUpToDate>
  <CharactersWithSpaces>1437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记住这个夏天</cp:lastModifiedBy>
  <cp:lastPrinted>2022-06-06T07:51:00Z</cp:lastPrinted>
  <dcterms:modified xsi:type="dcterms:W3CDTF">2024-01-04T01:13:21Z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2695ED9187CA492F88ADE0644018A80B</vt:lpwstr>
  </property>
</Properties>
</file>