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jc w:val="center"/>
        <w:textAlignment w:val="auto"/>
        <w:rPr>
          <w:b/>
          <w:bCs/>
          <w:color w:val="0A82E5"/>
          <w:sz w:val="36"/>
          <w:szCs w:val="36"/>
        </w:rPr>
      </w:pPr>
      <w:r>
        <w:rPr>
          <w:rFonts w:ascii="宋体" w:hAnsi="宋体" w:eastAsia="宋体" w:cs="宋体"/>
          <w:b/>
          <w:bCs/>
          <w:color w:val="0A82E5"/>
          <w:kern w:val="0"/>
          <w:sz w:val="36"/>
          <w:szCs w:val="36"/>
          <w:bdr w:val="none" w:color="auto" w:sz="0" w:space="0"/>
          <w:lang w:val="en-US" w:eastAsia="zh-CN" w:bidi="ar"/>
        </w:rPr>
        <w:t>榆林市应急管理局关于采购应急物资布草货物项目竞争性谈判公告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关于采购应急物资布草货物项目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项目编号：YLRTCG-2023-84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项目名称：关于采购应急物资布草货物项目</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预算金额：297,500.00元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合同包1(采购应急物资布草货物项目):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合同包预算金额：297,500.00元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合同包最高限价：297,500.00元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5"/>
        <w:gridCol w:w="1132"/>
        <w:gridCol w:w="862"/>
        <w:gridCol w:w="1209"/>
        <w:gridCol w:w="1757"/>
        <w:gridCol w:w="1430"/>
        <w:gridCol w:w="1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其他床上装具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297500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500(套)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297,500.00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297,500.00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合同履行期限：合同签订之日起7个日历天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合同包1(采购应急物资布草货物项目)落实政府采购政策需满足的资格要求如下: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(2)《财政部司法部关于政府采购支持监狱企业发展有关问题的通知》（财库〔225〕68号）；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(3)《国务院办公厅关于建立政府强制采购节能货物制度的通知》（国办发〔2007〕51号）；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(4)《环境标志货物政府采购实施的意见》（财库[2006]90号）；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(5)《节能货物政府采购实施意见》（财库[2004]185号）；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(7)《榆林市财政局关于进一步加大政府采购支持中小企业力度的通知》陕财办采函(2022]10号；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(9)陕西省财政厅关于印发《陕西省中小企业政府采购信用融资办法》(陕财办采(2018)23号)相关政策、业务流程、办理平台(http://www.ccgp-shaanxi.gov.cn/zodservice/zcd/shanxi/)；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(10)《关于在政府采购活动中查询及使用信用记录有关问题的通知》(财库(2016]125号)；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合同包1(采购应急物资布草货物项目)特定资格要求如下: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（3）财务状况报告：提供2021年或2022年度的财务审计报告（至少包括资产负债表、利润表、现金流量表及其附注）或2023年1月至投标截止时间止任意一个月基本账户银行出具的资信证明；；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（4）税收缴纳证明：提供2023年1月1日至投标截止时间止至少一个月完税证明，完税证明上应有税务机关的公章（加盖公章复印件）；依法免税的供应商应提供相关文件证明；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（5）社会保障资金缴纳证明：提供2023年1月1日至投标截止时间止至少一个月的社会保障资金缴存单据或社保机构开具的社会保险参保缴费情况证明；依法不需要缴纳社会保障资金的应提供相关文件证明；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（6）本项目以“投标信用承诺书”代替投标保证金；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（7）本项目专门面向小微企业采购，投标人须提供中小企业声明函；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2023年10月30日 至 2023年11月01日 ，每天上午 08:00:00 至 12:00:00 ，下午 12:00:00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陕西省公共资源交易平台CA锁自行下载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榆林市高新技术产业园区兴达路和顺嘉府5号楼一二层5号（榆林瑞通工程项目管理有限公司）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榆林市高新技术产业园区兴达路和顺嘉府5号楼一二层5号（榆林瑞通工程项目管理有限公司）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1.本项目不接受联合体投标，单位负责人为同一人或者存在直接控股、管理关系的不同供应商，不得参加同一合同项下的政府采购活动。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2.本项目专门面向小微企业采购。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3.以上为必备证明文件，不能全部提供的将拒绝其投标；电子文件附扫描件加签章(若有与法律规定不一致的，须按现行法律法规提供相应证书或材料)。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4.供应商依据《政府采购促进中小企业发展管理办法》相关规定享受扶持政策获得政府采购合同的，小微企业不得将合同分包给大中型企业，中型企业不得将合同分包给大型企业。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5.供应商可登录全国公共资源交易中心平台(陕西省)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6.请各供应商获取采购文件后，按照陕西省财政厅《关于政府采购投标供应商注册登记有关事项的通知》要求，通过陕西省政府采购(http://www.ccgp-shaanxi.gov.cn/)注册登记加入陕西省政府采购投标供应商库。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榆林市应急管理局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榆林市明珠大道26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15029320333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榆林瑞通工程项目管理有限公司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陕西省榆林市市辖区陕西省榆林市高新技术产业园区兴达路和顺嘉府5号楼一二层5号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0912-3649990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吕珍珍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0912-3649990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榆林瑞通工程项目管理有限公司</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微软雅黑" w:hAnsi="微软雅黑" w:eastAsia="微软雅黑" w:cs="微软雅黑"/>
          <w:sz w:val="21"/>
          <w:szCs w:val="21"/>
        </w:rPr>
      </w:pPr>
    </w:p>
    <w:p>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jA0N2NmMTJkM2YwMjkwMzcwZWM4Y2IzZDM1MjEifQ=="/>
  </w:docVars>
  <w:rsids>
    <w:rsidRoot w:val="1A8D4100"/>
    <w:rsid w:val="1A8D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2023-10-29T08:17:00Z</dcterms:created>
  <dc:creator>Lv Zhenzhen</dc:creator>
  <cp:lastModifiedBy>Lv Zhenzhen</cp:lastModifiedBy>
  <dcterms:modified xsi:type="dcterms:W3CDTF">2023-10-29T08:17:53Z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86F208E010C94DAAAD647973A01ED7C2_11</vt:lpwstr>
  </property>
</Properties>
</file>