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color w:val="auto"/>
          <w:sz w:val="44"/>
          <w:szCs w:val="44"/>
          <w:highlight w:val="none"/>
          <w:lang w:eastAsia="zh-CN"/>
        </w:rPr>
      </w:pPr>
      <w:r>
        <w:rPr>
          <w:rFonts w:hint="eastAsia" w:ascii="宋体" w:hAnsi="宋体" w:cs="宋体"/>
          <w:b/>
          <w:color w:val="auto"/>
          <w:sz w:val="28"/>
          <w:szCs w:val="28"/>
          <w:highlight w:val="none"/>
        </w:rPr>
        <w:t>项目编号：</w:t>
      </w:r>
      <w:r>
        <w:rPr>
          <w:rFonts w:hint="eastAsia" w:ascii="宋体" w:hAnsi="宋体" w:cs="宋体"/>
          <w:b/>
          <w:color w:val="auto"/>
          <w:sz w:val="28"/>
          <w:szCs w:val="28"/>
          <w:highlight w:val="none"/>
          <w:lang w:eastAsia="zh-CN"/>
        </w:rPr>
        <w:t>SXKR2023-YL003</w:t>
      </w:r>
    </w:p>
    <w:p>
      <w:pPr>
        <w:pStyle w:val="36"/>
        <w:ind w:left="840"/>
        <w:jc w:val="both"/>
        <w:rPr>
          <w:rFonts w:hint="eastAsia" w:ascii="宋体" w:hAnsi="宋体"/>
          <w:b/>
          <w:bCs/>
          <w:color w:val="auto"/>
          <w:sz w:val="16"/>
          <w:szCs w:val="40"/>
          <w:highlight w:val="none"/>
          <w:shd w:val="clear" w:color="auto" w:fill="FFFFFF"/>
        </w:rPr>
      </w:pPr>
      <w:r>
        <w:rPr>
          <w:rFonts w:hint="eastAsia" w:ascii="宋体" w:hAnsi="宋体"/>
          <w:b/>
          <w:bCs/>
          <w:color w:val="auto"/>
          <w:sz w:val="16"/>
          <w:szCs w:val="40"/>
          <w:highlight w:val="none"/>
          <w:shd w:val="clear" w:color="auto" w:fill="FFFFFF"/>
        </w:rPr>
        <w:t xml:space="preserve"> </w:t>
      </w:r>
    </w:p>
    <w:p>
      <w:pPr>
        <w:pStyle w:val="36"/>
        <w:ind w:left="840"/>
        <w:jc w:val="both"/>
        <w:rPr>
          <w:rFonts w:hint="eastAsia" w:ascii="楷体" w:hAnsi="楷体" w:eastAsia="楷体" w:cs="楷体"/>
          <w:b/>
          <w:bCs/>
          <w:color w:val="auto"/>
          <w:sz w:val="36"/>
          <w:szCs w:val="36"/>
          <w:highlight w:val="none"/>
        </w:rPr>
      </w:pPr>
    </w:p>
    <w:p>
      <w:pPr>
        <w:pStyle w:val="8"/>
        <w:ind w:left="0" w:leftChars="0" w:firstLine="0" w:firstLineChars="0"/>
        <w:jc w:val="center"/>
        <w:rPr>
          <w:rFonts w:hint="eastAsia" w:ascii="宋体" w:hAnsi="宋体" w:eastAsia="宋体" w:cs="宋体"/>
          <w:b/>
          <w:bCs/>
          <w:color w:val="auto"/>
          <w:sz w:val="48"/>
          <w:szCs w:val="48"/>
          <w:highlight w:val="none"/>
        </w:rPr>
      </w:pPr>
    </w:p>
    <w:p>
      <w:pPr>
        <w:pStyle w:val="18"/>
        <w:jc w:val="center"/>
        <w:rPr>
          <w:rFonts w:hint="eastAsia" w:ascii="宋体" w:hAnsi="宋体" w:cs="宋体"/>
          <w:b/>
          <w:bCs/>
          <w:color w:val="auto"/>
          <w:sz w:val="72"/>
          <w:szCs w:val="72"/>
          <w:highlight w:val="none"/>
          <w:lang w:eastAsia="zh-CN"/>
        </w:rPr>
      </w:pPr>
      <w:r>
        <w:rPr>
          <w:rFonts w:hint="eastAsia" w:ascii="宋体" w:hAnsi="宋体" w:cs="宋体"/>
          <w:b/>
          <w:bCs/>
          <w:color w:val="auto"/>
          <w:sz w:val="72"/>
          <w:szCs w:val="72"/>
          <w:highlight w:val="none"/>
          <w:lang w:eastAsia="zh-CN"/>
        </w:rPr>
        <w:t>榆林市行政审批服务局</w:t>
      </w:r>
    </w:p>
    <w:p>
      <w:pPr>
        <w:pStyle w:val="18"/>
        <w:jc w:val="center"/>
        <w:rPr>
          <w:rFonts w:hint="eastAsia"/>
          <w:color w:val="auto"/>
          <w:sz w:val="22"/>
          <w:szCs w:val="28"/>
          <w:highlight w:val="none"/>
        </w:rPr>
      </w:pPr>
      <w:r>
        <w:rPr>
          <w:rFonts w:hint="eastAsia" w:ascii="宋体" w:hAnsi="宋体" w:cs="宋体"/>
          <w:b/>
          <w:bCs/>
          <w:color w:val="auto"/>
          <w:sz w:val="72"/>
          <w:szCs w:val="72"/>
          <w:highlight w:val="none"/>
          <w:lang w:eastAsia="zh-CN"/>
        </w:rPr>
        <w:t>网络运维服务</w:t>
      </w:r>
    </w:p>
    <w:p>
      <w:pPr>
        <w:pStyle w:val="18"/>
        <w:rPr>
          <w:rFonts w:hint="eastAsia"/>
          <w:color w:val="auto"/>
          <w:sz w:val="22"/>
          <w:szCs w:val="28"/>
          <w:highlight w:val="none"/>
        </w:rPr>
      </w:pPr>
    </w:p>
    <w:p>
      <w:pPr>
        <w:pStyle w:val="18"/>
        <w:rPr>
          <w:rFonts w:hint="eastAsia"/>
          <w:color w:val="auto"/>
          <w:sz w:val="22"/>
          <w:szCs w:val="28"/>
          <w:highlight w:val="none"/>
        </w:rPr>
      </w:pPr>
    </w:p>
    <w:p>
      <w:pPr>
        <w:pStyle w:val="18"/>
        <w:rPr>
          <w:rFonts w:hint="eastAsia"/>
          <w:color w:val="auto"/>
          <w:sz w:val="22"/>
          <w:szCs w:val="28"/>
          <w:highlight w:val="none"/>
        </w:rPr>
      </w:pPr>
    </w:p>
    <w:p>
      <w:pPr>
        <w:jc w:val="center"/>
        <w:rPr>
          <w:rFonts w:hint="eastAsia" w:ascii="宋体" w:hAnsi="宋体"/>
          <w:b/>
          <w:color w:val="auto"/>
          <w:spacing w:val="100"/>
          <w:sz w:val="72"/>
          <w:szCs w:val="72"/>
          <w:highlight w:val="none"/>
        </w:rPr>
      </w:pPr>
      <w:r>
        <w:rPr>
          <w:rFonts w:hint="eastAsia" w:ascii="宋体" w:hAnsi="宋体"/>
          <w:b/>
          <w:color w:val="auto"/>
          <w:spacing w:val="100"/>
          <w:sz w:val="96"/>
          <w:szCs w:val="96"/>
          <w:highlight w:val="none"/>
          <w:lang w:eastAsia="zh-CN"/>
        </w:rPr>
        <w:t>竞争性磋商文件</w:t>
      </w:r>
    </w:p>
    <w:p>
      <w:pPr>
        <w:jc w:val="center"/>
        <w:rPr>
          <w:rFonts w:hint="eastAsia" w:ascii="宋体" w:hAnsi="宋体" w:cs="宋体"/>
          <w:b/>
          <w:color w:val="auto"/>
          <w:sz w:val="28"/>
          <w:szCs w:val="28"/>
          <w:highlight w:val="none"/>
        </w:rPr>
      </w:pPr>
    </w:p>
    <w:p>
      <w:pPr>
        <w:spacing w:line="360" w:lineRule="auto"/>
        <w:rPr>
          <w:rFonts w:ascii="黑体" w:eastAsia="黑体"/>
          <w:b/>
          <w:bCs/>
          <w:color w:val="auto"/>
          <w:sz w:val="30"/>
          <w:szCs w:val="30"/>
          <w:highlight w:val="none"/>
        </w:rPr>
      </w:pPr>
    </w:p>
    <w:p>
      <w:pPr>
        <w:pStyle w:val="2"/>
        <w:rPr>
          <w:rFonts w:ascii="黑体" w:eastAsia="黑体"/>
          <w:b/>
          <w:bCs/>
          <w:color w:val="auto"/>
          <w:sz w:val="30"/>
          <w:szCs w:val="30"/>
          <w:highlight w:val="none"/>
        </w:rPr>
      </w:pPr>
    </w:p>
    <w:p>
      <w:pPr>
        <w:pStyle w:val="37"/>
        <w:ind w:left="0" w:leftChars="0" w:firstLine="0" w:firstLineChars="0"/>
        <w:rPr>
          <w:rFonts w:ascii="黑体" w:eastAsia="黑体"/>
          <w:b/>
          <w:bCs/>
          <w:color w:val="auto"/>
          <w:sz w:val="30"/>
          <w:szCs w:val="30"/>
          <w:highlight w:val="none"/>
        </w:rPr>
      </w:pPr>
    </w:p>
    <w:p>
      <w:pPr>
        <w:pStyle w:val="37"/>
        <w:ind w:left="0" w:leftChars="0" w:firstLine="0" w:firstLineChars="0"/>
        <w:rPr>
          <w:rFonts w:ascii="黑体" w:eastAsia="黑体"/>
          <w:b/>
          <w:bCs/>
          <w:color w:val="auto"/>
          <w:sz w:val="30"/>
          <w:szCs w:val="30"/>
          <w:highlight w:val="none"/>
        </w:rPr>
      </w:pPr>
    </w:p>
    <w:p>
      <w:pPr>
        <w:pStyle w:val="37"/>
        <w:ind w:firstLine="602"/>
        <w:rPr>
          <w:rFonts w:ascii="黑体" w:eastAsia="黑体"/>
          <w:b/>
          <w:bCs/>
          <w:color w:val="auto"/>
          <w:sz w:val="30"/>
          <w:szCs w:val="30"/>
          <w:highlight w:val="none"/>
        </w:rPr>
      </w:pPr>
    </w:p>
    <w:p>
      <w:pPr>
        <w:spacing w:line="360" w:lineRule="auto"/>
        <w:ind w:firstLine="904" w:firstLineChars="300"/>
        <w:rPr>
          <w:rFonts w:hint="eastAsia" w:ascii="宋体" w:hAnsi="宋体" w:eastAsia="宋体" w:cs="宋体"/>
          <w:b/>
          <w:bCs/>
          <w:color w:val="auto"/>
          <w:sz w:val="30"/>
          <w:szCs w:val="30"/>
          <w:highlight w:val="none"/>
          <w:lang w:eastAsia="zh-CN"/>
        </w:rPr>
      </w:pPr>
      <w:r>
        <w:rPr>
          <w:rFonts w:hint="eastAsia" w:ascii="宋体" w:hAnsi="宋体" w:cs="宋体"/>
          <w:b/>
          <w:bCs/>
          <w:color w:val="auto"/>
          <w:sz w:val="30"/>
          <w:szCs w:val="30"/>
          <w:highlight w:val="none"/>
          <w:lang w:eastAsia="zh-CN"/>
        </w:rPr>
        <w:t>采</w:t>
      </w:r>
      <w:r>
        <w:rPr>
          <w:rFonts w:hint="eastAsia" w:ascii="宋体" w:hAnsi="宋体" w:cs="宋体"/>
          <w:b/>
          <w:bCs/>
          <w:color w:val="auto"/>
          <w:sz w:val="30"/>
          <w:szCs w:val="30"/>
          <w:highlight w:val="none"/>
          <w:lang w:val="en-US" w:eastAsia="zh-CN"/>
        </w:rPr>
        <w:t xml:space="preserve"> </w:t>
      </w:r>
      <w:r>
        <w:rPr>
          <w:rFonts w:hint="eastAsia" w:ascii="宋体" w:hAnsi="宋体" w:cs="宋体"/>
          <w:b/>
          <w:bCs/>
          <w:color w:val="auto"/>
          <w:sz w:val="30"/>
          <w:szCs w:val="30"/>
          <w:highlight w:val="none"/>
          <w:lang w:eastAsia="zh-CN"/>
        </w:rPr>
        <w:t>购</w:t>
      </w:r>
      <w:r>
        <w:rPr>
          <w:rFonts w:hint="eastAsia" w:ascii="宋体" w:hAnsi="宋体" w:cs="宋体"/>
          <w:b/>
          <w:bCs/>
          <w:color w:val="auto"/>
          <w:sz w:val="30"/>
          <w:szCs w:val="30"/>
          <w:highlight w:val="none"/>
        </w:rPr>
        <w:t xml:space="preserve"> 人：</w:t>
      </w:r>
      <w:r>
        <w:rPr>
          <w:rFonts w:hint="eastAsia" w:ascii="宋体" w:hAnsi="宋体" w:cs="宋体"/>
          <w:b/>
          <w:bCs/>
          <w:color w:val="auto"/>
          <w:sz w:val="30"/>
          <w:szCs w:val="30"/>
          <w:highlight w:val="none"/>
          <w:lang w:eastAsia="zh-CN"/>
        </w:rPr>
        <w:t>榆林市行政审批服务局</w:t>
      </w:r>
    </w:p>
    <w:p>
      <w:pPr>
        <w:spacing w:line="360" w:lineRule="auto"/>
        <w:ind w:firstLine="741" w:firstLineChars="246"/>
        <w:rPr>
          <w:rFonts w:hint="eastAsia" w:ascii="宋体" w:hAnsi="宋体" w:cs="宋体"/>
          <w:b/>
          <w:bCs/>
          <w:color w:val="auto"/>
          <w:sz w:val="30"/>
          <w:szCs w:val="30"/>
          <w:highlight w:val="none"/>
        </w:rPr>
      </w:pPr>
    </w:p>
    <w:p>
      <w:pPr>
        <w:spacing w:line="360" w:lineRule="auto"/>
        <w:ind w:firstLine="904" w:firstLineChars="300"/>
        <w:jc w:val="both"/>
        <w:rPr>
          <w:rFonts w:hint="eastAsia" w:ascii="宋体" w:hAnsi="宋体" w:eastAsia="宋体" w:cs="宋体"/>
          <w:b/>
          <w:bCs/>
          <w:color w:val="auto"/>
          <w:sz w:val="30"/>
          <w:szCs w:val="30"/>
          <w:highlight w:val="none"/>
          <w:lang w:eastAsia="zh-CN"/>
        </w:rPr>
      </w:pPr>
      <w:r>
        <w:rPr>
          <w:rFonts w:hint="eastAsia" w:ascii="宋体" w:hAnsi="宋体" w:cs="宋体"/>
          <w:b/>
          <w:color w:val="auto"/>
          <w:sz w:val="30"/>
          <w:szCs w:val="30"/>
          <w:highlight w:val="none"/>
        </w:rPr>
        <w:t>采购代理机构：</w:t>
      </w:r>
      <w:r>
        <w:rPr>
          <w:rFonts w:hint="eastAsia" w:ascii="宋体" w:hAnsi="宋体" w:cs="宋体"/>
          <w:b/>
          <w:bCs/>
          <w:color w:val="auto"/>
          <w:sz w:val="30"/>
          <w:szCs w:val="30"/>
          <w:highlight w:val="none"/>
          <w:lang w:eastAsia="zh-CN"/>
        </w:rPr>
        <w:t>开瑞项目管理有限公司</w:t>
      </w:r>
    </w:p>
    <w:p>
      <w:pPr>
        <w:spacing w:line="360" w:lineRule="auto"/>
        <w:jc w:val="center"/>
        <w:rPr>
          <w:rFonts w:hint="eastAsia" w:ascii="宋体" w:hAnsi="宋体" w:cs="宋体"/>
          <w:b/>
          <w:color w:val="auto"/>
          <w:sz w:val="30"/>
          <w:szCs w:val="30"/>
          <w:highlight w:val="none"/>
        </w:rPr>
      </w:pPr>
    </w:p>
    <w:p>
      <w:pPr>
        <w:spacing w:line="360" w:lineRule="auto"/>
        <w:jc w:val="center"/>
        <w:rPr>
          <w:rFonts w:hint="eastAsia" w:ascii="宋体" w:hAnsi="宋体" w:eastAsia="宋体" w:cs="宋体"/>
          <w:bCs/>
          <w:color w:val="auto"/>
          <w:sz w:val="24"/>
          <w:szCs w:val="21"/>
          <w:highlight w:val="none"/>
          <w:lang w:eastAsia="zh-CN"/>
        </w:rPr>
      </w:pPr>
      <w:r>
        <w:rPr>
          <w:rFonts w:hint="eastAsia" w:ascii="宋体" w:hAnsi="宋体" w:cs="宋体"/>
          <w:b/>
          <w:color w:val="auto"/>
          <w:sz w:val="30"/>
          <w:szCs w:val="30"/>
          <w:highlight w:val="none"/>
          <w:lang w:eastAsia="zh-CN"/>
        </w:rPr>
        <w:t>二〇二三年</w:t>
      </w:r>
      <w:r>
        <w:rPr>
          <w:rFonts w:hint="eastAsia" w:ascii="宋体" w:hAnsi="宋体" w:cs="宋体"/>
          <w:b/>
          <w:color w:val="auto"/>
          <w:sz w:val="30"/>
          <w:szCs w:val="30"/>
          <w:highlight w:val="none"/>
          <w:lang w:val="en-US" w:eastAsia="zh-CN"/>
        </w:rPr>
        <w:t>四</w:t>
      </w:r>
      <w:r>
        <w:rPr>
          <w:rFonts w:hint="eastAsia" w:ascii="宋体" w:hAnsi="宋体" w:cs="宋体"/>
          <w:b/>
          <w:color w:val="auto"/>
          <w:sz w:val="30"/>
          <w:szCs w:val="30"/>
          <w:highlight w:val="none"/>
          <w:lang w:eastAsia="zh-CN"/>
        </w:rPr>
        <w:t>月</w:t>
      </w:r>
    </w:p>
    <w:p>
      <w:pPr>
        <w:pStyle w:val="4"/>
        <w:spacing w:line="360" w:lineRule="auto"/>
        <w:rPr>
          <w:rFonts w:hint="eastAsia" w:ascii="宋体" w:hAnsi="宋体" w:eastAsia="宋体" w:cs="宋体"/>
          <w:bCs/>
          <w:color w:val="auto"/>
          <w:sz w:val="40"/>
          <w:szCs w:val="21"/>
          <w:highlight w:val="none"/>
        </w:rPr>
        <w:sectPr>
          <w:headerReference r:id="rId5" w:type="first"/>
          <w:headerReference r:id="rId3" w:type="default"/>
          <w:footerReference r:id="rId6" w:type="default"/>
          <w:headerReference r:id="rId4" w:type="even"/>
          <w:footerReference r:id="rId7" w:type="even"/>
          <w:pgSz w:w="11906" w:h="16838"/>
          <w:pgMar w:top="1418" w:right="1418" w:bottom="1418" w:left="1417" w:header="737" w:footer="737" w:gutter="0"/>
          <w:pgNumType w:fmt="decimal" w:start="1"/>
          <w:cols w:space="720" w:num="1"/>
          <w:titlePg/>
          <w:docGrid w:linePitch="312" w:charSpace="0"/>
        </w:sectPr>
      </w:pPr>
    </w:p>
    <w:p>
      <w:pPr>
        <w:spacing w:before="0" w:beforeLines="0" w:after="0" w:afterLines="0" w:line="480" w:lineRule="auto"/>
        <w:ind w:left="0" w:leftChars="0" w:right="0" w:rightChars="0" w:firstLine="0" w:firstLineChars="0"/>
        <w:jc w:val="center"/>
        <w:rPr>
          <w:rFonts w:ascii="宋体" w:hAnsi="宋体" w:eastAsia="宋体" w:cs="Times New Roman"/>
          <w:sz w:val="21"/>
          <w:szCs w:val="28"/>
          <w:highlight w:val="none"/>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宋体"/>
          <w:b/>
          <w:bCs/>
          <w:color w:val="auto"/>
          <w:sz w:val="28"/>
          <w:szCs w:val="28"/>
          <w:highlight w:val="none"/>
        </w:rPr>
      </w:pPr>
      <w:r>
        <w:rPr>
          <w:rFonts w:hint="eastAsia" w:ascii="宋体" w:hAnsi="宋体" w:eastAsia="宋体" w:cs="宋体"/>
          <w:b/>
          <w:bCs/>
          <w:sz w:val="32"/>
          <w:szCs w:val="32"/>
          <w:highlight w:val="none"/>
        </w:rPr>
        <w:t>目</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录</w:t>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TOC \o "1-1" \h \u </w:instrText>
      </w:r>
      <w:r>
        <w:rPr>
          <w:rFonts w:hint="eastAsia" w:ascii="宋体" w:hAnsi="宋体" w:eastAsia="宋体" w:cs="宋体"/>
          <w:b/>
          <w:bCs/>
          <w:color w:val="auto"/>
          <w:sz w:val="28"/>
          <w:szCs w:val="28"/>
          <w:highlight w:val="none"/>
        </w:rPr>
        <w:fldChar w:fldCharType="separate"/>
      </w:r>
    </w:p>
    <w:p>
      <w:pPr>
        <w:pStyle w:val="38"/>
        <w:tabs>
          <w:tab w:val="right" w:leader="dot" w:pos="9746"/>
        </w:tabs>
        <w:spacing w:line="72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HYPERLINK \l _Toc8742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第一章  磋商公告</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_Toc8742 \h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38"/>
        <w:tabs>
          <w:tab w:val="right" w:leader="dot" w:pos="9746"/>
        </w:tabs>
        <w:spacing w:line="72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HYPERLINK \l _Toc11322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第二章  供应商须知</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_Toc11322 \h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38"/>
        <w:tabs>
          <w:tab w:val="right" w:leader="dot" w:pos="9746"/>
        </w:tabs>
        <w:spacing w:line="72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HYPERLINK \l _Toc11286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第三章  合同条款及格式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lang w:val="en-US" w:eastAsia="zh-CN"/>
        </w:rPr>
        <w:t>3</w:t>
      </w:r>
    </w:p>
    <w:p>
      <w:pPr>
        <w:pStyle w:val="38"/>
        <w:tabs>
          <w:tab w:val="right" w:leader="dot" w:pos="9746"/>
        </w:tabs>
        <w:spacing w:line="72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HYPERLINK \l _Toc14307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 xml:space="preserve">第四章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项目采购内容及技术要求</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_Toc14307 \h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23</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38"/>
        <w:tabs>
          <w:tab w:val="right" w:leader="dot" w:pos="9746"/>
        </w:tabs>
        <w:spacing w:line="72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HYPERLINK \l _Toc5729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第五章</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评审方法</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_Toc5729 \h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34</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38"/>
        <w:tabs>
          <w:tab w:val="right" w:leader="dot" w:pos="9746"/>
        </w:tabs>
        <w:spacing w:line="720" w:lineRule="auto"/>
        <w:rPr>
          <w:rFonts w:hint="eastAsia" w:ascii="宋体" w:hAnsi="宋体" w:eastAsia="宋体" w:cs="宋体"/>
          <w:b/>
          <w:bCs/>
          <w:color w:val="auto"/>
          <w:sz w:val="28"/>
          <w:szCs w:val="28"/>
          <w:highlight w:val="none"/>
        </w:rPr>
        <w:sectPr>
          <w:headerReference r:id="rId9" w:type="first"/>
          <w:footerReference r:id="rId11" w:type="first"/>
          <w:headerReference r:id="rId8" w:type="default"/>
          <w:footerReference r:id="rId10" w:type="default"/>
          <w:pgSz w:w="11906" w:h="16838"/>
          <w:pgMar w:top="1440" w:right="1080" w:bottom="1440" w:left="1080" w:header="851" w:footer="992" w:gutter="0"/>
          <w:pgNumType w:fmt="decimal" w:start="1"/>
          <w:cols w:space="720" w:num="1"/>
          <w:titlePg/>
          <w:docGrid w:linePitch="312" w:charSpace="0"/>
        </w:sect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HYPERLINK \l _Toc2070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第六章</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磋商响应文件格式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_Toc2070 \h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42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39"/>
        <w:spacing w:line="480" w:lineRule="auto"/>
        <w:rPr>
          <w:rFonts w:ascii="宋体" w:hAnsi="宋体" w:eastAsia="宋体" w:cs="宋体"/>
          <w:color w:val="auto"/>
          <w:highlight w:val="none"/>
        </w:rPr>
      </w:pPr>
      <w:bookmarkStart w:id="0" w:name="_Toc8742"/>
      <w:r>
        <w:rPr>
          <w:rFonts w:hint="eastAsia" w:ascii="宋体" w:hAnsi="宋体" w:eastAsia="宋体" w:cs="宋体"/>
          <w:color w:val="auto"/>
          <w:highlight w:val="none"/>
        </w:rPr>
        <w:t>第一章  磋商公告</w:t>
      </w:r>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line="480" w:lineRule="atLeast"/>
        <w:ind w:left="0" w:firstLine="0"/>
        <w:jc w:val="center"/>
        <w:rPr>
          <w:rFonts w:ascii="微软雅黑" w:hAnsi="微软雅黑" w:eastAsia="微软雅黑" w:cs="微软雅黑"/>
          <w:b/>
          <w:bCs/>
          <w:i w:val="0"/>
          <w:iCs w:val="0"/>
          <w:caps w:val="0"/>
          <w:color w:val="0A82E5"/>
          <w:spacing w:val="0"/>
          <w:sz w:val="36"/>
          <w:szCs w:val="36"/>
        </w:rPr>
      </w:pPr>
      <w:bookmarkStart w:id="1" w:name="_Toc389582035"/>
      <w:bookmarkStart w:id="2" w:name="_Toc2929"/>
      <w:bookmarkStart w:id="3" w:name="_Toc29249"/>
      <w:bookmarkStart w:id="4" w:name="_Toc11322"/>
      <w:bookmarkStart w:id="5" w:name="_Toc423973072"/>
      <w:r>
        <w:rPr>
          <w:rFonts w:hint="eastAsia" w:ascii="微软雅黑" w:hAnsi="微软雅黑" w:eastAsia="微软雅黑" w:cs="微软雅黑"/>
          <w:b/>
          <w:bCs/>
          <w:i w:val="0"/>
          <w:iCs w:val="0"/>
          <w:caps w:val="0"/>
          <w:color w:val="0A82E5"/>
          <w:spacing w:val="0"/>
          <w:kern w:val="0"/>
          <w:sz w:val="36"/>
          <w:szCs w:val="36"/>
          <w:shd w:val="clear" w:color="auto" w:fill="FFFFFF"/>
          <w:lang w:val="en-US" w:eastAsia="zh-CN" w:bidi="ar"/>
        </w:rPr>
        <w:t>榆林市行政审批服务局网络运维服务竞争性磋商公告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0" w:lineRule="atLeast"/>
        <w:ind w:left="0" w:right="0"/>
        <w:jc w:val="left"/>
        <w:rPr>
          <w:b w:val="0"/>
          <w:bCs w:val="0"/>
          <w:sz w:val="21"/>
          <w:szCs w:val="21"/>
        </w:rPr>
      </w:pPr>
      <w:r>
        <w:rPr>
          <w:rStyle w:val="22"/>
          <w:b/>
          <w:bCs/>
          <w:i w:val="0"/>
          <w:iCs w:val="0"/>
          <w:caps w:val="0"/>
          <w:color w:val="333333"/>
          <w:spacing w:val="0"/>
          <w:sz w:val="21"/>
          <w:szCs w:val="21"/>
          <w:shd w:val="clear" w:color="auto" w:fill="FFFFFF"/>
        </w:rPr>
        <w:t>项目概况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lang w:eastAsia="zh-CN"/>
        </w:rPr>
        <w:t>榆林市行政审批服务局网络运维服务</w:t>
      </w:r>
      <w:r>
        <w:rPr>
          <w:rFonts w:hint="eastAsia" w:ascii="微软雅黑" w:hAnsi="微软雅黑" w:eastAsia="微软雅黑" w:cs="微软雅黑"/>
          <w:i w:val="0"/>
          <w:iCs w:val="0"/>
          <w:caps w:val="0"/>
          <w:color w:val="333333"/>
          <w:spacing w:val="0"/>
          <w:sz w:val="21"/>
          <w:szCs w:val="21"/>
          <w:shd w:val="clear" w:color="auto" w:fill="FFFFFF"/>
        </w:rPr>
        <w:t>采购项目的潜在供应商应在</w:t>
      </w:r>
      <w:r>
        <w:rPr>
          <w:rFonts w:hint="eastAsia" w:ascii="微软雅黑" w:hAnsi="微软雅黑" w:eastAsia="微软雅黑" w:cs="微软雅黑"/>
          <w:i w:val="0"/>
          <w:iCs w:val="0"/>
          <w:caps w:val="0"/>
          <w:color w:val="0A82E5"/>
          <w:spacing w:val="0"/>
          <w:sz w:val="21"/>
          <w:szCs w:val="21"/>
          <w:shd w:val="clear" w:color="auto" w:fill="FFFFFF"/>
        </w:rPr>
        <w:t>全国公共资源交易中心平台（陕西省）使用CA锁报名后自行下载</w:t>
      </w:r>
      <w:r>
        <w:rPr>
          <w:rFonts w:hint="eastAsia" w:ascii="微软雅黑" w:hAnsi="微软雅黑" w:eastAsia="微软雅黑" w:cs="微软雅黑"/>
          <w:i w:val="0"/>
          <w:iCs w:val="0"/>
          <w:caps w:val="0"/>
          <w:color w:val="333333"/>
          <w:spacing w:val="0"/>
          <w:sz w:val="21"/>
          <w:szCs w:val="21"/>
          <w:shd w:val="clear" w:color="auto" w:fill="FFFFFF"/>
        </w:rPr>
        <w:t>获取采购文件，并于</w:t>
      </w:r>
      <w:r>
        <w:rPr>
          <w:rFonts w:hint="eastAsia" w:ascii="微软雅黑" w:hAnsi="微软雅黑" w:eastAsia="微软雅黑" w:cs="微软雅黑"/>
          <w:i w:val="0"/>
          <w:iCs w:val="0"/>
          <w:caps w:val="0"/>
          <w:color w:val="0A82E5"/>
          <w:spacing w:val="0"/>
          <w:sz w:val="21"/>
          <w:szCs w:val="21"/>
          <w:shd w:val="clear" w:color="auto" w:fill="FFFFFF"/>
        </w:rPr>
        <w:t> 2023年</w:t>
      </w:r>
      <w:r>
        <w:rPr>
          <w:rFonts w:hint="eastAsia" w:ascii="微软雅黑" w:hAnsi="微软雅黑" w:eastAsia="微软雅黑" w:cs="微软雅黑"/>
          <w:i w:val="0"/>
          <w:iCs w:val="0"/>
          <w:caps w:val="0"/>
          <w:color w:val="0A82E5"/>
          <w:spacing w:val="0"/>
          <w:sz w:val="21"/>
          <w:szCs w:val="21"/>
          <w:shd w:val="clear" w:color="auto" w:fill="FFFFFF"/>
          <w:lang w:val="en-US" w:eastAsia="zh-CN"/>
        </w:rPr>
        <w:t>05</w:t>
      </w:r>
      <w:r>
        <w:rPr>
          <w:rFonts w:hint="eastAsia" w:ascii="微软雅黑" w:hAnsi="微软雅黑" w:eastAsia="微软雅黑" w:cs="微软雅黑"/>
          <w:i w:val="0"/>
          <w:iCs w:val="0"/>
          <w:caps w:val="0"/>
          <w:color w:val="0A82E5"/>
          <w:spacing w:val="0"/>
          <w:sz w:val="21"/>
          <w:szCs w:val="21"/>
          <w:shd w:val="clear" w:color="auto" w:fill="FFFFFF"/>
        </w:rPr>
        <w:t>月</w:t>
      </w:r>
      <w:r>
        <w:rPr>
          <w:rFonts w:hint="eastAsia" w:ascii="微软雅黑" w:hAnsi="微软雅黑" w:eastAsia="微软雅黑" w:cs="微软雅黑"/>
          <w:i w:val="0"/>
          <w:iCs w:val="0"/>
          <w:caps w:val="0"/>
          <w:color w:val="0A82E5"/>
          <w:spacing w:val="0"/>
          <w:sz w:val="21"/>
          <w:szCs w:val="21"/>
          <w:shd w:val="clear" w:color="auto" w:fill="FFFFFF"/>
          <w:lang w:val="en-US" w:eastAsia="zh-CN"/>
        </w:rPr>
        <w:t>06</w:t>
      </w:r>
      <w:r>
        <w:rPr>
          <w:rFonts w:hint="eastAsia" w:ascii="微软雅黑" w:hAnsi="微软雅黑" w:eastAsia="微软雅黑" w:cs="微软雅黑"/>
          <w:i w:val="0"/>
          <w:iCs w:val="0"/>
          <w:caps w:val="0"/>
          <w:color w:val="0A82E5"/>
          <w:spacing w:val="0"/>
          <w:sz w:val="21"/>
          <w:szCs w:val="21"/>
          <w:shd w:val="clear" w:color="auto" w:fill="FFFFFF"/>
        </w:rPr>
        <w:t xml:space="preserve">日 </w:t>
      </w:r>
      <w:r>
        <w:rPr>
          <w:rFonts w:hint="eastAsia" w:ascii="微软雅黑" w:hAnsi="微软雅黑" w:eastAsia="微软雅黑" w:cs="微软雅黑"/>
          <w:i w:val="0"/>
          <w:iCs w:val="0"/>
          <w:caps w:val="0"/>
          <w:color w:val="0A82E5"/>
          <w:spacing w:val="0"/>
          <w:sz w:val="21"/>
          <w:szCs w:val="21"/>
          <w:shd w:val="clear" w:color="auto" w:fill="FFFFFF"/>
          <w:lang w:val="en-US" w:eastAsia="zh-CN"/>
        </w:rPr>
        <w:t>13</w:t>
      </w:r>
      <w:r>
        <w:rPr>
          <w:rFonts w:hint="eastAsia" w:ascii="微软雅黑" w:hAnsi="微软雅黑" w:eastAsia="微软雅黑" w:cs="微软雅黑"/>
          <w:i w:val="0"/>
          <w:iCs w:val="0"/>
          <w:caps w:val="0"/>
          <w:color w:val="0A82E5"/>
          <w:spacing w:val="0"/>
          <w:sz w:val="21"/>
          <w:szCs w:val="21"/>
          <w:shd w:val="clear" w:color="auto" w:fill="FFFFFF"/>
        </w:rPr>
        <w:t>时30分 </w:t>
      </w:r>
      <w:r>
        <w:rPr>
          <w:rFonts w:hint="eastAsia" w:ascii="微软雅黑" w:hAnsi="微软雅黑" w:eastAsia="微软雅黑" w:cs="微软雅黑"/>
          <w:i w:val="0"/>
          <w:iCs w:val="0"/>
          <w:caps w:val="0"/>
          <w:color w:val="333333"/>
          <w:spacing w:val="0"/>
          <w:sz w:val="21"/>
          <w:szCs w:val="21"/>
          <w:shd w:val="clear" w:color="auto" w:fill="FFFFFF"/>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2"/>
          <w:b/>
          <w:bCs/>
          <w:i w:val="0"/>
          <w:iCs w:val="0"/>
          <w:caps w:val="0"/>
          <w:color w:val="333333"/>
          <w:spacing w:val="0"/>
          <w:sz w:val="21"/>
          <w:szCs w:val="21"/>
          <w:shd w:val="clear" w:color="auto" w:fill="FFFFFF"/>
        </w:rPr>
        <w:t>一、项目基本情况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eastAsia="微软雅黑"/>
          <w:sz w:val="21"/>
          <w:szCs w:val="21"/>
          <w:lang w:eastAsia="zh-CN"/>
        </w:rPr>
      </w:pPr>
      <w:r>
        <w:rPr>
          <w:rFonts w:hint="eastAsia" w:ascii="微软雅黑" w:hAnsi="微软雅黑" w:eastAsia="微软雅黑" w:cs="微软雅黑"/>
          <w:i w:val="0"/>
          <w:iCs w:val="0"/>
          <w:caps w:val="0"/>
          <w:color w:val="333333"/>
          <w:spacing w:val="0"/>
          <w:sz w:val="21"/>
          <w:szCs w:val="21"/>
          <w:shd w:val="clear" w:color="auto" w:fill="FFFFFF"/>
        </w:rPr>
        <w:t>项目编号：</w:t>
      </w:r>
      <w:r>
        <w:rPr>
          <w:rFonts w:hint="eastAsia" w:ascii="微软雅黑" w:hAnsi="微软雅黑" w:eastAsia="微软雅黑" w:cs="微软雅黑"/>
          <w:i w:val="0"/>
          <w:iCs w:val="0"/>
          <w:caps w:val="0"/>
          <w:color w:val="333333"/>
          <w:spacing w:val="0"/>
          <w:sz w:val="21"/>
          <w:szCs w:val="21"/>
          <w:shd w:val="clear" w:color="auto" w:fill="FFFFFF"/>
          <w:lang w:eastAsia="zh-CN"/>
        </w:rPr>
        <w:t>SXKR2023-YL003</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eastAsia="微软雅黑"/>
          <w:sz w:val="21"/>
          <w:szCs w:val="21"/>
          <w:lang w:eastAsia="zh-CN"/>
        </w:rPr>
      </w:pPr>
      <w:r>
        <w:rPr>
          <w:rFonts w:hint="eastAsia" w:ascii="微软雅黑" w:hAnsi="微软雅黑" w:eastAsia="微软雅黑" w:cs="微软雅黑"/>
          <w:i w:val="0"/>
          <w:iCs w:val="0"/>
          <w:caps w:val="0"/>
          <w:color w:val="333333"/>
          <w:spacing w:val="0"/>
          <w:sz w:val="21"/>
          <w:szCs w:val="21"/>
          <w:shd w:val="clear" w:color="auto" w:fill="FFFFFF"/>
        </w:rPr>
        <w:t>项目名称：</w:t>
      </w:r>
      <w:r>
        <w:rPr>
          <w:rFonts w:hint="eastAsia" w:ascii="微软雅黑" w:hAnsi="微软雅黑" w:eastAsia="微软雅黑" w:cs="微软雅黑"/>
          <w:i w:val="0"/>
          <w:iCs w:val="0"/>
          <w:caps w:val="0"/>
          <w:color w:val="333333"/>
          <w:spacing w:val="0"/>
          <w:sz w:val="21"/>
          <w:szCs w:val="21"/>
          <w:shd w:val="clear" w:color="auto" w:fill="FFFFFF"/>
          <w:lang w:eastAsia="zh-CN"/>
        </w:rPr>
        <w:t>榆林市行政审批服务局网络运维服务</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采购方式：竞争性磋商</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预算金额：</w:t>
      </w:r>
      <w:r>
        <w:rPr>
          <w:rFonts w:hint="eastAsia" w:ascii="微软雅黑" w:hAnsi="微软雅黑" w:eastAsia="微软雅黑" w:cs="微软雅黑"/>
          <w:i w:val="0"/>
          <w:iCs w:val="0"/>
          <w:caps w:val="0"/>
          <w:color w:val="333333"/>
          <w:spacing w:val="0"/>
          <w:sz w:val="21"/>
          <w:szCs w:val="21"/>
          <w:shd w:val="clear" w:color="auto" w:fill="FFFFFF"/>
          <w:lang w:val="en-US" w:eastAsia="zh-CN"/>
        </w:rPr>
        <w:t>893300</w:t>
      </w:r>
      <w:r>
        <w:rPr>
          <w:rFonts w:hint="eastAsia" w:ascii="微软雅黑" w:hAnsi="微软雅黑" w:eastAsia="微软雅黑" w:cs="微软雅黑"/>
          <w:i w:val="0"/>
          <w:iCs w:val="0"/>
          <w:caps w:val="0"/>
          <w:color w:val="333333"/>
          <w:spacing w:val="0"/>
          <w:sz w:val="21"/>
          <w:szCs w:val="21"/>
          <w:shd w:val="clear" w:color="auto" w:fill="FFFFFF"/>
        </w:rPr>
        <w:t>.00元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采购需求：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合同包1(</w:t>
      </w:r>
      <w:r>
        <w:rPr>
          <w:rFonts w:hint="eastAsia" w:ascii="微软雅黑" w:hAnsi="微软雅黑" w:eastAsia="微软雅黑" w:cs="微软雅黑"/>
          <w:i w:val="0"/>
          <w:iCs w:val="0"/>
          <w:caps w:val="0"/>
          <w:color w:val="333333"/>
          <w:spacing w:val="0"/>
          <w:sz w:val="21"/>
          <w:szCs w:val="21"/>
          <w:shd w:val="clear" w:color="auto" w:fill="FFFFFF"/>
          <w:lang w:eastAsia="zh-CN"/>
        </w:rPr>
        <w:t>榆林市行政审批服务局网络运维服务</w:t>
      </w:r>
      <w:r>
        <w:rPr>
          <w:rFonts w:hint="eastAsia" w:ascii="微软雅黑" w:hAnsi="微软雅黑" w:eastAsia="微软雅黑" w:cs="微软雅黑"/>
          <w:i w:val="0"/>
          <w:iCs w:val="0"/>
          <w:caps w:val="0"/>
          <w:color w:val="333333"/>
          <w:spacing w:val="0"/>
          <w:sz w:val="21"/>
          <w:szCs w:val="21"/>
          <w:shd w:val="clear" w:color="auto" w:fill="FFFFFF"/>
        </w:rPr>
        <w:t>):</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合同包预算金额：</w:t>
      </w:r>
      <w:r>
        <w:rPr>
          <w:rFonts w:hint="eastAsia" w:ascii="微软雅黑" w:hAnsi="微软雅黑" w:eastAsia="微软雅黑" w:cs="微软雅黑"/>
          <w:i w:val="0"/>
          <w:iCs w:val="0"/>
          <w:caps w:val="0"/>
          <w:color w:val="333333"/>
          <w:spacing w:val="0"/>
          <w:sz w:val="21"/>
          <w:szCs w:val="21"/>
          <w:shd w:val="clear" w:color="auto" w:fill="FFFFFF"/>
          <w:lang w:val="en-US" w:eastAsia="zh-CN"/>
        </w:rPr>
        <w:t>893300</w:t>
      </w:r>
      <w:r>
        <w:rPr>
          <w:rFonts w:hint="eastAsia" w:ascii="微软雅黑" w:hAnsi="微软雅黑" w:eastAsia="微软雅黑" w:cs="微软雅黑"/>
          <w:i w:val="0"/>
          <w:iCs w:val="0"/>
          <w:caps w:val="0"/>
          <w:color w:val="333333"/>
          <w:spacing w:val="0"/>
          <w:sz w:val="21"/>
          <w:szCs w:val="21"/>
          <w:shd w:val="clear" w:color="auto" w:fill="FFFFFF"/>
        </w:rPr>
        <w:t>.00元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合同包最高限价：</w:t>
      </w:r>
      <w:r>
        <w:rPr>
          <w:rFonts w:hint="eastAsia" w:ascii="微软雅黑" w:hAnsi="微软雅黑" w:eastAsia="微软雅黑" w:cs="微软雅黑"/>
          <w:i w:val="0"/>
          <w:iCs w:val="0"/>
          <w:caps w:val="0"/>
          <w:color w:val="333333"/>
          <w:spacing w:val="0"/>
          <w:sz w:val="21"/>
          <w:szCs w:val="21"/>
          <w:shd w:val="clear" w:color="auto" w:fill="FFFFFF"/>
          <w:lang w:val="en-US" w:eastAsia="zh-CN"/>
        </w:rPr>
        <w:t>893300</w:t>
      </w:r>
      <w:r>
        <w:rPr>
          <w:rFonts w:hint="eastAsia" w:ascii="微软雅黑" w:hAnsi="微软雅黑" w:eastAsia="微软雅黑" w:cs="微软雅黑"/>
          <w:i w:val="0"/>
          <w:iCs w:val="0"/>
          <w:caps w:val="0"/>
          <w:color w:val="333333"/>
          <w:spacing w:val="0"/>
          <w:sz w:val="21"/>
          <w:szCs w:val="21"/>
          <w:shd w:val="clear" w:color="auto" w:fill="FFFFFF"/>
        </w:rPr>
        <w:t>.00元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本合同包不接受联合体投标</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rFonts w:hint="eastAsia" w:eastAsia="微软雅黑"/>
          <w:sz w:val="21"/>
          <w:szCs w:val="21"/>
          <w:lang w:eastAsia="zh-CN"/>
        </w:rPr>
      </w:pPr>
      <w:r>
        <w:rPr>
          <w:rFonts w:hint="eastAsia" w:ascii="微软雅黑" w:hAnsi="微软雅黑" w:eastAsia="微软雅黑" w:cs="微软雅黑"/>
          <w:i w:val="0"/>
          <w:iCs w:val="0"/>
          <w:caps w:val="0"/>
          <w:color w:val="333333"/>
          <w:spacing w:val="0"/>
          <w:sz w:val="21"/>
          <w:szCs w:val="21"/>
          <w:shd w:val="clear" w:color="auto" w:fill="FFFFFF"/>
        </w:rPr>
        <w:t>合同履行期限：</w:t>
      </w:r>
      <w:r>
        <w:rPr>
          <w:rFonts w:hint="eastAsia" w:ascii="微软雅黑" w:hAnsi="微软雅黑" w:eastAsia="微软雅黑" w:cs="微软雅黑"/>
          <w:i w:val="0"/>
          <w:iCs w:val="0"/>
          <w:caps w:val="0"/>
          <w:color w:val="333333"/>
          <w:spacing w:val="0"/>
          <w:sz w:val="21"/>
          <w:szCs w:val="21"/>
          <w:shd w:val="clear" w:color="auto" w:fill="FFFFFF"/>
          <w:lang w:val="en-US"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2"/>
          <w:b/>
          <w:bCs/>
          <w:i w:val="0"/>
          <w:iCs w:val="0"/>
          <w:caps w:val="0"/>
          <w:color w:val="333333"/>
          <w:spacing w:val="0"/>
          <w:sz w:val="21"/>
          <w:szCs w:val="21"/>
          <w:shd w:val="clear" w:color="auto" w:fill="FFFFFF"/>
        </w:rPr>
        <w:t>二、申请人的资格要求：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1.满足《中华人民共和国政府采购法》第二十二条规定;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2.落实政府采购政策需满足的资格要求：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合同包1(</w:t>
      </w:r>
      <w:r>
        <w:rPr>
          <w:rFonts w:hint="eastAsia" w:ascii="微软雅黑" w:hAnsi="微软雅黑" w:eastAsia="微软雅黑" w:cs="微软雅黑"/>
          <w:i w:val="0"/>
          <w:iCs w:val="0"/>
          <w:caps w:val="0"/>
          <w:color w:val="333333"/>
          <w:spacing w:val="0"/>
          <w:sz w:val="21"/>
          <w:szCs w:val="21"/>
          <w:shd w:val="clear" w:color="auto" w:fill="FFFFFF"/>
          <w:lang w:eastAsia="zh-CN"/>
        </w:rPr>
        <w:t>榆林市行政审批服务局网络运维服务</w:t>
      </w:r>
      <w:r>
        <w:rPr>
          <w:rFonts w:hint="eastAsia" w:ascii="微软雅黑" w:hAnsi="微软雅黑" w:eastAsia="微软雅黑" w:cs="微软雅黑"/>
          <w:i w:val="0"/>
          <w:iCs w:val="0"/>
          <w:caps w:val="0"/>
          <w:color w:val="333333"/>
          <w:spacing w:val="0"/>
          <w:sz w:val="21"/>
          <w:szCs w:val="21"/>
          <w:shd w:val="clear" w:color="auto" w:fill="FFFFFF"/>
        </w:rPr>
        <w:t>)落实政府采购政策需满足的资格要求如下:</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2.1.《节能产品政府采购实施意见》（财库〔2004〕185号）；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2.2.《环境标志产品政府采购实施的意见》（财库〔2006〕90号）；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2.3.《国务院办公厅关于建立政府强制采购节能产品制度的通知》（国办发〔2007〕51号）；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2.4.根据《政府采购促进中小企业发展管理办法》（财库〔2020〕46号）；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2.5.根据《陕西省财政厅关于进一步加大政府采购支持中小企业力度的通知》（陕财办采〔2022〕5号）；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2.6.根据《榆林市财政局关于进一步加大政府采购支持中小企业力度的通知》（榆政财采发〔2022〕10号）;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2.7.《陕西省财政厅关于印发&lt;陕西省中小企业政府采购信用融资办法&gt;的通知》（陕财办采〔2018〕23号）相关政策、业务流程、办理平台(http://www.ccgp-shaanxi.gov.cn/zcdservice/zcd/shanxi/；</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2.8.财政部司法部关于政府采购支持监狱企业发展有关问题的通知（财库〔2014〕68号）；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2.9.《财政部民政部中国残疾人联合会关于促进残疾人就业政府采购政策的通知》（财库〔2017〕141号）；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2.10.《关于在政府采购活动中查询及使用信用记录有关问题的通知》（财库〔2016〕125号）；</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2.11.其他需要落实的政府采购政策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3.本项目的特定资格要求：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合同包1(</w:t>
      </w:r>
      <w:r>
        <w:rPr>
          <w:rFonts w:hint="eastAsia" w:ascii="微软雅黑" w:hAnsi="微软雅黑" w:eastAsia="微软雅黑" w:cs="微软雅黑"/>
          <w:i w:val="0"/>
          <w:iCs w:val="0"/>
          <w:caps w:val="0"/>
          <w:color w:val="333333"/>
          <w:spacing w:val="0"/>
          <w:sz w:val="21"/>
          <w:szCs w:val="21"/>
          <w:shd w:val="clear" w:color="auto" w:fill="FFFFFF"/>
          <w:lang w:eastAsia="zh-CN"/>
        </w:rPr>
        <w:t>榆林市行政审批服务局网络运维服务</w:t>
      </w:r>
      <w:r>
        <w:rPr>
          <w:rFonts w:hint="eastAsia" w:ascii="微软雅黑" w:hAnsi="微软雅黑" w:eastAsia="微软雅黑" w:cs="微软雅黑"/>
          <w:i w:val="0"/>
          <w:iCs w:val="0"/>
          <w:caps w:val="0"/>
          <w:color w:val="333333"/>
          <w:spacing w:val="0"/>
          <w:sz w:val="21"/>
          <w:szCs w:val="21"/>
          <w:shd w:val="clear" w:color="auto" w:fill="FFFFFF"/>
        </w:rPr>
        <w:t>)特定资格要求如下:</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1、供应商应为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2、财务状况报告：提供</w:t>
      </w:r>
      <w:r>
        <w:rPr>
          <w:rFonts w:hint="eastAsia" w:ascii="微软雅黑" w:hAnsi="微软雅黑" w:eastAsia="微软雅黑" w:cs="微软雅黑"/>
          <w:i w:val="0"/>
          <w:iCs w:val="0"/>
          <w:caps w:val="0"/>
          <w:color w:val="333333"/>
          <w:spacing w:val="0"/>
          <w:sz w:val="21"/>
          <w:szCs w:val="21"/>
          <w:shd w:val="clear" w:color="auto" w:fill="FFFFFF"/>
          <w:lang w:val="en-US" w:eastAsia="zh-CN"/>
        </w:rPr>
        <w:t>2021年度或</w:t>
      </w:r>
      <w:r>
        <w:rPr>
          <w:rFonts w:hint="eastAsia" w:ascii="微软雅黑" w:hAnsi="微软雅黑" w:eastAsia="微软雅黑" w:cs="微软雅黑"/>
          <w:i w:val="0"/>
          <w:iCs w:val="0"/>
          <w:caps w:val="0"/>
          <w:color w:val="333333"/>
          <w:spacing w:val="0"/>
          <w:sz w:val="21"/>
          <w:szCs w:val="21"/>
          <w:shd w:val="clear" w:color="auto" w:fill="FFFFFF"/>
        </w:rPr>
        <w:t>2022年度财务审计报告（须经第三方中介机构审</w:t>
      </w:r>
      <w:r>
        <w:rPr>
          <w:rFonts w:hint="eastAsia" w:ascii="微软雅黑" w:hAnsi="微软雅黑" w:eastAsia="微软雅黑" w:cs="微软雅黑"/>
          <w:i w:val="0"/>
          <w:iCs w:val="0"/>
          <w:caps w:val="0"/>
          <w:color w:val="333333"/>
          <w:spacing w:val="0"/>
          <w:sz w:val="21"/>
          <w:szCs w:val="21"/>
          <w:highlight w:val="none"/>
          <w:shd w:val="clear" w:color="auto" w:fill="FFFFFF"/>
        </w:rPr>
        <w:t>计），公司成立时间不足</w:t>
      </w:r>
      <w:r>
        <w:rPr>
          <w:rFonts w:hint="eastAsia" w:ascii="微软雅黑" w:hAnsi="微软雅黑" w:eastAsia="微软雅黑" w:cs="微软雅黑"/>
          <w:i w:val="0"/>
          <w:iCs w:val="0"/>
          <w:caps w:val="0"/>
          <w:color w:val="333333"/>
          <w:spacing w:val="0"/>
          <w:sz w:val="21"/>
          <w:szCs w:val="21"/>
          <w:highlight w:val="none"/>
          <w:shd w:val="clear" w:color="auto" w:fill="FFFFFF"/>
          <w:lang w:val="en-US" w:eastAsia="zh-CN"/>
        </w:rPr>
        <w:t>一</w:t>
      </w:r>
      <w:r>
        <w:rPr>
          <w:rFonts w:hint="eastAsia" w:ascii="微软雅黑" w:hAnsi="微软雅黑" w:eastAsia="微软雅黑" w:cs="微软雅黑"/>
          <w:i w:val="0"/>
          <w:iCs w:val="0"/>
          <w:caps w:val="0"/>
          <w:color w:val="333333"/>
          <w:spacing w:val="0"/>
          <w:sz w:val="21"/>
          <w:szCs w:val="21"/>
          <w:highlight w:val="none"/>
          <w:shd w:val="clear" w:color="auto" w:fill="FFFFFF"/>
        </w:rPr>
        <w:t>年的，需提供其基本账户开户银行出具的资信证明及基本账户开户许可证；</w:t>
      </w:r>
      <w:r>
        <w:rPr>
          <w:rFonts w:hint="eastAsia" w:ascii="微软雅黑" w:hAnsi="微软雅黑" w:eastAsia="微软雅黑" w:cs="微软雅黑"/>
          <w:i w:val="0"/>
          <w:iCs w:val="0"/>
          <w:caps w:val="0"/>
          <w:color w:val="333333"/>
          <w:spacing w:val="0"/>
          <w:sz w:val="21"/>
          <w:szCs w:val="21"/>
          <w:highlight w:val="none"/>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3、社会保障资金缴纳证明：提供2022年</w:t>
      </w:r>
      <w:r>
        <w:rPr>
          <w:rFonts w:hint="eastAsia" w:ascii="微软雅黑" w:hAnsi="微软雅黑" w:eastAsia="微软雅黑" w:cs="微软雅黑"/>
          <w:i w:val="0"/>
          <w:iCs w:val="0"/>
          <w:caps w:val="0"/>
          <w:color w:val="333333"/>
          <w:spacing w:val="0"/>
          <w:sz w:val="21"/>
          <w:szCs w:val="21"/>
          <w:shd w:val="clear" w:color="auto" w:fill="FFFFFF"/>
          <w:lang w:val="en-US" w:eastAsia="zh-CN"/>
        </w:rPr>
        <w:t>6</w:t>
      </w:r>
      <w:r>
        <w:rPr>
          <w:rFonts w:hint="eastAsia" w:ascii="微软雅黑" w:hAnsi="微软雅黑" w:eastAsia="微软雅黑" w:cs="微软雅黑"/>
          <w:i w:val="0"/>
          <w:iCs w:val="0"/>
          <w:caps w:val="0"/>
          <w:color w:val="333333"/>
          <w:spacing w:val="0"/>
          <w:sz w:val="21"/>
          <w:szCs w:val="21"/>
          <w:shd w:val="clear" w:color="auto" w:fill="FFFFFF"/>
        </w:rPr>
        <w:t>月至今已缴存的至少一个月的社会保障资金银行缴费单据或社保机构开具的社会保险参保缴费情况证明，依法不需要缴纳社会保障资金的单位应提供相关证明材料；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4、税收缴纳证明：提供2022年</w:t>
      </w:r>
      <w:r>
        <w:rPr>
          <w:rFonts w:hint="eastAsia" w:ascii="微软雅黑" w:hAnsi="微软雅黑" w:eastAsia="微软雅黑" w:cs="微软雅黑"/>
          <w:i w:val="0"/>
          <w:iCs w:val="0"/>
          <w:caps w:val="0"/>
          <w:color w:val="333333"/>
          <w:spacing w:val="0"/>
          <w:sz w:val="21"/>
          <w:szCs w:val="21"/>
          <w:shd w:val="clear" w:color="auto" w:fill="FFFFFF"/>
          <w:lang w:val="en-US" w:eastAsia="zh-CN"/>
        </w:rPr>
        <w:t>6</w:t>
      </w:r>
      <w:r>
        <w:rPr>
          <w:rFonts w:hint="eastAsia" w:ascii="微软雅黑" w:hAnsi="微软雅黑" w:eastAsia="微软雅黑" w:cs="微软雅黑"/>
          <w:i w:val="0"/>
          <w:iCs w:val="0"/>
          <w:caps w:val="0"/>
          <w:color w:val="333333"/>
          <w:spacing w:val="0"/>
          <w:sz w:val="21"/>
          <w:szCs w:val="21"/>
          <w:shd w:val="clear" w:color="auto" w:fill="FFFFFF"/>
        </w:rPr>
        <w:t>月至今已缴纳的至少一个月的纳税证明（银行缴费凭证）或完税证明，依法免税的单位应提供相关证明材料；</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5、参加本次政府采购活动前三年内在经营活动中没有重大违纪，以及未被列入失信被执行人、重大税收违法失信主体、政府采购严重违法失信行为记录名单的书面声明；</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6、提供具有履行合同所必需的设备和专业技术能力的证明资料或承诺书；</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7、不得在“信用中国”(www.creditchina.gov.cn)网站列入失信被执行人和重大税收违法案件当事人名单；不得为中国政府采购网（www.ccgp.gov.cn）政府采购严重违法失信行为记录名单中被财政部门禁止参加政府采购活动的供应商；投标供应商须提供上述相关网页查询信用记录（以网页截图加盖投标人公章为准）及信用报告（以“信用中国”网站生成的带水印信用报告加盖公章为准）；对列入失信被执行人、重大税收违法案件当事人名单、政府采购严重违法失信行为记录名单及其他不符合《中华人民共 和国政府采购法》第二十二条规定条件的将拒绝其参与政府采购活动，还需提供《榆林市政府采购服务类项目供应商信用承诺书》承诺书（格式见</w:t>
      </w:r>
      <w:r>
        <w:rPr>
          <w:rFonts w:hint="eastAsia" w:ascii="微软雅黑" w:hAnsi="微软雅黑" w:eastAsia="微软雅黑" w:cs="微软雅黑"/>
          <w:i w:val="0"/>
          <w:iCs w:val="0"/>
          <w:caps w:val="0"/>
          <w:color w:val="333333"/>
          <w:spacing w:val="0"/>
          <w:sz w:val="21"/>
          <w:szCs w:val="21"/>
          <w:shd w:val="clear" w:color="auto" w:fill="FFFFFF"/>
          <w:lang w:val="en-US" w:eastAsia="zh-CN"/>
        </w:rPr>
        <w:t>磋商</w:t>
      </w:r>
      <w:r>
        <w:rPr>
          <w:rFonts w:hint="eastAsia" w:ascii="微软雅黑" w:hAnsi="微软雅黑" w:eastAsia="微软雅黑" w:cs="微软雅黑"/>
          <w:i w:val="0"/>
          <w:iCs w:val="0"/>
          <w:caps w:val="0"/>
          <w:color w:val="333333"/>
          <w:spacing w:val="0"/>
          <w:sz w:val="21"/>
          <w:szCs w:val="21"/>
          <w:shd w:val="clear" w:color="auto" w:fill="FFFFFF"/>
        </w:rPr>
        <w:t>文件附件）；</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8、提供本项目投标保证金交纳凭证(打款回单)或投标保函；</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rPr>
        <w:t>9</w:t>
      </w:r>
      <w:r>
        <w:rPr>
          <w:rFonts w:hint="eastAsia" w:ascii="微软雅黑" w:hAnsi="微软雅黑" w:eastAsia="微软雅黑" w:cs="微软雅黑"/>
          <w:i w:val="0"/>
          <w:iCs w:val="0"/>
          <w:caps w:val="0"/>
          <w:color w:val="333333"/>
          <w:spacing w:val="0"/>
          <w:sz w:val="21"/>
          <w:szCs w:val="21"/>
          <w:highlight w:val="none"/>
          <w:shd w:val="clear" w:color="auto" w:fill="FFFFFF"/>
        </w:rPr>
        <w:t>、本项目专门面向中小企业采购，供应商须提供《中小企业声明函》；。</w:t>
      </w:r>
      <w:r>
        <w:rPr>
          <w:rFonts w:hint="eastAsia" w:ascii="微软雅黑" w:hAnsi="微软雅黑" w:eastAsia="微软雅黑" w:cs="微软雅黑"/>
          <w:i w:val="0"/>
          <w:iCs w:val="0"/>
          <w:caps w:val="0"/>
          <w:color w:val="333333"/>
          <w:spacing w:val="0"/>
          <w:sz w:val="21"/>
          <w:szCs w:val="21"/>
          <w:shd w:val="clear" w:color="auto" w:fill="FFFFFF"/>
        </w:rPr>
        <w:br w:type="textWrapping"/>
      </w:r>
      <w:r>
        <w:rPr>
          <w:rFonts w:hint="eastAsia" w:ascii="微软雅黑" w:hAnsi="微软雅黑" w:eastAsia="微软雅黑" w:cs="微软雅黑"/>
          <w:i w:val="0"/>
          <w:iCs w:val="0"/>
          <w:caps w:val="0"/>
          <w:color w:val="333333"/>
          <w:spacing w:val="0"/>
          <w:sz w:val="21"/>
          <w:szCs w:val="21"/>
          <w:shd w:val="clear" w:color="auto" w:fill="FFFFFF"/>
          <w:lang w:val="en-US" w:eastAsia="zh-CN"/>
        </w:rPr>
        <w:t>10、</w:t>
      </w:r>
      <w:r>
        <w:rPr>
          <w:rFonts w:hint="eastAsia" w:ascii="微软雅黑" w:hAnsi="微软雅黑" w:eastAsia="微软雅黑" w:cs="微软雅黑"/>
          <w:i w:val="0"/>
          <w:iCs w:val="0"/>
          <w:caps w:val="0"/>
          <w:color w:val="333333"/>
          <w:spacing w:val="0"/>
          <w:sz w:val="21"/>
          <w:szCs w:val="21"/>
          <w:shd w:val="clear" w:color="auto" w:fill="FFFFFF"/>
        </w:rPr>
        <w:t>本项目不接受联合体投标、不允许分包、转包，单位负责人为同一人或者存在直接控股、管理关系的不同投标人，不得参加同一合同项下的政府采购活动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2"/>
          <w:b/>
          <w:bCs/>
          <w:i w:val="0"/>
          <w:iCs w:val="0"/>
          <w:caps w:val="0"/>
          <w:color w:val="333333"/>
          <w:spacing w:val="0"/>
          <w:sz w:val="21"/>
          <w:szCs w:val="21"/>
          <w:shd w:val="clear" w:color="auto" w:fill="FFFFFF"/>
        </w:rPr>
        <w:t>三、获取采购文件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color="auto" w:fill="FFFFFF"/>
        </w:rPr>
        <w:t>时间：  2023年4月</w:t>
      </w:r>
      <w:r>
        <w:rPr>
          <w:rFonts w:hint="eastAsia" w:ascii="微软雅黑" w:hAnsi="微软雅黑" w:eastAsia="微软雅黑" w:cs="微软雅黑"/>
          <w:i w:val="0"/>
          <w:iCs w:val="0"/>
          <w:caps w:val="0"/>
          <w:color w:val="auto"/>
          <w:spacing w:val="0"/>
          <w:sz w:val="21"/>
          <w:szCs w:val="21"/>
          <w:shd w:val="clear" w:color="auto" w:fill="FFFFFF"/>
          <w:lang w:val="en-US" w:eastAsia="zh-CN"/>
        </w:rPr>
        <w:t>21</w:t>
      </w:r>
      <w:r>
        <w:rPr>
          <w:rFonts w:hint="eastAsia" w:ascii="微软雅黑" w:hAnsi="微软雅黑" w:eastAsia="微软雅黑" w:cs="微软雅黑"/>
          <w:i w:val="0"/>
          <w:iCs w:val="0"/>
          <w:caps w:val="0"/>
          <w:color w:val="auto"/>
          <w:spacing w:val="0"/>
          <w:sz w:val="21"/>
          <w:szCs w:val="21"/>
          <w:shd w:val="clear" w:color="auto" w:fill="FFFFFF"/>
        </w:rPr>
        <w:t>日 至 2023年4月</w:t>
      </w:r>
      <w:r>
        <w:rPr>
          <w:rFonts w:hint="eastAsia" w:ascii="微软雅黑" w:hAnsi="微软雅黑" w:eastAsia="微软雅黑" w:cs="微软雅黑"/>
          <w:i w:val="0"/>
          <w:iCs w:val="0"/>
          <w:caps w:val="0"/>
          <w:color w:val="auto"/>
          <w:spacing w:val="0"/>
          <w:sz w:val="21"/>
          <w:szCs w:val="21"/>
          <w:shd w:val="clear" w:color="auto" w:fill="FFFFFF"/>
          <w:lang w:val="en-US" w:eastAsia="zh-CN"/>
        </w:rPr>
        <w:t>26</w:t>
      </w:r>
      <w:r>
        <w:rPr>
          <w:rFonts w:hint="eastAsia" w:ascii="微软雅黑" w:hAnsi="微软雅黑" w:eastAsia="微软雅黑" w:cs="微软雅黑"/>
          <w:i w:val="0"/>
          <w:iCs w:val="0"/>
          <w:caps w:val="0"/>
          <w:color w:val="auto"/>
          <w:spacing w:val="0"/>
          <w:sz w:val="21"/>
          <w:szCs w:val="21"/>
          <w:shd w:val="clear" w:color="auto" w:fill="FFFFFF"/>
        </w:rPr>
        <w:t>日 ，每天上午 09:00:00 至 12:00:00 ，下午 12:00:00 至 18:00:00 （北京时间）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color="auto" w:fill="FFFFFF"/>
        </w:rPr>
        <w:t>途径：全国公共资源交易中心平台（陕西省）使用CA锁报名后自行下载</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color="auto" w:fill="FFFFFF"/>
        </w:rPr>
        <w:t>方式：在线获取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color="auto" w:fill="FFFFFF"/>
        </w:rPr>
        <w:t>售价： 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b w:val="0"/>
          <w:bCs w:val="0"/>
          <w:color w:val="auto"/>
          <w:sz w:val="21"/>
          <w:szCs w:val="21"/>
        </w:rPr>
      </w:pPr>
      <w:r>
        <w:rPr>
          <w:rStyle w:val="22"/>
          <w:b/>
          <w:bCs/>
          <w:i w:val="0"/>
          <w:iCs w:val="0"/>
          <w:caps w:val="0"/>
          <w:color w:val="auto"/>
          <w:spacing w:val="0"/>
          <w:sz w:val="21"/>
          <w:szCs w:val="21"/>
          <w:shd w:val="clear" w:color="auto" w:fill="FFFFFF"/>
        </w:rPr>
        <w:t>四、响应文件提交</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color="auto" w:fill="FFFFFF"/>
        </w:rPr>
        <w:t>截止时间： 2023年</w:t>
      </w:r>
      <w:r>
        <w:rPr>
          <w:rFonts w:hint="eastAsia" w:ascii="微软雅黑" w:hAnsi="微软雅黑" w:eastAsia="微软雅黑" w:cs="微软雅黑"/>
          <w:i w:val="0"/>
          <w:iCs w:val="0"/>
          <w:caps w:val="0"/>
          <w:color w:val="auto"/>
          <w:spacing w:val="0"/>
          <w:sz w:val="21"/>
          <w:szCs w:val="21"/>
          <w:shd w:val="clear" w:color="auto" w:fill="FFFFFF"/>
          <w:lang w:val="en-US" w:eastAsia="zh-CN"/>
        </w:rPr>
        <w:t>05</w:t>
      </w:r>
      <w:r>
        <w:rPr>
          <w:rFonts w:hint="eastAsia" w:ascii="微软雅黑" w:hAnsi="微软雅黑" w:eastAsia="微软雅黑" w:cs="微软雅黑"/>
          <w:i w:val="0"/>
          <w:iCs w:val="0"/>
          <w:caps w:val="0"/>
          <w:color w:val="auto"/>
          <w:spacing w:val="0"/>
          <w:sz w:val="21"/>
          <w:szCs w:val="21"/>
          <w:shd w:val="clear" w:color="auto" w:fill="FFFFFF"/>
        </w:rPr>
        <w:t>月</w:t>
      </w:r>
      <w:r>
        <w:rPr>
          <w:rFonts w:hint="eastAsia" w:ascii="微软雅黑" w:hAnsi="微软雅黑" w:eastAsia="微软雅黑" w:cs="微软雅黑"/>
          <w:i w:val="0"/>
          <w:iCs w:val="0"/>
          <w:caps w:val="0"/>
          <w:color w:val="auto"/>
          <w:spacing w:val="0"/>
          <w:sz w:val="21"/>
          <w:szCs w:val="21"/>
          <w:shd w:val="clear" w:color="auto" w:fill="FFFFFF"/>
          <w:lang w:val="en-US" w:eastAsia="zh-CN"/>
        </w:rPr>
        <w:t>06</w:t>
      </w:r>
      <w:r>
        <w:rPr>
          <w:rFonts w:hint="eastAsia" w:ascii="微软雅黑" w:hAnsi="微软雅黑" w:eastAsia="微软雅黑" w:cs="微软雅黑"/>
          <w:i w:val="0"/>
          <w:iCs w:val="0"/>
          <w:caps w:val="0"/>
          <w:color w:val="auto"/>
          <w:spacing w:val="0"/>
          <w:sz w:val="21"/>
          <w:szCs w:val="21"/>
          <w:shd w:val="clear" w:color="auto" w:fill="FFFFFF"/>
        </w:rPr>
        <w:t xml:space="preserve">日 </w:t>
      </w:r>
      <w:r>
        <w:rPr>
          <w:rFonts w:hint="eastAsia" w:ascii="微软雅黑" w:hAnsi="微软雅黑" w:eastAsia="微软雅黑" w:cs="微软雅黑"/>
          <w:i w:val="0"/>
          <w:iCs w:val="0"/>
          <w:caps w:val="0"/>
          <w:color w:val="auto"/>
          <w:spacing w:val="0"/>
          <w:sz w:val="21"/>
          <w:szCs w:val="21"/>
          <w:shd w:val="clear" w:color="auto" w:fill="FFFFFF"/>
          <w:lang w:val="en-US" w:eastAsia="zh-CN"/>
        </w:rPr>
        <w:t>13</w:t>
      </w:r>
      <w:r>
        <w:rPr>
          <w:rFonts w:hint="eastAsia" w:ascii="微软雅黑" w:hAnsi="微软雅黑" w:eastAsia="微软雅黑" w:cs="微软雅黑"/>
          <w:i w:val="0"/>
          <w:iCs w:val="0"/>
          <w:caps w:val="0"/>
          <w:color w:val="auto"/>
          <w:spacing w:val="0"/>
          <w:sz w:val="21"/>
          <w:szCs w:val="21"/>
          <w:shd w:val="clear" w:color="auto" w:fill="FFFFFF"/>
        </w:rPr>
        <w:t>时30分00秒 （北京时间）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color="auto" w:fill="FFFFFF"/>
        </w:rPr>
        <w:t>地点：榆林市公共资源交易中心十楼不见面开标6室</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b w:val="0"/>
          <w:bCs w:val="0"/>
          <w:color w:val="auto"/>
          <w:sz w:val="21"/>
          <w:szCs w:val="21"/>
        </w:rPr>
      </w:pPr>
      <w:r>
        <w:rPr>
          <w:rStyle w:val="22"/>
          <w:b/>
          <w:bCs/>
          <w:i w:val="0"/>
          <w:iCs w:val="0"/>
          <w:caps w:val="0"/>
          <w:color w:val="auto"/>
          <w:spacing w:val="0"/>
          <w:sz w:val="21"/>
          <w:szCs w:val="21"/>
          <w:shd w:val="clear" w:color="auto" w:fill="FFFFFF"/>
        </w:rPr>
        <w:t>五、开启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color="auto" w:fill="FFFFFF"/>
        </w:rPr>
        <w:t>时间： 2023年</w:t>
      </w:r>
      <w:r>
        <w:rPr>
          <w:rFonts w:hint="eastAsia" w:ascii="微软雅黑" w:hAnsi="微软雅黑" w:eastAsia="微软雅黑" w:cs="微软雅黑"/>
          <w:i w:val="0"/>
          <w:iCs w:val="0"/>
          <w:caps w:val="0"/>
          <w:color w:val="auto"/>
          <w:spacing w:val="0"/>
          <w:sz w:val="21"/>
          <w:szCs w:val="21"/>
          <w:shd w:val="clear" w:color="auto" w:fill="FFFFFF"/>
          <w:lang w:val="en-US" w:eastAsia="zh-CN"/>
        </w:rPr>
        <w:t xml:space="preserve">05 </w:t>
      </w:r>
      <w:r>
        <w:rPr>
          <w:rFonts w:hint="eastAsia" w:ascii="微软雅黑" w:hAnsi="微软雅黑" w:eastAsia="微软雅黑" w:cs="微软雅黑"/>
          <w:i w:val="0"/>
          <w:iCs w:val="0"/>
          <w:caps w:val="0"/>
          <w:color w:val="auto"/>
          <w:spacing w:val="0"/>
          <w:sz w:val="21"/>
          <w:szCs w:val="21"/>
          <w:shd w:val="clear" w:color="auto" w:fill="FFFFFF"/>
        </w:rPr>
        <w:t>月</w:t>
      </w:r>
      <w:r>
        <w:rPr>
          <w:rFonts w:hint="eastAsia" w:ascii="微软雅黑" w:hAnsi="微软雅黑" w:eastAsia="微软雅黑" w:cs="微软雅黑"/>
          <w:i w:val="0"/>
          <w:iCs w:val="0"/>
          <w:caps w:val="0"/>
          <w:color w:val="auto"/>
          <w:spacing w:val="0"/>
          <w:sz w:val="21"/>
          <w:szCs w:val="21"/>
          <w:shd w:val="clear" w:color="auto" w:fill="FFFFFF"/>
          <w:lang w:val="en-US" w:eastAsia="zh-CN"/>
        </w:rPr>
        <w:t>06</w:t>
      </w:r>
      <w:r>
        <w:rPr>
          <w:rFonts w:hint="eastAsia" w:ascii="微软雅黑" w:hAnsi="微软雅黑" w:eastAsia="微软雅黑" w:cs="微软雅黑"/>
          <w:i w:val="0"/>
          <w:iCs w:val="0"/>
          <w:caps w:val="0"/>
          <w:color w:val="auto"/>
          <w:spacing w:val="0"/>
          <w:sz w:val="21"/>
          <w:szCs w:val="21"/>
          <w:shd w:val="clear" w:color="auto" w:fill="FFFFFF"/>
        </w:rPr>
        <w:t xml:space="preserve">日 </w:t>
      </w:r>
      <w:r>
        <w:rPr>
          <w:rFonts w:hint="eastAsia" w:ascii="微软雅黑" w:hAnsi="微软雅黑" w:eastAsia="微软雅黑" w:cs="微软雅黑"/>
          <w:i w:val="0"/>
          <w:iCs w:val="0"/>
          <w:caps w:val="0"/>
          <w:color w:val="auto"/>
          <w:spacing w:val="0"/>
          <w:sz w:val="21"/>
          <w:szCs w:val="21"/>
          <w:shd w:val="clear" w:color="auto" w:fill="FFFFFF"/>
          <w:lang w:val="en-US" w:eastAsia="zh-CN"/>
        </w:rPr>
        <w:t>13</w:t>
      </w:r>
      <w:r>
        <w:rPr>
          <w:rFonts w:hint="eastAsia" w:ascii="微软雅黑" w:hAnsi="微软雅黑" w:eastAsia="微软雅黑" w:cs="微软雅黑"/>
          <w:i w:val="0"/>
          <w:iCs w:val="0"/>
          <w:caps w:val="0"/>
          <w:color w:val="auto"/>
          <w:spacing w:val="0"/>
          <w:sz w:val="21"/>
          <w:szCs w:val="21"/>
          <w:shd w:val="clear" w:color="auto" w:fill="FFFFFF"/>
        </w:rPr>
        <w:t>时30分00秒 （北京时间）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地点</w:t>
      </w:r>
      <w:r>
        <w:rPr>
          <w:rFonts w:hint="eastAsia" w:ascii="微软雅黑" w:hAnsi="微软雅黑" w:eastAsia="微软雅黑" w:cs="微软雅黑"/>
          <w:i w:val="0"/>
          <w:iCs w:val="0"/>
          <w:caps w:val="0"/>
          <w:color w:val="auto"/>
          <w:spacing w:val="0"/>
          <w:sz w:val="21"/>
          <w:szCs w:val="21"/>
          <w:shd w:val="clear" w:color="auto" w:fill="FFFFFF"/>
        </w:rPr>
        <w:t>：榆林市公共资源交易中心十楼不见面开标6室</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2"/>
          <w:b/>
          <w:bCs/>
          <w:i w:val="0"/>
          <w:iCs w:val="0"/>
          <w:caps w:val="0"/>
          <w:color w:val="333333"/>
          <w:spacing w:val="0"/>
          <w:sz w:val="21"/>
          <w:szCs w:val="21"/>
          <w:shd w:val="clear" w:color="auto" w:fill="FFFFFF"/>
        </w:rPr>
        <w:t>六、公告期限</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自本公告发布之日起</w:t>
      </w:r>
      <w:r>
        <w:rPr>
          <w:rFonts w:hint="eastAsia" w:ascii="微软雅黑" w:hAnsi="微软雅黑" w:eastAsia="微软雅黑" w:cs="微软雅黑"/>
          <w:i w:val="0"/>
          <w:iCs w:val="0"/>
          <w:caps w:val="0"/>
          <w:color w:val="0A82E5"/>
          <w:spacing w:val="0"/>
          <w:sz w:val="21"/>
          <w:szCs w:val="21"/>
          <w:shd w:val="clear" w:color="auto" w:fill="FFFFFF"/>
        </w:rPr>
        <w:t>3</w:t>
      </w:r>
      <w:r>
        <w:rPr>
          <w:rFonts w:hint="eastAsia" w:ascii="微软雅黑" w:hAnsi="微软雅黑" w:eastAsia="微软雅黑" w:cs="微软雅黑"/>
          <w:i w:val="0"/>
          <w:iCs w:val="0"/>
          <w:caps w:val="0"/>
          <w:color w:val="333333"/>
          <w:spacing w:val="0"/>
          <w:sz w:val="21"/>
          <w:szCs w:val="21"/>
          <w:shd w:val="clear" w:color="auto" w:fill="FFFFFF"/>
        </w:rPr>
        <w:t>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2"/>
          <w:b/>
          <w:bCs/>
          <w:i w:val="0"/>
          <w:iCs w:val="0"/>
          <w:caps w:val="0"/>
          <w:color w:val="333333"/>
          <w:spacing w:val="0"/>
          <w:sz w:val="21"/>
          <w:szCs w:val="21"/>
          <w:shd w:val="clear" w:color="auto" w:fill="FFFFFF"/>
        </w:rPr>
        <w:t>七、其他补充事宜</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kern w:val="0"/>
          <w:sz w:val="21"/>
          <w:szCs w:val="21"/>
          <w:shd w:val="clear" w:color="auto" w:fill="FFFFFF"/>
          <w:lang w:val="en-US" w:eastAsia="zh-CN" w:bidi="ar"/>
        </w:rPr>
        <w:t>1、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请供应商仔细阅读操作手册，了解操作流程，熟练掌握不见面开标、不见面询标操作相关事宜，若无法正常投标，供应商自行承担责任。电子投标文件制作软件技术支持热线：400-998-0000 CA锁购买：榆林市市民大厦四楼窗口,联系电话：0912-3515031；</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kern w:val="0"/>
          <w:sz w:val="21"/>
          <w:szCs w:val="21"/>
          <w:shd w:val="clear" w:color="auto" w:fill="FFFFFF"/>
          <w:lang w:val="en-US" w:eastAsia="zh-CN" w:bidi="ar"/>
        </w:rPr>
        <w:t>2、供应商在下载磋商文件后，按照陕西省财政厅《关于政府采购供应商注册登记有关事项的通知》要求，通过陕西省政府采购网（http://www.ccgp-shaanxi.gov.cn/）注册登记加入陕西省政府采购供应商库。</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2"/>
          <w:b/>
          <w:bCs/>
          <w:i w:val="0"/>
          <w:iCs w:val="0"/>
          <w:caps w:val="0"/>
          <w:color w:val="333333"/>
          <w:spacing w:val="0"/>
          <w:sz w:val="21"/>
          <w:szCs w:val="21"/>
          <w:shd w:val="clear" w:color="auto" w:fill="FFFFFF"/>
        </w:rPr>
        <w:t>八、对本次招标提出询问，请按以下方式联系。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jc w:val="left"/>
        <w:rPr>
          <w:b w:val="0"/>
          <w:bCs w:val="0"/>
          <w:sz w:val="21"/>
          <w:szCs w:val="21"/>
        </w:rPr>
      </w:pPr>
      <w:r>
        <w:rPr>
          <w:b w:val="0"/>
          <w:bCs w:val="0"/>
          <w:i w:val="0"/>
          <w:iCs w:val="0"/>
          <w:caps w:val="0"/>
          <w:color w:val="333333"/>
          <w:spacing w:val="0"/>
          <w:sz w:val="21"/>
          <w:szCs w:val="21"/>
          <w:shd w:val="clear" w:color="auto" w:fill="FFFFFF"/>
        </w:rPr>
        <w:t>1.采购人信息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名称：榆林市行政审批服务局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地址：市民大厦</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联系方式：0912-8187613</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2.采购代理机构信息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名称：开瑞项目管理有限公司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地址：榆林市榆阳区惠民路25号塞公馆507</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联系方式：0912-3648567</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3.项目联系方式</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i w:val="0"/>
          <w:iCs w:val="0"/>
          <w:caps w:val="0"/>
          <w:color w:val="333333"/>
          <w:spacing w:val="0"/>
          <w:sz w:val="21"/>
          <w:szCs w:val="21"/>
          <w:shd w:val="clear" w:color="auto" w:fill="FFFFFF"/>
        </w:rPr>
        <w:t>项目联系人：乔工</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color="auto" w:fill="FFFFFF"/>
        </w:rPr>
        <w:t>电话：0912-3648567</w:t>
      </w:r>
    </w:p>
    <w:p>
      <w:pPr>
        <w:jc w:val="center"/>
        <w:rPr>
          <w:rFonts w:hint="eastAsia" w:ascii="宋体" w:hAnsi="宋体" w:eastAsia="宋体" w:cs="宋体"/>
          <w:bCs w:val="0"/>
          <w:color w:val="auto"/>
          <w:sz w:val="36"/>
          <w:szCs w:val="36"/>
          <w:highlight w:val="none"/>
        </w:rPr>
      </w:pPr>
    </w:p>
    <w:p>
      <w:pPr>
        <w:jc w:val="center"/>
        <w:rPr>
          <w:rFonts w:hint="eastAsia" w:ascii="宋体" w:hAnsi="宋体" w:eastAsia="宋体" w:cs="宋体"/>
          <w:bCs w:val="0"/>
          <w:color w:val="auto"/>
          <w:sz w:val="36"/>
          <w:szCs w:val="36"/>
          <w:highlight w:val="none"/>
        </w:rPr>
      </w:pPr>
    </w:p>
    <w:p>
      <w:pPr>
        <w:jc w:val="center"/>
        <w:rPr>
          <w:rFonts w:hint="eastAsia" w:ascii="宋体" w:hAnsi="宋体" w:eastAsia="宋体" w:cs="宋体"/>
          <w:bCs w:val="0"/>
          <w:color w:val="auto"/>
          <w:sz w:val="36"/>
          <w:szCs w:val="36"/>
          <w:highlight w:val="none"/>
        </w:rPr>
      </w:pPr>
    </w:p>
    <w:p>
      <w:pPr>
        <w:jc w:val="center"/>
        <w:rPr>
          <w:rFonts w:hint="eastAsia" w:ascii="宋体" w:hAnsi="宋体" w:eastAsia="宋体" w:cs="宋体"/>
          <w:bCs w:val="0"/>
          <w:color w:val="auto"/>
          <w:sz w:val="36"/>
          <w:szCs w:val="36"/>
          <w:highlight w:val="none"/>
        </w:rPr>
      </w:pPr>
    </w:p>
    <w:p>
      <w:pPr>
        <w:jc w:val="center"/>
        <w:rPr>
          <w:rFonts w:hint="eastAsia" w:ascii="宋体" w:hAnsi="宋体" w:eastAsia="宋体" w:cs="宋体"/>
          <w:bCs w:val="0"/>
          <w:color w:val="auto"/>
          <w:sz w:val="36"/>
          <w:szCs w:val="36"/>
          <w:highlight w:val="none"/>
        </w:rPr>
      </w:pPr>
    </w:p>
    <w:p>
      <w:pPr>
        <w:pStyle w:val="2"/>
        <w:rPr>
          <w:rFonts w:hint="eastAsia" w:ascii="宋体" w:hAnsi="宋体" w:eastAsia="宋体" w:cs="宋体"/>
          <w:bCs w:val="0"/>
          <w:color w:val="auto"/>
          <w:sz w:val="36"/>
          <w:szCs w:val="36"/>
          <w:highlight w:val="none"/>
        </w:rPr>
      </w:pPr>
    </w:p>
    <w:p>
      <w:pPr>
        <w:rPr>
          <w:rFonts w:hint="eastAsia"/>
        </w:rPr>
      </w:pPr>
    </w:p>
    <w:p>
      <w:pPr>
        <w:jc w:val="center"/>
        <w:rPr>
          <w:rFonts w:hint="eastAsia" w:ascii="宋体" w:hAnsi="宋体" w:eastAsia="宋体" w:cs="宋体"/>
          <w:bCs w:val="0"/>
          <w:color w:val="auto"/>
          <w:sz w:val="36"/>
          <w:szCs w:val="36"/>
          <w:highlight w:val="none"/>
        </w:rPr>
      </w:pPr>
    </w:p>
    <w:p>
      <w:pPr>
        <w:jc w:val="center"/>
        <w:rPr>
          <w:rFonts w:hint="eastAsia" w:ascii="宋体" w:hAnsi="宋体" w:eastAsia="宋体" w:cs="宋体"/>
          <w:bCs w:val="0"/>
          <w:color w:val="auto"/>
          <w:sz w:val="36"/>
          <w:szCs w:val="36"/>
          <w:highlight w:val="none"/>
        </w:rPr>
      </w:pPr>
    </w:p>
    <w:p>
      <w:pPr>
        <w:pStyle w:val="2"/>
        <w:rPr>
          <w:rFonts w:hint="eastAsia" w:ascii="宋体" w:hAnsi="宋体" w:eastAsia="宋体" w:cs="宋体"/>
          <w:bCs w:val="0"/>
          <w:color w:val="auto"/>
          <w:sz w:val="36"/>
          <w:szCs w:val="36"/>
          <w:highlight w:val="none"/>
        </w:rPr>
      </w:pPr>
    </w:p>
    <w:p>
      <w:pPr>
        <w:rPr>
          <w:rFonts w:hint="eastAsia"/>
        </w:rPr>
      </w:pPr>
    </w:p>
    <w:p>
      <w:pPr>
        <w:jc w:val="center"/>
        <w:rPr>
          <w:rFonts w:ascii="宋体" w:hAnsi="宋体" w:eastAsia="宋体" w:cs="宋体"/>
          <w:bCs w:val="0"/>
          <w:color w:val="auto"/>
          <w:sz w:val="36"/>
          <w:szCs w:val="36"/>
          <w:highlight w:val="none"/>
        </w:rPr>
      </w:pPr>
      <w:r>
        <w:rPr>
          <w:rFonts w:hint="eastAsia" w:ascii="宋体" w:hAnsi="宋体" w:eastAsia="宋体" w:cs="宋体"/>
          <w:bCs w:val="0"/>
          <w:color w:val="auto"/>
          <w:sz w:val="36"/>
          <w:szCs w:val="36"/>
          <w:highlight w:val="none"/>
        </w:rPr>
        <w:t xml:space="preserve">第二章  </w:t>
      </w:r>
      <w:bookmarkEnd w:id="1"/>
      <w:bookmarkEnd w:id="2"/>
      <w:r>
        <w:rPr>
          <w:rFonts w:hint="eastAsia" w:ascii="宋体" w:hAnsi="宋体" w:eastAsia="宋体" w:cs="宋体"/>
          <w:bCs w:val="0"/>
          <w:color w:val="auto"/>
          <w:sz w:val="36"/>
          <w:szCs w:val="36"/>
          <w:highlight w:val="none"/>
        </w:rPr>
        <w:t>供应商须知</w:t>
      </w:r>
      <w:bookmarkEnd w:id="3"/>
      <w:bookmarkEnd w:id="4"/>
      <w:bookmarkEnd w:id="5"/>
    </w:p>
    <w:p>
      <w:pPr>
        <w:jc w:val="center"/>
        <w:rPr>
          <w:rFonts w:hint="eastAsia"/>
          <w:b/>
          <w:color w:val="auto"/>
          <w:highlight w:val="none"/>
        </w:rPr>
      </w:pPr>
      <w:bookmarkStart w:id="6" w:name="_Toc19364"/>
      <w:bookmarkStart w:id="7" w:name="_Toc423973073"/>
      <w:r>
        <w:rPr>
          <w:rFonts w:hint="eastAsia"/>
          <w:b/>
          <w:color w:val="auto"/>
          <w:highlight w:val="none"/>
        </w:rPr>
        <w:t>须知前附表</w:t>
      </w:r>
      <w:bookmarkEnd w:id="6"/>
      <w:bookmarkEnd w:id="7"/>
    </w:p>
    <w:tbl>
      <w:tblPr>
        <w:tblStyle w:val="20"/>
        <w:tblW w:w="991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20"/>
        <w:gridCol w:w="87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1120" w:type="dxa"/>
            <w:noWrap w:val="0"/>
            <w:vAlign w:val="top"/>
          </w:tcPr>
          <w:p>
            <w:pPr>
              <w:spacing w:line="360" w:lineRule="auto"/>
              <w:ind w:firstLine="100" w:firstLineChars="100"/>
              <w:jc w:val="center"/>
              <w:rPr>
                <w:rFonts w:hint="eastAsia" w:ascii="仿宋" w:hAnsi="仿宋" w:eastAsia="仿宋" w:cs="仿宋"/>
                <w:color w:val="auto"/>
                <w:sz w:val="10"/>
                <w:szCs w:val="10"/>
                <w:highlight w:val="none"/>
                <w:lang w:bidi="ar"/>
              </w:rPr>
            </w:pPr>
          </w:p>
          <w:p>
            <w:pPr>
              <w:spacing w:line="360" w:lineRule="auto"/>
              <w:ind w:firstLine="240" w:firstLineChars="100"/>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序号</w:t>
            </w:r>
          </w:p>
        </w:tc>
        <w:tc>
          <w:tcPr>
            <w:tcW w:w="8792" w:type="dxa"/>
            <w:noWrap w:val="0"/>
            <w:vAlign w:val="top"/>
          </w:tcPr>
          <w:p>
            <w:pPr>
              <w:spacing w:line="360" w:lineRule="auto"/>
              <w:ind w:firstLine="330" w:firstLineChars="300"/>
              <w:jc w:val="center"/>
              <w:rPr>
                <w:rFonts w:hint="eastAsia" w:ascii="仿宋" w:hAnsi="仿宋" w:eastAsia="仿宋" w:cs="仿宋"/>
                <w:color w:val="auto"/>
                <w:sz w:val="11"/>
                <w:szCs w:val="11"/>
                <w:highlight w:val="none"/>
                <w:lang w:bidi="ar"/>
              </w:rPr>
            </w:pPr>
          </w:p>
          <w:p>
            <w:pPr>
              <w:spacing w:line="360" w:lineRule="auto"/>
              <w:ind w:firstLine="480" w:firstLineChars="200"/>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编 列 内 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9" w:hRule="atLeast"/>
          <w:jc w:val="center"/>
        </w:trPr>
        <w:tc>
          <w:tcPr>
            <w:tcW w:w="1120" w:type="dxa"/>
            <w:noWrap w:val="0"/>
            <w:vAlign w:val="center"/>
          </w:tcPr>
          <w:p>
            <w:pPr>
              <w:spacing w:line="360" w:lineRule="auto"/>
              <w:ind w:firstLine="240" w:firstLineChars="100"/>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w:t>
            </w:r>
          </w:p>
        </w:tc>
        <w:tc>
          <w:tcPr>
            <w:tcW w:w="8792" w:type="dxa"/>
            <w:noWrap w:val="0"/>
            <w:vAlign w:val="top"/>
          </w:tcPr>
          <w:p>
            <w:pPr>
              <w:spacing w:line="360" w:lineRule="auto"/>
              <w:ind w:firstLine="200" w:firstLineChars="200"/>
              <w:rPr>
                <w:rFonts w:hint="eastAsia" w:ascii="仿宋" w:hAnsi="仿宋" w:eastAsia="仿宋" w:cs="仿宋"/>
                <w:color w:val="auto"/>
                <w:sz w:val="10"/>
                <w:szCs w:val="10"/>
                <w:highlight w:val="none"/>
                <w:lang w:bidi="ar"/>
              </w:rPr>
            </w:pPr>
          </w:p>
          <w:p>
            <w:pPr>
              <w:spacing w:line="360" w:lineRule="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采购代理机构：</w:t>
            </w:r>
            <w:r>
              <w:rPr>
                <w:rFonts w:hint="eastAsia" w:ascii="仿宋" w:hAnsi="仿宋" w:eastAsia="仿宋" w:cs="仿宋"/>
                <w:color w:val="auto"/>
                <w:sz w:val="24"/>
                <w:szCs w:val="24"/>
                <w:highlight w:val="none"/>
                <w:lang w:eastAsia="zh-CN" w:bidi="ar"/>
              </w:rPr>
              <w:t>开瑞项目管理有限公司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1120" w:type="dxa"/>
            <w:noWrap w:val="0"/>
            <w:vAlign w:val="center"/>
          </w:tcPr>
          <w:p>
            <w:pPr>
              <w:spacing w:line="360" w:lineRule="auto"/>
              <w:ind w:firstLine="240" w:firstLineChars="100"/>
              <w:jc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w:t>
            </w:r>
          </w:p>
        </w:tc>
        <w:tc>
          <w:tcPr>
            <w:tcW w:w="8792" w:type="dxa"/>
            <w:noWrap w:val="0"/>
            <w:vAlign w:val="top"/>
          </w:tcPr>
          <w:p>
            <w:pPr>
              <w:spacing w:line="360" w:lineRule="auto"/>
              <w:rPr>
                <w:rFonts w:hint="eastAsia" w:ascii="仿宋" w:hAnsi="仿宋" w:eastAsia="仿宋" w:cs="仿宋"/>
                <w:highlight w:val="none"/>
                <w:lang w:val="en-US" w:eastAsia="zh-CN"/>
              </w:rPr>
            </w:pPr>
            <w:r>
              <w:rPr>
                <w:rFonts w:hint="eastAsia" w:ascii="仿宋" w:hAnsi="仿宋" w:eastAsia="仿宋" w:cs="仿宋"/>
                <w:color w:val="auto"/>
                <w:sz w:val="24"/>
                <w:szCs w:val="24"/>
                <w:highlight w:val="none"/>
                <w:lang w:val="en-US" w:eastAsia="zh-CN" w:bidi="ar"/>
              </w:rPr>
              <w:t>采购人：榆林市行政审批服务局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1120" w:type="dxa"/>
            <w:noWrap w:val="0"/>
            <w:vAlign w:val="center"/>
          </w:tcPr>
          <w:p>
            <w:pPr>
              <w:spacing w:line="240" w:lineRule="auto"/>
              <w:ind w:firstLine="240" w:firstLineChars="100"/>
              <w:jc w:val="center"/>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3</w:t>
            </w:r>
          </w:p>
        </w:tc>
        <w:tc>
          <w:tcPr>
            <w:tcW w:w="8792" w:type="dxa"/>
            <w:noWrap w:val="0"/>
            <w:vAlign w:val="center"/>
          </w:tcPr>
          <w:p>
            <w:pPr>
              <w:spacing w:line="240" w:lineRule="auto"/>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本项目不接受联合体磋商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120" w:type="dxa"/>
            <w:noWrap w:val="0"/>
            <w:vAlign w:val="center"/>
          </w:tcPr>
          <w:p>
            <w:pPr>
              <w:spacing w:line="240" w:lineRule="auto"/>
              <w:ind w:firstLine="240" w:firstLineChars="100"/>
              <w:jc w:val="center"/>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4</w:t>
            </w:r>
          </w:p>
        </w:tc>
        <w:tc>
          <w:tcPr>
            <w:tcW w:w="8792" w:type="dxa"/>
            <w:noWrap w:val="0"/>
            <w:vAlign w:val="center"/>
          </w:tcPr>
          <w:p>
            <w:pPr>
              <w:spacing w:line="240" w:lineRule="auto"/>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不允许提供备选方案。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55" w:hRule="atLeast"/>
          <w:jc w:val="center"/>
        </w:trPr>
        <w:tc>
          <w:tcPr>
            <w:tcW w:w="1120" w:type="dxa"/>
            <w:noWrap w:val="0"/>
            <w:vAlign w:val="center"/>
          </w:tcPr>
          <w:p>
            <w:pPr>
              <w:spacing w:line="360" w:lineRule="auto"/>
              <w:ind w:firstLine="240" w:firstLineChars="100"/>
              <w:jc w:val="center"/>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5</w:t>
            </w:r>
          </w:p>
        </w:tc>
        <w:tc>
          <w:tcPr>
            <w:tcW w:w="8792" w:type="dxa"/>
            <w:noWrap w:val="0"/>
            <w:vAlign w:val="top"/>
          </w:tcPr>
          <w:p>
            <w:pPr>
              <w:spacing w:line="360" w:lineRule="auto"/>
              <w:ind w:firstLine="120" w:firstLineChars="200"/>
              <w:rPr>
                <w:rFonts w:hint="eastAsia" w:ascii="仿宋" w:hAnsi="仿宋" w:eastAsia="仿宋" w:cs="仿宋"/>
                <w:color w:val="auto"/>
                <w:sz w:val="6"/>
                <w:szCs w:val="6"/>
                <w:highlight w:val="none"/>
                <w:lang w:bidi="ar"/>
              </w:rPr>
            </w:pPr>
          </w:p>
          <w:p>
            <w:pPr>
              <w:spacing w:line="360" w:lineRule="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磋商报价：1、供应商自主报价；</w:t>
            </w:r>
          </w:p>
          <w:p>
            <w:pPr>
              <w:spacing w:line="360" w:lineRule="auto"/>
              <w:ind w:firstLine="1200" w:firstLineChars="5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2、按磋商文件中的磋商响应文件格式报价。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5" w:hRule="atLeast"/>
          <w:jc w:val="center"/>
        </w:trPr>
        <w:tc>
          <w:tcPr>
            <w:tcW w:w="1120" w:type="dxa"/>
            <w:noWrap w:val="0"/>
            <w:vAlign w:val="center"/>
          </w:tcPr>
          <w:p>
            <w:pPr>
              <w:spacing w:line="360" w:lineRule="auto"/>
              <w:ind w:firstLine="240" w:firstLineChars="100"/>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.1</w:t>
            </w:r>
          </w:p>
        </w:tc>
        <w:tc>
          <w:tcPr>
            <w:tcW w:w="8792" w:type="dxa"/>
            <w:noWrap w:val="0"/>
            <w:vAlign w:val="top"/>
          </w:tcPr>
          <w:p>
            <w:pPr>
              <w:spacing w:line="360" w:lineRule="auto"/>
              <w:ind w:firstLine="80" w:firstLineChars="200"/>
              <w:rPr>
                <w:rFonts w:hint="eastAsia" w:ascii="仿宋" w:hAnsi="仿宋" w:eastAsia="仿宋" w:cs="仿宋"/>
                <w:color w:val="auto"/>
                <w:sz w:val="4"/>
                <w:szCs w:val="4"/>
                <w:highlight w:val="none"/>
                <w:lang w:bidi="ar"/>
              </w:rPr>
            </w:pPr>
          </w:p>
          <w:p>
            <w:pPr>
              <w:spacing w:line="360" w:lineRule="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采购最高限价：</w:t>
            </w:r>
            <w:r>
              <w:rPr>
                <w:rFonts w:hint="eastAsia" w:ascii="仿宋" w:hAnsi="仿宋" w:eastAsia="仿宋" w:cs="仿宋"/>
                <w:sz w:val="24"/>
                <w:szCs w:val="24"/>
                <w:highlight w:val="none"/>
                <w:lang w:val="en-US" w:eastAsia="zh-CN"/>
              </w:rPr>
              <w:t>893300.00</w:t>
            </w:r>
            <w:r>
              <w:rPr>
                <w:rFonts w:hint="eastAsia" w:ascii="仿宋" w:hAnsi="仿宋" w:eastAsia="仿宋" w:cs="仿宋"/>
                <w:color w:val="auto"/>
                <w:sz w:val="24"/>
                <w:szCs w:val="24"/>
                <w:highlight w:val="none"/>
                <w:lang w:bidi="ar"/>
              </w:rPr>
              <w:t>元</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供应商报价大于采购最高限价，</w:t>
            </w:r>
            <w:r>
              <w:rPr>
                <w:rFonts w:hint="eastAsia" w:ascii="仿宋" w:hAnsi="仿宋" w:eastAsia="仿宋" w:cs="仿宋"/>
                <w:color w:val="auto"/>
                <w:sz w:val="24"/>
                <w:szCs w:val="24"/>
                <w:highlight w:val="none"/>
                <w:lang w:val="en-US" w:eastAsia="zh-CN" w:bidi="ar"/>
              </w:rPr>
              <w:t>视为不</w:t>
            </w:r>
            <w:r>
              <w:rPr>
                <w:rFonts w:hint="eastAsia" w:ascii="仿宋" w:hAnsi="仿宋" w:eastAsia="仿宋" w:cs="仿宋"/>
                <w:color w:val="auto"/>
                <w:sz w:val="24"/>
                <w:szCs w:val="24"/>
                <w:highlight w:val="none"/>
                <w:lang w:bidi="ar"/>
              </w:rPr>
              <w:t>响应磋商文件，按无效投标处理。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2" w:hRule="atLeast"/>
          <w:jc w:val="center"/>
        </w:trPr>
        <w:tc>
          <w:tcPr>
            <w:tcW w:w="1120" w:type="dxa"/>
            <w:noWrap w:val="0"/>
            <w:vAlign w:val="center"/>
          </w:tcPr>
          <w:p>
            <w:pPr>
              <w:spacing w:line="360" w:lineRule="auto"/>
              <w:ind w:firstLine="240" w:firstLineChars="100"/>
              <w:jc w:val="center"/>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6</w:t>
            </w:r>
          </w:p>
        </w:tc>
        <w:tc>
          <w:tcPr>
            <w:tcW w:w="8792" w:type="dxa"/>
            <w:noWrap w:val="0"/>
            <w:vAlign w:val="top"/>
          </w:tcPr>
          <w:p>
            <w:pPr>
              <w:spacing w:line="360" w:lineRule="auto"/>
              <w:ind w:firstLine="160" w:firstLineChars="200"/>
              <w:rPr>
                <w:rFonts w:hint="eastAsia" w:ascii="仿宋" w:hAnsi="仿宋" w:eastAsia="仿宋" w:cs="仿宋"/>
                <w:color w:val="auto"/>
                <w:sz w:val="8"/>
                <w:szCs w:val="8"/>
                <w:highlight w:val="none"/>
                <w:lang w:bidi="ar"/>
              </w:rPr>
            </w:pPr>
          </w:p>
          <w:p>
            <w:pPr>
              <w:spacing w:line="360" w:lineRule="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资格证明文件：</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1.满足《中华人民共和国政府采购法》第二十二条规定;</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特定资格要求：</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供应商应为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2、财务状况报告：提供</w:t>
            </w:r>
            <w:r>
              <w:rPr>
                <w:rFonts w:hint="eastAsia" w:ascii="仿宋" w:hAnsi="仿宋" w:eastAsia="仿宋" w:cs="仿宋"/>
                <w:color w:val="auto"/>
                <w:sz w:val="24"/>
                <w:szCs w:val="24"/>
                <w:highlight w:val="none"/>
                <w:lang w:val="en-US" w:eastAsia="zh-CN" w:bidi="ar"/>
              </w:rPr>
              <w:t>2021年度或</w:t>
            </w:r>
            <w:r>
              <w:rPr>
                <w:rFonts w:hint="eastAsia" w:ascii="仿宋" w:hAnsi="仿宋" w:eastAsia="仿宋" w:cs="仿宋"/>
                <w:color w:val="auto"/>
                <w:sz w:val="24"/>
                <w:szCs w:val="24"/>
                <w:highlight w:val="none"/>
                <w:lang w:eastAsia="zh-CN" w:bidi="ar"/>
              </w:rPr>
              <w:t>2022年度财务审计报告（须经第三方中介机构审计），公司成立时间不足</w:t>
            </w:r>
            <w:r>
              <w:rPr>
                <w:rFonts w:hint="eastAsia" w:ascii="仿宋" w:hAnsi="仿宋" w:eastAsia="仿宋" w:cs="仿宋"/>
                <w:color w:val="auto"/>
                <w:sz w:val="24"/>
                <w:szCs w:val="24"/>
                <w:highlight w:val="none"/>
                <w:lang w:val="en-US" w:eastAsia="zh-CN" w:bidi="ar"/>
              </w:rPr>
              <w:t>一</w:t>
            </w:r>
            <w:r>
              <w:rPr>
                <w:rFonts w:hint="eastAsia" w:ascii="仿宋" w:hAnsi="仿宋" w:eastAsia="仿宋" w:cs="仿宋"/>
                <w:color w:val="auto"/>
                <w:sz w:val="24"/>
                <w:szCs w:val="24"/>
                <w:highlight w:val="none"/>
                <w:lang w:eastAsia="zh-CN" w:bidi="ar"/>
              </w:rPr>
              <w:t>年的，需提供其基本账户开户银行出具的资信证明及基本账户开户许可证；</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3、社会保障资金缴纳证明：提供2022年</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eastAsia="zh-CN" w:bidi="ar"/>
              </w:rPr>
              <w:t>月至今已缴存的至少一个月的社会保障资金银行缴费单据或社保机构开具的社会保险参保缴费情况证明，依法不需要缴纳社会保障资金的单位应提供相关证明材料；</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4、税收缴纳证明：提供2022年</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eastAsia="zh-CN" w:bidi="ar"/>
              </w:rPr>
              <w:t>月至今已缴纳的至少一个月的纳税证明（银行缴费凭证）或完税证明，依法免税的单位应提供相关证明材料；</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5、参加本次政府采购活动前三年内在经营活动中没有重大违纪，以及未被列入失信被执行人、重大税收违法失信主体、政府采购严重违法失信行为记录名单的书面声明；</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6、提供具有履行合同所必需的设备和专业技术能力的证明资料或承诺书；</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7、不得在“信用中国”(www.creditchina.gov.cn)网站列入失信被执行人和重大税收违法案件当事人名单；不得为中国政府采购网（www.ccgp.gov.cn）政府采购严重违法失信行为记录名单中被财政部门禁止参加政府采购活动的供应商；投标供应商须提供上述相关网页查询信用记录（以网页截图加盖投标人公章为准）及信用报告（以“信用中国”网站生成的带水印信用报告加盖公章为准）；对列入失信被执行人、重大税收违法案件当事人名单、政府采购严重违法失信行为记录名单及其他不符合《中华人民共 和国政府采购法》第二十二条规定条件的将拒绝其参与政府采购活动，还需提供《榆林市政府采购服务类项目供应商信用承诺书》承诺书（格式见</w:t>
            </w:r>
            <w:r>
              <w:rPr>
                <w:rFonts w:hint="eastAsia" w:ascii="仿宋" w:hAnsi="仿宋" w:eastAsia="仿宋" w:cs="仿宋"/>
                <w:color w:val="auto"/>
                <w:sz w:val="24"/>
                <w:szCs w:val="24"/>
                <w:highlight w:val="none"/>
                <w:lang w:val="en-US" w:eastAsia="zh-CN" w:bidi="ar"/>
              </w:rPr>
              <w:t>磋商</w:t>
            </w:r>
            <w:r>
              <w:rPr>
                <w:rFonts w:hint="eastAsia" w:ascii="仿宋" w:hAnsi="仿宋" w:eastAsia="仿宋" w:cs="仿宋"/>
                <w:color w:val="auto"/>
                <w:sz w:val="24"/>
                <w:szCs w:val="24"/>
                <w:highlight w:val="none"/>
                <w:lang w:eastAsia="zh-CN" w:bidi="ar"/>
              </w:rPr>
              <w:t>文件附件）；</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8、提供本项目投标保证金交纳凭证(打款回单)或投标保函；</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eastAsia="zh-CN" w:bidi="ar"/>
              </w:rPr>
              <w:t>9、本项目专门面向中小企业采购，供应商须提供《中小企业声明函》；</w:t>
            </w:r>
            <w:r>
              <w:rPr>
                <w:rFonts w:hint="eastAsia" w:ascii="仿宋" w:hAnsi="仿宋" w:eastAsia="仿宋" w:cs="仿宋"/>
                <w:color w:val="auto"/>
                <w:sz w:val="24"/>
                <w:szCs w:val="24"/>
                <w:highlight w:val="none"/>
                <w:lang w:eastAsia="zh-CN" w:bidi="ar"/>
              </w:rPr>
              <w:br w:type="textWrapping"/>
            </w:r>
            <w:r>
              <w:rPr>
                <w:rFonts w:hint="eastAsia" w:ascii="仿宋" w:hAnsi="仿宋" w:eastAsia="仿宋" w:cs="仿宋"/>
                <w:color w:val="auto"/>
                <w:sz w:val="24"/>
                <w:szCs w:val="24"/>
                <w:highlight w:val="none"/>
                <w:lang w:val="en-US" w:eastAsia="zh-CN" w:bidi="ar"/>
              </w:rPr>
              <w:t>10、</w:t>
            </w:r>
            <w:r>
              <w:rPr>
                <w:rFonts w:hint="eastAsia" w:ascii="仿宋" w:hAnsi="仿宋" w:eastAsia="仿宋" w:cs="仿宋"/>
                <w:color w:val="auto"/>
                <w:sz w:val="24"/>
                <w:szCs w:val="24"/>
                <w:highlight w:val="none"/>
                <w:lang w:eastAsia="zh-CN" w:bidi="ar"/>
              </w:rPr>
              <w:t>本项目不接受联合体投标、不允许分包、转包，单位负责人为同一人或者存在直接控股、管理关系的不同投标人，不得参加同一合同项下的政府采购活动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1120" w:type="dxa"/>
            <w:noWrap w:val="0"/>
            <w:vAlign w:val="center"/>
          </w:tcPr>
          <w:p>
            <w:pPr>
              <w:spacing w:line="360" w:lineRule="auto"/>
              <w:jc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7</w:t>
            </w:r>
          </w:p>
        </w:tc>
        <w:tc>
          <w:tcPr>
            <w:tcW w:w="879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投标保证金缴纳方式和金额：（投标保证金的有效期与投标有效期一致）</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投标保证金金额：壹万元整（￥10000.00 元）。</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投标人投标保证金的缴纳形式:采用电汇或转账等现金以外的方式缴纳，从基本账户转出（否则按无效响应处理），如以个人汇款视为无效。</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或者金融机构、担保机构出具的保函等非现金形式提交。</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转账时请注明：</w:t>
            </w:r>
            <w:r>
              <w:rPr>
                <w:rFonts w:hint="eastAsia" w:ascii="仿宋" w:hAnsi="仿宋" w:eastAsia="仿宋" w:cs="仿宋"/>
                <w:b/>
                <w:bCs/>
                <w:color w:val="auto"/>
                <w:sz w:val="24"/>
                <w:szCs w:val="24"/>
                <w:highlight w:val="none"/>
                <w:lang w:val="en-US" w:eastAsia="zh-CN" w:bidi="ar"/>
              </w:rPr>
              <w:t>项目简称+编号（务必备注，否则视为无效）</w:t>
            </w:r>
            <w:r>
              <w:rPr>
                <w:rFonts w:hint="eastAsia" w:ascii="仿宋" w:hAnsi="仿宋" w:eastAsia="仿宋" w:cs="仿宋"/>
                <w:color w:val="auto"/>
                <w:sz w:val="24"/>
                <w:szCs w:val="24"/>
                <w:highlight w:val="none"/>
                <w:lang w:val="en-US" w:eastAsia="zh-CN" w:bidi="ar"/>
              </w:rPr>
              <w:t>招标结束之后以转账形式退到投标人的基本账户。</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投标保证金须在开标之前存入以下帐户：</w:t>
            </w:r>
            <w:r>
              <w:rPr>
                <w:rFonts w:hint="eastAsia" w:ascii="仿宋" w:hAnsi="仿宋" w:eastAsia="仿宋" w:cs="仿宋"/>
                <w:color w:val="auto"/>
                <w:sz w:val="24"/>
                <w:szCs w:val="24"/>
                <w:highlight w:val="none"/>
                <w:lang w:val="en-US" w:eastAsia="zh-CN" w:bidi="ar"/>
              </w:rPr>
              <w:tab/>
            </w:r>
          </w:p>
          <w:p>
            <w:pPr>
              <w:spacing w:line="360" w:lineRule="auto"/>
              <w:ind w:left="638" w:leftChars="228"/>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采购代理机构开户名称:开瑞项目管理有限公司 </w:t>
            </w:r>
          </w:p>
          <w:p>
            <w:pPr>
              <w:spacing w:line="360" w:lineRule="auto"/>
              <w:ind w:left="638" w:leftChars="228"/>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开  户  行：招商银行股份有限公司西安分行营业部</w:t>
            </w:r>
          </w:p>
          <w:p>
            <w:pPr>
              <w:spacing w:line="360" w:lineRule="auto"/>
              <w:ind w:left="638" w:leftChars="228"/>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号：129905724510703</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投标保证金到达采购代理机构指定账户后，</w:t>
            </w:r>
            <w:r>
              <w:rPr>
                <w:rFonts w:hint="eastAsia" w:ascii="仿宋" w:hAnsi="仿宋" w:eastAsia="仿宋" w:cs="仿宋"/>
                <w:b/>
                <w:bCs/>
                <w:color w:val="auto"/>
                <w:sz w:val="24"/>
                <w:szCs w:val="24"/>
                <w:highlight w:val="none"/>
                <w:lang w:val="en-US" w:eastAsia="zh-CN" w:bidi="ar"/>
              </w:rPr>
              <w:t>供应商须与开瑞项目管理有限公司财务部联系确认到帐（联系方式：0912-3648567），并将银行转账凭证附在投标文件中，做为投标保证金交纳的唯一凭证</w:t>
            </w:r>
            <w:r>
              <w:rPr>
                <w:rFonts w:hint="eastAsia" w:ascii="仿宋" w:hAnsi="仿宋" w:eastAsia="仿宋" w:cs="仿宋"/>
                <w:color w:val="auto"/>
                <w:sz w:val="24"/>
                <w:szCs w:val="24"/>
                <w:highlight w:val="none"/>
                <w:lang w:val="en-US" w:eastAsia="zh-CN" w:bidi="ar"/>
              </w:rPr>
              <w:t>。投标人可根据项目实施地财政部门规定提供政府采购信用担保，投标人以保函形式缴纳投标保证金的，须在投标文件递交截止时间前将担保机构保函原件提交至采购代理机构备案，并将保函正本复印件附在磋商文件规定处，招标结束之后在规定时间内将保函原件退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8</w:t>
            </w:r>
          </w:p>
        </w:tc>
        <w:tc>
          <w:tcPr>
            <w:tcW w:w="8792" w:type="dxa"/>
            <w:noWrap w:val="0"/>
            <w:vAlign w:val="center"/>
          </w:tcPr>
          <w:p>
            <w:pPr>
              <w:spacing w:line="240" w:lineRule="auto"/>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磋商有效期: 从提交磋商响应文件的截止之日起 90 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4"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9</w:t>
            </w:r>
          </w:p>
        </w:tc>
        <w:tc>
          <w:tcPr>
            <w:tcW w:w="8792" w:type="dxa"/>
            <w:noWrap w:val="0"/>
            <w:vAlign w:val="center"/>
          </w:tcPr>
          <w:p>
            <w:pPr>
              <w:spacing w:line="240" w:lineRule="auto"/>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服务期：一年。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10</w:t>
            </w:r>
          </w:p>
        </w:tc>
        <w:tc>
          <w:tcPr>
            <w:tcW w:w="8792" w:type="dxa"/>
            <w:noWrap w:val="0"/>
            <w:vAlign w:val="center"/>
          </w:tcPr>
          <w:p>
            <w:pPr>
              <w:spacing w:line="360" w:lineRule="auto"/>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开标时间：2023年05月06 日下午13:30时。</w:t>
            </w:r>
          </w:p>
          <w:p>
            <w:pPr>
              <w:spacing w:line="360" w:lineRule="auto"/>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开标地点：榆林市公共资源交易中心十楼不见面开标6室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1120" w:type="dxa"/>
            <w:noWrap w:val="0"/>
            <w:vAlign w:val="center"/>
          </w:tcPr>
          <w:p>
            <w:pPr>
              <w:spacing w:line="240" w:lineRule="auto"/>
              <w:ind w:firstLine="240" w:firstLineChars="100"/>
              <w:jc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1</w:t>
            </w:r>
          </w:p>
        </w:tc>
        <w:tc>
          <w:tcPr>
            <w:tcW w:w="8792" w:type="dxa"/>
            <w:noWrap w:val="0"/>
            <w:vAlign w:val="center"/>
          </w:tcPr>
          <w:p>
            <w:pPr>
              <w:spacing w:line="240" w:lineRule="auto"/>
              <w:ind w:firstLine="160" w:firstLineChars="200"/>
              <w:jc w:val="center"/>
              <w:rPr>
                <w:rFonts w:hint="eastAsia" w:ascii="仿宋" w:hAnsi="仿宋" w:eastAsia="仿宋" w:cs="仿宋"/>
                <w:color w:val="auto"/>
                <w:sz w:val="8"/>
                <w:szCs w:val="8"/>
                <w:highlight w:val="none"/>
                <w:lang w:bidi="ar"/>
              </w:rPr>
            </w:pPr>
          </w:p>
          <w:p>
            <w:pPr>
              <w:spacing w:line="240" w:lineRule="auto"/>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踏勘方式：不组织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2" w:hRule="atLeast"/>
          <w:jc w:val="center"/>
        </w:trPr>
        <w:tc>
          <w:tcPr>
            <w:tcW w:w="1120" w:type="dxa"/>
            <w:noWrap w:val="0"/>
            <w:vAlign w:val="center"/>
          </w:tcPr>
          <w:p>
            <w:pPr>
              <w:spacing w:line="240" w:lineRule="auto"/>
              <w:ind w:firstLine="240" w:firstLineChars="100"/>
              <w:jc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2</w:t>
            </w:r>
          </w:p>
        </w:tc>
        <w:tc>
          <w:tcPr>
            <w:tcW w:w="8792" w:type="dxa"/>
            <w:noWrap w:val="0"/>
            <w:vAlign w:val="center"/>
          </w:tcPr>
          <w:p>
            <w:pPr>
              <w:spacing w:line="240" w:lineRule="auto"/>
              <w:jc w:val="left"/>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评审方法：综合评分法（详见第五章）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73" w:hRule="atLeast"/>
          <w:jc w:val="center"/>
        </w:trPr>
        <w:tc>
          <w:tcPr>
            <w:tcW w:w="1120" w:type="dxa"/>
            <w:noWrap w:val="0"/>
            <w:vAlign w:val="center"/>
          </w:tcPr>
          <w:p>
            <w:pPr>
              <w:spacing w:line="360" w:lineRule="auto"/>
              <w:ind w:firstLine="240" w:firstLineChars="100"/>
              <w:jc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3</w:t>
            </w:r>
          </w:p>
        </w:tc>
        <w:tc>
          <w:tcPr>
            <w:tcW w:w="8792" w:type="dxa"/>
            <w:noWrap w:val="0"/>
            <w:vAlign w:val="center"/>
          </w:tcPr>
          <w:p>
            <w:pPr>
              <w:spacing w:line="360" w:lineRule="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成交代理服务费：成交代理服务费的金额按照国家发展计划委员会计价[2002]1980号文件的规定标准收取，由成交单位在领取成交通知书前一次性支付给采购代理机构。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8"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14</w:t>
            </w:r>
          </w:p>
        </w:tc>
        <w:tc>
          <w:tcPr>
            <w:tcW w:w="8792" w:type="dxa"/>
            <w:noWrap w:val="0"/>
            <w:vAlign w:val="center"/>
          </w:tcPr>
          <w:p>
            <w:pPr>
              <w:spacing w:line="360" w:lineRule="auto"/>
              <w:rPr>
                <w:rFonts w:hint="eastAsia" w:ascii="仿宋" w:hAnsi="仿宋" w:eastAsia="仿宋" w:cs="仿宋"/>
                <w:lang w:val="en-US" w:eastAsia="zh-CN"/>
              </w:rPr>
            </w:pPr>
            <w:r>
              <w:rPr>
                <w:rFonts w:hint="eastAsia" w:ascii="仿宋" w:hAnsi="仿宋" w:eastAsia="仿宋" w:cs="仿宋"/>
                <w:color w:val="auto"/>
                <w:sz w:val="24"/>
                <w:szCs w:val="24"/>
                <w:highlight w:val="none"/>
                <w:lang w:val="en-US" w:eastAsia="zh-CN" w:bidi="ar"/>
              </w:rPr>
              <w:t>投标文件中的复印件（含扫描件）必须加盖投标人公章，否则按无效文件处理。所有复印件应是最新、有效、清晰的。因复印件不清晰而可能导致资料无效，由投标人自行负责。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8"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15</w:t>
            </w:r>
          </w:p>
        </w:tc>
        <w:tc>
          <w:tcPr>
            <w:tcW w:w="8792" w:type="dxa"/>
            <w:noWrap w:val="0"/>
            <w:vAlign w:val="center"/>
          </w:tcPr>
          <w:p>
            <w:pPr>
              <w:spacing w:line="360" w:lineRule="auto"/>
              <w:rPr>
                <w:rFonts w:hint="eastAsia" w:ascii="仿宋" w:hAnsi="仿宋" w:eastAsia="仿宋" w:cs="仿宋"/>
                <w:color w:val="auto"/>
                <w:sz w:val="24"/>
                <w:szCs w:val="24"/>
                <w:highlight w:val="none"/>
                <w:lang w:val="en-US" w:eastAsia="zh-CN" w:bidi="ar"/>
              </w:rPr>
            </w:pPr>
            <w:r>
              <w:rPr>
                <w:rFonts w:hint="eastAsia" w:ascii="仿宋" w:hAnsi="仿宋" w:eastAsia="仿宋" w:cs="仿宋"/>
                <w:b/>
                <w:bCs/>
                <w:color w:val="auto"/>
                <w:kern w:val="0"/>
                <w:sz w:val="24"/>
                <w:szCs w:val="24"/>
                <w:highlight w:val="none"/>
                <w:lang w:bidi="ar"/>
              </w:rPr>
              <w:t>投标供应商无需开标现场提交纸质投标文件，开标</w:t>
            </w:r>
            <w:r>
              <w:rPr>
                <w:rFonts w:hint="eastAsia" w:ascii="仿宋" w:hAnsi="仿宋" w:eastAsia="仿宋" w:cs="仿宋"/>
                <w:b/>
                <w:bCs/>
                <w:color w:val="auto"/>
                <w:kern w:val="0"/>
                <w:sz w:val="24"/>
                <w:szCs w:val="24"/>
                <w:highlight w:val="none"/>
                <w:lang w:val="en-US" w:eastAsia="zh-CN" w:bidi="ar"/>
              </w:rPr>
              <w:t>后</w:t>
            </w:r>
            <w:r>
              <w:rPr>
                <w:rFonts w:hint="eastAsia" w:ascii="仿宋" w:hAnsi="仿宋" w:eastAsia="仿宋" w:cs="仿宋"/>
                <w:b/>
                <w:bCs/>
                <w:color w:val="auto"/>
                <w:kern w:val="0"/>
                <w:sz w:val="24"/>
                <w:szCs w:val="24"/>
                <w:highlight w:val="none"/>
                <w:lang w:bidi="ar"/>
              </w:rPr>
              <w:t>，将文件一正两副纸质及电子版投标文件快递至联系人：开瑞项目管理有限公司；联系电话：19929103165；地址：榆林市榆阳区惠民路25号塞公馆507（备案用）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16</w:t>
            </w:r>
          </w:p>
        </w:tc>
        <w:tc>
          <w:tcPr>
            <w:tcW w:w="8792" w:type="dxa"/>
            <w:noWrap w:val="0"/>
            <w:vAlign w:val="center"/>
          </w:tcPr>
          <w:p>
            <w:pPr>
              <w:spacing w:line="360" w:lineRule="auto"/>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付款方式：甲方与乙方签署该合同后，甲方向乙方支付合同总额的40%，服务期满半年完成阶段验收合格后支付30%，服务期满验收合格后支付30%。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17</w:t>
            </w:r>
          </w:p>
        </w:tc>
        <w:tc>
          <w:tcPr>
            <w:tcW w:w="8792" w:type="dxa"/>
            <w:noWrap w:val="0"/>
            <w:vAlign w:val="center"/>
          </w:tcPr>
          <w:p>
            <w:pPr>
              <w:spacing w:line="360" w:lineRule="auto"/>
              <w:jc w:val="both"/>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不见面开标</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该项目将采取“不见面”开标的形式，投标人无须到达开标现场，即可在网上直接参与开标活动。</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相关注意事项如下：</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1、开标当日，请各投标人在开标截止时间前至少提前半小时登录“不见面”开标系统登录方式有以下几种：</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1）IE浏览器输入网址：</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http://111.20.184.126:808</w:t>
            </w:r>
            <w:r>
              <w:rPr>
                <w:rFonts w:hint="eastAsia" w:ascii="仿宋" w:hAnsi="仿宋" w:eastAsia="仿宋" w:cs="仿宋"/>
                <w:color w:val="000000"/>
                <w:sz w:val="24"/>
                <w:lang w:val="en-US" w:eastAsia="zh-CN"/>
              </w:rPr>
              <w:t>4</w:t>
            </w:r>
            <w:r>
              <w:rPr>
                <w:rFonts w:hint="eastAsia" w:ascii="仿宋" w:hAnsi="仿宋" w:eastAsia="仿宋" w:cs="仿宋"/>
                <w:color w:val="000000"/>
                <w:sz w:val="24"/>
                <w:lang w:eastAsia="zh-CN"/>
              </w:rPr>
              <w:t>/BidOpeningHallCS/bidhall/default/login；</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2）在【全国公共资源交易平台（陕西省·榆林市）】网站首页点击不见面开标模块进入；</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3）在【全国公共资源交易平台（陕西省）】网站首页点击不见面开标模块选择榆林市进入。</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注：登录不见面开标系统请选择IE11浏览器</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2、</w:t>
            </w:r>
            <w:r>
              <w:rPr>
                <w:rFonts w:hint="eastAsia" w:ascii="仿宋" w:hAnsi="仿宋" w:eastAsia="仿宋" w:cs="仿宋"/>
                <w:color w:val="000000"/>
                <w:sz w:val="24"/>
                <w:lang w:val="en-US" w:eastAsia="zh-CN"/>
              </w:rPr>
              <w:t>投标人</w:t>
            </w:r>
            <w:r>
              <w:rPr>
                <w:rFonts w:hint="eastAsia" w:ascii="仿宋" w:hAnsi="仿宋" w:eastAsia="仿宋" w:cs="仿宋"/>
                <w:color w:val="000000"/>
                <w:sz w:val="24"/>
                <w:lang w:eastAsia="zh-CN"/>
              </w:rPr>
              <w:t>应按要求及时签到（签到时间为投标截止时间前1小时内，如果未签到将视为放弃投标资格），评审过程中，评标委员会可能会就某些问题要求</w:t>
            </w:r>
            <w:r>
              <w:rPr>
                <w:rFonts w:hint="eastAsia" w:ascii="仿宋" w:hAnsi="仿宋" w:eastAsia="仿宋" w:cs="仿宋"/>
                <w:color w:val="000000"/>
                <w:sz w:val="24"/>
                <w:lang w:val="en-US" w:eastAsia="zh-CN"/>
              </w:rPr>
              <w:t>投标人</w:t>
            </w:r>
            <w:r>
              <w:rPr>
                <w:rFonts w:hint="eastAsia" w:ascii="仿宋" w:hAnsi="仿宋" w:eastAsia="仿宋" w:cs="仿宋"/>
                <w:color w:val="000000"/>
                <w:sz w:val="24"/>
                <w:lang w:eastAsia="zh-CN"/>
              </w:rPr>
              <w:t>进行在线澄清，请</w:t>
            </w:r>
            <w:r>
              <w:rPr>
                <w:rFonts w:hint="eastAsia" w:ascii="仿宋" w:hAnsi="仿宋" w:eastAsia="仿宋" w:cs="仿宋"/>
                <w:color w:val="000000"/>
                <w:sz w:val="24"/>
                <w:lang w:val="en-US" w:eastAsia="zh-CN"/>
              </w:rPr>
              <w:t>投标人</w:t>
            </w:r>
            <w:r>
              <w:rPr>
                <w:rFonts w:hint="eastAsia" w:ascii="仿宋" w:hAnsi="仿宋" w:eastAsia="仿宋" w:cs="仿宋"/>
                <w:color w:val="000000"/>
                <w:sz w:val="24"/>
                <w:lang w:eastAsia="zh-CN"/>
              </w:rPr>
              <w:t>保持在线直到评审结束；</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3、开标过程中，</w:t>
            </w:r>
            <w:r>
              <w:rPr>
                <w:rFonts w:hint="eastAsia" w:ascii="仿宋" w:hAnsi="仿宋" w:eastAsia="仿宋" w:cs="仿宋"/>
                <w:color w:val="000000"/>
                <w:sz w:val="24"/>
                <w:lang w:val="en-US" w:eastAsia="zh-CN"/>
              </w:rPr>
              <w:t>投标人</w:t>
            </w:r>
            <w:r>
              <w:rPr>
                <w:rFonts w:hint="eastAsia" w:ascii="仿宋" w:hAnsi="仿宋" w:eastAsia="仿宋" w:cs="仿宋"/>
                <w:color w:val="000000"/>
                <w:sz w:val="24"/>
                <w:lang w:eastAsia="zh-CN"/>
              </w:rPr>
              <w:t>在收到工作人员“开始解密”指令后，请及时使用CA对电子磋商文件进行解密。解密时所用CA应与加密磋商文件时所用CA相同。</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4、相关技术问题，请咨询软件开发商：技术支持热线：400-998-0000/400-928-0095</w:t>
            </w:r>
          </w:p>
          <w:p>
            <w:pPr>
              <w:spacing w:line="360" w:lineRule="auto"/>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000000"/>
                <w:sz w:val="24"/>
                <w:lang w:val="zh-CN" w:eastAsia="zh-CN"/>
              </w:rPr>
              <w:t>5、榆林不见面开标系统操作手册下载方式：登录【全国公共资源交易平台（陕西省·榆林市）】网站首页选择【服务指南】-【下载专区】-点击【榆林不见面开标系统操作手册（投标人）】进行下载</w:t>
            </w:r>
            <w:r>
              <w:rPr>
                <w:rFonts w:hint="eastAsia" w:ascii="仿宋" w:hAnsi="仿宋" w:eastAsia="仿宋" w:cs="仿宋"/>
                <w:color w:val="000000"/>
                <w:sz w:val="24"/>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18</w:t>
            </w:r>
          </w:p>
        </w:tc>
        <w:tc>
          <w:tcPr>
            <w:tcW w:w="8792" w:type="dxa"/>
            <w:noWrap w:val="0"/>
            <w:vAlign w:val="top"/>
          </w:tcPr>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（一）农、林、牧、渔业。营业收入20000万元以下的为中小微型企业。其中，营业收入500万元及以上的为中型企业，营业收入50万元及以上的为小型企业，营业收入50万元以下的为微型企业。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（十六）其他未列明行业。从业人员300人以下的为中小微型企业。其中，从业人员100人及以上的为中型企业；从业人员10人及以上的为小型企业；从业人员10人以下的为微型企业。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19</w:t>
            </w:r>
          </w:p>
        </w:tc>
        <w:tc>
          <w:tcPr>
            <w:tcW w:w="8792" w:type="dxa"/>
            <w:noWrap w:val="0"/>
            <w:vAlign w:val="top"/>
          </w:tcPr>
          <w:p>
            <w:pPr>
              <w:spacing w:line="360" w:lineRule="auto"/>
              <w:jc w:val="both"/>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eastAsia="zh-CN"/>
              </w:rPr>
              <w:t>采购标的行业：</w:t>
            </w:r>
            <w:r>
              <w:rPr>
                <w:rFonts w:hint="eastAsia" w:ascii="仿宋" w:hAnsi="仿宋" w:eastAsia="仿宋" w:cs="仿宋"/>
                <w:color w:val="auto"/>
                <w:sz w:val="24"/>
                <w:szCs w:val="24"/>
                <w:highlight w:val="none"/>
                <w:lang w:bidi="ar"/>
              </w:rPr>
              <w:t>软件和信息技术服务业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20</w:t>
            </w:r>
          </w:p>
        </w:tc>
        <w:tc>
          <w:tcPr>
            <w:tcW w:w="8792" w:type="dxa"/>
            <w:noWrap w:val="0"/>
            <w:vAlign w:val="top"/>
          </w:tcPr>
          <w:p>
            <w:pPr>
              <w:spacing w:line="360" w:lineRule="auto"/>
              <w:ind w:firstLine="480" w:firstLineChars="200"/>
              <w:jc w:val="left"/>
              <w:rPr>
                <w:rStyle w:val="45"/>
                <w:rFonts w:hint="eastAsia" w:ascii="仿宋" w:hAnsi="仿宋" w:eastAsia="仿宋" w:cs="仿宋"/>
                <w:color w:val="auto"/>
                <w:sz w:val="24"/>
                <w:highlight w:val="none"/>
              </w:rPr>
            </w:pPr>
            <w:r>
              <w:rPr>
                <w:rStyle w:val="45"/>
                <w:rFonts w:hint="eastAsia" w:ascii="仿宋" w:hAnsi="仿宋" w:eastAsia="仿宋" w:cs="仿宋"/>
                <w:color w:val="auto"/>
                <w:sz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Style w:val="45"/>
                <w:rFonts w:hint="eastAsia" w:ascii="仿宋" w:hAnsi="仿宋" w:eastAsia="仿宋" w:cs="仿宋"/>
                <w:color w:val="auto"/>
                <w:sz w:val="24"/>
                <w:highlight w:val="none"/>
              </w:rPr>
              <w:drawing>
                <wp:inline distT="0" distB="0" distL="114300" distR="114300">
                  <wp:extent cx="190500" cy="142875"/>
                  <wp:effectExtent l="0" t="0" r="7620" b="952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8"/>
                          <a:stretch>
                            <a:fillRect/>
                          </a:stretch>
                        </pic:blipFill>
                        <pic:spPr>
                          <a:xfrm>
                            <a:off x="0" y="0"/>
                            <a:ext cx="190500" cy="142875"/>
                          </a:xfrm>
                          <a:prstGeom prst="rect">
                            <a:avLst/>
                          </a:prstGeom>
                          <a:noFill/>
                          <a:ln>
                            <a:noFill/>
                          </a:ln>
                        </pic:spPr>
                      </pic:pic>
                    </a:graphicData>
                  </a:graphic>
                </wp:inline>
              </w:drawing>
            </w:r>
            <w:r>
              <w:rPr>
                <w:rStyle w:val="45"/>
                <w:rFonts w:hint="eastAsia" w:ascii="仿宋" w:hAnsi="仿宋" w:eastAsia="仿宋" w:cs="仿宋"/>
                <w:color w:val="auto"/>
                <w:sz w:val="24"/>
                <w:highlight w:val="none"/>
              </w:rPr>
              <w:t>http://www.ccgp-shaanxi.gov.cn/zcdservice/zcd/shanxi/）在线申请，依法参加政府采购信用融资活动。</w:t>
            </w:r>
          </w:p>
          <w:p>
            <w:pPr>
              <w:spacing w:line="360" w:lineRule="auto"/>
              <w:jc w:val="both"/>
              <w:rPr>
                <w:rFonts w:hint="eastAsia" w:ascii="仿宋" w:hAnsi="仿宋" w:eastAsia="仿宋" w:cs="仿宋"/>
                <w:color w:val="000000"/>
                <w:sz w:val="24"/>
                <w:lang w:eastAsia="zh-CN"/>
              </w:rPr>
            </w:pPr>
            <w:r>
              <w:rPr>
                <w:rStyle w:val="45"/>
                <w:rFonts w:hint="eastAsia" w:ascii="仿宋" w:hAnsi="仿宋" w:eastAsia="仿宋" w:cs="仿宋"/>
                <w:color w:val="auto"/>
                <w:sz w:val="24"/>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20" w:type="dxa"/>
            <w:noWrap w:val="0"/>
            <w:vAlign w:val="center"/>
          </w:tcPr>
          <w:p>
            <w:pPr>
              <w:spacing w:line="240" w:lineRule="auto"/>
              <w:ind w:firstLine="480" w:firstLineChars="200"/>
              <w:jc w:val="both"/>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21</w:t>
            </w:r>
          </w:p>
        </w:tc>
        <w:tc>
          <w:tcPr>
            <w:tcW w:w="8792" w:type="dxa"/>
            <w:noWrap w:val="0"/>
            <w:vAlign w:val="top"/>
          </w:tcPr>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所有响应供应商按照《榆林市公共资源交易中心关于公共资源交易信用承诺网上公示的通知》  (榆交易函〔2021〕19 号) 文件 要求，于响应文件递交截止时间前自主申报信用承诺。 自主上报信用承诺书具体事项如下：</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1.承诺事项名称：选择《榆林市政府采购工程类/货物类/服务类 项目供应商信用承诺书》；承诺事由：填写项目名称；承诺附件：按招标文件给定的格式填写，需上传至承诺附件；受理部门为榆林市财政局采购科；承诺有效期为 1 年。</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2.承诺事项名称：选择《投标人信用承诺》；承诺事由：填写项 目名称；承诺附件：按招标文件给定的格式填写，需上传至承诺附件；受理部门为榆林市公共资源交易中心；承诺有效期同投标有效期。</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3</w:t>
            </w:r>
            <w:r>
              <w:rPr>
                <w:rFonts w:hint="eastAsia" w:ascii="仿宋" w:hAnsi="仿宋" w:eastAsia="仿宋" w:cs="仿宋"/>
                <w:color w:val="000000"/>
                <w:sz w:val="24"/>
                <w:lang w:eastAsia="zh-CN"/>
              </w:rPr>
              <w:t>.承诺事项名称：《投标人委托代理人员信用承诺书》；承诺事 由：填写项目名称；承诺附件：按招标文件给定的格式填写，需 上传至承诺附件；受理部门为榆林市公共资源交易中心；承诺有效期同投标有效期。</w:t>
            </w:r>
          </w:p>
          <w:p>
            <w:pPr>
              <w:spacing w:line="360" w:lineRule="auto"/>
              <w:jc w:val="both"/>
              <w:rPr>
                <w:rFonts w:hint="eastAsia" w:ascii="仿宋" w:hAnsi="仿宋" w:eastAsia="仿宋" w:cs="仿宋"/>
                <w:b/>
                <w:bCs/>
                <w:color w:val="auto"/>
                <w:sz w:val="24"/>
                <w:szCs w:val="24"/>
              </w:rPr>
            </w:pPr>
            <w:r>
              <w:rPr>
                <w:rFonts w:hint="eastAsia" w:ascii="仿宋" w:hAnsi="仿宋" w:eastAsia="仿宋" w:cs="仿宋"/>
                <w:color w:val="000000"/>
                <w:sz w:val="24"/>
                <w:lang w:eastAsia="zh-CN"/>
              </w:rPr>
              <w:t>注：开标开始后采购代理机构将通过平台进行核实查验，未按上述要求在“信用中国 (陕西榆林) ”网站进行上报将否决投标。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20" w:type="dxa"/>
            <w:noWrap w:val="0"/>
            <w:vAlign w:val="center"/>
          </w:tcPr>
          <w:p>
            <w:pPr>
              <w:spacing w:line="360" w:lineRule="auto"/>
              <w:jc w:val="both"/>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22</w:t>
            </w:r>
          </w:p>
        </w:tc>
        <w:tc>
          <w:tcPr>
            <w:tcW w:w="8792" w:type="dxa"/>
            <w:noWrap w:val="0"/>
            <w:vAlign w:val="center"/>
          </w:tcPr>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本项目（</w:t>
            </w:r>
            <w:r>
              <w:rPr>
                <w:rFonts w:hint="eastAsia" w:ascii="仿宋" w:hAnsi="仿宋" w:eastAsia="仿宋" w:cs="仿宋"/>
                <w:color w:val="000000"/>
                <w:sz w:val="24"/>
                <w:lang w:val="en-US" w:eastAsia="zh-CN"/>
              </w:rPr>
              <w:t>服务类</w:t>
            </w:r>
            <w:r>
              <w:rPr>
                <w:rFonts w:hint="eastAsia" w:ascii="仿宋" w:hAnsi="仿宋" w:eastAsia="仿宋" w:cs="仿宋"/>
                <w:color w:val="000000"/>
                <w:sz w:val="24"/>
                <w:lang w:eastAsia="zh-CN"/>
              </w:rPr>
              <w:t>）专门面向</w:t>
            </w:r>
            <w:r>
              <w:rPr>
                <w:rFonts w:hint="eastAsia" w:ascii="仿宋" w:hAnsi="仿宋" w:eastAsia="仿宋" w:cs="仿宋"/>
                <w:color w:val="000000"/>
                <w:sz w:val="24"/>
                <w:lang w:val="en-US" w:eastAsia="zh-CN"/>
              </w:rPr>
              <w:t>中小</w:t>
            </w:r>
            <w:r>
              <w:rPr>
                <w:rFonts w:hint="eastAsia" w:ascii="仿宋" w:hAnsi="仿宋" w:eastAsia="仿宋" w:cs="仿宋"/>
                <w:color w:val="000000"/>
                <w:sz w:val="24"/>
                <w:lang w:eastAsia="zh-CN"/>
              </w:rPr>
              <w:t>企业采购要点：</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1。货物类项目：参加政府采购活动的供应商所投货物必须全部由中小企业制造，制造商不能与大企业的负责人为同一人，或者与大企业存在直接控股、管理关系，而且所投产品的品牌或商标不能为大企业的品牌和商标。在货物采购项目中，供应商提供的货物既有中小企业制造货物，也有大型企业制造货物的，不享受〈政府采购促进中小企业发展管理办法〉的通知》规定的中小企业扶持政策。</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2。工程类项目：在工程采购项目中，工程由中小企业承建，即工程施工单位为中小企业。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3。服务类项目：在服务采购项目中，服务由中小企业承接，即提供服务的人员为中小企业依照《中华人民共和国劳动合同法》订立劳动合同的从业人员。</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4。以联合体形式参加政府采购活动，联合体各方均为中小企业的，联合体视同中小企业。其中，联合体各方均为小微企业的，联合体视同小微企业。</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5。中小企业参加政府采购活动，应当出具《财政部工业和信息化部关于印发〈政府采购促进中小企业发展管理办法〉的通知》规定的《中小企业声明函》，否则不得享受相关中小企业扶持政策。任何单位和个人不得要求供应商提供《中小企业声明函》之外的中小企业身份证明文件。</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扩展资料：</w:t>
            </w:r>
          </w:p>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 xml:space="preserve">    中小企业，是指在中华人民共和国境内依法设立的，人员规模、经营规模相对较小的企业，包括中型企业、小型企业和微型企业。中型企业、小型企业和微型企业划分标准由国务院负责中小企业促进工作综合管理的部门会同国务院有关部门，根据企业从业人员、营业收入、资产总额等指标，结合行业特点制定，报国务院批准。</w:t>
            </w:r>
          </w:p>
          <w:p>
            <w:pPr>
              <w:spacing w:line="360" w:lineRule="auto"/>
              <w:jc w:val="both"/>
              <w:rPr>
                <w:rFonts w:hint="eastAsia" w:ascii="仿宋" w:hAnsi="仿宋" w:eastAsia="仿宋" w:cs="仿宋"/>
                <w:color w:val="000000"/>
                <w:sz w:val="24"/>
                <w:lang w:val="en-US" w:eastAsia="zh-CN"/>
              </w:rPr>
            </w:pPr>
            <w:r>
              <w:rPr>
                <w:rFonts w:hint="eastAsia" w:ascii="仿宋" w:hAnsi="仿宋" w:eastAsia="仿宋" w:cs="仿宋"/>
                <w:color w:val="000000"/>
                <w:sz w:val="24"/>
                <w:lang w:eastAsia="zh-CN"/>
              </w:rPr>
              <w:t xml:space="preserve">此类企业通常可由单个人或少数人提供资金组成，其雇用人数与营业额皆不大，因此在经营上多半是由业主直接管理，受外界干涉较少。中小企业是实施大众创业、万众创新的重要载体，在增加就业、促进经济增长、科技创新与社会和谐稳定等方面具有不可替代的作用，对国民经济和社会发展具有重要的战略意义。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0" w:type="auto"/>
            <w:vAlign w:val="center"/>
          </w:tcPr>
          <w:p>
            <w:pPr>
              <w:spacing w:line="360" w:lineRule="auto"/>
              <w:jc w:val="both"/>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23</w:t>
            </w:r>
          </w:p>
        </w:tc>
        <w:tc>
          <w:tcPr>
            <w:tcW w:w="0" w:type="auto"/>
            <w:vAlign w:val="center"/>
          </w:tcPr>
          <w:p>
            <w:pPr>
              <w:spacing w:line="360" w:lineRule="auto"/>
              <w:jc w:val="both"/>
              <w:rPr>
                <w:rFonts w:hint="eastAsia" w:ascii="仿宋" w:hAnsi="仿宋" w:eastAsia="仿宋" w:cs="仿宋"/>
                <w:color w:val="000000"/>
                <w:sz w:val="24"/>
                <w:lang w:eastAsia="zh-CN"/>
              </w:rPr>
            </w:pPr>
            <w:r>
              <w:rPr>
                <w:rFonts w:hint="eastAsia" w:ascii="仿宋" w:hAnsi="仿宋" w:eastAsia="仿宋" w:cs="仿宋"/>
                <w:color w:val="000000"/>
                <w:sz w:val="24"/>
                <w:lang w:eastAsia="zh-CN"/>
              </w:rPr>
              <w:t>依据《中华人民共和国政府采购法》、《中华人民共和国政府采购法实施条例》、财政部、工业和信息化部关于印发《政府采购促进中小企业发展管理办法》的通知、榆政财采涵【</w:t>
            </w:r>
            <w:r>
              <w:rPr>
                <w:rFonts w:hint="eastAsia" w:ascii="仿宋" w:hAnsi="仿宋" w:eastAsia="仿宋" w:cs="仿宋"/>
                <w:color w:val="000000"/>
                <w:sz w:val="24"/>
                <w:lang w:val="en-US" w:eastAsia="zh-CN"/>
              </w:rPr>
              <w:t>2021</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14号</w:t>
            </w:r>
            <w:r>
              <w:rPr>
                <w:rFonts w:hint="eastAsia" w:ascii="仿宋" w:hAnsi="仿宋" w:eastAsia="仿宋" w:cs="仿宋"/>
                <w:color w:val="000000"/>
                <w:sz w:val="24"/>
                <w:lang w:eastAsia="zh-CN"/>
              </w:rPr>
              <w:t>有关规定，落实政府采购“优先购买节能环保产品，扶持小微企业、监狱企业、福利企业”等相关政策，对小微型企业、监狱企业、福利性单位产品或服务的价格给予</w:t>
            </w:r>
            <w:r>
              <w:rPr>
                <w:rFonts w:hint="eastAsia" w:ascii="仿宋" w:hAnsi="仿宋" w:eastAsia="仿宋" w:cs="仿宋"/>
                <w:color w:val="000000"/>
                <w:sz w:val="24"/>
                <w:lang w:val="en-US" w:eastAsia="zh-CN"/>
              </w:rPr>
              <w:t>20</w:t>
            </w:r>
            <w:r>
              <w:rPr>
                <w:rFonts w:hint="eastAsia" w:ascii="仿宋" w:hAnsi="仿宋" w:eastAsia="仿宋" w:cs="仿宋"/>
                <w:color w:val="000000"/>
                <w:sz w:val="24"/>
                <w:lang w:eastAsia="zh-CN"/>
              </w:rPr>
              <w:t>%的扣除，用扣除后的价格参与评审</w:t>
            </w:r>
          </w:p>
          <w:p>
            <w:pPr>
              <w:spacing w:line="360" w:lineRule="auto"/>
              <w:jc w:val="both"/>
              <w:rPr>
                <w:rFonts w:hint="eastAsia" w:ascii="仿宋" w:hAnsi="仿宋" w:eastAsia="仿宋" w:cs="仿宋"/>
                <w:color w:val="000000"/>
                <w:sz w:val="24"/>
                <w:lang w:val="en-US" w:eastAsia="zh-CN"/>
              </w:rPr>
            </w:pPr>
            <w:r>
              <w:rPr>
                <w:rFonts w:hint="eastAsia" w:ascii="仿宋" w:hAnsi="仿宋" w:eastAsia="仿宋" w:cs="仿宋"/>
                <w:color w:val="000000"/>
                <w:sz w:val="24"/>
                <w:lang w:eastAsia="zh-CN"/>
              </w:rPr>
              <w:t>（</w:t>
            </w:r>
            <w:r>
              <w:rPr>
                <w:rFonts w:hint="eastAsia" w:ascii="仿宋" w:hAnsi="仿宋" w:eastAsia="仿宋" w:cs="仿宋"/>
                <w:b/>
                <w:bCs/>
                <w:color w:val="000000"/>
                <w:sz w:val="24"/>
                <w:lang w:val="en-US" w:eastAsia="zh-CN"/>
              </w:rPr>
              <w:t>本项目专门面向中小企业采购，所以不在执行价格优惠政策</w:t>
            </w:r>
            <w:r>
              <w:rPr>
                <w:rFonts w:hint="eastAsia" w:ascii="仿宋" w:hAnsi="仿宋" w:eastAsia="仿宋" w:cs="仿宋"/>
                <w:b/>
                <w:bCs/>
                <w:color w:val="000000"/>
                <w:sz w:val="24"/>
                <w:lang w:eastAsia="zh-CN"/>
              </w:rPr>
              <w:t>）:</w:t>
            </w:r>
          </w:p>
        </w:tc>
      </w:tr>
    </w:tbl>
    <w:p>
      <w:pPr>
        <w:spacing w:line="360" w:lineRule="auto"/>
        <w:jc w:val="both"/>
        <w:rPr>
          <w:rFonts w:ascii="宋体" w:hAnsi="宋体" w:eastAsia="宋体" w:cs="宋体"/>
          <w:b/>
          <w:bCs/>
          <w:color w:val="auto"/>
          <w:sz w:val="24"/>
          <w:szCs w:val="24"/>
          <w:highlight w:val="none"/>
          <w:lang w:bidi="ar"/>
        </w:rPr>
      </w:pPr>
      <w:r>
        <w:rPr>
          <w:rFonts w:hint="eastAsia" w:ascii="宋体" w:hAnsi="宋体" w:eastAsia="宋体" w:cs="宋体"/>
          <w:color w:val="000000"/>
          <w:sz w:val="24"/>
          <w:lang w:eastAsia="zh-CN"/>
        </w:rPr>
        <w:t>一、总 则</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1.释义</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1.1 供应商：指在采购代理机构办理报名登记手续，并自愿参加磋商活动的法人、其他组织或者自然人。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 监督管理机关：指依法对政府采购活动履行监督管理职能的人民政府财政部门。</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1.3 磋商文件：采购代理机构按照规定编制的采购文件等。</w:t>
      </w:r>
    </w:p>
    <w:p>
      <w:pPr>
        <w:spacing w:line="360" w:lineRule="auto"/>
        <w:rPr>
          <w:rFonts w:hint="eastAsia" w:ascii="宋体" w:hAnsi="宋体" w:eastAsia="宋体" w:cs="宋体"/>
          <w:color w:val="auto"/>
          <w:sz w:val="24"/>
          <w:szCs w:val="24"/>
          <w:highlight w:val="none"/>
          <w:lang w:eastAsia="zh-CN" w:bidi="ar"/>
        </w:rPr>
      </w:pPr>
      <w:r>
        <w:rPr>
          <w:rFonts w:hint="eastAsia" w:ascii="宋体" w:hAnsi="宋体" w:eastAsia="宋体" w:cs="宋体"/>
          <w:b/>
          <w:bCs/>
          <w:color w:val="auto"/>
          <w:sz w:val="24"/>
          <w:szCs w:val="24"/>
          <w:highlight w:val="none"/>
          <w:lang w:bidi="ar"/>
        </w:rPr>
        <w:t>二、</w:t>
      </w:r>
      <w:bookmarkStart w:id="8" w:name="_Toc17014"/>
      <w:bookmarkStart w:id="9" w:name="_Toc15074"/>
      <w:r>
        <w:rPr>
          <w:rFonts w:hint="eastAsia" w:ascii="宋体" w:hAnsi="宋体" w:eastAsia="宋体" w:cs="宋体"/>
          <w:b/>
          <w:bCs/>
          <w:color w:val="auto"/>
          <w:sz w:val="24"/>
          <w:szCs w:val="24"/>
          <w:highlight w:val="none"/>
          <w:lang w:eastAsia="zh-CN" w:bidi="ar"/>
        </w:rPr>
        <w:t>投标人注意事项</w:t>
      </w:r>
      <w:bookmarkEnd w:id="8"/>
      <w:bookmarkEnd w:id="9"/>
    </w:p>
    <w:p>
      <w:pPr>
        <w:spacing w:line="360" w:lineRule="auto"/>
        <w:ind w:firstLine="480" w:firstLineChars="200"/>
        <w:rPr>
          <w:rFonts w:hint="eastAsia" w:ascii="宋体" w:hAnsi="宋体" w:eastAsia="宋体" w:cs="宋体"/>
          <w:color w:val="auto"/>
          <w:sz w:val="24"/>
          <w:szCs w:val="24"/>
          <w:highlight w:val="none"/>
          <w:lang w:eastAsia="zh-CN" w:bidi="ar"/>
        </w:rPr>
      </w:pPr>
      <w:bookmarkStart w:id="10" w:name="_Toc31856"/>
      <w:r>
        <w:rPr>
          <w:rFonts w:hint="eastAsia" w:ascii="宋体" w:hAnsi="宋体" w:eastAsia="宋体" w:cs="宋体"/>
          <w:color w:val="auto"/>
          <w:sz w:val="24"/>
          <w:szCs w:val="24"/>
          <w:highlight w:val="none"/>
          <w:lang w:eastAsia="zh-CN" w:bidi="ar"/>
        </w:rPr>
        <w:t>（一）询问</w:t>
      </w:r>
      <w:bookmarkEnd w:id="10"/>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投标人对政府采购活动事项有疑问的，可以向采购人提出询问，采购人应当及时作出答复，但答复的内容不得涉及商业秘密。</w:t>
      </w:r>
    </w:p>
    <w:p>
      <w:pPr>
        <w:spacing w:line="360" w:lineRule="auto"/>
        <w:ind w:firstLine="480" w:firstLineChars="200"/>
        <w:rPr>
          <w:rFonts w:hint="eastAsia" w:ascii="宋体" w:hAnsi="宋体" w:eastAsia="宋体" w:cs="宋体"/>
          <w:color w:val="auto"/>
          <w:sz w:val="24"/>
          <w:szCs w:val="24"/>
          <w:highlight w:val="none"/>
          <w:lang w:eastAsia="zh-CN" w:bidi="ar"/>
        </w:rPr>
      </w:pPr>
      <w:bookmarkStart w:id="11" w:name="_Toc7832"/>
      <w:r>
        <w:rPr>
          <w:rFonts w:hint="eastAsia" w:ascii="宋体" w:hAnsi="宋体" w:eastAsia="宋体" w:cs="宋体"/>
          <w:color w:val="auto"/>
          <w:sz w:val="24"/>
          <w:szCs w:val="24"/>
          <w:highlight w:val="none"/>
          <w:lang w:eastAsia="zh-CN" w:bidi="ar"/>
        </w:rPr>
        <w:t>（二）</w:t>
      </w:r>
      <w:bookmarkEnd w:id="11"/>
      <w:r>
        <w:rPr>
          <w:rFonts w:hint="eastAsia" w:ascii="宋体" w:hAnsi="宋体" w:eastAsia="宋体" w:cs="宋体"/>
          <w:color w:val="auto"/>
          <w:sz w:val="24"/>
          <w:szCs w:val="24"/>
          <w:highlight w:val="none"/>
          <w:lang w:eastAsia="zh-CN" w:bidi="ar"/>
        </w:rPr>
        <w:t>质疑提出与答复</w:t>
      </w:r>
    </w:p>
    <w:p>
      <w:pPr>
        <w:pStyle w:val="17"/>
        <w:adjustRightInd w:val="0"/>
        <w:snapToGrid w:val="0"/>
        <w:spacing w:before="0" w:beforeAutospacing="0" w:after="0" w:afterAutospacing="0" w:line="360" w:lineRule="auto"/>
        <w:ind w:firstLine="360" w:firstLineChars="150"/>
        <w:rPr>
          <w:rFonts w:hint="eastAsia"/>
          <w:color w:val="auto"/>
          <w:kern w:val="2"/>
          <w:szCs w:val="24"/>
          <w:highlight w:val="none"/>
        </w:rPr>
      </w:pPr>
      <w:r>
        <w:rPr>
          <w:rFonts w:hint="eastAsia"/>
          <w:color w:val="auto"/>
          <w:szCs w:val="24"/>
          <w:highlight w:val="none"/>
        </w:rPr>
        <w:t>（</w:t>
      </w:r>
      <w:r>
        <w:rPr>
          <w:color w:val="auto"/>
          <w:szCs w:val="24"/>
          <w:highlight w:val="none"/>
        </w:rPr>
        <w:t>1</w:t>
      </w:r>
      <w:r>
        <w:rPr>
          <w:rFonts w:hint="eastAsia"/>
          <w:color w:val="auto"/>
          <w:szCs w:val="24"/>
          <w:highlight w:val="none"/>
        </w:rPr>
        <w:t>）投标人</w:t>
      </w:r>
      <w:r>
        <w:rPr>
          <w:color w:val="auto"/>
          <w:szCs w:val="24"/>
          <w:highlight w:val="none"/>
        </w:rPr>
        <w:t>认为采购过程、中标结果使自己的权益受到损害的，</w:t>
      </w:r>
      <w:r>
        <w:rPr>
          <w:rFonts w:hint="eastAsia"/>
          <w:color w:val="auto"/>
          <w:szCs w:val="24"/>
          <w:highlight w:val="none"/>
        </w:rPr>
        <w:t>可以</w:t>
      </w:r>
      <w:r>
        <w:rPr>
          <w:color w:val="auto"/>
          <w:szCs w:val="24"/>
          <w:highlight w:val="none"/>
        </w:rPr>
        <w:t>在知道或者应知其权益受到损害之日起七个工作日内，</w:t>
      </w:r>
      <w:r>
        <w:rPr>
          <w:rFonts w:hint="eastAsia"/>
          <w:color w:val="auto"/>
          <w:kern w:val="2"/>
          <w:szCs w:val="24"/>
          <w:highlight w:val="none"/>
        </w:rPr>
        <w:t xml:space="preserve">以书面形式向采购代理机构提出。 </w:t>
      </w:r>
    </w:p>
    <w:p>
      <w:pPr>
        <w:widowControl/>
        <w:tabs>
          <w:tab w:val="left" w:pos="1620"/>
        </w:tabs>
        <w:adjustRightInd w:val="0"/>
        <w:snapToGrid w:val="0"/>
        <w:spacing w:line="360" w:lineRule="auto"/>
        <w:ind w:firstLine="420" w:firstLineChars="175"/>
        <w:jc w:val="left"/>
        <w:rPr>
          <w:rFonts w:hint="eastAsia"/>
          <w:color w:val="auto"/>
          <w:sz w:val="24"/>
          <w:szCs w:val="24"/>
          <w:highlight w:val="none"/>
        </w:rPr>
      </w:pPr>
      <w:r>
        <w:rPr>
          <w:rFonts w:hint="eastAsia"/>
          <w:color w:val="auto"/>
          <w:sz w:val="24"/>
          <w:szCs w:val="24"/>
          <w:highlight w:val="none"/>
        </w:rPr>
        <w:t>地址：</w:t>
      </w:r>
      <w:r>
        <w:rPr>
          <w:rFonts w:hint="eastAsia" w:ascii="宋体" w:hAnsi="宋体" w:cs="宋体"/>
          <w:color w:val="auto"/>
          <w:kern w:val="0"/>
          <w:sz w:val="24"/>
          <w:szCs w:val="24"/>
          <w:highlight w:val="none"/>
        </w:rPr>
        <w:t>榆林市榆阳区惠民路25号塞公馆507</w:t>
      </w:r>
    </w:p>
    <w:p>
      <w:pPr>
        <w:pStyle w:val="15"/>
        <w:spacing w:line="360" w:lineRule="auto"/>
        <w:ind w:firstLine="480" w:firstLineChars="200"/>
        <w:rPr>
          <w:color w:val="auto"/>
          <w:sz w:val="24"/>
          <w:szCs w:val="24"/>
          <w:highlight w:val="none"/>
        </w:rPr>
      </w:pPr>
      <w:r>
        <w:rPr>
          <w:rFonts w:hint="eastAsia"/>
          <w:color w:val="auto"/>
          <w:sz w:val="24"/>
          <w:szCs w:val="24"/>
          <w:highlight w:val="none"/>
        </w:rPr>
        <w:t>联系人：</w:t>
      </w:r>
      <w:r>
        <w:rPr>
          <w:rFonts w:hint="eastAsia" w:ascii="宋体" w:hAnsi="宋体" w:cs="宋体"/>
          <w:color w:val="auto"/>
          <w:sz w:val="24"/>
          <w:szCs w:val="24"/>
          <w:highlight w:val="none"/>
        </w:rPr>
        <w:t>乔鹏涛（业务部）</w:t>
      </w:r>
    </w:p>
    <w:p>
      <w:pPr>
        <w:pStyle w:val="15"/>
        <w:spacing w:line="360" w:lineRule="auto"/>
        <w:ind w:firstLine="480" w:firstLineChars="200"/>
        <w:rPr>
          <w:rFonts w:hint="eastAsia" w:ascii="宋体" w:hAnsi="宋体" w:cs="宋体"/>
          <w:color w:val="auto"/>
          <w:sz w:val="24"/>
          <w:szCs w:val="24"/>
          <w:highlight w:val="none"/>
        </w:rPr>
      </w:pPr>
      <w:r>
        <w:rPr>
          <w:rFonts w:hint="eastAsia"/>
          <w:color w:val="auto"/>
          <w:sz w:val="24"/>
          <w:szCs w:val="24"/>
          <w:highlight w:val="none"/>
        </w:rPr>
        <w:t>联系方</w:t>
      </w:r>
      <w:r>
        <w:rPr>
          <w:rFonts w:hint="eastAsia" w:ascii="宋体" w:hAnsi="宋体" w:cs="宋体"/>
          <w:color w:val="auto"/>
          <w:kern w:val="0"/>
          <w:sz w:val="24"/>
          <w:szCs w:val="24"/>
          <w:highlight w:val="none"/>
        </w:rPr>
        <w:t>式：</w:t>
      </w:r>
      <w:r>
        <w:rPr>
          <w:rFonts w:hint="eastAsia" w:ascii="宋体" w:hAnsi="宋体" w:cs="宋体"/>
          <w:color w:val="auto"/>
          <w:sz w:val="24"/>
          <w:szCs w:val="24"/>
          <w:highlight w:val="none"/>
        </w:rPr>
        <w:t>0912-3648567， 19929103165；</w:t>
      </w:r>
    </w:p>
    <w:p>
      <w:pPr>
        <w:pStyle w:val="15"/>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sz w:val="24"/>
          <w:szCs w:val="24"/>
          <w:highlight w:val="none"/>
        </w:rPr>
        <w:t>邮箱：863031771@qq.com。</w:t>
      </w:r>
    </w:p>
    <w:p>
      <w:pPr>
        <w:pStyle w:val="17"/>
        <w:adjustRightInd w:val="0"/>
        <w:snapToGrid w:val="0"/>
        <w:spacing w:before="0" w:beforeAutospacing="0" w:after="0" w:afterAutospacing="0" w:line="360" w:lineRule="auto"/>
        <w:ind w:firstLine="360" w:firstLineChars="150"/>
        <w:rPr>
          <w:rFonts w:hint="eastAsia"/>
          <w:color w:val="auto"/>
          <w:kern w:val="2"/>
          <w:szCs w:val="24"/>
          <w:highlight w:val="none"/>
        </w:rPr>
      </w:pPr>
      <w:r>
        <w:rPr>
          <w:rFonts w:hint="eastAsia"/>
          <w:color w:val="auto"/>
          <w:szCs w:val="24"/>
          <w:highlight w:val="none"/>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pPr>
        <w:adjustRightInd w:val="0"/>
        <w:snapToGrid w:val="0"/>
        <w:spacing w:line="360" w:lineRule="auto"/>
        <w:ind w:firstLine="600" w:firstLineChars="250"/>
        <w:rPr>
          <w:rFonts w:ascii="宋体" w:hAnsi="宋体"/>
          <w:color w:val="auto"/>
          <w:sz w:val="24"/>
          <w:szCs w:val="24"/>
          <w:highlight w:val="none"/>
        </w:rPr>
      </w:pPr>
      <w:r>
        <w:rPr>
          <w:rFonts w:hint="eastAsia" w:ascii="宋体" w:hAnsi="宋体"/>
          <w:color w:val="auto"/>
          <w:sz w:val="24"/>
          <w:szCs w:val="24"/>
          <w:highlight w:val="none"/>
        </w:rPr>
        <w:t>质疑函应当包括下列内容：</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1、</w:t>
      </w:r>
      <w:r>
        <w:rPr>
          <w:rFonts w:hint="eastAsia" w:ascii="Arial" w:hAnsi="Arial"/>
          <w:color w:val="auto"/>
          <w:sz w:val="24"/>
          <w:szCs w:val="24"/>
          <w:highlight w:val="none"/>
          <w:lang w:val="zh-CN"/>
        </w:rPr>
        <w:t>投标人</w:t>
      </w:r>
      <w:r>
        <w:rPr>
          <w:rFonts w:hint="eastAsia" w:ascii="宋体" w:hAnsi="宋体"/>
          <w:color w:val="auto"/>
          <w:sz w:val="24"/>
          <w:szCs w:val="24"/>
          <w:highlight w:val="none"/>
        </w:rPr>
        <w:t>的姓名或者名称、地址、邮编、联系人及联系电话；</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2、质疑项目的名称、编号；</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3、具体、明确的质疑事项和与质疑事项相关的请求；</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4、事实依据；</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5、必要的法律依据；</w:t>
      </w:r>
    </w:p>
    <w:p>
      <w:pPr>
        <w:pStyle w:val="40"/>
        <w:adjustRightInd w:val="0"/>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 xml:space="preserve">6、提出质疑的日期。 </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备注：</w:t>
      </w:r>
      <w:r>
        <w:rPr>
          <w:rFonts w:hint="eastAsia" w:ascii="Arial" w:hAnsi="Arial"/>
          <w:color w:val="auto"/>
          <w:sz w:val="24"/>
          <w:szCs w:val="24"/>
          <w:highlight w:val="none"/>
          <w:lang w:val="zh-CN"/>
        </w:rPr>
        <w:t>投标人</w:t>
      </w:r>
      <w:r>
        <w:rPr>
          <w:rFonts w:hint="eastAsia" w:ascii="宋体" w:hAnsi="宋体"/>
          <w:color w:val="auto"/>
          <w:sz w:val="24"/>
          <w:szCs w:val="24"/>
          <w:highlight w:val="none"/>
        </w:rPr>
        <w:t>须在法定质疑期内一次性提出针对同一采购程序环节的质疑。</w:t>
      </w:r>
    </w:p>
    <w:p>
      <w:pPr>
        <w:adjustRightInd w:val="0"/>
        <w:snapToGrid w:val="0"/>
        <w:spacing w:line="360" w:lineRule="auto"/>
        <w:ind w:firstLine="360" w:firstLineChars="150"/>
        <w:rPr>
          <w:rFonts w:ascii="宋体" w:hAnsi="宋体"/>
          <w:color w:val="auto"/>
          <w:sz w:val="24"/>
          <w:szCs w:val="24"/>
          <w:highlight w:val="none"/>
        </w:rPr>
      </w:pPr>
      <w:r>
        <w:rPr>
          <w:rFonts w:hint="eastAsia" w:ascii="宋体" w:hAnsi="宋体"/>
          <w:color w:val="auto"/>
          <w:sz w:val="24"/>
          <w:szCs w:val="24"/>
          <w:highlight w:val="none"/>
        </w:rPr>
        <w:t>（3）质疑有以下情形之一的，采购代理机构不予受理：</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1、未按规定程序和渠道提出质疑的；</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 xml:space="preserve">2、超过法定质疑期限的； </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3、书面质疑的形式和内容不符合上述要求的；</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 xml:space="preserve">4、提出的质疑事项已经明确答复的； </w:t>
      </w:r>
    </w:p>
    <w:p>
      <w:pPr>
        <w:pStyle w:val="40"/>
        <w:adjustRightInd w:val="0"/>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5、法律法规规定的其他不予受理的条件。</w:t>
      </w:r>
    </w:p>
    <w:p>
      <w:pPr>
        <w:pStyle w:val="17"/>
        <w:adjustRightInd w:val="0"/>
        <w:snapToGrid w:val="0"/>
        <w:spacing w:before="0" w:beforeAutospacing="0" w:after="0" w:afterAutospacing="0" w:line="360" w:lineRule="auto"/>
        <w:ind w:firstLine="360" w:firstLineChars="150"/>
        <w:rPr>
          <w:rFonts w:hint="eastAsia"/>
          <w:color w:val="auto"/>
          <w:szCs w:val="24"/>
          <w:highlight w:val="none"/>
        </w:rPr>
      </w:pPr>
      <w:r>
        <w:rPr>
          <w:rFonts w:hint="eastAsia"/>
          <w:color w:val="auto"/>
          <w:szCs w:val="24"/>
          <w:highlight w:val="none"/>
        </w:rPr>
        <w:t>（4）</w:t>
      </w:r>
      <w:r>
        <w:rPr>
          <w:rFonts w:hint="eastAsia"/>
          <w:color w:val="auto"/>
          <w:kern w:val="2"/>
          <w:szCs w:val="24"/>
          <w:highlight w:val="none"/>
        </w:rPr>
        <w:t>采购代理机构应当在收到质疑函后</w:t>
      </w:r>
      <w:r>
        <w:rPr>
          <w:color w:val="auto"/>
          <w:szCs w:val="24"/>
          <w:highlight w:val="none"/>
        </w:rPr>
        <w:t>七</w:t>
      </w:r>
      <w:r>
        <w:rPr>
          <w:rFonts w:hint="eastAsia"/>
          <w:color w:val="auto"/>
          <w:szCs w:val="24"/>
          <w:highlight w:val="none"/>
        </w:rPr>
        <w:t>个工作日内做出书面答复。答复内容同时通知与处理结果有关的投标人，但答复内容不得涉及投标人的商业秘密。</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（三）关于信用记录的查询和使用</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1、采购人在资格审查阶段通过【</w:t>
      </w:r>
      <w:r>
        <w:rPr>
          <w:rFonts w:hint="eastAsia" w:ascii="宋体" w:hAnsi="宋体" w:eastAsia="宋体" w:cs="宋体"/>
          <w:color w:val="auto"/>
          <w:sz w:val="24"/>
          <w:szCs w:val="24"/>
          <w:highlight w:val="none"/>
          <w:lang w:eastAsia="zh-CN" w:bidi="ar"/>
        </w:rPr>
        <w:fldChar w:fldCharType="begin"/>
      </w:r>
      <w:r>
        <w:rPr>
          <w:rFonts w:hint="eastAsia" w:ascii="宋体" w:hAnsi="宋体" w:eastAsia="宋体" w:cs="宋体"/>
          <w:color w:val="auto"/>
          <w:sz w:val="24"/>
          <w:szCs w:val="24"/>
          <w:highlight w:val="none"/>
          <w:lang w:eastAsia="zh-CN" w:bidi="ar"/>
        </w:rPr>
        <w:instrText xml:space="preserve"> HYPERLINK "http://www.creditchina.gov.cn" </w:instrText>
      </w:r>
      <w:r>
        <w:rPr>
          <w:rFonts w:hint="eastAsia" w:ascii="宋体" w:hAnsi="宋体" w:eastAsia="宋体" w:cs="宋体"/>
          <w:color w:val="auto"/>
          <w:sz w:val="24"/>
          <w:szCs w:val="24"/>
          <w:highlight w:val="none"/>
          <w:lang w:eastAsia="zh-CN" w:bidi="ar"/>
        </w:rPr>
        <w:fldChar w:fldCharType="separate"/>
      </w:r>
      <w:r>
        <w:rPr>
          <w:rFonts w:hint="eastAsia" w:ascii="宋体" w:hAnsi="宋体" w:eastAsia="宋体" w:cs="宋体"/>
          <w:color w:val="auto"/>
          <w:sz w:val="24"/>
          <w:szCs w:val="24"/>
          <w:highlight w:val="none"/>
          <w:lang w:eastAsia="zh-CN" w:bidi="ar"/>
        </w:rPr>
        <w:t>信用中国</w:t>
      </w:r>
      <w:r>
        <w:rPr>
          <w:rFonts w:hint="eastAsia" w:ascii="宋体" w:hAnsi="宋体" w:eastAsia="宋体" w:cs="宋体"/>
          <w:color w:val="auto"/>
          <w:sz w:val="24"/>
          <w:szCs w:val="24"/>
          <w:highlight w:val="none"/>
          <w:lang w:eastAsia="zh-CN" w:bidi="ar"/>
        </w:rPr>
        <w:fldChar w:fldCharType="end"/>
      </w:r>
      <w:r>
        <w:rPr>
          <w:rFonts w:hint="eastAsia" w:ascii="宋体" w:hAnsi="宋体" w:eastAsia="宋体" w:cs="宋体"/>
          <w:color w:val="auto"/>
          <w:sz w:val="24"/>
          <w:szCs w:val="24"/>
          <w:highlight w:val="none"/>
          <w:lang w:eastAsia="zh-CN" w:bidi="ar"/>
        </w:rPr>
        <w:t>（www.creditchina.gov.cn）】、【</w:t>
      </w:r>
      <w:r>
        <w:rPr>
          <w:rFonts w:hint="eastAsia" w:ascii="宋体" w:hAnsi="宋体" w:eastAsia="宋体" w:cs="宋体"/>
          <w:color w:val="auto"/>
          <w:sz w:val="24"/>
          <w:szCs w:val="24"/>
          <w:highlight w:val="none"/>
          <w:lang w:eastAsia="zh-CN" w:bidi="ar"/>
        </w:rPr>
        <w:fldChar w:fldCharType="begin"/>
      </w:r>
      <w:r>
        <w:rPr>
          <w:rFonts w:hint="eastAsia" w:ascii="宋体" w:hAnsi="宋体" w:eastAsia="宋体" w:cs="宋体"/>
          <w:color w:val="auto"/>
          <w:sz w:val="24"/>
          <w:szCs w:val="24"/>
          <w:highlight w:val="none"/>
          <w:lang w:eastAsia="zh-CN" w:bidi="ar"/>
        </w:rPr>
        <w:instrText xml:space="preserve"> HYPERLINK "http://www.ccgp.gov.cn/cr/list" </w:instrText>
      </w:r>
      <w:r>
        <w:rPr>
          <w:rFonts w:hint="eastAsia" w:ascii="宋体" w:hAnsi="宋体" w:eastAsia="宋体" w:cs="宋体"/>
          <w:color w:val="auto"/>
          <w:sz w:val="24"/>
          <w:szCs w:val="24"/>
          <w:highlight w:val="none"/>
          <w:lang w:eastAsia="zh-CN" w:bidi="ar"/>
        </w:rPr>
        <w:fldChar w:fldCharType="separate"/>
      </w:r>
      <w:r>
        <w:rPr>
          <w:rFonts w:hint="eastAsia" w:ascii="宋体" w:hAnsi="宋体" w:eastAsia="宋体" w:cs="宋体"/>
          <w:color w:val="auto"/>
          <w:sz w:val="24"/>
          <w:szCs w:val="24"/>
          <w:highlight w:val="none"/>
          <w:lang w:eastAsia="zh-CN" w:bidi="ar"/>
        </w:rPr>
        <w:t>中国政府采购网</w:t>
      </w:r>
      <w:r>
        <w:rPr>
          <w:rFonts w:hint="eastAsia" w:ascii="宋体" w:hAnsi="宋体" w:eastAsia="宋体" w:cs="宋体"/>
          <w:color w:val="auto"/>
          <w:sz w:val="24"/>
          <w:szCs w:val="24"/>
          <w:highlight w:val="none"/>
          <w:lang w:eastAsia="zh-CN" w:bidi="ar"/>
        </w:rPr>
        <w:fldChar w:fldCharType="end"/>
      </w:r>
      <w:r>
        <w:rPr>
          <w:rFonts w:hint="eastAsia" w:ascii="宋体" w:hAnsi="宋体" w:eastAsia="宋体" w:cs="宋体"/>
          <w:color w:val="auto"/>
          <w:sz w:val="24"/>
          <w:szCs w:val="24"/>
          <w:highlight w:val="none"/>
          <w:lang w:eastAsia="zh-CN" w:bidi="ar"/>
        </w:rPr>
        <w:t>（www.ccgp.gov.cn）】网站对投标人的信用情况进行甄别。对列入失信被执行人、重大税收违法案 件当事人名单、政府采购严重违法失信行为记录名单及其他不符合《中华人民共和国政府采购法》第二十二条规定条件的投标人，拒绝其参本次投标活动。</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2、投标人在参加政府采购活动前3年内因违法经营被禁止在一定期限内参加政府采购活动，期限届满的，可以参加政府采购活动的，但投标人应提供相关证明材料。</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3、投标人信用记录查询的时间段为“招标公告发布之日（含当日）至提交投标文件截止之日（不含当日）”。信用记录查询的结果，将以截图形式留存。投标人未如实填报《投标人书面声明函》的，视为“投标人提供虚假材料谋取中标、成交的”行为，拒绝其参本次投标活动。</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（四）执行优惠政策</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依据《中华人民共和国政府采购法》、《中华人民共和国政府采购法实施条例》、财政部、工业和信息化部关于印发《政府采购促进中小企业发展管理办法》的通知、《陕西省财政厅关于进一步加大政府采购支持中小企业力度的通知》（陕财办采〔2022〕5号）、《榆林市财政局关于进一步加大政府采购支持中小企业力度的通知》（榆政财采发〔2022〕10号）、榆政财采涵【</w:t>
      </w:r>
      <w:r>
        <w:rPr>
          <w:rFonts w:hint="eastAsia" w:ascii="宋体" w:hAnsi="宋体" w:eastAsia="宋体" w:cs="宋体"/>
          <w:color w:val="auto"/>
          <w:sz w:val="24"/>
          <w:szCs w:val="24"/>
          <w:highlight w:val="none"/>
          <w:lang w:val="en-US" w:eastAsia="zh-CN" w:bidi="ar"/>
        </w:rPr>
        <w:t>2021</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14号</w:t>
      </w:r>
      <w:r>
        <w:rPr>
          <w:rFonts w:hint="eastAsia" w:ascii="宋体" w:hAnsi="宋体" w:eastAsia="宋体" w:cs="宋体"/>
          <w:color w:val="auto"/>
          <w:sz w:val="24"/>
          <w:szCs w:val="24"/>
          <w:highlight w:val="none"/>
          <w:lang w:eastAsia="zh-CN" w:bidi="ar"/>
        </w:rPr>
        <w:t>有关规定，落实政府采购“优先购买节能环保产品，扶持小微企业、监狱企业、福利企业”等相关政策，对小微型企业、监狱企业、福利性单位产品或服务的价格给予</w:t>
      </w:r>
      <w:r>
        <w:rPr>
          <w:rFonts w:hint="eastAsia" w:ascii="宋体" w:hAnsi="宋体" w:eastAsia="宋体" w:cs="宋体"/>
          <w:color w:val="auto"/>
          <w:sz w:val="24"/>
          <w:szCs w:val="24"/>
          <w:highlight w:val="none"/>
          <w:lang w:val="en-US" w:eastAsia="zh-CN" w:bidi="ar"/>
        </w:rPr>
        <w:t>20</w:t>
      </w:r>
      <w:r>
        <w:rPr>
          <w:rFonts w:hint="eastAsia" w:ascii="宋体" w:hAnsi="宋体" w:eastAsia="宋体" w:cs="宋体"/>
          <w:color w:val="auto"/>
          <w:sz w:val="24"/>
          <w:szCs w:val="24"/>
          <w:highlight w:val="none"/>
          <w:lang w:eastAsia="zh-CN" w:bidi="ar"/>
        </w:rPr>
        <w:t>%的扣除</w:t>
      </w:r>
      <w:r>
        <w:rPr>
          <w:rFonts w:hint="eastAsia" w:ascii="宋体" w:hAnsi="宋体" w:eastAsia="宋体" w:cs="宋体"/>
          <w:color w:val="000000"/>
          <w:sz w:val="24"/>
          <w:lang w:eastAsia="zh-CN"/>
        </w:rPr>
        <w:t>（</w:t>
      </w:r>
      <w:r>
        <w:rPr>
          <w:rFonts w:hint="eastAsia" w:ascii="宋体" w:hAnsi="宋体" w:eastAsia="宋体" w:cs="宋体"/>
          <w:b/>
          <w:bCs/>
          <w:color w:val="000000"/>
          <w:sz w:val="24"/>
          <w:lang w:val="en-US" w:eastAsia="zh-CN"/>
        </w:rPr>
        <w:t>本项目专门面向中小企业采购，所以不在执行价格优惠政策</w:t>
      </w:r>
      <w:r>
        <w:rPr>
          <w:rFonts w:hint="eastAsia" w:ascii="宋体" w:hAnsi="宋体" w:eastAsia="宋体" w:cs="宋体"/>
          <w:b/>
          <w:bCs/>
          <w:color w:val="000000"/>
          <w:sz w:val="24"/>
          <w:lang w:eastAsia="zh-CN"/>
        </w:rPr>
        <w:t>）</w:t>
      </w:r>
      <w:r>
        <w:rPr>
          <w:rFonts w:hint="eastAsia" w:ascii="宋体" w:hAnsi="宋体" w:eastAsia="宋体" w:cs="宋体"/>
          <w:color w:val="auto"/>
          <w:sz w:val="24"/>
          <w:szCs w:val="24"/>
          <w:highlight w:val="none"/>
          <w:lang w:val="en-US" w:eastAsia="zh-CN" w:bidi="ar"/>
        </w:rPr>
        <w:t>.</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（五）关于知识产权与保密事项</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1、所有涉及知识产权的产品及设计，投标人必须确保采购人拥有其合法的、不受限制的无偿使用权，并免受任何侵权诉讼或索偿，否则，由此产生的一切经济损失和法律责任由投标人承担。</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2、由采购人向投标人提供的所有资料，投标人不得向第三方透露或将 其用于本次投标以外的任何用途。开标后，若采购人有要求，投标人须归还采购人认为需保密的文件和资料，并销毁所有相应的备份文件及资料。</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（六）政采贷业务</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投标人可根据自身资金需求，登录陕西省政府采购信用融资平台（</w:t>
      </w:r>
      <w:r>
        <w:rPr>
          <w:rFonts w:hint="eastAsia" w:ascii="宋体" w:hAnsi="宋体" w:eastAsia="宋体" w:cs="宋体"/>
          <w:color w:val="auto"/>
          <w:sz w:val="24"/>
          <w:szCs w:val="24"/>
          <w:highlight w:val="none"/>
          <w:lang w:eastAsia="zh-CN" w:bidi="ar"/>
        </w:rPr>
        <w:fldChar w:fldCharType="begin"/>
      </w:r>
      <w:r>
        <w:rPr>
          <w:rFonts w:hint="eastAsia" w:ascii="宋体" w:hAnsi="宋体" w:eastAsia="宋体" w:cs="宋体"/>
          <w:color w:val="auto"/>
          <w:sz w:val="24"/>
          <w:szCs w:val="24"/>
          <w:highlight w:val="none"/>
          <w:lang w:eastAsia="zh-CN" w:bidi="ar"/>
        </w:rPr>
        <w:instrText xml:space="preserve"> HYPERLINK "http://www.ccgp-shaanxi.gov.cn/zcdservice/zcd/shanxi/" </w:instrText>
      </w:r>
      <w:r>
        <w:rPr>
          <w:rFonts w:hint="eastAsia" w:ascii="宋体" w:hAnsi="宋体" w:eastAsia="宋体" w:cs="宋体"/>
          <w:color w:val="auto"/>
          <w:sz w:val="24"/>
          <w:szCs w:val="24"/>
          <w:highlight w:val="none"/>
          <w:lang w:eastAsia="zh-CN" w:bidi="ar"/>
        </w:rPr>
        <w:fldChar w:fldCharType="separate"/>
      </w:r>
      <w:r>
        <w:rPr>
          <w:rFonts w:hint="eastAsia" w:ascii="宋体" w:hAnsi="宋体" w:eastAsia="宋体" w:cs="宋体"/>
          <w:color w:val="auto"/>
          <w:sz w:val="24"/>
          <w:szCs w:val="24"/>
          <w:highlight w:val="none"/>
          <w:lang w:eastAsia="zh-CN" w:bidi="ar"/>
        </w:rPr>
        <w:t>http://www.ccgp-shaanxi.gov.cn/zcdservice/zcd/shanxi/</w:t>
      </w:r>
      <w:r>
        <w:rPr>
          <w:rFonts w:hint="eastAsia" w:ascii="宋体" w:hAnsi="宋体" w:eastAsia="宋体" w:cs="宋体"/>
          <w:color w:val="auto"/>
          <w:sz w:val="24"/>
          <w:szCs w:val="24"/>
          <w:highlight w:val="none"/>
          <w:lang w:eastAsia="zh-CN" w:bidi="ar"/>
        </w:rPr>
        <w:fldChar w:fldCharType="end"/>
      </w:r>
      <w:r>
        <w:rPr>
          <w:rFonts w:hint="eastAsia" w:ascii="宋体" w:hAnsi="宋体" w:eastAsia="宋体" w:cs="宋体"/>
          <w:color w:val="auto"/>
          <w:sz w:val="24"/>
          <w:szCs w:val="24"/>
          <w:highlight w:val="none"/>
          <w:lang w:eastAsia="zh-CN" w:bidi="ar"/>
        </w:rPr>
        <w:t>）在线申请，依法参加政府采购信用融资活动。</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目前的合作银行有：北京银行、中国建设银行、中信银行、中国平安银行、中国光大银行、浦发银行、兴业银行、中国工商银行、秦农银行、浙商银行、中国银行、西安银行、中国农业银行、中国邮政储蓄银行</w:t>
      </w:r>
    </w:p>
    <w:p>
      <w:pPr>
        <w:spacing w:line="360" w:lineRule="auto"/>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eastAsia="zh-CN" w:bidi="ar"/>
        </w:rPr>
        <w:t>三、</w:t>
      </w:r>
      <w:r>
        <w:rPr>
          <w:rFonts w:hint="eastAsia" w:ascii="宋体" w:hAnsi="宋体" w:eastAsia="宋体" w:cs="宋体"/>
          <w:b/>
          <w:bCs/>
          <w:color w:val="auto"/>
          <w:sz w:val="24"/>
          <w:szCs w:val="24"/>
          <w:highlight w:val="none"/>
          <w:lang w:bidi="ar"/>
        </w:rPr>
        <w:t>磋商及磋商文件</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.1 磋商</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项目名称：</w:t>
      </w:r>
      <w:r>
        <w:rPr>
          <w:rFonts w:hint="eastAsia" w:ascii="宋体" w:hAnsi="宋体" w:cs="宋体"/>
          <w:color w:val="auto"/>
          <w:sz w:val="24"/>
          <w:szCs w:val="24"/>
          <w:highlight w:val="none"/>
          <w:lang w:eastAsia="zh-CN" w:bidi="ar"/>
        </w:rPr>
        <w:t>榆林市行政审批服务局网络运维服务</w:t>
      </w:r>
    </w:p>
    <w:p>
      <w:pPr>
        <w:spacing w:line="360" w:lineRule="auto"/>
        <w:ind w:firstLine="480" w:firstLineChars="200"/>
        <w:rPr>
          <w:rFonts w:hint="eastAsia" w:ascii="仿宋" w:hAnsi="仿宋" w:eastAsia="宋体" w:cs="仿宋"/>
          <w:b/>
          <w:bCs/>
          <w:color w:val="auto"/>
          <w:kern w:val="2"/>
          <w:sz w:val="32"/>
          <w:szCs w:val="32"/>
          <w:highlight w:val="none"/>
          <w:lang w:eastAsia="zh-CN"/>
        </w:rPr>
      </w:pPr>
      <w:r>
        <w:rPr>
          <w:rFonts w:hint="eastAsia" w:ascii="宋体" w:hAnsi="宋体" w:eastAsia="宋体" w:cs="宋体"/>
          <w:color w:val="auto"/>
          <w:sz w:val="24"/>
          <w:szCs w:val="24"/>
          <w:highlight w:val="none"/>
          <w:lang w:bidi="ar"/>
        </w:rPr>
        <w:t>采购人：</w:t>
      </w:r>
      <w:r>
        <w:rPr>
          <w:rFonts w:hint="eastAsia" w:ascii="宋体" w:hAnsi="宋体" w:cs="宋体"/>
          <w:color w:val="auto"/>
          <w:sz w:val="24"/>
          <w:szCs w:val="24"/>
          <w:highlight w:val="none"/>
          <w:lang w:eastAsia="zh-CN" w:bidi="ar"/>
        </w:rPr>
        <w:t>榆林市行政审批服务局</w:t>
      </w:r>
    </w:p>
    <w:p>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采购代理机构：</w:t>
      </w:r>
      <w:r>
        <w:rPr>
          <w:rFonts w:hint="eastAsia" w:ascii="宋体" w:hAnsi="宋体" w:cs="宋体"/>
          <w:color w:val="auto"/>
          <w:sz w:val="24"/>
          <w:szCs w:val="24"/>
          <w:highlight w:val="none"/>
          <w:lang w:eastAsia="zh-CN" w:bidi="ar"/>
        </w:rPr>
        <w:t>开瑞项目管理有限公司</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资金来源：本项目采购预算为财政拨款。</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.1.1 采购项目严格执行有关法律、法规和政策规定，坚持公开、公平、公正和诚实信用的原则，接受社会监督，坚决制止和杜绝违背社会公德和职业道德现象的发生。</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.1.2 在磋商中，出现《政府采购竞争性磋商采购方式管理暂行办法》第三十四条规定情形之一的，采购代理机构应当宣布磋商失败，并将磋商失败理由通知所有供应商。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 磋商文件</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.2.1 磋商文件的编制、审定、备案与发布，依政府采购程序办理。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.2.2 磋商文件由本文件目录所列的第一章至第六章构成。</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.2.3 磋商文件对磋商事宜提出明确要求和具体说明，供应商应仔细阅读和正确理解磋商文件的全部内容，因在阅读、理解磋商文件内容上产生疏漏、误解并导致对磋商产生不利后果或者响应无效的，其责任由供应商自负。</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.2.4 磋商文件的修改、澄清或补正</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A.采购代理机构对已发出的磋商文件进行必要的修改、澄清或补正的，应当在提交首次响应文件截止时间至少5日前，以书面形式通知所有获取磋商文件的供应商；不足5日的，采购人、采购代理机构应当顺延提交首次响应文件截止时间。该澄清或修改的内容为磋商文件的组成部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B.供应商对磋商文件进行询问、质疑或者要求澄清的，应当在响应文件提交截止时间5日前，以书面形式送达采购代理机构。采购代理机构在响应文件提交截止时间4日前以书面形式予以答复，必要时将书面答复传送给所有磋商文件收受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C.采购代理机构可以视项目具体情况，延长响应文件提交截止时间和开启时间，但至少在磋商文件要求的提交响应文件的截止时间3日前，将变更时间书面通知所有磋商文件收受人，并在政府采购信息发布媒体上发布公告。</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D.采购人负责对供应商提出的技术指标质疑进行处理。</w:t>
      </w:r>
    </w:p>
    <w:p>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.2.5 磋商文件的获取：</w:t>
      </w:r>
      <w:r>
        <w:rPr>
          <w:rFonts w:hint="eastAsia" w:ascii="宋体" w:hAnsi="宋体" w:eastAsia="宋体" w:cs="宋体"/>
          <w:sz w:val="24"/>
          <w:szCs w:val="24"/>
          <w:highlight w:val="none"/>
        </w:rPr>
        <w:t>登录</w:t>
      </w:r>
      <w:r>
        <w:rPr>
          <w:rFonts w:hint="eastAsia" w:ascii="宋体" w:hAnsi="宋体" w:eastAsia="宋体" w:cs="宋体"/>
          <w:sz w:val="24"/>
          <w:szCs w:val="24"/>
          <w:highlight w:val="none"/>
          <w:lang w:eastAsia="zh-CN"/>
        </w:rPr>
        <w:t>全国公共资源交易中心（陕西省榆林市）平台</w:t>
      </w:r>
      <w:r>
        <w:rPr>
          <w:rFonts w:hint="eastAsia" w:ascii="宋体" w:hAnsi="宋体" w:eastAsia="宋体" w:cs="宋体"/>
          <w:sz w:val="24"/>
          <w:szCs w:val="24"/>
          <w:highlight w:val="none"/>
        </w:rPr>
        <w:t>使用CA锁报名后自行下载获取采购文件</w:t>
      </w:r>
      <w:r>
        <w:rPr>
          <w:rFonts w:hint="eastAsia" w:ascii="宋体" w:hAnsi="宋体" w:eastAsia="宋体" w:cs="宋体"/>
          <w:sz w:val="24"/>
          <w:szCs w:val="24"/>
          <w:highlight w:val="none"/>
          <w:lang w:eastAsia="zh-CN"/>
        </w:rPr>
        <w:t>。</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.2.6 供应商一经报名登记，其所获权利不得转让。</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.2.7 磋商文件的解释权归采购代理机构。</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eastAsia="zh-CN" w:bidi="ar"/>
        </w:rPr>
        <w:t>四</w:t>
      </w:r>
      <w:r>
        <w:rPr>
          <w:rFonts w:hint="eastAsia" w:ascii="宋体" w:hAnsi="宋体" w:eastAsia="宋体" w:cs="宋体"/>
          <w:b/>
          <w:bCs/>
          <w:color w:val="auto"/>
          <w:sz w:val="24"/>
          <w:szCs w:val="24"/>
          <w:highlight w:val="none"/>
          <w:lang w:bidi="ar"/>
        </w:rPr>
        <w:t>、磋商及响应文件</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.1 供应商应当符合中华人民共和国政府采购法第二十二条规定的基本要求，且具有与完成本采购项目相适应的能力。</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.2 供应商应当具备法律、行政法规规定的与采购项目相适应的专业资质、许可、批准、认证、认定等证件文书。</w:t>
      </w:r>
    </w:p>
    <w:p>
      <w:pPr>
        <w:spacing w:line="360" w:lineRule="auto"/>
        <w:ind w:firstLine="480" w:firstLineChars="200"/>
        <w:rPr>
          <w:rFonts w:hint="default"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.3 磋商保证金</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见须知前附表</w:t>
      </w:r>
      <w:r>
        <w:rPr>
          <w:rFonts w:hint="eastAsia" w:ascii="宋体" w:hAnsi="宋体" w:eastAsia="宋体" w:cs="宋体"/>
          <w:color w:val="auto"/>
          <w:sz w:val="24"/>
          <w:szCs w:val="24"/>
          <w:highlight w:val="none"/>
          <w:lang w:val="en-US" w:eastAsia="zh-CN" w:bidi="ar"/>
        </w:rPr>
        <w:t>7。</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 xml:space="preserve">.4 </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响应文件的编制</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en-US" w:eastAsia="zh-CN"/>
        </w:rPr>
        <w:t>.4.1</w:t>
      </w:r>
      <w:r>
        <w:rPr>
          <w:rFonts w:hint="eastAsia" w:ascii="宋体" w:hAnsi="宋体" w:eastAsia="宋体" w:cs="宋体"/>
          <w:color w:val="auto"/>
          <w:sz w:val="24"/>
          <w:szCs w:val="24"/>
          <w:highlight w:val="none"/>
          <w:lang w:bidi="ar"/>
        </w:rPr>
        <w:t>竞争性磋商响应文件格式：竞争性磋商响应文件应当使用竞争性磋商文件规定的全部格式（表格可以按同样格式扩展）编写，除明确允许供应商可以自行编写的外，供应商不得以“竞争性磋商响应文件格式”规定之外的方式填写相关内容。否则，将作为无效响应处理。</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en-US" w:eastAsia="zh-CN"/>
        </w:rPr>
        <w:t>.4.2</w:t>
      </w:r>
      <w:r>
        <w:rPr>
          <w:rFonts w:hint="eastAsia" w:ascii="宋体" w:hAnsi="宋体" w:eastAsia="宋体" w:cs="宋体"/>
          <w:color w:val="auto"/>
          <w:sz w:val="24"/>
          <w:szCs w:val="24"/>
          <w:highlight w:val="none"/>
          <w:lang w:eastAsia="zh-CN" w:bidi="ar"/>
        </w:rPr>
        <w:t>供应商</w:t>
      </w:r>
      <w:r>
        <w:rPr>
          <w:rFonts w:hint="eastAsia" w:ascii="宋体" w:hAnsi="宋体" w:eastAsia="宋体" w:cs="宋体"/>
          <w:color w:val="auto"/>
          <w:sz w:val="24"/>
          <w:szCs w:val="24"/>
          <w:highlight w:val="none"/>
          <w:lang w:bidi="ar"/>
        </w:rPr>
        <w:t>必须按照</w:t>
      </w:r>
      <w:r>
        <w:rPr>
          <w:rFonts w:hint="eastAsia" w:ascii="宋体" w:hAnsi="宋体" w:eastAsia="宋体" w:cs="宋体"/>
          <w:color w:val="auto"/>
          <w:sz w:val="24"/>
          <w:szCs w:val="24"/>
          <w:highlight w:val="none"/>
          <w:lang w:eastAsia="zh-CN" w:bidi="ar"/>
        </w:rPr>
        <w:t>竞争性磋商</w:t>
      </w:r>
      <w:r>
        <w:rPr>
          <w:rFonts w:hint="eastAsia" w:ascii="宋体" w:hAnsi="宋体" w:eastAsia="宋体" w:cs="宋体"/>
          <w:color w:val="auto"/>
          <w:sz w:val="24"/>
          <w:szCs w:val="24"/>
          <w:highlight w:val="none"/>
          <w:lang w:bidi="ar"/>
        </w:rPr>
        <w:t>文件的规定和要求在</w:t>
      </w:r>
      <w:r>
        <w:rPr>
          <w:rFonts w:hint="eastAsia" w:ascii="宋体" w:hAnsi="宋体" w:eastAsia="宋体" w:cs="宋体"/>
          <w:color w:val="auto"/>
          <w:sz w:val="24"/>
          <w:szCs w:val="24"/>
          <w:highlight w:val="none"/>
          <w:lang w:eastAsia="zh-CN" w:bidi="ar"/>
        </w:rPr>
        <w:t>竞争性磋商响应</w:t>
      </w:r>
      <w:r>
        <w:rPr>
          <w:rFonts w:hint="eastAsia" w:ascii="宋体" w:hAnsi="宋体" w:eastAsia="宋体" w:cs="宋体"/>
          <w:color w:val="auto"/>
          <w:sz w:val="24"/>
          <w:szCs w:val="24"/>
          <w:highlight w:val="none"/>
          <w:lang w:bidi="ar"/>
        </w:rPr>
        <w:t>文件中指定的页面落款处加盖公章（鲜章）并由法定代表人或被授权人签字（或盖章），</w:t>
      </w:r>
      <w:r>
        <w:rPr>
          <w:rFonts w:hint="eastAsia" w:ascii="宋体" w:hAnsi="宋体" w:eastAsia="宋体" w:cs="宋体"/>
          <w:color w:val="auto"/>
          <w:sz w:val="24"/>
          <w:szCs w:val="24"/>
          <w:highlight w:val="none"/>
          <w:lang w:eastAsia="zh-CN" w:bidi="ar"/>
        </w:rPr>
        <w:t>竞争性磋商</w:t>
      </w:r>
      <w:r>
        <w:rPr>
          <w:rFonts w:hint="eastAsia" w:ascii="宋体" w:hAnsi="宋体" w:eastAsia="宋体" w:cs="宋体"/>
          <w:color w:val="auto"/>
          <w:sz w:val="24"/>
          <w:szCs w:val="24"/>
          <w:highlight w:val="none"/>
          <w:lang w:bidi="ar"/>
        </w:rPr>
        <w:t>文件凡是要求法定代表人签字或盖章之处，非法人单位的负责人均参照执行。如有遗漏，将作为无效磋商响应处理。副本可以是正本的复印件。如果正本与副本不一致，以正本为准。</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en-US" w:eastAsia="zh-CN"/>
        </w:rPr>
        <w:t>.4.3</w:t>
      </w:r>
      <w:r>
        <w:rPr>
          <w:rFonts w:hint="eastAsia" w:ascii="宋体" w:hAnsi="宋体" w:eastAsia="宋体" w:cs="宋体"/>
          <w:color w:val="auto"/>
          <w:sz w:val="24"/>
          <w:szCs w:val="24"/>
          <w:highlight w:val="none"/>
          <w:lang w:bidi="ar"/>
        </w:rPr>
        <w:t>除供应商对错误处需修改外，全套竞争性磋商响应文件应无涂改或行间插字或增删。如有修改，修改处应加盖供应商公章及法定代表人或被授权人签字（或盖章）确认。</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en-US" w:eastAsia="zh-CN"/>
        </w:rPr>
        <w:t>.4.4</w:t>
      </w:r>
      <w:r>
        <w:rPr>
          <w:rFonts w:hint="eastAsia" w:ascii="宋体" w:hAnsi="宋体" w:eastAsia="宋体" w:cs="宋体"/>
          <w:color w:val="auto"/>
          <w:sz w:val="24"/>
          <w:szCs w:val="24"/>
          <w:highlight w:val="none"/>
          <w:lang w:bidi="ar"/>
        </w:rPr>
        <w:t>竞争性磋商响应文件的正本和副本均需打印或用不褪色、不变质的墨水书写。因字迹潦草或表达不清所引起的后果由供应商自行负责。</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en-US" w:eastAsia="zh-CN"/>
        </w:rPr>
        <w:t>.4.5</w:t>
      </w:r>
      <w:r>
        <w:rPr>
          <w:rFonts w:hint="eastAsia" w:ascii="宋体" w:hAnsi="宋体" w:eastAsia="宋体" w:cs="宋体"/>
          <w:color w:val="auto"/>
          <w:sz w:val="24"/>
          <w:szCs w:val="24"/>
          <w:highlight w:val="none"/>
          <w:lang w:bidi="ar"/>
        </w:rPr>
        <w:t>竞争性磋商响应文件电子版内容须与竞争性磋商响应文件纸质版正本中的内容一致。</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2</w:t>
      </w:r>
      <w:r>
        <w:rPr>
          <w:rFonts w:hint="eastAsia" w:ascii="宋体" w:hAnsi="宋体" w:cs="Times New Roman"/>
          <w:color w:val="auto"/>
          <w:sz w:val="24"/>
          <w:szCs w:val="24"/>
          <w:highlight w:val="none"/>
          <w:lang w:eastAsia="zh-CN"/>
        </w:rPr>
        <w:t>）</w:t>
      </w:r>
      <w:r>
        <w:rPr>
          <w:rFonts w:hint="eastAsia" w:ascii="宋体" w:hAnsi="宋体" w:eastAsia="宋体" w:cs="Times New Roman"/>
          <w:color w:val="auto"/>
          <w:sz w:val="24"/>
          <w:szCs w:val="24"/>
          <w:highlight w:val="none"/>
          <w:lang w:eastAsia="zh-CN"/>
        </w:rPr>
        <w:t>磋商</w:t>
      </w:r>
      <w:r>
        <w:rPr>
          <w:rFonts w:hint="eastAsia" w:ascii="宋体" w:hAnsi="宋体" w:eastAsia="宋体" w:cs="Times New Roman"/>
          <w:color w:val="auto"/>
          <w:sz w:val="24"/>
          <w:szCs w:val="24"/>
          <w:highlight w:val="none"/>
        </w:rPr>
        <w:t>文件的装订</w:t>
      </w:r>
      <w:r>
        <w:rPr>
          <w:rFonts w:hint="eastAsia" w:ascii="宋体" w:hAnsi="宋体" w:eastAsia="宋体" w:cs="Times New Roman"/>
          <w:color w:val="auto"/>
          <w:sz w:val="24"/>
          <w:szCs w:val="24"/>
          <w:highlight w:val="none"/>
          <w:lang w:eastAsia="zh-CN"/>
        </w:rPr>
        <w:t>及密封</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en-US" w:eastAsia="zh-CN"/>
        </w:rPr>
        <w:t>.4.6</w:t>
      </w:r>
      <w:r>
        <w:rPr>
          <w:rFonts w:hint="eastAsia" w:ascii="宋体" w:hAnsi="宋体" w:eastAsia="宋体" w:cs="Times New Roman"/>
          <w:color w:val="auto"/>
          <w:sz w:val="24"/>
          <w:szCs w:val="24"/>
          <w:highlight w:val="none"/>
          <w:lang w:eastAsia="zh-CN"/>
        </w:rPr>
        <w:t>密封要求：</w:t>
      </w:r>
      <w:r>
        <w:rPr>
          <w:rFonts w:hint="eastAsia" w:ascii="宋体" w:hAnsi="宋体" w:eastAsia="宋体" w:cs="Times New Roman"/>
          <w:color w:val="auto"/>
          <w:sz w:val="24"/>
          <w:szCs w:val="24"/>
          <w:highlight w:val="none"/>
        </w:rPr>
        <w:t>磋商时，供应商应自行将磋商响应文件密封完好（封袋不得有破损）。标袋上应写明项目名称、项目编号、供应商名称及“正本”、“副本”字样，并在密封条接缝处加盖单位公章（鲜章）和法定代表人或被授权人签字(或盖章）；</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val="en-US" w:eastAsia="zh-CN"/>
        </w:rPr>
        <w:t>4.4.7</w:t>
      </w:r>
      <w:r>
        <w:rPr>
          <w:rFonts w:hint="eastAsia" w:ascii="宋体" w:hAnsi="宋体" w:eastAsia="宋体" w:cs="Times New Roman"/>
          <w:color w:val="auto"/>
          <w:sz w:val="24"/>
          <w:szCs w:val="24"/>
          <w:highlight w:val="none"/>
          <w:lang w:eastAsia="zh-CN"/>
        </w:rPr>
        <w:t>装订要求（非废标项）：</w:t>
      </w:r>
      <w:r>
        <w:rPr>
          <w:rFonts w:hint="eastAsia" w:ascii="宋体" w:hAnsi="宋体" w:eastAsia="宋体" w:cs="Times New Roman"/>
          <w:color w:val="auto"/>
          <w:sz w:val="24"/>
          <w:szCs w:val="24"/>
          <w:highlight w:val="none"/>
        </w:rPr>
        <w:t>磋商响应文件一律采用书籍（胶装）方式装订</w:t>
      </w:r>
      <w:r>
        <w:rPr>
          <w:rFonts w:hint="eastAsia" w:ascii="宋体" w:hAnsi="宋体" w:eastAsia="宋体" w:cs="Times New Roman"/>
          <w:color w:val="auto"/>
          <w:sz w:val="24"/>
          <w:szCs w:val="24"/>
          <w:highlight w:val="none"/>
          <w:lang w:eastAsia="zh-CN"/>
        </w:rPr>
        <w:t>，在竞争性磋商响应文件书脊处必须写明项目名称、项目编号及磋商单位名称</w:t>
      </w:r>
      <w:r>
        <w:rPr>
          <w:rFonts w:hint="eastAsia" w:ascii="宋体" w:hAnsi="宋体" w:eastAsia="宋体" w:cs="Times New Roman"/>
          <w:color w:val="auto"/>
          <w:sz w:val="24"/>
          <w:szCs w:val="24"/>
          <w:highlight w:val="none"/>
        </w:rPr>
        <w:t>。磋商响应文件正本一份，</w:t>
      </w:r>
      <w:r>
        <w:rPr>
          <w:rFonts w:hint="eastAsia" w:ascii="宋体" w:hAnsi="宋体" w:eastAsia="宋体" w:cs="Times New Roman"/>
          <w:color w:val="auto"/>
          <w:sz w:val="24"/>
          <w:szCs w:val="24"/>
          <w:highlight w:val="none"/>
          <w:lang w:eastAsia="zh-CN"/>
        </w:rPr>
        <w:t>副本</w:t>
      </w:r>
      <w:r>
        <w:rPr>
          <w:rFonts w:hint="eastAsia" w:ascii="宋体" w:hAnsi="宋体" w:cs="Times New Roman"/>
          <w:color w:val="auto"/>
          <w:sz w:val="24"/>
          <w:szCs w:val="24"/>
          <w:highlight w:val="none"/>
          <w:lang w:eastAsia="zh-CN"/>
        </w:rPr>
        <w:t>两</w:t>
      </w:r>
      <w:r>
        <w:rPr>
          <w:rFonts w:hint="eastAsia" w:ascii="宋体" w:hAnsi="宋体" w:eastAsia="宋体" w:cs="Times New Roman"/>
          <w:color w:val="auto"/>
          <w:sz w:val="24"/>
          <w:szCs w:val="24"/>
          <w:highlight w:val="none"/>
          <w:lang w:eastAsia="zh-CN"/>
        </w:rPr>
        <w:t>份</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共</w:t>
      </w:r>
      <w:r>
        <w:rPr>
          <w:rFonts w:hint="eastAsia" w:ascii="宋体" w:hAnsi="宋体" w:cs="Times New Roman"/>
          <w:color w:val="auto"/>
          <w:sz w:val="24"/>
          <w:szCs w:val="24"/>
          <w:highlight w:val="none"/>
          <w:lang w:eastAsia="zh-CN"/>
        </w:rPr>
        <w:t>三</w:t>
      </w:r>
      <w:r>
        <w:rPr>
          <w:rFonts w:hint="eastAsia" w:ascii="宋体" w:hAnsi="宋体" w:eastAsia="宋体" w:cs="Times New Roman"/>
          <w:color w:val="auto"/>
          <w:sz w:val="24"/>
          <w:szCs w:val="24"/>
          <w:highlight w:val="none"/>
          <w:lang w:eastAsia="zh-CN"/>
        </w:rPr>
        <w:t>份。</w:t>
      </w:r>
      <w:r>
        <w:rPr>
          <w:rFonts w:hint="eastAsia" w:ascii="宋体" w:hAnsi="宋体" w:eastAsia="宋体" w:cs="Times New Roman"/>
          <w:color w:val="auto"/>
          <w:sz w:val="24"/>
          <w:szCs w:val="24"/>
          <w:highlight w:val="none"/>
        </w:rPr>
        <w:t>电子文件（U盘或移动硬盘，谢绝光盘）一份。纸质磋商响应文件均须A4纸打印</w:t>
      </w:r>
      <w:r>
        <w:rPr>
          <w:rFonts w:hint="eastAsia" w:ascii="宋体" w:hAnsi="宋体" w:eastAsia="宋体" w:cs="Times New Roman"/>
          <w:color w:val="auto"/>
          <w:sz w:val="24"/>
          <w:szCs w:val="24"/>
          <w:highlight w:val="none"/>
          <w:lang w:eastAsia="zh-CN"/>
        </w:rPr>
        <w:t>（提倡双面打印）</w:t>
      </w:r>
      <w:r>
        <w:rPr>
          <w:rFonts w:hint="eastAsia" w:ascii="宋体" w:hAnsi="宋体" w:eastAsia="宋体" w:cs="Times New Roman"/>
          <w:color w:val="auto"/>
          <w:sz w:val="24"/>
          <w:szCs w:val="24"/>
          <w:highlight w:val="none"/>
        </w:rPr>
        <w:t>，分别各自装订成册并编制目录和页码。单份磋商响应文件单独密封在一个标袋中，电子版放置磋商响应文件正本标袋内。</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w:t>
      </w: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 xml:space="preserve"> 磋商的所有文件、资料、函电均应使用中文（通用缩写、代号及专用名除外）。</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w:t>
      </w:r>
      <w:r>
        <w:rPr>
          <w:rFonts w:hint="eastAsia" w:ascii="宋体" w:hAnsi="宋体" w:eastAsia="宋体" w:cs="宋体"/>
          <w:color w:val="auto"/>
          <w:sz w:val="24"/>
          <w:szCs w:val="24"/>
          <w:highlight w:val="none"/>
          <w:lang w:val="en-US" w:eastAsia="zh-CN" w:bidi="ar"/>
        </w:rPr>
        <w:t>9</w:t>
      </w:r>
      <w:r>
        <w:rPr>
          <w:rFonts w:hint="eastAsia" w:ascii="宋体" w:hAnsi="宋体" w:eastAsia="宋体" w:cs="宋体"/>
          <w:color w:val="auto"/>
          <w:sz w:val="24"/>
          <w:szCs w:val="24"/>
          <w:highlight w:val="none"/>
          <w:lang w:bidi="ar"/>
        </w:rPr>
        <w:t xml:space="preserve"> 磋商使用的计量单位为公制单位（有特殊规定的除外）。</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w:t>
      </w:r>
      <w:r>
        <w:rPr>
          <w:rFonts w:hint="eastAsia" w:ascii="宋体" w:hAnsi="宋体" w:eastAsia="宋体" w:cs="宋体"/>
          <w:color w:val="auto"/>
          <w:sz w:val="24"/>
          <w:szCs w:val="24"/>
          <w:highlight w:val="none"/>
          <w:lang w:val="en-US" w:eastAsia="zh-CN" w:bidi="ar"/>
        </w:rPr>
        <w:t>10</w:t>
      </w:r>
      <w:r>
        <w:rPr>
          <w:rFonts w:hint="eastAsia" w:ascii="宋体" w:hAnsi="宋体" w:eastAsia="宋体" w:cs="宋体"/>
          <w:color w:val="auto"/>
          <w:sz w:val="24"/>
          <w:szCs w:val="24"/>
          <w:highlight w:val="none"/>
          <w:lang w:bidi="ar"/>
        </w:rPr>
        <w:t xml:space="preserve"> 响应文件应对磋商文件有关磋商报价、磋商有效期、合同主要条款等实质性内容作出响应。</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供应商应当按照磋商文件的要求编制响应文件，并对其提交的响应文件的真实性、合法性承担法律责任。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w:t>
      </w:r>
      <w:r>
        <w:rPr>
          <w:rFonts w:hint="eastAsia" w:ascii="宋体" w:hAnsi="宋体" w:eastAsia="宋体" w:cs="宋体"/>
          <w:color w:val="auto"/>
          <w:sz w:val="24"/>
          <w:szCs w:val="24"/>
          <w:highlight w:val="none"/>
          <w:lang w:val="en-US" w:eastAsia="zh-CN" w:bidi="ar"/>
        </w:rPr>
        <w:t>11</w:t>
      </w:r>
      <w:r>
        <w:rPr>
          <w:rFonts w:hint="eastAsia" w:ascii="宋体" w:hAnsi="宋体" w:eastAsia="宋体" w:cs="宋体"/>
          <w:color w:val="auto"/>
          <w:sz w:val="24"/>
          <w:szCs w:val="24"/>
          <w:highlight w:val="none"/>
          <w:lang w:bidi="ar"/>
        </w:rPr>
        <w:t xml:space="preserve"> 磋商文件未要求提供备选方案的，供应商只能提交唯一的磋商方案，否则磋商无效。（见须知前附表</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w:t>
      </w:r>
      <w:r>
        <w:rPr>
          <w:rFonts w:hint="eastAsia" w:ascii="宋体" w:hAnsi="宋体" w:eastAsia="宋体" w:cs="宋体"/>
          <w:color w:val="auto"/>
          <w:sz w:val="24"/>
          <w:szCs w:val="24"/>
          <w:highlight w:val="none"/>
          <w:lang w:val="en-US" w:eastAsia="zh-CN" w:bidi="ar"/>
        </w:rPr>
        <w:t>12</w:t>
      </w:r>
      <w:r>
        <w:rPr>
          <w:rFonts w:hint="eastAsia" w:ascii="宋体" w:hAnsi="宋体" w:eastAsia="宋体" w:cs="宋体"/>
          <w:color w:val="auto"/>
          <w:sz w:val="24"/>
          <w:szCs w:val="24"/>
          <w:highlight w:val="none"/>
          <w:lang w:bidi="ar"/>
        </w:rPr>
        <w:t>磋商报价为不可选择的唯一报价。报价货币：人民币，单位：元。</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w:t>
      </w:r>
      <w:r>
        <w:rPr>
          <w:rFonts w:hint="eastAsia" w:ascii="宋体" w:hAnsi="宋体" w:eastAsia="宋体" w:cs="宋体"/>
          <w:color w:val="auto"/>
          <w:sz w:val="24"/>
          <w:szCs w:val="24"/>
          <w:highlight w:val="none"/>
          <w:lang w:val="en-US" w:eastAsia="zh-CN" w:bidi="ar"/>
        </w:rPr>
        <w:t>13</w:t>
      </w:r>
      <w:r>
        <w:rPr>
          <w:rFonts w:hint="eastAsia" w:ascii="宋体" w:hAnsi="宋体" w:eastAsia="宋体" w:cs="宋体"/>
          <w:color w:val="auto"/>
          <w:sz w:val="24"/>
          <w:szCs w:val="24"/>
          <w:highlight w:val="none"/>
          <w:lang w:bidi="ar"/>
        </w:rPr>
        <w:t xml:space="preserve"> 响应文件有效期（见须知前附表）应当满足磋商文件规定的有效期限。</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在响应文件有效期届满之前，采购代理机构可以向供应商提出延长响应文件有效期的书面要求。供应商书面同意延长响应文件有效期的，其供应商资格有效期相应延长。供应商也可书面拒绝延长有效期（在规定时限内无应答的视为拒绝），其供应商资格则自动丧失。</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.4.9 响应文件的提交</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本项目网上电子递交。</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逾期未上传提交电子</w:t>
      </w:r>
      <w:r>
        <w:rPr>
          <w:rFonts w:hint="eastAsia" w:ascii="宋体" w:hAnsi="宋体" w:eastAsia="宋体" w:cs="宋体"/>
          <w:color w:val="auto"/>
          <w:sz w:val="24"/>
          <w:szCs w:val="24"/>
          <w:highlight w:val="none"/>
          <w:lang w:eastAsia="zh-CN" w:bidi="ar"/>
        </w:rPr>
        <w:t>响应文件</w:t>
      </w:r>
      <w:r>
        <w:rPr>
          <w:rFonts w:hint="eastAsia" w:ascii="宋体" w:hAnsi="宋体" w:eastAsia="宋体" w:cs="宋体"/>
          <w:color w:val="auto"/>
          <w:sz w:val="24"/>
          <w:szCs w:val="24"/>
          <w:highlight w:val="none"/>
          <w:lang w:bidi="ar"/>
        </w:rPr>
        <w:t>的，否决其投标。</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无论供应商成交与否，其响应文件恕不退还。</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.4.10 响应文件的修改与撤回</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供应商在递交响应文件后，可以修改或撤回其响应文件，也可以提出价格变动声明，但供应商必须在规定的磋商截止时间之前将修改或撤回或变动价格的书面通知文件递交到采购代理机构并书面通知采购人。补充、修改的内容作为响应文件的组成部分。补充、修改的内容与响应文件不一致的，以补充、修改的内容为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供应商的修改或撤回或变动价格的通知应按本磋商文件</w:t>
      </w: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3.4</w:t>
      </w:r>
      <w:r>
        <w:rPr>
          <w:rFonts w:hint="eastAsia" w:ascii="宋体" w:hAnsi="宋体"/>
          <w:color w:val="auto"/>
          <w:sz w:val="24"/>
          <w:szCs w:val="24"/>
          <w:highlight w:val="none"/>
        </w:rPr>
        <w:t>条</w:t>
      </w:r>
      <w:r>
        <w:rPr>
          <w:rFonts w:hint="eastAsia" w:ascii="宋体" w:hAnsi="宋体" w:eastAsia="宋体" w:cs="宋体"/>
          <w:color w:val="auto"/>
          <w:sz w:val="24"/>
          <w:szCs w:val="24"/>
          <w:highlight w:val="none"/>
          <w:lang w:bidi="ar"/>
        </w:rPr>
        <w:t>的规定。</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在磋商截止时间之后，供应商不得对其响应文件做任何修改或撤回。</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.5 磋商报价</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.5.1 本项目采用二次报价方式（均不对供应商公开）。明显低于市场价或成本价的恶意竞争、捣乱会场秩序的行为，视为报价无效。磋商组织机构工作人员开启磋商一览表文件，由唱价人宣布磋商报价总表内容，作为磋商报价。对未唱出的磋商价格、价格折扣和磋商文件不允许提供的备选方案等实质内容，评审时不予承认。</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本项目采购最高限价见供应商须知前附表，供应商报价大于采购最高限价，</w:t>
      </w:r>
      <w:r>
        <w:rPr>
          <w:rFonts w:hint="eastAsia" w:ascii="宋体" w:hAnsi="宋体" w:eastAsia="宋体" w:cs="宋体"/>
          <w:color w:val="auto"/>
          <w:sz w:val="24"/>
          <w:szCs w:val="24"/>
          <w:highlight w:val="none"/>
          <w:lang w:val="en-US" w:eastAsia="zh-CN" w:bidi="ar"/>
        </w:rPr>
        <w:t>视为不</w:t>
      </w:r>
      <w:r>
        <w:rPr>
          <w:rFonts w:hint="eastAsia" w:ascii="宋体" w:hAnsi="宋体" w:eastAsia="宋体" w:cs="宋体"/>
          <w:color w:val="auto"/>
          <w:sz w:val="24"/>
          <w:szCs w:val="24"/>
          <w:highlight w:val="none"/>
          <w:lang w:bidi="ar"/>
        </w:rPr>
        <w:t>响应磋商文件，按无效投标处理。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.5.2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磋商小组要求供应商澄清、说明或者更正响应文件应当以书面形式作出。供应商的澄清、说明或者更正应当由法定代表人或其授权代表签字或者加盖公章。</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.5.3 在磋商过程中，磋商小组可以根据磋商文件变动采购服务要求以及合同草案条款，但不得变动磋商文件中的实质性内容。</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.6 综合评分法评审标准中的分值设置应当与评审因素的量化指标相对应。评审时，磋商小组各成员应当独立对每个有效响应的文件进行评价、打分，然后汇总每个供应商每项评分因素的得分。</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eastAsia="zh-CN" w:bidi="ar"/>
        </w:rPr>
        <w:t>五</w:t>
      </w:r>
      <w:r>
        <w:rPr>
          <w:rFonts w:hint="eastAsia" w:ascii="宋体" w:hAnsi="宋体" w:eastAsia="宋体" w:cs="宋体"/>
          <w:b/>
          <w:bCs/>
          <w:color w:val="auto"/>
          <w:sz w:val="24"/>
          <w:szCs w:val="24"/>
          <w:highlight w:val="none"/>
          <w:lang w:bidi="ar"/>
        </w:rPr>
        <w:t>、磋商</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.1 采购代理机构在规定的时间和地点组织竞争性</w:t>
      </w:r>
      <w:r>
        <w:rPr>
          <w:rFonts w:hint="eastAsia" w:ascii="宋体" w:hAnsi="宋体" w:eastAsia="宋体" w:cs="宋体"/>
          <w:color w:val="auto"/>
          <w:sz w:val="24"/>
          <w:szCs w:val="24"/>
          <w:highlight w:val="none"/>
          <w:lang w:eastAsia="zh-CN" w:bidi="ar"/>
        </w:rPr>
        <w:t>磋商</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磋商</w:t>
      </w:r>
      <w:r>
        <w:rPr>
          <w:rFonts w:hint="eastAsia" w:ascii="宋体" w:hAnsi="宋体" w:eastAsia="宋体" w:cs="宋体"/>
          <w:color w:val="auto"/>
          <w:sz w:val="24"/>
          <w:szCs w:val="24"/>
          <w:highlight w:val="none"/>
          <w:lang w:bidi="ar"/>
        </w:rPr>
        <w:t>时所有供应商代表应签到以证明其出席，按照“供应商须知前附表”完成开标的所有程序</w:t>
      </w:r>
      <w:r>
        <w:rPr>
          <w:rFonts w:hint="eastAsia" w:ascii="宋体" w:hAnsi="宋体" w:eastAsia="宋体" w:cs="宋体"/>
          <w:color w:val="auto"/>
          <w:sz w:val="24"/>
          <w:szCs w:val="24"/>
          <w:highlight w:val="none"/>
          <w:lang w:val="en-US" w:eastAsia="zh-CN" w:bidi="ar"/>
        </w:rPr>
        <w:t>。</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eastAsia="zh-CN" w:bidi="ar"/>
        </w:rPr>
        <w:t>六</w:t>
      </w:r>
      <w:r>
        <w:rPr>
          <w:rFonts w:hint="eastAsia" w:ascii="宋体" w:hAnsi="宋体" w:eastAsia="宋体" w:cs="宋体"/>
          <w:b/>
          <w:bCs/>
          <w:color w:val="auto"/>
          <w:sz w:val="24"/>
          <w:szCs w:val="24"/>
          <w:highlight w:val="none"/>
          <w:lang w:bidi="ar"/>
        </w:rPr>
        <w:t>、评审</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.1 依法组建磋商。磋商小组由采购人代表和有关技术、经济等方面的专家组成，成员人数总数为3人或以上单数，其中采购人代表应持有授权书，磋商小组按照磋商文件规定的评标方法独立进行评标工作。</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.2 磋商文件和磋商响应文件是评标的依据。在评标中，不得改变磋商文件中规定的评标标准、方法和成交条件。供应商不得在磋商后使用任何方式对磋商响应文件的实质性内容做任何更改。</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.3 在评标期间，对磋商响应文件中含义不明确、同类问题表述不一致或者有明显文字和计算错误的内容，磋商小组可以书面形式（由磋商小组签字）要求供应商作出必要的澄清、说明或者纠正。供应商的澄清、说明或者补正应当采用书面形式，由其授权的代表签字，并不得超出响应文件的范围或者改变响应文件的实质性内容。</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.4 如果供应商在澄清规定期限内，未能答复或拒绝答复磋商小组提出的澄清要求，将由磋商小组根据其响应文件按最大风险进行评标。</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.5. 在政府采购活动中，采购人员及相关人员与供应商有下列利害关系之一的，应当回避：</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.5.1 参加采购活动前3年内与供应商存在劳动关系；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.5.2 参加采购活动前3年内担任供应商的董事、监事；</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.5.3 参加采购活动前3年内是供应商的控股股东或者实际控制人；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.5.4 与供应商的法定代表人或者负责人有夫妻、直系血亲、三代以内旁系血亲或者近姻亲关系；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.5.5 与供应商有其他可能影响政府采购活动公平、公正进行的关系。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.6 磋商小组独立履行下列职责和义务：</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A．职责：确认或者制定磋商文件；从符合相应资格条件的供应商名单中确定不少于3家的供应商参加磋商；审查供应商的响应文件并作出评价；要求供应商解释或者澄清其响应文件；编评审报告；告知采购人、采购代理机构在评审过程中发现的供应商的违法违规行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B．义务：遵纪守法，客观、公正、廉洁地履行职责；根据磋商文件的规定独立进行评审，按照少数服从多数的原则推荐成交候选人；配合采购人、采购代理机构答复供应商提出的质疑；配合财政部门的投诉处理和监督检查工作。</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.7 评审方法、评审程序见第五章</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.8 保密工作</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.8.1 任何单位和个人不得干预、影响评审办法的执行，以及评审过程和结果。</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.8.2 磋商小组成员及全体与会工作人员应当执行评审工作的各项保密规定。采购代理机构应严格控制评审现场的人员出入，磋商小组成员及与会人员应予以支持配合。</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磋商小组评审前将手机等通讯工具统一寄存入指定存放处，若必须使用通讯工具时，需经过监标人同意方可使用，但必须在评审现场使用。</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.9 纪律与监督</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.9.1 采购人不得泄漏磋商中应当保密的情况和资料，不得与供应商串通损害国家利益、社会公共利益或者他人合法权益。</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.9.2 供应商不得相互串通磋商或者与采购人串通磋商，不得向采购人或者磋商小组成员行贿谋取成交，不得以他人名义磋商或者以其他方式弄虚作假骗取成交，供应商不得以任何方式干扰、影响评审工作。</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有下列情形之一的，属于恶意串通。对供应商依照政府采购法第七十七条第一款的规定追究法律责任，对采购人、采购代理机构及其工作人员依照政府采购法第七十二条的规定追究法律责任：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A.供应商直接或者间接从采购人或者采购代理机构处获得其他供应商的相关情况并修改其磋商文件或者响应文件；</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B.供应商按照采购人或者采购代理机构的授意撤换、修改磋商文件或者响应文件；</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C.供应商之间协商报价、技术方案等磋商文件或者响应文件的实质性内容；</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D.属于同一集团、协会、商会等组织成员的供应商按照该组织要求协同参加政府采购活动；</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E.供应商之间事先约定由某一特定供应商成交；</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F.供应商之间商定部分供应商放弃参加采购活动或者放弃成交；</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G.供应商与采购人或者采购代理机构之间、供应商相互之间，为谋求特定供应商成交或者排斥其他供应商的其他串通行为。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.10 磋商小组成员不得收受他人的财物或者其他好处，不得向他人透漏对响应文件的评审和比较、成交候选人的推荐情况以及评审有关的其他情况。在评审活动中，磋商小组成员不得擅离职守，影响工作程序正常进行，不得使用“评审办法”没有规定的评审因素和标准进行评审。</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.11 参与评审活动的工作人员不得收受他人的财物或者其他好处，不得向他人透漏对响应文件的评审和比较、成交候选人的推荐情况以及评审有关的其他情况。在评审活动中，与评审活动有关的工作人员不得擅离职守，影响评审程序正常进行。</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.12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采购人、采购代理机构不得向磋商小组中的评审专家作倾向性、误导性的解释或者说明。</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eastAsia="zh-CN" w:bidi="ar"/>
        </w:rPr>
        <w:t>七</w:t>
      </w:r>
      <w:r>
        <w:rPr>
          <w:rFonts w:hint="eastAsia" w:ascii="宋体" w:hAnsi="宋体" w:eastAsia="宋体" w:cs="宋体"/>
          <w:b/>
          <w:bCs/>
          <w:color w:val="auto"/>
          <w:sz w:val="24"/>
          <w:szCs w:val="24"/>
          <w:highlight w:val="none"/>
          <w:lang w:bidi="ar"/>
        </w:rPr>
        <w:t>、成交单位确定</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.1 成交单位确定方式</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采购人依据磋商小组的磋商评审报告确定成交单位。</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.2 成交单位确定程序</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.2.1 采购代理机构在评审工作结束后，2个工作日内将评审报告送采购人。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.2.2 采购人在收到评审报告后5个工作日内，从评审报告提出的成交候选供应商中，按照得分由高到低的原则确定成交单位。采购人逾期未确定成交单位且不提出异议的，视为确定评审报告提出的排序第一的供应商为成交单位。</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.2.3 在规定的磋商有效期内，采购代理机构应当在政府采购信息发布媒体上公告成交结果。采购代理机构以书面形式向成交单位发出成交通知书。</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.2.4 供应商对成交公告有异议的，应依照《中华人民共和国政府采购法》及财政部相关法规规定的程序，向采购人、采购代理机构提出书面质疑。</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.3 成交通知书发出后，采购人改变成交结果的或者成交单位放弃成交的，应当承担相应的法律责任。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.4 成交单位拒绝与采购人签订合同的，采购人可以按照评审报告推荐的成交候选人名单排序，确定下一候选人为成交单位，也可以重新开展政府采购活动。</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eastAsia="zh-CN" w:bidi="ar"/>
        </w:rPr>
        <w:t>八</w:t>
      </w:r>
      <w:r>
        <w:rPr>
          <w:rFonts w:hint="eastAsia" w:ascii="宋体" w:hAnsi="宋体" w:eastAsia="宋体" w:cs="宋体"/>
          <w:b/>
          <w:bCs/>
          <w:color w:val="auto"/>
          <w:sz w:val="24"/>
          <w:szCs w:val="24"/>
          <w:highlight w:val="none"/>
          <w:lang w:bidi="ar"/>
        </w:rPr>
        <w:t>、授予合同</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.1 政府采购合同适用《中华人民共和国</w:t>
      </w:r>
      <w:r>
        <w:rPr>
          <w:rFonts w:hint="eastAsia" w:ascii="宋体" w:hAnsi="宋体" w:eastAsia="宋体" w:cs="宋体"/>
          <w:color w:val="auto"/>
          <w:sz w:val="24"/>
          <w:szCs w:val="24"/>
          <w:highlight w:val="none"/>
          <w:lang w:val="en-US" w:eastAsia="zh-CN" w:bidi="ar"/>
        </w:rPr>
        <w:t>民法典</w:t>
      </w:r>
      <w:r>
        <w:rPr>
          <w:rFonts w:hint="eastAsia" w:ascii="宋体" w:hAnsi="宋体" w:eastAsia="宋体" w:cs="宋体"/>
          <w:color w:val="auto"/>
          <w:sz w:val="24"/>
          <w:szCs w:val="24"/>
          <w:highlight w:val="none"/>
          <w:lang w:bidi="ar"/>
        </w:rPr>
        <w:t>》。</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 xml:space="preserve">.2 采购人和成交单位应当自成交通知书发出之日起 </w:t>
      </w:r>
      <w:r>
        <w:rPr>
          <w:rFonts w:hint="eastAsia" w:ascii="宋体" w:hAnsi="宋体" w:eastAsia="宋体" w:cs="宋体"/>
          <w:color w:val="auto"/>
          <w:sz w:val="24"/>
          <w:szCs w:val="24"/>
          <w:highlight w:val="none"/>
          <w:lang w:val="en-US" w:eastAsia="zh-CN" w:bidi="ar"/>
        </w:rPr>
        <w:t>10个</w:t>
      </w:r>
      <w:r>
        <w:rPr>
          <w:rFonts w:hint="eastAsia" w:ascii="宋体" w:hAnsi="宋体" w:cs="宋体"/>
          <w:color w:val="auto"/>
          <w:sz w:val="24"/>
          <w:szCs w:val="24"/>
          <w:highlight w:val="none"/>
          <w:lang w:val="en-US" w:eastAsia="zh-CN" w:bidi="ar"/>
        </w:rPr>
        <w:t>日历日</w:t>
      </w:r>
      <w:r>
        <w:rPr>
          <w:rFonts w:hint="eastAsia" w:ascii="宋体" w:hAnsi="宋体" w:eastAsia="宋体" w:cs="宋体"/>
          <w:color w:val="auto"/>
          <w:sz w:val="24"/>
          <w:szCs w:val="24"/>
          <w:highlight w:val="none"/>
          <w:lang w:bidi="ar"/>
        </w:rPr>
        <w:t>内，依据磋商文件和成交单位的响应文件等签订书面合同。</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.3 采购代理机构应当督促采购人、成交单位在规定的期限内完成合同签订工作，并对政府采购合同进行见证。</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.4 采购人应当自合同签订之日起七个工作日内将合同副本报政府采购监管机关备案。</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.5 合同在执行过程中，确需修改、变更的，应当按照规定的程序办理。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.6 磋商文件、响应文件、补充协议等为合同的组成部分，具有同等法律效力。</w:t>
      </w:r>
    </w:p>
    <w:p>
      <w:pPr>
        <w:spacing w:line="360" w:lineRule="auto"/>
        <w:ind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.7</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成交单位无正当理由拒签合同的，采购人、采购代理机构可取消其成交资格，给采购人造成损失的，成交单位还应予以赔偿</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采购机构将在项目财政主管部门备案，情节严重的，由财政部门将其列入不良行为纪录名单予以通报，在一至三年内禁止参加政府采购活动。</w:t>
      </w:r>
    </w:p>
    <w:p>
      <w:pPr>
        <w:pStyle w:val="3"/>
        <w:pageBreakBefore/>
        <w:spacing w:before="120" w:beforeLines="50" w:after="120" w:afterLines="50" w:line="360" w:lineRule="auto"/>
        <w:jc w:val="center"/>
        <w:rPr>
          <w:rFonts w:hint="eastAsia" w:ascii="宋体" w:hAnsi="宋体" w:eastAsia="宋体" w:cs="宋体"/>
          <w:bCs w:val="0"/>
          <w:color w:val="auto"/>
          <w:sz w:val="32"/>
          <w:szCs w:val="32"/>
          <w:highlight w:val="none"/>
        </w:rPr>
      </w:pPr>
      <w:bookmarkStart w:id="12" w:name="_Toc11286"/>
      <w:r>
        <w:rPr>
          <w:rFonts w:hint="eastAsia" w:ascii="宋体" w:hAnsi="宋体" w:eastAsia="宋体" w:cs="宋体"/>
          <w:bCs w:val="0"/>
          <w:color w:val="auto"/>
          <w:sz w:val="32"/>
          <w:szCs w:val="32"/>
          <w:highlight w:val="none"/>
        </w:rPr>
        <w:t>第三章  合同条款及格式</w:t>
      </w:r>
      <w:bookmarkEnd w:id="12"/>
    </w:p>
    <w:p>
      <w:pPr>
        <w:spacing w:line="480" w:lineRule="exact"/>
        <w:ind w:firstLine="480" w:firstLineChars="200"/>
        <w:textAlignment w:val="baseline"/>
        <w:rPr>
          <w:rFonts w:hint="eastAsia" w:ascii="宋体" w:hAnsi="宋体" w:eastAsia="宋体" w:cs="宋体"/>
          <w:sz w:val="24"/>
          <w:szCs w:val="24"/>
        </w:rPr>
      </w:pPr>
      <w:bookmarkStart w:id="13" w:name="第三章 拟签订合同主要条款"/>
      <w:bookmarkEnd w:id="13"/>
      <w:bookmarkStart w:id="14" w:name="_Toc14307"/>
      <w:bookmarkStart w:id="15" w:name="_Toc423973075"/>
      <w:r>
        <w:rPr>
          <w:rFonts w:hint="eastAsia" w:ascii="宋体" w:hAnsi="宋体" w:eastAsia="宋体" w:cs="宋体"/>
          <w:sz w:val="24"/>
          <w:szCs w:val="24"/>
        </w:rPr>
        <w:t>1.合同内容及金额:即成交供应商的磋商具体内容及其成交总金额。其金额不受市场和工作量变化的影响。</w:t>
      </w:r>
    </w:p>
    <w:p>
      <w:pPr>
        <w:spacing w:line="48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2.服务期：</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w:t>
      </w:r>
    </w:p>
    <w:p>
      <w:pPr>
        <w:spacing w:line="48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中标企业未征得采购人同意和谅解而单方面延迟服务期，将按违约终止合同，并没收其投标保证金。</w:t>
      </w:r>
    </w:p>
    <w:p>
      <w:pPr>
        <w:spacing w:line="48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中标企业遇到可能妨碍按时提供服务的情况，应当及时以书面形式通知采购人，说明原由、拖延的期限等；采购人、招标组织机构在收到通知后，尽快进行情况评估并确定是否通过修改合同，酌情延长托管时间或者通过协商加收误期赔偿金。</w:t>
      </w:r>
    </w:p>
    <w:p>
      <w:pPr>
        <w:spacing w:line="48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3.项目（实施）地点：采购单位指定地点。</w:t>
      </w:r>
    </w:p>
    <w:p>
      <w:pPr>
        <w:spacing w:line="480" w:lineRule="exact"/>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4.付款方式：甲方与乙方签署该合同后，甲方向乙方支付合同总额的40%，服务期满半年完成阶段验收合格后支付30%，服务期满验收合格后支付40%。</w:t>
      </w:r>
    </w:p>
    <w:p>
      <w:pPr>
        <w:spacing w:line="48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5.采购项目执行内容需要调整时，经采购人同意，同时报招标组织机构认可后，可以对相应的内容进行调整，并协商确定价格差额计算方法和负担办法。</w:t>
      </w:r>
    </w:p>
    <w:p>
      <w:pPr>
        <w:spacing w:line="48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7.合同一经签订，不得擅自变更、中止或者终止合同。对确需变更、调整或者中止、终止合同的，应按规定履行相应的手续。</w:t>
      </w:r>
    </w:p>
    <w:p>
      <w:pPr>
        <w:spacing w:line="48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8.违约责任：依据《中华人民共和国民法典》、《中华人民共和国政府采购法》的相关条款规定和本合同约定，中标企业未全面履行合同义务或者发生违约，采购人会同招标组织机构有权终止合同，依法向中标企业进行经济索赔，并报请政府采购监督管理机关依法进行相应的行政处罚。采购人违约的，应当赔偿给中标供应商造成的经济损失。</w:t>
      </w:r>
    </w:p>
    <w:p>
      <w:pPr>
        <w:spacing w:line="480" w:lineRule="exact"/>
        <w:ind w:firstLine="480" w:firstLineChars="200"/>
        <w:textAlignment w:val="baseline"/>
        <w:rPr>
          <w:rFonts w:ascii="宋体" w:hAnsi="宋体" w:eastAsia="宋体" w:cs="宋体"/>
          <w:sz w:val="24"/>
          <w:szCs w:val="24"/>
        </w:rPr>
      </w:pPr>
      <w:r>
        <w:rPr>
          <w:rFonts w:hint="eastAsia" w:ascii="宋体" w:hAnsi="宋体" w:eastAsia="宋体" w:cs="宋体"/>
          <w:sz w:val="24"/>
          <w:szCs w:val="24"/>
        </w:rPr>
        <w:t>9.其它（根据《中华人民共和国民法典》和磋商项目实际情况，采购人和成交供应商协商拟定）。</w:t>
      </w:r>
    </w:p>
    <w:p>
      <w:pPr>
        <w:pStyle w:val="40"/>
        <w:keepNext w:val="0"/>
        <w:keepLines w:val="0"/>
        <w:pageBreakBefore w:val="0"/>
        <w:widowControl w:val="0"/>
        <w:numPr>
          <w:ilvl w:val="0"/>
          <w:numId w:val="0"/>
        </w:numPr>
        <w:tabs>
          <w:tab w:val="left" w:pos="1313"/>
        </w:tabs>
        <w:kinsoku/>
        <w:wordWrap/>
        <w:overflowPunct/>
        <w:topLinePunct w:val="0"/>
        <w:autoSpaceDE w:val="0"/>
        <w:autoSpaceDN w:val="0"/>
        <w:bidi w:val="0"/>
        <w:adjustRightInd/>
        <w:snapToGrid/>
        <w:spacing w:before="0" w:after="0" w:line="600" w:lineRule="exact"/>
        <w:ind w:left="0" w:leftChars="0" w:right="0" w:rightChars="0" w:firstLine="562" w:firstLineChars="200"/>
        <w:jc w:val="both"/>
        <w:textAlignment w:val="auto"/>
        <w:rPr>
          <w:rFonts w:hint="eastAsia"/>
          <w:b/>
          <w:bCs/>
          <w:sz w:val="28"/>
          <w:szCs w:val="28"/>
          <w:highlight w:val="none"/>
          <w:lang w:val="en-US" w:eastAsia="zh-CN"/>
        </w:rPr>
      </w:pPr>
      <w:r>
        <w:rPr>
          <w:rFonts w:hint="eastAsia"/>
          <w:b/>
          <w:bCs/>
          <w:sz w:val="28"/>
          <w:szCs w:val="28"/>
          <w:highlight w:val="none"/>
          <w:lang w:val="en-US" w:eastAsia="zh-CN"/>
        </w:rPr>
        <w:t>注：以上拟签订合同主要条款仅供参考，终以甲乙双方实际协商签定合同为准。</w:t>
      </w:r>
    </w:p>
    <w:p>
      <w:pPr>
        <w:pStyle w:val="3"/>
        <w:pageBreakBefore/>
        <w:numPr>
          <w:ilvl w:val="0"/>
          <w:numId w:val="1"/>
        </w:numPr>
        <w:spacing w:before="120" w:beforeLines="50" w:after="120" w:afterLines="50" w:line="360" w:lineRule="auto"/>
        <w:jc w:val="center"/>
        <w:rPr>
          <w:rFonts w:hint="eastAsia" w:ascii="宋体" w:hAnsi="宋体" w:eastAsia="宋体" w:cs="宋体"/>
          <w:bCs w:val="0"/>
          <w:color w:val="auto"/>
          <w:sz w:val="32"/>
          <w:szCs w:val="32"/>
          <w:highlight w:val="none"/>
        </w:rPr>
      </w:pPr>
      <w:r>
        <w:rPr>
          <w:rFonts w:hint="eastAsia" w:ascii="宋体" w:hAnsi="宋体" w:eastAsia="宋体" w:cs="宋体"/>
          <w:bCs w:val="0"/>
          <w:color w:val="auto"/>
          <w:sz w:val="32"/>
          <w:szCs w:val="32"/>
          <w:highlight w:val="none"/>
        </w:rPr>
        <w:t xml:space="preserve"> 项目采购内容及技术要求</w:t>
      </w:r>
      <w:bookmarkEnd w:id="14"/>
    </w:p>
    <w:p>
      <w:pPr>
        <w:rPr>
          <w:rFonts w:hint="eastAsia" w:ascii="宋体" w:hAnsi="宋体"/>
          <w:b/>
          <w:sz w:val="28"/>
          <w:szCs w:val="28"/>
        </w:rPr>
      </w:pPr>
      <w:r>
        <w:rPr>
          <w:rFonts w:hint="eastAsia" w:ascii="宋体" w:hAnsi="宋体"/>
          <w:b/>
          <w:sz w:val="28"/>
          <w:szCs w:val="28"/>
        </w:rPr>
        <w:t>一．</w:t>
      </w:r>
      <w:r>
        <w:rPr>
          <w:rFonts w:hint="eastAsia" w:ascii="宋体" w:hAnsi="宋体"/>
          <w:b/>
          <w:sz w:val="28"/>
          <w:szCs w:val="28"/>
          <w:lang w:val="en-US" w:eastAsia="zh-CN"/>
        </w:rPr>
        <w:t>服务</w:t>
      </w:r>
      <w:r>
        <w:rPr>
          <w:rFonts w:hint="eastAsia" w:ascii="宋体" w:hAnsi="宋体"/>
          <w:b/>
          <w:sz w:val="28"/>
          <w:szCs w:val="28"/>
        </w:rPr>
        <w:t>内容</w:t>
      </w:r>
    </w:p>
    <w:p>
      <w:pPr>
        <w:rPr>
          <w:rFonts w:hint="eastAsia" w:ascii="宋体" w:hAnsi="宋体" w:eastAsia="宋体"/>
          <w:sz w:val="24"/>
          <w:lang w:eastAsia="zh-CN"/>
        </w:rPr>
      </w:pPr>
      <w:r>
        <w:rPr>
          <w:rFonts w:hint="eastAsia" w:ascii="宋体" w:hAnsi="宋体"/>
          <w:sz w:val="24"/>
        </w:rPr>
        <w:t>1、名称：</w:t>
      </w:r>
      <w:r>
        <w:rPr>
          <w:rFonts w:hint="eastAsia" w:ascii="宋体" w:hAnsi="宋体"/>
          <w:sz w:val="24"/>
          <w:lang w:eastAsia="zh-CN"/>
        </w:rPr>
        <w:t>榆林市行政审批服务局网络运维服务</w:t>
      </w:r>
    </w:p>
    <w:p>
      <w:pPr>
        <w:rPr>
          <w:rFonts w:hint="eastAsia" w:ascii="宋体" w:hAnsi="宋体" w:eastAsia="宋体"/>
          <w:sz w:val="24"/>
          <w:lang w:eastAsia="zh-CN"/>
        </w:rPr>
      </w:pPr>
      <w:r>
        <w:rPr>
          <w:rFonts w:hint="eastAsia" w:ascii="宋体" w:hAnsi="宋体"/>
          <w:sz w:val="24"/>
        </w:rPr>
        <w:t>2、服务期：</w:t>
      </w:r>
      <w:r>
        <w:rPr>
          <w:rFonts w:hint="eastAsia" w:ascii="宋体" w:hAnsi="宋体"/>
          <w:sz w:val="24"/>
          <w:lang w:val="en-US" w:eastAsia="zh-CN"/>
        </w:rPr>
        <w:t>一</w:t>
      </w:r>
      <w:r>
        <w:rPr>
          <w:rFonts w:hint="eastAsia" w:ascii="宋体" w:hAnsi="宋体"/>
          <w:sz w:val="24"/>
        </w:rPr>
        <w:t>年</w:t>
      </w:r>
      <w:r>
        <w:rPr>
          <w:rFonts w:hint="eastAsia" w:ascii="宋体" w:hAnsi="宋体"/>
          <w:sz w:val="24"/>
          <w:lang w:eastAsia="zh-CN"/>
        </w:rPr>
        <w:t>（</w:t>
      </w:r>
      <w:r>
        <w:rPr>
          <w:rFonts w:hint="eastAsia" w:ascii="宋体" w:hAnsi="宋体"/>
          <w:sz w:val="24"/>
          <w:lang w:val="en-US" w:eastAsia="zh-CN"/>
        </w:rPr>
        <w:t>365*24</w:t>
      </w:r>
      <w:r>
        <w:rPr>
          <w:rFonts w:hint="eastAsia" w:ascii="宋体" w:hAnsi="宋体"/>
          <w:sz w:val="24"/>
          <w:lang w:eastAsia="zh-CN"/>
        </w:rPr>
        <w:t>）</w:t>
      </w:r>
    </w:p>
    <w:p>
      <w:pPr>
        <w:rPr>
          <w:rFonts w:hint="default" w:ascii="宋体" w:hAnsi="宋体" w:eastAsia="宋体"/>
          <w:sz w:val="24"/>
          <w:lang w:val="en-US" w:eastAsia="zh-CN"/>
        </w:rPr>
      </w:pPr>
      <w:r>
        <w:rPr>
          <w:rFonts w:hint="eastAsia" w:ascii="宋体" w:hAnsi="宋体"/>
          <w:sz w:val="24"/>
        </w:rPr>
        <w:t>3、服务地点：</w:t>
      </w:r>
      <w:r>
        <w:rPr>
          <w:rFonts w:hint="eastAsia" w:ascii="宋体" w:hAnsi="宋体"/>
          <w:sz w:val="24"/>
          <w:lang w:val="en-US" w:eastAsia="zh-CN"/>
        </w:rPr>
        <w:t>榆林市政务服务中心</w:t>
      </w:r>
    </w:p>
    <w:p>
      <w:pPr>
        <w:rPr>
          <w:rFonts w:ascii="宋体" w:hAnsi="宋体"/>
          <w:b/>
          <w:color w:val="auto"/>
          <w:sz w:val="28"/>
          <w:szCs w:val="28"/>
        </w:rPr>
      </w:pPr>
      <w:r>
        <w:rPr>
          <w:rFonts w:hint="eastAsia" w:ascii="宋体" w:hAnsi="宋体"/>
          <w:b/>
          <w:color w:val="auto"/>
          <w:sz w:val="28"/>
          <w:szCs w:val="28"/>
        </w:rPr>
        <w:t>二．技术要求</w:t>
      </w:r>
      <w:bookmarkStart w:id="16" w:name="_Toc328399969"/>
      <w:bookmarkStart w:id="17" w:name="_Toc445979632"/>
      <w:bookmarkStart w:id="18" w:name="_Toc445979531"/>
      <w:bookmarkStart w:id="19" w:name="_Toc476327197"/>
    </w:p>
    <w:p>
      <w:pPr>
        <w:spacing w:line="360" w:lineRule="auto"/>
        <w:rPr>
          <w:rFonts w:ascii="宋体" w:hAnsi="宋体"/>
          <w:b/>
          <w:color w:val="auto"/>
          <w:sz w:val="28"/>
          <w:szCs w:val="28"/>
        </w:rPr>
      </w:pPr>
      <w:r>
        <w:rPr>
          <w:rFonts w:hint="eastAsia" w:ascii="宋体" w:hAnsi="宋体"/>
          <w:b/>
          <w:color w:val="auto"/>
          <w:sz w:val="24"/>
        </w:rPr>
        <w:t>（一）运维服务概述</w:t>
      </w:r>
      <w:bookmarkEnd w:id="16"/>
      <w:bookmarkEnd w:id="17"/>
      <w:bookmarkEnd w:id="18"/>
      <w:bookmarkEnd w:id="19"/>
    </w:p>
    <w:p>
      <w:pPr>
        <w:spacing w:line="360" w:lineRule="auto"/>
        <w:ind w:firstLine="480" w:firstLineChars="200"/>
        <w:rPr>
          <w:rFonts w:ascii="宋体" w:hAnsi="宋体"/>
          <w:color w:val="auto"/>
          <w:sz w:val="24"/>
        </w:rPr>
      </w:pPr>
      <w:r>
        <w:rPr>
          <w:rFonts w:hint="eastAsia" w:ascii="宋体" w:hAnsi="宋体"/>
          <w:color w:val="auto"/>
          <w:sz w:val="24"/>
          <w:lang w:val="en-US" w:eastAsia="zh-CN"/>
        </w:rPr>
        <w:t>榆林市</w:t>
      </w:r>
      <w:r>
        <w:rPr>
          <w:rFonts w:hint="eastAsia" w:ascii="宋体" w:hAnsi="宋体"/>
          <w:color w:val="auto"/>
          <w:sz w:val="24"/>
        </w:rPr>
        <w:t>政务</w:t>
      </w:r>
      <w:r>
        <w:rPr>
          <w:rFonts w:hint="eastAsia" w:ascii="宋体" w:hAnsi="宋体"/>
          <w:color w:val="auto"/>
          <w:sz w:val="24"/>
          <w:lang w:val="en-US" w:eastAsia="zh-CN"/>
        </w:rPr>
        <w:t>服务</w:t>
      </w:r>
      <w:r>
        <w:rPr>
          <w:rFonts w:hint="eastAsia" w:ascii="宋体" w:hAnsi="宋体"/>
          <w:color w:val="auto"/>
          <w:sz w:val="24"/>
        </w:rPr>
        <w:t>中心，</w:t>
      </w:r>
      <w:r>
        <w:rPr>
          <w:rFonts w:hint="eastAsia" w:ascii="宋体" w:hAnsi="宋体"/>
          <w:color w:val="auto"/>
          <w:sz w:val="24"/>
          <w:lang w:val="en-US" w:eastAsia="zh-CN"/>
        </w:rPr>
        <w:t>主要系统包括：大楼1层2层、3层、5层、6层、7层监控系统、大楼无线AP网络、LED显示系统、PC终端设备、信息发布系统、机房动环监测系统、UPS系统、核心机房数通设备。</w:t>
      </w:r>
      <w:r>
        <w:rPr>
          <w:rFonts w:hint="eastAsia" w:ascii="宋体" w:hAnsi="宋体"/>
          <w:color w:val="auto"/>
          <w:sz w:val="24"/>
        </w:rPr>
        <w:t>由于楼宇各设备及软件厂商服务的局限性，项目建设中涉及的各产品厂商只能提供对自身产品的保修服务或对自身产品的基本安装服务，无法根据各单位的实际需求进行面向系统整体功能和应用需求的详尽设计和联调，无法保证专业、安全、高效稳定运行；</w:t>
      </w:r>
      <w:r>
        <w:rPr>
          <w:rFonts w:hint="eastAsia" w:ascii="宋体" w:hAnsi="宋体"/>
          <w:color w:val="auto"/>
          <w:sz w:val="24"/>
          <w:lang w:val="en-US" w:eastAsia="zh-CN"/>
        </w:rPr>
        <w:t>现</w:t>
      </w:r>
      <w:r>
        <w:rPr>
          <w:rFonts w:hint="eastAsia" w:ascii="宋体" w:hAnsi="宋体"/>
          <w:color w:val="auto"/>
          <w:sz w:val="24"/>
        </w:rPr>
        <w:t>需专业的运维服务提供商全面整合各设备及软件，遵循IT运维服务管理和IT运维服务信息安全管理的标准，按照统一的服务管理流程，为</w:t>
      </w:r>
      <w:r>
        <w:rPr>
          <w:rFonts w:hint="eastAsia" w:ascii="宋体" w:hAnsi="宋体"/>
          <w:color w:val="auto"/>
          <w:sz w:val="24"/>
          <w:lang w:val="en-US" w:eastAsia="zh-CN"/>
        </w:rPr>
        <w:t>政务服务中心</w:t>
      </w:r>
      <w:r>
        <w:rPr>
          <w:rFonts w:hint="eastAsia" w:ascii="宋体" w:hAnsi="宋体"/>
          <w:color w:val="auto"/>
          <w:sz w:val="24"/>
        </w:rPr>
        <w:t>提供专业、高效、安全、统一的运维服务。</w:t>
      </w:r>
      <w:bookmarkStart w:id="20" w:name="_Toc476327296"/>
      <w:bookmarkStart w:id="21" w:name="_Toc328399976"/>
    </w:p>
    <w:bookmarkEnd w:id="20"/>
    <w:p>
      <w:pPr>
        <w:numPr>
          <w:ilvl w:val="0"/>
          <w:numId w:val="2"/>
        </w:numPr>
        <w:spacing w:line="360" w:lineRule="auto"/>
        <w:rPr>
          <w:rFonts w:hint="eastAsia" w:ascii="宋体" w:hAnsi="宋体"/>
          <w:b/>
          <w:sz w:val="24"/>
        </w:rPr>
      </w:pPr>
      <w:r>
        <w:rPr>
          <w:rFonts w:hint="eastAsia" w:ascii="宋体" w:hAnsi="宋体"/>
          <w:b/>
          <w:sz w:val="24"/>
        </w:rPr>
        <w:t>运维服务要求</w:t>
      </w:r>
    </w:p>
    <w:p>
      <w:pPr>
        <w:numPr>
          <w:ilvl w:val="0"/>
          <w:numId w:val="3"/>
        </w:numPr>
        <w:spacing w:line="360" w:lineRule="auto"/>
        <w:ind w:firstLine="200"/>
        <w:rPr>
          <w:rFonts w:hint="eastAsia" w:ascii="宋体" w:hAnsi="宋体"/>
          <w:sz w:val="24"/>
          <w:highlight w:val="none"/>
        </w:rPr>
      </w:pPr>
      <w:r>
        <w:rPr>
          <w:rFonts w:hint="eastAsia" w:ascii="宋体" w:hAnsi="宋体"/>
          <w:sz w:val="24"/>
        </w:rPr>
        <w:t>运维内容：</w:t>
      </w:r>
      <w:r>
        <w:rPr>
          <w:rFonts w:hint="eastAsia" w:ascii="宋体" w:hAnsi="宋体"/>
          <w:sz w:val="24"/>
          <w:lang w:val="en-US" w:eastAsia="zh-CN"/>
        </w:rPr>
        <w:t>数据中心供配电系统、数据中心信息化系统、全部信息化终端设备、数据库及虚拟</w:t>
      </w:r>
      <w:r>
        <w:rPr>
          <w:rFonts w:hint="eastAsia" w:ascii="宋体" w:hAnsi="宋体"/>
          <w:sz w:val="24"/>
          <w:highlight w:val="none"/>
          <w:lang w:val="en-US" w:eastAsia="zh-CN"/>
        </w:rPr>
        <w:t>化系统、灾备业务系统、存储系统</w:t>
      </w:r>
    </w:p>
    <w:p>
      <w:pPr>
        <w:numPr>
          <w:ilvl w:val="0"/>
          <w:numId w:val="3"/>
        </w:numPr>
        <w:spacing w:line="360" w:lineRule="auto"/>
        <w:ind w:firstLine="200"/>
        <w:rPr>
          <w:rFonts w:hint="eastAsia" w:ascii="宋体" w:hAnsi="宋体" w:eastAsia="宋体"/>
          <w:sz w:val="24"/>
          <w:highlight w:val="none"/>
          <w:lang w:eastAsia="zh-CN"/>
        </w:rPr>
      </w:pPr>
      <w:r>
        <w:rPr>
          <w:rFonts w:hint="eastAsia" w:ascii="宋体" w:hAnsi="宋体"/>
          <w:sz w:val="24"/>
          <w:highlight w:val="none"/>
        </w:rPr>
        <w:t>运维</w:t>
      </w:r>
      <w:r>
        <w:rPr>
          <w:rFonts w:hint="eastAsia" w:ascii="宋体" w:hAnsi="宋体"/>
          <w:sz w:val="24"/>
          <w:highlight w:val="none"/>
          <w:lang w:val="en-US" w:eastAsia="zh-CN"/>
        </w:rPr>
        <w:t>常</w:t>
      </w:r>
      <w:r>
        <w:rPr>
          <w:rFonts w:hint="eastAsia" w:ascii="宋体" w:hAnsi="宋体"/>
          <w:sz w:val="24"/>
          <w:highlight w:val="none"/>
        </w:rPr>
        <w:t>驻人员</w:t>
      </w:r>
      <w:r>
        <w:rPr>
          <w:rFonts w:hint="eastAsia" w:ascii="宋体" w:hAnsi="宋体"/>
          <w:sz w:val="24"/>
          <w:highlight w:val="none"/>
          <w:lang w:val="en-US" w:eastAsia="zh-CN"/>
        </w:rPr>
        <w:t>6名</w:t>
      </w:r>
      <w:r>
        <w:rPr>
          <w:rFonts w:hint="eastAsia" w:ascii="宋体" w:hAnsi="宋体"/>
          <w:sz w:val="24"/>
          <w:highlight w:val="none"/>
          <w:lang w:eastAsia="zh-CN"/>
        </w:rPr>
        <w:t>。</w:t>
      </w:r>
    </w:p>
    <w:p>
      <w:pPr>
        <w:spacing w:line="360" w:lineRule="auto"/>
        <w:ind w:firstLine="200"/>
        <w:rPr>
          <w:rFonts w:ascii="宋体" w:hAnsi="宋体"/>
          <w:sz w:val="24"/>
        </w:rPr>
      </w:pPr>
      <w:r>
        <w:rPr>
          <w:rFonts w:hint="eastAsia" w:ascii="宋体" w:hAnsi="宋体"/>
          <w:sz w:val="24"/>
          <w:lang w:val="en-US" w:eastAsia="zh-CN"/>
        </w:rPr>
        <w:t>3</w:t>
      </w:r>
      <w:r>
        <w:rPr>
          <w:rFonts w:hint="eastAsia" w:ascii="宋体" w:hAnsi="宋体"/>
          <w:sz w:val="24"/>
        </w:rPr>
        <w:t>、运维服务要求：</w:t>
      </w:r>
    </w:p>
    <w:p>
      <w:pPr>
        <w:spacing w:line="360" w:lineRule="auto"/>
        <w:ind w:firstLine="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）需实施严格流程管理，现场设常驻维保人员，建立完整的值班制度和维修保养规则，值班人员应认真监测系统运行状况，随时记录异常情况，及时报修。</w:t>
      </w:r>
      <w:r>
        <w:rPr>
          <w:rFonts w:ascii="宋体" w:hAnsi="宋体"/>
          <w:sz w:val="24"/>
        </w:rPr>
        <w:t xml:space="preserve"> </w:t>
      </w:r>
    </w:p>
    <w:p>
      <w:pPr>
        <w:spacing w:line="360" w:lineRule="auto"/>
        <w:ind w:firstLine="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）需按国家有关规范和要求规定配备专业人员对弱电、网络、视频监控系统定期检查，测试，保养，维修，确保设备正常运行。</w:t>
      </w:r>
      <w:r>
        <w:rPr>
          <w:rFonts w:ascii="宋体" w:hAnsi="宋体"/>
          <w:sz w:val="24"/>
        </w:rPr>
        <w:t xml:space="preserve"> </w:t>
      </w:r>
    </w:p>
    <w:p>
      <w:pPr>
        <w:spacing w:line="360" w:lineRule="auto"/>
        <w:ind w:firstLine="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）每天须进行巡检。并填写巡检记录，发现故障及时排除或修复，并作为考核维保工作的依据。</w:t>
      </w:r>
      <w:r>
        <w:rPr>
          <w:rFonts w:ascii="宋体" w:hAnsi="宋体"/>
          <w:sz w:val="24"/>
        </w:rPr>
        <w:t xml:space="preserve">  </w:t>
      </w:r>
    </w:p>
    <w:p>
      <w:pPr>
        <w:spacing w:line="360" w:lineRule="auto"/>
        <w:ind w:firstLine="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）须提供</w:t>
      </w:r>
      <w:r>
        <w:rPr>
          <w:rFonts w:ascii="宋体" w:hAnsi="宋体"/>
          <w:sz w:val="24"/>
        </w:rPr>
        <w:t>24</w:t>
      </w:r>
      <w:r>
        <w:rPr>
          <w:rFonts w:hint="eastAsia" w:ascii="宋体" w:hAnsi="宋体"/>
          <w:sz w:val="24"/>
        </w:rPr>
        <w:t>小时维保电话，</w:t>
      </w:r>
      <w:r>
        <w:rPr>
          <w:rFonts w:ascii="宋体" w:hAnsi="宋体"/>
          <w:sz w:val="24"/>
        </w:rPr>
        <w:t>365</w:t>
      </w:r>
      <w:r>
        <w:rPr>
          <w:rFonts w:hint="eastAsia" w:ascii="宋体" w:hAnsi="宋体"/>
          <w:sz w:val="24"/>
        </w:rPr>
        <w:t>天随时接受采购人的服务请求；接到采购人服务请求后，现场驻地人员及时现场维护，若仍未解决，将会派专业工程师</w:t>
      </w:r>
      <w:r>
        <w:rPr>
          <w:rFonts w:ascii="宋体" w:hAnsi="宋体"/>
          <w:sz w:val="24"/>
        </w:rPr>
        <w:t>2</w:t>
      </w:r>
      <w:r>
        <w:rPr>
          <w:rFonts w:hint="eastAsia" w:ascii="宋体" w:hAnsi="宋体"/>
          <w:sz w:val="24"/>
        </w:rPr>
        <w:t>小时内到达现场。</w:t>
      </w:r>
      <w:r>
        <w:rPr>
          <w:rFonts w:ascii="宋体" w:hAnsi="宋体"/>
          <w:sz w:val="24"/>
        </w:rPr>
        <w:t xml:space="preserve"> </w:t>
      </w:r>
    </w:p>
    <w:p>
      <w:pPr>
        <w:spacing w:line="360" w:lineRule="auto"/>
        <w:ind w:firstLine="200"/>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）工程师对故障进行诊断后，按紧急程度不同划分，最迟在</w:t>
      </w:r>
      <w:r>
        <w:rPr>
          <w:rFonts w:hint="eastAsia" w:ascii="宋体" w:hAnsi="宋体"/>
          <w:sz w:val="24"/>
          <w:lang w:val="en-US" w:eastAsia="zh-CN"/>
        </w:rPr>
        <w:t>3</w:t>
      </w:r>
      <w:r>
        <w:rPr>
          <w:rFonts w:hint="eastAsia" w:ascii="宋体" w:hAnsi="宋体"/>
          <w:sz w:val="24"/>
        </w:rPr>
        <w:t>小时内提交解决方案。</w:t>
      </w:r>
      <w:r>
        <w:rPr>
          <w:rFonts w:ascii="宋体" w:hAnsi="宋体"/>
          <w:sz w:val="24"/>
        </w:rPr>
        <w:t xml:space="preserve"> </w:t>
      </w:r>
    </w:p>
    <w:p>
      <w:pPr>
        <w:spacing w:line="360" w:lineRule="auto"/>
        <w:ind w:firstLine="200"/>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）工程师到达现场后需持续工作直到设备正常运行，一般故障应当在</w:t>
      </w:r>
      <w:r>
        <w:rPr>
          <w:rFonts w:hint="eastAsia" w:ascii="宋体" w:hAnsi="宋体"/>
          <w:sz w:val="24"/>
          <w:lang w:val="en-US" w:eastAsia="zh-CN"/>
        </w:rPr>
        <w:t>1</w:t>
      </w:r>
      <w:r>
        <w:rPr>
          <w:rFonts w:hint="eastAsia" w:ascii="宋体" w:hAnsi="宋体"/>
          <w:sz w:val="24"/>
        </w:rPr>
        <w:t>小时内修复；如需等待购买配件或因设备本身等原因不能及时修复的，要立即向采购人报告，并采取相应的应急措施，在此期间，系统中断运行不得超过</w:t>
      </w:r>
      <w:r>
        <w:rPr>
          <w:rFonts w:hint="eastAsia" w:ascii="宋体" w:hAnsi="宋体"/>
          <w:sz w:val="24"/>
          <w:lang w:val="en-US" w:eastAsia="zh-CN"/>
        </w:rPr>
        <w:t>3</w:t>
      </w:r>
      <w:r>
        <w:rPr>
          <w:rFonts w:hint="eastAsia" w:ascii="宋体" w:hAnsi="宋体"/>
          <w:sz w:val="24"/>
        </w:rPr>
        <w:t>小时。</w:t>
      </w:r>
      <w:r>
        <w:rPr>
          <w:rFonts w:ascii="宋体" w:hAnsi="宋体"/>
          <w:sz w:val="24"/>
        </w:rPr>
        <w:t xml:space="preserve"> </w:t>
      </w:r>
    </w:p>
    <w:p>
      <w:pPr>
        <w:spacing w:line="360" w:lineRule="auto"/>
        <w:ind w:firstLine="200"/>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）网络、视频监控系统或弱电设备修复后必须由相关人员确认。</w:t>
      </w:r>
      <w:r>
        <w:rPr>
          <w:rFonts w:ascii="宋体" w:hAnsi="宋体"/>
          <w:sz w:val="24"/>
        </w:rPr>
        <w:t xml:space="preserve"> </w:t>
      </w:r>
    </w:p>
    <w:p>
      <w:pPr>
        <w:spacing w:line="360" w:lineRule="auto"/>
        <w:ind w:firstLine="200"/>
        <w:rPr>
          <w:rFonts w:ascii="宋体" w:hAnsi="宋体"/>
          <w:color w:val="auto"/>
          <w:sz w:val="24"/>
        </w:rPr>
      </w:pPr>
      <w:r>
        <w:rPr>
          <w:rFonts w:hint="eastAsia" w:ascii="宋体" w:hAnsi="宋体"/>
          <w:sz w:val="24"/>
        </w:rPr>
        <w:t>（</w:t>
      </w:r>
      <w:r>
        <w:rPr>
          <w:rFonts w:ascii="宋体" w:hAnsi="宋体"/>
          <w:sz w:val="24"/>
        </w:rPr>
        <w:t>8</w:t>
      </w:r>
      <w:r>
        <w:rPr>
          <w:rFonts w:hint="eastAsia" w:ascii="宋体" w:hAnsi="宋体"/>
          <w:sz w:val="24"/>
        </w:rPr>
        <w:t>）设备更换：弱电、网络、视频监控系统维护保养过程中需购买、更换设备或配件的</w:t>
      </w:r>
      <w:r>
        <w:rPr>
          <w:rFonts w:hint="eastAsia" w:ascii="宋体" w:hAnsi="宋体"/>
          <w:color w:val="auto"/>
          <w:sz w:val="24"/>
          <w:lang w:eastAsia="zh-CN"/>
        </w:rPr>
        <w:t>（</w:t>
      </w:r>
      <w:r>
        <w:rPr>
          <w:rFonts w:hint="eastAsia" w:ascii="宋体" w:hAnsi="宋体"/>
          <w:color w:val="auto"/>
          <w:sz w:val="24"/>
          <w:lang w:val="en-US" w:eastAsia="zh-CN"/>
        </w:rPr>
        <w:t>已采购的备品备件除外</w:t>
      </w:r>
      <w:r>
        <w:rPr>
          <w:rFonts w:hint="eastAsia" w:ascii="宋体" w:hAnsi="宋体"/>
          <w:color w:val="auto"/>
          <w:sz w:val="24"/>
          <w:lang w:eastAsia="zh-CN"/>
        </w:rPr>
        <w:t>）</w:t>
      </w:r>
      <w:r>
        <w:rPr>
          <w:rFonts w:hint="eastAsia" w:ascii="宋体" w:hAnsi="宋体"/>
          <w:color w:val="auto"/>
          <w:sz w:val="24"/>
        </w:rPr>
        <w:t>，单批次在人民币</w:t>
      </w:r>
      <w:r>
        <w:rPr>
          <w:rFonts w:hint="eastAsia" w:ascii="宋体" w:hAnsi="宋体"/>
          <w:color w:val="auto"/>
          <w:sz w:val="24"/>
          <w:lang w:val="en-US" w:eastAsia="zh-CN"/>
        </w:rPr>
        <w:t>2</w:t>
      </w:r>
      <w:r>
        <w:rPr>
          <w:rFonts w:ascii="宋体" w:hAnsi="宋体"/>
          <w:color w:val="auto"/>
          <w:sz w:val="24"/>
        </w:rPr>
        <w:t>000</w:t>
      </w:r>
      <w:r>
        <w:rPr>
          <w:rFonts w:hint="eastAsia" w:ascii="宋体" w:hAnsi="宋体"/>
          <w:color w:val="auto"/>
          <w:sz w:val="24"/>
        </w:rPr>
        <w:t>元以下的零部件由</w:t>
      </w:r>
      <w:r>
        <w:rPr>
          <w:rFonts w:hint="eastAsia" w:ascii="宋体" w:hAnsi="宋体"/>
          <w:color w:val="auto"/>
          <w:sz w:val="24"/>
          <w:lang w:eastAsia="zh-CN"/>
        </w:rPr>
        <w:t>投标</w:t>
      </w:r>
      <w:r>
        <w:rPr>
          <w:rFonts w:hint="eastAsia" w:ascii="宋体" w:hAnsi="宋体"/>
          <w:color w:val="auto"/>
          <w:sz w:val="24"/>
        </w:rPr>
        <w:t>人承担费用。</w:t>
      </w:r>
    </w:p>
    <w:p>
      <w:pPr>
        <w:spacing w:line="360" w:lineRule="auto"/>
        <w:ind w:firstLine="200"/>
        <w:rPr>
          <w:rFonts w:hint="default" w:ascii="宋体" w:hAnsi="宋体"/>
          <w:color w:val="0000FF"/>
          <w:sz w:val="24"/>
          <w:lang w:val="en-US" w:eastAsia="zh-CN"/>
        </w:rPr>
      </w:pPr>
      <w:r>
        <w:rPr>
          <w:rFonts w:hint="eastAsia" w:ascii="宋体" w:hAnsi="宋体"/>
          <w:color w:val="auto"/>
          <w:sz w:val="24"/>
        </w:rPr>
        <w:t>（</w:t>
      </w:r>
      <w:r>
        <w:rPr>
          <w:rFonts w:hint="eastAsia" w:ascii="宋体" w:hAnsi="宋体"/>
          <w:color w:val="auto"/>
          <w:sz w:val="24"/>
          <w:lang w:val="en-US" w:eastAsia="zh-CN"/>
        </w:rPr>
        <w:t>9</w:t>
      </w:r>
      <w:r>
        <w:rPr>
          <w:rFonts w:hint="eastAsia" w:ascii="宋体" w:hAnsi="宋体"/>
          <w:color w:val="auto"/>
          <w:sz w:val="24"/>
        </w:rPr>
        <w:t>）</w:t>
      </w:r>
      <w:r>
        <w:rPr>
          <w:rFonts w:hint="eastAsia" w:ascii="宋体" w:hAnsi="宋体"/>
          <w:color w:val="auto"/>
          <w:sz w:val="24"/>
          <w:lang w:val="en-US" w:eastAsia="zh-CN"/>
        </w:rPr>
        <w:t>重要设备易损备品备件的备货：市政务服务中心系统已运行3年之久，所有设备已脱离原厂质保，部分设备损坏率高，现需要将监控系统、无线网络系统、网络交换机、灾备一体机等系统提供备品备件。</w:t>
      </w:r>
    </w:p>
    <w:p>
      <w:pPr>
        <w:rPr>
          <w:rFonts w:hint="eastAsia" w:ascii="宋体" w:hAnsi="宋体"/>
          <w:sz w:val="24"/>
        </w:rPr>
      </w:pPr>
      <w:r>
        <w:rPr>
          <w:rFonts w:hint="eastAsia" w:ascii="宋体" w:hAnsi="宋体"/>
          <w:sz w:val="24"/>
        </w:rPr>
        <w:br w:type="page"/>
      </w:r>
    </w:p>
    <w:p>
      <w:pPr>
        <w:numPr>
          <w:ilvl w:val="0"/>
          <w:numId w:val="4"/>
        </w:numPr>
        <w:spacing w:line="360" w:lineRule="auto"/>
        <w:ind w:left="-30" w:leftChars="0" w:firstLine="240" w:firstLineChars="0"/>
        <w:rPr>
          <w:rFonts w:hint="eastAsia" w:ascii="宋体" w:hAnsi="宋体"/>
          <w:sz w:val="24"/>
        </w:rPr>
      </w:pPr>
      <w:r>
        <w:rPr>
          <w:rFonts w:hint="eastAsia" w:ascii="宋体" w:hAnsi="宋体"/>
          <w:sz w:val="24"/>
        </w:rPr>
        <w:t>运维服务内容清单详见下表：</w:t>
      </w:r>
      <w:bookmarkEnd w:id="21"/>
    </w:p>
    <w:tbl>
      <w:tblPr>
        <w:tblStyle w:val="20"/>
        <w:tblW w:w="51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369"/>
        <w:gridCol w:w="4326"/>
        <w:gridCol w:w="919"/>
        <w:gridCol w:w="91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577" w:type="pct"/>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lang w:val="en-US" w:eastAsia="zh-CN"/>
              </w:rPr>
              <w:t>一</w:t>
            </w:r>
            <w:r>
              <w:rPr>
                <w:rFonts w:hint="eastAsia" w:ascii="宋体" w:hAnsi="宋体"/>
                <w:color w:val="auto"/>
                <w:sz w:val="24"/>
              </w:rPr>
              <w:t>、部位：1F</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序号</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单位</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数量</w:t>
            </w:r>
          </w:p>
        </w:tc>
        <w:tc>
          <w:tcPr>
            <w:tcW w:w="42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1U理线架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PAL2011</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78</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24 口网络配线架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PJ2016E-24</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51</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24G光纤配线架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PFD11024LC</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30</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110配线架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PDR1015E-100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交换机</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H3C S5130/SB160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30</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UPS配电箱</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400*300*150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PDU</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30A开关电源</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9</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网络机柜</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600*600*2000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10</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200万像素监控探头（含支架）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DS-2CD2125MFY-VIM</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45</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11</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人脸识别摄像机(含电源，支架）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DS-2CD7627FWD/F-YLM</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12</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信息发布屏（含支架）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LC-22/LC-32</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23</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壁挂音响</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MK-2250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14</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LED屏及其配套设备</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室内PH3全彩</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平米</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20.64</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15</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红外双鉴探测器</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DS-1T21DN-B</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紧急求救按钮</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DS-1T710N</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声光报警器</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HC-103</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18</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巡更按钮</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EM2</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19</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室内全向天线及其配件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CB-ANT-400-N</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20</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DDC箱及其设备</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环境监测探头（一氧化碳， 一.氣化碳，温湿度.PM2.5)</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GW-R-C0/GW-R-C02 C0W4.AA/GW-R-PM2. 5</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28</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22</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智能照明控制模块</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DRC420FTR/DDRC1220FR-GL-  V2</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23</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无线AP</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H3C WA4330-CAN/H3C WA4320H</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24</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网络面板（单口）</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PB3086-01</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25</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网络面板（双口）</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olor w:val="auto"/>
                <w:sz w:val="24"/>
                <w:lang w:val="en-US" w:eastAsia="zh-CN"/>
              </w:rPr>
            </w:pPr>
            <w:r>
              <w:rPr>
                <w:rFonts w:hint="eastAsia" w:ascii="宋体" w:hAnsi="宋体"/>
                <w:color w:val="auto"/>
                <w:sz w:val="24"/>
                <w:lang w:val="en-US" w:eastAsia="zh-CN"/>
              </w:rPr>
              <w:t>/</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441</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地插</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PHD1102C</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48</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有线电视面板</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olor w:val="auto"/>
                <w:sz w:val="24"/>
                <w:lang w:val="en-US" w:eastAsia="zh-CN"/>
              </w:rPr>
            </w:pPr>
            <w:r>
              <w:rPr>
                <w:rFonts w:hint="eastAsia" w:ascii="宋体" w:hAnsi="宋体"/>
                <w:color w:val="auto"/>
                <w:sz w:val="24"/>
                <w:lang w:val="en-US" w:eastAsia="zh-CN"/>
              </w:rPr>
              <w:t>/</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577" w:type="pct"/>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lang w:val="en-US" w:eastAsia="zh-CN"/>
              </w:rPr>
              <w:t>二</w:t>
            </w:r>
            <w:r>
              <w:rPr>
                <w:rFonts w:hint="eastAsia" w:ascii="宋体" w:hAnsi="宋体"/>
                <w:color w:val="auto"/>
                <w:sz w:val="24"/>
              </w:rPr>
              <w:t>、部位：2F</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序号</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单位</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数量</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1U理线架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PAL2011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95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口网络适配架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PJ2016E-24</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76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口光纤配线箱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PF011024LC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110配线架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PDR1015E-100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S5130/S5160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UPS配电箱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400*300*150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PDU</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30A开关电源</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网络机柜</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600*600*2000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200万像素监控探头（含支架）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DS-2CD2125MFY-VIM</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人脸识别摄像机(含电源.支架）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DS-2CD7627FWD/F-YLM</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信息发布屏（含支架）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LC-22/LC-32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无</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红外双鉴探测器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DS-1T21DN-B</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紧急求救按钮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DS-1T710N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声光报警器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HC-103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巡更按钮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EM2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室内全向天线及其配件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CB-ANT-400-N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DDC箱及其设备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19</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环境监测探头（一氧化碳， 二氧化碳.温湿度.PM2.5)</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GW R-C0/GW-R-C02 C0W4. AA/GW-R-PM2.5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智能照明控制模块</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DRC420FTR/DDRC1220FR-GL-V2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无线AP</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WA4330-CAN/H3C  WA4320H</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19</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网络面板（单口)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网络面板（双口）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675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地插</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PHD1102C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有线电视面板</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olor w:val="auto"/>
                <w:sz w:val="24"/>
                <w:lang w:val="en-US" w:eastAsia="zh-CN"/>
              </w:rPr>
            </w:pPr>
            <w:r>
              <w:rPr>
                <w:rFonts w:hint="eastAsia" w:ascii="宋体" w:hAnsi="宋体"/>
                <w:color w:val="auto"/>
                <w:sz w:val="24"/>
                <w:lang w:val="en-US" w:eastAsia="zh-CN"/>
              </w:rPr>
              <w:t>/</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4577" w:type="pct"/>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lang w:val="en-US" w:eastAsia="zh-CN"/>
              </w:rPr>
              <w:t>三</w:t>
            </w:r>
            <w:r>
              <w:rPr>
                <w:rFonts w:hint="eastAsia" w:ascii="宋体" w:hAnsi="宋体"/>
                <w:color w:val="auto"/>
                <w:sz w:val="24"/>
              </w:rPr>
              <w:t>、部位：3F</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序号</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单位</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数量</w:t>
            </w:r>
          </w:p>
        </w:tc>
        <w:tc>
          <w:tcPr>
            <w:tcW w:w="422"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1U理线架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PAL2011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99</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口网络适配架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PJ2016E-24</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75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口光纤配线箱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PF011024LC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110配线架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PDR1015E-100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S5130/S5160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UPS配电箱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400*300*150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PDU</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30A开关电源</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网络机柜</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600*600*2000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200万像素监控探头（含支架）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rPr>
            </w:pPr>
            <w:r>
              <w:rPr>
                <w:rFonts w:hint="eastAsia" w:ascii="宋体" w:hAnsi="宋体"/>
                <w:color w:val="auto"/>
                <w:sz w:val="24"/>
              </w:rPr>
              <w:t>DS-2CD2125MFY-VIM</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人脸识别摄像机(含电源.支架）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rPr>
            </w:pPr>
            <w:r>
              <w:rPr>
                <w:rFonts w:hint="eastAsia" w:ascii="宋体" w:hAnsi="宋体"/>
                <w:color w:val="auto"/>
                <w:sz w:val="24"/>
              </w:rPr>
              <w:t>DS-2CD7627FWD/F-YLM</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信息发布屏（含支架）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olor w:val="auto"/>
                <w:sz w:val="24"/>
              </w:rPr>
            </w:pPr>
            <w:r>
              <w:rPr>
                <w:rFonts w:hint="eastAsia" w:ascii="宋体" w:hAnsi="宋体"/>
                <w:color w:val="auto"/>
                <w:sz w:val="24"/>
              </w:rPr>
              <w:t>LC-22/LC-32</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无</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红外双鉴探测器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DS-1T21DN-B</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紧急求救按钮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DS-1T710N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声光报警器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HC-103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巡更按钮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EM2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室内全向天线及其配件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rPr>
            </w:pPr>
            <w:r>
              <w:rPr>
                <w:rFonts w:hint="eastAsia" w:ascii="宋体" w:hAnsi="宋体"/>
                <w:color w:val="auto"/>
                <w:sz w:val="24"/>
              </w:rPr>
              <w:t>CB-ANT-400-N</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DDC箱及其设备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eastAsia="zh-CN"/>
              </w:rPr>
            </w:pPr>
            <w:r>
              <w:rPr>
                <w:rFonts w:hint="eastAsia" w:ascii="宋体" w:hAnsi="宋体"/>
                <w:color w:val="auto"/>
                <w:sz w:val="24"/>
                <w:lang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19</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环境监测探头（一氧化碳， 二氧化碳.温湿度.PM2.5)</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olor w:val="auto"/>
                <w:sz w:val="24"/>
              </w:rPr>
            </w:pPr>
            <w:r>
              <w:rPr>
                <w:rFonts w:hint="eastAsia" w:ascii="宋体" w:hAnsi="宋体"/>
                <w:color w:val="auto"/>
                <w:sz w:val="24"/>
              </w:rPr>
              <w:t>GW R-C0/GW-R-C02 C0W4. AA/GW-R-PM2.5</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智能照明控制模块</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DRC420FTR/DDRC1220FR-GL-V2</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无线AP</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WA4330-CAN/H3C  WA4320H</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网络面板（单口)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网络面板（双口）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670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地插</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PHD1102C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54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有线电视面板</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default" w:ascii="宋体" w:hAnsi="宋体" w:eastAsia="宋体"/>
                <w:color w:val="auto"/>
                <w:sz w:val="24"/>
                <w:lang w:val="en-US" w:eastAsia="zh-CN"/>
              </w:rPr>
            </w:pPr>
            <w:r>
              <w:rPr>
                <w:rFonts w:hint="eastAsia" w:ascii="宋体" w:hAnsi="宋体"/>
                <w:color w:val="auto"/>
                <w:sz w:val="24"/>
                <w:lang w:val="en-US" w:eastAsia="zh-CN"/>
              </w:rPr>
              <w:t>/</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配电箱</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UPS4E-DZJC</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bidi w:val="0"/>
              <w:rPr>
                <w:rFonts w:hint="eastAsia"/>
                <w:lang w:eastAsia="zh-CN"/>
              </w:rPr>
            </w:pPr>
            <w:r>
              <w:rPr>
                <w:rFonts w:hint="eastAsia" w:eastAsia="宋体"/>
                <w:lang w:eastAsia="zh-CN"/>
              </w:rPr>
              <w:t>电子监察室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lang w:val="en-US" w:eastAsia="zh-CN"/>
              </w:rPr>
              <w:t>四、</w:t>
            </w:r>
            <w:r>
              <w:rPr>
                <w:rFonts w:hint="eastAsia" w:ascii="宋体" w:hAnsi="宋体"/>
                <w:color w:val="auto"/>
                <w:sz w:val="24"/>
              </w:rPr>
              <w:t>部位：4F东机房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序号</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单位</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数量</w:t>
            </w:r>
          </w:p>
        </w:tc>
        <w:tc>
          <w:tcPr>
            <w:tcW w:w="422"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eastAsia="zh-CN"/>
              </w:rPr>
            </w:pPr>
            <w:r>
              <w:rPr>
                <w:rFonts w:hint="eastAsia" w:ascii="宋体" w:hAnsi="宋体"/>
                <w:color w:val="auto"/>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视频监控平台</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大华视频监控平台 DH-AGS-B8101S3C-B</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磁盘阵列</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海康磁盘阵列</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公安监控交换机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华为S5700-28P-LI-AC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涉密录像机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海康威视</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录像机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DH-NVR5832-E</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浪潮NF-8460M3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监控设备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DH-DSS7016S2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核心交换机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RG-S7805C交换机</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 S5130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POE交换机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海康24口POE交换机</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动环主机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烟感、水灾、温湿度等</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东环服务器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负责业务转发等记录</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 S24G-U</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智能设备监控器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JZ-PTS600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冷通道东环主机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华为电子政务网 2488HV5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FC存储交换机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S3664</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存储阵列</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5310-v5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灾备一体机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MS2500G2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汇聚交换机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S6800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核心交换机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 S10510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防火墙</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AF-2000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防火墙</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 F1000-AK145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 xml:space="preserve"> 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骨干环网路由器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 SR8808-X</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 S5310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s5700-28p-li-ac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党建服务器 RD 450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NF-5280-M5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NF-5270-M3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政务核心交换</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S7506E</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机房互联核心</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S7506E</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PTN设备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OPTIX PTN 916-F</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中信设备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ZXCTN 6200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人脸识别服务器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VA-VT-FF1081AZ</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DELL R240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NF-5270-M3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ITC T6700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ITC T6221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39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ITC T6222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ITC T6201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ITC T6205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ITC T6223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ITC T6713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音频设备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ITC广播系统</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 S5130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管理电脑</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M8600T</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惠普服务器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惠普存储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MSZ1000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49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IBM X3650 M4</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信令服务</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NO.T</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光电设备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HOFL-FO1100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PTN</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optix1551622h</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H3CS5310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路由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AR-3200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台式机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技展台式机</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NF 5270M3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NF 8460M3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default" w:ascii="宋体" w:hAnsi="宋体" w:eastAsia="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服务器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AS520G</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59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H3CS5310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s1700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迈普交换机S4320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光纤配线柜</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1152芯</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台式电脑</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台式管理电脑</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64</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1U理线架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PAL2011</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65</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24口光纤配线架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PFD11024LC</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103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110配线架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PDR1015E-100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交换机</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H3C S5130/S5160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68</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24口网络配线架</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PJ2016E-24</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69</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PDU</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70</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服务器机柜</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600*1200*2000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71</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精密列头柜</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600*1200*2000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72</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机房市电配电柜</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APE-BJF1</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73</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监控UPS配电柜</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UPSE4-ZWJK</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74</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80KW精密空调</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室内机P3080FA/室外机LSF52</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75</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5P空调</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美的</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吊顶式洁净新风机</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江苏雅佳，风量1500m³/h,余压110pa，功率300w</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防火阀</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400*300，敞开，接24消防信号关闭，与消防联动，3C型式认证。</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78</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送风口</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细叶风口400*300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79</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轴流排风机</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风量6000m³/h,功率750w，余压260pa</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80</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排风口</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细叶风口</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81</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排烟防火阀</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常闭，接24V消防信号开启，与消防联动，3C型式认证</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82</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接地端子箱</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国产优质</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83</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嵌入式LED平板灯</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600*600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84</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嵌入式LED应急平板灯</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600*600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85</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三联单控开关</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DLX 86型</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单联单控开关</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DLX 86型</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墙面插座</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DLX 86型</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88</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冷通道</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定制</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olor w:val="auto"/>
                <w:sz w:val="24"/>
                <w:lang w:val="en-US" w:eastAsia="zh-CN"/>
              </w:rPr>
            </w:pPr>
            <w:r>
              <w:rPr>
                <w:rFonts w:hint="eastAsia" w:ascii="宋体" w:hAnsi="宋体"/>
                <w:color w:val="auto"/>
                <w:sz w:val="24"/>
                <w:lang w:val="en-US" w:eastAsia="zh-CN"/>
              </w:rPr>
              <w:t>89</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olor w:val="auto"/>
                <w:sz w:val="24"/>
                <w:lang w:val="en-US" w:eastAsia="zh-CN"/>
              </w:rPr>
            </w:pPr>
            <w:r>
              <w:rPr>
                <w:rFonts w:hint="eastAsia" w:ascii="宋体" w:hAnsi="宋体"/>
                <w:color w:val="auto"/>
                <w:sz w:val="24"/>
                <w:lang w:val="en-US" w:eastAsia="zh-CN"/>
              </w:rPr>
              <w:t>拼接屏</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olor w:val="auto"/>
                <w:sz w:val="24"/>
                <w:lang w:val="en-US" w:eastAsia="zh-CN"/>
              </w:rPr>
            </w:pPr>
            <w:r>
              <w:rPr>
                <w:rFonts w:hint="eastAsia" w:ascii="宋体" w:hAnsi="宋体"/>
                <w:color w:val="auto"/>
                <w:sz w:val="24"/>
                <w:lang w:val="en-US" w:eastAsia="zh-CN"/>
              </w:rPr>
              <w:t>10*4 49寸 40块屏接屏质保</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90</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控制电脑</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DELL</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lang w:val="en-US" w:eastAsia="zh-CN"/>
              </w:rPr>
              <w:t>五、</w:t>
            </w:r>
            <w:r>
              <w:rPr>
                <w:rFonts w:hint="eastAsia" w:ascii="宋体" w:hAnsi="宋体"/>
                <w:color w:val="auto"/>
                <w:sz w:val="24"/>
              </w:rPr>
              <w:t>部位：5F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序号</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单位</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数量</w:t>
            </w:r>
          </w:p>
        </w:tc>
        <w:tc>
          <w:tcPr>
            <w:tcW w:w="422"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eastAsia="zh-CN"/>
              </w:rPr>
            </w:pPr>
            <w:r>
              <w:rPr>
                <w:rFonts w:hint="eastAsia" w:ascii="宋体" w:hAnsi="宋体"/>
                <w:color w:val="auto"/>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1U理线架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PAL2011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口网络适配架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PJ2016E-24</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口光纤配线箱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PF011024LC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110配线架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PDR1015E-100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S5130/S5160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UPS配电箱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400*300*150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PDU</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网络机柜</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600*600*2000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200万像素监控探头（含支架）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DS-2CD2125MFY-VIM</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信息发布屏（含支架）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LC-22/LC-32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无</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紧急求救按钮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DS-1T710N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声光报警器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HC-103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巡更按钮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EM2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室内全向天线及其配件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CB-ANT-400-N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DDC箱及其设备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eastAsia="zh-CN"/>
              </w:rPr>
            </w:pPr>
            <w:r>
              <w:rPr>
                <w:rFonts w:hint="eastAsia" w:ascii="宋体" w:hAnsi="宋体"/>
                <w:color w:val="auto"/>
                <w:sz w:val="24"/>
                <w:lang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16</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环境监测探头（一氧化碳， 二氧化碳.温湿度.PM2.5)</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GW R-C0/GW-R-C02 C0W4. AA/GW-R-PM2.5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智能照明控制模块</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DRC420FTR/DDRC1220FR-GL-V2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无线AP</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WA4330-CAN/H3C  WA4320H</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53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网络面板（单口)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网络面板（双口）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地插</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PHD1102C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246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有线电视面板</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olor w:val="auto"/>
                <w:sz w:val="24"/>
                <w:lang w:val="en-US" w:eastAsia="zh-CN"/>
              </w:rPr>
            </w:pPr>
            <w:r>
              <w:rPr>
                <w:rFonts w:hint="eastAsia" w:ascii="宋体" w:hAnsi="宋体"/>
                <w:color w:val="auto"/>
                <w:sz w:val="24"/>
                <w:lang w:val="en-US" w:eastAsia="zh-CN"/>
              </w:rPr>
              <w:t>/</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lang w:val="en-US" w:eastAsia="zh-CN"/>
              </w:rPr>
              <w:t>六、</w:t>
            </w:r>
            <w:r>
              <w:rPr>
                <w:rFonts w:hint="eastAsia" w:ascii="宋体" w:hAnsi="宋体"/>
                <w:color w:val="auto"/>
                <w:sz w:val="24"/>
              </w:rPr>
              <w:t>部位：6F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序号</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单位</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数量</w:t>
            </w:r>
          </w:p>
        </w:tc>
        <w:tc>
          <w:tcPr>
            <w:tcW w:w="422"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eastAsia="zh-CN"/>
              </w:rPr>
            </w:pPr>
            <w:r>
              <w:rPr>
                <w:rFonts w:hint="eastAsia" w:ascii="宋体" w:hAnsi="宋体"/>
                <w:color w:val="auto"/>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1U理线架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PAL2011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53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口网络适配架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PJ2016E-24</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口光纤配线箱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PF011024LC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110配线架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PDR1015E-100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S5130/S5160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UPS配电箱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400*300*150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PDU</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30A开关电源</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网络机柜</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600*600*2000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200万像素监控探头（含支架）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DS-2CD2125MFY-VIM</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信息发布屏（含支架）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LC-22/LC-32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无</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紧急求救按钮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DS-1T710N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声光报警器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HC-103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巡更按钮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EM2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室内全向天线及其配件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CB-ANT-400-N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DDC箱及其设备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eastAsia="zh-CN"/>
              </w:rPr>
            </w:pPr>
            <w:r>
              <w:rPr>
                <w:rFonts w:hint="eastAsia" w:ascii="宋体" w:hAnsi="宋体"/>
                <w:color w:val="auto"/>
                <w:sz w:val="24"/>
                <w:lang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环境监测探头（一氧化碳， 二氧化碳.温湿度.PM2.5)</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GW R-C0/GW-R-C02 C0W4. AA/GW-R-PM2.5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智能照明控制模块</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DRC420FTR/DDRC1220FR-GL-V2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无线AP</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WA4330-CAN/H3C  WA4320H</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网络面板（单口)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网络面板（双口）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54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地插</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PHD1102C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67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有线电视面板</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　</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577" w:type="pct"/>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lang w:val="en-US" w:eastAsia="zh-CN"/>
              </w:rPr>
              <w:t>七</w:t>
            </w:r>
            <w:r>
              <w:rPr>
                <w:rFonts w:hint="eastAsia" w:ascii="宋体" w:hAnsi="宋体"/>
                <w:color w:val="auto"/>
                <w:sz w:val="24"/>
              </w:rPr>
              <w:t>、部位：7F</w:t>
            </w: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序号</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单位</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数量</w:t>
            </w:r>
          </w:p>
        </w:tc>
        <w:tc>
          <w:tcPr>
            <w:tcW w:w="422"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1U理线架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PAL2011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68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口网络适配架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PJ2016E-24</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24 口光纤配线箱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PF011024LC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110配线架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PDR1015E-100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交换机</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S5130/S5160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27</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UPS配电箱</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400*300*150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7</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PDU</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30A开关电源</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无</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网络机柜</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600*600*2000</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台</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200万像素监控探头（含支架）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DS-2CD2125MFY-VIM</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10</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信息发布屏（含支架）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LC-22/LC-32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无</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紧急求救按钮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DS-1T710N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声光报警器</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HC-103</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14</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巡更按钮</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EM2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15</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室内全向天线及其配件</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CB-ANT-400-N</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16</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DDC箱及其设备</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国标定制</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eastAsia="zh-CN"/>
              </w:rPr>
            </w:pPr>
            <w:r>
              <w:rPr>
                <w:rFonts w:hint="eastAsia" w:ascii="宋体" w:hAnsi="宋体"/>
                <w:color w:val="auto"/>
                <w:sz w:val="24"/>
                <w:lang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17</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rPr>
            </w:pPr>
            <w:r>
              <w:rPr>
                <w:rFonts w:hint="eastAsia" w:ascii="宋体" w:hAnsi="宋体"/>
                <w:color w:val="auto"/>
                <w:sz w:val="24"/>
              </w:rPr>
              <w:t>环境监测探头（一氧化碳， 二氧化碳.温湿度.PM2.5)</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GW R-C0/GW-R-C02 C0W4. AA/GW-R-PM2.5</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18</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智能照明控制模块</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DRC420FTR/DDRC1220FR-GL-V2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8</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19</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无线AP</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H3C WA4330-CAN/H3C  WA4320H</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102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20</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网络面板（单口)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PB3086-01</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46</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21</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网络面板（双口）</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PB3086-02</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151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22</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地插</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r>
              <w:rPr>
                <w:rFonts w:hint="eastAsia" w:ascii="宋体" w:hAnsi="宋体"/>
                <w:color w:val="auto"/>
                <w:sz w:val="24"/>
              </w:rPr>
              <w:t>PHD1102C</w:t>
            </w: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个</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rPr>
            </w:pPr>
            <w:r>
              <w:rPr>
                <w:rFonts w:hint="eastAsia" w:ascii="宋体" w:hAnsi="宋体"/>
                <w:color w:val="auto"/>
                <w:sz w:val="24"/>
              </w:rPr>
              <w:t>195</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50"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eastAsia="宋体"/>
                <w:color w:val="auto"/>
                <w:sz w:val="24"/>
                <w:lang w:val="en-US" w:eastAsia="zh-CN"/>
              </w:rPr>
            </w:pPr>
            <w:r>
              <w:rPr>
                <w:rFonts w:hint="eastAsia" w:ascii="宋体" w:hAnsi="宋体"/>
                <w:color w:val="auto"/>
                <w:sz w:val="24"/>
                <w:lang w:val="en-US" w:eastAsia="zh-CN"/>
              </w:rPr>
              <w:t>拼接屏</w:t>
            </w:r>
          </w:p>
        </w:tc>
        <w:tc>
          <w:tcPr>
            <w:tcW w:w="2101" w:type="pct"/>
            <w:tcBorders>
              <w:top w:val="single" w:color="auto" w:sz="4" w:space="0"/>
              <w:left w:val="single" w:color="auto" w:sz="4" w:space="0"/>
              <w:bottom w:val="single" w:color="auto" w:sz="4" w:space="0"/>
              <w:right w:val="single" w:color="auto" w:sz="4" w:space="0"/>
            </w:tcBorders>
            <w:noWrap w:val="0"/>
            <w:vAlign w:val="bottom"/>
          </w:tcPr>
          <w:p>
            <w:pPr>
              <w:rPr>
                <w:rFonts w:hint="default" w:ascii="宋体" w:hAnsi="宋体" w:eastAsia="宋体"/>
                <w:color w:val="auto"/>
                <w:sz w:val="24"/>
                <w:lang w:val="en-US" w:eastAsia="zh-CN"/>
              </w:rPr>
            </w:pPr>
          </w:p>
        </w:tc>
        <w:tc>
          <w:tcPr>
            <w:tcW w:w="446"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套</w:t>
            </w:r>
          </w:p>
        </w:tc>
        <w:tc>
          <w:tcPr>
            <w:tcW w:w="441"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35" w:type="pct"/>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b/>
                <w:bCs/>
                <w:color w:val="auto"/>
                <w:sz w:val="24"/>
                <w:lang w:val="en-US" w:eastAsia="zh-CN"/>
              </w:rPr>
            </w:pPr>
            <w:r>
              <w:rPr>
                <w:rFonts w:hint="eastAsia" w:ascii="宋体" w:hAnsi="宋体"/>
                <w:b/>
                <w:bCs/>
                <w:color w:val="auto"/>
                <w:sz w:val="24"/>
                <w:lang w:val="en-US" w:eastAsia="zh-CN"/>
              </w:rPr>
              <w:t>八.</w:t>
            </w:r>
            <w:r>
              <w:rPr>
                <w:rFonts w:hint="eastAsia" w:ascii="宋体" w:hAnsi="宋体"/>
                <w:b/>
                <w:bCs/>
                <w:color w:val="auto"/>
                <w:sz w:val="24"/>
              </w:rPr>
              <w:t>运维服务</w:t>
            </w:r>
            <w:r>
              <w:rPr>
                <w:rFonts w:hint="eastAsia" w:ascii="宋体" w:hAnsi="宋体"/>
                <w:b/>
                <w:bCs/>
                <w:color w:val="auto"/>
                <w:sz w:val="24"/>
                <w:lang w:val="en-US" w:eastAsia="zh-CN"/>
              </w:rPr>
              <w:t>续保设备清单</w:t>
            </w:r>
          </w:p>
        </w:tc>
        <w:tc>
          <w:tcPr>
            <w:tcW w:w="44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lang w:val="en-US" w:eastAsia="zh-CN"/>
              </w:rPr>
            </w:pPr>
          </w:p>
        </w:tc>
        <w:tc>
          <w:tcPr>
            <w:tcW w:w="42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序号</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rPr>
              <w:t>设备名称</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rPr>
              <w:t>型号规格</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单位</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数量</w:t>
            </w:r>
          </w:p>
        </w:tc>
        <w:tc>
          <w:tcPr>
            <w:tcW w:w="422" w:type="pct"/>
            <w:tcBorders>
              <w:top w:val="single" w:color="auto" w:sz="4" w:space="0"/>
              <w:left w:val="single" w:color="auto" w:sz="4" w:space="0"/>
              <w:bottom w:val="single" w:color="auto" w:sz="4" w:space="0"/>
              <w:right w:val="single" w:color="auto" w:sz="4" w:space="0"/>
            </w:tcBorders>
            <w:noWrap w:val="0"/>
            <w:vAlign w:val="bottom"/>
          </w:tcPr>
          <w:p>
            <w:pPr>
              <w:jc w:val="center"/>
              <w:rPr>
                <w:rFonts w:hint="eastAsia" w:ascii="宋体" w:hAnsi="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UPS</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艾默生</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4</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精密空调</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艾默生空调滤网等易损件更换</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3</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widowControl/>
              <w:autoSpaceDE/>
              <w:autoSpaceDN/>
              <w:adjustRightInd/>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核心汇聚交换机</w:t>
            </w:r>
          </w:p>
        </w:tc>
        <w:tc>
          <w:tcPr>
            <w:tcW w:w="210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H3C  S6800</w:t>
            </w:r>
          </w:p>
        </w:tc>
        <w:tc>
          <w:tcPr>
            <w:tcW w:w="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2</w:t>
            </w:r>
          </w:p>
        </w:tc>
        <w:tc>
          <w:tcPr>
            <w:tcW w:w="422" w:type="pct"/>
            <w:tcBorders>
              <w:top w:val="single" w:color="auto" w:sz="4" w:space="0"/>
              <w:left w:val="single" w:color="auto" w:sz="4" w:space="0"/>
              <w:bottom w:val="single" w:color="auto" w:sz="4" w:space="0"/>
              <w:right w:val="single" w:color="auto" w:sz="4" w:space="0"/>
            </w:tcBorders>
            <w:noWrap w:val="0"/>
            <w:vAlign w:val="bottom"/>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150" w:type="pct"/>
            <w:noWrap w:val="0"/>
            <w:vAlign w:val="center"/>
          </w:tcPr>
          <w:p>
            <w:pPr>
              <w:widowControl/>
              <w:autoSpaceDE/>
              <w:autoSpaceDN/>
              <w:adjustRightInd/>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核心交换机</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S10510</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台</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150" w:type="pct"/>
            <w:noWrap w:val="0"/>
            <w:vAlign w:val="center"/>
          </w:tcPr>
          <w:p>
            <w:pPr>
              <w:widowControl/>
              <w:autoSpaceDE/>
              <w:autoSpaceDN/>
              <w:adjustRightInd/>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无线控制器</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H3C</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套</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2</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150" w:type="pct"/>
            <w:noWrap w:val="0"/>
            <w:vAlign w:val="center"/>
          </w:tcPr>
          <w:p>
            <w:pPr>
              <w:widowControl/>
              <w:autoSpaceDE/>
              <w:autoSpaceDN/>
              <w:adjustRightInd/>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灾备一体机</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MS2500G2</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套</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noWrap w:val="0"/>
            <w:vAlign w:val="top"/>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150" w:type="pct"/>
            <w:noWrap w:val="0"/>
            <w:vAlign w:val="center"/>
          </w:tcPr>
          <w:p>
            <w:pPr>
              <w:widowControl/>
              <w:autoSpaceDE/>
              <w:autoSpaceDN/>
              <w:adjustRightInd/>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管理服务器</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浪潮 5270</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套</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noWrap w:val="0"/>
            <w:vAlign w:val="top"/>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150" w:type="pct"/>
            <w:noWrap w:val="0"/>
            <w:vAlign w:val="center"/>
          </w:tcPr>
          <w:p>
            <w:pPr>
              <w:widowControl/>
              <w:autoSpaceDE/>
              <w:autoSpaceDN/>
              <w:adjustRightInd/>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出口路由器</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H3C SR8808</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套</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2</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9</w:t>
            </w:r>
          </w:p>
        </w:tc>
        <w:tc>
          <w:tcPr>
            <w:tcW w:w="1150" w:type="pct"/>
            <w:noWrap w:val="0"/>
            <w:vAlign w:val="center"/>
          </w:tcPr>
          <w:p>
            <w:pPr>
              <w:widowControl/>
              <w:autoSpaceDE/>
              <w:autoSpaceDN/>
              <w:adjustRightInd/>
              <w:jc w:val="center"/>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核心交换机</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S10510</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台</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150" w:type="pct"/>
            <w:noWrap w:val="0"/>
            <w:vAlign w:val="center"/>
          </w:tcPr>
          <w:p>
            <w:pPr>
              <w:widowControl/>
              <w:autoSpaceDE/>
              <w:autoSpaceDN/>
              <w:adjustRightInd/>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管理服务器</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5280-M5</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套</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150" w:type="pct"/>
            <w:noWrap w:val="0"/>
            <w:vAlign w:val="center"/>
          </w:tcPr>
          <w:p>
            <w:pPr>
              <w:widowControl/>
              <w:autoSpaceDE/>
              <w:autoSpaceDN/>
              <w:adjustRightInd/>
              <w:jc w:val="center"/>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磁盘阵列</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浪潮AS520g 5310v5</w:t>
            </w:r>
          </w:p>
        </w:tc>
        <w:tc>
          <w:tcPr>
            <w:tcW w:w="446" w:type="pct"/>
            <w:noWrap w:val="0"/>
            <w:vAlign w:val="center"/>
          </w:tcPr>
          <w:p>
            <w:pPr>
              <w:jc w:val="center"/>
              <w:rPr>
                <w:rFonts w:hint="default" w:ascii="宋体" w:hAnsi="宋体"/>
                <w:color w:val="auto"/>
                <w:sz w:val="24"/>
                <w:lang w:val="en-US" w:eastAsia="zh-CN"/>
              </w:rPr>
            </w:pPr>
            <w:r>
              <w:rPr>
                <w:rFonts w:hint="eastAsia" w:ascii="宋体" w:hAnsi="宋体"/>
                <w:color w:val="auto"/>
                <w:sz w:val="24"/>
                <w:lang w:val="en-US" w:eastAsia="zh-CN"/>
              </w:rPr>
              <w:t>套</w:t>
            </w:r>
          </w:p>
        </w:tc>
        <w:tc>
          <w:tcPr>
            <w:tcW w:w="441" w:type="pct"/>
            <w:noWrap w:val="0"/>
            <w:vAlign w:val="center"/>
          </w:tcPr>
          <w:p>
            <w:pPr>
              <w:jc w:val="center"/>
              <w:rPr>
                <w:rFonts w:hint="default" w:ascii="宋体" w:hAnsi="宋体"/>
                <w:color w:val="auto"/>
                <w:sz w:val="24"/>
                <w:lang w:val="en-US" w:eastAsia="zh-CN"/>
              </w:rPr>
            </w:pPr>
            <w:r>
              <w:rPr>
                <w:rFonts w:hint="eastAsia" w:ascii="宋体" w:hAnsi="宋体"/>
                <w:color w:val="auto"/>
                <w:sz w:val="24"/>
                <w:lang w:val="en-US" w:eastAsia="zh-CN"/>
              </w:rPr>
              <w:t>4</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150" w:type="pct"/>
            <w:noWrap w:val="0"/>
            <w:vAlign w:val="center"/>
          </w:tcPr>
          <w:p>
            <w:pPr>
              <w:widowControl/>
              <w:autoSpaceDE/>
              <w:autoSpaceDN/>
              <w:adjustRightInd/>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安防阵列</w:t>
            </w:r>
          </w:p>
        </w:tc>
        <w:tc>
          <w:tcPr>
            <w:tcW w:w="210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海康威视</w:t>
            </w:r>
          </w:p>
        </w:tc>
        <w:tc>
          <w:tcPr>
            <w:tcW w:w="446"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套</w:t>
            </w:r>
          </w:p>
        </w:tc>
        <w:tc>
          <w:tcPr>
            <w:tcW w:w="441" w:type="pct"/>
            <w:noWrap w:val="0"/>
            <w:vAlign w:val="center"/>
          </w:tcPr>
          <w:p>
            <w:pPr>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7" w:type="pct"/>
            <w:gridSpan w:val="5"/>
            <w:noWrap w:val="0"/>
            <w:vAlign w:val="top"/>
          </w:tcPr>
          <w:p>
            <w:pPr>
              <w:rPr>
                <w:rFonts w:hint="default" w:ascii="宋体" w:hAnsi="宋体" w:eastAsia="宋体"/>
                <w:b/>
                <w:bCs/>
                <w:color w:val="auto"/>
                <w:sz w:val="24"/>
                <w:lang w:val="en-US" w:eastAsia="zh-CN"/>
              </w:rPr>
            </w:pPr>
            <w:r>
              <w:rPr>
                <w:rFonts w:hint="eastAsia" w:ascii="宋体" w:hAnsi="宋体"/>
                <w:b/>
                <w:bCs/>
                <w:color w:val="auto"/>
                <w:sz w:val="24"/>
                <w:lang w:val="en-US" w:eastAsia="zh-CN"/>
              </w:rPr>
              <w:t>九.备品备件清单</w:t>
            </w:r>
          </w:p>
        </w:tc>
        <w:tc>
          <w:tcPr>
            <w:tcW w:w="422" w:type="pct"/>
            <w:noWrap w:val="0"/>
            <w:vAlign w:val="top"/>
          </w:tcPr>
          <w:p>
            <w:pPr>
              <w:rPr>
                <w:rFonts w:hint="eastAsia" w:ascii="宋体" w:hAnsi="宋体"/>
                <w:b/>
                <w:bCs/>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center"/>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序号</w:t>
            </w:r>
          </w:p>
        </w:tc>
        <w:tc>
          <w:tcPr>
            <w:tcW w:w="1150" w:type="pct"/>
            <w:noWrap w:val="0"/>
            <w:vAlign w:val="center"/>
          </w:tcPr>
          <w:p>
            <w:pPr>
              <w:rPr>
                <w:rFonts w:hint="eastAsia" w:ascii="宋体" w:hAnsi="宋体" w:eastAsia="宋体" w:cs="Times New Roman"/>
                <w:color w:val="auto"/>
                <w:kern w:val="2"/>
                <w:sz w:val="24"/>
                <w:szCs w:val="24"/>
                <w:lang w:val="en-US" w:eastAsia="zh-CN" w:bidi="ar-SA"/>
              </w:rPr>
            </w:pPr>
            <w:r>
              <w:rPr>
                <w:rFonts w:hint="eastAsia" w:ascii="宋体" w:hAnsi="宋体"/>
                <w:color w:val="auto"/>
                <w:sz w:val="24"/>
              </w:rPr>
              <w:t>设备名称</w:t>
            </w:r>
          </w:p>
        </w:tc>
        <w:tc>
          <w:tcPr>
            <w:tcW w:w="2101" w:type="pct"/>
            <w:noWrap w:val="0"/>
            <w:vAlign w:val="center"/>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rPr>
              <w:t>型号规格</w:t>
            </w:r>
          </w:p>
        </w:tc>
        <w:tc>
          <w:tcPr>
            <w:tcW w:w="446" w:type="pct"/>
            <w:noWrap w:val="0"/>
            <w:vAlign w:val="center"/>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单位</w:t>
            </w:r>
          </w:p>
        </w:tc>
        <w:tc>
          <w:tcPr>
            <w:tcW w:w="441" w:type="pct"/>
            <w:noWrap w:val="0"/>
            <w:vAlign w:val="center"/>
          </w:tcPr>
          <w:p>
            <w:pPr>
              <w:jc w:val="center"/>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数量</w:t>
            </w:r>
          </w:p>
        </w:tc>
        <w:tc>
          <w:tcPr>
            <w:tcW w:w="422" w:type="pct"/>
            <w:noWrap w:val="0"/>
            <w:vAlign w:val="bottom"/>
          </w:tcPr>
          <w:p>
            <w:pPr>
              <w:jc w:val="center"/>
              <w:rPr>
                <w:rFonts w:hint="default" w:ascii="宋体" w:hAnsi="宋体"/>
                <w:color w:val="auto"/>
                <w:sz w:val="24"/>
                <w:lang w:val="en-US" w:eastAsia="zh-CN"/>
              </w:rPr>
            </w:pPr>
            <w:r>
              <w:rPr>
                <w:rFonts w:hint="eastAsia" w:ascii="宋体" w:hAnsi="宋体"/>
                <w:color w:val="auto"/>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1</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灾备一体机</w:t>
            </w:r>
          </w:p>
        </w:tc>
        <w:tc>
          <w:tcPr>
            <w:tcW w:w="2101" w:type="pct"/>
            <w:noWrap w:val="0"/>
            <w:vAlign w:val="center"/>
          </w:tcPr>
          <w:p>
            <w:pPr>
              <w:widowControl/>
              <w:autoSpaceDE/>
              <w:autoSpaceDN/>
              <w:adjustRightInd/>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与原设备兼容，便于设备宕机，及时恢复业务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台</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w:t>
            </w:r>
          </w:p>
        </w:tc>
        <w:tc>
          <w:tcPr>
            <w:tcW w:w="422" w:type="pct"/>
            <w:noWrap w:val="0"/>
            <w:vAlign w:val="top"/>
          </w:tcPr>
          <w:p>
            <w:pPr>
              <w:rPr>
                <w:rFonts w:hint="default" w:ascii="宋体" w:hAnsi="宋体" w:eastAsia="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2</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容灾服务器</w:t>
            </w:r>
          </w:p>
        </w:tc>
        <w:tc>
          <w:tcPr>
            <w:tcW w:w="2101" w:type="pct"/>
            <w:noWrap w:val="0"/>
            <w:vAlign w:val="center"/>
          </w:tcPr>
          <w:p>
            <w:pPr>
              <w:widowControl/>
              <w:autoSpaceDE/>
              <w:autoSpaceDN/>
              <w:adjustRightInd/>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与原设备兼容，便于设备宕机，及时恢复业务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台</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5</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3</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核心交换机</w:t>
            </w:r>
          </w:p>
        </w:tc>
        <w:tc>
          <w:tcPr>
            <w:tcW w:w="2101" w:type="pct"/>
            <w:noWrap w:val="0"/>
            <w:vAlign w:val="center"/>
          </w:tcPr>
          <w:p>
            <w:pPr>
              <w:widowControl/>
              <w:autoSpaceDE/>
              <w:autoSpaceDN/>
              <w:adjustRightInd/>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与原设备兼容，便于设备宕机，及时恢复业务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台</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4</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业务服务器</w:t>
            </w:r>
          </w:p>
        </w:tc>
        <w:tc>
          <w:tcPr>
            <w:tcW w:w="2101" w:type="pct"/>
            <w:noWrap w:val="0"/>
            <w:vAlign w:val="center"/>
          </w:tcPr>
          <w:p>
            <w:pPr>
              <w:widowControl/>
              <w:autoSpaceDE/>
              <w:autoSpaceDN/>
              <w:adjustRightInd/>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与原设备兼容，便于设备宕机，及时恢复业务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台</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5</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5</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虚拟化业务恢复</w:t>
            </w:r>
          </w:p>
        </w:tc>
        <w:tc>
          <w:tcPr>
            <w:tcW w:w="210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V2V 业务迁移 便于业务宕机，及时恢复业务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套</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6</w:t>
            </w:r>
          </w:p>
        </w:tc>
        <w:tc>
          <w:tcPr>
            <w:tcW w:w="1150" w:type="pct"/>
            <w:noWrap w:val="0"/>
            <w:vAlign w:val="center"/>
          </w:tcPr>
          <w:p>
            <w:pPr>
              <w:widowControl/>
              <w:autoSpaceDE/>
              <w:autoSpaceDN/>
              <w:adjustRightInd/>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数据库</w:t>
            </w:r>
          </w:p>
        </w:tc>
        <w:tc>
          <w:tcPr>
            <w:tcW w:w="210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与原业务兼容便于业务宕机，及时恢复业务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套</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7</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接入交换机</w:t>
            </w:r>
          </w:p>
        </w:tc>
        <w:tc>
          <w:tcPr>
            <w:tcW w:w="2101" w:type="pct"/>
            <w:noWrap w:val="0"/>
            <w:vAlign w:val="center"/>
          </w:tcPr>
          <w:p>
            <w:pPr>
              <w:widowControl/>
              <w:autoSpaceDE/>
              <w:autoSpaceDN/>
              <w:adjustRightInd/>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与原设备兼容，便于设备宕机，及时恢复业务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台</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5</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8</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POE交换机</w:t>
            </w:r>
          </w:p>
        </w:tc>
        <w:tc>
          <w:tcPr>
            <w:tcW w:w="2101" w:type="pct"/>
            <w:noWrap w:val="0"/>
            <w:vAlign w:val="center"/>
          </w:tcPr>
          <w:p>
            <w:pPr>
              <w:widowControl/>
              <w:autoSpaceDE/>
              <w:autoSpaceDN/>
              <w:adjustRightInd/>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与原设备兼容，便于设备宕机，及时恢复业务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台</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5</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9</w:t>
            </w:r>
          </w:p>
        </w:tc>
        <w:tc>
          <w:tcPr>
            <w:tcW w:w="1150" w:type="pct"/>
            <w:noWrap w:val="0"/>
            <w:vAlign w:val="center"/>
          </w:tcPr>
          <w:p>
            <w:pPr>
              <w:widowControl/>
              <w:autoSpaceDE/>
              <w:autoSpaceDN/>
              <w:adjustRightInd/>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光纤配线</w:t>
            </w:r>
          </w:p>
        </w:tc>
        <w:tc>
          <w:tcPr>
            <w:tcW w:w="210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多模万兆</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条</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300</w:t>
            </w:r>
          </w:p>
        </w:tc>
        <w:tc>
          <w:tcPr>
            <w:tcW w:w="422" w:type="pct"/>
            <w:noWrap w:val="0"/>
            <w:vAlign w:val="top"/>
          </w:tcPr>
          <w:p>
            <w:pPr>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noWrap w:val="0"/>
            <w:vAlign w:val="top"/>
          </w:tcPr>
          <w:p>
            <w:pPr>
              <w:jc w:val="center"/>
              <w:rPr>
                <w:rFonts w:hint="default" w:ascii="宋体" w:hAnsi="宋体"/>
                <w:color w:val="auto"/>
                <w:sz w:val="24"/>
                <w:lang w:val="en-US" w:eastAsia="zh-CN"/>
              </w:rPr>
            </w:pPr>
            <w:r>
              <w:rPr>
                <w:rFonts w:hint="eastAsia" w:ascii="宋体" w:hAnsi="宋体"/>
                <w:color w:val="auto"/>
                <w:sz w:val="24"/>
                <w:lang w:val="en-US" w:eastAsia="zh-CN"/>
              </w:rPr>
              <w:t>10</w:t>
            </w:r>
          </w:p>
        </w:tc>
        <w:tc>
          <w:tcPr>
            <w:tcW w:w="1150"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存储阵列</w:t>
            </w:r>
          </w:p>
        </w:tc>
        <w:tc>
          <w:tcPr>
            <w:tcW w:w="2101" w:type="pct"/>
            <w:noWrap w:val="0"/>
            <w:vAlign w:val="center"/>
          </w:tcPr>
          <w:p>
            <w:pPr>
              <w:widowControl/>
              <w:autoSpaceDE/>
              <w:autoSpaceDN/>
              <w:adjustRightInd/>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与原设备兼容，便于设备宕机，及时恢复业务</w:t>
            </w:r>
          </w:p>
        </w:tc>
        <w:tc>
          <w:tcPr>
            <w:tcW w:w="446"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台</w:t>
            </w:r>
          </w:p>
        </w:tc>
        <w:tc>
          <w:tcPr>
            <w:tcW w:w="441" w:type="pct"/>
            <w:noWrap w:val="0"/>
            <w:vAlign w:val="center"/>
          </w:tcPr>
          <w:p>
            <w:pPr>
              <w:widowControl/>
              <w:autoSpaceDE/>
              <w:autoSpaceDN/>
              <w:adjustRightInd/>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w:t>
            </w:r>
          </w:p>
        </w:tc>
        <w:tc>
          <w:tcPr>
            <w:tcW w:w="422" w:type="pct"/>
            <w:noWrap w:val="0"/>
            <w:vAlign w:val="top"/>
          </w:tcPr>
          <w:p>
            <w:pPr>
              <w:rPr>
                <w:rFonts w:hint="eastAsia" w:ascii="宋体" w:hAnsi="宋体"/>
                <w:color w:val="auto"/>
                <w:sz w:val="24"/>
              </w:rPr>
            </w:pPr>
          </w:p>
        </w:tc>
      </w:tr>
    </w:tbl>
    <w:p>
      <w:pPr>
        <w:spacing w:line="360" w:lineRule="auto"/>
        <w:ind w:firstLine="480" w:firstLineChars="200"/>
        <w:rPr>
          <w:rFonts w:hint="eastAsia" w:ascii="宋体" w:hAnsi="宋体" w:eastAsia="宋体" w:cs="宋体"/>
          <w:color w:val="auto"/>
          <w:sz w:val="24"/>
          <w:szCs w:val="24"/>
          <w:highlight w:val="none"/>
          <w:lang w:bidi="ar"/>
        </w:rPr>
      </w:pPr>
    </w:p>
    <w:bookmarkEnd w:id="15"/>
    <w:p>
      <w:pPr>
        <w:pStyle w:val="3"/>
        <w:pageBreakBefore/>
        <w:spacing w:before="120" w:beforeLines="50" w:after="120" w:afterLines="50" w:line="480" w:lineRule="auto"/>
        <w:jc w:val="center"/>
        <w:rPr>
          <w:rFonts w:ascii="宋体" w:hAnsi="宋体" w:eastAsia="宋体" w:cs="宋体"/>
          <w:bCs w:val="0"/>
          <w:color w:val="auto"/>
          <w:sz w:val="32"/>
          <w:szCs w:val="32"/>
          <w:highlight w:val="none"/>
        </w:rPr>
      </w:pPr>
      <w:bookmarkStart w:id="22" w:name="_Toc5729"/>
      <w:r>
        <w:rPr>
          <w:rFonts w:hint="eastAsia" w:ascii="宋体" w:hAnsi="宋体" w:eastAsia="宋体" w:cs="宋体"/>
          <w:bCs w:val="0"/>
          <w:color w:val="auto"/>
          <w:sz w:val="32"/>
          <w:szCs w:val="32"/>
          <w:highlight w:val="none"/>
        </w:rPr>
        <w:t>第五章</w:t>
      </w:r>
      <w:bookmarkStart w:id="23" w:name="_Toc423973078"/>
      <w:bookmarkStart w:id="24" w:name="_Toc13146"/>
      <w:r>
        <w:rPr>
          <w:rFonts w:hint="eastAsia" w:ascii="宋体" w:hAnsi="宋体" w:eastAsia="宋体" w:cs="宋体"/>
          <w:bCs w:val="0"/>
          <w:color w:val="auto"/>
          <w:sz w:val="32"/>
          <w:szCs w:val="32"/>
          <w:highlight w:val="none"/>
        </w:rPr>
        <w:t xml:space="preserve"> </w:t>
      </w:r>
      <w:r>
        <w:rPr>
          <w:rFonts w:hint="eastAsia" w:ascii="宋体" w:hAnsi="宋体" w:eastAsia="宋体" w:cs="宋体"/>
          <w:bCs w:val="0"/>
          <w:color w:val="auto"/>
          <w:sz w:val="32"/>
          <w:szCs w:val="32"/>
          <w:highlight w:val="none"/>
          <w:lang w:val="en-US" w:eastAsia="zh-CN"/>
        </w:rPr>
        <w:t xml:space="preserve"> </w:t>
      </w:r>
      <w:r>
        <w:rPr>
          <w:rFonts w:hint="eastAsia" w:ascii="宋体" w:hAnsi="宋体" w:eastAsia="宋体" w:cs="宋体"/>
          <w:bCs w:val="0"/>
          <w:color w:val="auto"/>
          <w:sz w:val="32"/>
          <w:szCs w:val="32"/>
          <w:highlight w:val="none"/>
        </w:rPr>
        <w:t>评审方法</w:t>
      </w:r>
      <w:bookmarkEnd w:id="22"/>
      <w:bookmarkEnd w:id="23"/>
      <w:bookmarkEnd w:id="24"/>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根据《中华人民共和国政府采购法》及实施条例和《政府采购货物和服务招标投标管理办法》（财政部87号令）等法律法规规定，结合采购项目特点制定本评标办法。</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一、评标程序</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1.本采购项目评标应当按照下列工作程序进行</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（1）响应文件</w:t>
      </w:r>
      <w:r>
        <w:rPr>
          <w:rFonts w:hint="eastAsia" w:ascii="宋体" w:hAnsi="宋体" w:eastAsia="宋体" w:cs="宋体"/>
          <w:color w:val="auto"/>
          <w:sz w:val="24"/>
          <w:szCs w:val="24"/>
          <w:highlight w:val="none"/>
          <w:lang w:val="en-US" w:eastAsia="zh-CN" w:bidi="ar"/>
        </w:rPr>
        <w:t>初步</w:t>
      </w:r>
      <w:r>
        <w:rPr>
          <w:rFonts w:hint="eastAsia" w:ascii="宋体" w:hAnsi="宋体" w:eastAsia="宋体" w:cs="宋体"/>
          <w:color w:val="auto"/>
          <w:sz w:val="24"/>
          <w:szCs w:val="24"/>
          <w:highlight w:val="none"/>
          <w:lang w:bidi="ar"/>
        </w:rPr>
        <w:t>审查；</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（2）响应文件澄清或说明；</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（3）响应文件比较与评价；</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（4）确定中标候选人名单；</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（5）编写评标报告。</w:t>
      </w:r>
    </w:p>
    <w:p>
      <w:pPr>
        <w:pStyle w:val="18"/>
        <w:ind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1.1响应文件资格性审查（由磋商小组完成资格审查）</w:t>
      </w:r>
    </w:p>
    <w:tbl>
      <w:tblPr>
        <w:tblStyle w:val="20"/>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255"/>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7255"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供应商应为具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2</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财务状况报告：提供</w:t>
            </w:r>
            <w:r>
              <w:rPr>
                <w:rFonts w:hint="eastAsia" w:ascii="宋体" w:hAnsi="宋体" w:eastAsia="宋体" w:cs="宋体"/>
                <w:color w:val="000000"/>
                <w:sz w:val="24"/>
                <w:szCs w:val="24"/>
                <w:highlight w:val="none"/>
                <w:lang w:val="en-US" w:eastAsia="zh-CN"/>
              </w:rPr>
              <w:t>2021年度或</w:t>
            </w:r>
            <w:r>
              <w:rPr>
                <w:rFonts w:hint="eastAsia" w:ascii="宋体" w:hAnsi="宋体" w:eastAsia="宋体" w:cs="宋体"/>
                <w:color w:val="000000"/>
                <w:sz w:val="24"/>
                <w:szCs w:val="24"/>
                <w:highlight w:val="none"/>
                <w:lang w:eastAsia="zh-CN"/>
              </w:rPr>
              <w:t>2022年度财务审计报告（须经第三方中介机构审计），公司成立时间不足</w:t>
            </w:r>
            <w:r>
              <w:rPr>
                <w:rFonts w:hint="eastAsia" w:ascii="宋体" w:hAnsi="宋体" w:eastAsia="宋体" w:cs="宋体"/>
                <w:color w:val="000000"/>
                <w:sz w:val="24"/>
                <w:szCs w:val="24"/>
                <w:highlight w:val="none"/>
                <w:lang w:val="en-US" w:eastAsia="zh-CN"/>
              </w:rPr>
              <w:t>一</w:t>
            </w:r>
            <w:r>
              <w:rPr>
                <w:rFonts w:hint="eastAsia" w:ascii="宋体" w:hAnsi="宋体" w:eastAsia="宋体" w:cs="宋体"/>
                <w:color w:val="000000"/>
                <w:sz w:val="24"/>
                <w:szCs w:val="24"/>
                <w:highlight w:val="none"/>
                <w:lang w:eastAsia="zh-CN"/>
              </w:rPr>
              <w:t>年的，需提供其基本账户开户银行出具的资信证明及基本账户开户许可证；</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3</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社会保障资金缴纳证明：提供2022年</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eastAsia="zh-CN"/>
              </w:rPr>
              <w:t>月至今已缴存的至少一个月的社会保障资金银行缴费单据或社保机构开具的社会保险参保缴费情况证明，依法不需要缴纳社会保障资金的单位应提供相关证明材料；</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4</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税收缴纳证明：提供2022年</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eastAsia="zh-CN"/>
              </w:rPr>
              <w:t>月至今已缴纳的至少一个月的纳税证明（银行缴费凭证）或完税证明，依法免税的单位应提供相关证明材料；（复印件加盖公章）</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5</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参加本次政府采购活动前三年内在经营活动中没有重大违纪，以及未被列入失信被执行人、重大税收违法失信主体、政府采购严重违法失信行为记录名单的书面声明；（加盖公章）</w:t>
            </w:r>
          </w:p>
        </w:tc>
        <w:tc>
          <w:tcPr>
            <w:tcW w:w="1637" w:type="dxa"/>
            <w:noWrap w:val="0"/>
            <w:vAlign w:val="center"/>
          </w:tcPr>
          <w:p>
            <w:pPr>
              <w:ind w:firstLine="0" w:firstLineChars="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6</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提供具有履行合同所必需的设备和专业技术能力的证明资料或承诺书；</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7</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不得在“信用中国”(www.creditchina.gov.cn)网站列入失信被执行人和重大税收违法案件当事人名单；不得为中国政府采购网（www.ccgp.gov.cn）政府采购严重违法失信行为记录名单中被财政部门禁止参加政府采购活动的供应商；投标供应商须提供上述相关网页查询信用记录（以网页截图加盖投标人公章为准）及信用报告（以“信用中国”网站生成的带水印信用报告加盖公章为准）；对列入失信被执行人、重大税收违法案件当事人名单、政府采购严重违法失信行为记录名单及其他不符合《中华人民共 和国政府采购法》第二十二条规定条件的将拒绝其参与政府采购活动，还需提供《榆林市政府采购服务类项目供应商信用承诺书》承诺书（格式见</w:t>
            </w:r>
            <w:r>
              <w:rPr>
                <w:rFonts w:hint="eastAsia" w:ascii="宋体" w:hAnsi="宋体" w:eastAsia="宋体" w:cs="宋体"/>
                <w:color w:val="000000"/>
                <w:sz w:val="24"/>
                <w:szCs w:val="24"/>
                <w:highlight w:val="none"/>
                <w:lang w:val="en-US" w:eastAsia="zh-CN"/>
              </w:rPr>
              <w:t>磋商</w:t>
            </w:r>
            <w:r>
              <w:rPr>
                <w:rFonts w:hint="eastAsia" w:ascii="宋体" w:hAnsi="宋体" w:eastAsia="宋体" w:cs="宋体"/>
                <w:color w:val="000000"/>
                <w:sz w:val="24"/>
                <w:szCs w:val="24"/>
                <w:highlight w:val="none"/>
                <w:lang w:eastAsia="zh-CN"/>
              </w:rPr>
              <w:t>文件附件）；</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87" w:type="dxa"/>
            <w:noWrap w:val="0"/>
            <w:vAlign w:val="center"/>
          </w:tcPr>
          <w:p>
            <w:pPr>
              <w:ind w:firstLine="0" w:firstLineChars="0"/>
              <w:jc w:val="center"/>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提供本项目投标保证金交纳凭证(打款回单)或投标保函</w:t>
            </w:r>
          </w:p>
        </w:tc>
        <w:tc>
          <w:tcPr>
            <w:tcW w:w="1637" w:type="dxa"/>
            <w:noWrap w:val="0"/>
            <w:vAlign w:val="center"/>
          </w:tcPr>
          <w:p>
            <w:pPr>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87" w:type="dxa"/>
            <w:noWrap w:val="0"/>
            <w:vAlign w:val="center"/>
          </w:tcPr>
          <w:p>
            <w:pPr>
              <w:ind w:firstLine="0" w:firstLineChars="0"/>
              <w:jc w:val="center"/>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9</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本项目专门面向中小企业采购，供应商须提供《中小企业声明函》；。</w:t>
            </w:r>
          </w:p>
        </w:tc>
        <w:tc>
          <w:tcPr>
            <w:tcW w:w="1637" w:type="dxa"/>
            <w:noWrap w:val="0"/>
            <w:vAlign w:val="center"/>
          </w:tcPr>
          <w:p>
            <w:pPr>
              <w:spacing w:line="360" w:lineRule="auto"/>
              <w:ind w:firstLine="0" w:firstLineChars="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合法有效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87" w:type="dxa"/>
            <w:noWrap w:val="0"/>
            <w:vAlign w:val="center"/>
          </w:tcPr>
          <w:p>
            <w:pPr>
              <w:ind w:firstLine="0" w:firstLineChars="0"/>
              <w:jc w:val="center"/>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10</w:t>
            </w:r>
          </w:p>
        </w:tc>
        <w:tc>
          <w:tcPr>
            <w:tcW w:w="7255" w:type="dxa"/>
            <w:noWrap w:val="0"/>
            <w:vAlign w:val="center"/>
          </w:tcPr>
          <w:p>
            <w:pPr>
              <w:spacing w:line="360" w:lineRule="auto"/>
              <w:ind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本项目不接受联合体投标、不允许分包、转包，单位负责人为同一人或者存在直接控股、管理关系的不同投标人，不得参加同一合同项下的政府采购活动</w:t>
            </w:r>
          </w:p>
        </w:tc>
        <w:tc>
          <w:tcPr>
            <w:tcW w:w="1637" w:type="dxa"/>
            <w:noWrap w:val="0"/>
            <w:vAlign w:val="center"/>
          </w:tcPr>
          <w:p>
            <w:pPr>
              <w:spacing w:line="360" w:lineRule="auto"/>
              <w:ind w:firstLine="0" w:firstLineChars="0"/>
              <w:rPr>
                <w:rFonts w:hint="eastAsia" w:ascii="宋体" w:hAnsi="宋体" w:eastAsia="宋体" w:cs="宋体"/>
                <w:color w:val="000000"/>
                <w:sz w:val="24"/>
                <w:szCs w:val="24"/>
                <w:lang w:eastAsia="zh-CN"/>
              </w:rPr>
            </w:pPr>
          </w:p>
        </w:tc>
      </w:tr>
    </w:tbl>
    <w:p>
      <w:pPr>
        <w:pStyle w:val="18"/>
        <w:ind w:left="0" w:leftChars="0" w:firstLine="0" w:firstLineChars="0"/>
        <w:rPr>
          <w:rFonts w:hint="default" w:ascii="宋体" w:hAnsi="宋体" w:eastAsia="宋体" w:cs="宋体"/>
          <w:color w:val="auto"/>
          <w:sz w:val="24"/>
          <w:szCs w:val="24"/>
          <w:highlight w:val="none"/>
          <w:lang w:val="en-US" w:eastAsia="zh-CN" w:bidi="ar"/>
        </w:rPr>
      </w:pP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2.响应文件符合性审查</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2.1 磋商小组依法对符合资格供应商的响应文件进行符合性审查。磋商小组从响应文件的有效性、完整性和对磋商文件的响应程度进行审查，以确定其是否对磋商文件实质性内容作出响应。</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磋商小组应当按下列评审标准进行符合性审：</w:t>
      </w:r>
    </w:p>
    <w:tbl>
      <w:tblPr>
        <w:tblStyle w:val="20"/>
        <w:tblW w:w="8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857"/>
        <w:gridCol w:w="5"/>
        <w:gridCol w:w="4398"/>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42" w:hRule="atLeast"/>
          <w:jc w:val="center"/>
        </w:trPr>
        <w:tc>
          <w:tcPr>
            <w:tcW w:w="930" w:type="dxa"/>
            <w:tcBorders>
              <w:bottom w:val="single" w:color="000000" w:sz="4" w:space="0"/>
            </w:tcBorders>
            <w:noWrap w:val="0"/>
            <w:vAlign w:val="center"/>
          </w:tcPr>
          <w:p>
            <w:pPr>
              <w:spacing w:line="360" w:lineRule="auto"/>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序号</w:t>
            </w:r>
          </w:p>
        </w:tc>
        <w:tc>
          <w:tcPr>
            <w:tcW w:w="2857" w:type="dxa"/>
            <w:tcBorders>
              <w:bottom w:val="single" w:color="000000" w:sz="4" w:space="0"/>
            </w:tcBorders>
            <w:noWrap w:val="0"/>
            <w:vAlign w:val="center"/>
          </w:tcPr>
          <w:p>
            <w:pPr>
              <w:spacing w:line="360" w:lineRule="auto"/>
              <w:ind w:firstLine="480" w:firstLineChars="200"/>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符合性</w:t>
            </w:r>
            <w:r>
              <w:rPr>
                <w:rFonts w:hint="eastAsia" w:ascii="宋体" w:hAnsi="宋体" w:eastAsia="宋体" w:cs="宋体"/>
                <w:color w:val="auto"/>
                <w:sz w:val="24"/>
                <w:szCs w:val="24"/>
                <w:highlight w:val="none"/>
                <w:lang w:bidi="ar"/>
              </w:rPr>
              <w:t>评审因素</w:t>
            </w:r>
          </w:p>
        </w:tc>
        <w:tc>
          <w:tcPr>
            <w:tcW w:w="4403" w:type="dxa"/>
            <w:gridSpan w:val="2"/>
            <w:noWrap w:val="0"/>
            <w:vAlign w:val="center"/>
          </w:tcPr>
          <w:p>
            <w:pPr>
              <w:spacing w:line="360" w:lineRule="auto"/>
              <w:ind w:firstLine="480" w:firstLineChars="200"/>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930" w:type="dxa"/>
            <w:tcBorders>
              <w:top w:val="single" w:color="000000" w:sz="4" w:space="0"/>
              <w:left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w:t>
            </w:r>
          </w:p>
        </w:tc>
        <w:tc>
          <w:tcPr>
            <w:tcW w:w="2862" w:type="dxa"/>
            <w:gridSpan w:val="2"/>
            <w:tcBorders>
              <w:top w:val="single" w:color="000000" w:sz="4" w:space="0"/>
              <w:left w:val="single" w:color="auto" w:sz="4" w:space="0"/>
              <w:right w:val="single" w:color="000000" w:sz="4" w:space="0"/>
            </w:tcBorders>
            <w:noWrap w:val="0"/>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项目名称、项目编号</w:t>
            </w:r>
          </w:p>
        </w:tc>
        <w:tc>
          <w:tcPr>
            <w:tcW w:w="4403" w:type="dxa"/>
            <w:gridSpan w:val="2"/>
            <w:tcBorders>
              <w:left w:val="single" w:color="000000" w:sz="4" w:space="0"/>
            </w:tcBorders>
            <w:noWrap w:val="0"/>
            <w:vAlign w:val="center"/>
          </w:tcPr>
          <w:p>
            <w:pPr>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以下三处的项目名称、项目编号无遗漏，且与本项目完全一致：</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（1）封面；</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磋商响应函</w:t>
            </w:r>
            <w:r>
              <w:rPr>
                <w:rFonts w:hint="eastAsia" w:ascii="宋体" w:hAnsi="宋体" w:eastAsia="宋体" w:cs="宋体"/>
                <w:color w:val="auto"/>
                <w:sz w:val="24"/>
                <w:szCs w:val="24"/>
              </w:rPr>
              <w:t>；</w:t>
            </w:r>
          </w:p>
          <w:p>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（3）法定代表人授权书</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30" w:type="dxa"/>
            <w:tcBorders>
              <w:left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2</w:t>
            </w:r>
          </w:p>
        </w:tc>
        <w:tc>
          <w:tcPr>
            <w:tcW w:w="2862" w:type="dxa"/>
            <w:gridSpan w:val="2"/>
            <w:tcBorders>
              <w:left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组成</w:t>
            </w:r>
          </w:p>
        </w:tc>
        <w:tc>
          <w:tcPr>
            <w:tcW w:w="4403" w:type="dxa"/>
            <w:gridSpan w:val="2"/>
            <w:tcBorders>
              <w:left w:val="single" w:color="000000" w:sz="4" w:space="0"/>
            </w:tcBorders>
            <w:noWrap w:val="0"/>
            <w:vAlign w:val="center"/>
          </w:tcPr>
          <w:p>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包含</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格式中给定的内容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930" w:type="dxa"/>
            <w:tcBorders>
              <w:left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3</w:t>
            </w:r>
          </w:p>
        </w:tc>
        <w:tc>
          <w:tcPr>
            <w:tcW w:w="2862" w:type="dxa"/>
            <w:gridSpan w:val="2"/>
            <w:tcBorders>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投标有效期</w:t>
            </w:r>
          </w:p>
        </w:tc>
        <w:tc>
          <w:tcPr>
            <w:tcW w:w="4403" w:type="dxa"/>
            <w:gridSpan w:val="2"/>
            <w:tcBorders>
              <w:left w:val="single" w:color="000000" w:sz="4" w:space="0"/>
            </w:tcBorders>
            <w:noWrap w:val="0"/>
            <w:vAlign w:val="center"/>
          </w:tcPr>
          <w:p>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30" w:type="dxa"/>
            <w:noWrap w:val="0"/>
            <w:vAlign w:val="center"/>
          </w:tcPr>
          <w:p>
            <w:pPr>
              <w:spacing w:line="360" w:lineRule="auto"/>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4</w:t>
            </w:r>
          </w:p>
        </w:tc>
        <w:tc>
          <w:tcPr>
            <w:tcW w:w="2862" w:type="dxa"/>
            <w:gridSpan w:val="2"/>
            <w:noWrap w:val="0"/>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投标报价</w:t>
            </w:r>
          </w:p>
        </w:tc>
        <w:tc>
          <w:tcPr>
            <w:tcW w:w="4403" w:type="dxa"/>
            <w:gridSpan w:val="2"/>
            <w:noWrap w:val="0"/>
            <w:vAlign w:val="center"/>
          </w:tcPr>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同时满足以下条款：</w:t>
            </w:r>
          </w:p>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（1）报价唯一</w:t>
            </w:r>
          </w:p>
          <w:p>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（2）未超出采购预算或最高限价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30" w:type="dxa"/>
            <w:noWrap w:val="0"/>
            <w:vAlign w:val="center"/>
          </w:tcPr>
          <w:p>
            <w:pPr>
              <w:spacing w:line="360" w:lineRule="auto"/>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5</w:t>
            </w:r>
          </w:p>
        </w:tc>
        <w:tc>
          <w:tcPr>
            <w:tcW w:w="2862" w:type="dxa"/>
            <w:gridSpan w:val="2"/>
            <w:noWrap w:val="0"/>
            <w:vAlign w:val="center"/>
          </w:tcPr>
          <w:p>
            <w:pPr>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rPr>
              <w:t>商务要求</w:t>
            </w:r>
          </w:p>
        </w:tc>
        <w:tc>
          <w:tcPr>
            <w:tcW w:w="4403" w:type="dxa"/>
            <w:gridSpan w:val="2"/>
            <w:noWrap w:val="0"/>
            <w:vAlign w:val="center"/>
          </w:tcPr>
          <w:p>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满足</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30" w:type="dxa"/>
            <w:noWrap w:val="0"/>
            <w:vAlign w:val="center"/>
          </w:tcPr>
          <w:p>
            <w:pPr>
              <w:spacing w:line="360" w:lineRule="auto"/>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6</w:t>
            </w:r>
          </w:p>
        </w:tc>
        <w:tc>
          <w:tcPr>
            <w:tcW w:w="2862" w:type="dxa"/>
            <w:gridSpan w:val="2"/>
            <w:noWrap w:val="0"/>
            <w:vAlign w:val="center"/>
          </w:tcPr>
          <w:p>
            <w:pPr>
              <w:ind w:left="0" w:leftChars="0" w:firstLine="0" w:firstLineChars="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签署、盖章</w:t>
            </w:r>
          </w:p>
        </w:tc>
        <w:tc>
          <w:tcPr>
            <w:tcW w:w="4403" w:type="dxa"/>
            <w:gridSpan w:val="2"/>
            <w:noWrap w:val="0"/>
            <w:vAlign w:val="center"/>
          </w:tcPr>
          <w:p>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的签署、盖章合格、有效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30" w:type="dxa"/>
            <w:noWrap w:val="0"/>
            <w:vAlign w:val="center"/>
          </w:tcPr>
          <w:p>
            <w:pPr>
              <w:spacing w:line="360" w:lineRule="auto"/>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7</w:t>
            </w:r>
          </w:p>
        </w:tc>
        <w:tc>
          <w:tcPr>
            <w:tcW w:w="2862" w:type="dxa"/>
            <w:gridSpan w:val="2"/>
            <w:noWrap w:val="0"/>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rPr>
              <w:t>其他</w:t>
            </w:r>
          </w:p>
        </w:tc>
        <w:tc>
          <w:tcPr>
            <w:tcW w:w="4403" w:type="dxa"/>
            <w:gridSpan w:val="2"/>
            <w:noWrap w:val="0"/>
            <w:vAlign w:val="center"/>
          </w:tcPr>
          <w:p>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lang w:val="zh-CN"/>
              </w:rPr>
              <w:t>完全理解并接受法律法规和磋商文件对供应商的各项须知、规约要求和责任义务，没有出现法律法规或磋商文件明确规定的其他被视为“无效投标”的情形。</w:t>
            </w:r>
          </w:p>
        </w:tc>
      </w:tr>
    </w:tbl>
    <w:p>
      <w:pPr>
        <w:spacing w:before="120" w:beforeLines="50"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说明：以上各项有1项不合格，评审不予通过，作为未实质性响应磋商文件。</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2.3 未通过符合性检查的响应文件，为无效响应文件，不得进入后续评标环节。</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3.响应文件的澄清</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为有助于响应文件的审查、比较和评价，磋商小组可要求供应商对其响应文件中非实质性（响应文件中含义不明确、同类问题表述不一致或者有明显文字和计算错误的内容）的有关问题进行澄清、说明或者补正。有关澄清、说明或者补正的要求和答复应以书面（含电传、传真）形式提交，并由其法定代表人或委托代理人签字。供应商的澄清、说明或者补正不得超出响应文件的范围或者改变响应文件的实质性内容。磋商小组不接受供应商主动提出的澄清、说明。</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3.2 磋商小组对供应商提交的澄清、说明或者补正有疑问的，可以要求供应商进一步澄清、说明或者补正，直至满足磋商小组的要求。</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3.3 有效的书面澄清、说明或补正材料，是响应文件的补充材料，成为响应文件的组成部分。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4.响应文件比较与评价</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4.1磋商小组应按照磋商文件中规定的评标方法和标准，对符合性检查通过的响应文件进行商务和技术评估，综合比较与评价。</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4.2 如果响应文件没有实质性响应磋商文件的要求，磋商小组将予以拒绝。供应商不得通过修正或撤销不合要求的偏离或保留，从而使其投标成为实质性响应的投标。</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二、评标方法</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5.综合评分法</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5.1.本采购项目评标方法采用综合评分法。即响应文件能够最大限度的满足磋商文件规定的各项综合评分标准，按评审得分由高到低推荐3名</w:t>
      </w:r>
      <w:r>
        <w:rPr>
          <w:rFonts w:hint="eastAsia" w:ascii="宋体" w:hAnsi="宋体" w:eastAsia="宋体" w:cs="宋体"/>
          <w:color w:val="auto"/>
          <w:sz w:val="24"/>
          <w:szCs w:val="24"/>
          <w:highlight w:val="none"/>
          <w:lang w:eastAsia="zh-CN" w:bidi="ar"/>
        </w:rPr>
        <w:t>成交</w:t>
      </w:r>
      <w:r>
        <w:rPr>
          <w:rFonts w:hint="eastAsia" w:ascii="宋体" w:hAnsi="宋体" w:eastAsia="宋体" w:cs="宋体"/>
          <w:color w:val="auto"/>
          <w:sz w:val="24"/>
          <w:szCs w:val="24"/>
          <w:highlight w:val="none"/>
          <w:lang w:bidi="ar"/>
        </w:rPr>
        <w:t>候选人。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6.评标细则及标准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6.1磋商小组将综合分析供应商的各项评审因素，而不以单项评审因素的优劣评选出中标单位。对所有供应商的投标评估，都采用相同的程序和标准，严格按照磋商文件的要求和条件进行。</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评审因素包括：供应商资格条件、磋商报价、技术或者服务水平、履约能力、售后服务等对磋商文件的响应程度，以及相应的比重或者权值等。</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6.3</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综合评分操作程序为：</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评标委员会应按“评审要素及分值一览表”中规定的评标标准，对通过符合性和响应性审查的投标文件进行商务和技术评估，综合比较与评价。</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评标委员会应审查投标人是否具备“落实政府采购政策”的资格，如不符合相关文件要求或投标人未提供相关声明或证明材料，投标人不可以享受价格折扣优惠政策。</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6.5 非实质性偏离是指响应文件在实质上响应磋商文件的要求，但在个别地方存在一些不规则、不一致、不完整的内容，并且澄清、说明或者补正这些内容不会改变响应文件的实质性内容。以下情况属于非实质性偏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（1）文字表述的内容含义不明确；</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（2）同类问题表述不一致；</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（3）有明显文字和计算错误；</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（4）提供的技术信息和数据资料不完整；</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（5）响应文件未按磋商文件要求进行装订或未编制目录、页码；</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（6）磋商小组认定的其他非实质性偏离。</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响应文件有上述（1）至（4）情形之一的，磋商小组应当书面要求供应商在规定的时间内予以澄清、说明或补正。供应商拒不或在规定的时间内没有进行澄清、说明或补正或澄清、说明、补正的内容也不能说明问题的，视为响应文件制作不规范，按每一项非实质性偏离进行扣分处理，直至该项分值扣完为止。</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6.6 在响应文件符合性审查过程中，如果出现磋商小组成员意见不一致的情况，按照少数服从多数的原则确定。</w:t>
      </w:r>
    </w:p>
    <w:p>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6.7 本采购项目的评标因素和标准见下列综合评分明细表。</w:t>
      </w:r>
    </w:p>
    <w:p>
      <w:pPr>
        <w:spacing w:line="360" w:lineRule="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综合评分明细</w:t>
      </w:r>
    </w:p>
    <w:tbl>
      <w:tblPr>
        <w:tblStyle w:val="20"/>
        <w:tblW w:w="499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0"/>
        <w:gridCol w:w="1023"/>
        <w:gridCol w:w="1166"/>
        <w:gridCol w:w="6802"/>
        <w:gridCol w:w="5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695" w:type="pct"/>
            <w:gridSpan w:val="2"/>
            <w:tcBorders>
              <w:top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分值</w:t>
            </w:r>
          </w:p>
        </w:tc>
        <w:tc>
          <w:tcPr>
            <w:tcW w:w="586" w:type="pct"/>
            <w:tcBorders>
              <w:top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评审因素</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评审标准</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181" w:type="pct"/>
            <w:tcBorders>
              <w:top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51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报价     部分  </w:t>
            </w:r>
          </w:p>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（10分）</w:t>
            </w:r>
          </w:p>
        </w:tc>
        <w:tc>
          <w:tcPr>
            <w:tcW w:w="586" w:type="pct"/>
            <w:tcBorders>
              <w:top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报价得分</w:t>
            </w:r>
          </w:p>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计算公式</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满足采购文件要求且最后报价最低的投标人的价格为基准价得10分，其他各投标人的最后报价得分按下列公式计：报价得分=（基准价/投标报价）×10%×100。</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81" w:type="pct"/>
            <w:vMerge w:val="restart"/>
            <w:tcBorders>
              <w:top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513" w:type="pct"/>
            <w:vMerge w:val="restart"/>
            <w:tcBorders>
              <w:top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服务方案（70分）</w:t>
            </w:r>
          </w:p>
        </w:tc>
        <w:tc>
          <w:tcPr>
            <w:tcW w:w="586" w:type="pct"/>
            <w:tcBorders>
              <w:top w:val="single" w:color="auto" w:sz="4" w:space="0"/>
              <w:left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ascii="宋体" w:hAnsi="宋体" w:cs="宋体"/>
                <w:color w:val="auto"/>
                <w:sz w:val="21"/>
                <w:szCs w:val="21"/>
                <w:highlight w:val="none"/>
              </w:rPr>
            </w:pPr>
            <w:r>
              <w:rPr>
                <w:rFonts w:hint="eastAsia" w:ascii="宋体" w:hAnsi="宋体" w:cs="宋体"/>
                <w:color w:val="auto"/>
                <w:sz w:val="21"/>
                <w:szCs w:val="21"/>
                <w:highlight w:val="none"/>
              </w:rPr>
              <w:t>需求理解与分析</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投标人对项目整体运维需求内容理解清晰，所提供的方案对①项目背景、②项目维护必要性、③项目维护目标内容进行阐述。</w:t>
            </w:r>
          </w:p>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lang w:val="zh-CN" w:eastAsia="zh-CN"/>
              </w:rPr>
              <w:t>总体思路清晰、合理、可行性强计</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val="zh-CN" w:eastAsia="zh-CN"/>
              </w:rPr>
              <w:t>分；总体思路较清晰、合理，可行性较强计</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val="zh-CN" w:eastAsia="zh-CN"/>
              </w:rPr>
              <w:t>分，总体思路差得0-</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zh-CN" w:eastAsia="zh-CN"/>
              </w:rPr>
              <w:t xml:space="preserve">分。 </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default" w:ascii="宋体" w:hAnsi="宋体" w:cs="宋体"/>
                <w:color w:val="auto"/>
                <w:sz w:val="21"/>
                <w:szCs w:val="21"/>
                <w:highlight w:val="none"/>
                <w:lang w:val="en-US"/>
              </w:rPr>
            </w:pPr>
            <w:r>
              <w:rPr>
                <w:rFonts w:hint="eastAsia" w:ascii="宋体" w:hAnsi="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2" w:hRule="atLeast"/>
          <w:jc w:val="center"/>
        </w:trPr>
        <w:tc>
          <w:tcPr>
            <w:tcW w:w="181"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13"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86" w:type="pct"/>
            <w:tcBorders>
              <w:top w:val="single" w:color="auto" w:sz="4" w:space="0"/>
              <w:left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ascii="宋体" w:hAnsi="宋体" w:cs="宋体"/>
                <w:color w:val="auto"/>
                <w:sz w:val="21"/>
                <w:szCs w:val="21"/>
                <w:highlight w:val="none"/>
              </w:rPr>
            </w:pPr>
            <w:r>
              <w:rPr>
                <w:rFonts w:hint="eastAsia" w:ascii="宋体" w:hAnsi="宋体" w:cs="宋体"/>
                <w:color w:val="auto"/>
                <w:sz w:val="21"/>
                <w:szCs w:val="21"/>
                <w:highlight w:val="none"/>
              </w:rPr>
              <w:t>运维服务内容</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针对运维服务内容响应方案进行打分。</w:t>
            </w:r>
          </w:p>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lang w:val="zh-CN" w:eastAsia="zh-CN"/>
              </w:rPr>
              <w:t>内容详细、合理，</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eastAsia="zh-CN"/>
              </w:rPr>
              <w:t>基本合理，</w:t>
            </w:r>
            <w:r>
              <w:rPr>
                <w:rFonts w:hint="eastAsia" w:ascii="宋体" w:hAnsi="宋体" w:cs="宋体"/>
                <w:color w:val="auto"/>
                <w:sz w:val="21"/>
                <w:szCs w:val="21"/>
                <w:highlight w:val="none"/>
                <w:lang w:val="zh-CN" w:eastAsia="zh-CN"/>
              </w:rPr>
              <w:t>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val="en-US" w:eastAsia="zh-CN"/>
              </w:rPr>
              <w:t>不完善，内容欠缺得0-2分</w:t>
            </w:r>
            <w:r>
              <w:rPr>
                <w:rFonts w:hint="eastAsia" w:ascii="宋体" w:hAnsi="宋体" w:cs="宋体"/>
                <w:color w:val="auto"/>
                <w:sz w:val="21"/>
                <w:szCs w:val="21"/>
                <w:highlight w:val="none"/>
              </w:rPr>
              <w:t>。</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default" w:ascii="宋体" w:hAnsi="宋体" w:cs="宋体"/>
                <w:color w:val="auto"/>
                <w:sz w:val="21"/>
                <w:szCs w:val="21"/>
                <w:highlight w:val="none"/>
                <w:lang w:val="en-US"/>
              </w:rPr>
            </w:pPr>
            <w:r>
              <w:rPr>
                <w:rFonts w:hint="eastAsia" w:ascii="宋体" w:hAnsi="宋体" w:cs="宋体"/>
                <w:color w:val="auto"/>
                <w:kern w:val="0"/>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81"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13"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8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ascii="宋体" w:hAnsi="宋体" w:cs="宋体"/>
                <w:color w:val="auto"/>
                <w:sz w:val="21"/>
                <w:szCs w:val="21"/>
                <w:highlight w:val="none"/>
              </w:rPr>
            </w:pPr>
            <w:r>
              <w:rPr>
                <w:rFonts w:hint="eastAsia" w:ascii="宋体" w:hAnsi="宋体" w:cs="宋体"/>
                <w:color w:val="auto"/>
                <w:sz w:val="21"/>
                <w:szCs w:val="21"/>
                <w:highlight w:val="none"/>
              </w:rPr>
              <w:t>响应及维护体系方案</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根据投标人提供的响应及维护方案内容的完整性进行综合比较评分。</w:t>
            </w:r>
          </w:p>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方案</w:t>
            </w:r>
            <w:r>
              <w:rPr>
                <w:rFonts w:hint="eastAsia" w:ascii="宋体" w:hAnsi="宋体" w:cs="宋体"/>
                <w:color w:val="auto"/>
                <w:sz w:val="21"/>
                <w:szCs w:val="21"/>
                <w:highlight w:val="none"/>
                <w:lang w:val="zh-CN" w:eastAsia="zh-CN"/>
              </w:rPr>
              <w:t>内容详细、合理，</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eastAsia="zh-CN"/>
              </w:rPr>
              <w:t>基本合理，</w:t>
            </w:r>
            <w:r>
              <w:rPr>
                <w:rFonts w:hint="eastAsia" w:ascii="宋体" w:hAnsi="宋体" w:cs="宋体"/>
                <w:color w:val="auto"/>
                <w:sz w:val="21"/>
                <w:szCs w:val="21"/>
                <w:highlight w:val="none"/>
                <w:lang w:val="zh-CN" w:eastAsia="zh-CN"/>
              </w:rPr>
              <w:t>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val="en-US" w:eastAsia="zh-CN"/>
              </w:rPr>
              <w:t>不完善，内容欠缺得0-3分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zh-CN" w:eastAsia="zh-CN"/>
              </w:rPr>
              <w:t xml:space="preserve"> </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4" w:hRule="atLeast"/>
          <w:jc w:val="center"/>
        </w:trPr>
        <w:tc>
          <w:tcPr>
            <w:tcW w:w="181"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13"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8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ascii="宋体" w:hAnsi="宋体" w:cs="宋体"/>
                <w:color w:val="auto"/>
                <w:sz w:val="21"/>
                <w:szCs w:val="21"/>
                <w:highlight w:val="none"/>
              </w:rPr>
            </w:pPr>
            <w:r>
              <w:rPr>
                <w:rFonts w:hint="eastAsia" w:ascii="宋体" w:hAnsi="宋体" w:cs="宋体"/>
                <w:color w:val="auto"/>
                <w:sz w:val="21"/>
                <w:szCs w:val="21"/>
                <w:highlight w:val="none"/>
              </w:rPr>
              <w:t>应急处理程序方案</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根据投标人提供的应急处理方案内容的完整性进行综合比较评分。</w:t>
            </w:r>
          </w:p>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方案</w:t>
            </w:r>
            <w:r>
              <w:rPr>
                <w:rFonts w:hint="eastAsia" w:ascii="宋体" w:hAnsi="宋体" w:cs="宋体"/>
                <w:color w:val="auto"/>
                <w:sz w:val="21"/>
                <w:szCs w:val="21"/>
                <w:highlight w:val="none"/>
                <w:lang w:val="zh-CN" w:eastAsia="zh-CN"/>
              </w:rPr>
              <w:t>内容详细、合理，</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eastAsia="zh-CN"/>
              </w:rPr>
              <w:t>基本合理，</w:t>
            </w:r>
            <w:r>
              <w:rPr>
                <w:rFonts w:hint="eastAsia" w:ascii="宋体" w:hAnsi="宋体" w:cs="宋体"/>
                <w:color w:val="auto"/>
                <w:sz w:val="21"/>
                <w:szCs w:val="21"/>
                <w:highlight w:val="none"/>
                <w:lang w:val="zh-CN" w:eastAsia="zh-CN"/>
              </w:rPr>
              <w:t>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val="en-US" w:eastAsia="zh-CN"/>
              </w:rPr>
              <w:t>不完善，内容欠缺得0-2分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zh-CN" w:eastAsia="zh-CN"/>
              </w:rPr>
              <w:t xml:space="preserve"> </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default" w:ascii="宋体" w:hAnsi="宋体" w:cs="宋体"/>
                <w:color w:val="auto"/>
                <w:sz w:val="21"/>
                <w:szCs w:val="21"/>
                <w:highlight w:val="none"/>
                <w:lang w:val="en-US"/>
              </w:rPr>
            </w:pPr>
            <w:r>
              <w:rPr>
                <w:rFonts w:hint="eastAsia" w:ascii="宋体" w:hAnsi="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81"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13"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8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风险管理措施方案</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根据投标人提供的风险管理措施方案内容的完整性进行综合比较评分。</w:t>
            </w:r>
          </w:p>
          <w:p>
            <w:pPr>
              <w:adjustRightInd w:val="0"/>
              <w:spacing w:line="240" w:lineRule="auto"/>
              <w:ind w:firstLine="0" w:firstLineChars="0"/>
              <w:textAlignment w:val="baseline"/>
              <w:rPr>
                <w:rFonts w:hint="eastAsia" w:ascii="宋体" w:hAnsi="宋体" w:cs="宋体"/>
                <w:color w:val="auto"/>
                <w:sz w:val="21"/>
                <w:szCs w:val="21"/>
                <w:highlight w:val="none"/>
                <w:lang w:val="zh-CN" w:eastAsia="zh-CN"/>
              </w:rPr>
            </w:pPr>
            <w:r>
              <w:rPr>
                <w:rFonts w:hint="eastAsia" w:ascii="宋体" w:hAnsi="宋体" w:cs="宋体"/>
                <w:color w:val="auto"/>
                <w:sz w:val="21"/>
                <w:szCs w:val="21"/>
                <w:highlight w:val="none"/>
              </w:rPr>
              <w:t>方案</w:t>
            </w:r>
            <w:r>
              <w:rPr>
                <w:rFonts w:hint="eastAsia" w:ascii="宋体" w:hAnsi="宋体" w:cs="宋体"/>
                <w:color w:val="auto"/>
                <w:sz w:val="21"/>
                <w:szCs w:val="21"/>
                <w:highlight w:val="none"/>
                <w:lang w:val="zh-CN" w:eastAsia="zh-CN"/>
              </w:rPr>
              <w:t>内容详细、合理，</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eastAsia="zh-CN"/>
              </w:rPr>
              <w:t>基本合理，</w:t>
            </w:r>
            <w:r>
              <w:rPr>
                <w:rFonts w:hint="eastAsia" w:ascii="宋体" w:hAnsi="宋体" w:cs="宋体"/>
                <w:color w:val="auto"/>
                <w:sz w:val="21"/>
                <w:szCs w:val="21"/>
                <w:highlight w:val="none"/>
                <w:lang w:val="zh-CN" w:eastAsia="zh-CN"/>
              </w:rPr>
              <w:t>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val="en-US" w:eastAsia="zh-CN"/>
              </w:rPr>
              <w:t>不完善，内容欠缺得0-2分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zh-CN" w:eastAsia="zh-CN"/>
              </w:rPr>
              <w:t xml:space="preserve"> </w:t>
            </w:r>
          </w:p>
          <w:p>
            <w:pPr>
              <w:adjustRightInd w:val="0"/>
              <w:spacing w:line="240" w:lineRule="auto"/>
              <w:ind w:firstLine="0" w:firstLineChars="0"/>
              <w:textAlignment w:val="baseline"/>
              <w:rPr>
                <w:rFonts w:hint="eastAsia" w:ascii="宋体" w:hAnsi="宋体" w:cs="宋体"/>
                <w:color w:val="auto"/>
                <w:sz w:val="21"/>
                <w:szCs w:val="21"/>
                <w:highlight w:val="none"/>
              </w:rPr>
            </w:pP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81"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13"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8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保障措施方案</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根据投标人提供的保障措施方案内容的完整性进行综合比较评分。</w:t>
            </w:r>
          </w:p>
          <w:p>
            <w:pPr>
              <w:adjustRightInd w:val="0"/>
              <w:spacing w:line="240" w:lineRule="auto"/>
              <w:ind w:firstLine="0" w:firstLineChars="0"/>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方案内容</w:t>
            </w:r>
            <w:r>
              <w:rPr>
                <w:rFonts w:hint="eastAsia" w:ascii="宋体" w:hAnsi="宋体" w:cs="宋体"/>
                <w:color w:val="auto"/>
                <w:sz w:val="21"/>
                <w:szCs w:val="21"/>
                <w:highlight w:val="none"/>
                <w:lang w:val="zh-CN" w:eastAsia="zh-CN"/>
              </w:rPr>
              <w:t>详细、合理，</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eastAsia="zh-CN"/>
              </w:rPr>
              <w:t>基本合理，</w:t>
            </w:r>
            <w:r>
              <w:rPr>
                <w:rFonts w:hint="eastAsia" w:ascii="宋体" w:hAnsi="宋体" w:cs="宋体"/>
                <w:color w:val="auto"/>
                <w:sz w:val="21"/>
                <w:szCs w:val="21"/>
                <w:highlight w:val="none"/>
                <w:lang w:val="zh-CN" w:eastAsia="zh-CN"/>
              </w:rPr>
              <w:t>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val="zh-CN" w:eastAsia="zh-CN"/>
              </w:rPr>
              <w:t>分；</w:t>
            </w:r>
            <w:r>
              <w:rPr>
                <w:rFonts w:hint="eastAsia" w:ascii="宋体" w:hAnsi="宋体" w:cs="宋体"/>
                <w:color w:val="auto"/>
                <w:sz w:val="21"/>
                <w:szCs w:val="21"/>
                <w:highlight w:val="none"/>
                <w:lang w:val="en-US" w:eastAsia="zh-CN"/>
              </w:rPr>
              <w:t>不完善，内容欠缺得0-2分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zh-CN" w:eastAsia="zh-CN"/>
              </w:rPr>
              <w:t xml:space="preserve"> </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1" w:type="pct"/>
            <w:tcBorders>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13" w:type="pct"/>
            <w:tcBorders>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p>
        </w:tc>
        <w:tc>
          <w:tcPr>
            <w:tcW w:w="58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根据供应商针对本项目拟委派人员的配置结构（提供项目组人员名单以及相关证件）及人员相关经验，由专家赋分：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配备人员结构及数量满足项目要求，均具有与本项目相关的经验得6-8分；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配备人员结构及数量满足项目要求，部分人员具有与本项目相关的经验得：3-5分；</w:t>
            </w:r>
          </w:p>
          <w:p>
            <w:pPr>
              <w:pStyle w:val="18"/>
              <w:spacing w:line="240" w:lineRule="auto"/>
              <w:ind w:left="0" w:leftChars="0" w:firstLine="0" w:firstLineChars="0"/>
              <w:rPr>
                <w:rFonts w:hint="default"/>
                <w:sz w:val="21"/>
                <w:szCs w:val="21"/>
                <w:lang w:val="en-US" w:eastAsia="zh-CN"/>
              </w:rPr>
            </w:pPr>
            <w:r>
              <w:rPr>
                <w:rFonts w:hint="eastAsia" w:ascii="宋体" w:hAnsi="宋体" w:eastAsia="宋体" w:cs="宋体"/>
                <w:sz w:val="21"/>
                <w:szCs w:val="21"/>
                <w:lang w:val="en-US" w:eastAsia="zh-CN"/>
              </w:rPr>
              <w:t>配备人员结构及数量基本满足项目要求，存在不足，部分人员具有与本项目相关的经验得：0-2分。</w:t>
            </w:r>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rPr>
            </w:pPr>
            <w:r>
              <w:rPr>
                <w:rFonts w:hint="eastAsia" w:ascii="宋体" w:hAnsi="宋体" w:cs="宋体"/>
                <w:color w:val="auto"/>
                <w:kern w:val="0"/>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81" w:type="pct"/>
            <w:vMerge w:val="restart"/>
            <w:tcBorders>
              <w:top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513" w:type="pct"/>
            <w:vMerge w:val="restart"/>
            <w:tcBorders>
              <w:top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lang w:val="en-US" w:eastAsia="zh-CN"/>
              </w:rPr>
            </w:pPr>
          </w:p>
          <w:p>
            <w:pPr>
              <w:adjustRightInd w:val="0"/>
              <w:spacing w:line="240" w:lineRule="auto"/>
              <w:ind w:firstLine="0" w:firstLineChars="0"/>
              <w:jc w:val="center"/>
              <w:textAlignment w:val="baseline"/>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履约能力（20分）</w:t>
            </w:r>
          </w:p>
        </w:tc>
        <w:tc>
          <w:tcPr>
            <w:tcW w:w="586" w:type="pct"/>
            <w:tcBorders>
              <w:top w:val="single" w:color="auto" w:sz="4" w:space="0"/>
              <w:left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履约</w:t>
            </w:r>
          </w:p>
          <w:p>
            <w:pPr>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val="en-US" w:eastAsia="zh-CN"/>
              </w:rPr>
              <w:t>能力</w:t>
            </w:r>
          </w:p>
        </w:tc>
        <w:tc>
          <w:tcPr>
            <w:tcW w:w="3419" w:type="pct"/>
            <w:tcBorders>
              <w:top w:val="single" w:color="auto" w:sz="4" w:space="0"/>
              <w:left w:val="single" w:color="auto" w:sz="4" w:space="0"/>
              <w:right w:val="single" w:color="auto" w:sz="4" w:space="0"/>
            </w:tcBorders>
            <w:noWrap w:val="0"/>
            <w:vAlign w:val="center"/>
          </w:tcPr>
          <w:p>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val="en-US" w:eastAsia="zh-CN"/>
              </w:rPr>
              <w:t>投标人能够根据采购需求，提供售后服务方案，应至少涵盖但不限于售后服务流程、售后服务内容、响应时间等,售后服务方案完整详细，切实可行,得7-10分；售后服务方案较为详细，有一两部分缺失、可行得4-6分；有售后服务，但是方案一般得1-3分；以上内容未提供或未进行描述的不计分。</w:t>
            </w:r>
          </w:p>
        </w:tc>
        <w:tc>
          <w:tcPr>
            <w:tcW w:w="299" w:type="pct"/>
            <w:tcBorders>
              <w:top w:val="single" w:color="auto" w:sz="4" w:space="0"/>
              <w:left w:val="single" w:color="auto" w:sz="4" w:space="0"/>
              <w:bottom w:val="single" w:color="auto" w:sz="4" w:space="0"/>
              <w:right w:val="single" w:color="auto" w:sz="4" w:space="0"/>
            </w:tcBorders>
            <w:noWrap w:val="0"/>
            <w:vAlign w:val="center"/>
          </w:tcPr>
          <w:p>
            <w:pPr>
              <w:pStyle w:val="6"/>
              <w:numPr>
                <w:ilvl w:val="0"/>
                <w:numId w:val="0"/>
              </w:numPr>
              <w:tabs>
                <w:tab w:val="left" w:pos="420"/>
              </w:tabs>
              <w:ind w:left="0" w:leftChars="0" w:firstLine="0" w:firstLineChars="0"/>
              <w:jc w:val="center"/>
              <w:rPr>
                <w:rFonts w:hint="default" w:ascii="宋体" w:hAnsi="宋体" w:cs="宋体"/>
                <w:color w:val="auto"/>
                <w:sz w:val="21"/>
                <w:szCs w:val="21"/>
                <w:highlight w:val="none"/>
                <w:lang w:val="en-US"/>
              </w:rPr>
            </w:pPr>
            <w:r>
              <w:rPr>
                <w:rFonts w:hint="eastAsia" w:cs="宋体"/>
                <w:b w:val="0"/>
                <w:bCs w:val="0"/>
                <w:color w:val="auto"/>
                <w:spacing w:val="0"/>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81"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lang w:val="en-US" w:eastAsia="zh-CN"/>
              </w:rPr>
            </w:pPr>
          </w:p>
        </w:tc>
        <w:tc>
          <w:tcPr>
            <w:tcW w:w="513" w:type="pct"/>
            <w:vMerge w:val="continue"/>
            <w:tcBorders>
              <w:right w:val="single" w:color="auto" w:sz="4" w:space="0"/>
            </w:tcBorders>
            <w:noWrap w:val="0"/>
            <w:vAlign w:val="center"/>
          </w:tcPr>
          <w:p>
            <w:pPr>
              <w:adjustRightInd w:val="0"/>
              <w:spacing w:line="240" w:lineRule="auto"/>
              <w:ind w:firstLine="0" w:firstLineChars="0"/>
              <w:jc w:val="center"/>
              <w:textAlignment w:val="baseline"/>
              <w:rPr>
                <w:rFonts w:hint="eastAsia" w:ascii="宋体" w:hAnsi="宋体" w:cs="宋体"/>
                <w:color w:val="auto"/>
                <w:sz w:val="21"/>
                <w:szCs w:val="21"/>
                <w:highlight w:val="none"/>
                <w:lang w:val="en-US" w:eastAsia="zh-CN"/>
              </w:rPr>
            </w:pPr>
          </w:p>
        </w:tc>
        <w:tc>
          <w:tcPr>
            <w:tcW w:w="586" w:type="pct"/>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业绩</w:t>
            </w:r>
          </w:p>
        </w:tc>
        <w:tc>
          <w:tcPr>
            <w:tcW w:w="3419" w:type="pct"/>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近三年同类项目业绩（以合同</w:t>
            </w:r>
            <w:r>
              <w:rPr>
                <w:rFonts w:hint="eastAsia" w:ascii="宋体" w:hAnsi="宋体" w:cs="宋体"/>
                <w:sz w:val="21"/>
                <w:szCs w:val="21"/>
                <w:lang w:val="en-US" w:eastAsia="zh-CN"/>
              </w:rPr>
              <w:t>或中标通知书</w:t>
            </w:r>
            <w:r>
              <w:rPr>
                <w:rFonts w:hint="eastAsia" w:ascii="宋体" w:hAnsi="宋体" w:eastAsia="宋体" w:cs="宋体"/>
                <w:sz w:val="21"/>
                <w:szCs w:val="21"/>
                <w:lang w:val="en-US" w:eastAsia="zh-CN"/>
              </w:rPr>
              <w:t>为准），每提供1份得2.5分，最高得10分</w:t>
            </w:r>
            <w:bookmarkStart w:id="61" w:name="_GoBack"/>
            <w:bookmarkEnd w:id="61"/>
          </w:p>
        </w:tc>
        <w:tc>
          <w:tcPr>
            <w:tcW w:w="2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uto"/>
              <w:ind w:firstLine="0" w:firstLineChars="0"/>
              <w:jc w:val="center"/>
              <w:textAlignment w:val="baseline"/>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r>
    </w:tbl>
    <w:p>
      <w:pPr>
        <w:spacing w:before="120" w:beforeLines="50"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7.无效投标的认定</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7.1 在评标过程中，出现下列情形之一的，应作为无效投标：</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（1）未按照磋商文件规定和要求签署、盖章的；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（2）未按照磋商文件规定的格式要求编制的；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（3）响应内容出现漏项或数量与要求不符的；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（4）磋商有效期、交货时间、质保期、售后服务等商务条款不能满足磋商文件要求的；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（5）供应商的磋商报价超过了采购人的预算控制价的；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（6）响应文件中附有采购人不能接受附加条件的；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（7）响应产品的技术规格、技术标准明显不符合招标项目的要求的；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（8）响应货物（服务）不符合强制执行的国家标准；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（9）响应货物（服务）不是国家强制节能产品政府采购清单的产品（如涉及）；</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（10）响应文件的关键内容字迹模糊和无法辨认的；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（11）响应文件不符合磋商文件规定的其他情形的；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（12）响应文件不符合法律法规要求的。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8.特殊情况的处理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8.1 响应文件中如果出现计算错误，可按以下原则进行修正：</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（1）响应文件中的大写金额与小写金额不一致的，以大写金额为准；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（2）响应文件中的总价金额与按单价计算的汇总金额不一致的，以单价计算的汇总金额为准；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（3）响应文件中的单价金额有明显小数点错误的，以总价为准，并修改单价；</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（4）响应文件中有关分项表内容与“磋商一览</w:t>
      </w:r>
      <w:r>
        <w:rPr>
          <w:rFonts w:hint="eastAsia" w:ascii="宋体" w:hAnsi="宋体" w:eastAsia="宋体" w:cs="宋体"/>
          <w:color w:val="auto"/>
          <w:sz w:val="24"/>
          <w:szCs w:val="24"/>
          <w:highlight w:val="none"/>
          <w:lang w:val="zh-CN" w:bidi="ar"/>
        </w:rPr>
        <w:t>表</w:t>
      </w:r>
      <w:r>
        <w:rPr>
          <w:rFonts w:hint="eastAsia" w:ascii="宋体" w:hAnsi="宋体" w:eastAsia="宋体" w:cs="宋体"/>
          <w:color w:val="auto"/>
          <w:sz w:val="24"/>
          <w:szCs w:val="24"/>
          <w:highlight w:val="none"/>
          <w:lang w:bidi="ar"/>
        </w:rPr>
        <w:t>”不一致的，以“磋商一览</w:t>
      </w:r>
      <w:r>
        <w:rPr>
          <w:rFonts w:hint="eastAsia" w:ascii="宋体" w:hAnsi="宋体" w:eastAsia="宋体" w:cs="宋体"/>
          <w:color w:val="auto"/>
          <w:sz w:val="24"/>
          <w:szCs w:val="24"/>
          <w:highlight w:val="none"/>
          <w:lang w:val="zh-CN" w:bidi="ar"/>
        </w:rPr>
        <w:t>表</w:t>
      </w:r>
      <w:r>
        <w:rPr>
          <w:rFonts w:hint="eastAsia" w:ascii="宋体" w:hAnsi="宋体" w:eastAsia="宋体" w:cs="宋体"/>
          <w:color w:val="auto"/>
          <w:sz w:val="24"/>
          <w:szCs w:val="24"/>
          <w:highlight w:val="none"/>
          <w:lang w:bidi="ar"/>
        </w:rPr>
        <w:t>”为准；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（5）响应文件中图表与文字表述不一致的，以文字表述为准；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（6）响应文件正本与副本不一致的，以正本为准；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（7）对不同文字文本响应文件的解释发生异议的，以中文文本为准。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按上述修正错误的方法调整的磋商报价应对供应商具有约束力。如果供应商不接受修正后的价格，其投标将被拒绝。</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8.2 响应文件中，若某项有不合理报价（或零报价、漏报价）的，经磋商小组评审后，此项得分为零，不参与磋商报价分值的计算。</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8.3 评委打分超过得分界限或未按本办法赋分时，该评委的打分，按废票处理。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8.4 评标过程中，各种数字的计算结果，均保留两位小数，第三位“四舍五入”，但计算百分数时应精确到千分位，万分位“四舍五入”。</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8.5 相同品牌的处理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提供相同品牌产品且通过资格审查、符合性审查的不同供应商参加同一合同项下投标的，按一家供应商计算，评审后得分最高的同品牌供应商获得中标人推荐资格；评审得分相同的，由采购人或者采购人委托磋商小组按照磋商文件规定的方式确定一个供应商获得中标人推荐资格，磋商文件未规定的采取随机抽取方式确定，其他同品牌供应商不作为中标候选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8.6 评标过程中，若出现本评标办法以外的特殊情况时，将暂停评标，待磋商小组商榷后，再进行评定。</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8.7 评标结果汇总完成后，除下列情形外，任何人不得修改评标结果：</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（1）分值汇总计算错误的；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（2）分项评分超出评分标准范围的；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（3）磋商小组对客观评审因素评分不一致的；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（4）经磋商小组认定评分畸高、畸低的。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中标结果的，书面报本级财政部门认定。</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供应商对本条第一款情形提出质疑的，采购代理机构应当组织原磋商小组进行重新评审，重新评审改变中标结果的，应当报本级财政部门备案。</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8.8 评标过程中，若出现合格供应商只有2家时，由采购人按照《货物和服务招标投标管理办法》（财政部87号令）第43条规定，改作竞争性谈判，继续采购活动。</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8.9 若选择竞争性谈判继续采购活动时，应当按下列程序进行：</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（1）由磋商小组出具磋商文件没有不合理条款、招标程序符合规定的书面意见并签署；</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（2）由采购人按规定向财政部门提出采购方式改为竞争性谈判的申请；</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（3）采购代理机构根据财政部门批准的竞争性谈判采购方式，编制竞争性谈判文件，并直接向这2家合格供应商提供竞争性谈判文件；</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（4）采购代理机构根据竞争性谈判文件规定的时间、地点与这2家合格供应商进行竞争性谈判。</w:t>
      </w:r>
    </w:p>
    <w:p>
      <w:pPr>
        <w:spacing w:line="360" w:lineRule="auto"/>
        <w:ind w:firstLine="482" w:firstLineChars="200"/>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四、评标专家义务与纪律</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9.评标专家在政府采购活动中承担以下义务：</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9.1 遵纪守法，客观、公正、廉洁地履行职责。</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9.2 按照政府采购法律法规和采购文件的规定要求对供应商的资格条件和供应商提供的产品价格、技术、商务、服务等方面严格进行评判，提供科学合理、公平公正的评审意见，参与起草评审报告，并予签字确认。</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9.3 保守秘密。不得透露采购文件咨询情况，不得泄漏供应商的响应文件及知悉的商业秘密，不得向供应商透露评审情况。</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9.4 发现供应商在政府采购活动中有不正当竞争或恶意串通等违规行为，及时向政府采购评审工作的组织者或财政部门报告并加以制止。发现采购人、政府采购代理机构及其工作人员在政府采购活动中有干预评审、发表倾向性和歧视性言论、受贿或者接受供应商的其他好处及其他违法违规行为，及时向财政部门报告。</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9.5 解答有关方面对政府采购评审工作中有关问题的询问，配合采购人或者政府采购代理机构答复供应商质疑，配合财政部门的投诉处理工作等事宜。</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9.6 法律、法规和规章规定的其他义务。</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10.在评标中，磋商小组及其成员不得有下列行为：</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（1）确定参与评标至评标结束前私自接触供应商；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（2）接受供应商提出的与响应文件不一致的澄清和说明；</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（3）征询采购人的倾向性意见；</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（4）对主观评审因素协商评分；</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（5）对客观评审因素评分不一致；</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（6）在评标过程中擅离职守，影响评标程序正常进行的；</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（7）记录、复制或带走任何评标资料。</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（8）有关部门（机构）制定的其他评审工作纪律。</w:t>
      </w:r>
    </w:p>
    <w:p>
      <w:pPr>
        <w:spacing w:line="36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磋商小组成员有前款第一至四项行为之一的，其评审意见无效。</w:t>
      </w:r>
    </w:p>
    <w:p>
      <w:pPr>
        <w:spacing w:line="360" w:lineRule="auto"/>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br w:type="page"/>
      </w:r>
      <w:bookmarkStart w:id="25" w:name="_Toc2070"/>
      <w:bookmarkStart w:id="26" w:name="_Toc3333"/>
    </w:p>
    <w:p>
      <w:pPr>
        <w:spacing w:line="360" w:lineRule="auto"/>
        <w:jc w:val="center"/>
        <w:rPr>
          <w:rFonts w:hint="eastAsia" w:ascii="宋体" w:hAnsi="宋体" w:eastAsia="宋体" w:cs="宋体"/>
          <w:bCs w:val="0"/>
          <w:color w:val="auto"/>
          <w:sz w:val="32"/>
          <w:szCs w:val="32"/>
          <w:highlight w:val="none"/>
        </w:rPr>
      </w:pPr>
      <w:r>
        <w:rPr>
          <w:rFonts w:hint="eastAsia" w:ascii="宋体" w:hAnsi="宋体" w:eastAsia="宋体" w:cs="宋体"/>
          <w:bCs w:val="0"/>
          <w:color w:val="auto"/>
          <w:sz w:val="32"/>
          <w:szCs w:val="32"/>
          <w:highlight w:val="none"/>
          <w:lang w:val="en-US" w:eastAsia="zh-CN"/>
        </w:rPr>
        <w:t xml:space="preserve">第六章  </w:t>
      </w:r>
      <w:r>
        <w:rPr>
          <w:rFonts w:hint="eastAsia" w:ascii="宋体" w:hAnsi="宋体" w:eastAsia="宋体" w:cs="宋体"/>
          <w:bCs w:val="0"/>
          <w:color w:val="auto"/>
          <w:sz w:val="32"/>
          <w:szCs w:val="32"/>
          <w:highlight w:val="none"/>
        </w:rPr>
        <w:t>磋商响应文件格式</w:t>
      </w:r>
      <w:bookmarkEnd w:id="25"/>
      <w:bookmarkEnd w:id="26"/>
    </w:p>
    <w:p>
      <w:pPr>
        <w:pStyle w:val="12"/>
        <w:ind w:left="0" w:leftChars="0" w:right="1960"/>
        <w:rPr>
          <w:color w:val="auto"/>
          <w:highlight w:val="none"/>
        </w:rPr>
      </w:pPr>
    </w:p>
    <w:p>
      <w:pPr>
        <w:rPr>
          <w:rFonts w:ascii="宋体" w:hAnsi="宋体" w:eastAsia="宋体" w:cs="宋体"/>
          <w:bCs/>
          <w:color w:val="auto"/>
          <w:sz w:val="24"/>
          <w:szCs w:val="24"/>
          <w:highlight w:val="none"/>
          <w:u w:val="single"/>
        </w:rPr>
      </w:pPr>
      <w:bookmarkStart w:id="27" w:name="_Toc217446082"/>
    </w:p>
    <w:p>
      <w:pPr>
        <w:pStyle w:val="12"/>
        <w:ind w:left="1960" w:right="1960"/>
        <w:jc w:val="center"/>
        <w:rPr>
          <w:rFonts w:ascii="宋体" w:hAnsi="宋体" w:eastAsia="宋体" w:cs="宋体"/>
          <w:b/>
          <w:bCs/>
          <w:color w:val="auto"/>
          <w:sz w:val="40"/>
          <w:szCs w:val="40"/>
          <w:highlight w:val="none"/>
        </w:rPr>
      </w:pPr>
      <w:r>
        <w:rPr>
          <w:rFonts w:hint="eastAsia" w:ascii="宋体" w:hAnsi="宋体" w:cs="宋体"/>
          <w:b/>
          <w:bCs/>
          <w:color w:val="auto"/>
          <w:sz w:val="40"/>
          <w:szCs w:val="40"/>
          <w:highlight w:val="none"/>
          <w:lang w:eastAsia="zh-CN"/>
        </w:rPr>
        <w:t>（</w:t>
      </w:r>
      <w:r>
        <w:rPr>
          <w:rFonts w:hint="eastAsia" w:ascii="宋体" w:hAnsi="宋体" w:cs="宋体"/>
          <w:b/>
          <w:bCs/>
          <w:color w:val="auto"/>
          <w:sz w:val="40"/>
          <w:szCs w:val="40"/>
          <w:highlight w:val="none"/>
          <w:lang w:val="en-US" w:eastAsia="zh-CN"/>
        </w:rPr>
        <w:t>项目名称</w:t>
      </w:r>
      <w:r>
        <w:rPr>
          <w:rFonts w:hint="eastAsia" w:ascii="宋体" w:hAnsi="宋体" w:cs="宋体"/>
          <w:b/>
          <w:bCs/>
          <w:color w:val="auto"/>
          <w:sz w:val="40"/>
          <w:szCs w:val="40"/>
          <w:highlight w:val="none"/>
          <w:lang w:eastAsia="zh-CN"/>
        </w:rPr>
        <w:t>）</w:t>
      </w:r>
    </w:p>
    <w:p>
      <w:pPr>
        <w:pStyle w:val="12"/>
        <w:ind w:left="1960" w:right="1960"/>
        <w:rPr>
          <w:color w:val="auto"/>
          <w:highlight w:val="none"/>
        </w:rPr>
      </w:pPr>
    </w:p>
    <w:p>
      <w:pPr>
        <w:jc w:val="center"/>
        <w:rPr>
          <w:rFonts w:hint="eastAsia"/>
          <w:b/>
          <w:bCs/>
          <w:color w:val="auto"/>
          <w:sz w:val="72"/>
          <w:highlight w:val="none"/>
        </w:rPr>
      </w:pPr>
      <w:r>
        <w:rPr>
          <w:rFonts w:hint="eastAsia"/>
          <w:b/>
          <w:bCs/>
          <w:color w:val="auto"/>
          <w:sz w:val="72"/>
          <w:highlight w:val="none"/>
        </w:rPr>
        <w:t>响 应 文 件</w:t>
      </w:r>
    </w:p>
    <w:p>
      <w:pPr>
        <w:pStyle w:val="2"/>
        <w:rPr>
          <w:color w:val="auto"/>
          <w:highlight w:val="none"/>
        </w:rPr>
      </w:pPr>
    </w:p>
    <w:p>
      <w:pPr>
        <w:spacing w:line="360" w:lineRule="auto"/>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项目编号：</w:t>
      </w:r>
    </w:p>
    <w:p>
      <w:pPr>
        <w:pStyle w:val="8"/>
        <w:ind w:firstLine="480"/>
        <w:rPr>
          <w:rFonts w:ascii="宋体" w:hAnsi="宋体" w:eastAsia="宋体" w:cs="宋体"/>
          <w:color w:val="auto"/>
          <w:sz w:val="24"/>
          <w:highlight w:val="none"/>
        </w:rPr>
      </w:pPr>
    </w:p>
    <w:p>
      <w:pPr>
        <w:pStyle w:val="8"/>
        <w:ind w:firstLine="480"/>
        <w:rPr>
          <w:rFonts w:ascii="宋体" w:hAnsi="宋体" w:eastAsia="宋体" w:cs="宋体"/>
          <w:color w:val="auto"/>
          <w:sz w:val="24"/>
          <w:highlight w:val="none"/>
        </w:rPr>
      </w:pPr>
    </w:p>
    <w:p>
      <w:pPr>
        <w:pStyle w:val="8"/>
        <w:ind w:firstLine="480"/>
        <w:rPr>
          <w:rFonts w:ascii="宋体" w:hAnsi="宋体" w:eastAsia="宋体" w:cs="宋体"/>
          <w:color w:val="auto"/>
          <w:sz w:val="24"/>
          <w:highlight w:val="none"/>
        </w:rPr>
      </w:pPr>
    </w:p>
    <w:p>
      <w:pPr>
        <w:pStyle w:val="8"/>
        <w:ind w:firstLine="480"/>
        <w:rPr>
          <w:rFonts w:ascii="宋体" w:hAnsi="宋体" w:eastAsia="宋体" w:cs="宋体"/>
          <w:color w:val="auto"/>
          <w:sz w:val="24"/>
          <w:highlight w:val="none"/>
        </w:rPr>
      </w:pPr>
    </w:p>
    <w:p>
      <w:pPr>
        <w:rPr>
          <w:color w:val="auto"/>
          <w:highlight w:val="none"/>
        </w:rPr>
      </w:pPr>
    </w:p>
    <w:p>
      <w:pPr>
        <w:pStyle w:val="8"/>
        <w:spacing w:before="120" w:beforeLines="50"/>
        <w:ind w:firstLine="1397" w:firstLineChars="580"/>
        <w:rPr>
          <w:rFonts w:ascii="宋体" w:hAnsi="宋体" w:eastAsia="宋体" w:cs="宋体"/>
          <w:b/>
          <w:color w:val="auto"/>
          <w:sz w:val="24"/>
          <w:highlight w:val="none"/>
        </w:rPr>
      </w:pPr>
    </w:p>
    <w:p>
      <w:pPr>
        <w:pStyle w:val="8"/>
        <w:spacing w:before="120" w:beforeLines="50"/>
        <w:ind w:firstLine="482"/>
        <w:rPr>
          <w:rFonts w:ascii="宋体" w:hAnsi="宋体" w:eastAsia="宋体" w:cs="宋体"/>
          <w:b/>
          <w:color w:val="auto"/>
          <w:sz w:val="24"/>
          <w:highlight w:val="none"/>
        </w:rPr>
      </w:pPr>
    </w:p>
    <w:p>
      <w:pPr>
        <w:rPr>
          <w:rFonts w:ascii="宋体" w:hAnsi="宋体" w:eastAsia="宋体" w:cs="宋体"/>
          <w:color w:val="auto"/>
          <w:sz w:val="24"/>
          <w:szCs w:val="24"/>
          <w:highlight w:val="none"/>
        </w:rPr>
      </w:pPr>
    </w:p>
    <w:p>
      <w:pPr>
        <w:pStyle w:val="8"/>
        <w:spacing w:before="120" w:beforeLines="50"/>
        <w:ind w:firstLine="1397" w:firstLineChars="580"/>
        <w:rPr>
          <w:rFonts w:ascii="宋体" w:hAnsi="宋体" w:eastAsia="宋体" w:cs="宋体"/>
          <w:b/>
          <w:color w:val="auto"/>
          <w:sz w:val="24"/>
          <w:highlight w:val="none"/>
        </w:rPr>
      </w:pPr>
    </w:p>
    <w:p>
      <w:pPr>
        <w:pStyle w:val="8"/>
        <w:spacing w:before="120" w:beforeLines="50" w:line="600" w:lineRule="auto"/>
        <w:ind w:firstLine="1928" w:firstLineChars="800"/>
        <w:jc w:val="both"/>
        <w:rPr>
          <w:rFonts w:ascii="宋体" w:hAnsi="宋体" w:eastAsia="宋体" w:cs="宋体"/>
          <w:b/>
          <w:color w:val="auto"/>
          <w:sz w:val="24"/>
          <w:highlight w:val="none"/>
        </w:rPr>
      </w:pPr>
      <w:r>
        <w:rPr>
          <w:rFonts w:hint="eastAsia" w:ascii="宋体" w:hAnsi="宋体" w:eastAsia="宋体" w:cs="宋体"/>
          <w:b/>
          <w:color w:val="auto"/>
          <w:sz w:val="24"/>
          <w:highlight w:val="none"/>
        </w:rPr>
        <w:t>供应商：</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u w:val="single"/>
          <w:lang w:val="en-US" w:eastAsia="zh-CN"/>
        </w:rPr>
        <w:t xml:space="preserve">   </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u w:val="single"/>
          <w:lang w:val="en-US" w:eastAsia="zh-CN"/>
        </w:rPr>
        <w:t xml:space="preserve">     </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rPr>
        <w:t>（单位盖章）</w:t>
      </w:r>
    </w:p>
    <w:p>
      <w:pPr>
        <w:pStyle w:val="8"/>
        <w:spacing w:before="120" w:beforeLines="50" w:line="600" w:lineRule="auto"/>
        <w:ind w:firstLine="1928" w:firstLineChars="800"/>
        <w:jc w:val="both"/>
        <w:rPr>
          <w:rFonts w:ascii="宋体" w:hAnsi="宋体" w:eastAsia="宋体" w:cs="宋体"/>
          <w:color w:val="auto"/>
          <w:sz w:val="24"/>
          <w:highlight w:val="none"/>
        </w:rPr>
      </w:pPr>
      <w:r>
        <w:rPr>
          <w:rFonts w:hint="eastAsia" w:ascii="宋体" w:hAnsi="宋体" w:eastAsia="宋体" w:cs="宋体"/>
          <w:b/>
          <w:color w:val="auto"/>
          <w:sz w:val="24"/>
          <w:highlight w:val="none"/>
        </w:rPr>
        <w:t>法定代表人或其委托代理人：</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u w:val="single"/>
          <w:lang w:val="en-US" w:eastAsia="zh-CN"/>
        </w:rPr>
        <w:t xml:space="preserve">   </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u w:val="single"/>
          <w:lang w:val="en-US" w:eastAsia="zh-CN"/>
        </w:rPr>
        <w:t xml:space="preserve">     </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rPr>
        <w:t>（签字）</w:t>
      </w:r>
    </w:p>
    <w:p>
      <w:pPr>
        <w:pStyle w:val="8"/>
        <w:spacing w:line="360" w:lineRule="auto"/>
        <w:ind w:firstLine="1928" w:firstLineChars="800"/>
        <w:jc w:val="both"/>
        <w:rPr>
          <w:rFonts w:ascii="宋体" w:hAnsi="宋体" w:eastAsia="宋体" w:cs="宋体"/>
          <w:b/>
          <w:color w:val="auto"/>
          <w:sz w:val="24"/>
          <w:highlight w:val="none"/>
        </w:rPr>
      </w:pPr>
      <w:r>
        <w:rPr>
          <w:rFonts w:hint="eastAsia" w:ascii="宋体" w:hAnsi="宋体" w:eastAsia="宋体" w:cs="宋体"/>
          <w:b/>
          <w:color w:val="auto"/>
          <w:sz w:val="24"/>
          <w:highlight w:val="none"/>
        </w:rPr>
        <w:t>时  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u w:val="single"/>
        </w:rPr>
        <w:t xml:space="preserve">  </w:t>
      </w:r>
      <w:r>
        <w:rPr>
          <w:rFonts w:hint="eastAsia" w:ascii="宋体" w:hAnsi="宋体" w:eastAsia="宋体" w:cs="宋体"/>
          <w:b/>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u w:val="single"/>
        </w:rPr>
        <w:t xml:space="preserve">  </w:t>
      </w:r>
      <w:r>
        <w:rPr>
          <w:rFonts w:hint="eastAsia" w:ascii="宋体" w:hAnsi="宋体" w:eastAsia="宋体" w:cs="宋体"/>
          <w:b/>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u w:val="single"/>
        </w:rPr>
        <w:t xml:space="preserve">   </w:t>
      </w:r>
      <w:r>
        <w:rPr>
          <w:rFonts w:hint="eastAsia" w:ascii="宋体" w:hAnsi="宋体" w:eastAsia="宋体" w:cs="宋体"/>
          <w:b/>
          <w:color w:val="auto"/>
          <w:sz w:val="24"/>
          <w:highlight w:val="none"/>
        </w:rPr>
        <w:t>日</w:t>
      </w:r>
    </w:p>
    <w:p>
      <w:pPr>
        <w:pStyle w:val="8"/>
        <w:spacing w:line="360" w:lineRule="auto"/>
        <w:ind w:firstLine="482"/>
        <w:jc w:val="center"/>
        <w:rPr>
          <w:rFonts w:ascii="宋体" w:hAnsi="宋体" w:eastAsia="宋体" w:cs="宋体"/>
          <w:b/>
          <w:color w:val="auto"/>
          <w:sz w:val="24"/>
          <w:highlight w:val="none"/>
        </w:rPr>
      </w:pPr>
      <w:r>
        <w:rPr>
          <w:rFonts w:hint="eastAsia" w:ascii="宋体" w:hAnsi="宋体" w:eastAsia="宋体" w:cs="宋体"/>
          <w:b/>
          <w:color w:val="auto"/>
          <w:sz w:val="24"/>
          <w:highlight w:val="none"/>
        </w:rPr>
        <w:br w:type="page"/>
      </w:r>
    </w:p>
    <w:p>
      <w:pPr>
        <w:pStyle w:val="8"/>
        <w:spacing w:line="360" w:lineRule="auto"/>
        <w:ind w:firstLine="482"/>
        <w:jc w:val="center"/>
        <w:rPr>
          <w:rFonts w:ascii="宋体" w:hAnsi="宋体" w:eastAsia="宋体" w:cs="宋体"/>
          <w:b/>
          <w:color w:val="auto"/>
          <w:sz w:val="24"/>
          <w:highlight w:val="none"/>
        </w:rPr>
      </w:pPr>
    </w:p>
    <w:p>
      <w:pPr>
        <w:pStyle w:val="8"/>
        <w:spacing w:line="360" w:lineRule="auto"/>
        <w:ind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目  录</w:t>
      </w:r>
    </w:p>
    <w:bookmarkEnd w:id="27"/>
    <w:p>
      <w:pPr>
        <w:pStyle w:val="8"/>
        <w:spacing w:before="120" w:beforeLines="50"/>
        <w:ind w:firstLine="1392" w:firstLineChars="580"/>
        <w:rPr>
          <w:rFonts w:ascii="宋体" w:hAnsi="宋体" w:eastAsia="宋体" w:cs="宋体"/>
          <w:color w:val="auto"/>
          <w:sz w:val="24"/>
          <w:highlight w:val="none"/>
        </w:rPr>
      </w:pPr>
      <w:r>
        <w:rPr>
          <w:rFonts w:hint="eastAsia" w:ascii="宋体" w:hAnsi="宋体" w:cs="宋体"/>
          <w:color w:val="auto"/>
          <w:sz w:val="24"/>
          <w:highlight w:val="none"/>
          <w:lang w:val="en-US" w:eastAsia="zh-CN"/>
        </w:rPr>
        <w:t>格式自拟</w:t>
      </w:r>
      <w:r>
        <w:rPr>
          <w:rFonts w:ascii="宋体" w:hAnsi="宋体" w:eastAsia="宋体" w:cs="宋体"/>
          <w:color w:val="auto"/>
          <w:sz w:val="24"/>
          <w:highlight w:val="none"/>
        </w:rPr>
        <w:br w:type="page"/>
      </w:r>
    </w:p>
    <w:p>
      <w:pPr>
        <w:pStyle w:val="8"/>
        <w:spacing w:before="120" w:beforeLines="50"/>
        <w:ind w:firstLine="0" w:firstLineChars="0"/>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w:t>
      </w:r>
      <w:r>
        <w:rPr>
          <w:rFonts w:hint="eastAsia" w:ascii="宋体" w:hAnsi="宋体" w:eastAsia="宋体" w:cs="宋体"/>
          <w:b/>
          <w:color w:val="auto"/>
          <w:sz w:val="32"/>
          <w:szCs w:val="32"/>
          <w:highlight w:val="none"/>
          <w:lang w:val="en-US" w:eastAsia="zh-CN"/>
        </w:rPr>
        <w:t>响应</w:t>
      </w:r>
      <w:r>
        <w:rPr>
          <w:rFonts w:hint="eastAsia" w:ascii="宋体" w:hAnsi="宋体" w:eastAsia="宋体" w:cs="宋体"/>
          <w:b/>
          <w:color w:val="auto"/>
          <w:sz w:val="32"/>
          <w:szCs w:val="32"/>
          <w:highlight w:val="none"/>
        </w:rPr>
        <w:t>函</w:t>
      </w:r>
    </w:p>
    <w:p>
      <w:pPr>
        <w:rPr>
          <w:rFonts w:ascii="宋体" w:hAnsi="宋体" w:eastAsia="宋体" w:cs="宋体"/>
          <w:color w:val="auto"/>
          <w:sz w:val="24"/>
          <w:szCs w:val="24"/>
          <w:highlight w:val="none"/>
        </w:rPr>
      </w:pPr>
    </w:p>
    <w:p>
      <w:pPr>
        <w:pStyle w:val="17"/>
        <w:widowControl/>
        <w:spacing w:line="360" w:lineRule="auto"/>
        <w:ind w:firstLine="420"/>
        <w:rPr>
          <w:rFonts w:hint="eastAsia" w:ascii="宋体" w:hAnsi="宋体" w:eastAsia="宋体" w:cs="宋体"/>
          <w:color w:val="auto"/>
          <w:szCs w:val="24"/>
          <w:highlight w:val="none"/>
          <w:lang w:eastAsia="zh-CN" w:bidi="ar"/>
        </w:rPr>
      </w:pPr>
      <w:r>
        <w:rPr>
          <w:rFonts w:hint="eastAsia" w:ascii="宋体" w:hAnsi="宋体" w:eastAsia="宋体" w:cs="宋体"/>
          <w:color w:val="auto"/>
          <w:szCs w:val="24"/>
          <w:highlight w:val="none"/>
          <w:lang w:val="zh-CN" w:bidi="ar"/>
        </w:rPr>
        <w:t>致：</w:t>
      </w:r>
      <w:r>
        <w:rPr>
          <w:rFonts w:hint="eastAsia" w:ascii="宋体" w:hAnsi="宋体" w:cs="宋体"/>
          <w:color w:val="auto"/>
          <w:szCs w:val="24"/>
          <w:highlight w:val="none"/>
          <w:lang w:eastAsia="zh-CN" w:bidi="ar"/>
        </w:rPr>
        <w:t>榆林市行政审批服务局</w:t>
      </w:r>
    </w:p>
    <w:p>
      <w:pPr>
        <w:numPr>
          <w:ilvl w:val="0"/>
          <w:numId w:val="5"/>
        </w:numPr>
        <w:spacing w:line="360" w:lineRule="auto"/>
        <w:ind w:firstLine="480" w:firstLineChars="200"/>
        <w:rPr>
          <w:rFonts w:ascii="宋体" w:hAnsi="宋体" w:eastAsia="宋体" w:cs="宋体"/>
          <w:color w:val="auto"/>
          <w:sz w:val="24"/>
          <w:szCs w:val="24"/>
          <w:highlight w:val="none"/>
          <w:lang w:val="zh-CN" w:bidi="ar"/>
        </w:rPr>
      </w:pPr>
      <w:r>
        <w:rPr>
          <w:rFonts w:hint="eastAsia" w:ascii="宋体" w:hAnsi="宋体" w:eastAsia="宋体" w:cs="宋体"/>
          <w:color w:val="auto"/>
          <w:sz w:val="24"/>
          <w:szCs w:val="24"/>
          <w:highlight w:val="none"/>
          <w:lang w:bidi="ar"/>
        </w:rPr>
        <w:t>根据你方发</w:t>
      </w:r>
      <w:r>
        <w:rPr>
          <w:rFonts w:hint="eastAsia" w:ascii="宋体" w:hAnsi="宋体" w:cs="宋体"/>
          <w:color w:val="auto"/>
          <w:sz w:val="24"/>
          <w:szCs w:val="24"/>
          <w:highlight w:val="none"/>
          <w:lang w:val="en-US" w:eastAsia="zh-CN" w:bidi="ar"/>
        </w:rPr>
        <w:t>出</w:t>
      </w:r>
      <w:r>
        <w:rPr>
          <w:rFonts w:hint="eastAsia" w:ascii="宋体" w:hAnsi="宋体" w:eastAsia="宋体" w:cs="宋体"/>
          <w:color w:val="auto"/>
          <w:sz w:val="24"/>
          <w:szCs w:val="24"/>
          <w:highlight w:val="none"/>
          <w:lang w:bidi="ar"/>
        </w:rPr>
        <w:t>的</w:t>
      </w:r>
      <w:r>
        <w:rPr>
          <w:rFonts w:hint="eastAsia" w:ascii="宋体" w:hAnsi="宋体" w:eastAsia="宋体" w:cs="宋体"/>
          <w:color w:val="auto"/>
          <w:sz w:val="24"/>
          <w:szCs w:val="24"/>
          <w:highlight w:val="none"/>
          <w:u w:val="single"/>
          <w:lang w:bidi="ar"/>
        </w:rPr>
        <w:t xml:space="preserve"> （项目名称）</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磋商文件，采购项目编号</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，遵照《中华人民共和国政府采购法》等有关规定，经研究上述磋商文件的磋商须知、技术标准及其他有关文件后</w:t>
      </w:r>
      <w:r>
        <w:rPr>
          <w:rFonts w:hint="eastAsia" w:ascii="宋体" w:hAnsi="宋体" w:eastAsia="宋体" w:cs="宋体"/>
          <w:color w:val="auto"/>
          <w:sz w:val="24"/>
          <w:szCs w:val="24"/>
          <w:highlight w:val="none"/>
          <w:lang w:val="zh-CN" w:bidi="ar"/>
        </w:rPr>
        <w:t>，我方经研究决定按磋商</w:t>
      </w:r>
      <w:r>
        <w:rPr>
          <w:rFonts w:hint="eastAsia" w:ascii="宋体" w:hAnsi="宋体" w:eastAsia="宋体" w:cs="宋体"/>
          <w:color w:val="auto"/>
          <w:sz w:val="24"/>
          <w:szCs w:val="24"/>
          <w:highlight w:val="none"/>
          <w:lang w:bidi="ar"/>
        </w:rPr>
        <w:t>总价人</w:t>
      </w:r>
      <w:r>
        <w:rPr>
          <w:rFonts w:hint="eastAsia" w:ascii="宋体" w:hAnsi="宋体" w:eastAsia="宋体" w:cs="宋体"/>
          <w:color w:val="auto"/>
          <w:sz w:val="24"/>
          <w:szCs w:val="24"/>
          <w:highlight w:val="none"/>
          <w:lang w:val="zh-CN" w:bidi="ar"/>
        </w:rPr>
        <w:t>民币大写：</w:t>
      </w:r>
      <w:r>
        <w:rPr>
          <w:rFonts w:hint="eastAsia" w:ascii="宋体" w:hAnsi="宋体" w:eastAsia="宋体" w:cs="宋体"/>
          <w:color w:val="auto"/>
          <w:sz w:val="24"/>
          <w:szCs w:val="24"/>
          <w:highlight w:val="none"/>
          <w:u w:val="single"/>
          <w:lang w:val="zh-CN"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val="zh-CN" w:bidi="ar"/>
        </w:rPr>
        <w:t xml:space="preserve">          </w:t>
      </w:r>
      <w:r>
        <w:rPr>
          <w:rFonts w:hint="eastAsia" w:ascii="宋体" w:hAnsi="宋体" w:eastAsia="宋体" w:cs="宋体"/>
          <w:color w:val="auto"/>
          <w:sz w:val="24"/>
          <w:szCs w:val="24"/>
          <w:highlight w:val="none"/>
          <w:lang w:val="zh-CN"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r>
        <w:rPr>
          <w:rFonts w:hint="eastAsia" w:ascii="宋体" w:hAnsi="宋体" w:eastAsia="宋体" w:cs="宋体"/>
          <w:color w:val="auto"/>
          <w:sz w:val="24"/>
          <w:szCs w:val="24"/>
          <w:highlight w:val="none"/>
          <w:lang w:val="zh-CN" w:bidi="ar"/>
        </w:rPr>
        <w:t>元承担本项目，按磋商文件的要求承包本次招标范围内的任务。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bidi="ar"/>
        </w:rPr>
        <w:t>二、</w:t>
      </w:r>
      <w:r>
        <w:rPr>
          <w:rFonts w:hint="eastAsia" w:ascii="宋体" w:hAnsi="宋体" w:eastAsia="宋体" w:cs="宋体"/>
          <w:color w:val="auto"/>
          <w:sz w:val="24"/>
          <w:szCs w:val="24"/>
          <w:highlight w:val="none"/>
          <w:lang w:val="zh-CN" w:bidi="ar"/>
        </w:rPr>
        <w:t>我方保证在收到贵单位发出的书面</w:t>
      </w:r>
      <w:r>
        <w:rPr>
          <w:rFonts w:hint="eastAsia" w:ascii="宋体" w:hAnsi="宋体" w:eastAsia="宋体" w:cs="宋体"/>
          <w:color w:val="auto"/>
          <w:sz w:val="24"/>
          <w:szCs w:val="24"/>
          <w:highlight w:val="none"/>
          <w:lang w:val="en-US" w:eastAsia="zh-CN" w:bidi="ar"/>
        </w:rPr>
        <w:t>成交</w:t>
      </w:r>
      <w:r>
        <w:rPr>
          <w:rFonts w:hint="eastAsia" w:ascii="宋体" w:hAnsi="宋体" w:eastAsia="宋体" w:cs="宋体"/>
          <w:color w:val="auto"/>
          <w:sz w:val="24"/>
          <w:szCs w:val="24"/>
          <w:highlight w:val="none"/>
          <w:lang w:val="zh-CN" w:bidi="ar"/>
        </w:rPr>
        <w:t>通知书后立即工作。</w:t>
      </w:r>
      <w:r>
        <w:rPr>
          <w:rFonts w:hint="eastAsia" w:ascii="宋体" w:hAnsi="宋体" w:eastAsia="宋体" w:cs="宋体"/>
          <w:sz w:val="24"/>
          <w:szCs w:val="24"/>
          <w:highlight w:val="none"/>
        </w:rPr>
        <w:t>（具体服务起止日期</w:t>
      </w:r>
      <w:r>
        <w:rPr>
          <w:rFonts w:hint="eastAsia" w:ascii="宋体" w:hAnsi="宋体" w:eastAsia="宋体" w:cs="宋体"/>
          <w:sz w:val="24"/>
          <w:szCs w:val="24"/>
          <w:highlight w:val="none"/>
          <w:lang w:val="en-US" w:eastAsia="zh-CN"/>
        </w:rPr>
        <w:t>以合同要求时间为准</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spacing w:line="360" w:lineRule="auto"/>
        <w:ind w:firstLine="480" w:firstLineChars="200"/>
        <w:rPr>
          <w:rFonts w:ascii="宋体" w:hAnsi="宋体" w:eastAsia="宋体" w:cs="宋体"/>
          <w:color w:val="auto"/>
          <w:sz w:val="24"/>
          <w:szCs w:val="24"/>
          <w:highlight w:val="none"/>
          <w:lang w:val="zh-CN" w:bidi="ar"/>
        </w:rPr>
      </w:pPr>
      <w:r>
        <w:rPr>
          <w:rFonts w:hint="eastAsia" w:ascii="宋体" w:hAnsi="宋体" w:eastAsia="宋体" w:cs="宋体"/>
          <w:color w:val="auto"/>
          <w:sz w:val="24"/>
          <w:szCs w:val="24"/>
          <w:highlight w:val="none"/>
          <w:lang w:val="zh-CN" w:bidi="ar"/>
        </w:rPr>
        <w:t>三、我方保证本项目质量标准为</w:t>
      </w:r>
      <w:r>
        <w:rPr>
          <w:rFonts w:hint="eastAsia" w:ascii="宋体" w:hAnsi="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val="zh-CN" w:bidi="ar"/>
        </w:rPr>
        <w:t>。</w:t>
      </w:r>
    </w:p>
    <w:p>
      <w:pPr>
        <w:spacing w:line="360" w:lineRule="auto"/>
        <w:ind w:firstLine="480" w:firstLineChars="200"/>
        <w:rPr>
          <w:rFonts w:ascii="宋体" w:hAnsi="宋体" w:eastAsia="宋体" w:cs="宋体"/>
          <w:color w:val="auto"/>
          <w:sz w:val="24"/>
          <w:szCs w:val="24"/>
          <w:highlight w:val="none"/>
          <w:lang w:val="zh-CN" w:bidi="ar"/>
        </w:rPr>
      </w:pPr>
      <w:r>
        <w:rPr>
          <w:rFonts w:hint="eastAsia" w:ascii="宋体" w:hAnsi="宋体" w:eastAsia="宋体" w:cs="宋体"/>
          <w:color w:val="auto"/>
          <w:sz w:val="24"/>
          <w:szCs w:val="24"/>
          <w:highlight w:val="none"/>
          <w:lang w:val="zh-CN" w:bidi="ar"/>
        </w:rPr>
        <w:t>四、我方</w:t>
      </w:r>
      <w:r>
        <w:rPr>
          <w:rFonts w:hint="eastAsia" w:ascii="宋体" w:hAnsi="宋体" w:eastAsia="宋体" w:cs="宋体"/>
          <w:color w:val="auto"/>
          <w:sz w:val="24"/>
          <w:szCs w:val="24"/>
          <w:highlight w:val="none"/>
          <w:lang w:bidi="ar"/>
        </w:rPr>
        <w:t>本次授权代表</w:t>
      </w:r>
      <w:r>
        <w:rPr>
          <w:rFonts w:hint="eastAsia" w:ascii="宋体" w:hAnsi="宋体" w:eastAsia="宋体" w:cs="宋体"/>
          <w:color w:val="auto"/>
          <w:sz w:val="24"/>
          <w:szCs w:val="24"/>
          <w:highlight w:val="none"/>
          <w:lang w:val="zh-CN" w:bidi="ar"/>
        </w:rPr>
        <w:t>为</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val="zh-CN" w:bidi="ar"/>
        </w:rPr>
        <w:t xml:space="preserve">。       </w:t>
      </w:r>
    </w:p>
    <w:p>
      <w:pPr>
        <w:spacing w:line="360" w:lineRule="auto"/>
        <w:ind w:firstLine="480" w:firstLineChars="200"/>
        <w:rPr>
          <w:rFonts w:ascii="宋体" w:hAnsi="宋体" w:eastAsia="宋体" w:cs="宋体"/>
          <w:color w:val="auto"/>
          <w:sz w:val="24"/>
          <w:szCs w:val="24"/>
          <w:highlight w:val="none"/>
          <w:lang w:val="zh-CN" w:bidi="ar"/>
        </w:rPr>
      </w:pPr>
      <w:r>
        <w:rPr>
          <w:rFonts w:hint="eastAsia" w:ascii="宋体" w:hAnsi="宋体" w:eastAsia="宋体" w:cs="宋体"/>
          <w:color w:val="auto"/>
          <w:sz w:val="24"/>
          <w:szCs w:val="24"/>
          <w:highlight w:val="none"/>
          <w:lang w:val="zh-CN" w:bidi="ar"/>
        </w:rPr>
        <w:t>五、贵单位所发出的磋商文件，中标通知书和响应文件</w:t>
      </w:r>
      <w:r>
        <w:rPr>
          <w:rFonts w:hint="eastAsia" w:ascii="宋体" w:hAnsi="宋体" w:eastAsia="宋体" w:cs="宋体"/>
          <w:color w:val="auto"/>
          <w:sz w:val="24"/>
          <w:szCs w:val="24"/>
          <w:highlight w:val="none"/>
          <w:lang w:bidi="ar"/>
        </w:rPr>
        <w:t>均构成本</w:t>
      </w:r>
      <w:r>
        <w:rPr>
          <w:rFonts w:hint="eastAsia" w:ascii="宋体" w:hAnsi="宋体" w:eastAsia="宋体" w:cs="宋体"/>
          <w:color w:val="auto"/>
          <w:sz w:val="24"/>
          <w:szCs w:val="24"/>
          <w:highlight w:val="none"/>
          <w:lang w:val="zh-CN" w:bidi="ar"/>
        </w:rPr>
        <w:t>合同</w:t>
      </w:r>
      <w:r>
        <w:rPr>
          <w:rFonts w:hint="eastAsia" w:ascii="宋体" w:hAnsi="宋体" w:eastAsia="宋体" w:cs="宋体"/>
          <w:color w:val="auto"/>
          <w:sz w:val="24"/>
          <w:szCs w:val="24"/>
          <w:highlight w:val="none"/>
          <w:lang w:bidi="ar"/>
        </w:rPr>
        <w:t>内容附件</w:t>
      </w:r>
      <w:r>
        <w:rPr>
          <w:rFonts w:hint="eastAsia" w:ascii="宋体" w:hAnsi="宋体" w:eastAsia="宋体" w:cs="宋体"/>
          <w:color w:val="auto"/>
          <w:sz w:val="24"/>
          <w:szCs w:val="24"/>
          <w:highlight w:val="none"/>
          <w:lang w:val="zh-CN" w:bidi="ar"/>
        </w:rPr>
        <w:t>。</w:t>
      </w:r>
    </w:p>
    <w:p>
      <w:pPr>
        <w:spacing w:line="360" w:lineRule="auto"/>
        <w:ind w:firstLine="480" w:firstLineChars="200"/>
        <w:rPr>
          <w:rFonts w:ascii="宋体" w:hAnsi="宋体" w:eastAsia="宋体" w:cs="宋体"/>
          <w:color w:val="auto"/>
          <w:sz w:val="24"/>
          <w:szCs w:val="24"/>
          <w:highlight w:val="none"/>
          <w:lang w:val="zh-CN" w:bidi="ar"/>
        </w:rPr>
      </w:pPr>
      <w:r>
        <w:rPr>
          <w:rFonts w:hint="eastAsia" w:ascii="宋体" w:hAnsi="宋体" w:eastAsia="宋体" w:cs="宋体"/>
          <w:color w:val="auto"/>
          <w:sz w:val="24"/>
          <w:szCs w:val="24"/>
          <w:highlight w:val="none"/>
          <w:lang w:val="zh-CN" w:bidi="ar"/>
        </w:rPr>
        <w:t>六、我方愿按《中华人民共和国</w:t>
      </w:r>
      <w:r>
        <w:rPr>
          <w:rFonts w:hint="eastAsia" w:ascii="宋体" w:hAnsi="宋体" w:eastAsia="宋体" w:cs="宋体"/>
          <w:color w:val="auto"/>
          <w:sz w:val="24"/>
          <w:szCs w:val="24"/>
          <w:highlight w:val="none"/>
          <w:lang w:val="en-US" w:eastAsia="zh-CN" w:bidi="ar"/>
        </w:rPr>
        <w:t>民法典</w:t>
      </w:r>
      <w:r>
        <w:rPr>
          <w:rFonts w:hint="eastAsia" w:ascii="宋体" w:hAnsi="宋体" w:eastAsia="宋体" w:cs="宋体"/>
          <w:color w:val="auto"/>
          <w:sz w:val="24"/>
          <w:szCs w:val="24"/>
          <w:highlight w:val="none"/>
          <w:lang w:val="zh-CN" w:bidi="ar"/>
        </w:rPr>
        <w:t>》履行自己的全部责任。</w:t>
      </w:r>
    </w:p>
    <w:p>
      <w:pPr>
        <w:spacing w:line="360" w:lineRule="auto"/>
        <w:ind w:firstLine="480" w:firstLineChars="200"/>
        <w:rPr>
          <w:rFonts w:ascii="宋体" w:hAnsi="宋体" w:eastAsia="宋体" w:cs="宋体"/>
          <w:color w:val="auto"/>
          <w:sz w:val="24"/>
          <w:szCs w:val="24"/>
          <w:highlight w:val="none"/>
          <w:lang w:val="zh-CN" w:bidi="ar"/>
        </w:rPr>
      </w:pPr>
      <w:r>
        <w:rPr>
          <w:rFonts w:hint="eastAsia" w:ascii="宋体" w:hAnsi="宋体" w:eastAsia="宋体" w:cs="宋体"/>
          <w:color w:val="auto"/>
          <w:sz w:val="24"/>
          <w:szCs w:val="24"/>
          <w:highlight w:val="none"/>
          <w:lang w:val="zh-CN" w:bidi="ar"/>
        </w:rPr>
        <w:t>七、我方的响应文件在开标后</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val="zh-CN" w:bidi="ar"/>
        </w:rPr>
        <w:t>天内有效。</w:t>
      </w:r>
    </w:p>
    <w:p>
      <w:pPr>
        <w:spacing w:line="360" w:lineRule="auto"/>
        <w:ind w:firstLine="480" w:firstLineChars="200"/>
        <w:rPr>
          <w:rFonts w:ascii="宋体" w:hAnsi="宋体" w:eastAsia="宋体" w:cs="宋体"/>
          <w:color w:val="auto"/>
          <w:sz w:val="24"/>
          <w:szCs w:val="24"/>
          <w:highlight w:val="none"/>
          <w:lang w:val="zh-CN" w:bidi="ar"/>
        </w:rPr>
      </w:pPr>
      <w:r>
        <w:rPr>
          <w:rFonts w:hint="eastAsia" w:ascii="宋体" w:hAnsi="宋体" w:eastAsia="宋体" w:cs="宋体"/>
          <w:color w:val="auto"/>
          <w:sz w:val="24"/>
          <w:szCs w:val="24"/>
          <w:highlight w:val="none"/>
          <w:lang w:val="zh-CN" w:bidi="ar"/>
        </w:rPr>
        <w:t>八、我方完全响应磋商文件和合同条款的全部内容。</w:t>
      </w:r>
    </w:p>
    <w:p>
      <w:pPr>
        <w:pStyle w:val="12"/>
        <w:ind w:left="1960" w:right="1960"/>
        <w:rPr>
          <w:rFonts w:ascii="宋体" w:hAnsi="宋体" w:eastAsia="宋体" w:cs="宋体"/>
          <w:color w:val="auto"/>
          <w:sz w:val="24"/>
          <w:szCs w:val="24"/>
          <w:highlight w:val="none"/>
        </w:rPr>
      </w:pPr>
    </w:p>
    <w:p>
      <w:pPr>
        <w:spacing w:line="48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（盖章）</w:t>
      </w:r>
    </w:p>
    <w:p>
      <w:pPr>
        <w:spacing w:line="48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法定代表人或其委托代理人：</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（签字）  </w:t>
      </w:r>
    </w:p>
    <w:p>
      <w:pPr>
        <w:spacing w:line="48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单位地址：</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pPr>
        <w:spacing w:line="480" w:lineRule="auto"/>
        <w:ind w:firstLine="240" w:firstLineChars="1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  电 话：</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pPr>
        <w:spacing w:line="480" w:lineRule="auto"/>
        <w:ind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 xml:space="preserve">       </w:t>
      </w:r>
    </w:p>
    <w:p>
      <w:pPr>
        <w:spacing w:line="400" w:lineRule="exact"/>
        <w:jc w:val="center"/>
        <w:outlineLvl w:val="9"/>
        <w:rPr>
          <w:rFonts w:ascii="宋体" w:hAnsi="宋体" w:eastAsia="宋体" w:cs="宋体"/>
          <w:b/>
          <w:bCs/>
          <w:color w:val="auto"/>
          <w:sz w:val="32"/>
          <w:szCs w:val="32"/>
          <w:highlight w:val="none"/>
        </w:rPr>
      </w:pPr>
      <w:r>
        <w:rPr>
          <w:rFonts w:ascii="宋体" w:hAnsi="宋体" w:eastAsia="宋体" w:cs="宋体"/>
          <w:b/>
          <w:bCs/>
          <w:color w:val="auto"/>
          <w:sz w:val="32"/>
          <w:szCs w:val="32"/>
          <w:highlight w:val="none"/>
        </w:rPr>
        <w:br w:type="page"/>
      </w:r>
    </w:p>
    <w:p>
      <w:pPr>
        <w:pStyle w:val="8"/>
        <w:spacing w:before="120" w:beforeLines="50"/>
        <w:ind w:firstLine="0" w:firstLineChars="0"/>
        <w:jc w:val="center"/>
        <w:rPr>
          <w:rFonts w:hint="eastAsia" w:ascii="仿宋" w:hAnsi="仿宋" w:eastAsia="仿宋" w:cs="仿宋"/>
          <w:b/>
          <w:sz w:val="30"/>
          <w:szCs w:val="30"/>
          <w:lang w:eastAsia="zh-CN"/>
        </w:rPr>
      </w:pPr>
      <w:r>
        <w:rPr>
          <w:rFonts w:hint="eastAsia" w:ascii="宋体" w:hAnsi="宋体" w:eastAsia="宋体" w:cs="宋体"/>
          <w:b/>
          <w:color w:val="auto"/>
          <w:sz w:val="32"/>
          <w:szCs w:val="32"/>
          <w:highlight w:val="none"/>
        </w:rPr>
        <w:t>二、</w:t>
      </w:r>
      <w:r>
        <w:rPr>
          <w:rFonts w:hint="eastAsia" w:ascii="仿宋" w:hAnsi="仿宋" w:eastAsia="仿宋" w:cs="仿宋"/>
          <w:b/>
          <w:sz w:val="30"/>
          <w:szCs w:val="30"/>
        </w:rPr>
        <w:t>磋商一览表</w:t>
      </w:r>
      <w:r>
        <w:rPr>
          <w:rFonts w:hint="eastAsia" w:ascii="仿宋" w:hAnsi="仿宋" w:eastAsia="仿宋" w:cs="仿宋"/>
          <w:b/>
          <w:sz w:val="30"/>
          <w:szCs w:val="30"/>
          <w:lang w:eastAsia="zh-CN"/>
        </w:rPr>
        <w:t>（一次报价表）</w:t>
      </w:r>
    </w:p>
    <w:p>
      <w:pPr>
        <w:pStyle w:val="8"/>
        <w:spacing w:before="120" w:beforeLines="50"/>
        <w:ind w:firstLine="0" w:firstLineChars="0"/>
        <w:jc w:val="left"/>
        <w:rPr>
          <w:rFonts w:ascii="宋体" w:hAnsi="宋体" w:eastAsia="宋体" w:cs="宋体"/>
          <w:color w:val="auto"/>
          <w:sz w:val="22"/>
          <w:szCs w:val="32"/>
          <w:highlight w:val="none"/>
        </w:rPr>
      </w:pPr>
      <w:r>
        <w:rPr>
          <w:rFonts w:hint="eastAsia" w:ascii="宋体" w:hAnsi="宋体" w:eastAsia="宋体" w:cs="宋体"/>
          <w:color w:val="auto"/>
          <w:sz w:val="22"/>
          <w:szCs w:val="32"/>
          <w:highlight w:val="none"/>
        </w:rPr>
        <w:t xml:space="preserve">采购项目编号： </w:t>
      </w:r>
    </w:p>
    <w:tbl>
      <w:tblPr>
        <w:tblStyle w:val="20"/>
        <w:tblW w:w="9201" w:type="dxa"/>
        <w:tblInd w:w="97" w:type="dxa"/>
        <w:tblLayout w:type="fixed"/>
        <w:tblCellMar>
          <w:top w:w="0" w:type="dxa"/>
          <w:left w:w="108" w:type="dxa"/>
          <w:bottom w:w="0" w:type="dxa"/>
          <w:right w:w="108" w:type="dxa"/>
        </w:tblCellMar>
      </w:tblPr>
      <w:tblGrid>
        <w:gridCol w:w="2004"/>
        <w:gridCol w:w="7197"/>
      </w:tblGrid>
      <w:tr>
        <w:tblPrEx>
          <w:tblCellMar>
            <w:top w:w="0" w:type="dxa"/>
            <w:left w:w="108" w:type="dxa"/>
            <w:bottom w:w="0" w:type="dxa"/>
            <w:right w:w="108" w:type="dxa"/>
          </w:tblCellMar>
        </w:tblPrEx>
        <w:trPr>
          <w:trHeight w:val="787" w:hRule="atLeast"/>
        </w:trPr>
        <w:tc>
          <w:tcPr>
            <w:tcW w:w="2004" w:type="dxa"/>
            <w:tcBorders>
              <w:top w:val="single" w:color="auto" w:sz="6" w:space="0"/>
              <w:left w:val="single" w:color="auto" w:sz="6" w:space="0"/>
              <w:bottom w:val="single" w:color="auto" w:sz="6" w:space="0"/>
              <w:right w:val="single" w:color="auto" w:sz="6" w:space="0"/>
            </w:tcBorders>
            <w:noWrap w:val="0"/>
            <w:vAlign w:val="center"/>
          </w:tcPr>
          <w:p>
            <w:pPr>
              <w:spacing w:before="120" w:beforeLines="50" w:line="200" w:lineRule="exact"/>
              <w:ind w:left="470" w:hanging="470" w:hangingChars="196"/>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7197" w:type="dxa"/>
            <w:tcBorders>
              <w:top w:val="single" w:color="auto" w:sz="6" w:space="0"/>
              <w:left w:val="single" w:color="auto" w:sz="6" w:space="0"/>
              <w:bottom w:val="single" w:color="auto" w:sz="6" w:space="0"/>
              <w:right w:val="single" w:color="auto" w:sz="6" w:space="0"/>
            </w:tcBorders>
            <w:noWrap w:val="0"/>
            <w:vAlign w:val="center"/>
          </w:tcPr>
          <w:p>
            <w:pPr>
              <w:spacing w:before="120" w:beforeLines="50" w:line="200" w:lineRule="exact"/>
              <w:ind w:left="470" w:hanging="470" w:hangingChars="196"/>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1619" w:hRule="atLeast"/>
        </w:trPr>
        <w:tc>
          <w:tcPr>
            <w:tcW w:w="2004" w:type="dxa"/>
            <w:tcBorders>
              <w:top w:val="single" w:color="auto" w:sz="6" w:space="0"/>
              <w:left w:val="single" w:color="auto" w:sz="6" w:space="0"/>
              <w:bottom w:val="single" w:color="auto" w:sz="6" w:space="0"/>
              <w:right w:val="single" w:color="auto" w:sz="6" w:space="0"/>
            </w:tcBorders>
            <w:noWrap w:val="0"/>
            <w:vAlign w:val="center"/>
          </w:tcPr>
          <w:p>
            <w:pPr>
              <w:spacing w:before="120" w:beforeLines="50"/>
              <w:ind w:left="710" w:hanging="710" w:hangingChars="296"/>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磋商报价</w:t>
            </w:r>
          </w:p>
        </w:tc>
        <w:tc>
          <w:tcPr>
            <w:tcW w:w="7197" w:type="dxa"/>
            <w:tcBorders>
              <w:top w:val="single" w:color="auto" w:sz="6" w:space="0"/>
              <w:left w:val="single" w:color="auto" w:sz="6" w:space="0"/>
              <w:bottom w:val="single" w:color="auto" w:sz="6" w:space="0"/>
              <w:right w:val="single" w:color="auto" w:sz="6" w:space="0"/>
            </w:tcBorders>
            <w:noWrap w:val="0"/>
            <w:vAlign w:val="center"/>
          </w:tcPr>
          <w:p>
            <w:pPr>
              <w:spacing w:before="120" w:beforeLines="50" w:line="480" w:lineRule="auto"/>
              <w:ind w:left="470" w:hanging="470" w:hangingChars="19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（大写）：人民币 ：                                    </w:t>
            </w:r>
          </w:p>
          <w:p>
            <w:pPr>
              <w:spacing w:before="120" w:beforeLines="50" w:line="480" w:lineRule="auto"/>
              <w:ind w:left="470" w:hanging="470" w:hangingChars="19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（小写）：￥ ：</w:t>
            </w:r>
          </w:p>
        </w:tc>
      </w:tr>
      <w:tr>
        <w:tblPrEx>
          <w:tblCellMar>
            <w:top w:w="0" w:type="dxa"/>
            <w:left w:w="108" w:type="dxa"/>
            <w:bottom w:w="0" w:type="dxa"/>
            <w:right w:w="108" w:type="dxa"/>
          </w:tblCellMar>
        </w:tblPrEx>
        <w:trPr>
          <w:trHeight w:val="909" w:hRule="atLeast"/>
        </w:trPr>
        <w:tc>
          <w:tcPr>
            <w:tcW w:w="2004" w:type="dxa"/>
            <w:tcBorders>
              <w:top w:val="single" w:color="auto" w:sz="6" w:space="0"/>
              <w:left w:val="single" w:color="auto" w:sz="6" w:space="0"/>
              <w:right w:val="single" w:color="auto" w:sz="6" w:space="0"/>
            </w:tcBorders>
            <w:noWrap w:val="0"/>
            <w:vAlign w:val="center"/>
          </w:tcPr>
          <w:p>
            <w:pPr>
              <w:spacing w:before="120" w:beforeLines="50"/>
              <w:ind w:left="710" w:hanging="710" w:hangingChars="296"/>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w:t>
            </w:r>
          </w:p>
        </w:tc>
        <w:tc>
          <w:tcPr>
            <w:tcW w:w="7197" w:type="dxa"/>
            <w:tcBorders>
              <w:top w:val="single" w:color="auto" w:sz="6" w:space="0"/>
              <w:left w:val="single" w:color="auto" w:sz="6" w:space="0"/>
              <w:bottom w:val="single" w:color="auto" w:sz="6" w:space="0"/>
              <w:right w:val="single" w:color="auto" w:sz="6" w:space="0"/>
            </w:tcBorders>
            <w:noWrap w:val="0"/>
            <w:vAlign w:val="center"/>
          </w:tcPr>
          <w:p>
            <w:pPr>
              <w:spacing w:before="120" w:beforeLines="50" w:line="360" w:lineRule="auto"/>
              <w:ind w:left="470" w:hanging="470" w:hangingChars="196"/>
              <w:jc w:val="center"/>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897" w:hRule="atLeast"/>
        </w:trPr>
        <w:tc>
          <w:tcPr>
            <w:tcW w:w="2004" w:type="dxa"/>
            <w:tcBorders>
              <w:top w:val="single" w:color="auto" w:sz="6" w:space="0"/>
              <w:left w:val="single" w:color="auto" w:sz="6" w:space="0"/>
              <w:right w:val="single" w:color="auto" w:sz="6" w:space="0"/>
            </w:tcBorders>
            <w:noWrap w:val="0"/>
            <w:vAlign w:val="center"/>
          </w:tcPr>
          <w:p>
            <w:pPr>
              <w:spacing w:before="120" w:beforeLines="50"/>
              <w:ind w:left="710" w:hanging="710" w:hangingChars="296"/>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质量标准</w:t>
            </w:r>
          </w:p>
        </w:tc>
        <w:tc>
          <w:tcPr>
            <w:tcW w:w="7197" w:type="dxa"/>
            <w:tcBorders>
              <w:top w:val="single" w:color="auto" w:sz="6" w:space="0"/>
              <w:left w:val="single" w:color="auto" w:sz="6" w:space="0"/>
              <w:bottom w:val="single" w:color="auto" w:sz="6" w:space="0"/>
              <w:right w:val="single" w:color="auto" w:sz="6" w:space="0"/>
            </w:tcBorders>
            <w:noWrap w:val="0"/>
            <w:vAlign w:val="center"/>
          </w:tcPr>
          <w:p>
            <w:pPr>
              <w:spacing w:before="120" w:beforeLines="50" w:line="360" w:lineRule="auto"/>
              <w:ind w:left="470" w:hanging="470" w:hangingChars="196"/>
              <w:jc w:val="center"/>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897" w:hRule="atLeast"/>
        </w:trPr>
        <w:tc>
          <w:tcPr>
            <w:tcW w:w="2004" w:type="dxa"/>
            <w:tcBorders>
              <w:top w:val="single" w:color="auto" w:sz="6" w:space="0"/>
              <w:left w:val="single" w:color="auto" w:sz="6" w:space="0"/>
              <w:bottom w:val="single" w:color="auto" w:sz="6" w:space="0"/>
              <w:right w:val="single" w:color="auto" w:sz="6" w:space="0"/>
            </w:tcBorders>
            <w:noWrap w:val="0"/>
            <w:vAlign w:val="center"/>
          </w:tcPr>
          <w:p>
            <w:pPr>
              <w:spacing w:before="120" w:beforeLines="50" w:line="200" w:lineRule="exact"/>
              <w:ind w:left="470" w:hanging="470" w:hangingChars="196"/>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197" w:type="dxa"/>
            <w:tcBorders>
              <w:top w:val="single" w:color="auto" w:sz="6" w:space="0"/>
              <w:left w:val="single" w:color="auto" w:sz="6" w:space="0"/>
              <w:bottom w:val="single" w:color="auto" w:sz="6" w:space="0"/>
              <w:right w:val="single" w:color="auto" w:sz="6" w:space="0"/>
            </w:tcBorders>
            <w:noWrap w:val="0"/>
            <w:vAlign w:val="top"/>
          </w:tcPr>
          <w:p>
            <w:pPr>
              <w:spacing w:before="120" w:beforeLines="50" w:line="200" w:lineRule="exact"/>
              <w:ind w:left="470" w:hanging="470" w:hangingChars="196"/>
              <w:rPr>
                <w:rFonts w:ascii="宋体" w:hAnsi="宋体" w:eastAsia="宋体" w:cs="宋体"/>
                <w:color w:val="auto"/>
                <w:sz w:val="24"/>
                <w:szCs w:val="24"/>
                <w:highlight w:val="none"/>
              </w:rPr>
            </w:pPr>
          </w:p>
        </w:tc>
      </w:tr>
    </w:tbl>
    <w:p>
      <w:pPr>
        <w:spacing w:before="120" w:beforeLines="50" w:line="360" w:lineRule="auto"/>
        <w:ind w:left="470" w:hanging="470" w:hangingChars="19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1、报价应按磋商总价填写，精确到小数点后两位，大小写不一致时，以大写为准；</w:t>
      </w:r>
    </w:p>
    <w:p>
      <w:pPr>
        <w:numPr>
          <w:ilvl w:val="0"/>
          <w:numId w:val="6"/>
        </w:numPr>
        <w:spacing w:before="120" w:beforeLines="50" w:line="360" w:lineRule="auto"/>
        <w:ind w:left="557" w:leftChars="199" w:firstLine="247" w:firstLineChars="10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本表所列各项数据与响应文件其他地方表述不一致时，以本表为准。</w:t>
      </w:r>
    </w:p>
    <w:p>
      <w:pPr>
        <w:pStyle w:val="2"/>
        <w:rPr>
          <w:color w:val="auto"/>
          <w:highlight w:val="none"/>
        </w:rPr>
      </w:pPr>
    </w:p>
    <w:p>
      <w:pPr>
        <w:rPr>
          <w:color w:val="auto"/>
          <w:highlight w:val="none"/>
        </w:rPr>
      </w:pPr>
    </w:p>
    <w:p>
      <w:pPr>
        <w:spacing w:line="400" w:lineRule="exact"/>
        <w:rPr>
          <w:rFonts w:ascii="宋体" w:hAnsi="宋体" w:eastAsia="宋体" w:cs="宋体"/>
          <w:color w:val="auto"/>
          <w:sz w:val="24"/>
          <w:szCs w:val="24"/>
          <w:highlight w:val="none"/>
        </w:rPr>
      </w:pPr>
    </w:p>
    <w:p>
      <w:pPr>
        <w:snapToGrid w:val="0"/>
        <w:spacing w:line="60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snapToGrid w:val="0"/>
        <w:spacing w:line="60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napToGrid w:val="0"/>
        <w:spacing w:line="600" w:lineRule="auto"/>
        <w:ind w:firstLine="2880" w:firstLineChars="1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pStyle w:val="2"/>
        <w:rPr>
          <w:color w:val="auto"/>
          <w:highlight w:val="none"/>
        </w:rPr>
      </w:pPr>
    </w:p>
    <w:p>
      <w:pPr>
        <w:ind w:firstLine="480"/>
        <w:jc w:val="center"/>
        <w:rPr>
          <w:rFonts w:hint="eastAsia" w:ascii="仿宋" w:hAnsi="仿宋" w:eastAsia="仿宋" w:cs="仿宋"/>
          <w:b/>
          <w:sz w:val="30"/>
          <w:szCs w:val="30"/>
          <w:lang w:val="en-US" w:eastAsia="zh-CN"/>
        </w:rPr>
      </w:pPr>
    </w:p>
    <w:p>
      <w:pPr>
        <w:ind w:firstLine="480"/>
        <w:jc w:val="center"/>
        <w:rPr>
          <w:rFonts w:hint="eastAsia" w:ascii="仿宋" w:hAnsi="仿宋" w:eastAsia="仿宋" w:cs="仿宋"/>
          <w:b/>
          <w:sz w:val="30"/>
          <w:szCs w:val="30"/>
          <w:lang w:val="en-US" w:eastAsia="zh-CN"/>
        </w:rPr>
      </w:pPr>
    </w:p>
    <w:p>
      <w:pPr>
        <w:pStyle w:val="4"/>
        <w:rPr>
          <w:rFonts w:hint="eastAsia" w:ascii="仿宋" w:hAnsi="仿宋" w:eastAsia="仿宋" w:cs="仿宋"/>
          <w:b/>
          <w:sz w:val="30"/>
          <w:szCs w:val="30"/>
          <w:lang w:val="en-US" w:eastAsia="zh-CN"/>
        </w:rPr>
      </w:pPr>
    </w:p>
    <w:p>
      <w:pPr>
        <w:rPr>
          <w:rFonts w:hint="eastAsia" w:ascii="仿宋" w:hAnsi="仿宋" w:eastAsia="仿宋" w:cs="仿宋"/>
          <w:b/>
          <w:sz w:val="30"/>
          <w:szCs w:val="30"/>
          <w:lang w:val="en-US" w:eastAsia="zh-CN"/>
        </w:rPr>
      </w:pPr>
    </w:p>
    <w:p>
      <w:pPr>
        <w:pStyle w:val="4"/>
        <w:rPr>
          <w:rFonts w:hint="eastAsia"/>
          <w:lang w:val="en-US" w:eastAsia="zh-CN"/>
        </w:rPr>
      </w:pPr>
    </w:p>
    <w:p>
      <w:pPr>
        <w:ind w:firstLine="480"/>
        <w:jc w:val="center"/>
        <w:rPr>
          <w:rFonts w:hint="eastAsia" w:ascii="仿宋" w:hAnsi="仿宋" w:eastAsia="仿宋" w:cs="仿宋"/>
          <w:b/>
          <w:sz w:val="30"/>
          <w:szCs w:val="30"/>
          <w:lang w:val="en-US" w:eastAsia="zh-CN"/>
        </w:rPr>
      </w:pPr>
    </w:p>
    <w:p>
      <w:pPr>
        <w:ind w:firstLine="480"/>
        <w:jc w:val="center"/>
        <w:rPr>
          <w:rFonts w:hint="eastAsia" w:ascii="仿宋" w:hAnsi="仿宋" w:eastAsia="仿宋" w:cs="仿宋"/>
        </w:rPr>
      </w:pPr>
      <w:r>
        <w:rPr>
          <w:rFonts w:hint="eastAsia" w:ascii="仿宋" w:hAnsi="仿宋" w:eastAsia="仿宋" w:cs="仿宋"/>
          <w:b/>
          <w:sz w:val="30"/>
          <w:szCs w:val="30"/>
          <w:lang w:val="en-US" w:eastAsia="zh-CN"/>
        </w:rPr>
        <w:t>2.1</w:t>
      </w:r>
      <w:r>
        <w:rPr>
          <w:rFonts w:hint="eastAsia" w:ascii="仿宋" w:hAnsi="仿宋" w:eastAsia="仿宋" w:cs="仿宋"/>
          <w:b/>
          <w:sz w:val="30"/>
          <w:szCs w:val="30"/>
        </w:rPr>
        <w:t xml:space="preserve">分项报价表 </w:t>
      </w:r>
      <w:r>
        <w:rPr>
          <w:rFonts w:hint="eastAsia" w:ascii="仿宋" w:hAnsi="仿宋" w:eastAsia="仿宋" w:cs="仿宋"/>
        </w:rPr>
        <w:t xml:space="preserve">  </w:t>
      </w:r>
    </w:p>
    <w:p>
      <w:pPr>
        <w:spacing w:before="120" w:beforeLines="50" w:line="360" w:lineRule="auto"/>
        <w:ind w:left="470" w:hanging="470" w:hangingChars="19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（格式自拟）</w:t>
      </w:r>
    </w:p>
    <w:p>
      <w:pPr>
        <w:spacing w:before="120" w:beforeLines="50" w:line="360" w:lineRule="auto"/>
        <w:ind w:left="470" w:hanging="470" w:hanging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注：1、本表应按“分项报价表”规定的要求填写，详细报出总价的各个组成部分的报价，否则作无效磋商响应文件处理。</w:t>
      </w:r>
    </w:p>
    <w:p>
      <w:pPr>
        <w:spacing w:before="120" w:beforeLines="50" w:line="360" w:lineRule="auto"/>
        <w:ind w:left="470" w:hanging="470" w:hanging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2、保留小数点后两位。</w:t>
      </w:r>
    </w:p>
    <w:p>
      <w:pPr>
        <w:spacing w:before="120" w:beforeLines="50" w:line="360" w:lineRule="auto"/>
        <w:ind w:left="470" w:hanging="470" w:hanging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2、“分项报价表”各分项报价合计应当与“报价表”报价合计相等。</w:t>
      </w:r>
    </w:p>
    <w:p>
      <w:pPr>
        <w:spacing w:before="120" w:beforeLines="50" w:line="360" w:lineRule="auto"/>
        <w:ind w:left="470" w:hanging="470" w:hanging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3、“分项报价表”为多页的，每页均须由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代表签字并盖供应商印章。</w:t>
      </w:r>
    </w:p>
    <w:p>
      <w:pPr>
        <w:spacing w:before="120" w:beforeLines="50" w:line="360" w:lineRule="auto"/>
        <w:ind w:left="470" w:hanging="470" w:hanging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4、供应商在服务过程中</w:t>
      </w:r>
      <w:r>
        <w:rPr>
          <w:rFonts w:hint="eastAsia" w:ascii="宋体" w:hAnsi="宋体" w:eastAsia="宋体" w:cs="宋体"/>
          <w:color w:val="auto"/>
          <w:sz w:val="24"/>
          <w:szCs w:val="24"/>
          <w:highlight w:val="none"/>
          <w:lang w:eastAsia="zh-CN"/>
        </w:rPr>
        <w:t>所</w:t>
      </w:r>
      <w:r>
        <w:rPr>
          <w:rFonts w:hint="eastAsia" w:ascii="宋体" w:hAnsi="宋体" w:eastAsia="宋体" w:cs="宋体"/>
          <w:color w:val="auto"/>
          <w:sz w:val="24"/>
          <w:szCs w:val="24"/>
          <w:highlight w:val="none"/>
        </w:rPr>
        <w:t>涉及的货物必须详细注明所投产品的“品牌型号”和“技术规格”，自行承担填写错误被视为无效响应文件的风险。</w:t>
      </w:r>
    </w:p>
    <w:p>
      <w:pPr>
        <w:pStyle w:val="4"/>
        <w:jc w:val="both"/>
        <w:rPr>
          <w:rFonts w:hint="default"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5、上述投标总报价包含了投标人为此项目所支付的一切费用，在整个合同期内不做调整。</w:t>
      </w:r>
    </w:p>
    <w:p>
      <w:pPr>
        <w:spacing w:before="120" w:beforeLines="50" w:line="360" w:lineRule="auto"/>
        <w:ind w:left="470" w:hanging="470" w:hangingChars="196"/>
        <w:rPr>
          <w:rFonts w:hint="eastAsia" w:ascii="宋体" w:hAnsi="宋体" w:eastAsia="宋体" w:cs="宋体"/>
          <w:color w:val="auto"/>
          <w:sz w:val="24"/>
          <w:szCs w:val="24"/>
          <w:highlight w:val="none"/>
        </w:rPr>
      </w:pPr>
    </w:p>
    <w:p>
      <w:pPr>
        <w:spacing w:before="120" w:beforeLines="50" w:line="360" w:lineRule="auto"/>
        <w:ind w:left="470" w:hanging="470" w:hangingChars="196"/>
        <w:rPr>
          <w:rFonts w:hint="eastAsia" w:ascii="宋体" w:hAnsi="宋体" w:eastAsia="宋体" w:cs="宋体"/>
          <w:color w:val="auto"/>
          <w:sz w:val="24"/>
          <w:szCs w:val="24"/>
          <w:highlight w:val="none"/>
        </w:rPr>
      </w:pPr>
    </w:p>
    <w:p>
      <w:pPr>
        <w:spacing w:before="120" w:beforeLines="50" w:line="360" w:lineRule="auto"/>
        <w:ind w:left="470" w:hanging="470" w:hangingChars="196"/>
        <w:rPr>
          <w:rFonts w:hint="eastAsia" w:ascii="宋体" w:hAnsi="宋体" w:eastAsia="宋体" w:cs="宋体"/>
          <w:color w:val="auto"/>
          <w:sz w:val="24"/>
          <w:szCs w:val="24"/>
          <w:highlight w:val="none"/>
        </w:rPr>
      </w:pPr>
    </w:p>
    <w:p>
      <w:pPr>
        <w:spacing w:before="120" w:beforeLines="50" w:line="360" w:lineRule="auto"/>
        <w:ind w:left="470" w:hanging="470" w:hangingChars="196"/>
        <w:rPr>
          <w:rFonts w:hint="eastAsia" w:ascii="宋体" w:hAnsi="宋体" w:eastAsia="宋体" w:cs="宋体"/>
          <w:color w:val="auto"/>
          <w:sz w:val="24"/>
          <w:szCs w:val="24"/>
          <w:highlight w:val="none"/>
        </w:rPr>
      </w:pPr>
    </w:p>
    <w:p>
      <w:pPr>
        <w:spacing w:before="120" w:beforeLines="50" w:line="360" w:lineRule="auto"/>
        <w:ind w:left="470" w:hanging="470" w:hangingChars="196"/>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代表签字：</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单位公章）                 </w:t>
      </w:r>
    </w:p>
    <w:p>
      <w:pPr>
        <w:spacing w:before="120" w:beforeLines="50" w:line="360" w:lineRule="auto"/>
        <w:ind w:left="470" w:hanging="470" w:hangingChars="19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日    期：             </w:t>
      </w:r>
    </w:p>
    <w:p>
      <w:pPr>
        <w:pStyle w:val="2"/>
        <w:rPr>
          <w:color w:val="auto"/>
          <w:highlight w:val="none"/>
        </w:rPr>
      </w:pPr>
    </w:p>
    <w:p>
      <w:pPr>
        <w:pStyle w:val="2"/>
        <w:rPr>
          <w:color w:val="auto"/>
          <w:highlight w:val="none"/>
        </w:rPr>
      </w:pPr>
      <w:r>
        <w:rPr>
          <w:color w:val="auto"/>
          <w:highlight w:val="none"/>
        </w:rPr>
        <w:br w:type="page"/>
      </w:r>
    </w:p>
    <w:p>
      <w:pPr>
        <w:pStyle w:val="8"/>
        <w:spacing w:before="120" w:beforeLines="50"/>
        <w:ind w:firstLine="0" w:firstLineChars="0"/>
        <w:jc w:val="center"/>
        <w:rPr>
          <w:rFonts w:ascii="宋体" w:hAnsi="宋体" w:eastAsia="宋体" w:cs="宋体"/>
          <w:b/>
          <w:color w:val="auto"/>
          <w:sz w:val="32"/>
          <w:szCs w:val="32"/>
          <w:highlight w:val="none"/>
        </w:rPr>
      </w:pPr>
      <w:bookmarkStart w:id="28" w:name="_Toc217446087"/>
      <w:r>
        <w:rPr>
          <w:rFonts w:hint="eastAsia" w:ascii="宋体" w:hAnsi="宋体" w:eastAsia="宋体" w:cs="宋体"/>
          <w:b/>
          <w:color w:val="auto"/>
          <w:sz w:val="32"/>
          <w:szCs w:val="32"/>
          <w:highlight w:val="none"/>
        </w:rPr>
        <w:t>三、</w:t>
      </w:r>
      <w:bookmarkStart w:id="29" w:name="_Toc8191"/>
      <w:bookmarkStart w:id="30" w:name="_Toc421778388"/>
      <w:bookmarkStart w:id="31" w:name="_Toc425240483"/>
      <w:bookmarkStart w:id="32" w:name="_Toc26034_WPSOffice_Level1"/>
      <w:bookmarkStart w:id="33" w:name="_Toc29180"/>
      <w:bookmarkStart w:id="34" w:name="_Toc420591669"/>
      <w:bookmarkStart w:id="35" w:name="_Toc487107048"/>
      <w:r>
        <w:rPr>
          <w:rFonts w:hint="eastAsia" w:ascii="宋体" w:hAnsi="宋体" w:eastAsia="宋体" w:cs="宋体"/>
          <w:b/>
          <w:color w:val="auto"/>
          <w:sz w:val="32"/>
          <w:szCs w:val="32"/>
          <w:highlight w:val="none"/>
        </w:rPr>
        <w:t>法定代表人身份证明</w:t>
      </w:r>
      <w:bookmarkEnd w:id="29"/>
      <w:bookmarkEnd w:id="30"/>
      <w:bookmarkEnd w:id="31"/>
      <w:bookmarkEnd w:id="32"/>
      <w:bookmarkEnd w:id="33"/>
      <w:bookmarkEnd w:id="34"/>
      <w:bookmarkEnd w:id="35"/>
    </w:p>
    <w:p>
      <w:pPr>
        <w:spacing w:line="360" w:lineRule="auto"/>
        <w:ind w:firstLine="480" w:firstLineChars="200"/>
        <w:rPr>
          <w:rFonts w:ascii="宋体" w:hAnsi="宋体" w:eastAsia="宋体" w:cs="宋体"/>
          <w:color w:val="auto"/>
          <w:sz w:val="24"/>
          <w:szCs w:val="24"/>
          <w:highlight w:val="none"/>
        </w:rPr>
      </w:pPr>
    </w:p>
    <w:p>
      <w:pPr>
        <w:topLinePunct/>
        <w:spacing w:line="700" w:lineRule="exact"/>
        <w:rPr>
          <w:rFonts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单位名称：</w:t>
      </w:r>
      <w:r>
        <w:rPr>
          <w:rFonts w:hint="eastAsia" w:ascii="宋体" w:hAnsi="宋体" w:eastAsia="宋体" w:cs="宋体"/>
          <w:bCs/>
          <w:color w:val="auto"/>
          <w:sz w:val="24"/>
          <w:szCs w:val="24"/>
          <w:highlight w:val="none"/>
          <w:u w:val="single"/>
        </w:rPr>
        <w:t xml:space="preserve">                         </w:t>
      </w:r>
    </w:p>
    <w:p>
      <w:pPr>
        <w:topLinePunct/>
        <w:spacing w:line="70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单位性质：</w:t>
      </w:r>
      <w:r>
        <w:rPr>
          <w:rFonts w:hint="eastAsia" w:ascii="宋体" w:hAnsi="宋体" w:eastAsia="宋体" w:cs="宋体"/>
          <w:bCs/>
          <w:color w:val="auto"/>
          <w:sz w:val="24"/>
          <w:szCs w:val="24"/>
          <w:highlight w:val="none"/>
          <w:u w:val="single"/>
        </w:rPr>
        <w:t xml:space="preserve">                           </w:t>
      </w:r>
    </w:p>
    <w:p>
      <w:pPr>
        <w:topLinePunct/>
        <w:spacing w:line="70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成立时间：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topLinePunct/>
        <w:spacing w:line="70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经营期限：</w:t>
      </w:r>
    </w:p>
    <w:p>
      <w:pPr>
        <w:topLinePunct/>
        <w:spacing w:line="700" w:lineRule="exact"/>
        <w:rPr>
          <w:rFonts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姓名：</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性别：</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年龄：</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职务：</w:t>
      </w:r>
      <w:r>
        <w:rPr>
          <w:rFonts w:hint="eastAsia" w:ascii="宋体" w:hAnsi="宋体" w:eastAsia="宋体" w:cs="宋体"/>
          <w:bCs/>
          <w:color w:val="auto"/>
          <w:sz w:val="24"/>
          <w:szCs w:val="24"/>
          <w:highlight w:val="none"/>
          <w:u w:val="single"/>
        </w:rPr>
        <w:t xml:space="preserve">         </w:t>
      </w:r>
    </w:p>
    <w:p>
      <w:pPr>
        <w:topLinePunct/>
        <w:spacing w:line="70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系</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（申请人名称）的法定代表人。</w:t>
      </w:r>
    </w:p>
    <w:p>
      <w:pPr>
        <w:topLinePunct/>
        <w:spacing w:line="7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特此证明。</w:t>
      </w:r>
    </w:p>
    <w:p>
      <w:pPr>
        <w:topLinePunct/>
        <w:spacing w:line="700" w:lineRule="exact"/>
        <w:rPr>
          <w:rFonts w:ascii="宋体" w:hAnsi="宋体" w:eastAsia="宋体" w:cs="宋体"/>
          <w:bCs/>
          <w:color w:val="auto"/>
          <w:sz w:val="24"/>
          <w:szCs w:val="24"/>
          <w:highlight w:val="none"/>
        </w:rPr>
      </w:pPr>
    </w:p>
    <w:p>
      <w:pPr>
        <w:topLinePunct/>
        <w:spacing w:line="700" w:lineRule="exact"/>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（附法定代表人身份证复印件</w:t>
      </w:r>
      <w:r>
        <w:rPr>
          <w:rFonts w:hint="eastAsia" w:ascii="宋体" w:hAnsi="宋体" w:eastAsia="宋体" w:cs="宋体"/>
          <w:color w:val="auto"/>
          <w:spacing w:val="4"/>
          <w:sz w:val="24"/>
          <w:szCs w:val="24"/>
          <w:highlight w:val="none"/>
        </w:rPr>
        <w:t>正、反面</w:t>
      </w:r>
      <w:r>
        <w:rPr>
          <w:rFonts w:hint="eastAsia" w:ascii="宋体" w:hAnsi="宋体" w:eastAsia="宋体" w:cs="宋体"/>
          <w:bCs/>
          <w:color w:val="auto"/>
          <w:sz w:val="24"/>
          <w:szCs w:val="24"/>
          <w:highlight w:val="none"/>
        </w:rPr>
        <w:t>加盖公章）</w:t>
      </w:r>
    </w:p>
    <w:p>
      <w:pPr>
        <w:topLinePunct/>
        <w:spacing w:line="700" w:lineRule="exact"/>
        <w:rPr>
          <w:rFonts w:ascii="宋体" w:hAnsi="宋体" w:eastAsia="宋体" w:cs="宋体"/>
          <w:bCs/>
          <w:color w:val="auto"/>
          <w:sz w:val="24"/>
          <w:szCs w:val="24"/>
          <w:highlight w:val="none"/>
        </w:rPr>
      </w:pPr>
    </w:p>
    <w:p>
      <w:pPr>
        <w:topLinePunct/>
        <w:spacing w:line="600" w:lineRule="auto"/>
        <w:rPr>
          <w:rFonts w:ascii="宋体" w:hAnsi="宋体" w:eastAsia="宋体" w:cs="宋体"/>
          <w:bCs/>
          <w:color w:val="auto"/>
          <w:sz w:val="24"/>
          <w:szCs w:val="24"/>
          <w:highlight w:val="none"/>
        </w:rPr>
      </w:pPr>
    </w:p>
    <w:p>
      <w:pPr>
        <w:pStyle w:val="12"/>
        <w:ind w:left="1960" w:right="1960"/>
        <w:rPr>
          <w:rFonts w:ascii="宋体" w:hAnsi="宋体" w:eastAsia="宋体" w:cs="宋体"/>
          <w:bCs/>
          <w:color w:val="auto"/>
          <w:sz w:val="24"/>
          <w:szCs w:val="24"/>
          <w:highlight w:val="none"/>
        </w:rPr>
      </w:pPr>
    </w:p>
    <w:p>
      <w:pPr>
        <w:pStyle w:val="12"/>
        <w:ind w:left="1960" w:right="1960"/>
        <w:rPr>
          <w:rFonts w:ascii="宋体" w:hAnsi="宋体" w:eastAsia="宋体" w:cs="宋体"/>
          <w:bCs/>
          <w:color w:val="auto"/>
          <w:sz w:val="24"/>
          <w:szCs w:val="24"/>
          <w:highlight w:val="none"/>
        </w:rPr>
      </w:pPr>
    </w:p>
    <w:p>
      <w:pPr>
        <w:pStyle w:val="12"/>
        <w:ind w:left="1960" w:right="1960"/>
        <w:rPr>
          <w:rFonts w:ascii="宋体" w:hAnsi="宋体" w:eastAsia="宋体" w:cs="宋体"/>
          <w:bCs/>
          <w:color w:val="auto"/>
          <w:sz w:val="24"/>
          <w:szCs w:val="24"/>
          <w:highlight w:val="none"/>
        </w:rPr>
      </w:pPr>
    </w:p>
    <w:p>
      <w:pPr>
        <w:pStyle w:val="12"/>
        <w:ind w:left="1960" w:right="1960"/>
        <w:rPr>
          <w:rFonts w:ascii="宋体" w:hAnsi="宋体" w:eastAsia="宋体" w:cs="宋体"/>
          <w:bCs/>
          <w:color w:val="auto"/>
          <w:sz w:val="24"/>
          <w:szCs w:val="24"/>
          <w:highlight w:val="none"/>
        </w:rPr>
      </w:pPr>
    </w:p>
    <w:p>
      <w:pPr>
        <w:snapToGrid w:val="0"/>
        <w:spacing w:line="600" w:lineRule="auto"/>
        <w:ind w:firstLine="3120" w:firstLineChars="1300"/>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u w:val="single"/>
        </w:rPr>
        <w:t xml:space="preserve">                          </w:t>
      </w:r>
    </w:p>
    <w:p>
      <w:pPr>
        <w:snapToGrid w:val="0"/>
        <w:spacing w:line="600" w:lineRule="auto"/>
        <w:ind w:firstLine="3360" w:firstLineChars="1400"/>
        <w:rPr>
          <w:rFonts w:ascii="宋体" w:hAnsi="宋体" w:eastAsia="宋体" w:cs="宋体"/>
          <w:color w:val="auto"/>
          <w:sz w:val="24"/>
          <w:szCs w:val="24"/>
          <w:highlight w:val="none"/>
        </w:rPr>
        <w:sectPr>
          <w:headerReference r:id="rId13" w:type="first"/>
          <w:headerReference r:id="rId12" w:type="default"/>
          <w:pgSz w:w="11906" w:h="16838"/>
          <w:pgMar w:top="1440" w:right="1080" w:bottom="1440" w:left="1080" w:header="851" w:footer="992" w:gutter="0"/>
          <w:pgNumType w:fmt="decimal"/>
          <w:cols w:space="720" w:num="1"/>
          <w:titlePg/>
          <w:docGrid w:linePitch="312" w:charSpace="0"/>
        </w:sectPr>
      </w:pPr>
      <w:r>
        <w:rPr>
          <w:rFonts w:hint="eastAsia" w:ascii="宋体" w:hAnsi="宋体" w:eastAsia="宋体" w:cs="宋体"/>
          <w:color w:val="auto"/>
          <w:sz w:val="24"/>
          <w:szCs w:val="24"/>
          <w:highlight w:val="none"/>
        </w:rPr>
        <w:t xml:space="preserve">日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pStyle w:val="8"/>
        <w:spacing w:before="156" w:beforeLines="50"/>
        <w:ind w:firstLine="0" w:firstLineChars="0"/>
        <w:jc w:val="center"/>
        <w:rPr>
          <w:rFonts w:ascii="宋体" w:hAnsi="宋体" w:eastAsia="宋体" w:cs="宋体"/>
          <w:b/>
          <w:color w:val="auto"/>
          <w:sz w:val="32"/>
          <w:szCs w:val="32"/>
          <w:highlight w:val="none"/>
        </w:rPr>
      </w:pPr>
      <w:bookmarkStart w:id="36" w:name="_Toc32762"/>
      <w:bookmarkStart w:id="37" w:name="_Toc421778389"/>
      <w:bookmarkStart w:id="38" w:name="_Toc13782"/>
      <w:bookmarkStart w:id="39" w:name="_Toc425240484"/>
      <w:bookmarkStart w:id="40" w:name="_Toc420591670"/>
      <w:bookmarkStart w:id="41" w:name="_Toc487107049"/>
      <w:bookmarkStart w:id="42" w:name="_Toc8235_WPSOffice_Level1"/>
      <w:r>
        <w:rPr>
          <w:rFonts w:hint="eastAsia" w:ascii="宋体" w:hAnsi="宋体" w:eastAsia="宋体" w:cs="宋体"/>
          <w:b/>
          <w:color w:val="auto"/>
          <w:sz w:val="32"/>
          <w:szCs w:val="32"/>
          <w:highlight w:val="none"/>
        </w:rPr>
        <w:t>四、法定代表人授权委托书</w:t>
      </w:r>
      <w:bookmarkEnd w:id="36"/>
      <w:bookmarkEnd w:id="37"/>
      <w:bookmarkEnd w:id="38"/>
      <w:bookmarkEnd w:id="39"/>
      <w:bookmarkEnd w:id="40"/>
      <w:bookmarkEnd w:id="41"/>
      <w:bookmarkEnd w:id="42"/>
    </w:p>
    <w:p>
      <w:pPr>
        <w:spacing w:line="560" w:lineRule="exact"/>
        <w:ind w:firstLine="480" w:firstLineChars="200"/>
        <w:rPr>
          <w:rFonts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w:t>本授权委托书声明：我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（供应商名称）的法定代表人，现授权委托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(单位名称)的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w:t>
      </w:r>
      <w:r>
        <w:rPr>
          <w:rFonts w:hint="eastAsia" w:ascii="宋体" w:hAnsi="宋体" w:eastAsia="宋体" w:cs="宋体"/>
          <w:color w:val="auto"/>
          <w:spacing w:val="4"/>
          <w:sz w:val="24"/>
          <w:szCs w:val="24"/>
          <w:highlight w:val="none"/>
        </w:rPr>
        <w:t xml:space="preserve">代表我公司全权办理针对本次 </w:t>
      </w:r>
      <w:r>
        <w:rPr>
          <w:rFonts w:hint="eastAsia" w:ascii="宋体" w:hAnsi="宋体" w:eastAsia="宋体" w:cs="宋体"/>
          <w:color w:val="auto"/>
          <w:spacing w:val="4"/>
          <w:sz w:val="24"/>
          <w:szCs w:val="24"/>
          <w:highlight w:val="none"/>
          <w:u w:val="single"/>
        </w:rPr>
        <w:t>（项目名称 ）</w:t>
      </w:r>
      <w:r>
        <w:rPr>
          <w:rFonts w:hint="eastAsia" w:ascii="宋体" w:hAnsi="宋体" w:eastAsia="宋体" w:cs="宋体"/>
          <w:color w:val="auto"/>
          <w:spacing w:val="4"/>
          <w:sz w:val="24"/>
          <w:szCs w:val="24"/>
          <w:highlight w:val="none"/>
        </w:rPr>
        <w:t>项目的磋商、签约等具体工作，并签署全部有关的文件、协议及合同。</w:t>
      </w:r>
    </w:p>
    <w:p>
      <w:pPr>
        <w:spacing w:line="560" w:lineRule="exact"/>
        <w:ind w:firstLine="496" w:firstLineChars="200"/>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委托期限：</w:t>
      </w:r>
      <w:r>
        <w:rPr>
          <w:rFonts w:hint="eastAsia" w:ascii="宋体" w:hAnsi="宋体" w:eastAsia="宋体" w:cs="宋体"/>
          <w:color w:val="auto"/>
          <w:spacing w:val="4"/>
          <w:sz w:val="24"/>
          <w:szCs w:val="24"/>
          <w:highlight w:val="none"/>
          <w:u w:val="single"/>
        </w:rPr>
        <w:t xml:space="preserve">                </w:t>
      </w:r>
    </w:p>
    <w:p>
      <w:pPr>
        <w:spacing w:line="54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代理人无转委托权，特此委托。</w:t>
      </w:r>
    </w:p>
    <w:p>
      <w:pPr>
        <w:spacing w:line="560" w:lineRule="exact"/>
        <w:ind w:firstLine="496" w:firstLineChars="200"/>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本授权书于响应文件递交截止日期起90日历天内有效。</w:t>
      </w:r>
    </w:p>
    <w:p>
      <w:pPr>
        <w:spacing w:line="560" w:lineRule="exact"/>
        <w:rPr>
          <w:rFonts w:ascii="宋体" w:hAnsi="宋体" w:eastAsia="宋体" w:cs="宋体"/>
          <w:color w:val="auto"/>
          <w:spacing w:val="4"/>
          <w:sz w:val="24"/>
          <w:szCs w:val="24"/>
          <w:highlight w:val="none"/>
        </w:rPr>
      </w:pPr>
    </w:p>
    <w:tbl>
      <w:tblPr>
        <w:tblStyle w:val="20"/>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25"/>
        <w:gridCol w:w="45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4" w:hRule="atLeast"/>
        </w:trPr>
        <w:tc>
          <w:tcPr>
            <w:tcW w:w="4725" w:type="dxa"/>
            <w:noWrap w:val="0"/>
            <w:vAlign w:val="top"/>
          </w:tcPr>
          <w:p>
            <w:pPr>
              <w:spacing w:line="560" w:lineRule="exact"/>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被授权人签字：</w:t>
            </w:r>
          </w:p>
        </w:tc>
        <w:tc>
          <w:tcPr>
            <w:tcW w:w="4515" w:type="dxa"/>
            <w:noWrap w:val="0"/>
            <w:vAlign w:val="top"/>
          </w:tcPr>
          <w:p>
            <w:pPr>
              <w:spacing w:line="560" w:lineRule="exact"/>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法人代表签字：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5" w:hRule="atLeast"/>
        </w:trPr>
        <w:tc>
          <w:tcPr>
            <w:tcW w:w="4725" w:type="dxa"/>
            <w:noWrap w:val="0"/>
            <w:vAlign w:val="top"/>
          </w:tcPr>
          <w:p>
            <w:pPr>
              <w:spacing w:line="560" w:lineRule="exact"/>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职务：</w:t>
            </w:r>
          </w:p>
        </w:tc>
        <w:tc>
          <w:tcPr>
            <w:tcW w:w="4515" w:type="dxa"/>
            <w:noWrap w:val="0"/>
            <w:vAlign w:val="top"/>
          </w:tcPr>
          <w:p>
            <w:pPr>
              <w:spacing w:line="560" w:lineRule="exact"/>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职务：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4725" w:type="dxa"/>
            <w:noWrap w:val="0"/>
            <w:vAlign w:val="top"/>
          </w:tcPr>
          <w:p>
            <w:pPr>
              <w:spacing w:line="560" w:lineRule="exact"/>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身份证复印件（正、反面）粘贴处：</w:t>
            </w:r>
          </w:p>
          <w:p>
            <w:pPr>
              <w:spacing w:line="560" w:lineRule="exact"/>
              <w:rPr>
                <w:rFonts w:ascii="宋体" w:hAnsi="宋体" w:eastAsia="宋体" w:cs="宋体"/>
                <w:color w:val="auto"/>
                <w:spacing w:val="4"/>
                <w:sz w:val="24"/>
                <w:szCs w:val="24"/>
                <w:highlight w:val="none"/>
              </w:rPr>
            </w:pPr>
          </w:p>
          <w:p>
            <w:pPr>
              <w:spacing w:line="560" w:lineRule="exact"/>
              <w:rPr>
                <w:rFonts w:ascii="宋体" w:hAnsi="宋体" w:eastAsia="宋体" w:cs="宋体"/>
                <w:color w:val="auto"/>
                <w:spacing w:val="4"/>
                <w:sz w:val="24"/>
                <w:szCs w:val="24"/>
                <w:highlight w:val="none"/>
              </w:rPr>
            </w:pPr>
          </w:p>
          <w:p>
            <w:pPr>
              <w:spacing w:line="560" w:lineRule="exact"/>
              <w:rPr>
                <w:rFonts w:ascii="宋体" w:hAnsi="宋体" w:eastAsia="宋体" w:cs="宋体"/>
                <w:color w:val="auto"/>
                <w:spacing w:val="4"/>
                <w:sz w:val="24"/>
                <w:szCs w:val="24"/>
                <w:highlight w:val="none"/>
              </w:rPr>
            </w:pPr>
          </w:p>
          <w:p>
            <w:pPr>
              <w:spacing w:line="560" w:lineRule="exact"/>
              <w:rPr>
                <w:rFonts w:ascii="宋体" w:hAnsi="宋体" w:eastAsia="宋体" w:cs="宋体"/>
                <w:color w:val="auto"/>
                <w:spacing w:val="4"/>
                <w:sz w:val="24"/>
                <w:szCs w:val="24"/>
                <w:highlight w:val="none"/>
              </w:rPr>
            </w:pPr>
          </w:p>
        </w:tc>
        <w:tc>
          <w:tcPr>
            <w:tcW w:w="4515" w:type="dxa"/>
            <w:noWrap w:val="0"/>
            <w:vAlign w:val="top"/>
          </w:tcPr>
          <w:p>
            <w:pPr>
              <w:spacing w:line="560" w:lineRule="exact"/>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身份证复印件（正、反面）粘贴处：</w:t>
            </w:r>
          </w:p>
        </w:tc>
      </w:tr>
    </w:tbl>
    <w:p>
      <w:pPr>
        <w:spacing w:line="560" w:lineRule="exact"/>
        <w:rPr>
          <w:rFonts w:ascii="宋体" w:hAnsi="宋体" w:eastAsia="宋体" w:cs="宋体"/>
          <w:color w:val="auto"/>
          <w:spacing w:val="4"/>
          <w:sz w:val="24"/>
          <w:szCs w:val="24"/>
          <w:highlight w:val="none"/>
        </w:rPr>
      </w:pPr>
    </w:p>
    <w:p>
      <w:pPr>
        <w:pStyle w:val="12"/>
        <w:ind w:left="0" w:leftChars="0" w:right="1960"/>
        <w:rPr>
          <w:rFonts w:ascii="宋体" w:hAnsi="宋体" w:eastAsia="宋体" w:cs="宋体"/>
          <w:color w:val="auto"/>
          <w:sz w:val="24"/>
          <w:szCs w:val="24"/>
          <w:highlight w:val="none"/>
        </w:rPr>
      </w:pPr>
    </w:p>
    <w:p>
      <w:pPr>
        <w:snapToGrid w:val="0"/>
        <w:spacing w:line="360" w:lineRule="auto"/>
        <w:ind w:firstLine="3120" w:firstLineChars="13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u w:val="single"/>
        </w:rPr>
        <w:t xml:space="preserve">                      </w:t>
      </w:r>
    </w:p>
    <w:p>
      <w:pPr>
        <w:snapToGrid w:val="0"/>
        <w:spacing w:line="360" w:lineRule="auto"/>
        <w:ind w:firstLine="2880" w:firstLineChars="1200"/>
        <w:rPr>
          <w:rFonts w:ascii="宋体" w:hAnsi="宋体" w:eastAsia="宋体" w:cs="宋体"/>
          <w:color w:val="auto"/>
          <w:sz w:val="24"/>
          <w:szCs w:val="24"/>
          <w:highlight w:val="none"/>
        </w:rPr>
      </w:pPr>
    </w:p>
    <w:p>
      <w:pPr>
        <w:snapToGrid w:val="0"/>
        <w:spacing w:line="360" w:lineRule="auto"/>
        <w:ind w:firstLine="3120" w:firstLineChars="1300"/>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spacing w:line="240" w:lineRule="auto"/>
        <w:jc w:val="center"/>
        <w:rPr>
          <w:rFonts w:ascii="宋体" w:hAnsi="宋体" w:eastAsia="宋体" w:cs="宋体"/>
          <w:b/>
          <w:color w:val="auto"/>
          <w:sz w:val="32"/>
          <w:szCs w:val="32"/>
          <w:highlight w:val="none"/>
        </w:rPr>
      </w:pPr>
      <w:r>
        <w:rPr>
          <w:rFonts w:ascii="宋体" w:hAnsi="宋体" w:eastAsia="宋体" w:cs="宋体"/>
          <w:b/>
          <w:color w:val="auto"/>
          <w:sz w:val="24"/>
          <w:szCs w:val="24"/>
          <w:highlight w:val="none"/>
        </w:rPr>
        <w:br w:type="page"/>
      </w:r>
      <w:r>
        <w:rPr>
          <w:rFonts w:hint="eastAsia" w:ascii="宋体" w:hAnsi="宋体" w:eastAsia="宋体" w:cs="宋体"/>
          <w:b/>
          <w:color w:val="auto"/>
          <w:sz w:val="32"/>
          <w:szCs w:val="32"/>
          <w:highlight w:val="none"/>
          <w:lang w:eastAsia="zh-CN"/>
        </w:rPr>
        <w:t>五</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技术</w:t>
      </w:r>
      <w:r>
        <w:rPr>
          <w:rFonts w:hint="eastAsia" w:ascii="宋体" w:hAnsi="宋体" w:eastAsia="宋体" w:cs="宋体"/>
          <w:b/>
          <w:color w:val="auto"/>
          <w:sz w:val="32"/>
          <w:szCs w:val="32"/>
          <w:highlight w:val="none"/>
        </w:rPr>
        <w:t>偏离表</w:t>
      </w:r>
    </w:p>
    <w:tbl>
      <w:tblPr>
        <w:tblStyle w:val="20"/>
        <w:tblpPr w:leftFromText="181" w:rightFromText="181" w:vertAnchor="page" w:horzAnchor="page" w:tblpXSpec="center" w:tblpY="258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326"/>
        <w:gridCol w:w="1562"/>
        <w:gridCol w:w="1624"/>
        <w:gridCol w:w="956"/>
        <w:gridCol w:w="2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79" w:type="dxa"/>
            <w:noWrap w:val="0"/>
            <w:vAlign w:val="center"/>
          </w:tcPr>
          <w:p>
            <w:pPr>
              <w:pStyle w:val="41"/>
              <w:jc w:val="center"/>
              <w:rPr>
                <w:rFonts w:ascii="宋体" w:hAnsi="宋体" w:eastAsia="宋体" w:cs="宋体"/>
                <w:color w:val="auto"/>
                <w:szCs w:val="24"/>
                <w:highlight w:val="none"/>
              </w:rPr>
            </w:pPr>
            <w:r>
              <w:rPr>
                <w:rFonts w:hint="eastAsia" w:ascii="宋体" w:hAnsi="宋体" w:eastAsia="宋体" w:cs="宋体"/>
                <w:color w:val="auto"/>
                <w:szCs w:val="24"/>
                <w:highlight w:val="none"/>
              </w:rPr>
              <w:t>序号</w:t>
            </w:r>
          </w:p>
        </w:tc>
        <w:tc>
          <w:tcPr>
            <w:tcW w:w="1326" w:type="dxa"/>
            <w:noWrap w:val="0"/>
            <w:vAlign w:val="center"/>
          </w:tcPr>
          <w:p>
            <w:pPr>
              <w:pStyle w:val="41"/>
              <w:jc w:val="center"/>
              <w:rPr>
                <w:rFonts w:ascii="宋体" w:hAnsi="宋体" w:eastAsia="宋体" w:cs="宋体"/>
                <w:color w:val="auto"/>
                <w:szCs w:val="24"/>
                <w:highlight w:val="none"/>
              </w:rPr>
            </w:pPr>
            <w:r>
              <w:rPr>
                <w:rFonts w:hint="eastAsia" w:ascii="宋体" w:hAnsi="宋体" w:eastAsia="宋体" w:cs="宋体"/>
                <w:color w:val="auto"/>
                <w:szCs w:val="24"/>
                <w:highlight w:val="none"/>
              </w:rPr>
              <w:t>文件条目号</w:t>
            </w:r>
          </w:p>
        </w:tc>
        <w:tc>
          <w:tcPr>
            <w:tcW w:w="1562" w:type="dxa"/>
            <w:noWrap w:val="0"/>
            <w:vAlign w:val="center"/>
          </w:tcPr>
          <w:p>
            <w:pPr>
              <w:pStyle w:val="41"/>
              <w:jc w:val="center"/>
              <w:rPr>
                <w:rFonts w:ascii="宋体" w:hAnsi="宋体" w:eastAsia="宋体" w:cs="宋体"/>
                <w:color w:val="auto"/>
                <w:szCs w:val="24"/>
                <w:highlight w:val="none"/>
              </w:rPr>
            </w:pPr>
            <w:r>
              <w:rPr>
                <w:rFonts w:hint="eastAsia" w:ascii="宋体" w:hAnsi="宋体" w:eastAsia="宋体" w:cs="宋体"/>
                <w:color w:val="auto"/>
                <w:szCs w:val="24"/>
                <w:highlight w:val="none"/>
              </w:rPr>
              <w:t>采购规格及 技术需求</w:t>
            </w:r>
          </w:p>
        </w:tc>
        <w:tc>
          <w:tcPr>
            <w:tcW w:w="1624" w:type="dxa"/>
            <w:noWrap w:val="0"/>
            <w:vAlign w:val="center"/>
          </w:tcPr>
          <w:p>
            <w:pPr>
              <w:pStyle w:val="41"/>
              <w:rPr>
                <w:rFonts w:ascii="宋体" w:hAnsi="宋体" w:eastAsia="宋体" w:cs="宋体"/>
                <w:color w:val="auto"/>
                <w:szCs w:val="24"/>
                <w:highlight w:val="none"/>
              </w:rPr>
            </w:pPr>
            <w:r>
              <w:rPr>
                <w:rFonts w:hint="eastAsia" w:ascii="宋体" w:hAnsi="宋体" w:eastAsia="宋体" w:cs="宋体"/>
                <w:color w:val="auto"/>
                <w:szCs w:val="24"/>
                <w:highlight w:val="none"/>
              </w:rPr>
              <w:t>响应文件技术规格及功能描述</w:t>
            </w:r>
          </w:p>
        </w:tc>
        <w:tc>
          <w:tcPr>
            <w:tcW w:w="956" w:type="dxa"/>
            <w:noWrap w:val="0"/>
            <w:vAlign w:val="center"/>
          </w:tcPr>
          <w:p>
            <w:pPr>
              <w:pStyle w:val="41"/>
              <w:spacing w:line="360" w:lineRule="exact"/>
              <w:jc w:val="center"/>
              <w:rPr>
                <w:rFonts w:ascii="宋体" w:hAnsi="宋体" w:eastAsia="宋体" w:cs="宋体"/>
                <w:color w:val="auto"/>
                <w:szCs w:val="24"/>
                <w:highlight w:val="none"/>
              </w:rPr>
            </w:pPr>
            <w:r>
              <w:rPr>
                <w:rFonts w:hint="eastAsia" w:ascii="宋体" w:hAnsi="宋体" w:eastAsia="宋体" w:cs="宋体"/>
                <w:color w:val="auto"/>
                <w:szCs w:val="24"/>
                <w:highlight w:val="none"/>
              </w:rPr>
              <w:t>偏离</w:t>
            </w:r>
          </w:p>
        </w:tc>
        <w:tc>
          <w:tcPr>
            <w:tcW w:w="2702" w:type="dxa"/>
            <w:noWrap w:val="0"/>
            <w:vAlign w:val="center"/>
          </w:tcPr>
          <w:p>
            <w:pPr>
              <w:pStyle w:val="41"/>
              <w:rPr>
                <w:rFonts w:ascii="宋体" w:hAnsi="宋体" w:eastAsia="宋体" w:cs="宋体"/>
                <w:color w:val="auto"/>
                <w:szCs w:val="24"/>
                <w:highlight w:val="none"/>
              </w:rPr>
            </w:pPr>
            <w:r>
              <w:rPr>
                <w:rFonts w:hint="eastAsia" w:ascii="宋体" w:hAnsi="宋体" w:eastAsia="宋体" w:cs="宋体"/>
                <w:color w:val="auto"/>
                <w:szCs w:val="24"/>
                <w:highlight w:val="none"/>
              </w:rPr>
              <w:t>偏离对采购项目的影响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79" w:type="dxa"/>
            <w:noWrap w:val="0"/>
            <w:vAlign w:val="top"/>
          </w:tcPr>
          <w:p>
            <w:pPr>
              <w:pStyle w:val="41"/>
              <w:rPr>
                <w:rFonts w:ascii="宋体" w:hAnsi="宋体" w:eastAsia="宋体" w:cs="宋体"/>
                <w:color w:val="auto"/>
                <w:szCs w:val="24"/>
                <w:highlight w:val="none"/>
              </w:rPr>
            </w:pPr>
          </w:p>
        </w:tc>
        <w:tc>
          <w:tcPr>
            <w:tcW w:w="1326" w:type="dxa"/>
            <w:noWrap w:val="0"/>
            <w:vAlign w:val="top"/>
          </w:tcPr>
          <w:p>
            <w:pPr>
              <w:pStyle w:val="41"/>
              <w:rPr>
                <w:rFonts w:ascii="宋体" w:hAnsi="宋体" w:eastAsia="宋体" w:cs="宋体"/>
                <w:color w:val="auto"/>
                <w:szCs w:val="24"/>
                <w:highlight w:val="none"/>
              </w:rPr>
            </w:pPr>
          </w:p>
        </w:tc>
        <w:tc>
          <w:tcPr>
            <w:tcW w:w="1562" w:type="dxa"/>
            <w:noWrap w:val="0"/>
            <w:vAlign w:val="top"/>
          </w:tcPr>
          <w:p>
            <w:pPr>
              <w:pStyle w:val="41"/>
              <w:rPr>
                <w:rFonts w:ascii="宋体" w:hAnsi="宋体" w:eastAsia="宋体" w:cs="宋体"/>
                <w:color w:val="auto"/>
                <w:szCs w:val="24"/>
                <w:highlight w:val="none"/>
              </w:rPr>
            </w:pPr>
          </w:p>
        </w:tc>
        <w:tc>
          <w:tcPr>
            <w:tcW w:w="1624" w:type="dxa"/>
            <w:noWrap w:val="0"/>
            <w:vAlign w:val="top"/>
          </w:tcPr>
          <w:p>
            <w:pPr>
              <w:pStyle w:val="41"/>
              <w:rPr>
                <w:rFonts w:ascii="宋体" w:hAnsi="宋体" w:eastAsia="宋体" w:cs="宋体"/>
                <w:color w:val="auto"/>
                <w:szCs w:val="24"/>
                <w:highlight w:val="none"/>
              </w:rPr>
            </w:pPr>
          </w:p>
        </w:tc>
        <w:tc>
          <w:tcPr>
            <w:tcW w:w="956" w:type="dxa"/>
            <w:noWrap w:val="0"/>
            <w:vAlign w:val="top"/>
          </w:tcPr>
          <w:p>
            <w:pPr>
              <w:pStyle w:val="41"/>
              <w:rPr>
                <w:rFonts w:ascii="宋体" w:hAnsi="宋体" w:eastAsia="宋体" w:cs="宋体"/>
                <w:color w:val="auto"/>
                <w:szCs w:val="24"/>
                <w:highlight w:val="none"/>
              </w:rPr>
            </w:pPr>
          </w:p>
        </w:tc>
        <w:tc>
          <w:tcPr>
            <w:tcW w:w="2702" w:type="dxa"/>
            <w:noWrap w:val="0"/>
            <w:vAlign w:val="top"/>
          </w:tcPr>
          <w:p>
            <w:pPr>
              <w:pStyle w:val="41"/>
              <w:rPr>
                <w:rFonts w:ascii="宋体" w:hAnsi="宋体" w:eastAsia="宋体" w:cs="宋体"/>
                <w:color w:val="auto"/>
                <w:szCs w:val="24"/>
                <w:highlight w:val="none"/>
              </w:rPr>
            </w:pPr>
          </w:p>
        </w:tc>
      </w:tr>
    </w:tbl>
    <w:p>
      <w:pPr>
        <w:pStyle w:val="8"/>
        <w:spacing w:line="400" w:lineRule="exact"/>
        <w:ind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 xml:space="preserve"> 供应商名称：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采购项目编号：</w:t>
      </w:r>
    </w:p>
    <w:p>
      <w:pPr>
        <w:autoSpaceDE w:val="0"/>
        <w:autoSpaceDN w:val="0"/>
        <w:adjustRightInd w:val="0"/>
        <w:spacing w:line="360" w:lineRule="auto"/>
        <w:ind w:firstLine="480" w:firstLineChars="200"/>
        <w:rPr>
          <w:rFonts w:hint="eastAsia" w:ascii="宋体" w:hAnsi="宋体" w:cs="宋体"/>
          <w:color w:val="auto"/>
          <w:sz w:val="24"/>
          <w:highlight w:val="none"/>
        </w:rPr>
      </w:pPr>
      <w:r>
        <w:rPr>
          <w:rFonts w:hint="eastAsia" w:hAnsi="宋体" w:cs="宋体"/>
          <w:color w:val="auto"/>
          <w:sz w:val="24"/>
          <w:szCs w:val="24"/>
          <w:highlight w:val="none"/>
        </w:rPr>
        <w:t>说明：</w:t>
      </w:r>
      <w:r>
        <w:rPr>
          <w:rFonts w:hint="eastAsia" w:ascii="宋体" w:hAnsi="宋体" w:cs="宋体"/>
          <w:color w:val="auto"/>
          <w:sz w:val="24"/>
          <w:highlight w:val="none"/>
        </w:rPr>
        <w:t>①本表应针对于</w:t>
      </w:r>
      <w:r>
        <w:rPr>
          <w:rFonts w:hint="eastAsia" w:ascii="宋体" w:hAnsi="宋体" w:cs="宋体"/>
          <w:color w:val="auto"/>
          <w:sz w:val="24"/>
          <w:highlight w:val="none"/>
          <w:lang w:val="en-US" w:eastAsia="zh-CN"/>
        </w:rPr>
        <w:t>磋商</w:t>
      </w:r>
      <w:r>
        <w:rPr>
          <w:rFonts w:hint="eastAsia" w:ascii="宋体" w:hAnsi="宋体" w:cs="宋体"/>
          <w:color w:val="auto"/>
          <w:sz w:val="24"/>
          <w:highlight w:val="none"/>
        </w:rPr>
        <w:t xml:space="preserve">文件“ </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内容及要求”的响应情况逐条进行说明、此表可扩展；</w:t>
      </w:r>
    </w:p>
    <w:p>
      <w:pPr>
        <w:autoSpaceDE w:val="0"/>
        <w:autoSpaceDN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②</w:t>
      </w:r>
      <w:r>
        <w:rPr>
          <w:rFonts w:hint="eastAsia" w:hAnsi="宋体" w:cs="宋体"/>
          <w:color w:val="auto"/>
          <w:sz w:val="24"/>
          <w:szCs w:val="24"/>
          <w:highlight w:val="none"/>
        </w:rPr>
        <w:t>供应商必须据实填写，不得虚假响应，否则将取消其中标资格，并按有关规定进处罚。</w:t>
      </w:r>
    </w:p>
    <w:p>
      <w:pPr>
        <w:pStyle w:val="13"/>
        <w:autoSpaceDE/>
        <w:autoSpaceDN/>
        <w:adjustRightInd/>
        <w:spacing w:before="156" w:beforeLines="50" w:line="360" w:lineRule="auto"/>
        <w:rPr>
          <w:rFonts w:hAnsi="宋体"/>
          <w:color w:val="auto"/>
          <w:sz w:val="24"/>
          <w:highlight w:val="none"/>
        </w:rPr>
      </w:pPr>
      <w:r>
        <w:rPr>
          <w:rFonts w:hint="eastAsia" w:hAnsi="宋体"/>
          <w:color w:val="auto"/>
          <w:sz w:val="24"/>
          <w:highlight w:val="none"/>
        </w:rPr>
        <w:t>。</w:t>
      </w:r>
    </w:p>
    <w:p>
      <w:pPr>
        <w:pStyle w:val="13"/>
        <w:numPr>
          <w:ilvl w:val="0"/>
          <w:numId w:val="0"/>
        </w:numPr>
        <w:autoSpaceDE/>
        <w:autoSpaceDN/>
        <w:adjustRightInd/>
        <w:spacing w:before="156" w:beforeLines="50" w:line="360" w:lineRule="auto"/>
        <w:rPr>
          <w:rFonts w:hAnsi="宋体" w:cs="宋体"/>
          <w:color w:val="auto"/>
          <w:sz w:val="24"/>
          <w:szCs w:val="24"/>
          <w:highlight w:val="none"/>
        </w:rPr>
      </w:pPr>
    </w:p>
    <w:p>
      <w:pPr>
        <w:pStyle w:val="13"/>
        <w:autoSpaceDE/>
        <w:autoSpaceDN/>
        <w:adjustRightInd/>
        <w:spacing w:before="156" w:beforeLines="50" w:line="360" w:lineRule="auto"/>
        <w:rPr>
          <w:rFonts w:hAnsi="宋体" w:cs="宋体"/>
          <w:color w:val="auto"/>
          <w:sz w:val="24"/>
          <w:szCs w:val="24"/>
          <w:highlight w:val="none"/>
        </w:rPr>
      </w:pPr>
    </w:p>
    <w:p>
      <w:pPr>
        <w:snapToGrid w:val="0"/>
        <w:spacing w:line="60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u w:val="single"/>
        </w:rPr>
        <w:t xml:space="preserve">                             </w:t>
      </w:r>
    </w:p>
    <w:p>
      <w:pPr>
        <w:snapToGrid w:val="0"/>
        <w:spacing w:line="60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napToGrid w:val="0"/>
        <w:spacing w:line="600" w:lineRule="auto"/>
        <w:ind w:firstLine="2880" w:firstLineChars="1200"/>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jc w:val="center"/>
        <w:rPr>
          <w:rFonts w:ascii="宋体" w:hAnsi="宋体" w:eastAsia="宋体" w:cs="宋体"/>
          <w:b/>
          <w:color w:val="auto"/>
          <w:sz w:val="32"/>
          <w:szCs w:val="32"/>
          <w:highlight w:val="none"/>
        </w:rPr>
      </w:pPr>
      <w:r>
        <w:rPr>
          <w:rFonts w:hint="eastAsia"/>
          <w:color w:val="auto"/>
          <w:highlight w:val="none"/>
        </w:rPr>
        <w:br w:type="page"/>
      </w:r>
      <w:r>
        <w:rPr>
          <w:rFonts w:hint="eastAsia" w:ascii="宋体" w:hAnsi="宋体" w:eastAsia="宋体" w:cs="宋体"/>
          <w:b/>
          <w:color w:val="auto"/>
          <w:sz w:val="32"/>
          <w:szCs w:val="32"/>
          <w:highlight w:val="none"/>
        </w:rPr>
        <w:t>六、商务偏离表</w:t>
      </w:r>
      <w:bookmarkEnd w:id="28"/>
    </w:p>
    <w:p>
      <w:pPr>
        <w:pStyle w:val="8"/>
        <w:spacing w:line="400" w:lineRule="exact"/>
        <w:ind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 xml:space="preserve">供应商名称：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采购项目编号：</w:t>
      </w:r>
    </w:p>
    <w:tbl>
      <w:tblPr>
        <w:tblStyle w:val="20"/>
        <w:tblpPr w:leftFromText="180" w:rightFromText="180" w:vertAnchor="text" w:horzAnchor="page" w:tblpX="1309" w:tblpY="7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556"/>
        <w:gridCol w:w="1703"/>
        <w:gridCol w:w="2218"/>
        <w:gridCol w:w="890"/>
        <w:gridCol w:w="26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51" w:type="dxa"/>
            <w:noWrap w:val="0"/>
            <w:vAlign w:val="center"/>
          </w:tcPr>
          <w:p>
            <w:pPr>
              <w:snapToGrid w:val="0"/>
              <w:ind w:right="23"/>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556" w:type="dxa"/>
            <w:noWrap w:val="0"/>
            <w:vAlign w:val="center"/>
          </w:tcPr>
          <w:p>
            <w:pPr>
              <w:snapToGrid w:val="0"/>
              <w:ind w:right="23"/>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文件条目号</w:t>
            </w:r>
          </w:p>
        </w:tc>
        <w:tc>
          <w:tcPr>
            <w:tcW w:w="1703" w:type="dxa"/>
            <w:noWrap w:val="0"/>
            <w:vAlign w:val="center"/>
          </w:tcPr>
          <w:p>
            <w:pPr>
              <w:snapToGrid w:val="0"/>
              <w:ind w:right="23"/>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采购商务要求</w:t>
            </w:r>
          </w:p>
        </w:tc>
        <w:tc>
          <w:tcPr>
            <w:tcW w:w="2218" w:type="dxa"/>
            <w:noWrap w:val="0"/>
            <w:vAlign w:val="center"/>
          </w:tcPr>
          <w:p>
            <w:pPr>
              <w:snapToGrid w:val="0"/>
              <w:ind w:right="23"/>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响应文件商务响应</w:t>
            </w:r>
          </w:p>
        </w:tc>
        <w:tc>
          <w:tcPr>
            <w:tcW w:w="890" w:type="dxa"/>
            <w:noWrap w:val="0"/>
            <w:vAlign w:val="center"/>
          </w:tcPr>
          <w:p>
            <w:pPr>
              <w:snapToGrid w:val="0"/>
              <w:ind w:right="23"/>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偏离</w:t>
            </w:r>
          </w:p>
        </w:tc>
        <w:tc>
          <w:tcPr>
            <w:tcW w:w="2679" w:type="dxa"/>
            <w:noWrap w:val="0"/>
            <w:vAlign w:val="center"/>
          </w:tcPr>
          <w:p>
            <w:pPr>
              <w:snapToGrid w:val="0"/>
              <w:ind w:right="23"/>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偏离及其影响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51" w:type="dxa"/>
            <w:noWrap w:val="0"/>
            <w:vAlign w:val="top"/>
          </w:tcPr>
          <w:p>
            <w:pPr>
              <w:snapToGrid w:val="0"/>
              <w:spacing w:line="360" w:lineRule="auto"/>
              <w:ind w:right="24"/>
              <w:rPr>
                <w:rFonts w:ascii="宋体" w:hAnsi="宋体" w:eastAsia="宋体" w:cs="宋体"/>
                <w:color w:val="auto"/>
                <w:sz w:val="24"/>
                <w:szCs w:val="24"/>
                <w:highlight w:val="none"/>
              </w:rPr>
            </w:pPr>
          </w:p>
        </w:tc>
        <w:tc>
          <w:tcPr>
            <w:tcW w:w="1556" w:type="dxa"/>
            <w:noWrap w:val="0"/>
            <w:vAlign w:val="top"/>
          </w:tcPr>
          <w:p>
            <w:pPr>
              <w:snapToGrid w:val="0"/>
              <w:spacing w:line="360" w:lineRule="auto"/>
              <w:ind w:right="24"/>
              <w:rPr>
                <w:rFonts w:ascii="宋体" w:hAnsi="宋体" w:eastAsia="宋体" w:cs="宋体"/>
                <w:color w:val="auto"/>
                <w:sz w:val="24"/>
                <w:szCs w:val="24"/>
                <w:highlight w:val="none"/>
              </w:rPr>
            </w:pPr>
          </w:p>
        </w:tc>
        <w:tc>
          <w:tcPr>
            <w:tcW w:w="1703" w:type="dxa"/>
            <w:noWrap w:val="0"/>
            <w:vAlign w:val="top"/>
          </w:tcPr>
          <w:p>
            <w:pPr>
              <w:snapToGrid w:val="0"/>
              <w:spacing w:line="360" w:lineRule="auto"/>
              <w:ind w:right="24"/>
              <w:rPr>
                <w:rFonts w:ascii="宋体" w:hAnsi="宋体" w:eastAsia="宋体" w:cs="宋体"/>
                <w:color w:val="auto"/>
                <w:sz w:val="24"/>
                <w:szCs w:val="24"/>
                <w:highlight w:val="none"/>
              </w:rPr>
            </w:pPr>
          </w:p>
        </w:tc>
        <w:tc>
          <w:tcPr>
            <w:tcW w:w="2218" w:type="dxa"/>
            <w:noWrap w:val="0"/>
            <w:vAlign w:val="top"/>
          </w:tcPr>
          <w:p>
            <w:pPr>
              <w:snapToGrid w:val="0"/>
              <w:spacing w:line="360" w:lineRule="auto"/>
              <w:ind w:right="24"/>
              <w:rPr>
                <w:rFonts w:ascii="宋体" w:hAnsi="宋体" w:eastAsia="宋体" w:cs="宋体"/>
                <w:color w:val="auto"/>
                <w:sz w:val="24"/>
                <w:szCs w:val="24"/>
                <w:highlight w:val="none"/>
              </w:rPr>
            </w:pPr>
          </w:p>
        </w:tc>
        <w:tc>
          <w:tcPr>
            <w:tcW w:w="890" w:type="dxa"/>
            <w:noWrap w:val="0"/>
            <w:vAlign w:val="top"/>
          </w:tcPr>
          <w:p>
            <w:pPr>
              <w:snapToGrid w:val="0"/>
              <w:spacing w:line="360" w:lineRule="auto"/>
              <w:ind w:right="24"/>
              <w:rPr>
                <w:rFonts w:ascii="宋体" w:hAnsi="宋体" w:eastAsia="宋体" w:cs="宋体"/>
                <w:color w:val="auto"/>
                <w:sz w:val="24"/>
                <w:szCs w:val="24"/>
                <w:highlight w:val="none"/>
              </w:rPr>
            </w:pPr>
          </w:p>
        </w:tc>
        <w:tc>
          <w:tcPr>
            <w:tcW w:w="2679" w:type="dxa"/>
            <w:noWrap w:val="0"/>
            <w:vAlign w:val="top"/>
          </w:tcPr>
          <w:p>
            <w:pPr>
              <w:snapToGrid w:val="0"/>
              <w:spacing w:line="360" w:lineRule="auto"/>
              <w:ind w:right="24"/>
              <w:rPr>
                <w:rFonts w:ascii="宋体" w:hAnsi="宋体" w:eastAsia="宋体" w:cs="宋体"/>
                <w:color w:val="auto"/>
                <w:sz w:val="24"/>
                <w:szCs w:val="24"/>
                <w:highlight w:val="none"/>
              </w:rPr>
            </w:pPr>
          </w:p>
        </w:tc>
      </w:tr>
    </w:tbl>
    <w:p>
      <w:pPr>
        <w:pStyle w:val="13"/>
        <w:autoSpaceDE/>
        <w:autoSpaceDN/>
        <w:adjustRightInd/>
        <w:spacing w:before="156" w:beforeLines="50" w:line="360" w:lineRule="auto"/>
        <w:rPr>
          <w:rFonts w:hAnsi="宋体"/>
          <w:color w:val="auto"/>
          <w:sz w:val="24"/>
          <w:highlight w:val="none"/>
        </w:rPr>
      </w:pPr>
      <w:r>
        <w:rPr>
          <w:rFonts w:hint="eastAsia" w:hAnsi="宋体" w:cs="宋体"/>
          <w:color w:val="auto"/>
          <w:sz w:val="24"/>
          <w:szCs w:val="24"/>
          <w:highlight w:val="none"/>
        </w:rPr>
        <w:t>说明：</w:t>
      </w:r>
      <w:r>
        <w:rPr>
          <w:rFonts w:hint="eastAsia" w:hAnsi="宋体"/>
          <w:color w:val="auto"/>
          <w:sz w:val="24"/>
          <w:highlight w:val="none"/>
        </w:rPr>
        <w:t>1.本表只填写投标文件中与</w:t>
      </w:r>
      <w:r>
        <w:rPr>
          <w:rFonts w:hint="eastAsia" w:hAnsi="宋体"/>
          <w:color w:val="auto"/>
          <w:sz w:val="24"/>
          <w:highlight w:val="none"/>
          <w:lang w:eastAsia="zh-CN"/>
        </w:rPr>
        <w:t>采购文件</w:t>
      </w:r>
      <w:r>
        <w:rPr>
          <w:rFonts w:hint="eastAsia" w:hAnsi="宋体"/>
          <w:color w:val="auto"/>
          <w:sz w:val="24"/>
          <w:highlight w:val="none"/>
        </w:rPr>
        <w:t>有偏离（包括正偏离和负偏离）的内容，与</w:t>
      </w:r>
      <w:r>
        <w:rPr>
          <w:rFonts w:hint="eastAsia" w:hAnsi="宋体"/>
          <w:color w:val="auto"/>
          <w:sz w:val="24"/>
          <w:highlight w:val="none"/>
          <w:lang w:eastAsia="zh-CN"/>
        </w:rPr>
        <w:t>采购文件</w:t>
      </w:r>
      <w:r>
        <w:rPr>
          <w:rFonts w:hint="eastAsia" w:hAnsi="宋体"/>
          <w:color w:val="auto"/>
          <w:sz w:val="24"/>
          <w:highlight w:val="none"/>
        </w:rPr>
        <w:t>要求完全一致的，不用在此表中列出，但必须提交空白表（须签字盖章）。</w:t>
      </w:r>
    </w:p>
    <w:p>
      <w:pPr>
        <w:pStyle w:val="13"/>
        <w:autoSpaceDE/>
        <w:autoSpaceDN/>
        <w:adjustRightInd/>
        <w:spacing w:before="156" w:beforeLines="50"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2．供应商必须据实填写，不得虚假响应，否则将取消其中标资格，并按有关规定进处罚。</w:t>
      </w:r>
    </w:p>
    <w:p>
      <w:pPr>
        <w:spacing w:line="400" w:lineRule="exact"/>
        <w:rPr>
          <w:rFonts w:ascii="宋体" w:hAnsi="宋体" w:eastAsia="宋体" w:cs="宋体"/>
          <w:color w:val="auto"/>
          <w:sz w:val="24"/>
          <w:szCs w:val="24"/>
          <w:highlight w:val="none"/>
        </w:rPr>
      </w:pPr>
    </w:p>
    <w:p>
      <w:pPr>
        <w:rPr>
          <w:rFonts w:ascii="宋体" w:hAnsi="宋体" w:eastAsia="宋体" w:cs="宋体"/>
          <w:color w:val="auto"/>
          <w:sz w:val="24"/>
          <w:szCs w:val="24"/>
          <w:highlight w:val="none"/>
        </w:rPr>
      </w:pPr>
    </w:p>
    <w:p>
      <w:pPr>
        <w:spacing w:line="400" w:lineRule="exact"/>
        <w:ind w:firstLine="480" w:firstLineChars="200"/>
        <w:rPr>
          <w:rFonts w:ascii="宋体" w:hAnsi="宋体" w:eastAsia="宋体" w:cs="宋体"/>
          <w:bCs/>
          <w:color w:val="auto"/>
          <w:sz w:val="24"/>
          <w:szCs w:val="24"/>
          <w:highlight w:val="none"/>
        </w:rPr>
      </w:pPr>
    </w:p>
    <w:p>
      <w:pPr>
        <w:snapToGrid w:val="0"/>
        <w:spacing w:line="48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u w:val="single"/>
        </w:rPr>
        <w:t xml:space="preserve">                             </w:t>
      </w:r>
    </w:p>
    <w:p>
      <w:pPr>
        <w:snapToGrid w:val="0"/>
        <w:spacing w:line="48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napToGrid w:val="0"/>
        <w:spacing w:line="480" w:lineRule="auto"/>
        <w:ind w:firstLine="2880" w:firstLineChars="1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spacing w:line="480" w:lineRule="auto"/>
        <w:jc w:val="center"/>
        <w:rPr>
          <w:rFonts w:ascii="宋体" w:hAnsi="宋体" w:eastAsia="宋体" w:cs="宋体"/>
          <w:b/>
          <w:color w:val="auto"/>
          <w:sz w:val="24"/>
          <w:szCs w:val="24"/>
          <w:highlight w:val="none"/>
        </w:rPr>
      </w:pPr>
    </w:p>
    <w:p>
      <w:pPr>
        <w:spacing w:line="480" w:lineRule="auto"/>
        <w:jc w:val="center"/>
        <w:rPr>
          <w:rFonts w:hint="eastAsia" w:ascii="宋体" w:hAnsi="宋体" w:eastAsia="宋体" w:cs="宋体"/>
          <w:b/>
          <w:color w:val="auto"/>
          <w:sz w:val="32"/>
          <w:szCs w:val="32"/>
          <w:highlight w:val="none"/>
        </w:rPr>
        <w:sectPr>
          <w:headerReference r:id="rId14" w:type="default"/>
          <w:pgSz w:w="11906" w:h="16838"/>
          <w:pgMar w:top="1440" w:right="1080" w:bottom="1440" w:left="1080" w:header="851" w:footer="992" w:gutter="0"/>
          <w:pgNumType w:fmt="decimal"/>
          <w:cols w:space="720" w:num="1"/>
          <w:docGrid w:type="lines" w:linePitch="312" w:charSpace="0"/>
        </w:sectPr>
      </w:pPr>
    </w:p>
    <w:p>
      <w:pPr>
        <w:spacing w:line="480" w:lineRule="auto"/>
        <w:jc w:val="center"/>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七、</w:t>
      </w:r>
      <w:r>
        <w:rPr>
          <w:rFonts w:hint="eastAsia" w:ascii="宋体" w:hAnsi="宋体" w:cs="宋体"/>
          <w:b/>
          <w:color w:val="auto"/>
          <w:sz w:val="32"/>
          <w:szCs w:val="32"/>
          <w:highlight w:val="none"/>
          <w:lang w:val="en-US" w:eastAsia="zh-CN"/>
        </w:rPr>
        <w:t>响应方案</w:t>
      </w:r>
    </w:p>
    <w:p>
      <w:pPr>
        <w:snapToGrid w:val="0"/>
        <w:spacing w:line="600" w:lineRule="auto"/>
        <w:ind w:right="24" w:firstLine="480" w:firstLineChars="200"/>
        <w:rPr>
          <w:rFonts w:hint="eastAsia" w:ascii="宋体" w:hAnsi="宋体" w:eastAsia="宋体" w:cs="宋体"/>
          <w:color w:val="auto"/>
          <w:sz w:val="24"/>
          <w:szCs w:val="24"/>
          <w:highlight w:val="none"/>
          <w:lang w:val="en-US" w:eastAsia="zh-CN"/>
        </w:rPr>
      </w:pPr>
    </w:p>
    <w:p>
      <w:pPr>
        <w:ind w:firstLine="560"/>
        <w:rPr>
          <w:rFonts w:hint="eastAsia" w:ascii="仿宋" w:hAnsi="仿宋" w:eastAsia="仿宋" w:cs="仿宋"/>
          <w:sz w:val="28"/>
          <w:szCs w:val="28"/>
          <w:lang w:eastAsia="zh-CN"/>
        </w:rPr>
      </w:pPr>
      <w:r>
        <w:rPr>
          <w:rFonts w:hint="eastAsia" w:ascii="仿宋" w:hAnsi="仿宋" w:eastAsia="仿宋" w:cs="仿宋"/>
          <w:sz w:val="28"/>
          <w:szCs w:val="28"/>
          <w:lang w:eastAsia="zh-CN"/>
        </w:rPr>
        <w:t>由供应商根据磋商文件自行编写，无具体格式，但须包含评分标准和</w:t>
      </w:r>
      <w:r>
        <w:rPr>
          <w:rFonts w:hint="eastAsia" w:ascii="仿宋" w:hAnsi="仿宋" w:eastAsia="仿宋" w:cs="仿宋"/>
          <w:sz w:val="28"/>
          <w:szCs w:val="28"/>
          <w:lang w:val="en-US" w:eastAsia="zh-CN"/>
        </w:rPr>
        <w:t>采购</w:t>
      </w:r>
      <w:r>
        <w:rPr>
          <w:rFonts w:hint="eastAsia" w:ascii="仿宋" w:hAnsi="仿宋" w:eastAsia="仿宋" w:cs="仿宋"/>
          <w:sz w:val="28"/>
          <w:szCs w:val="28"/>
          <w:lang w:eastAsia="zh-CN"/>
        </w:rPr>
        <w:t>内容及技术要求。</w:t>
      </w:r>
    </w:p>
    <w:p>
      <w:pPr>
        <w:pStyle w:val="14"/>
        <w:rPr>
          <w:rFonts w:ascii="宋体" w:hAnsi="宋体" w:eastAsia="宋体" w:cs="宋体"/>
          <w:b/>
          <w:color w:val="auto"/>
          <w:sz w:val="24"/>
          <w:szCs w:val="24"/>
          <w:highlight w:val="none"/>
        </w:rPr>
      </w:pPr>
      <w:r>
        <w:rPr>
          <w:rFonts w:ascii="宋体" w:hAnsi="宋体" w:eastAsia="宋体" w:cs="宋体"/>
          <w:b/>
          <w:color w:val="auto"/>
          <w:sz w:val="24"/>
          <w:szCs w:val="24"/>
          <w:highlight w:val="none"/>
        </w:rPr>
        <w:br w:type="page"/>
      </w:r>
    </w:p>
    <w:p>
      <w:p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w:t>
      </w:r>
    </w:p>
    <w:p>
      <w:pPr>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业绩一览表</w:t>
      </w:r>
    </w:p>
    <w:tbl>
      <w:tblPr>
        <w:tblStyle w:val="20"/>
        <w:tblpPr w:leftFromText="180" w:rightFromText="180" w:vertAnchor="text" w:horzAnchor="page" w:tblpX="153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085"/>
        <w:gridCol w:w="3255"/>
        <w:gridCol w:w="207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085" w:type="dxa"/>
            <w:noWrap w:val="0"/>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项目名称</w:t>
            </w:r>
          </w:p>
        </w:tc>
        <w:tc>
          <w:tcPr>
            <w:tcW w:w="3255" w:type="dxa"/>
            <w:noWrap w:val="0"/>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委托单位</w:t>
            </w:r>
          </w:p>
        </w:tc>
        <w:tc>
          <w:tcPr>
            <w:tcW w:w="2070" w:type="dxa"/>
            <w:noWrap w:val="0"/>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合同金额</w:t>
            </w:r>
          </w:p>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55" w:type="dxa"/>
            <w:noWrap w:val="0"/>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exact"/>
        </w:trPr>
        <w:tc>
          <w:tcPr>
            <w:tcW w:w="750" w:type="dxa"/>
            <w:noWrap w:val="0"/>
            <w:vAlign w:val="center"/>
          </w:tcPr>
          <w:p>
            <w:pPr>
              <w:jc w:val="center"/>
              <w:rPr>
                <w:rFonts w:ascii="宋体" w:hAnsi="宋体" w:eastAsia="宋体" w:cs="宋体"/>
                <w:color w:val="auto"/>
                <w:sz w:val="24"/>
                <w:szCs w:val="24"/>
                <w:highlight w:val="none"/>
              </w:rPr>
            </w:pPr>
          </w:p>
        </w:tc>
        <w:tc>
          <w:tcPr>
            <w:tcW w:w="2085" w:type="dxa"/>
            <w:noWrap w:val="0"/>
            <w:vAlign w:val="center"/>
          </w:tcPr>
          <w:p>
            <w:pPr>
              <w:jc w:val="center"/>
              <w:rPr>
                <w:rFonts w:ascii="宋体" w:hAnsi="宋体" w:eastAsia="宋体" w:cs="宋体"/>
                <w:color w:val="auto"/>
                <w:sz w:val="24"/>
                <w:szCs w:val="24"/>
                <w:highlight w:val="none"/>
              </w:rPr>
            </w:pPr>
          </w:p>
        </w:tc>
        <w:tc>
          <w:tcPr>
            <w:tcW w:w="3255" w:type="dxa"/>
            <w:noWrap w:val="0"/>
            <w:vAlign w:val="center"/>
          </w:tcPr>
          <w:p>
            <w:pPr>
              <w:jc w:val="center"/>
              <w:rPr>
                <w:rFonts w:ascii="宋体" w:hAnsi="宋体" w:eastAsia="宋体" w:cs="宋体"/>
                <w:color w:val="auto"/>
                <w:sz w:val="24"/>
                <w:szCs w:val="24"/>
                <w:highlight w:val="none"/>
              </w:rPr>
            </w:pPr>
          </w:p>
        </w:tc>
        <w:tc>
          <w:tcPr>
            <w:tcW w:w="2070" w:type="dxa"/>
            <w:noWrap w:val="0"/>
            <w:vAlign w:val="center"/>
          </w:tcPr>
          <w:p>
            <w:pPr>
              <w:jc w:val="center"/>
              <w:rPr>
                <w:rFonts w:ascii="宋体" w:hAnsi="宋体" w:eastAsia="宋体" w:cs="宋体"/>
                <w:color w:val="auto"/>
                <w:sz w:val="24"/>
                <w:szCs w:val="24"/>
                <w:highlight w:val="none"/>
              </w:rPr>
            </w:pPr>
          </w:p>
        </w:tc>
        <w:tc>
          <w:tcPr>
            <w:tcW w:w="1155" w:type="dxa"/>
            <w:noWrap w:val="0"/>
            <w:vAlign w:val="center"/>
          </w:tcPr>
          <w:p>
            <w:pPr>
              <w:jc w:val="center"/>
              <w:rPr>
                <w:rFonts w:ascii="宋体" w:hAnsi="宋体" w:eastAsia="宋体" w:cs="宋体"/>
                <w:color w:val="auto"/>
                <w:sz w:val="24"/>
                <w:szCs w:val="24"/>
                <w:highlight w:val="none"/>
              </w:rPr>
            </w:pPr>
          </w:p>
        </w:tc>
      </w:tr>
    </w:tbl>
    <w:p>
      <w:pPr>
        <w:pStyle w:val="14"/>
        <w:rPr>
          <w:rFonts w:ascii="宋体" w:hAnsi="宋体" w:eastAsia="宋体" w:cs="宋体"/>
          <w:b/>
          <w:color w:val="auto"/>
          <w:sz w:val="24"/>
          <w:szCs w:val="24"/>
          <w:highlight w:val="none"/>
        </w:rPr>
      </w:pPr>
    </w:p>
    <w:p>
      <w:pPr>
        <w:pStyle w:val="42"/>
        <w:spacing w:line="48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注：后附合同</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rPr>
        <w:t>中标通知书，以签订合同时间为准。</w:t>
      </w:r>
    </w:p>
    <w:p>
      <w:pPr>
        <w:spacing w:line="360" w:lineRule="auto"/>
        <w:jc w:val="center"/>
        <w:outlineLvl w:val="0"/>
        <w:rPr>
          <w:rFonts w:hint="eastAsia" w:ascii="宋体" w:hAnsi="宋体" w:cs="宋体"/>
          <w:b/>
          <w:color w:val="auto"/>
          <w:sz w:val="32"/>
          <w:szCs w:val="32"/>
          <w:highlight w:val="none"/>
        </w:rPr>
      </w:pPr>
      <w:r>
        <w:rPr>
          <w:rFonts w:ascii="宋体" w:hAnsi="宋体" w:eastAsia="宋体" w:cs="宋体"/>
          <w:color w:val="auto"/>
          <w:sz w:val="24"/>
          <w:szCs w:val="24"/>
          <w:highlight w:val="none"/>
        </w:rPr>
        <w:br w:type="page"/>
      </w:r>
      <w:bookmarkStart w:id="43" w:name="_Toc1840"/>
      <w:bookmarkStart w:id="44" w:name="_Toc13042"/>
      <w:bookmarkStart w:id="45" w:name="_Toc21959"/>
      <w:r>
        <w:rPr>
          <w:rFonts w:hint="eastAsia" w:ascii="宋体" w:hAnsi="宋体" w:cs="宋体"/>
          <w:b/>
          <w:color w:val="auto"/>
          <w:sz w:val="32"/>
          <w:szCs w:val="32"/>
          <w:highlight w:val="none"/>
        </w:rPr>
        <w:t>拟投入本项目的人员一览表</w:t>
      </w:r>
      <w:bookmarkEnd w:id="43"/>
      <w:bookmarkEnd w:id="44"/>
      <w:bookmarkEnd w:id="45"/>
    </w:p>
    <w:p>
      <w:pPr>
        <w:pStyle w:val="4"/>
        <w:spacing w:line="360" w:lineRule="auto"/>
        <w:rPr>
          <w:rFonts w:hint="eastAsia"/>
          <w:color w:val="auto"/>
          <w:highlight w:val="none"/>
        </w:rPr>
      </w:pPr>
    </w:p>
    <w:p>
      <w:pPr>
        <w:widowControl/>
        <w:spacing w:line="360" w:lineRule="auto"/>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格式自拟</w:t>
      </w: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Pr>
        <w:pStyle w:val="2"/>
        <w:rPr>
          <w:rFonts w:hint="eastAsia" w:ascii="宋体" w:hAnsi="宋体" w:cs="宋体"/>
          <w:b/>
          <w:color w:val="auto"/>
          <w:kern w:val="0"/>
          <w:sz w:val="28"/>
          <w:szCs w:val="28"/>
          <w:highlight w:val="none"/>
        </w:rPr>
      </w:pPr>
    </w:p>
    <w:p>
      <w:pPr>
        <w:rPr>
          <w:rFonts w:hint="eastAsia" w:ascii="宋体" w:hAnsi="宋体" w:cs="宋体"/>
          <w:b/>
          <w:color w:val="auto"/>
          <w:kern w:val="0"/>
          <w:sz w:val="28"/>
          <w:szCs w:val="28"/>
          <w:highlight w:val="none"/>
        </w:rPr>
      </w:pPr>
    </w:p>
    <w:p/>
    <w:p>
      <w:pPr>
        <w:pStyle w:val="2"/>
      </w:pPr>
    </w:p>
    <w:p>
      <w:pPr>
        <w:pStyle w:val="42"/>
        <w:spacing w:line="48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资格证明文件</w:t>
      </w:r>
    </w:p>
    <w:p>
      <w:pPr>
        <w:pStyle w:val="42"/>
        <w:spacing w:line="480" w:lineRule="auto"/>
        <w:jc w:val="center"/>
        <w:rPr>
          <w:rFonts w:hint="eastAsia" w:ascii="宋体" w:hAnsi="宋体" w:eastAsia="宋体" w:cs="宋体"/>
          <w:b/>
          <w:color w:val="auto"/>
          <w:sz w:val="32"/>
          <w:szCs w:val="32"/>
          <w:highlight w:val="none"/>
          <w:lang w:val="en-US" w:eastAsia="zh-CN"/>
        </w:rPr>
      </w:pPr>
    </w:p>
    <w:p>
      <w:pPr>
        <w:pStyle w:val="9"/>
        <w:rPr>
          <w:rFonts w:hint="default" w:eastAsia="宋体"/>
          <w:lang w:val="en-US" w:eastAsia="zh-CN"/>
        </w:rPr>
      </w:pPr>
      <w:r>
        <w:rPr>
          <w:rFonts w:hint="eastAsia"/>
          <w:lang w:val="en-US" w:eastAsia="zh-CN"/>
        </w:rPr>
        <w:t>详见投标须知前附表</w:t>
      </w:r>
    </w:p>
    <w:p>
      <w:pPr>
        <w:pStyle w:val="42"/>
        <w:spacing w:line="480" w:lineRule="auto"/>
        <w:jc w:val="right"/>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both"/>
        <w:rPr>
          <w:rFonts w:hint="eastAsia" w:ascii="宋体" w:hAnsi="宋体" w:eastAsia="宋体" w:cs="宋体"/>
          <w:b/>
          <w:color w:val="auto"/>
          <w:sz w:val="32"/>
          <w:szCs w:val="32"/>
          <w:highlight w:val="none"/>
          <w:lang w:val="en-US" w:eastAsia="zh-CN"/>
        </w:rPr>
      </w:pPr>
      <w:r>
        <w:rPr>
          <w:rFonts w:hint="eastAsia" w:ascii="仿宋" w:hAnsi="仿宋" w:eastAsia="仿宋" w:cs="仿宋"/>
          <w:color w:val="000000"/>
          <w:sz w:val="28"/>
          <w:lang w:eastAsia="zh-CN"/>
        </w:rPr>
        <w:t>注：资格证明文件须提供扫描件或复印件，并加盖公章。</w:t>
      </w: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lang w:val="en-US" w:eastAsia="zh-CN"/>
        </w:rPr>
      </w:pPr>
    </w:p>
    <w:p>
      <w:pPr>
        <w:pStyle w:val="42"/>
        <w:spacing w:line="480" w:lineRule="auto"/>
        <w:jc w:val="both"/>
        <w:rPr>
          <w:rFonts w:hint="eastAsia" w:ascii="宋体" w:hAnsi="宋体" w:eastAsia="宋体" w:cs="宋体"/>
          <w:b/>
          <w:color w:val="auto"/>
          <w:sz w:val="32"/>
          <w:szCs w:val="32"/>
          <w:highlight w:val="none"/>
          <w:lang w:val="en-US" w:eastAsia="zh-CN"/>
        </w:rPr>
      </w:pPr>
    </w:p>
    <w:p>
      <w:pPr>
        <w:pStyle w:val="42"/>
        <w:spacing w:line="48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九、</w:t>
      </w:r>
      <w:r>
        <w:rPr>
          <w:rFonts w:hint="eastAsia" w:ascii="宋体" w:hAnsi="宋体" w:eastAsia="宋体" w:cs="宋体"/>
          <w:b/>
          <w:color w:val="auto"/>
          <w:sz w:val="32"/>
          <w:szCs w:val="32"/>
          <w:highlight w:val="none"/>
        </w:rPr>
        <w:t>供应商认为其他有必要说明的资料</w:t>
      </w:r>
    </w:p>
    <w:p>
      <w:pPr>
        <w:spacing w:line="360" w:lineRule="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（1）供应商认为其他有必要说明的资料</w:t>
      </w: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color w:val="auto"/>
          <w:sz w:val="24"/>
          <w:szCs w:val="24"/>
          <w:highlight w:val="none"/>
          <w:lang w:eastAsia="zh-CN"/>
        </w:rPr>
      </w:pPr>
    </w:p>
    <w:p>
      <w:pPr>
        <w:spacing w:line="360" w:lineRule="auto"/>
        <w:jc w:val="center"/>
        <w:rPr>
          <w:rFonts w:hint="eastAsia" w:ascii="宋体" w:hAnsi="宋体" w:eastAsia="宋体" w:cs="宋体"/>
          <w:b/>
          <w:color w:val="auto"/>
          <w:sz w:val="32"/>
          <w:szCs w:val="32"/>
          <w:highlight w:val="none"/>
          <w:lang w:val="en-US" w:eastAsia="zh-CN" w:bidi="ar-SA"/>
        </w:rPr>
      </w:pPr>
      <w:r>
        <w:rPr>
          <w:rFonts w:hint="eastAsia" w:ascii="宋体" w:hAnsi="宋体" w:cs="宋体"/>
          <w:b/>
          <w:color w:val="auto"/>
          <w:sz w:val="32"/>
          <w:szCs w:val="32"/>
          <w:highlight w:val="none"/>
          <w:lang w:val="en-US" w:eastAsia="zh-CN" w:bidi="ar-SA"/>
        </w:rPr>
        <w:t>十、</w:t>
      </w:r>
      <w:r>
        <w:rPr>
          <w:rFonts w:hint="eastAsia" w:ascii="宋体" w:hAnsi="宋体" w:eastAsia="宋体" w:cs="宋体"/>
          <w:b/>
          <w:color w:val="auto"/>
          <w:sz w:val="32"/>
          <w:szCs w:val="32"/>
          <w:highlight w:val="none"/>
          <w:lang w:val="en-US" w:eastAsia="zh-CN" w:bidi="ar-SA"/>
        </w:rPr>
        <w:t>供应商参加政府采购活动承诺书</w:t>
      </w:r>
    </w:p>
    <w:p>
      <w:pPr>
        <w:spacing w:line="360" w:lineRule="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1：</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kern w:val="2"/>
          <w:sz w:val="24"/>
          <w:szCs w:val="24"/>
          <w:highlight w:val="none"/>
          <w:lang w:val="en-US" w:eastAsia="zh-CN" w:bidi="ar-SA"/>
        </w:rPr>
      </w:pPr>
      <w:r>
        <w:rPr>
          <w:rFonts w:hint="eastAsia" w:ascii="仿宋" w:hAnsi="仿宋" w:eastAsia="仿宋" w:cs="仿宋"/>
          <w:spacing w:val="3"/>
          <w:sz w:val="28"/>
          <w:szCs w:val="28"/>
          <w:lang w:val="en-US" w:eastAsia="zh-CN"/>
        </w:rPr>
        <w:t>榆林市</w:t>
      </w:r>
      <w:r>
        <w:rPr>
          <w:rFonts w:hint="eastAsia" w:ascii="仿宋" w:hAnsi="仿宋" w:eastAsia="仿宋" w:cs="仿宋"/>
          <w:spacing w:val="3"/>
          <w:sz w:val="28"/>
          <w:szCs w:val="28"/>
        </w:rPr>
        <w:t>政府采购</w:t>
      </w:r>
      <w:r>
        <w:rPr>
          <w:rFonts w:hint="eastAsia" w:ascii="仿宋" w:hAnsi="仿宋" w:eastAsia="仿宋" w:cs="仿宋"/>
          <w:spacing w:val="3"/>
          <w:sz w:val="28"/>
          <w:szCs w:val="28"/>
          <w:lang w:eastAsia="zh-CN"/>
        </w:rPr>
        <w:t>服务</w:t>
      </w:r>
      <w:r>
        <w:rPr>
          <w:rFonts w:hint="eastAsia" w:ascii="仿宋" w:hAnsi="仿宋" w:eastAsia="仿宋" w:cs="仿宋"/>
          <w:spacing w:val="3"/>
          <w:sz w:val="28"/>
          <w:szCs w:val="28"/>
          <w:lang w:val="en-US" w:eastAsia="zh-CN"/>
        </w:rPr>
        <w:t>类项目</w:t>
      </w:r>
      <w:r>
        <w:rPr>
          <w:rFonts w:hint="eastAsia" w:ascii="仿宋" w:hAnsi="仿宋" w:eastAsia="仿宋" w:cs="仿宋"/>
          <w:spacing w:val="3"/>
          <w:sz w:val="28"/>
          <w:szCs w:val="28"/>
        </w:rPr>
        <w:t>供应商信用承诺书</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市场主体名称：</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证件类型：统一社会信用代码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证件号码：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法人代表：</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承诺有效期限：    年   月   日—     年     月     日（有效期一年）</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承诺内容：</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为维护公开、公平、公正的政府采购市场秩序，树立诚实守信的政府采购供应商形象，本单位自愿做出以下承诺：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一、承诺本单位严格遵守国家法律、法规和规章，全面履行应尽的责任和义务，全面做到履约守信，具备《政府采购法》第二十二条第一款规定的条件;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二、承诺本单位提供给注册登记部门、行业管理部门、司法部门、行业组织以及在政府采购活动中提交的所有资料均合法、真实、有效，无任何伪造、修改、虚假成份，并对所提供资料的真实性负责；</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三、承诺本单位严格依法开展生产经营活动，主动接受行业监管，自愿接受依法开展的日常检查；违法失信经营后将自愿接受约束和惩戒，并依法承担相应责任；</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四、承诺本单位自觉接受行政管理部门、行业组织、社会公众、新闻舆论的监督；</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五、承诺本单位自我约束、自我管理，重合同、守信用，不制假售假、商标侵权、虚假宣传、违约毁约、恶意逃债、偷税漏税、价格欺诈、垄断和不正当竞争，维护经营者、消费者的合法权益；</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六、承诺本单位提出政府采购质疑和投诉坚持依法依规、诚实信用原则，在全国范围12个月内没有三次以上查无实据的政府采购投诉；</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u w:val="none"/>
          <w:lang w:val="en-US" w:eastAsia="zh-CN" w:bidi="ar-SA"/>
        </w:rPr>
      </w:pPr>
      <w:r>
        <w:rPr>
          <w:rFonts w:hint="eastAsia" w:ascii="仿宋" w:hAnsi="仿宋" w:eastAsia="仿宋" w:cs="仿宋"/>
          <w:kern w:val="2"/>
          <w:sz w:val="24"/>
          <w:szCs w:val="24"/>
          <w:highlight w:val="none"/>
          <w:lang w:val="en-US" w:eastAsia="zh-CN" w:bidi="ar-SA"/>
        </w:rPr>
        <w:t>七、根据政府采购相关法律法规的规定需要作出的其他承诺：</w:t>
      </w:r>
      <w:r>
        <w:rPr>
          <w:rFonts w:hint="eastAsia" w:ascii="仿宋" w:hAnsi="仿宋" w:eastAsia="仿宋" w:cs="仿宋"/>
          <w:kern w:val="2"/>
          <w:sz w:val="24"/>
          <w:szCs w:val="24"/>
          <w:highlight w:val="none"/>
          <w:u w:val="none"/>
          <w:lang w:val="en-US" w:eastAsia="zh-CN" w:bidi="ar-SA"/>
        </w:rPr>
        <w:t>       。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i w:val="0"/>
          <w:caps w:val="0"/>
          <w:color w:val="333333"/>
          <w:spacing w:val="0"/>
          <w:sz w:val="24"/>
          <w:szCs w:val="24"/>
          <w:highlight w:val="none"/>
        </w:rPr>
      </w:pPr>
      <w:r>
        <w:rPr>
          <w:rFonts w:hint="eastAsia" w:ascii="仿宋" w:hAnsi="仿宋" w:eastAsia="仿宋" w:cs="仿宋"/>
          <w:i w:val="0"/>
          <w:caps w:val="0"/>
          <w:color w:val="333333"/>
          <w:spacing w:val="0"/>
          <w:sz w:val="24"/>
          <w:szCs w:val="24"/>
          <w:highlight w:val="none"/>
          <w:shd w:val="clear" w:color="auto" w:fill="FFFFFF"/>
        </w:rPr>
        <w:t>         </w:t>
      </w:r>
      <w:r>
        <w:rPr>
          <w:rFonts w:hint="eastAsia" w:ascii="仿宋" w:hAnsi="仿宋" w:eastAsia="仿宋" w:cs="仿宋"/>
          <w:i w:val="0"/>
          <w:caps w:val="0"/>
          <w:color w:val="333333"/>
          <w:spacing w:val="0"/>
          <w:sz w:val="24"/>
          <w:szCs w:val="24"/>
          <w:highlight w:val="none"/>
          <w:shd w:val="clear" w:color="auto" w:fill="FFFFFF"/>
          <w:lang w:val="en-US" w:eastAsia="zh-CN"/>
        </w:rPr>
        <w:t xml:space="preserve">      </w:t>
      </w:r>
      <w:r>
        <w:rPr>
          <w:rFonts w:hint="eastAsia" w:ascii="仿宋" w:hAnsi="仿宋" w:eastAsia="仿宋" w:cs="仿宋"/>
          <w:i w:val="0"/>
          <w:caps w:val="0"/>
          <w:color w:val="333333"/>
          <w:spacing w:val="0"/>
          <w:sz w:val="24"/>
          <w:szCs w:val="24"/>
          <w:highlight w:val="none"/>
          <w:shd w:val="clear" w:color="auto" w:fill="FFFFFF"/>
        </w:rPr>
        <w:t>承诺单位（盖章）：</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i w:val="0"/>
          <w:caps w:val="0"/>
          <w:color w:val="333333"/>
          <w:spacing w:val="0"/>
          <w:sz w:val="24"/>
          <w:szCs w:val="24"/>
          <w:highlight w:val="none"/>
          <w:shd w:val="clear" w:color="auto" w:fill="FFFFFF"/>
        </w:rPr>
      </w:pPr>
      <w:r>
        <w:rPr>
          <w:rFonts w:hint="eastAsia" w:ascii="仿宋" w:hAnsi="仿宋" w:eastAsia="仿宋" w:cs="仿宋"/>
          <w:i w:val="0"/>
          <w:caps w:val="0"/>
          <w:color w:val="333333"/>
          <w:spacing w:val="0"/>
          <w:sz w:val="24"/>
          <w:szCs w:val="24"/>
          <w:highlight w:val="none"/>
          <w:shd w:val="clear" w:color="auto" w:fill="FFFFFF"/>
        </w:rPr>
        <w:t>       </w:t>
      </w:r>
      <w:r>
        <w:rPr>
          <w:rFonts w:hint="eastAsia" w:ascii="仿宋" w:hAnsi="仿宋" w:eastAsia="仿宋" w:cs="仿宋"/>
          <w:i w:val="0"/>
          <w:caps w:val="0"/>
          <w:color w:val="333333"/>
          <w:spacing w:val="0"/>
          <w:sz w:val="24"/>
          <w:szCs w:val="24"/>
          <w:highlight w:val="none"/>
          <w:shd w:val="clear" w:color="auto" w:fill="FFFFFF"/>
          <w:lang w:val="en-US" w:eastAsia="zh-CN"/>
        </w:rPr>
        <w:t xml:space="preserve">            </w:t>
      </w:r>
      <w:r>
        <w:rPr>
          <w:rFonts w:hint="eastAsia" w:ascii="仿宋" w:hAnsi="仿宋" w:eastAsia="仿宋" w:cs="仿宋"/>
          <w:i w:val="0"/>
          <w:caps w:val="0"/>
          <w:color w:val="333333"/>
          <w:spacing w:val="0"/>
          <w:sz w:val="24"/>
          <w:szCs w:val="24"/>
          <w:highlight w:val="none"/>
          <w:shd w:val="clear" w:color="auto" w:fill="FFFFFF"/>
        </w:rPr>
        <w:t>法定代表人（负责人）：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leftChars="0" w:right="0" w:firstLine="3840" w:firstLineChars="1600"/>
        <w:jc w:val="both"/>
        <w:textAlignment w:val="auto"/>
        <w:rPr>
          <w:rFonts w:hint="eastAsia" w:ascii="仿宋" w:hAnsi="仿宋" w:eastAsia="仿宋" w:cs="仿宋"/>
          <w:i w:val="0"/>
          <w:caps w:val="0"/>
          <w:color w:val="333333"/>
          <w:spacing w:val="0"/>
          <w:sz w:val="24"/>
          <w:szCs w:val="24"/>
          <w:highlight w:val="none"/>
          <w:shd w:val="clear" w:color="auto" w:fill="FFFFFF"/>
        </w:rPr>
      </w:pPr>
      <w:r>
        <w:rPr>
          <w:rFonts w:hint="eastAsia" w:ascii="仿宋" w:hAnsi="仿宋" w:eastAsia="仿宋" w:cs="仿宋"/>
          <w:i w:val="0"/>
          <w:caps w:val="0"/>
          <w:color w:val="333333"/>
          <w:spacing w:val="0"/>
          <w:sz w:val="24"/>
          <w:szCs w:val="24"/>
          <w:highlight w:val="none"/>
          <w:shd w:val="clear" w:color="auto" w:fill="FFFFFF"/>
        </w:rPr>
        <w:t>法定代表人（负责人）</w:t>
      </w:r>
      <w:r>
        <w:rPr>
          <w:rFonts w:hint="eastAsia" w:ascii="仿宋" w:hAnsi="仿宋" w:eastAsia="仿宋" w:cs="仿宋"/>
          <w:i w:val="0"/>
          <w:caps w:val="0"/>
          <w:color w:val="333333"/>
          <w:spacing w:val="0"/>
          <w:sz w:val="24"/>
          <w:szCs w:val="24"/>
          <w:highlight w:val="none"/>
          <w:shd w:val="clear" w:color="auto" w:fill="FFFFFF"/>
          <w:lang w:val="en-US" w:eastAsia="zh-CN"/>
        </w:rPr>
        <w:t>身份证号：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150" w:afterAutospacing="0" w:line="280" w:lineRule="exact"/>
        <w:ind w:left="0" w:right="0" w:firstLine="640"/>
        <w:jc w:val="both"/>
        <w:textAlignment w:val="auto"/>
        <w:rPr>
          <w:rFonts w:hint="eastAsia" w:ascii="仿宋" w:hAnsi="仿宋" w:eastAsia="仿宋" w:cs="仿宋"/>
          <w:i w:val="0"/>
          <w:caps w:val="0"/>
          <w:color w:val="333333"/>
          <w:spacing w:val="0"/>
          <w:sz w:val="24"/>
          <w:szCs w:val="24"/>
          <w:highlight w:val="none"/>
        </w:rPr>
      </w:pPr>
      <w:r>
        <w:rPr>
          <w:rFonts w:hint="eastAsia" w:ascii="仿宋" w:hAnsi="仿宋" w:eastAsia="仿宋" w:cs="仿宋"/>
          <w:i w:val="0"/>
          <w:caps w:val="0"/>
          <w:color w:val="333333"/>
          <w:spacing w:val="0"/>
          <w:sz w:val="24"/>
          <w:szCs w:val="24"/>
          <w:highlight w:val="none"/>
          <w:shd w:val="clear" w:color="auto" w:fill="FFFFFF"/>
        </w:rPr>
        <w:t>         </w:t>
      </w:r>
      <w:r>
        <w:rPr>
          <w:rFonts w:hint="eastAsia" w:ascii="仿宋" w:hAnsi="仿宋" w:eastAsia="仿宋" w:cs="仿宋"/>
          <w:i w:val="0"/>
          <w:caps w:val="0"/>
          <w:color w:val="333333"/>
          <w:spacing w:val="0"/>
          <w:sz w:val="24"/>
          <w:szCs w:val="24"/>
          <w:highlight w:val="none"/>
          <w:shd w:val="clear" w:color="auto" w:fill="FFFFFF"/>
          <w:lang w:val="en-US" w:eastAsia="zh-CN"/>
        </w:rPr>
        <w:t xml:space="preserve">        </w:t>
      </w:r>
      <w:r>
        <w:rPr>
          <w:rFonts w:hint="eastAsia" w:ascii="仿宋" w:hAnsi="仿宋" w:eastAsia="仿宋" w:cs="仿宋"/>
          <w:i w:val="0"/>
          <w:caps w:val="0"/>
          <w:color w:val="333333"/>
          <w:spacing w:val="0"/>
          <w:sz w:val="24"/>
          <w:szCs w:val="24"/>
          <w:highlight w:val="none"/>
          <w:shd w:val="clear" w:color="auto" w:fill="FFFFFF"/>
        </w:rPr>
        <w:t>承诺日期：</w:t>
      </w:r>
    </w:p>
    <w:p>
      <w:pPr>
        <w:spacing w:before="100" w:line="222" w:lineRule="auto"/>
        <w:ind w:firstLine="375"/>
        <w:rPr>
          <w:rFonts w:hint="eastAsia" w:ascii="宋体" w:hAnsi="宋体" w:eastAsia="宋体" w:cs="宋体"/>
          <w:b/>
          <w:color w:val="auto"/>
          <w:sz w:val="24"/>
          <w:szCs w:val="24"/>
          <w:highlight w:val="none"/>
        </w:rPr>
      </w:pPr>
      <w:r>
        <w:rPr>
          <w:rFonts w:hint="eastAsia" w:ascii="仿宋" w:hAnsi="仿宋" w:eastAsia="仿宋" w:cs="仿宋"/>
          <w:i w:val="0"/>
          <w:caps w:val="0"/>
          <w:color w:val="333333"/>
          <w:spacing w:val="0"/>
          <w:sz w:val="24"/>
          <w:szCs w:val="24"/>
          <w:highlight w:val="none"/>
          <w:shd w:val="clear" w:color="auto" w:fill="FFFFFF"/>
        </w:rPr>
        <w:t>注：法定代表人或负责人、主体名称发生变更的应当重新做出承诺</w:t>
      </w:r>
      <w:r>
        <w:rPr>
          <w:rFonts w:hint="eastAsia" w:ascii="仿宋" w:hAnsi="仿宋" w:eastAsia="仿宋" w:cs="仿宋"/>
          <w:i w:val="0"/>
          <w:caps w:val="0"/>
          <w:color w:val="333333"/>
          <w:spacing w:val="0"/>
          <w:sz w:val="24"/>
          <w:szCs w:val="24"/>
          <w:highlight w:val="none"/>
          <w:shd w:val="clear" w:color="auto" w:fill="FFFFFF"/>
          <w:lang w:eastAsia="zh-CN"/>
        </w:rPr>
        <w:t>；</w:t>
      </w:r>
      <w:r>
        <w:rPr>
          <w:rFonts w:hint="eastAsia" w:ascii="仿宋" w:hAnsi="仿宋" w:eastAsia="仿宋" w:cs="仿宋"/>
          <w:i w:val="0"/>
          <w:caps w:val="0"/>
          <w:color w:val="333333"/>
          <w:spacing w:val="0"/>
          <w:sz w:val="24"/>
          <w:szCs w:val="24"/>
          <w:highlight w:val="none"/>
          <w:shd w:val="clear" w:color="auto" w:fill="FFFFFF"/>
          <w:lang w:val="en-US" w:eastAsia="zh-CN"/>
        </w:rPr>
        <w:t>承诺书标题按照工程类、货物类、服务类确定。</w:t>
      </w: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z w:val="24"/>
          <w:szCs w:val="24"/>
          <w:highlight w:val="none"/>
        </w:rPr>
      </w:pPr>
    </w:p>
    <w:p>
      <w:p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附件2：</w:t>
      </w:r>
    </w:p>
    <w:p>
      <w:pPr>
        <w:spacing w:line="400" w:lineRule="exact"/>
        <w:jc w:val="center"/>
        <w:rPr>
          <w:rFonts w:ascii="宋体" w:hAnsi="宋体" w:eastAsia="宋体" w:cs="宋体"/>
          <w:b/>
          <w:color w:val="auto"/>
          <w:sz w:val="24"/>
          <w:szCs w:val="24"/>
          <w:highlight w:val="none"/>
        </w:rPr>
      </w:pPr>
    </w:p>
    <w:p>
      <w:pPr>
        <w:spacing w:line="400" w:lineRule="exact"/>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符合《中华人民共和国政府采购法》第二十二条规定的承诺</w:t>
      </w:r>
    </w:p>
    <w:p>
      <w:pPr>
        <w:pStyle w:val="43"/>
        <w:ind w:firstLine="482"/>
        <w:rPr>
          <w:rFonts w:ascii="宋体" w:hAnsi="宋体" w:eastAsia="宋体" w:cs="宋体"/>
          <w:color w:val="auto"/>
          <w:sz w:val="24"/>
          <w:szCs w:val="24"/>
          <w:highlight w:val="none"/>
        </w:rPr>
      </w:pPr>
    </w:p>
    <w:p>
      <w:pPr>
        <w:spacing w:line="500" w:lineRule="exact"/>
        <w:ind w:firstLine="480" w:firstLineChars="200"/>
        <w:rPr>
          <w:rFonts w:hint="eastAsia" w:ascii="宋体" w:hAnsi="宋体" w:eastAsia="宋体" w:cs="宋体"/>
          <w:b/>
          <w:color w:val="auto"/>
          <w:sz w:val="24"/>
          <w:szCs w:val="24"/>
          <w:highlight w:val="none"/>
          <w:lang w:eastAsia="zh-CN"/>
        </w:rPr>
      </w:pPr>
      <w:r>
        <w:rPr>
          <w:rFonts w:hint="eastAsia" w:ascii="宋体" w:hAnsi="宋体" w:eastAsia="宋体" w:cs="宋体"/>
          <w:bCs/>
          <w:color w:val="auto"/>
          <w:sz w:val="24"/>
          <w:szCs w:val="24"/>
          <w:highlight w:val="none"/>
        </w:rPr>
        <w:t>致：</w:t>
      </w:r>
      <w:r>
        <w:rPr>
          <w:rFonts w:hint="eastAsia" w:ascii="宋体" w:hAnsi="宋体" w:eastAsia="宋体" w:cs="宋体"/>
          <w:bCs/>
          <w:color w:val="auto"/>
          <w:sz w:val="24"/>
          <w:szCs w:val="24"/>
          <w:highlight w:val="none"/>
          <w:u w:val="single"/>
        </w:rPr>
        <w:t xml:space="preserve">  </w:t>
      </w:r>
      <w:r>
        <w:rPr>
          <w:rFonts w:hint="eastAsia" w:ascii="宋体" w:hAnsi="宋体" w:cs="宋体"/>
          <w:color w:val="auto"/>
          <w:sz w:val="24"/>
          <w:szCs w:val="24"/>
          <w:highlight w:val="none"/>
          <w:u w:val="single"/>
          <w:lang w:eastAsia="zh-CN" w:bidi="ar"/>
        </w:rPr>
        <w:t>榆林市行政审批服务局</w:t>
      </w:r>
    </w:p>
    <w:p>
      <w:pPr>
        <w:spacing w:line="500" w:lineRule="exact"/>
        <w:ind w:left="560" w:left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我公司郑重承诺，符合《中华人民共和国政府采购法》第二十二条规定的条件：</w:t>
      </w:r>
    </w:p>
    <w:p>
      <w:pPr>
        <w:numPr>
          <w:ilvl w:val="0"/>
          <w:numId w:val="7"/>
        </w:numPr>
        <w:spacing w:line="5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具有独立承担民事责任的能力；</w:t>
      </w:r>
    </w:p>
    <w:p>
      <w:pPr>
        <w:numPr>
          <w:ilvl w:val="0"/>
          <w:numId w:val="7"/>
        </w:numPr>
        <w:spacing w:line="5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具有良好的商业信誉和健全的财务会计制度； </w:t>
      </w:r>
    </w:p>
    <w:p>
      <w:pPr>
        <w:numPr>
          <w:ilvl w:val="0"/>
          <w:numId w:val="7"/>
        </w:numPr>
        <w:spacing w:line="5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具有履行合同所必需的设备和专业技术能力； </w:t>
      </w:r>
    </w:p>
    <w:p>
      <w:pPr>
        <w:spacing w:line="5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（四）有依法缴纳税收和社会保障资金的良好记录；</w:t>
      </w:r>
    </w:p>
    <w:p>
      <w:pPr>
        <w:spacing w:line="5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（五）参加政府采购活动前三年内，在经营活动中没有重大违法记录；</w:t>
      </w:r>
    </w:p>
    <w:p>
      <w:pPr>
        <w:spacing w:line="5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（六）法律、行政法规规定的其他条件。  </w:t>
      </w:r>
    </w:p>
    <w:p>
      <w:pPr>
        <w:spacing w:line="500" w:lineRule="exact"/>
        <w:ind w:left="560" w:left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我方保证上述信息的真实和准确，并愿意承担因我方就此弄虚作假所引起的一切法律后果。</w:t>
      </w:r>
    </w:p>
    <w:p>
      <w:pPr>
        <w:spacing w:line="50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rPr>
          <w:rFonts w:ascii="宋体" w:hAnsi="宋体" w:eastAsia="宋体" w:cs="宋体"/>
          <w:bCs/>
          <w:color w:val="auto"/>
          <w:sz w:val="24"/>
          <w:szCs w:val="24"/>
          <w:highlight w:val="none"/>
        </w:rPr>
      </w:pPr>
    </w:p>
    <w:p>
      <w:pPr>
        <w:rPr>
          <w:color w:val="auto"/>
          <w:highlight w:val="none"/>
        </w:rPr>
      </w:pPr>
    </w:p>
    <w:p>
      <w:pPr>
        <w:pStyle w:val="14"/>
        <w:rPr>
          <w:rFonts w:ascii="宋体" w:hAnsi="宋体" w:eastAsia="宋体" w:cs="宋体"/>
          <w:color w:val="auto"/>
          <w:sz w:val="24"/>
          <w:szCs w:val="24"/>
          <w:highlight w:val="none"/>
        </w:rPr>
      </w:pPr>
    </w:p>
    <w:p>
      <w:pPr>
        <w:pStyle w:val="14"/>
        <w:rPr>
          <w:rFonts w:ascii="宋体" w:hAnsi="宋体" w:eastAsia="宋体" w:cs="宋体"/>
          <w:b/>
          <w:color w:val="auto"/>
          <w:sz w:val="24"/>
          <w:szCs w:val="24"/>
          <w:highlight w:val="none"/>
        </w:rPr>
      </w:pPr>
    </w:p>
    <w:p>
      <w:pPr>
        <w:pStyle w:val="14"/>
        <w:rPr>
          <w:rFonts w:ascii="宋体" w:hAnsi="宋体" w:eastAsia="宋体" w:cs="宋体"/>
          <w:b/>
          <w:color w:val="auto"/>
          <w:sz w:val="24"/>
          <w:szCs w:val="24"/>
          <w:highlight w:val="none"/>
        </w:rPr>
      </w:pPr>
    </w:p>
    <w:p>
      <w:pPr>
        <w:pStyle w:val="14"/>
        <w:rPr>
          <w:rFonts w:ascii="宋体" w:hAnsi="宋体" w:eastAsia="宋体" w:cs="宋体"/>
          <w:b/>
          <w:color w:val="auto"/>
          <w:sz w:val="24"/>
          <w:szCs w:val="24"/>
          <w:highlight w:val="none"/>
        </w:rPr>
      </w:pPr>
    </w:p>
    <w:p>
      <w:pPr>
        <w:snapToGrid w:val="0"/>
        <w:spacing w:line="60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u w:val="single"/>
        </w:rPr>
        <w:t xml:space="preserve">                             </w:t>
      </w:r>
    </w:p>
    <w:p>
      <w:pPr>
        <w:snapToGrid w:val="0"/>
        <w:spacing w:line="60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napToGrid w:val="0"/>
        <w:spacing w:line="600" w:lineRule="auto"/>
        <w:ind w:firstLine="2880" w:firstLineChars="1200"/>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spacing w:line="48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br w:type="page"/>
      </w:r>
    </w:p>
    <w:p>
      <w:p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附件3：</w:t>
      </w:r>
    </w:p>
    <w:p>
      <w:pPr>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供应商参加政府采购活动近3年内在经营活动中没有</w:t>
      </w:r>
    </w:p>
    <w:p>
      <w:pPr>
        <w:spacing w:line="360" w:lineRule="auto"/>
        <w:jc w:val="center"/>
        <w:rPr>
          <w:rFonts w:ascii="宋体" w:hAnsi="宋体" w:eastAsia="宋体" w:cs="宋体"/>
          <w:b/>
          <w:color w:val="auto"/>
          <w:spacing w:val="4"/>
          <w:sz w:val="24"/>
          <w:szCs w:val="24"/>
          <w:highlight w:val="none"/>
          <w:u w:val="single"/>
        </w:rPr>
      </w:pPr>
      <w:r>
        <w:rPr>
          <w:rFonts w:hint="eastAsia" w:ascii="宋体" w:hAnsi="宋体" w:eastAsia="宋体" w:cs="宋体"/>
          <w:b/>
          <w:color w:val="auto"/>
          <w:sz w:val="24"/>
          <w:szCs w:val="24"/>
          <w:highlight w:val="none"/>
        </w:rPr>
        <w:t>重大违法纪录的书面声明格式</w:t>
      </w:r>
    </w:p>
    <w:p>
      <w:pPr>
        <w:spacing w:line="500" w:lineRule="exact"/>
        <w:ind w:firstLine="496" w:firstLineChars="200"/>
        <w:rPr>
          <w:rFonts w:hint="eastAsia" w:ascii="宋体" w:hAnsi="宋体" w:eastAsia="宋体" w:cs="宋体"/>
          <w:b/>
          <w:color w:val="auto"/>
          <w:sz w:val="24"/>
          <w:szCs w:val="24"/>
          <w:highlight w:val="none"/>
          <w:lang w:eastAsia="zh-CN"/>
        </w:rPr>
      </w:pPr>
      <w:r>
        <w:rPr>
          <w:rFonts w:hint="eastAsia" w:ascii="宋体" w:hAnsi="宋体" w:eastAsia="宋体" w:cs="宋体"/>
          <w:color w:val="auto"/>
          <w:spacing w:val="4"/>
          <w:sz w:val="24"/>
          <w:szCs w:val="24"/>
          <w:highlight w:val="none"/>
        </w:rPr>
        <w:t>致：</w:t>
      </w:r>
      <w:r>
        <w:rPr>
          <w:rFonts w:hint="eastAsia" w:ascii="宋体" w:hAnsi="宋体" w:cs="宋体"/>
          <w:color w:val="auto"/>
          <w:sz w:val="24"/>
          <w:szCs w:val="24"/>
          <w:highlight w:val="none"/>
          <w:u w:val="single"/>
          <w:lang w:eastAsia="zh-CN" w:bidi="ar"/>
        </w:rPr>
        <w:t>榆林市行政审批服务局</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我公司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（供应商名称），就参加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采购项目（采购项目编号：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）招标事宜，在此郑重声明：</w:t>
      </w:r>
    </w:p>
    <w:p>
      <w:pPr>
        <w:pStyle w:val="8"/>
        <w:spacing w:line="500" w:lineRule="exact"/>
        <w:ind w:firstLine="960" w:firstLineChars="400"/>
        <w:rPr>
          <w:rFonts w:ascii="宋体" w:hAnsi="宋体" w:eastAsia="宋体" w:cs="宋体"/>
          <w:color w:val="auto"/>
          <w:sz w:val="24"/>
          <w:highlight w:val="none"/>
        </w:rPr>
      </w:pPr>
      <w:r>
        <w:rPr>
          <w:rFonts w:hint="eastAsia" w:ascii="宋体" w:hAnsi="宋体" w:eastAsia="宋体" w:cs="宋体"/>
          <w:color w:val="auto"/>
          <w:sz w:val="24"/>
          <w:highlight w:val="none"/>
        </w:rPr>
        <w:t>1、我公司所提交的响应文件全部真实有效；</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2、我公司近3年来无因安全事故、质量事故、投标违规等不良记录被政府有关部门处罚或仍在处罚期限内的情形存在；</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3、我公司近3年来无违规违法经营受到责令停产(或停止经营)、 吊销生产许可证（或经营许可证）、较大数额罚款等行政处罚的情形存在；</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4、我公司无企业财产被查封、冻结或处于破产状态或严重亏损状态等情形存在；</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5、我公司承诺在谈判过程中，保证不予其他单位围标、串标，不出让谈判资格，不采取不正当手段诋毁、排挤其他供应商，不向采购人、采购代理机构、磋商小组成员行贿。</w:t>
      </w:r>
    </w:p>
    <w:p>
      <w:pPr>
        <w:pStyle w:val="8"/>
        <w:spacing w:line="500" w:lineRule="exact"/>
        <w:ind w:firstLine="960" w:firstLineChars="400"/>
        <w:rPr>
          <w:rFonts w:ascii="宋体" w:hAnsi="宋体" w:eastAsia="宋体" w:cs="宋体"/>
          <w:color w:val="auto"/>
          <w:sz w:val="24"/>
          <w:highlight w:val="none"/>
        </w:rPr>
      </w:pPr>
      <w:r>
        <w:rPr>
          <w:rFonts w:hint="eastAsia" w:ascii="宋体" w:hAnsi="宋体" w:eastAsia="宋体" w:cs="宋体"/>
          <w:color w:val="auto"/>
          <w:sz w:val="24"/>
          <w:highlight w:val="none"/>
        </w:rPr>
        <w:t>6、我公司参加政府采购活动近3年内，在经营活动中没有重大违法记录；</w:t>
      </w:r>
    </w:p>
    <w:p>
      <w:pPr>
        <w:pStyle w:val="8"/>
        <w:spacing w:line="500" w:lineRule="exact"/>
        <w:ind w:left="560" w:leftChars="200"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以上声明若有违反，一经查实，我公司愿意接受政府有关部门的相应处罚，并愿意承担由此带来的法律后果。</w:t>
      </w:r>
    </w:p>
    <w:p>
      <w:pPr>
        <w:pStyle w:val="8"/>
        <w:spacing w:line="360" w:lineRule="auto"/>
        <w:ind w:firstLine="1200" w:firstLineChars="500"/>
        <w:rPr>
          <w:rFonts w:ascii="宋体" w:hAnsi="宋体" w:eastAsia="宋体" w:cs="宋体"/>
          <w:color w:val="auto"/>
          <w:sz w:val="24"/>
          <w:highlight w:val="none"/>
        </w:rPr>
      </w:pPr>
      <w:r>
        <w:rPr>
          <w:rFonts w:hint="eastAsia" w:ascii="宋体" w:hAnsi="宋体" w:eastAsia="宋体" w:cs="宋体"/>
          <w:color w:val="auto"/>
          <w:sz w:val="24"/>
          <w:highlight w:val="none"/>
        </w:rPr>
        <w:t>特此声明！</w:t>
      </w:r>
    </w:p>
    <w:p>
      <w:pPr>
        <w:rPr>
          <w:rFonts w:ascii="宋体" w:hAnsi="宋体" w:eastAsia="宋体" w:cs="宋体"/>
          <w:color w:val="auto"/>
          <w:sz w:val="24"/>
          <w:szCs w:val="24"/>
          <w:highlight w:val="none"/>
        </w:rPr>
      </w:pPr>
    </w:p>
    <w:p>
      <w:pPr>
        <w:pStyle w:val="2"/>
        <w:rPr>
          <w:color w:val="auto"/>
          <w:highlight w:val="none"/>
        </w:rPr>
      </w:pPr>
    </w:p>
    <w:p>
      <w:pPr>
        <w:snapToGrid w:val="0"/>
        <w:spacing w:line="48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u w:val="single"/>
        </w:rPr>
        <w:t xml:space="preserve">                             </w:t>
      </w:r>
    </w:p>
    <w:p>
      <w:pPr>
        <w:snapToGrid w:val="0"/>
        <w:spacing w:line="48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其委托代理人（签字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snapToGrid w:val="0"/>
        <w:spacing w:line="480" w:lineRule="auto"/>
        <w:ind w:firstLine="2880" w:firstLineChars="1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snapToGrid w:val="0"/>
        <w:spacing w:line="480" w:lineRule="auto"/>
        <w:ind w:firstLine="2880" w:firstLineChars="120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br w:type="page"/>
      </w:r>
    </w:p>
    <w:p>
      <w:p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w:t>
      </w:r>
    </w:p>
    <w:p>
      <w:pPr>
        <w:spacing w:line="360" w:lineRule="auto"/>
        <w:jc w:val="center"/>
        <w:rPr>
          <w:rFonts w:ascii="宋体" w:hAnsi="宋体" w:eastAsia="宋体" w:cs="宋体"/>
          <w:b/>
          <w:bCs/>
          <w:color w:val="auto"/>
          <w:sz w:val="24"/>
          <w:szCs w:val="24"/>
          <w:highlight w:val="none"/>
        </w:rPr>
      </w:pPr>
    </w:p>
    <w:p>
      <w:pPr>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供应商具有履行合同所必需的设备和专业技术能力书面声明函</w:t>
      </w:r>
    </w:p>
    <w:p>
      <w:pPr>
        <w:spacing w:line="500" w:lineRule="exact"/>
        <w:ind w:firstLine="496" w:firstLineChars="200"/>
        <w:rPr>
          <w:rFonts w:hint="eastAsia" w:ascii="宋体" w:hAnsi="宋体" w:eastAsia="宋体" w:cs="宋体"/>
          <w:b/>
          <w:color w:val="auto"/>
          <w:sz w:val="24"/>
          <w:szCs w:val="24"/>
          <w:highlight w:val="none"/>
          <w:lang w:eastAsia="zh-CN"/>
        </w:rPr>
      </w:pPr>
      <w:r>
        <w:rPr>
          <w:rFonts w:hint="eastAsia" w:ascii="宋体" w:hAnsi="宋体" w:eastAsia="宋体" w:cs="宋体"/>
          <w:color w:val="auto"/>
          <w:spacing w:val="4"/>
          <w:sz w:val="24"/>
          <w:szCs w:val="24"/>
          <w:highlight w:val="none"/>
        </w:rPr>
        <w:t>致：</w:t>
      </w:r>
      <w:r>
        <w:rPr>
          <w:rFonts w:hint="eastAsia" w:ascii="宋体" w:hAnsi="宋体" w:cs="宋体"/>
          <w:color w:val="auto"/>
          <w:sz w:val="24"/>
          <w:szCs w:val="24"/>
          <w:highlight w:val="none"/>
          <w:u w:val="single"/>
          <w:lang w:eastAsia="zh-CN" w:bidi="ar"/>
        </w:rPr>
        <w:t>榆林市行政审批服务局</w:t>
      </w:r>
    </w:p>
    <w:p>
      <w:pPr>
        <w:spacing w:line="360" w:lineRule="auto"/>
        <w:rPr>
          <w:rFonts w:ascii="宋体" w:hAnsi="宋体" w:eastAsia="宋体" w:cs="宋体"/>
          <w:color w:val="auto"/>
          <w:sz w:val="24"/>
          <w:szCs w:val="24"/>
          <w:highlight w:val="none"/>
        </w:rPr>
      </w:pP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我公司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（供应商名称），就参加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采购项目（采购项目编号：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）招标事宜，在此郑重声明：</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1、在参加本次政府采购项目经营活动中____（填“没有”或“有”）履行合同所必需的设备和专业技术能力。</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如有不实，我方将无条件地退出本项目的采购活动，并遵照《政府采购法》有关“提供虚假材料的规定”接受处罚。</w:t>
      </w:r>
    </w:p>
    <w:p>
      <w:pPr>
        <w:pStyle w:val="8"/>
        <w:spacing w:line="500" w:lineRule="exact"/>
        <w:ind w:left="560" w:leftChars="200" w:firstLine="480"/>
        <w:rPr>
          <w:rFonts w:ascii="宋体" w:hAnsi="宋体" w:eastAsia="宋体" w:cs="宋体"/>
          <w:color w:val="auto"/>
          <w:sz w:val="24"/>
          <w:highlight w:val="none"/>
        </w:rPr>
      </w:pPr>
      <w:r>
        <w:rPr>
          <w:rFonts w:hint="eastAsia" w:ascii="宋体" w:hAnsi="宋体" w:eastAsia="宋体" w:cs="宋体"/>
          <w:color w:val="auto"/>
          <w:sz w:val="24"/>
          <w:highlight w:val="none"/>
        </w:rPr>
        <w:t>特此声明。</w:t>
      </w:r>
    </w:p>
    <w:p>
      <w:pPr>
        <w:rPr>
          <w:rFonts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rPr>
          <w:rFonts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rPr>
          <w:rFonts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rPr>
          <w:rFonts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rPr>
          <w:rFonts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rPr>
          <w:color w:val="auto"/>
          <w:highlight w:val="none"/>
        </w:rPr>
      </w:pPr>
    </w:p>
    <w:p>
      <w:pPr>
        <w:pStyle w:val="8"/>
        <w:spacing w:line="500" w:lineRule="exact"/>
        <w:ind w:left="560" w:leftChars="200" w:firstLine="480"/>
        <w:rPr>
          <w:rFonts w:ascii="宋体" w:hAnsi="宋体" w:eastAsia="宋体" w:cs="宋体"/>
          <w:color w:val="auto"/>
          <w:sz w:val="24"/>
          <w:highlight w:val="none"/>
        </w:rPr>
      </w:pPr>
    </w:p>
    <w:p>
      <w:pPr>
        <w:snapToGrid w:val="0"/>
        <w:spacing w:line="48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snapToGrid w:val="0"/>
        <w:spacing w:line="480" w:lineRule="auto"/>
        <w:ind w:firstLine="2880" w:firstLineChars="1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pStyle w:val="8"/>
        <w:spacing w:line="500" w:lineRule="exact"/>
        <w:ind w:firstLine="2880" w:firstLineChars="1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p>
    <w:p>
      <w:pPr>
        <w:pStyle w:val="8"/>
        <w:spacing w:line="500" w:lineRule="exact"/>
        <w:ind w:firstLine="2880" w:firstLineChars="1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ascii="宋体" w:hAnsi="宋体" w:eastAsia="宋体" w:cs="宋体"/>
          <w:color w:val="auto"/>
          <w:sz w:val="24"/>
          <w:highlight w:val="none"/>
        </w:rPr>
        <w:br w:type="page"/>
      </w:r>
    </w:p>
    <w:p>
      <w:pPr>
        <w:pStyle w:val="13"/>
        <w:snapToGrid w:val="0"/>
        <w:spacing w:before="156" w:beforeLines="50" w:line="360" w:lineRule="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附件5：</w:t>
      </w:r>
    </w:p>
    <w:p>
      <w:pPr>
        <w:pStyle w:val="3"/>
        <w:rPr>
          <w:rFonts w:hint="eastAsia" w:ascii="楷体" w:hAnsi="楷体" w:eastAsia="楷体" w:cs="楷体"/>
        </w:rPr>
      </w:pPr>
      <w:bookmarkStart w:id="46" w:name="_Toc21005"/>
      <w:r>
        <w:rPr>
          <w:rFonts w:hint="eastAsia" w:ascii="楷体" w:hAnsi="楷体" w:eastAsia="楷体" w:cs="楷体"/>
          <w:lang w:val="en-US" w:eastAsia="zh-CN"/>
        </w:rPr>
        <w:t>1、</w:t>
      </w:r>
      <w:r>
        <w:rPr>
          <w:rFonts w:hint="eastAsia" w:ascii="楷体" w:hAnsi="楷体" w:eastAsia="楷体" w:cs="楷体"/>
        </w:rPr>
        <w:t>中小企业声明函（服务）</w:t>
      </w:r>
      <w:bookmarkEnd w:id="46"/>
    </w:p>
    <w:p>
      <w:pPr>
        <w:pStyle w:val="2"/>
        <w:tabs>
          <w:tab w:val="left" w:pos="567"/>
        </w:tabs>
        <w:spacing w:line="360" w:lineRule="auto"/>
        <w:ind w:right="415" w:firstLine="640"/>
        <w:jc w:val="both"/>
        <w:rPr>
          <w:rFonts w:hint="eastAsia" w:ascii="楷体" w:hAnsi="楷体" w:eastAsia="楷体" w:cs="楷体"/>
          <w:spacing w:val="-2"/>
          <w:sz w:val="24"/>
          <w:szCs w:val="24"/>
        </w:rPr>
      </w:pPr>
    </w:p>
    <w:p>
      <w:pPr>
        <w:pStyle w:val="2"/>
        <w:tabs>
          <w:tab w:val="left" w:pos="567"/>
        </w:tabs>
        <w:spacing w:line="360" w:lineRule="auto"/>
        <w:ind w:right="415" w:firstLine="640"/>
        <w:jc w:val="both"/>
        <w:rPr>
          <w:rFonts w:hint="eastAsia" w:ascii="仿宋" w:hAnsi="仿宋" w:eastAsia="仿宋" w:cs="仿宋"/>
          <w:sz w:val="24"/>
          <w:szCs w:val="24"/>
        </w:rPr>
      </w:pPr>
      <w:r>
        <w:rPr>
          <w:rFonts w:hint="eastAsia" w:ascii="仿宋" w:hAnsi="仿宋" w:eastAsia="仿宋" w:cs="仿宋"/>
          <w:spacing w:val="-2"/>
          <w:sz w:val="24"/>
          <w:szCs w:val="24"/>
        </w:rPr>
        <w:t>本公司郑重声明，根据《政府采购促进中小</w:t>
      </w:r>
      <w:r>
        <w:rPr>
          <w:rFonts w:hint="eastAsia" w:ascii="仿宋" w:hAnsi="仿宋" w:eastAsia="仿宋" w:cs="仿宋"/>
          <w:spacing w:val="-18"/>
          <w:sz w:val="24"/>
          <w:szCs w:val="24"/>
        </w:rPr>
        <w:t>企业发展管理办法》</w:t>
      </w:r>
      <w:r>
        <w:rPr>
          <w:rFonts w:hint="eastAsia" w:ascii="仿宋" w:hAnsi="仿宋" w:eastAsia="仿宋" w:cs="仿宋"/>
          <w:sz w:val="24"/>
          <w:szCs w:val="24"/>
        </w:rPr>
        <w:t>（</w:t>
      </w:r>
      <w:r>
        <w:rPr>
          <w:rFonts w:hint="eastAsia" w:ascii="仿宋" w:hAnsi="仿宋" w:eastAsia="仿宋" w:cs="仿宋"/>
          <w:spacing w:val="5"/>
          <w:sz w:val="24"/>
          <w:szCs w:val="24"/>
        </w:rPr>
        <w:t>财库</w:t>
      </w:r>
      <w:r>
        <w:rPr>
          <w:rFonts w:hint="eastAsia" w:ascii="仿宋" w:hAnsi="仿宋" w:eastAsia="仿宋" w:cs="仿宋"/>
          <w:sz w:val="24"/>
          <w:szCs w:val="24"/>
        </w:rPr>
        <w:t>﹝2020﹞46</w:t>
      </w:r>
      <w:r>
        <w:rPr>
          <w:rFonts w:hint="eastAsia" w:ascii="仿宋" w:hAnsi="仿宋" w:eastAsia="仿宋" w:cs="仿宋"/>
          <w:spacing w:val="-38"/>
          <w:sz w:val="24"/>
          <w:szCs w:val="24"/>
        </w:rPr>
        <w:t xml:space="preserve"> 号</w:t>
      </w:r>
      <w:r>
        <w:rPr>
          <w:rFonts w:hint="eastAsia" w:ascii="仿宋" w:hAnsi="仿宋" w:eastAsia="仿宋" w:cs="仿宋"/>
          <w:spacing w:val="5"/>
          <w:sz w:val="24"/>
          <w:szCs w:val="24"/>
        </w:rPr>
        <w:t>）</w:t>
      </w:r>
      <w:r>
        <w:rPr>
          <w:rFonts w:hint="eastAsia" w:ascii="仿宋" w:hAnsi="仿宋" w:eastAsia="仿宋" w:cs="仿宋"/>
          <w:sz w:val="24"/>
          <w:szCs w:val="24"/>
        </w:rPr>
        <w:t>的规定，本公司本公司</w:t>
      </w:r>
      <w:r>
        <w:rPr>
          <w:rFonts w:hint="eastAsia" w:ascii="仿宋" w:hAnsi="仿宋" w:eastAsia="仿宋" w:cs="仿宋"/>
          <w:spacing w:val="-8"/>
          <w:sz w:val="24"/>
          <w:szCs w:val="24"/>
        </w:rPr>
        <w:t>参加</w:t>
      </w:r>
      <w:r>
        <w:rPr>
          <w:rFonts w:hint="eastAsia" w:ascii="仿宋" w:hAnsi="仿宋" w:eastAsia="仿宋" w:cs="仿宋"/>
          <w:spacing w:val="-8"/>
          <w:sz w:val="24"/>
          <w:szCs w:val="24"/>
          <w:u w:val="single"/>
          <w:lang w:eastAsia="zh-CN"/>
        </w:rPr>
        <w:t>（</w:t>
      </w:r>
      <w:r>
        <w:rPr>
          <w:rFonts w:hint="eastAsia" w:ascii="仿宋" w:hAnsi="仿宋" w:eastAsia="仿宋" w:cs="仿宋"/>
          <w:spacing w:val="-8"/>
          <w:sz w:val="24"/>
          <w:szCs w:val="24"/>
          <w:u w:val="single"/>
          <w:lang w:val="en-US" w:eastAsia="zh-CN"/>
        </w:rPr>
        <w:t>单位名称）</w:t>
      </w:r>
      <w:r>
        <w:rPr>
          <w:rFonts w:hint="eastAsia" w:ascii="仿宋" w:hAnsi="仿宋" w:eastAsia="仿宋" w:cs="仿宋"/>
          <w:spacing w:val="-8"/>
          <w:sz w:val="24"/>
          <w:szCs w:val="24"/>
          <w:lang w:val="en-US" w:eastAsia="zh-CN"/>
        </w:rPr>
        <w:t>的</w:t>
      </w:r>
      <w:r>
        <w:rPr>
          <w:rFonts w:hint="eastAsia" w:ascii="仿宋" w:hAnsi="仿宋" w:eastAsia="仿宋" w:cs="仿宋"/>
          <w:spacing w:val="-8"/>
          <w:sz w:val="24"/>
          <w:szCs w:val="24"/>
          <w:u w:val="single"/>
          <w:lang w:val="en-US" w:eastAsia="zh-CN"/>
        </w:rPr>
        <w:t>（项目名称）</w:t>
      </w:r>
      <w:r>
        <w:rPr>
          <w:rFonts w:hint="eastAsia" w:ascii="仿宋" w:hAnsi="仿宋" w:eastAsia="仿宋" w:cs="仿宋"/>
          <w:spacing w:val="-1"/>
          <w:sz w:val="24"/>
          <w:szCs w:val="24"/>
        </w:rPr>
        <w:t>采购活动，</w:t>
      </w:r>
      <w:r>
        <w:rPr>
          <w:rFonts w:hint="eastAsia" w:ascii="仿宋" w:hAnsi="仿宋" w:eastAsia="仿宋" w:cs="仿宋"/>
          <w:spacing w:val="-3"/>
          <w:sz w:val="24"/>
          <w:szCs w:val="24"/>
        </w:rPr>
        <w:t>服务</w:t>
      </w:r>
      <w:r>
        <w:rPr>
          <w:rFonts w:hint="eastAsia" w:ascii="仿宋" w:hAnsi="仿宋" w:eastAsia="仿宋" w:cs="仿宋"/>
          <w:spacing w:val="-2"/>
          <w:sz w:val="24"/>
          <w:szCs w:val="24"/>
        </w:rPr>
        <w:t>全部由符合政策要求的中小企业承接。相关企业（含</w:t>
      </w:r>
      <w:r>
        <w:rPr>
          <w:rFonts w:hint="eastAsia" w:ascii="仿宋" w:hAnsi="仿宋" w:eastAsia="仿宋" w:cs="仿宋"/>
          <w:sz w:val="24"/>
          <w:szCs w:val="24"/>
        </w:rPr>
        <w:t>中小企业、签订分包意向协议的中小企业</w:t>
      </w:r>
      <w:r>
        <w:rPr>
          <w:rFonts w:hint="eastAsia" w:ascii="仿宋" w:hAnsi="仿宋" w:eastAsia="仿宋" w:cs="仿宋"/>
          <w:spacing w:val="-7"/>
          <w:sz w:val="24"/>
          <w:szCs w:val="24"/>
        </w:rPr>
        <w:t>）</w:t>
      </w:r>
      <w:r>
        <w:rPr>
          <w:rFonts w:hint="eastAsia" w:ascii="仿宋" w:hAnsi="仿宋" w:eastAsia="仿宋" w:cs="仿宋"/>
          <w:sz w:val="24"/>
          <w:szCs w:val="24"/>
        </w:rPr>
        <w:t>的具体情况如下：</w:t>
      </w:r>
    </w:p>
    <w:p>
      <w:pPr>
        <w:numPr>
          <w:ilvl w:val="0"/>
          <w:numId w:val="8"/>
        </w:numPr>
        <w:tabs>
          <w:tab w:val="clear" w:pos="312"/>
        </w:tabs>
        <w:spacing w:line="360"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u w:val="single"/>
          <w:lang w:val="en-US" w:eastAsia="zh-CN"/>
        </w:rPr>
        <w:t>（标目名称）</w:t>
      </w:r>
      <w:r>
        <w:rPr>
          <w:rFonts w:hint="eastAsia" w:ascii="仿宋" w:hAnsi="仿宋" w:eastAsia="仿宋" w:cs="仿宋"/>
          <w:sz w:val="24"/>
          <w:szCs w:val="24"/>
          <w:lang w:val="en-US" w:eastAsia="zh-CN"/>
        </w:rPr>
        <w:t>，属于</w:t>
      </w:r>
      <w:r>
        <w:rPr>
          <w:rFonts w:hint="eastAsia" w:ascii="仿宋" w:hAnsi="仿宋" w:eastAsia="仿宋" w:cs="仿宋"/>
          <w:sz w:val="24"/>
          <w:szCs w:val="24"/>
          <w:u w:val="single"/>
          <w:lang w:val="en-US" w:eastAsia="zh-CN"/>
        </w:rPr>
        <w:t>（采购文件中明确的所属行业）</w:t>
      </w:r>
      <w:r>
        <w:rPr>
          <w:rFonts w:hint="eastAsia" w:ascii="仿宋" w:hAnsi="仿宋" w:eastAsia="仿宋" w:cs="仿宋"/>
          <w:sz w:val="24"/>
          <w:szCs w:val="24"/>
          <w:lang w:val="en-US" w:eastAsia="zh-CN"/>
        </w:rPr>
        <w:t>；承建（承接）企业为</w:t>
      </w:r>
      <w:r>
        <w:rPr>
          <w:rFonts w:hint="eastAsia" w:ascii="仿宋" w:hAnsi="仿宋" w:eastAsia="仿宋" w:cs="仿宋"/>
          <w:sz w:val="24"/>
          <w:szCs w:val="24"/>
          <w:u w:val="single"/>
          <w:lang w:val="en-US" w:eastAsia="zh-CN"/>
        </w:rPr>
        <w:t>（企业名称）</w:t>
      </w:r>
      <w:r>
        <w:rPr>
          <w:rFonts w:hint="eastAsia" w:ascii="仿宋" w:hAnsi="仿宋" w:eastAsia="仿宋" w:cs="仿宋"/>
          <w:sz w:val="24"/>
          <w:szCs w:val="24"/>
          <w:lang w:val="en-US" w:eastAsia="zh-CN"/>
        </w:rPr>
        <w:t>，从业人员</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人，营业收入为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万元，资产总额为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万元</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"_bookmark1" </w:instrText>
      </w:r>
      <w:r>
        <w:rPr>
          <w:rFonts w:hint="eastAsia" w:ascii="仿宋" w:hAnsi="仿宋" w:eastAsia="仿宋" w:cs="仿宋"/>
          <w:sz w:val="24"/>
          <w:szCs w:val="24"/>
        </w:rPr>
        <w:fldChar w:fldCharType="separate"/>
      </w:r>
      <w:r>
        <w:rPr>
          <w:rFonts w:hint="eastAsia" w:ascii="仿宋" w:hAnsi="仿宋" w:eastAsia="仿宋" w:cs="仿宋"/>
          <w:w w:val="95"/>
          <w:position w:val="16"/>
          <w:sz w:val="24"/>
          <w:szCs w:val="24"/>
        </w:rPr>
        <w:t>1</w:t>
      </w:r>
      <w:r>
        <w:rPr>
          <w:rFonts w:hint="eastAsia" w:ascii="仿宋" w:hAnsi="仿宋" w:eastAsia="仿宋" w:cs="仿宋"/>
          <w:w w:val="95"/>
          <w:position w:val="16"/>
          <w:sz w:val="24"/>
          <w:szCs w:val="24"/>
        </w:rPr>
        <w:fldChar w:fldCharType="end"/>
      </w:r>
      <w:r>
        <w:rPr>
          <w:rFonts w:hint="eastAsia" w:ascii="仿宋" w:hAnsi="仿宋" w:eastAsia="仿宋" w:cs="仿宋"/>
          <w:sz w:val="24"/>
          <w:szCs w:val="24"/>
          <w:lang w:val="en-US" w:eastAsia="zh-CN"/>
        </w:rPr>
        <w:t xml:space="preserve">  ，属于（中型企业、小型企业、微型企业）；</w:t>
      </w:r>
    </w:p>
    <w:p>
      <w:pPr>
        <w:pStyle w:val="6"/>
        <w:numPr>
          <w:ilvl w:val="0"/>
          <w:numId w:val="8"/>
        </w:numPr>
        <w:spacing w:line="360" w:lineRule="auto"/>
        <w:ind w:left="0" w:leftChars="0" w:firstLine="422"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u w:val="single"/>
          <w:lang w:val="en-US" w:eastAsia="zh-CN"/>
        </w:rPr>
        <w:t>（标目名称）</w:t>
      </w:r>
      <w:r>
        <w:rPr>
          <w:rFonts w:hint="eastAsia" w:ascii="仿宋" w:hAnsi="仿宋" w:eastAsia="仿宋" w:cs="仿宋"/>
          <w:sz w:val="24"/>
          <w:szCs w:val="24"/>
          <w:lang w:val="en-US" w:eastAsia="zh-CN"/>
        </w:rPr>
        <w:t>，属于</w:t>
      </w:r>
      <w:r>
        <w:rPr>
          <w:rFonts w:hint="eastAsia" w:ascii="仿宋" w:hAnsi="仿宋" w:eastAsia="仿宋" w:cs="仿宋"/>
          <w:sz w:val="24"/>
          <w:szCs w:val="24"/>
          <w:u w:val="single"/>
          <w:lang w:val="en-US" w:eastAsia="zh-CN"/>
        </w:rPr>
        <w:t>（采购文件中明确的所属行业）</w:t>
      </w:r>
      <w:r>
        <w:rPr>
          <w:rFonts w:hint="eastAsia" w:ascii="仿宋" w:hAnsi="仿宋" w:eastAsia="仿宋" w:cs="仿宋"/>
          <w:sz w:val="24"/>
          <w:szCs w:val="24"/>
          <w:lang w:val="en-US" w:eastAsia="zh-CN"/>
        </w:rPr>
        <w:t>；承建（承接）企业为</w:t>
      </w:r>
      <w:r>
        <w:rPr>
          <w:rFonts w:hint="eastAsia" w:ascii="仿宋" w:hAnsi="仿宋" w:eastAsia="仿宋" w:cs="仿宋"/>
          <w:sz w:val="24"/>
          <w:szCs w:val="24"/>
          <w:u w:val="single"/>
          <w:lang w:val="en-US" w:eastAsia="zh-CN"/>
        </w:rPr>
        <w:t>（企业名称）</w:t>
      </w:r>
      <w:r>
        <w:rPr>
          <w:rFonts w:hint="eastAsia" w:ascii="仿宋" w:hAnsi="仿宋" w:eastAsia="仿宋" w:cs="仿宋"/>
          <w:sz w:val="24"/>
          <w:szCs w:val="24"/>
          <w:lang w:val="en-US" w:eastAsia="zh-CN"/>
        </w:rPr>
        <w:t>，从业人员</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人，营业收入为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万元，资产总额为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万元， 属于（中型企业、小型企业、微型企业）；</w:t>
      </w:r>
    </w:p>
    <w:p>
      <w:pPr>
        <w:numPr>
          <w:ilvl w:val="0"/>
          <w:numId w:val="0"/>
        </w:num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p>
      <w:pPr>
        <w:pStyle w:val="6"/>
        <w:tabs>
          <w:tab w:val="left" w:pos="864"/>
        </w:tabs>
        <w:spacing w:line="360" w:lineRule="auto"/>
        <w:ind w:firstLine="482"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以上企业，不属于大企业的分支机构，不存在控股股东为大企业的情形，也不存在与大企业的负责人为同一人的情形。</w:t>
      </w:r>
    </w:p>
    <w:p>
      <w:pPr>
        <w:pStyle w:val="2"/>
        <w:tabs>
          <w:tab w:val="left" w:pos="567"/>
        </w:tabs>
        <w:spacing w:line="360" w:lineRule="auto"/>
        <w:ind w:right="375" w:firstLine="640"/>
        <w:rPr>
          <w:rFonts w:hint="eastAsia" w:ascii="仿宋" w:hAnsi="仿宋" w:eastAsia="仿宋" w:cs="仿宋"/>
          <w:sz w:val="24"/>
          <w:szCs w:val="24"/>
        </w:rPr>
      </w:pPr>
      <w:r>
        <w:rPr>
          <w:rFonts w:hint="eastAsia" w:ascii="仿宋" w:hAnsi="仿宋" w:eastAsia="仿宋" w:cs="仿宋"/>
          <w:sz w:val="24"/>
          <w:szCs w:val="24"/>
          <w:lang w:val="en-US" w:eastAsia="zh-CN"/>
        </w:rPr>
        <w:t>本企业对上述声明</w:t>
      </w:r>
      <w:r>
        <w:rPr>
          <w:rFonts w:hint="eastAsia" w:ascii="仿宋" w:hAnsi="仿宋" w:eastAsia="仿宋" w:cs="仿宋"/>
          <w:sz w:val="24"/>
          <w:szCs w:val="24"/>
        </w:rPr>
        <w:t>本企业对上述声明内容的真实性负责。如有虚假，将依法承担相应责任。</w:t>
      </w:r>
    </w:p>
    <w:p>
      <w:pPr>
        <w:rPr>
          <w:rFonts w:hint="eastAsia" w:ascii="仿宋" w:hAnsi="仿宋" w:eastAsia="仿宋" w:cs="仿宋"/>
          <w:w w:val="99"/>
          <w:sz w:val="24"/>
          <w:szCs w:val="24"/>
        </w:rPr>
      </w:pPr>
    </w:p>
    <w:p>
      <w:pPr>
        <w:ind w:firstLine="4080" w:firstLineChars="17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企业名称（盖章）：</w:t>
      </w:r>
    </w:p>
    <w:p>
      <w:pPr>
        <w:pStyle w:val="6"/>
        <w:tabs>
          <w:tab w:val="left" w:pos="864"/>
        </w:tabs>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w:t>
      </w:r>
    </w:p>
    <w:p>
      <w:pPr>
        <w:ind w:left="450" w:hanging="270" w:hangingChars="150"/>
        <w:rPr>
          <w:rFonts w:hint="eastAsia" w:ascii="仿宋" w:hAnsi="仿宋" w:eastAsia="仿宋" w:cs="仿宋"/>
          <w:color w:val="333333"/>
          <w:kern w:val="0"/>
          <w:sz w:val="18"/>
          <w:szCs w:val="18"/>
        </w:rPr>
      </w:pPr>
    </w:p>
    <w:p>
      <w:pPr>
        <w:pStyle w:val="13"/>
        <w:tabs>
          <w:tab w:val="left" w:pos="5580"/>
        </w:tabs>
        <w:snapToGrid w:val="0"/>
        <w:spacing w:line="360" w:lineRule="auto"/>
        <w:ind w:left="1260" w:leftChars="257" w:hanging="540"/>
        <w:rPr>
          <w:rFonts w:hint="eastAsia" w:ascii="仿宋" w:hAnsi="仿宋" w:eastAsia="仿宋" w:cs="仿宋"/>
          <w:sz w:val="24"/>
        </w:rPr>
      </w:pPr>
    </w:p>
    <w:p>
      <w:pPr>
        <w:bidi w:val="0"/>
        <w:rPr>
          <w:rFonts w:hint="eastAsia" w:ascii="仿宋" w:hAnsi="仿宋" w:eastAsia="仿宋" w:cs="仿宋"/>
          <w:sz w:val="24"/>
        </w:rPr>
      </w:pPr>
    </w:p>
    <w:p>
      <w:pPr>
        <w:spacing w:before="0" w:line="225" w:lineRule="exact"/>
        <w:ind w:left="20" w:right="0" w:firstLine="0"/>
        <w:jc w:val="left"/>
        <w:rPr>
          <w:rFonts w:hint="eastAsia" w:ascii="仿宋" w:hAnsi="仿宋" w:eastAsia="仿宋" w:cs="仿宋"/>
          <w:sz w:val="21"/>
          <w:szCs w:val="32"/>
        </w:rPr>
      </w:pPr>
      <w:r>
        <w:rPr>
          <w:rFonts w:hint="eastAsia" w:ascii="仿宋" w:hAnsi="仿宋" w:eastAsia="仿宋" w:cs="仿宋"/>
          <w:sz w:val="21"/>
          <w:szCs w:val="32"/>
          <w:lang w:val="en-US" w:eastAsia="zh-CN"/>
        </w:rPr>
        <w:t>1</w:t>
      </w:r>
      <w:r>
        <w:rPr>
          <w:rFonts w:hint="eastAsia" w:ascii="仿宋" w:hAnsi="仿宋" w:eastAsia="仿宋" w:cs="仿宋"/>
          <w:sz w:val="21"/>
          <w:szCs w:val="32"/>
        </w:rPr>
        <w:t>从业人员、营业收入、资产总额填报上一年度数据，无上一年度数据的新成立企业可不填报。</w:t>
      </w:r>
    </w:p>
    <w:p>
      <w:pPr>
        <w:spacing w:before="8"/>
        <w:ind w:left="3911" w:right="3285" w:firstLine="0"/>
        <w:jc w:val="center"/>
        <w:rPr>
          <w:rFonts w:hint="eastAsia" w:ascii="楷体" w:hAnsi="楷体" w:eastAsia="楷体" w:cs="楷体"/>
          <w:sz w:val="18"/>
        </w:rPr>
      </w:pPr>
    </w:p>
    <w:p>
      <w:pPr>
        <w:pStyle w:val="14"/>
        <w:shd w:val="clear" w:color="auto" w:fill="auto"/>
        <w:rPr>
          <w:rFonts w:hint="eastAsia" w:ascii="仿宋" w:hAnsi="仿宋" w:eastAsia="仿宋" w:cs="仿宋"/>
          <w:highlight w:val="none"/>
          <w:lang w:val="en-US" w:eastAsia="zh-CN"/>
        </w:rPr>
      </w:pPr>
    </w:p>
    <w:p>
      <w:pPr>
        <w:pStyle w:val="4"/>
        <w:ind w:left="0" w:leftChars="0" w:firstLine="0" w:firstLineChars="0"/>
        <w:jc w:val="center"/>
        <w:rPr>
          <w:rFonts w:hint="eastAsia" w:ascii="仿宋" w:hAnsi="仿宋" w:eastAsia="仿宋" w:cs="仿宋"/>
        </w:rPr>
      </w:pPr>
      <w:bookmarkStart w:id="47" w:name="_Toc11750"/>
      <w:bookmarkStart w:id="48" w:name="_Toc27492"/>
      <w:r>
        <w:rPr>
          <w:rFonts w:hint="eastAsia" w:ascii="仿宋" w:hAnsi="仿宋" w:eastAsia="仿宋" w:cs="仿宋"/>
          <w:lang w:val="en-US" w:eastAsia="zh-CN"/>
        </w:rPr>
        <w:t>2</w:t>
      </w:r>
      <w:r>
        <w:rPr>
          <w:rFonts w:hint="eastAsia" w:ascii="仿宋" w:hAnsi="仿宋" w:eastAsia="仿宋" w:cs="仿宋"/>
        </w:rPr>
        <w:t>、残疾人福利性单位声明</w:t>
      </w:r>
      <w:bookmarkEnd w:id="47"/>
      <w:bookmarkEnd w:id="48"/>
    </w:p>
    <w:p>
      <w:pPr>
        <w:spacing w:line="588" w:lineRule="exact"/>
        <w:ind w:firstLine="504" w:firstLineChars="200"/>
        <w:rPr>
          <w:rFonts w:hint="eastAsia" w:ascii="仿宋" w:hAnsi="仿宋" w:eastAsia="仿宋" w:cs="仿宋"/>
          <w:spacing w:val="6"/>
          <w:sz w:val="24"/>
        </w:rPr>
      </w:pPr>
      <w:r>
        <w:rPr>
          <w:rFonts w:hint="eastAsia" w:ascii="仿宋" w:hAnsi="仿宋" w:eastAsia="仿宋" w:cs="仿宋"/>
          <w:spacing w:val="6"/>
          <w:sz w:val="24"/>
        </w:rPr>
        <w:t>根据《三部门联合发布关于促进残疾人就业政府采购政策的通知》（财库〔2017〕141号）的规定，由供应商自行申明，并对申明真实性负责。如有虚假，将依法承担相应责任。</w:t>
      </w:r>
    </w:p>
    <w:p>
      <w:pPr>
        <w:rPr>
          <w:rFonts w:hint="eastAsia" w:ascii="仿宋" w:hAnsi="仿宋" w:eastAsia="仿宋" w:cs="仿宋"/>
        </w:rPr>
      </w:pPr>
    </w:p>
    <w:p>
      <w:pPr>
        <w:pStyle w:val="4"/>
        <w:rPr>
          <w:rFonts w:hint="eastAsia" w:ascii="仿宋" w:hAnsi="仿宋" w:eastAsia="仿宋" w:cs="仿宋"/>
        </w:rPr>
      </w:pPr>
      <w:bookmarkStart w:id="49" w:name="_Toc2723"/>
      <w:bookmarkStart w:id="50" w:name="_Toc8354"/>
      <w:bookmarkStart w:id="51" w:name="_Toc3053"/>
      <w:bookmarkStart w:id="52" w:name="_Toc7420"/>
      <w:r>
        <w:rPr>
          <w:rFonts w:hint="eastAsia" w:ascii="仿宋" w:hAnsi="仿宋" w:eastAsia="仿宋" w:cs="仿宋"/>
        </w:rPr>
        <w:br w:type="page"/>
      </w:r>
      <w:r>
        <w:rPr>
          <w:rFonts w:hint="eastAsia" w:ascii="仿宋" w:hAnsi="仿宋" w:eastAsia="仿宋" w:cs="仿宋"/>
          <w:lang w:val="en-US" w:eastAsia="zh-CN"/>
        </w:rPr>
        <w:t>3</w:t>
      </w:r>
      <w:r>
        <w:rPr>
          <w:rFonts w:hint="eastAsia" w:ascii="仿宋" w:hAnsi="仿宋" w:eastAsia="仿宋" w:cs="仿宋"/>
        </w:rPr>
        <w:t>、监狱企业证明文件</w:t>
      </w:r>
      <w:bookmarkEnd w:id="49"/>
      <w:bookmarkEnd w:id="50"/>
      <w:bookmarkEnd w:id="51"/>
      <w:bookmarkEnd w:id="52"/>
    </w:p>
    <w:p>
      <w:pPr>
        <w:rPr>
          <w:rFonts w:hint="eastAsia" w:ascii="仿宋" w:hAnsi="仿宋" w:eastAsia="仿宋" w:cs="仿宋"/>
        </w:rPr>
      </w:pPr>
    </w:p>
    <w:p>
      <w:pPr>
        <w:snapToGrid w:val="0"/>
        <w:spacing w:line="360" w:lineRule="auto"/>
        <w:ind w:firstLine="504" w:firstLineChars="200"/>
        <w:jc w:val="left"/>
        <w:rPr>
          <w:rFonts w:hint="eastAsia" w:ascii="仿宋" w:hAnsi="仿宋" w:eastAsia="仿宋" w:cs="仿宋"/>
          <w:b/>
          <w:bCs/>
          <w:spacing w:val="48"/>
          <w:sz w:val="72"/>
          <w:szCs w:val="72"/>
        </w:rPr>
      </w:pPr>
      <w:r>
        <w:rPr>
          <w:rFonts w:hint="eastAsia" w:ascii="仿宋" w:hAnsi="仿宋" w:eastAsia="仿宋" w:cs="仿宋"/>
          <w:spacing w:val="6"/>
          <w:sz w:val="24"/>
          <w:szCs w:val="24"/>
        </w:rPr>
        <w:t>说明：根据</w:t>
      </w:r>
      <w:r>
        <w:rPr>
          <w:rFonts w:hint="eastAsia" w:ascii="仿宋" w:hAnsi="仿宋" w:eastAsia="仿宋" w:cs="仿宋"/>
          <w:sz w:val="24"/>
          <w:szCs w:val="24"/>
        </w:rPr>
        <w:t>《关于政府采购支持监狱企业发展有关问题的通知》（财库〔2014〕68号）的规定，监狱企业参加政府采购活动时，应当提供由省级以上监狱管理局、戒毒管理局（含新疆生产建设兵团）出具的属于监狱企业的证明文件。</w:t>
      </w:r>
    </w:p>
    <w:p>
      <w:pPr>
        <w:pStyle w:val="4"/>
        <w:adjustRightInd w:val="0"/>
        <w:spacing w:line="416" w:lineRule="atLeast"/>
        <w:textAlignment w:val="baseline"/>
        <w:rPr>
          <w:rFonts w:hint="eastAsia" w:ascii="仿宋" w:hAnsi="仿宋" w:eastAsia="仿宋" w:cs="仿宋"/>
        </w:rPr>
      </w:pPr>
      <w:bookmarkStart w:id="53" w:name="_Toc2126"/>
      <w:bookmarkStart w:id="54" w:name="_Toc4341"/>
      <w:bookmarkStart w:id="55" w:name="_Toc11969"/>
      <w:bookmarkStart w:id="56" w:name="_Toc4168"/>
      <w:bookmarkStart w:id="57" w:name="_Toc13303"/>
      <w:bookmarkStart w:id="58" w:name="_Toc563"/>
      <w:bookmarkStart w:id="59" w:name="_Toc3267"/>
      <w:bookmarkStart w:id="60" w:name="_Toc13122"/>
      <w:r>
        <w:rPr>
          <w:rFonts w:hint="eastAsia" w:ascii="仿宋" w:hAnsi="仿宋" w:eastAsia="仿宋" w:cs="仿宋"/>
        </w:rPr>
        <w:br w:type="page"/>
      </w:r>
      <w:r>
        <w:rPr>
          <w:rFonts w:hint="eastAsia" w:ascii="仿宋" w:hAnsi="仿宋" w:eastAsia="仿宋" w:cs="仿宋"/>
          <w:lang w:val="en-US" w:eastAsia="zh-CN"/>
        </w:rPr>
        <w:t>4</w:t>
      </w:r>
      <w:r>
        <w:rPr>
          <w:rFonts w:hint="eastAsia" w:ascii="仿宋" w:hAnsi="仿宋" w:eastAsia="仿宋" w:cs="仿宋"/>
        </w:rPr>
        <w:t>、“节能产品”，“环境标志产品”证明材料</w:t>
      </w:r>
      <w:bookmarkEnd w:id="53"/>
      <w:bookmarkEnd w:id="54"/>
      <w:bookmarkEnd w:id="55"/>
      <w:bookmarkEnd w:id="56"/>
      <w:bookmarkEnd w:id="57"/>
      <w:bookmarkEnd w:id="58"/>
      <w:bookmarkEnd w:id="59"/>
      <w:bookmarkEnd w:id="60"/>
    </w:p>
    <w:p>
      <w:pPr>
        <w:widowControl/>
        <w:spacing w:line="360" w:lineRule="auto"/>
        <w:ind w:firstLine="504" w:firstLineChars="200"/>
        <w:rPr>
          <w:rFonts w:hint="eastAsia" w:ascii="仿宋" w:hAnsi="仿宋" w:eastAsia="仿宋" w:cs="仿宋"/>
          <w:spacing w:val="6"/>
          <w:sz w:val="24"/>
          <w:szCs w:val="24"/>
        </w:rPr>
      </w:pPr>
    </w:p>
    <w:p>
      <w:pPr>
        <w:widowControl/>
        <w:spacing w:line="360" w:lineRule="auto"/>
        <w:ind w:firstLine="504" w:firstLineChars="200"/>
        <w:rPr>
          <w:rFonts w:hint="eastAsia" w:ascii="仿宋" w:hAnsi="仿宋" w:eastAsia="仿宋" w:cs="仿宋"/>
          <w:spacing w:val="6"/>
          <w:sz w:val="24"/>
          <w:szCs w:val="24"/>
        </w:rPr>
      </w:pPr>
      <w:r>
        <w:rPr>
          <w:rFonts w:hint="eastAsia" w:ascii="仿宋" w:hAnsi="仿宋" w:eastAsia="仿宋" w:cs="仿宋"/>
          <w:spacing w:val="6"/>
          <w:sz w:val="24"/>
          <w:szCs w:val="24"/>
        </w:rPr>
        <w:t>1、供应商提供的产品属于“节能产品”，“环境标志产品”，应提供产品列入“节能产品”，“环境标志产品”相应产品的国家确定的认证机构出具的、处于有效期内的节能产品、环境标志产品认证证书。</w:t>
      </w:r>
    </w:p>
    <w:p>
      <w:pPr>
        <w:widowControl/>
        <w:spacing w:line="360" w:lineRule="auto"/>
        <w:ind w:left="560" w:leftChars="200"/>
        <w:rPr>
          <w:rFonts w:hint="eastAsia" w:ascii="仿宋" w:hAnsi="仿宋" w:eastAsia="仿宋" w:cs="仿宋"/>
          <w:color w:val="000000"/>
          <w:highlight w:val="none"/>
          <w:lang w:eastAsia="zh-CN"/>
        </w:rPr>
        <w:sectPr>
          <w:headerReference r:id="rId15" w:type="default"/>
          <w:footerReference r:id="rId16" w:type="default"/>
          <w:pgSz w:w="11906" w:h="16838"/>
          <w:pgMar w:top="1440" w:right="1803" w:bottom="1440" w:left="1803" w:header="851" w:footer="992" w:gutter="0"/>
          <w:pgNumType w:fmt="decimal"/>
          <w:cols w:space="720" w:num="1"/>
          <w:docGrid w:type="lines" w:linePitch="319" w:charSpace="0"/>
        </w:sectPr>
      </w:pPr>
      <w:r>
        <w:rPr>
          <w:rFonts w:hint="eastAsia" w:ascii="仿宋" w:hAnsi="仿宋" w:eastAsia="仿宋" w:cs="仿宋"/>
          <w:sz w:val="24"/>
          <w:szCs w:val="24"/>
        </w:rPr>
        <w:t>2、未按照上述要求提供的，评审时不予以考虑</w:t>
      </w:r>
      <w:r>
        <w:rPr>
          <w:rFonts w:hint="eastAsia" w:ascii="仿宋" w:hAnsi="仿宋" w:eastAsia="仿宋" w:cs="仿宋"/>
          <w:sz w:val="24"/>
          <w:szCs w:val="24"/>
          <w:lang w:eastAsia="zh-CN"/>
        </w:rPr>
        <w:t>。</w:t>
      </w:r>
    </w:p>
    <w:p>
      <w:pPr>
        <w:pStyle w:val="13"/>
        <w:snapToGrid w:val="0"/>
        <w:spacing w:before="156" w:beforeLines="50" w:line="360" w:lineRule="auto"/>
        <w:jc w:val="left"/>
        <w:rPr>
          <w:rFonts w:hint="eastAsia" w:ascii="宋体" w:hAnsi="宋体" w:eastAsia="宋体" w:cs="宋体"/>
          <w:b/>
          <w:bCs/>
          <w:sz w:val="32"/>
          <w:szCs w:val="32"/>
          <w:lang w:eastAsia="zh-CN"/>
        </w:rPr>
      </w:pPr>
      <w:r>
        <w:rPr>
          <w:rFonts w:hint="eastAsia" w:ascii="宋体" w:hAnsi="宋体" w:eastAsia="宋体" w:cs="宋体"/>
          <w:b/>
          <w:color w:val="auto"/>
          <w:sz w:val="24"/>
          <w:szCs w:val="24"/>
          <w:highlight w:val="none"/>
        </w:rPr>
        <w:t>附件</w:t>
      </w: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投标人须在开标前将下列信用承诺书按时上传至信用中国（陕西榆林）进行公示，并将上传后的截图附在响应文件中。</w:t>
      </w:r>
    </w:p>
    <w:p>
      <w:pPr>
        <w:keepNext w:val="0"/>
        <w:keepLines w:val="0"/>
        <w:pageBreakBefore w:val="0"/>
        <w:widowControl w:val="0"/>
        <w:kinsoku/>
        <w:wordWrap/>
        <w:overflowPunct/>
        <w:topLinePunct w:val="0"/>
        <w:autoSpaceDE/>
        <w:autoSpaceDN/>
        <w:bidi w:val="0"/>
        <w:adjustRightInd/>
        <w:snapToGrid/>
        <w:spacing w:line="360" w:lineRule="auto"/>
        <w:ind w:right="0" w:firstLine="3855" w:firstLineChars="1200"/>
        <w:jc w:val="both"/>
        <w:textAlignment w:val="auto"/>
        <w:rPr>
          <w:rFonts w:hint="eastAsia" w:ascii="宋体" w:hAnsi="宋体" w:eastAsia="宋体" w:cs="宋体"/>
          <w:sz w:val="40"/>
          <w:szCs w:val="40"/>
        </w:rPr>
      </w:pPr>
      <w:r>
        <w:rPr>
          <w:rFonts w:hint="eastAsia" w:ascii="宋体" w:hAnsi="宋体" w:eastAsia="宋体" w:cs="宋体"/>
          <w:b/>
          <w:bCs/>
          <w:sz w:val="32"/>
          <w:szCs w:val="32"/>
        </w:rPr>
        <w:t>投标人信用承诺书</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宋体" w:hAnsi="宋体" w:eastAsia="宋体" w:cs="宋体"/>
          <w:kern w:val="0"/>
          <w:sz w:val="24"/>
          <w:u w:val="none"/>
          <w:lang w:val="en-US" w:eastAsia="zh-CN"/>
        </w:rPr>
      </w:pPr>
      <w:r>
        <w:rPr>
          <w:rFonts w:hint="eastAsia" w:ascii="宋体" w:hAnsi="宋体" w:eastAsia="宋体" w:cs="宋体"/>
          <w:kern w:val="0"/>
          <w:sz w:val="24"/>
        </w:rPr>
        <w:t>投标人：</w:t>
      </w:r>
      <w:r>
        <w:rPr>
          <w:rFonts w:hint="eastAsia" w:ascii="宋体" w:hAnsi="宋体" w:eastAsia="宋体" w:cs="宋体"/>
          <w:kern w:val="0"/>
          <w:sz w:val="24"/>
          <w:u w:val="none"/>
          <w:lang w:val="en-US" w:eastAsia="zh-CN"/>
        </w:rPr>
        <w:t xml:space="preserve">      </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宋体" w:hAnsi="宋体" w:eastAsia="宋体" w:cs="宋体"/>
          <w:kern w:val="0"/>
          <w:sz w:val="24"/>
          <w:u w:val="single"/>
        </w:rPr>
      </w:pPr>
      <w:r>
        <w:rPr>
          <w:rFonts w:hint="eastAsia" w:ascii="宋体" w:hAnsi="宋体" w:eastAsia="宋体" w:cs="宋体"/>
          <w:kern w:val="0"/>
          <w:sz w:val="24"/>
        </w:rPr>
        <w:t>统一社会信用代码：</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法人代表：</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宋体" w:hAnsi="宋体" w:eastAsia="宋体" w:cs="宋体"/>
          <w:kern w:val="0"/>
          <w:sz w:val="24"/>
          <w:u w:val="single"/>
        </w:rPr>
      </w:pPr>
      <w:r>
        <w:rPr>
          <w:rFonts w:hint="eastAsia" w:ascii="宋体" w:hAnsi="宋体" w:eastAsia="宋体" w:cs="宋体"/>
          <w:kern w:val="0"/>
          <w:sz w:val="24"/>
        </w:rPr>
        <w:t>承诺有效期限：</w:t>
      </w:r>
      <w:r>
        <w:rPr>
          <w:rFonts w:hint="eastAsia" w:ascii="宋体" w:hAnsi="宋体" w:eastAsia="宋体" w:cs="宋体"/>
          <w:kern w:val="0"/>
          <w:sz w:val="24"/>
          <w:u w:val="single"/>
        </w:rPr>
        <w:t>202</w:t>
      </w:r>
      <w:r>
        <w:rPr>
          <w:rFonts w:hint="eastAsia" w:ascii="宋体" w:hAnsi="宋体" w:cs="宋体"/>
          <w:kern w:val="0"/>
          <w:sz w:val="24"/>
          <w:u w:val="single"/>
          <w:lang w:val="en-US" w:eastAsia="zh-CN"/>
        </w:rPr>
        <w:t>3</w:t>
      </w:r>
      <w:r>
        <w:rPr>
          <w:rFonts w:hint="eastAsia" w:ascii="宋体" w:hAnsi="宋体" w:eastAsia="宋体" w:cs="宋体"/>
          <w:kern w:val="0"/>
          <w:sz w:val="24"/>
        </w:rPr>
        <w:t>年</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月</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日</w:t>
      </w:r>
      <w:r>
        <w:rPr>
          <w:rFonts w:hint="eastAsia" w:ascii="宋体" w:hAnsi="宋体" w:eastAsia="宋体" w:cs="宋体"/>
          <w:kern w:val="0"/>
          <w:sz w:val="24"/>
        </w:rPr>
        <w:t>—</w:t>
      </w:r>
      <w:r>
        <w:rPr>
          <w:rFonts w:hint="eastAsia" w:ascii="宋体" w:hAnsi="宋体" w:eastAsia="宋体" w:cs="宋体"/>
          <w:kern w:val="0"/>
          <w:sz w:val="24"/>
          <w:u w:val="single"/>
        </w:rPr>
        <w:t>202</w:t>
      </w:r>
      <w:r>
        <w:rPr>
          <w:rFonts w:hint="eastAsia" w:ascii="宋体" w:hAnsi="宋体" w:cs="宋体"/>
          <w:kern w:val="0"/>
          <w:sz w:val="24"/>
          <w:u w:val="single"/>
          <w:lang w:val="en-US" w:eastAsia="zh-CN"/>
        </w:rPr>
        <w:t>4</w:t>
      </w:r>
      <w:r>
        <w:rPr>
          <w:rFonts w:hint="eastAsia" w:ascii="宋体" w:hAnsi="宋体" w:eastAsia="宋体" w:cs="宋体"/>
          <w:kern w:val="0"/>
          <w:sz w:val="24"/>
        </w:rPr>
        <w:t>年</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月</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日</w:t>
      </w:r>
    </w:p>
    <w:p>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在</w:t>
      </w:r>
      <w:r>
        <w:rPr>
          <w:rFonts w:hint="eastAsia" w:ascii="宋体" w:hAnsi="宋体" w:eastAsia="宋体" w:cs="宋体"/>
          <w:kern w:val="0"/>
          <w:sz w:val="24"/>
          <w:u w:val="single"/>
          <w:lang w:val="en-US" w:eastAsia="zh-CN"/>
        </w:rPr>
        <w:t xml:space="preserve">           </w:t>
      </w:r>
      <w:r>
        <w:rPr>
          <w:rFonts w:hint="eastAsia" w:ascii="宋体" w:hAnsi="宋体" w:eastAsia="宋体" w:cs="宋体"/>
          <w:sz w:val="24"/>
          <w:u w:val="single"/>
        </w:rPr>
        <w:t>项目</w:t>
      </w:r>
      <w:r>
        <w:rPr>
          <w:rFonts w:hint="eastAsia" w:ascii="宋体" w:hAnsi="宋体" w:eastAsia="宋体" w:cs="宋体"/>
          <w:kern w:val="0"/>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cs="宋体"/>
          <w:kern w:val="0"/>
          <w:sz w:val="24"/>
          <w:lang w:eastAsia="zh-CN"/>
        </w:rPr>
        <w:t>磋商文件</w:t>
      </w:r>
      <w:r>
        <w:rPr>
          <w:rFonts w:hint="eastAsia" w:ascii="宋体" w:hAnsi="宋体" w:eastAsia="宋体" w:cs="宋体"/>
          <w:kern w:val="0"/>
          <w:sz w:val="24"/>
        </w:rPr>
        <w:t>和投标文件与招标人签订合同；在签订合同时向招标人提出附加条件、或者改变投标文件的实质性内容；放弃中标；不按照</w:t>
      </w:r>
      <w:r>
        <w:rPr>
          <w:rFonts w:hint="eastAsia" w:ascii="宋体" w:hAnsi="宋体" w:cs="宋体"/>
          <w:kern w:val="0"/>
          <w:sz w:val="24"/>
          <w:lang w:eastAsia="zh-CN"/>
        </w:rPr>
        <w:t>磋商文件</w:t>
      </w:r>
      <w:r>
        <w:rPr>
          <w:rFonts w:hint="eastAsia" w:ascii="宋体" w:hAnsi="宋体" w:eastAsia="宋体" w:cs="宋体"/>
          <w:kern w:val="0"/>
          <w:sz w:val="24"/>
        </w:rPr>
        <w:t>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kern w:val="0"/>
          <w:sz w:val="24"/>
        </w:rPr>
      </w:pPr>
      <w:r>
        <w:rPr>
          <w:rFonts w:hint="eastAsia" w:ascii="宋体" w:hAnsi="宋体" w:eastAsia="宋体" w:cs="宋体"/>
          <w:kern w:val="0"/>
          <w:sz w:val="24"/>
        </w:rPr>
        <w:t>法定代表人（签章）：</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投标人（盖章）：</w:t>
      </w:r>
    </w:p>
    <w:p>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宋体" w:hAnsi="宋体" w:eastAsia="宋体" w:cs="宋体"/>
        </w:rPr>
      </w:pPr>
      <w:r>
        <w:rPr>
          <w:rFonts w:hint="eastAsia" w:ascii="宋体" w:hAnsi="宋体" w:eastAsia="宋体" w:cs="宋体"/>
          <w:kern w:val="0"/>
          <w:sz w:val="24"/>
        </w:rPr>
        <w:t xml:space="preserve">                             承诺时间：</w:t>
      </w:r>
      <w:r>
        <w:rPr>
          <w:rFonts w:hint="eastAsia" w:ascii="宋体" w:hAnsi="宋体" w:eastAsia="宋体" w:cs="宋体"/>
          <w:kern w:val="0"/>
          <w:sz w:val="24"/>
          <w:u w:val="single"/>
        </w:rPr>
        <w:t>202</w:t>
      </w:r>
      <w:r>
        <w:rPr>
          <w:rFonts w:hint="eastAsia" w:ascii="宋体" w:hAnsi="宋体" w:cs="宋体"/>
          <w:kern w:val="0"/>
          <w:sz w:val="24"/>
          <w:u w:val="single"/>
          <w:lang w:val="en-US" w:eastAsia="zh-CN"/>
        </w:rPr>
        <w:t>3</w:t>
      </w:r>
      <w:r>
        <w:rPr>
          <w:rFonts w:hint="eastAsia" w:ascii="宋体" w:hAnsi="宋体" w:eastAsia="宋体" w:cs="宋体"/>
          <w:kern w:val="0"/>
          <w:sz w:val="24"/>
          <w:u w:val="single"/>
        </w:rPr>
        <w:t>年</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月</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日</w:t>
      </w:r>
    </w:p>
    <w:p>
      <w:pPr>
        <w:pStyle w:val="19"/>
        <w:rPr>
          <w:rFonts w:hint="eastAsia" w:ascii="宋体" w:hAnsi="宋体" w:eastAsia="宋体" w:cs="宋体"/>
          <w:kern w:val="0"/>
          <w:sz w:val="24"/>
          <w:u w:val="single"/>
        </w:rPr>
      </w:pPr>
    </w:p>
    <w:p>
      <w:pPr>
        <w:bidi w:val="0"/>
        <w:rPr>
          <w:rFonts w:hint="eastAsia" w:ascii="宋体" w:hAnsi="宋体" w:eastAsia="宋体" w:cs="宋体"/>
        </w:rPr>
      </w:pPr>
      <w:r>
        <w:rPr>
          <w:rFonts w:hint="eastAsia" w:ascii="宋体" w:hAnsi="宋体" w:eastAsia="宋体" w:cs="宋体"/>
          <w:b/>
          <w:kern w:val="0"/>
          <w:sz w:val="24"/>
        </w:rPr>
        <w:t>注：</w:t>
      </w:r>
      <w:r>
        <w:rPr>
          <w:rFonts w:hint="eastAsia" w:ascii="宋体" w:hAnsi="宋体" w:eastAsia="宋体" w:cs="宋体"/>
          <w:b/>
          <w:kern w:val="0"/>
          <w:sz w:val="24"/>
          <w:lang w:val="en-US" w:eastAsia="zh-CN"/>
        </w:rPr>
        <w:t>此附件作为在信用中国“陕西榆林”网站进行注册、登录，自主上报信用承诺书格式</w:t>
      </w:r>
      <w:r>
        <w:rPr>
          <w:rFonts w:hint="eastAsia" w:ascii="宋体" w:hAnsi="宋体" w:eastAsia="宋体" w:cs="宋体"/>
          <w:b/>
          <w:kern w:val="0"/>
          <w:sz w:val="24"/>
        </w:rPr>
        <w:t>。（承诺时间有效期</w:t>
      </w:r>
      <w:r>
        <w:rPr>
          <w:rFonts w:hint="eastAsia" w:ascii="宋体" w:hAnsi="宋体" w:eastAsia="宋体" w:cs="宋体"/>
          <w:b/>
          <w:kern w:val="0"/>
          <w:sz w:val="24"/>
          <w:lang w:eastAsia="zh-CN"/>
        </w:rPr>
        <w:t>为</w:t>
      </w:r>
      <w:r>
        <w:rPr>
          <w:rFonts w:hint="eastAsia" w:ascii="宋体" w:hAnsi="宋体" w:eastAsia="宋体" w:cs="宋体"/>
          <w:b/>
          <w:kern w:val="0"/>
          <w:sz w:val="24"/>
        </w:rPr>
        <w:t>一年</w:t>
      </w:r>
      <w:r>
        <w:rPr>
          <w:rFonts w:hint="eastAsia" w:ascii="宋体" w:hAnsi="宋体" w:eastAsia="宋体" w:cs="宋体"/>
          <w:b/>
          <w:kern w:val="0"/>
          <w:sz w:val="24"/>
          <w:lang w:eastAsia="zh-CN"/>
        </w:rPr>
        <w:t>，承诺起始时间为投标文件截止之日</w:t>
      </w:r>
      <w:r>
        <w:rPr>
          <w:rFonts w:hint="eastAsia" w:ascii="宋体" w:hAnsi="宋体" w:eastAsia="宋体" w:cs="宋体"/>
          <w:b/>
          <w:kern w:val="0"/>
          <w:sz w:val="24"/>
        </w:rPr>
        <w:t>）</w:t>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宋体" w:hAnsi="宋体" w:eastAsia="宋体" w:cs="宋体"/>
          <w:kern w:val="0"/>
          <w:sz w:val="24"/>
        </w:rPr>
      </w:pPr>
      <w:r>
        <w:rPr>
          <w:rFonts w:hint="eastAsia" w:ascii="宋体" w:hAnsi="宋体" w:eastAsia="宋体" w:cs="宋体"/>
          <w:b/>
          <w:bCs/>
          <w:sz w:val="32"/>
          <w:szCs w:val="32"/>
        </w:rPr>
        <w:t>投标人委托代理人员信用承诺书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rPr>
      </w:pPr>
      <w:r>
        <w:rPr>
          <w:rFonts w:hint="eastAsia" w:ascii="宋体" w:hAnsi="宋体" w:eastAsia="宋体" w:cs="宋体"/>
          <w:kern w:val="0"/>
          <w:sz w:val="24"/>
        </w:rPr>
        <w:t>在</w:t>
      </w:r>
      <w:r>
        <w:rPr>
          <w:rFonts w:hint="eastAsia" w:ascii="宋体" w:hAnsi="宋体" w:eastAsia="宋体" w:cs="宋体"/>
          <w:kern w:val="0"/>
          <w:sz w:val="24"/>
          <w:u w:val="single"/>
          <w:lang w:val="en-US" w:eastAsia="zh-CN"/>
        </w:rPr>
        <w:t xml:space="preserve">            </w:t>
      </w:r>
      <w:r>
        <w:rPr>
          <w:rFonts w:hint="eastAsia" w:ascii="宋体" w:hAnsi="宋体" w:eastAsia="宋体" w:cs="宋体"/>
          <w:sz w:val="24"/>
          <w:u w:val="single"/>
        </w:rPr>
        <w:t>项目</w:t>
      </w:r>
      <w:r>
        <w:rPr>
          <w:rFonts w:hint="eastAsia" w:ascii="宋体" w:hAnsi="宋体" w:eastAsia="宋体" w:cs="宋体"/>
          <w:kern w:val="0"/>
          <w:sz w:val="24"/>
        </w:rPr>
        <w:t>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cs="宋体"/>
          <w:kern w:val="0"/>
          <w:sz w:val="24"/>
          <w:lang w:eastAsia="zh-CN"/>
        </w:rPr>
        <w:t>磋商文件</w:t>
      </w:r>
      <w:r>
        <w:rPr>
          <w:rFonts w:hint="eastAsia" w:ascii="宋体" w:hAnsi="宋体" w:eastAsia="宋体" w:cs="宋体"/>
          <w:kern w:val="0"/>
          <w:sz w:val="24"/>
        </w:rPr>
        <w:t>和投标文件与招标人签订合同；在签订合同时向招标人提出附加条件、或者改变投标文件的实质性内容；放弃中标；不按照</w:t>
      </w:r>
      <w:r>
        <w:rPr>
          <w:rFonts w:hint="eastAsia" w:ascii="宋体" w:hAnsi="宋体" w:cs="宋体"/>
          <w:kern w:val="0"/>
          <w:sz w:val="24"/>
          <w:lang w:eastAsia="zh-CN"/>
        </w:rPr>
        <w:t>磋商文件</w:t>
      </w:r>
      <w:r>
        <w:rPr>
          <w:rFonts w:hint="eastAsia" w:ascii="宋体" w:hAnsi="宋体" w:eastAsia="宋体" w:cs="宋体"/>
          <w:kern w:val="0"/>
          <w:sz w:val="24"/>
        </w:rPr>
        <w:t>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宋体" w:hAnsi="宋体" w:eastAsia="宋体" w:cs="宋体"/>
          <w:kern w:val="0"/>
          <w:sz w:val="24"/>
        </w:rPr>
      </w:pPr>
      <w:r>
        <w:rPr>
          <w:rFonts w:hint="eastAsia" w:ascii="宋体" w:hAnsi="宋体" w:eastAsia="宋体" w:cs="宋体"/>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宋体" w:hAnsi="宋体" w:eastAsia="宋体" w:cs="宋体"/>
          <w:kern w:val="0"/>
          <w:sz w:val="24"/>
        </w:rPr>
      </w:pP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宋体" w:hAnsi="宋体" w:eastAsia="宋体" w:cs="宋体"/>
          <w:kern w:val="0"/>
          <w:sz w:val="24"/>
        </w:rPr>
      </w:pPr>
      <w:r>
        <w:rPr>
          <w:rFonts w:hint="eastAsia" w:ascii="宋体" w:hAnsi="宋体" w:eastAsia="宋体" w:cs="宋体"/>
          <w:kern w:val="0"/>
          <w:sz w:val="24"/>
        </w:rPr>
        <w:t>承诺有效期限：</w:t>
      </w:r>
      <w:r>
        <w:rPr>
          <w:rFonts w:hint="eastAsia" w:ascii="宋体" w:hAnsi="宋体" w:eastAsia="宋体" w:cs="宋体"/>
          <w:kern w:val="0"/>
          <w:sz w:val="24"/>
          <w:u w:val="single"/>
        </w:rPr>
        <w:t>202</w:t>
      </w:r>
      <w:r>
        <w:rPr>
          <w:rFonts w:hint="eastAsia" w:ascii="宋体" w:hAnsi="宋体" w:cs="宋体"/>
          <w:kern w:val="0"/>
          <w:sz w:val="24"/>
          <w:u w:val="single"/>
          <w:lang w:val="en-US" w:eastAsia="zh-CN"/>
        </w:rPr>
        <w:t>3</w:t>
      </w:r>
      <w:r>
        <w:rPr>
          <w:rFonts w:hint="eastAsia" w:ascii="宋体" w:hAnsi="宋体" w:eastAsia="宋体" w:cs="宋体"/>
          <w:kern w:val="0"/>
          <w:sz w:val="24"/>
        </w:rPr>
        <w:t>年</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月</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日</w:t>
      </w:r>
      <w:r>
        <w:rPr>
          <w:rFonts w:hint="eastAsia" w:ascii="宋体" w:hAnsi="宋体" w:eastAsia="宋体" w:cs="宋体"/>
          <w:kern w:val="0"/>
          <w:sz w:val="24"/>
        </w:rPr>
        <w:t>—</w:t>
      </w:r>
      <w:r>
        <w:rPr>
          <w:rFonts w:hint="eastAsia" w:ascii="宋体" w:hAnsi="宋体" w:eastAsia="宋体" w:cs="宋体"/>
          <w:kern w:val="0"/>
          <w:sz w:val="24"/>
          <w:u w:val="single"/>
        </w:rPr>
        <w:t>202</w:t>
      </w:r>
      <w:r>
        <w:rPr>
          <w:rFonts w:hint="eastAsia" w:ascii="宋体" w:hAnsi="宋体" w:cs="宋体"/>
          <w:kern w:val="0"/>
          <w:sz w:val="24"/>
          <w:u w:val="single"/>
          <w:lang w:val="en-US" w:eastAsia="zh-CN"/>
        </w:rPr>
        <w:t>4</w:t>
      </w:r>
      <w:r>
        <w:rPr>
          <w:rFonts w:hint="eastAsia" w:ascii="宋体" w:hAnsi="宋体" w:eastAsia="宋体" w:cs="宋体"/>
          <w:kern w:val="0"/>
          <w:sz w:val="24"/>
        </w:rPr>
        <w:t>年</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月</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日</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宋体" w:hAnsi="宋体" w:eastAsia="宋体" w:cs="宋体"/>
          <w:kern w:val="0"/>
          <w:sz w:val="24"/>
          <w:u w:val="single"/>
          <w:lang w:val="en-US" w:eastAsia="zh-CN"/>
        </w:rPr>
      </w:pPr>
      <w:r>
        <w:rPr>
          <w:rFonts w:hint="eastAsia" w:ascii="宋体" w:hAnsi="宋体" w:eastAsia="宋体" w:cs="宋体"/>
          <w:kern w:val="0"/>
          <w:sz w:val="24"/>
        </w:rPr>
        <w:t>投标人：</w:t>
      </w:r>
      <w:r>
        <w:rPr>
          <w:rFonts w:hint="eastAsia" w:ascii="宋体" w:hAnsi="宋体" w:eastAsia="宋体" w:cs="宋体"/>
          <w:kern w:val="0"/>
          <w:sz w:val="24"/>
          <w:u w:val="single"/>
          <w:lang w:val="en-US" w:eastAsia="zh-CN"/>
        </w:rPr>
        <w:t xml:space="preserve">                 </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宋体" w:hAnsi="宋体" w:eastAsia="宋体" w:cs="宋体"/>
          <w:kern w:val="0"/>
          <w:sz w:val="24"/>
          <w:u w:val="single"/>
        </w:rPr>
      </w:pPr>
      <w:r>
        <w:rPr>
          <w:rFonts w:hint="eastAsia" w:ascii="宋体" w:hAnsi="宋体" w:eastAsia="宋体" w:cs="宋体"/>
          <w:kern w:val="0"/>
          <w:sz w:val="24"/>
        </w:rPr>
        <w:t>承诺人（签字）：</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eastAsia" w:ascii="宋体" w:hAnsi="宋体" w:eastAsia="宋体" w:cs="宋体"/>
          <w:sz w:val="40"/>
          <w:szCs w:val="40"/>
        </w:rPr>
      </w:pPr>
      <w:r>
        <w:rPr>
          <w:rFonts w:hint="eastAsia" w:ascii="宋体" w:hAnsi="宋体" w:eastAsia="宋体" w:cs="宋体"/>
          <w:kern w:val="0"/>
          <w:sz w:val="24"/>
        </w:rPr>
        <w:t>承诺时间：</w:t>
      </w:r>
      <w:r>
        <w:rPr>
          <w:rFonts w:hint="eastAsia" w:ascii="宋体" w:hAnsi="宋体" w:eastAsia="宋体" w:cs="宋体"/>
          <w:kern w:val="0"/>
          <w:sz w:val="24"/>
          <w:u w:val="single"/>
        </w:rPr>
        <w:t>202</w:t>
      </w:r>
      <w:r>
        <w:rPr>
          <w:rFonts w:hint="eastAsia" w:ascii="宋体" w:hAnsi="宋体" w:cs="宋体"/>
          <w:kern w:val="0"/>
          <w:sz w:val="24"/>
          <w:u w:val="single"/>
          <w:lang w:val="en-US" w:eastAsia="zh-CN"/>
        </w:rPr>
        <w:t>3</w:t>
      </w:r>
      <w:r>
        <w:rPr>
          <w:rFonts w:hint="eastAsia" w:ascii="宋体" w:hAnsi="宋体" w:eastAsia="宋体" w:cs="宋体"/>
          <w:kern w:val="0"/>
          <w:sz w:val="24"/>
          <w:u w:val="single"/>
        </w:rPr>
        <w:t>年</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月</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日</w:t>
      </w:r>
    </w:p>
    <w:p>
      <w:pPr>
        <w:spacing w:line="560" w:lineRule="exact"/>
        <w:ind w:right="-2" w:firstLine="2000" w:firstLineChars="500"/>
        <w:rPr>
          <w:rFonts w:hint="eastAsia" w:ascii="宋体" w:hAnsi="宋体" w:eastAsia="宋体" w:cs="宋体"/>
          <w:sz w:val="40"/>
          <w:szCs w:val="40"/>
        </w:rPr>
      </w:pPr>
    </w:p>
    <w:p>
      <w:pPr>
        <w:bidi w:val="0"/>
        <w:rPr>
          <w:rFonts w:hint="eastAsia" w:ascii="宋体" w:hAnsi="宋体" w:eastAsia="宋体" w:cs="宋体"/>
        </w:rPr>
      </w:pPr>
      <w:r>
        <w:rPr>
          <w:rFonts w:hint="eastAsia" w:ascii="宋体" w:hAnsi="宋体" w:eastAsia="宋体" w:cs="宋体"/>
          <w:b/>
          <w:kern w:val="0"/>
          <w:sz w:val="24"/>
        </w:rPr>
        <w:t>注：</w:t>
      </w:r>
      <w:r>
        <w:rPr>
          <w:rFonts w:hint="eastAsia" w:ascii="宋体" w:hAnsi="宋体" w:eastAsia="宋体" w:cs="宋体"/>
          <w:b/>
          <w:kern w:val="0"/>
          <w:sz w:val="24"/>
          <w:lang w:val="en-US" w:eastAsia="zh-CN"/>
        </w:rPr>
        <w:t>此附件作为在信用中国“陕西榆林”网站进行注册、登录，自主上报信用承诺书格式</w:t>
      </w:r>
      <w:r>
        <w:rPr>
          <w:rFonts w:hint="eastAsia" w:ascii="宋体" w:hAnsi="宋体" w:eastAsia="宋体" w:cs="宋体"/>
          <w:b/>
          <w:kern w:val="0"/>
          <w:sz w:val="24"/>
        </w:rPr>
        <w:t>。（承诺时间有效期</w:t>
      </w:r>
      <w:r>
        <w:rPr>
          <w:rFonts w:hint="eastAsia" w:ascii="宋体" w:hAnsi="宋体" w:eastAsia="宋体" w:cs="宋体"/>
          <w:b/>
          <w:kern w:val="0"/>
          <w:sz w:val="24"/>
          <w:lang w:eastAsia="zh-CN"/>
        </w:rPr>
        <w:t>为</w:t>
      </w:r>
      <w:r>
        <w:rPr>
          <w:rFonts w:hint="eastAsia" w:ascii="宋体" w:hAnsi="宋体" w:eastAsia="宋体" w:cs="宋体"/>
          <w:b/>
          <w:kern w:val="0"/>
          <w:sz w:val="24"/>
        </w:rPr>
        <w:t>一年</w:t>
      </w:r>
      <w:r>
        <w:rPr>
          <w:rFonts w:hint="eastAsia" w:ascii="宋体" w:hAnsi="宋体" w:eastAsia="宋体" w:cs="宋体"/>
          <w:b/>
          <w:kern w:val="0"/>
          <w:sz w:val="24"/>
          <w:lang w:eastAsia="zh-CN"/>
        </w:rPr>
        <w:t>，承诺起始时间为投标文件截止之日</w:t>
      </w:r>
      <w:r>
        <w:rPr>
          <w:rFonts w:hint="eastAsia" w:ascii="宋体" w:hAnsi="宋体" w:eastAsia="宋体" w:cs="宋体"/>
          <w:b/>
          <w:kern w:val="0"/>
          <w:sz w:val="24"/>
        </w:rPr>
        <w:t>）</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color w:val="000000"/>
          <w:sz w:val="24"/>
          <w:szCs w:val="24"/>
        </w:rPr>
      </w:pPr>
    </w:p>
    <w:p>
      <w:pPr>
        <w:bidi w:val="0"/>
        <w:rPr>
          <w:rFonts w:hint="eastAsia" w:ascii="宋体" w:hAnsi="宋体" w:eastAsia="宋体" w:cs="宋体"/>
          <w:lang w:eastAsia="zh-CN"/>
        </w:rPr>
      </w:pPr>
    </w:p>
    <w:p>
      <w:pPr>
        <w:pStyle w:val="13"/>
        <w:snapToGrid w:val="0"/>
        <w:spacing w:before="156" w:beforeLines="50" w:line="360" w:lineRule="auto"/>
        <w:jc w:val="left"/>
        <w:rPr>
          <w:rFonts w:ascii="宋体" w:hAnsi="宋体" w:eastAsia="宋体" w:cs="宋体"/>
          <w:color w:val="auto"/>
          <w:sz w:val="24"/>
          <w:szCs w:val="24"/>
          <w:highlight w:val="none"/>
        </w:rPr>
      </w:pPr>
      <w:r>
        <w:rPr>
          <w:rFonts w:hint="eastAsia" w:ascii="宋体" w:hAnsi="宋体" w:eastAsia="宋体" w:cs="宋体"/>
        </w:rPr>
        <w:drawing>
          <wp:inline distT="0" distB="0" distL="114300" distR="114300">
            <wp:extent cx="5269230" cy="7442835"/>
            <wp:effectExtent l="0" t="0" r="7620" b="5715"/>
            <wp:docPr id="8" name="图片 1" descr="关于公共资源交易信用承诺网上公示的通知(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关于公共资源交易信用承诺网上公示的通知(3)_00"/>
                    <pic:cNvPicPr>
                      <a:picLocks noChangeAspect="1"/>
                    </pic:cNvPicPr>
                  </pic:nvPicPr>
                  <pic:blipFill>
                    <a:blip r:embed="rId19"/>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12" name="图片 2" descr="关于公共资源交易信用承诺网上公示的通知(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关于公共资源交易信用承诺网上公示的通知(3)_01"/>
                    <pic:cNvPicPr>
                      <a:picLocks noChangeAspect="1"/>
                    </pic:cNvPicPr>
                  </pic:nvPicPr>
                  <pic:blipFill>
                    <a:blip r:embed="rId20"/>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4" name="图片 3" descr="关于公共资源交易信用承诺网上公示的通知(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公共资源交易信用承诺网上公示的通知(3)_02"/>
                    <pic:cNvPicPr>
                      <a:picLocks noChangeAspect="1"/>
                    </pic:cNvPicPr>
                  </pic:nvPicPr>
                  <pic:blipFill>
                    <a:blip r:embed="rId21"/>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15" name="图片 4" descr="关于公共资源交易信用承诺网上公示的通知(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公共资源交易信用承诺网上公示的通知(3)_03"/>
                    <pic:cNvPicPr>
                      <a:picLocks noChangeAspect="1"/>
                    </pic:cNvPicPr>
                  </pic:nvPicPr>
                  <pic:blipFill>
                    <a:blip r:embed="rId22"/>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5" name="图片 5" descr="关于公共资源交易信用承诺网上公示的通知(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公共资源交易信用承诺网上公示的通知(3)_04"/>
                    <pic:cNvPicPr>
                      <a:picLocks noChangeAspect="1"/>
                    </pic:cNvPicPr>
                  </pic:nvPicPr>
                  <pic:blipFill>
                    <a:blip r:embed="rId23"/>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6" name="图片 6" descr="关于公共资源交易信用承诺网上公示的通知(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公共资源交易信用承诺网上公示的通知(3)_05"/>
                    <pic:cNvPicPr>
                      <a:picLocks noChangeAspect="1"/>
                    </pic:cNvPicPr>
                  </pic:nvPicPr>
                  <pic:blipFill>
                    <a:blip r:embed="rId24"/>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7" name="图片 7" descr="关于公共资源交易信用承诺网上公示的通知(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公共资源交易信用承诺网上公示的通知(3)_06"/>
                    <pic:cNvPicPr>
                      <a:picLocks noChangeAspect="1"/>
                    </pic:cNvPicPr>
                  </pic:nvPicPr>
                  <pic:blipFill>
                    <a:blip r:embed="rId25"/>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9" name="图片 8" descr="关于公共资源交易信用承诺网上公示的通知(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关于公共资源交易信用承诺网上公示的通知(3)_07"/>
                    <pic:cNvPicPr>
                      <a:picLocks noChangeAspect="1"/>
                    </pic:cNvPicPr>
                  </pic:nvPicPr>
                  <pic:blipFill>
                    <a:blip r:embed="rId26"/>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10" name="图片 9" descr="关于公共资源交易信用承诺网上公示的通知(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关于公共资源交易信用承诺网上公示的通知(3)_08"/>
                    <pic:cNvPicPr>
                      <a:picLocks noChangeAspect="1"/>
                    </pic:cNvPicPr>
                  </pic:nvPicPr>
                  <pic:blipFill>
                    <a:blip r:embed="rId27"/>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11" name="图片 10" descr="关于公共资源交易信用承诺网上公示的通知(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关于公共资源交易信用承诺网上公示的通知(3)_09"/>
                    <pic:cNvPicPr>
                      <a:picLocks noChangeAspect="1"/>
                    </pic:cNvPicPr>
                  </pic:nvPicPr>
                  <pic:blipFill>
                    <a:blip r:embed="rId28"/>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13" name="图片 11" descr="关于公共资源交易信用承诺网上公示的通知(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关于公共资源交易信用承诺网上公示的通知(3)_10"/>
                    <pic:cNvPicPr>
                      <a:picLocks noChangeAspect="1"/>
                    </pic:cNvPicPr>
                  </pic:nvPicPr>
                  <pic:blipFill>
                    <a:blip r:embed="rId29"/>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3" name="图片 12" descr="关于公共资源交易信用承诺网上公示的通知(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关于公共资源交易信用承诺网上公示的通知(3)_11"/>
                    <pic:cNvPicPr>
                      <a:picLocks noChangeAspect="1"/>
                    </pic:cNvPicPr>
                  </pic:nvPicPr>
                  <pic:blipFill>
                    <a:blip r:embed="rId30"/>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14" name="图片 13" descr="关于公共资源交易信用承诺网上公示的通知(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关于公共资源交易信用承诺网上公示的通知(3)_12"/>
                    <pic:cNvPicPr>
                      <a:picLocks noChangeAspect="1"/>
                    </pic:cNvPicPr>
                  </pic:nvPicPr>
                  <pic:blipFill>
                    <a:blip r:embed="rId31"/>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1" name="图片 14" descr="关于公共资源交易信用承诺网上公示的通知(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关于公共资源交易信用承诺网上公示的通知(3)_13"/>
                    <pic:cNvPicPr>
                      <a:picLocks noChangeAspect="1"/>
                    </pic:cNvPicPr>
                  </pic:nvPicPr>
                  <pic:blipFill>
                    <a:blip r:embed="rId28"/>
                    <a:stretch>
                      <a:fillRect/>
                    </a:stretch>
                  </pic:blipFill>
                  <pic:spPr>
                    <a:xfrm>
                      <a:off x="0" y="0"/>
                      <a:ext cx="5269230" cy="74428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9230" cy="7442835"/>
            <wp:effectExtent l="0" t="0" r="7620" b="5715"/>
            <wp:docPr id="2" name="图片 15" descr="关于公共资源交易信用承诺网上公示的通知(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关于公共资源交易信用承诺网上公示的通知(3)_14"/>
                    <pic:cNvPicPr>
                      <a:picLocks noChangeAspect="1"/>
                    </pic:cNvPicPr>
                  </pic:nvPicPr>
                  <pic:blipFill>
                    <a:blip r:embed="rId32"/>
                    <a:stretch>
                      <a:fillRect/>
                    </a:stretch>
                  </pic:blipFill>
                  <pic:spPr>
                    <a:xfrm>
                      <a:off x="0" y="0"/>
                      <a:ext cx="5269230" cy="7442835"/>
                    </a:xfrm>
                    <a:prstGeom prst="rect">
                      <a:avLst/>
                    </a:prstGeom>
                    <a:noFill/>
                    <a:ln>
                      <a:noFill/>
                    </a:ln>
                  </pic:spPr>
                </pic:pic>
              </a:graphicData>
            </a:graphic>
          </wp:inline>
        </w:drawing>
      </w:r>
    </w:p>
    <w:p>
      <w:pPr>
        <w:ind w:left="0" w:leftChars="0" w:firstLine="0" w:firstLineChars="0"/>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panose1 w:val="020E0705020206020404"/>
    <w:charset w:val="00"/>
    <w:family w:val="swiss"/>
    <w:pitch w:val="default"/>
    <w:sig w:usb0="00000003" w:usb1="00000000" w:usb2="00000000" w:usb3="00000000" w:csb0="20000001"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ind w:left="480"/>
      <w:rPr>
        <w:rStyle w:val="23"/>
      </w:rPr>
    </w:pPr>
    <w:r>
      <w:fldChar w:fldCharType="begin"/>
    </w:r>
    <w:r>
      <w:rPr>
        <w:rStyle w:val="23"/>
      </w:rPr>
      <w:instrText xml:space="preserve">PAGE  </w:instrText>
    </w:r>
    <w:r>
      <w:fldChar w:fldCharType="end"/>
    </w:r>
  </w:p>
  <w:p>
    <w:pPr>
      <w:pStyle w:val="14"/>
      <w:ind w:left="48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0"/>
      </w:pBdr>
      <w:rPr>
        <w:rFonts w:hint="eastAsia" w:ascii="Times New Roman" w:hAnsi="Times New Roman"/>
        <w:color w:val="000000"/>
        <w:kern w:val="2"/>
        <w:sz w:val="18"/>
        <w:szCs w:val="18"/>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0ziRtIBAAClAwAADgAAAAAAAAABACAAAAAi&#10;AQAAZHJzL2Uyb0RvYy54bWxQSwUGAAAAAAYABgBZAQAAZgUAAAAA&#10;">
              <v:fill on="f" focussize="0,0"/>
              <v:stroke on="f" weight="1.2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r>
      <w:rPr>
        <w:rFonts w:hint="eastAsia" w:ascii="Times New Roman" w:hAnsi="Times New Roman"/>
        <w:color w:val="000000"/>
        <w:kern w:val="2"/>
        <w:sz w:val="18"/>
        <w:szCs w:val="18"/>
        <w:lang w:val="en-US" w:eastAsia="zh-CN"/>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-109220</wp:posOffset>
              </wp:positionV>
              <wp:extent cx="15875" cy="31750"/>
              <wp:effectExtent l="4445" t="1905" r="17780" b="4445"/>
              <wp:wrapNone/>
              <wp:docPr id="20" name="直接连接符 20"/>
              <wp:cNvGraphicFramePr/>
              <a:graphic xmlns:a="http://schemas.openxmlformats.org/drawingml/2006/main">
                <a:graphicData uri="http://schemas.microsoft.com/office/word/2010/wordprocessingShape">
                  <wps:wsp>
                    <wps:cNvCnPr/>
                    <wps:spPr>
                      <a:xfrm flipH="1" flipV="1">
                        <a:off x="910590" y="9751060"/>
                        <a:ext cx="15875" cy="31750"/>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flip:x y;margin-left:-0.3pt;margin-top:-8.6pt;height:2.5pt;width:1.25pt;z-index:251660288;mso-width-relative:page;mso-height-relative:page;" filled="f" stroked="t" coordsize="21600,21600" o:gfxdata="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Um3XUAAAABwEAAA8AAAAAAAAA&#10;AQAgAAAAIgAAAGRycy9kb3ducmV2LnhtbFBLAQIUABQAAAAIAIdO4kCLyDw5FQIAAAQEAAAOAAAA&#10;AAAAAAEAIAAAACMBAABkcnMvZTJvRG9jLnhtbFBLBQYAAAAABgAGAFkBAACqBQAAAAA=&#10;">
              <v:fill on="f" focussize="0,0"/>
              <v:stroke color="#457BBA" joinstyle="round"/>
              <v:imagedata o:title=""/>
              <o:lock v:ext="edit" aspectratio="f"/>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0"/>
      </w:pBdr>
      <w:rPr>
        <w:rFonts w:hint="default"/>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n6cab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AedumcGJn37/Ov35&#10;d/r7k6APBeo91Jh37zEzDp/cgMmzH9CZeA8ymPRFRgTjKO/xLK8YIuHpUbWsqhJDHGPzBfGLx+c+&#10;QPwsnCHJaGjA+WVZ2eErxDF1TknVrLtVWucZakt6RL2sri7zi3MI0bXFIonF2G2y4rAdJmpb1x6R&#10;WY9L0FCLO0+J/mJR47QvsxFmYzsbex/UrssLlVoBf7OP2E7uMlUYYafCOL3Mc9q0tB5P7znr8e9a&#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6fpxptIBAAClAwAADgAAAAAAAAABACAAAAAi&#10;AQAAZHJzL2Uyb0RvYy54bWxQSwUGAAAAAAYABgBZAQAAZgUAAAAA&#10;">
              <v:fill on="f" focussize="0,0"/>
              <v:stroke on="f" weight="1.2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0"/>
        <w:tab w:val="right" w:pos="8420"/>
        <w:tab w:val="clear" w:pos="4153"/>
      </w:tabs>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57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57</w:t>
                    </w:r>
                    <w:r>
                      <w:fldChar w:fldCharType="end"/>
                    </w:r>
                  </w:p>
                </w:txbxContent>
              </v:textbox>
            </v:shape>
          </w:pict>
        </mc:Fallback>
      </mc:AlternateContent>
    </w:r>
    <w:r>
      <w:rPr>
        <w:rFonts w:hint="eastAsia" w:ascii="宋体" w:hAnsi="宋体" w:cs="宋体"/>
      </w:rPr>
      <w:tab/>
    </w:r>
    <w:r>
      <w:rPr>
        <w:rFonts w:hint="eastAsia" w:ascii="宋体" w:hAnsi="宋体" w:cs="宋体"/>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left="232" w:leftChars="83"/>
      <w:rPr>
        <w:rFonts w:hint="eastAsia" w:ascii="宋体" w:hAnsi="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left="560" w:leftChars="200"/>
      <w:rPr>
        <w:rFonts w:hint="eastAsia" w:ascii="宋体" w:hAnsi="宋体"/>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both"/>
    </w:pPr>
    <w:r>
      <w:rPr>
        <w:rFonts w:hint="eastAsia" w:ascii="宋体" w:hAnsi="宋体" w:cs="宋体"/>
        <w:sz w:val="18"/>
        <w:szCs w:val="18"/>
        <w:lang w:eastAsia="zh-CN"/>
      </w:rPr>
      <w:t>榆林市行政审批服务局</w:t>
    </w:r>
    <w:r>
      <w:rPr>
        <w:rFonts w:hint="eastAsia" w:ascii="宋体" w:hAnsi="宋体" w:eastAsia="宋体" w:cs="宋体"/>
        <w:sz w:val="18"/>
        <w:szCs w:val="18"/>
        <w:lang w:eastAsia="zh-CN"/>
      </w:rPr>
      <w:t>榆林航线营销宣传</w:t>
    </w:r>
    <w:r>
      <w:rPr>
        <w:rFonts w:hint="eastAsia" w:ascii="宋体" w:hAnsi="宋体" w:eastAsia="宋体" w:cs="宋体"/>
        <w:sz w:val="18"/>
        <w:szCs w:val="18"/>
        <w:lang w:eastAsia="zh-CN"/>
      </w:rPr>
      <w:tab/>
    </w:r>
    <w:r>
      <w:rPr>
        <w:rFonts w:hint="eastAsia" w:ascii="宋体" w:hAnsi="宋体" w:eastAsia="宋体" w:cs="宋体"/>
        <w:sz w:val="18"/>
        <w:szCs w:val="18"/>
        <w:lang w:val="en-US" w:eastAsia="zh-CN"/>
      </w:rPr>
      <w:t xml:space="preserve">                                                                  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tabs>
        <w:tab w:val="left" w:pos="7221"/>
        <w:tab w:val="clear" w:pos="4153"/>
      </w:tabs>
      <w:jc w:val="both"/>
      <w:rPr>
        <w:rFonts w:hint="default"/>
        <w:sz w:val="13"/>
        <w:szCs w:val="13"/>
        <w:lang w:val="en-US"/>
      </w:rPr>
    </w:pPr>
    <w:r>
      <w:rPr>
        <w:rFonts w:hint="eastAsia" w:ascii="宋体" w:hAnsi="宋体" w:cs="宋体"/>
        <w:sz w:val="18"/>
        <w:szCs w:val="18"/>
        <w:lang w:eastAsia="zh-CN"/>
      </w:rPr>
      <w:t>榆林市行政审批服务局网络运维服务</w:t>
    </w:r>
    <w:r>
      <w:rPr>
        <w:rFonts w:hint="eastAsia" w:ascii="宋体" w:hAnsi="宋体" w:eastAsia="宋体" w:cs="宋体"/>
        <w:sz w:val="18"/>
        <w:szCs w:val="18"/>
        <w:lang w:eastAsia="zh-CN"/>
      </w:rPr>
      <w:tab/>
    </w:r>
    <w:r>
      <w:rPr>
        <w:rFonts w:hint="eastAsia" w:ascii="宋体" w:hAnsi="宋体" w:eastAsia="宋体" w:cs="宋体"/>
        <w:sz w:val="18"/>
        <w:szCs w:val="18"/>
        <w:lang w:val="en-US" w:eastAsia="zh-CN"/>
      </w:rPr>
      <w:t xml:space="preserve">              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both"/>
    </w:pP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      竞争性磋商文件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tabs>
        <w:tab w:val="left" w:pos="7221"/>
        <w:tab w:val="clear" w:pos="4153"/>
      </w:tabs>
      <w:jc w:val="both"/>
      <w:rPr>
        <w:rFonts w:hint="default" w:ascii="Copperplate Gothic Bold" w:hAnsi="Copperplate Gothic Bold" w:eastAsia="宋体" w:cs="Times New Roman"/>
        <w:sz w:val="18"/>
        <w:szCs w:val="18"/>
        <w:lang w:val="en-US" w:eastAsia="zh-CN" w:bidi="ar-SA"/>
      </w:rPr>
    </w:pPr>
    <w:r>
      <w:rPr>
        <w:rFonts w:hint="eastAsia" w:ascii="Copperplate Gothic Bold" w:hAnsi="Copperplate Gothic Bold" w:eastAsia="宋体" w:cs="Times New Roman"/>
        <w:sz w:val="18"/>
        <w:szCs w:val="18"/>
        <w:lang w:val="en-US" w:eastAsia="zh-CN" w:bidi="ar-SA"/>
      </w:rPr>
      <w:tab/>
    </w:r>
    <w:r>
      <w:rPr>
        <w:rFonts w:hint="eastAsia" w:ascii="Copperplate Gothic Bold" w:hAnsi="Copperplate Gothic Bold" w:eastAsia="宋体" w:cs="Times New Roman"/>
        <w:sz w:val="18"/>
        <w:szCs w:val="18"/>
        <w:lang w:val="en-US" w:eastAsia="zh-CN" w:bidi="ar-SA"/>
      </w:rPr>
      <w:t xml:space="preserve">       </w:t>
    </w:r>
    <w:r>
      <w:rPr>
        <w:rFonts w:hint="eastAsia" w:cs="Times New Roman"/>
        <w:sz w:val="18"/>
        <w:szCs w:val="18"/>
        <w:lang w:val="en-US" w:eastAsia="zh-CN" w:bidi="ar-SA"/>
      </w:rPr>
      <w:t xml:space="preserve">    </w:t>
    </w:r>
    <w:r>
      <w:rPr>
        <w:rFonts w:hint="eastAsia" w:ascii="Copperplate Gothic Bold" w:hAnsi="Copperplate Gothic Bold" w:eastAsia="宋体" w:cs="Times New Roman"/>
        <w:sz w:val="18"/>
        <w:szCs w:val="18"/>
        <w:lang w:val="en-US" w:eastAsia="zh-CN" w:bidi="ar-SA"/>
      </w:rPr>
      <w:t xml:space="preserve">   </w:t>
    </w:r>
    <w:r>
      <w:rPr>
        <w:rFonts w:hint="eastAsia" w:cs="Times New Roman"/>
        <w:sz w:val="18"/>
        <w:szCs w:val="18"/>
        <w:lang w:val="en-US" w:eastAsia="zh-CN" w:bidi="ar-SA"/>
      </w:rPr>
      <w:t>竞争性</w:t>
    </w:r>
    <w:r>
      <w:rPr>
        <w:rFonts w:hint="eastAsia" w:ascii="Copperplate Gothic Bold" w:hAnsi="Copperplate Gothic Bold" w:eastAsia="宋体" w:cs="Times New Roman"/>
        <w:sz w:val="18"/>
        <w:szCs w:val="18"/>
        <w:lang w:val="en-US" w:eastAsia="zh-CN" w:bidi="ar-SA"/>
      </w:rPr>
      <w:t>磋商文件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tabs>
        <w:tab w:val="center" w:pos="4153"/>
        <w:tab w:val="right" w:pos="8306"/>
      </w:tabs>
      <w:ind w:right="118" w:rightChars="42"/>
      <w:jc w:val="left"/>
      <w:rPr>
        <w:rFonts w:hint="default" w:ascii="Times New Roman" w:hAnsi="Times New Roman" w:eastAsia="宋体" w:cs="Times New Roman"/>
        <w:color w:val="000000"/>
        <w:kern w:val="2"/>
        <w:sz w:val="18"/>
        <w:szCs w:val="18"/>
        <w:u w:val="single"/>
        <w:lang w:val="en-US" w:eastAsia="zh-CN" w:bidi="ar-SA"/>
      </w:rPr>
    </w:pPr>
    <w:r>
      <w:rPr>
        <w:rFonts w:hint="eastAsia" w:cs="Times New Roman"/>
        <w:color w:val="000000"/>
        <w:kern w:val="2"/>
        <w:sz w:val="18"/>
        <w:szCs w:val="18"/>
        <w:u w:val="single"/>
        <w:lang w:val="en-US" w:eastAsia="zh-CN" w:bidi="ar-S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ABC5A"/>
    <w:multiLevelType w:val="singleLevel"/>
    <w:tmpl w:val="8A0ABC5A"/>
    <w:lvl w:ilvl="0" w:tentative="0">
      <w:start w:val="1"/>
      <w:numFmt w:val="decimal"/>
      <w:lvlText w:val="%1."/>
      <w:lvlJc w:val="left"/>
      <w:pPr>
        <w:tabs>
          <w:tab w:val="left" w:pos="312"/>
        </w:tabs>
        <w:ind w:left="420" w:firstLine="0"/>
      </w:pPr>
    </w:lvl>
  </w:abstractNum>
  <w:abstractNum w:abstractNumId="1">
    <w:nsid w:val="9D3E07E2"/>
    <w:multiLevelType w:val="singleLevel"/>
    <w:tmpl w:val="9D3E07E2"/>
    <w:lvl w:ilvl="0" w:tentative="0">
      <w:start w:val="2"/>
      <w:numFmt w:val="decimal"/>
      <w:suff w:val="nothing"/>
      <w:lvlText w:val="%1、"/>
      <w:lvlJc w:val="left"/>
    </w:lvl>
  </w:abstractNum>
  <w:abstractNum w:abstractNumId="2">
    <w:nsid w:val="E5CBD9CF"/>
    <w:multiLevelType w:val="singleLevel"/>
    <w:tmpl w:val="E5CBD9CF"/>
    <w:lvl w:ilvl="0" w:tentative="0">
      <w:start w:val="2"/>
      <w:numFmt w:val="chineseCounting"/>
      <w:suff w:val="nothing"/>
      <w:lvlText w:val="（%1）"/>
      <w:lvlJc w:val="left"/>
      <w:rPr>
        <w:rFonts w:hint="eastAsia"/>
      </w:rPr>
    </w:lvl>
  </w:abstractNum>
  <w:abstractNum w:abstractNumId="3">
    <w:nsid w:val="E6D8118A"/>
    <w:multiLevelType w:val="singleLevel"/>
    <w:tmpl w:val="E6D8118A"/>
    <w:lvl w:ilvl="0" w:tentative="0">
      <w:start w:val="1"/>
      <w:numFmt w:val="decimal"/>
      <w:suff w:val="nothing"/>
      <w:lvlText w:val="%1、"/>
      <w:lvlJc w:val="left"/>
      <w:pPr>
        <w:ind w:left="-30"/>
      </w:pPr>
      <w:rPr>
        <w:rFonts w:hint="default"/>
        <w:b w:val="0"/>
        <w:bCs w:val="0"/>
      </w:rPr>
    </w:lvl>
  </w:abstractNum>
  <w:abstractNum w:abstractNumId="4">
    <w:nsid w:val="00000002"/>
    <w:multiLevelType w:val="singleLevel"/>
    <w:tmpl w:val="00000002"/>
    <w:lvl w:ilvl="0" w:tentative="0">
      <w:start w:val="1"/>
      <w:numFmt w:val="chineseCounting"/>
      <w:suff w:val="nothing"/>
      <w:lvlText w:val="%1、"/>
      <w:lvlJc w:val="left"/>
      <w:rPr>
        <w:rFonts w:hint="eastAsia"/>
      </w:rPr>
    </w:lvl>
  </w:abstractNum>
  <w:abstractNum w:abstractNumId="5">
    <w:nsid w:val="00000004"/>
    <w:multiLevelType w:val="singleLevel"/>
    <w:tmpl w:val="00000004"/>
    <w:lvl w:ilvl="0" w:tentative="0">
      <w:start w:val="1"/>
      <w:numFmt w:val="chineseCounting"/>
      <w:suff w:val="nothing"/>
      <w:lvlText w:val="（%1）"/>
      <w:lvlJc w:val="left"/>
      <w:rPr>
        <w:rFonts w:hint="eastAsia"/>
      </w:rPr>
    </w:lvl>
  </w:abstractNum>
  <w:abstractNum w:abstractNumId="6">
    <w:nsid w:val="443A773C"/>
    <w:multiLevelType w:val="singleLevel"/>
    <w:tmpl w:val="443A773C"/>
    <w:lvl w:ilvl="0" w:tentative="0">
      <w:start w:val="1"/>
      <w:numFmt w:val="decimal"/>
      <w:suff w:val="nothing"/>
      <w:lvlText w:val="%1、"/>
      <w:lvlJc w:val="left"/>
    </w:lvl>
  </w:abstractNum>
  <w:abstractNum w:abstractNumId="7">
    <w:nsid w:val="5E858013"/>
    <w:multiLevelType w:val="singleLevel"/>
    <w:tmpl w:val="5E858013"/>
    <w:lvl w:ilvl="0" w:tentative="0">
      <w:start w:val="4"/>
      <w:numFmt w:val="chineseCounting"/>
      <w:suff w:val="space"/>
      <w:lvlText w:val="第%1章"/>
      <w:lvlJc w:val="left"/>
      <w:rPr>
        <w:rFonts w:hint="eastAsia"/>
      </w:rPr>
    </w:lvl>
  </w:abstractNum>
  <w:num w:numId="1">
    <w:abstractNumId w:val="7"/>
  </w:num>
  <w:num w:numId="2">
    <w:abstractNumId w:val="2"/>
  </w:num>
  <w:num w:numId="3">
    <w:abstractNumId w:val="6"/>
  </w:num>
  <w:num w:numId="4">
    <w:abstractNumId w:val="3"/>
  </w:num>
  <w:num w:numId="5">
    <w:abstractNumId w:val="4"/>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0NGE1MTE5Zjk4YjgxOWNjMGZhNmVjNzU1NWFjYTUifQ=="/>
  </w:docVars>
  <w:rsids>
    <w:rsidRoot w:val="7E1C58BA"/>
    <w:rsid w:val="00104311"/>
    <w:rsid w:val="00391240"/>
    <w:rsid w:val="006C4D8C"/>
    <w:rsid w:val="03B93EFE"/>
    <w:rsid w:val="045E4F28"/>
    <w:rsid w:val="08F1355C"/>
    <w:rsid w:val="097328CA"/>
    <w:rsid w:val="0A4F473E"/>
    <w:rsid w:val="0AAE3CD3"/>
    <w:rsid w:val="0BAB7C3B"/>
    <w:rsid w:val="0D295F98"/>
    <w:rsid w:val="0E797E4C"/>
    <w:rsid w:val="0EAA32E8"/>
    <w:rsid w:val="146B5581"/>
    <w:rsid w:val="159A2E8F"/>
    <w:rsid w:val="17A62E0E"/>
    <w:rsid w:val="196144D0"/>
    <w:rsid w:val="1A766595"/>
    <w:rsid w:val="1ACE2D0E"/>
    <w:rsid w:val="1B162B24"/>
    <w:rsid w:val="1C202506"/>
    <w:rsid w:val="1F552C1D"/>
    <w:rsid w:val="23F743BD"/>
    <w:rsid w:val="294325D5"/>
    <w:rsid w:val="2B510C9F"/>
    <w:rsid w:val="2D011E35"/>
    <w:rsid w:val="303643A5"/>
    <w:rsid w:val="30AA4D9F"/>
    <w:rsid w:val="31390F90"/>
    <w:rsid w:val="318178A1"/>
    <w:rsid w:val="33DC5733"/>
    <w:rsid w:val="37E666B0"/>
    <w:rsid w:val="38FE2836"/>
    <w:rsid w:val="39652F33"/>
    <w:rsid w:val="3A1E0383"/>
    <w:rsid w:val="3AB74334"/>
    <w:rsid w:val="3C0152D5"/>
    <w:rsid w:val="3DB37657"/>
    <w:rsid w:val="3E5623A9"/>
    <w:rsid w:val="42675C80"/>
    <w:rsid w:val="439E42E3"/>
    <w:rsid w:val="44F06A5E"/>
    <w:rsid w:val="451F018E"/>
    <w:rsid w:val="45C53DA9"/>
    <w:rsid w:val="48A44149"/>
    <w:rsid w:val="4BF34F95"/>
    <w:rsid w:val="4CE0434F"/>
    <w:rsid w:val="4E967592"/>
    <w:rsid w:val="4F3E6331"/>
    <w:rsid w:val="51962A9D"/>
    <w:rsid w:val="55877D93"/>
    <w:rsid w:val="58331046"/>
    <w:rsid w:val="5A0804C6"/>
    <w:rsid w:val="5AC97850"/>
    <w:rsid w:val="63813636"/>
    <w:rsid w:val="6AF107CD"/>
    <w:rsid w:val="6C940F2D"/>
    <w:rsid w:val="77155257"/>
    <w:rsid w:val="771A2FB7"/>
    <w:rsid w:val="77CA5388"/>
    <w:rsid w:val="77E617D9"/>
    <w:rsid w:val="781E0F73"/>
    <w:rsid w:val="78A74F17"/>
    <w:rsid w:val="796131E7"/>
    <w:rsid w:val="7A176690"/>
    <w:rsid w:val="7E1C5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Copperplate Gothic Bold" w:hAnsi="Copperplate Gothic Bold" w:eastAsia="宋体" w:cs="Times New Roman"/>
      <w:sz w:val="28"/>
      <w:szCs w:val="28"/>
      <w:lang w:val="en-US" w:eastAsia="zh-CN" w:bidi="ar-SA"/>
    </w:rPr>
  </w:style>
  <w:style w:type="paragraph" w:styleId="3">
    <w:name w:val="heading 1"/>
    <w:basedOn w:val="1"/>
    <w:next w:val="1"/>
    <w:link w:val="35"/>
    <w:qFormat/>
    <w:uiPriority w:val="0"/>
    <w:pPr>
      <w:keepNext/>
      <w:spacing w:line="360" w:lineRule="auto"/>
      <w:jc w:val="center"/>
      <w:outlineLvl w:val="0"/>
    </w:pPr>
    <w:rPr>
      <w:rFonts w:ascii="仿宋_GB2312" w:hAnsi="仿宋_GB2312" w:cs="Times New Roman"/>
      <w:b/>
      <w:sz w:val="32"/>
    </w:rPr>
  </w:style>
  <w:style w:type="paragraph" w:styleId="4">
    <w:name w:val="heading 2"/>
    <w:basedOn w:val="1"/>
    <w:next w:val="1"/>
    <w:semiHidden/>
    <w:unhideWhenUsed/>
    <w:qFormat/>
    <w:uiPriority w:val="0"/>
    <w:pPr>
      <w:keepNext/>
      <w:keepLines/>
      <w:widowControl/>
      <w:snapToGrid w:val="0"/>
      <w:spacing w:beforeLines="0" w:afterLines="0" w:line="360" w:lineRule="auto"/>
      <w:ind w:left="0"/>
      <w:jc w:val="center"/>
      <w:outlineLvl w:val="1"/>
    </w:pPr>
    <w:rPr>
      <w:rFonts w:ascii="Arial" w:hAnsi="Arial" w:cs="Times New Roman"/>
      <w:b/>
      <w:bCs/>
      <w:kern w:val="0"/>
      <w:sz w:val="28"/>
      <w:szCs w:val="32"/>
    </w:rPr>
  </w:style>
  <w:style w:type="paragraph" w:styleId="5">
    <w:name w:val="heading 3"/>
    <w:basedOn w:val="1"/>
    <w:next w:val="1"/>
    <w:semiHidden/>
    <w:unhideWhenUsed/>
    <w:qFormat/>
    <w:uiPriority w:val="0"/>
    <w:pPr>
      <w:keepNext/>
      <w:snapToGrid w:val="0"/>
      <w:spacing w:line="240" w:lineRule="auto"/>
      <w:jc w:val="left"/>
      <w:outlineLvl w:val="2"/>
    </w:pPr>
    <w:rPr>
      <w:rFonts w:ascii="Times New Roman" w:hAnsi="Times New Roman" w:cs="Times New Roman"/>
      <w:b/>
      <w:bCs/>
      <w:sz w:val="24"/>
      <w:szCs w:val="24"/>
    </w:rPr>
  </w:style>
  <w:style w:type="paragraph" w:styleId="6">
    <w:name w:val="heading 4"/>
    <w:basedOn w:val="1"/>
    <w:next w:val="1"/>
    <w:unhideWhenUsed/>
    <w:qFormat/>
    <w:uiPriority w:val="9"/>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7">
    <w:name w:val="heading 6"/>
    <w:basedOn w:val="1"/>
    <w:next w:val="1"/>
    <w:unhideWhenUsed/>
    <w:qFormat/>
    <w:uiPriority w:val="9"/>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Normal Indent"/>
    <w:basedOn w:val="1"/>
    <w:next w:val="9"/>
    <w:qFormat/>
    <w:uiPriority w:val="0"/>
    <w:pPr>
      <w:adjustRightInd/>
      <w:spacing w:line="300" w:lineRule="auto"/>
      <w:ind w:firstLine="420" w:firstLineChars="200"/>
      <w:jc w:val="both"/>
    </w:pPr>
    <w:rPr>
      <w:rFonts w:ascii="Times New Roman" w:hAnsi="Times New Roman"/>
      <w:sz w:val="20"/>
      <w:szCs w:val="24"/>
    </w:rPr>
  </w:style>
  <w:style w:type="paragraph" w:styleId="9">
    <w:name w:val="toc 4"/>
    <w:basedOn w:val="1"/>
    <w:next w:val="1"/>
    <w:unhideWhenUsed/>
    <w:qFormat/>
    <w:uiPriority w:val="31"/>
    <w:pPr>
      <w:ind w:left="1275"/>
    </w:pPr>
    <w:rPr>
      <w:rFonts w:ascii="Calibri" w:hAnsi="Calibri"/>
      <w:sz w:val="21"/>
      <w:szCs w:val="21"/>
    </w:rPr>
  </w:style>
  <w:style w:type="paragraph" w:styleId="10">
    <w:name w:val="annotation text"/>
    <w:basedOn w:val="1"/>
    <w:qFormat/>
    <w:uiPriority w:val="0"/>
    <w:pPr>
      <w:adjustRightInd/>
    </w:pPr>
    <w:rPr>
      <w:rFonts w:ascii="Times New Roman" w:hAnsi="Times New Roman"/>
      <w:kern w:val="2"/>
      <w:sz w:val="21"/>
      <w:szCs w:val="20"/>
    </w:rPr>
  </w:style>
  <w:style w:type="paragraph" w:styleId="11">
    <w:name w:val="Body Text Indent"/>
    <w:basedOn w:val="1"/>
    <w:next w:val="1"/>
    <w:unhideWhenUsed/>
    <w:qFormat/>
    <w:uiPriority w:val="0"/>
    <w:pPr>
      <w:spacing w:after="120"/>
      <w:ind w:left="420" w:leftChars="200"/>
    </w:pPr>
  </w:style>
  <w:style w:type="paragraph" w:styleId="12">
    <w:name w:val="Block Text"/>
    <w:basedOn w:val="1"/>
    <w:unhideWhenUsed/>
    <w:qFormat/>
    <w:uiPriority w:val="99"/>
    <w:pPr>
      <w:spacing w:after="120"/>
      <w:ind w:left="1440" w:leftChars="700" w:right="700" w:rightChars="700"/>
    </w:pPr>
  </w:style>
  <w:style w:type="paragraph" w:styleId="13">
    <w:name w:val="Plain Text"/>
    <w:basedOn w:val="1"/>
    <w:next w:val="1"/>
    <w:qFormat/>
    <w:uiPriority w:val="99"/>
    <w:pPr>
      <w:jc w:val="both"/>
    </w:pPr>
    <w:rPr>
      <w:rFonts w:ascii="宋体" w:hAnsi="Times New Roman"/>
      <w:sz w:val="20"/>
      <w:szCs w:val="21"/>
    </w:rPr>
  </w:style>
  <w:style w:type="paragraph" w:styleId="14">
    <w:name w:val="footer"/>
    <w:basedOn w:val="1"/>
    <w:next w:val="1"/>
    <w:unhideWhenUsed/>
    <w:qFormat/>
    <w:uiPriority w:val="0"/>
    <w:pPr>
      <w:tabs>
        <w:tab w:val="center" w:pos="4153"/>
        <w:tab w:val="right" w:pos="8306"/>
      </w:tabs>
      <w:snapToGrid w:val="0"/>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next w:val="14"/>
    <w:unhideWhenUsed/>
    <w:qFormat/>
    <w:uiPriority w:val="0"/>
    <w:pPr>
      <w:spacing w:before="100" w:beforeAutospacing="1" w:after="100" w:afterAutospacing="1"/>
      <w:ind w:left="0" w:right="0"/>
      <w:jc w:val="left"/>
    </w:pPr>
    <w:rPr>
      <w:kern w:val="0"/>
      <w:sz w:val="24"/>
      <w:lang w:val="en-US" w:eastAsia="zh-CN" w:bidi="ar"/>
    </w:rPr>
  </w:style>
  <w:style w:type="paragraph" w:styleId="18">
    <w:name w:val="Body Text First Indent"/>
    <w:basedOn w:val="2"/>
    <w:next w:val="1"/>
    <w:unhideWhenUsed/>
    <w:qFormat/>
    <w:uiPriority w:val="0"/>
    <w:pPr>
      <w:spacing w:afterLines="0" w:line="240" w:lineRule="auto"/>
      <w:ind w:firstLine="420" w:firstLineChars="100"/>
    </w:pPr>
    <w:rPr>
      <w:rFonts w:ascii="Times New Roman" w:hAnsi="Times New Roman"/>
      <w:color w:val="auto"/>
      <w:sz w:val="18"/>
      <w:szCs w:val="18"/>
    </w:rPr>
  </w:style>
  <w:style w:type="paragraph" w:styleId="19">
    <w:name w:val="Body Text First Indent 2"/>
    <w:basedOn w:val="11"/>
    <w:unhideWhenUsed/>
    <w:qFormat/>
    <w:uiPriority w:val="99"/>
    <w:pPr>
      <w:ind w:firstLine="420" w:firstLineChars="200"/>
    </w:pPr>
  </w:style>
  <w:style w:type="character" w:styleId="22">
    <w:name w:val="Strong"/>
    <w:basedOn w:val="21"/>
    <w:qFormat/>
    <w:uiPriority w:val="0"/>
    <w:rPr>
      <w:b/>
      <w:bCs/>
    </w:rPr>
  </w:style>
  <w:style w:type="character" w:styleId="23">
    <w:name w:val="page number"/>
    <w:basedOn w:val="21"/>
    <w:qFormat/>
    <w:uiPriority w:val="0"/>
    <w:rPr>
      <w:rFonts w:cs="Times New Roman"/>
    </w:rPr>
  </w:style>
  <w:style w:type="character" w:styleId="24">
    <w:name w:val="FollowedHyperlink"/>
    <w:basedOn w:val="21"/>
    <w:qFormat/>
    <w:uiPriority w:val="0"/>
    <w:rPr>
      <w:color w:val="800080"/>
      <w:u w:val="none"/>
    </w:rPr>
  </w:style>
  <w:style w:type="character" w:styleId="25">
    <w:name w:val="Emphasis"/>
    <w:basedOn w:val="21"/>
    <w:qFormat/>
    <w:uiPriority w:val="0"/>
    <w:rPr>
      <w:b/>
      <w:bCs/>
    </w:rPr>
  </w:style>
  <w:style w:type="character" w:styleId="26">
    <w:name w:val="HTML Definition"/>
    <w:basedOn w:val="21"/>
    <w:qFormat/>
    <w:uiPriority w:val="0"/>
  </w:style>
  <w:style w:type="character" w:styleId="27">
    <w:name w:val="HTML Typewriter"/>
    <w:basedOn w:val="21"/>
    <w:qFormat/>
    <w:uiPriority w:val="0"/>
    <w:rPr>
      <w:rFonts w:hint="default" w:ascii="monospace" w:hAnsi="monospace" w:eastAsia="monospace" w:cs="monospace"/>
      <w:sz w:val="20"/>
      <w:bdr w:val="single" w:color="DBDEC1" w:sz="4" w:space="0"/>
      <w:shd w:val="clear" w:fill="FFFFFF"/>
    </w:rPr>
  </w:style>
  <w:style w:type="character" w:styleId="28">
    <w:name w:val="HTML Acronym"/>
    <w:basedOn w:val="21"/>
    <w:qFormat/>
    <w:uiPriority w:val="0"/>
    <w:rPr>
      <w:shd w:val="clear" w:fill="FFFFFF"/>
    </w:rPr>
  </w:style>
  <w:style w:type="character" w:styleId="29">
    <w:name w:val="HTML Variable"/>
    <w:basedOn w:val="21"/>
    <w:qFormat/>
    <w:uiPriority w:val="0"/>
  </w:style>
  <w:style w:type="character" w:styleId="30">
    <w:name w:val="Hyperlink"/>
    <w:basedOn w:val="21"/>
    <w:qFormat/>
    <w:uiPriority w:val="0"/>
    <w:rPr>
      <w:color w:val="0000FF"/>
      <w:u w:val="none"/>
    </w:rPr>
  </w:style>
  <w:style w:type="character" w:styleId="31">
    <w:name w:val="HTML Code"/>
    <w:basedOn w:val="21"/>
    <w:qFormat/>
    <w:uiPriority w:val="0"/>
    <w:rPr>
      <w:rFonts w:hint="default" w:ascii="monospace" w:hAnsi="monospace" w:eastAsia="monospace" w:cs="monospace"/>
      <w:sz w:val="20"/>
    </w:rPr>
  </w:style>
  <w:style w:type="character" w:styleId="32">
    <w:name w:val="HTML Cite"/>
    <w:basedOn w:val="21"/>
    <w:qFormat/>
    <w:uiPriority w:val="0"/>
  </w:style>
  <w:style w:type="character" w:styleId="33">
    <w:name w:val="HTML Keyboard"/>
    <w:basedOn w:val="21"/>
    <w:qFormat/>
    <w:uiPriority w:val="0"/>
    <w:rPr>
      <w:rFonts w:ascii="monospace" w:hAnsi="monospace" w:eastAsia="monospace" w:cs="monospace"/>
      <w:sz w:val="20"/>
    </w:rPr>
  </w:style>
  <w:style w:type="character" w:styleId="34">
    <w:name w:val="HTML Sample"/>
    <w:basedOn w:val="21"/>
    <w:qFormat/>
    <w:uiPriority w:val="0"/>
    <w:rPr>
      <w:rFonts w:hint="default" w:ascii="monospace" w:hAnsi="monospace" w:eastAsia="monospace" w:cs="monospace"/>
    </w:rPr>
  </w:style>
  <w:style w:type="character" w:customStyle="1" w:styleId="35">
    <w:name w:val="标题 1 Char"/>
    <w:link w:val="3"/>
    <w:qFormat/>
    <w:uiPriority w:val="0"/>
    <w:rPr>
      <w:rFonts w:ascii="仿宋_GB2312" w:hAnsi="仿宋_GB2312" w:eastAsia="宋体" w:cs="Times New Roman"/>
      <w:b/>
      <w:bCs/>
      <w:kern w:val="44"/>
      <w:sz w:val="30"/>
      <w:szCs w:val="44"/>
    </w:rPr>
  </w:style>
  <w:style w:type="paragraph" w:styleId="36">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7">
    <w:name w:val="正文格式"/>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样式2"/>
    <w:basedOn w:val="3"/>
    <w:qFormat/>
    <w:uiPriority w:val="99"/>
    <w:pPr>
      <w:overflowPunct w:val="0"/>
      <w:topLinePunct/>
      <w:spacing w:before="0" w:after="0" w:line="440" w:lineRule="exact"/>
      <w:jc w:val="center"/>
    </w:pPr>
    <w:rPr>
      <w:rFonts w:ascii="仿宋" w:hAnsi="仿宋" w:eastAsia="仿宋"/>
      <w:color w:val="000000"/>
      <w:kern w:val="0"/>
      <w:sz w:val="36"/>
      <w:szCs w:val="36"/>
    </w:rPr>
  </w:style>
  <w:style w:type="paragraph" w:styleId="40">
    <w:name w:val="List Paragraph"/>
    <w:basedOn w:val="1"/>
    <w:unhideWhenUsed/>
    <w:qFormat/>
    <w:uiPriority w:val="99"/>
    <w:pPr>
      <w:ind w:firstLine="420" w:firstLineChars="200"/>
    </w:pPr>
  </w:style>
  <w:style w:type="paragraph" w:customStyle="1" w:styleId="41">
    <w:name w:val="表格"/>
    <w:basedOn w:val="1"/>
    <w:qFormat/>
    <w:uiPriority w:val="0"/>
    <w:pPr>
      <w:spacing w:line="400" w:lineRule="exact"/>
    </w:pPr>
    <w:rPr>
      <w:rFonts w:ascii="Times New Roman" w:hAnsi="Times New Roman"/>
      <w:sz w:val="24"/>
    </w:rPr>
  </w:style>
  <w:style w:type="paragraph" w:customStyle="1" w:styleId="42">
    <w:name w:val="Char1"/>
    <w:basedOn w:val="1"/>
    <w:qFormat/>
    <w:uiPriority w:val="0"/>
    <w:rPr>
      <w:rFonts w:ascii="Times New Roman" w:hAnsi="Times New Roman"/>
      <w:szCs w:val="21"/>
    </w:rPr>
  </w:style>
  <w:style w:type="paragraph" w:customStyle="1" w:styleId="43">
    <w:name w:val="正文3"/>
    <w:qFormat/>
    <w:uiPriority w:val="0"/>
    <w:pPr>
      <w:spacing w:line="500" w:lineRule="exact"/>
      <w:ind w:firstLine="200" w:firstLineChars="200"/>
    </w:pPr>
    <w:rPr>
      <w:rFonts w:ascii="Times New Roman" w:hAnsi="Times New Roman" w:eastAsia="宋体" w:cs="Times New Roman"/>
      <w:b/>
      <w:bCs/>
      <w:snapToGrid w:val="0"/>
      <w:color w:val="000000"/>
      <w:sz w:val="21"/>
      <w:szCs w:val="22"/>
      <w:lang w:val="en-US" w:eastAsia="zh-CN" w:bidi="ar-SA"/>
    </w:rPr>
  </w:style>
  <w:style w:type="paragraph" w:customStyle="1" w:styleId="44">
    <w:name w:val="样式5"/>
    <w:basedOn w:val="16"/>
    <w:qFormat/>
    <w:uiPriority w:val="0"/>
    <w:pPr>
      <w:pBdr>
        <w:bottom w:val="none" w:color="auto" w:sz="0" w:space="0"/>
      </w:pBdr>
      <w:tabs>
        <w:tab w:val="left" w:pos="4290"/>
        <w:tab w:val="clear" w:pos="4153"/>
        <w:tab w:val="clear" w:pos="8306"/>
      </w:tabs>
      <w:adjustRightInd/>
      <w:jc w:val="both"/>
    </w:pPr>
    <w:rPr>
      <w:rFonts w:ascii="Times New Roman" w:hAnsi="Times New Roman"/>
      <w:kern w:val="2"/>
    </w:rPr>
  </w:style>
  <w:style w:type="character" w:customStyle="1" w:styleId="45">
    <w:name w:val="NormalCharacter"/>
    <w:link w:val="46"/>
    <w:qFormat/>
    <w:uiPriority w:val="0"/>
  </w:style>
  <w:style w:type="paragraph" w:customStyle="1" w:styleId="46">
    <w:name w:val="UserStyle_34"/>
    <w:basedOn w:val="1"/>
    <w:link w:val="45"/>
    <w:qFormat/>
    <w:uiPriority w:val="0"/>
  </w:style>
  <w:style w:type="character" w:customStyle="1" w:styleId="47">
    <w:name w:val="mini-tree-nodetext3"/>
    <w:basedOn w:val="2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32759</Words>
  <Characters>36934</Characters>
  <Lines>0</Lines>
  <Paragraphs>0</Paragraphs>
  <TotalTime>46</TotalTime>
  <ScaleCrop>false</ScaleCrop>
  <LinksUpToDate>false</LinksUpToDate>
  <CharactersWithSpaces>38790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2023-04-03T12:14:00Z</dcterms:created>
  <dc:creator>标书代作</dc:creator>
  <cp:lastModifiedBy>心悸</cp:lastModifiedBy>
  <dcterms:modified xsi:type="dcterms:W3CDTF">2023-04-26T01:32:23Z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C7BEB3CAF87F4B02AA88E508774B0EE3_11</vt:lpwstr>
  </property>
</Properties>
</file>