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kern w:val="0"/>
          <w:sz w:val="28"/>
          <w:szCs w:val="28"/>
          <w:bdr w:val="none" w:color="auto" w:sz="0" w:space="0"/>
          <w:lang w:val="en-US" w:eastAsia="zh-CN" w:bidi="ar"/>
        </w:rPr>
      </w:pPr>
      <w:r>
        <w:rPr>
          <w:rFonts w:hint="eastAsia" w:asciiTheme="minorEastAsia" w:hAnsiTheme="minorEastAsia" w:eastAsiaTheme="minorEastAsia" w:cstheme="minorEastAsia"/>
          <w:b/>
          <w:bCs/>
          <w:color w:val="auto"/>
          <w:kern w:val="0"/>
          <w:sz w:val="28"/>
          <w:szCs w:val="28"/>
          <w:bdr w:val="none" w:color="auto" w:sz="0" w:space="0"/>
          <w:lang w:val="en-US" w:eastAsia="zh-CN" w:bidi="ar"/>
        </w:rPr>
        <w:t>榆林市人事信息中心机房安全运维管理设备采购项目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0"/>
          <w:sz w:val="28"/>
          <w:szCs w:val="28"/>
          <w:bdr w:val="none" w:color="auto" w:sz="0" w:space="0"/>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机房安全运维管理设备采购项目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获取采购文件，并于2023年05月19日 10时30分（北京时间</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项目编号：SXZC2023-HW-024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项目名称：机房安全运维管理设备采购项目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合同包1(榆林市人事信息中心机房安全运维管理设备采购项目):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合同包最高限价：270,000.00元</w:t>
      </w:r>
    </w:p>
    <w:tbl>
      <w:tblPr>
        <w:tblW w:w="158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59"/>
        <w:gridCol w:w="3712"/>
        <w:gridCol w:w="3712"/>
        <w:gridCol w:w="1347"/>
        <w:gridCol w:w="2553"/>
        <w:gridCol w:w="1730"/>
        <w:gridCol w:w="17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网上行为管理设备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270,000.00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270,000.00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合同履行期限：合同签订之日起25日历天内供货完毕并验收合格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合同包1(榆林市人事信息中心机房安全运维管理设备采购项目)落实政府采购政策需满足的资格要求如下: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合同包1(榆林市人事信息中心机房安全运维管理设备采购项目)特定资格要求如下: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提供2021年度或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（8）投标信用承诺书（保证金）（格式后附）；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时间：2023年05月16日至2023年05月18日，每天上午09:00:00至12:00:00，下午14:00:00至17:00:00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截止时间：2023年05月19日 10时30分00秒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时间：2023年05月19日 10时30分00秒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（3）投标单位须按照陕西省财政厅关于政府采购供应商注册登记有关事项的通知中的要求，通过陕西省政府采购网（http://www.ccgp-shaanxi.gov.cn/）注册登记加入陕西省政府采购供应商库。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榆林市人事信息中心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榆林市高新区劳动保障大厦4楼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0912-3838699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83972"/>
    <w:rsid w:val="35883972"/>
    <w:rsid w:val="4B066128"/>
    <w:rsid w:val="5D1D7135"/>
    <w:rsid w:val="60B351A5"/>
    <w:rsid w:val="64B4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2023-05-15T09:46:00Z</dcterms:created>
  <dc:creator>xbdqg</dc:creator>
  <cp:lastModifiedBy>xbdqg</cp:lastModifiedBy>
  <dcterms:modified xsi:type="dcterms:W3CDTF">2023-05-15T09:47:56Z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