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ascii="微软雅黑" w:hAnsi="微软雅黑" w:eastAsia="微软雅黑" w:cs="微软雅黑"/>
          <w:b/>
          <w:bCs/>
          <w:i w:val="0"/>
          <w:iCs w:val="0"/>
          <w:caps w:val="0"/>
          <w:color w:val="0A82E5"/>
          <w:spacing w:val="0"/>
          <w:sz w:val="36"/>
          <w:szCs w:val="36"/>
          <w:shd w:val="clear" w:fill="FFFFFF"/>
        </w:rPr>
      </w:pPr>
      <w:r>
        <w:rPr>
          <w:rFonts w:ascii="微软雅黑" w:hAnsi="微软雅黑" w:eastAsia="微软雅黑" w:cs="微软雅黑"/>
          <w:b/>
          <w:bCs/>
          <w:i w:val="0"/>
          <w:iCs w:val="0"/>
          <w:caps w:val="0"/>
          <w:color w:val="0A82E5"/>
          <w:spacing w:val="0"/>
          <w:sz w:val="36"/>
          <w:szCs w:val="36"/>
          <w:shd w:val="clear" w:fill="FFFFFF"/>
        </w:rPr>
        <w:t>榆林市第三十六幼儿园维修改造工程竞争性磋商公告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pPr>
      <w: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榆林市第三十六幼儿园维修改造工程</w:t>
      </w:r>
      <w:r>
        <w:rPr>
          <w:rFonts w:hint="eastAsia"/>
        </w:rPr>
        <w:t>采购项目的潜在供应商应在CA锁自行获取获取采购文件，并于 2023年07月18日 13时30分 （北京时间）前提交响应文件。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项目编号：HYDZB-2023-055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项目名称：榆林市第三十六幼儿园维修改造工程</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预算金额：721,226.16元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合同包1(榆林市第三十六幼儿园维修改造工程):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合同包预算金额：721,226.16元</w:t>
      </w:r>
    </w:p>
    <w:tbl>
      <w:tblPr>
        <w:tblStyle w:val="9"/>
        <w:tblW w:w="94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9"/>
        <w:gridCol w:w="1957"/>
        <w:gridCol w:w="2542"/>
        <w:gridCol w:w="840"/>
        <w:gridCol w:w="1270"/>
        <w:gridCol w:w="1440"/>
        <w:gridCol w:w="8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8" w:hRule="atLeast"/>
          <w:tblHeader/>
        </w:trPr>
        <w:tc>
          <w:tcPr>
            <w:tcW w:w="6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品目号</w:t>
            </w:r>
          </w:p>
        </w:tc>
        <w:tc>
          <w:tcPr>
            <w:tcW w:w="23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品目名称</w:t>
            </w:r>
          </w:p>
        </w:tc>
        <w:tc>
          <w:tcPr>
            <w:tcW w:w="23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采购标的</w:t>
            </w:r>
          </w:p>
        </w:tc>
        <w:tc>
          <w:tcPr>
            <w:tcW w:w="7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数量（单位）</w:t>
            </w:r>
          </w:p>
        </w:tc>
        <w:tc>
          <w:tcPr>
            <w:tcW w:w="1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技术规格、参数及要求</w:t>
            </w:r>
          </w:p>
        </w:tc>
        <w:tc>
          <w:tcPr>
            <w:tcW w:w="9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品目预算(元)</w:t>
            </w:r>
          </w:p>
        </w:tc>
        <w:tc>
          <w:tcPr>
            <w:tcW w:w="9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榆林市第三十六幼儿园维修改造工程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721,226.16</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jc w:val="center"/>
            </w:pPr>
            <w:r>
              <w:rPr>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合同包1(榆林市第三十六幼儿园维修改造工程)落实政府采购政策需满足的资格要求如下: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（1）《政府采购促进中小企业发展管理办法》（财库〔2020〕46号）；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r>
        <w:rPr>
          <w:rFonts w:hint="eastAsia"/>
        </w:rPr>
        <w:br w:type="textWrapping"/>
      </w:r>
      <w:r>
        <w:rPr>
          <w:rFonts w:hint="eastAsia"/>
        </w:rPr>
        <w:t>（6）《财政部、民政部、中国残疾人联合会关于促进残疾人就业政府采购政策的通知》（财库[2017]141号）；</w:t>
      </w:r>
      <w:r>
        <w:rPr>
          <w:rFonts w:hint="eastAsia"/>
        </w:rPr>
        <w:br w:type="textWrapping"/>
      </w:r>
      <w:r>
        <w:rPr>
          <w:rFonts w:hint="eastAsia"/>
        </w:rPr>
        <w:t>（7）陕西省财政厅关于印发《陕西省中小企业政府采购信用融资办法》（陕财办采〔2018〕23号）；相关政策、业务流程、办理平台(http://www.ccgpshaanxi.gov.cn/zcdservice/zcd/shanxi/)；</w:t>
      </w:r>
      <w:r>
        <w:rPr>
          <w:rFonts w:hint="eastAsia"/>
        </w:rPr>
        <w:br w:type="textWrapping"/>
      </w:r>
      <w:r>
        <w:rPr>
          <w:rFonts w:hint="eastAsia"/>
        </w:rPr>
        <w:t>（8）《关于在政府采购活动中查询及使用信用记录有关问题的通知》（财库〔2016〕125号）；</w:t>
      </w:r>
      <w:r>
        <w:rPr>
          <w:rFonts w:hint="eastAsia"/>
        </w:rPr>
        <w:br w:type="textWrapping"/>
      </w:r>
      <w:r>
        <w:rPr>
          <w:rFonts w:hint="eastAsia"/>
        </w:rPr>
        <w:t>（9）《榆林市财政局关于进一步加大政府采购支持中小企业力度的通知》（榆政财采发〔2022〕10号)；</w:t>
      </w:r>
      <w:r>
        <w:rPr>
          <w:rFonts w:hint="eastAsia"/>
        </w:rPr>
        <w:br w:type="textWrapping"/>
      </w:r>
      <w:r>
        <w:rPr>
          <w:rFonts w:hint="eastAsia"/>
        </w:rPr>
        <w:t>（10）《陕西省财政厅关于进一步加大政府采购支持中小企业力度的通知》(陕财采发〔2022〕5号)；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合同包1(榆林市第三十六幼儿园维修改造工程)特定资格要求如下: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1、经年检合格的三证合一版营业执照（副本）；</w:t>
      </w:r>
      <w:r>
        <w:rPr>
          <w:rFonts w:hint="eastAsia"/>
        </w:rPr>
        <w:br w:type="textWrapping"/>
      </w:r>
      <w:r>
        <w:rPr>
          <w:rFonts w:hint="eastAsia"/>
        </w:rPr>
        <w:t>2、投标人具备建设行政主管部门颁发的建筑工程施工总承包三级及以上资质；</w:t>
      </w:r>
      <w:r>
        <w:rPr>
          <w:rFonts w:hint="eastAsia"/>
        </w:rPr>
        <w:br w:type="textWrapping"/>
      </w:r>
      <w:r>
        <w:rPr>
          <w:rFonts w:hint="eastAsia"/>
        </w:rPr>
        <w:t>3、拟派往本项目的项目经理须具备建筑工程专业二级及以上注册建造师资格，并持有效的安全生产考核合格证书,提供近6个月可查询的社保缴纳证明，且无在建工程项目（提供证明资料）；</w:t>
      </w:r>
      <w:r>
        <w:rPr>
          <w:rFonts w:hint="eastAsia"/>
        </w:rPr>
        <w:br w:type="textWrapping"/>
      </w:r>
      <w:r>
        <w:rPr>
          <w:rFonts w:hint="eastAsia"/>
        </w:rPr>
        <w:t>4、有效的安全生产许可证；</w:t>
      </w:r>
      <w:r>
        <w:rPr>
          <w:rFonts w:hint="eastAsia"/>
        </w:rPr>
        <w:br w:type="textWrapping"/>
      </w:r>
      <w:r>
        <w:rPr>
          <w:rFonts w:hint="eastAsia"/>
        </w:rPr>
        <w:t>5、税收缴纳证明：提供2023年1月至今已缴纳的至少一个月的税收缴纳证明（银行缴费凭证或税收完税证明），依法免税的单位应提供相关证明材料；</w:t>
      </w:r>
      <w:r>
        <w:rPr>
          <w:rFonts w:hint="eastAsia"/>
        </w:rPr>
        <w:br w:type="textWrapping"/>
      </w:r>
      <w:r>
        <w:rPr>
          <w:rFonts w:hint="eastAsia"/>
        </w:rPr>
        <w:t>6、社会保障资金缴纳证明：提供2023年1月至今已缴存的至少一个月的社会保障资金缴纳证明（银行缴费凭证或社保完税证明或社保机构开具的社会保险参保缴费情况证明），依法不需要缴纳社会保障资金的单位应提供相关证明材料；</w:t>
      </w:r>
      <w:r>
        <w:rPr>
          <w:rFonts w:hint="eastAsia"/>
        </w:rPr>
        <w:br w:type="textWrapping"/>
      </w:r>
      <w:r>
        <w:rPr>
          <w:rFonts w:hint="eastAsia"/>
        </w:rPr>
        <w:t>7、财务状况报告：提供2022年度的财务审计报告（至少包括资产负债表、利润表、现金流量表、所有者权益变动表及其附注）或银行资信证明，成立时间至提交谈判响应文件递交截止时间不足一年的，投标人须自行声明；</w:t>
      </w:r>
      <w:r>
        <w:rPr>
          <w:rFonts w:hint="eastAsia"/>
        </w:rPr>
        <w:br w:type="textWrapping"/>
      </w:r>
      <w:r>
        <w:rPr>
          <w:rFonts w:hint="eastAsia"/>
        </w:rPr>
        <w:t>8、参加政府采购活动前3年内在经营活动中没有重大违法记录的书面声明（格式自拟，加盖投标人公章）；</w:t>
      </w:r>
      <w:r>
        <w:rPr>
          <w:rFonts w:hint="eastAsia"/>
        </w:rPr>
        <w:br w:type="textWrapping"/>
      </w:r>
      <w:r>
        <w:rPr>
          <w:rFonts w:hint="eastAsia"/>
        </w:rPr>
        <w:t>9、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有以上不良记录的不得参与评审活动，同时提供投标企业信用承诺书原件；</w:t>
      </w:r>
      <w:r>
        <w:rPr>
          <w:rFonts w:hint="eastAsia"/>
        </w:rPr>
        <w:br w:type="textWrapping"/>
      </w:r>
      <w:r>
        <w:rPr>
          <w:rFonts w:hint="eastAsia"/>
        </w:rPr>
        <w:t>10、投标保证金用投标信用承诺书代替（提供投标信用承诺书）；</w:t>
      </w:r>
      <w:r>
        <w:rPr>
          <w:rFonts w:hint="eastAsia"/>
        </w:rPr>
        <w:br w:type="textWrapping"/>
      </w:r>
      <w:r>
        <w:rPr>
          <w:rFonts w:hint="eastAsia"/>
        </w:rPr>
        <w:t>11、本项目专门面向小微企业采购（须提供小微企业声明函）；</w:t>
      </w:r>
      <w:r>
        <w:rPr>
          <w:rFonts w:hint="eastAsia"/>
        </w:rPr>
        <w:br w:type="textWrapping"/>
      </w:r>
      <w:r>
        <w:rPr>
          <w:rFonts w:hint="eastAsia"/>
        </w:rPr>
        <w:t>12、本项目不接受联合体投标，单位负责人为同一人或者存在直接控股、管理关系的不同投标人，不得参加同一合同项下的政府采购活动。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2023年07月07日 至 2023年07月13日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途径：CA锁自行获取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方式：在线获取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售价： 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截止时间： 2023年07月18日 13时30分00秒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五、开启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时间： 2023年07月18日 13时30分00秒 （北京时间）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地点：榆林市公共资源交易中心开标室12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六、公告期限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1）平台报名：登录全国公共资源交易中心平台（陕西省）（http://www.sxggzyjy.cn/）,选择“电子交易平台→陕西政府采购交易系统→陕西省公共资源交易平台→投标人”进行登录，登录后选择“交易乙方”身份进入投标人界面进行报名并下载磋商文件。电子磋商文件在获取期内进行下载，逾期下载通道将关闭，未及时下载磋商文件将会影响后续开评标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（2）请投标人按照陕西省财政厅关于政府采购供应商注册登记有关事项的通知中的要求，通过陕西省政府采购网（http://www.ccgp-shaanxi.gov.cn/）注册登记加入陕西省政府采购供应商库。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rPr>
        <w:t>八、对本次招标提出询问，请按以下方式联系。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1.采购人信息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名称：榆林市榆阳区教育和体育局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地址：区政府315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联系方式：0912-3250648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2.采购代理机构信息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名称：榆林市恒易达工程项目管理有限公司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地址：榆林市高新区安居路14号金叶小区一楼商铺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联系方式：0912-3448777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项目联系人：纪瑜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rPr>
        <w:t>电话：15619910006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榆林市恒易达工程项目管理有限公司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r>
        <w:rPr>
          <w:rFonts w:hint="eastAsia"/>
        </w:rPr>
        <w:t>2023年0</w:t>
      </w:r>
      <w:r>
        <w:rPr>
          <w:rFonts w:hint="eastAsia"/>
          <w:lang w:val="en-US" w:eastAsia="zh-CN"/>
        </w:rPr>
        <w:t>7</w:t>
      </w:r>
      <w:r>
        <w:rPr>
          <w:rFonts w:hint="eastAsia"/>
        </w:rPr>
        <w:t>月</w:t>
      </w:r>
      <w:r>
        <w:rPr>
          <w:rFonts w:hint="eastAsia"/>
          <w:lang w:val="en-US" w:eastAsia="zh-CN"/>
        </w:rPr>
        <w:t>06</w:t>
      </w:r>
      <w:r>
        <w:rPr>
          <w:rFonts w:hint="eastAsia"/>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ZmMwOWQ2N2VjNzZiNDJlZmU1Mjg0ODZmZWM2ODYifQ=="/>
  </w:docVars>
  <w:rsids>
    <w:rsidRoot w:val="450053A1"/>
    <w:rsid w:val="021B6B32"/>
    <w:rsid w:val="0D2C67AC"/>
    <w:rsid w:val="14882FD6"/>
    <w:rsid w:val="15D01E0B"/>
    <w:rsid w:val="18340673"/>
    <w:rsid w:val="18CC4AE0"/>
    <w:rsid w:val="1E817283"/>
    <w:rsid w:val="1FE93FAC"/>
    <w:rsid w:val="25C842E6"/>
    <w:rsid w:val="26246288"/>
    <w:rsid w:val="31B855B5"/>
    <w:rsid w:val="31FF7E5D"/>
    <w:rsid w:val="341479B0"/>
    <w:rsid w:val="34B17EB1"/>
    <w:rsid w:val="38996B40"/>
    <w:rsid w:val="3E860A9B"/>
    <w:rsid w:val="3E9B60A4"/>
    <w:rsid w:val="450053A1"/>
    <w:rsid w:val="495516A9"/>
    <w:rsid w:val="4AD23B87"/>
    <w:rsid w:val="4DE53493"/>
    <w:rsid w:val="4F883433"/>
    <w:rsid w:val="51B82477"/>
    <w:rsid w:val="5AFB2BCB"/>
    <w:rsid w:val="5E1717A5"/>
    <w:rsid w:val="603C0E2D"/>
    <w:rsid w:val="67930AFA"/>
    <w:rsid w:val="6F8C11BD"/>
    <w:rsid w:val="72C24A5E"/>
    <w:rsid w:val="733A3C78"/>
    <w:rsid w:val="73C13552"/>
    <w:rsid w:val="74A426EF"/>
    <w:rsid w:val="798317F4"/>
    <w:rsid w:val="7E6E2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
    <w:qFormat/>
    <w:uiPriority w:val="0"/>
    <w:pPr>
      <w:keepNext/>
      <w:keepLines/>
      <w:spacing w:before="340" w:after="330" w:line="578" w:lineRule="auto"/>
      <w:jc w:val="center"/>
      <w:outlineLvl w:val="0"/>
    </w:pPr>
    <w:rPr>
      <w:rFonts w:ascii="宋体" w:hAnsi="宋体" w:eastAsia="宋体" w:cs="Times New Roman"/>
      <w:b/>
      <w:bCs/>
      <w:kern w:val="44"/>
      <w:sz w:val="44"/>
      <w:szCs w:val="44"/>
    </w:rPr>
  </w:style>
  <w:style w:type="paragraph" w:styleId="4">
    <w:name w:val="heading 2"/>
    <w:basedOn w:val="1"/>
    <w:next w:val="1"/>
    <w:link w:val="17"/>
    <w:semiHidden/>
    <w:unhideWhenUsed/>
    <w:qFormat/>
    <w:uiPriority w:val="0"/>
    <w:pPr>
      <w:keepNext/>
      <w:spacing w:line="360" w:lineRule="auto"/>
      <w:ind w:firstLine="601" w:firstLineChars="200"/>
      <w:outlineLvl w:val="1"/>
    </w:pPr>
    <w:rPr>
      <w:rFonts w:ascii="黑体" w:hAnsi="黑体" w:eastAsia="仿宋"/>
      <w:b/>
      <w:kern w:val="0"/>
      <w:sz w:val="28"/>
    </w:rPr>
  </w:style>
  <w:style w:type="paragraph" w:styleId="5">
    <w:name w:val="heading 3"/>
    <w:basedOn w:val="1"/>
    <w:next w:val="1"/>
    <w:link w:val="12"/>
    <w:semiHidden/>
    <w:unhideWhenUsed/>
    <w:qFormat/>
    <w:uiPriority w:val="0"/>
    <w:pPr>
      <w:keepNext/>
      <w:keepLines/>
      <w:spacing w:before="260" w:after="260" w:line="360" w:lineRule="auto"/>
      <w:jc w:val="center"/>
      <w:outlineLvl w:val="2"/>
    </w:pPr>
    <w:rPr>
      <w:rFonts w:ascii="Times New Roman" w:hAnsi="Times New Roman" w:eastAsia="宋体" w:cs="Arial"/>
      <w:b/>
      <w:bCs/>
      <w:snapToGrid w:val="0"/>
      <w:color w:val="000000"/>
      <w:kern w:val="0"/>
      <w:sz w:val="28"/>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3 Char"/>
    <w:link w:val="5"/>
    <w:qFormat/>
    <w:uiPriority w:val="0"/>
    <w:rPr>
      <w:rFonts w:ascii="Times New Roman" w:hAnsi="Times New Roman" w:eastAsia="宋体" w:cs="Arial"/>
      <w:b/>
      <w:bCs/>
      <w:snapToGrid w:val="0"/>
      <w:color w:val="000000"/>
      <w:kern w:val="0"/>
      <w:sz w:val="28"/>
      <w:szCs w:val="24"/>
    </w:rPr>
  </w:style>
  <w:style w:type="paragraph" w:customStyle="1" w:styleId="13">
    <w:name w:val="样式1"/>
    <w:basedOn w:val="1"/>
    <w:qFormat/>
    <w:uiPriority w:val="0"/>
    <w:rPr>
      <w:rFonts w:ascii="Times New Roman" w:hAnsi="Times New Roman" w:eastAsia="宋体" w:cs="Times New Roman"/>
      <w:sz w:val="18"/>
    </w:rPr>
  </w:style>
  <w:style w:type="paragraph" w:customStyle="1" w:styleId="14">
    <w:name w:val="样式7"/>
    <w:basedOn w:val="5"/>
    <w:next w:val="1"/>
    <w:qFormat/>
    <w:uiPriority w:val="0"/>
    <w:pPr>
      <w:spacing w:before="-40" w:beforeLines="80" w:line="360" w:lineRule="auto"/>
    </w:pPr>
    <w:rPr>
      <w:rFonts w:ascii="Times New Roman" w:hAnsi="Times New Roman" w:eastAsia="宋体" w:cs="Times New Roman"/>
      <w:sz w:val="24"/>
      <w:szCs w:val="24"/>
    </w:rPr>
  </w:style>
  <w:style w:type="paragraph" w:customStyle="1" w:styleId="15">
    <w:name w:val="样式8"/>
    <w:basedOn w:val="5"/>
    <w:next w:val="1"/>
    <w:qFormat/>
    <w:uiPriority w:val="0"/>
    <w:pPr>
      <w:spacing w:before="-40" w:beforeLines="80"/>
    </w:pPr>
    <w:rPr>
      <w:rFonts w:ascii="Times New Roman" w:hAnsi="Times New Roman" w:eastAsia="宋体" w:cs="Times New Roman"/>
      <w:sz w:val="24"/>
      <w:szCs w:val="24"/>
    </w:rPr>
  </w:style>
  <w:style w:type="character" w:customStyle="1" w:styleId="16">
    <w:name w:val="标题 1 字符"/>
    <w:basedOn w:val="10"/>
    <w:link w:val="3"/>
    <w:qFormat/>
    <w:uiPriority w:val="0"/>
    <w:rPr>
      <w:rFonts w:ascii="宋体" w:hAnsi="宋体" w:eastAsia="宋体" w:cs="Times New Roman"/>
      <w:b/>
      <w:bCs/>
      <w:kern w:val="44"/>
      <w:sz w:val="44"/>
      <w:szCs w:val="44"/>
    </w:rPr>
  </w:style>
  <w:style w:type="character" w:customStyle="1" w:styleId="17">
    <w:name w:val="标题 2 Char"/>
    <w:link w:val="4"/>
    <w:uiPriority w:val="0"/>
    <w:rPr>
      <w:rFonts w:ascii="黑体" w:hAnsi="黑体" w:eastAsia="仿宋"/>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2203</Words>
  <Characters>2565</Characters>
  <Lines>0</Lines>
  <Paragraphs>0</Paragraphs>
  <TotalTime>0</TotalTime>
  <ScaleCrop>false</ScaleCrop>
  <LinksUpToDate>false</LinksUpToDate>
  <CharactersWithSpaces>2587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2023-07-06T07:30:00Z</dcterms:created>
  <dc:creator>、许多年以后</dc:creator>
  <cp:lastModifiedBy>、许多年以后</cp:lastModifiedBy>
  <dcterms:modified xsi:type="dcterms:W3CDTF">2023-07-06T07:50:26Z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9FAD4E218FC944279F951C2C3A3B0A60_13</vt:lpwstr>
  </property>
</Properties>
</file>