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一、2022年秋季一、四、七年级学生校服采购项目采购清单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220460" cy="4722495"/>
            <wp:effectExtent l="0" t="0" r="8890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学生校服技术要求</w:t>
      </w:r>
    </w:p>
    <w:tbl>
      <w:tblPr>
        <w:tblStyle w:val="5"/>
        <w:tblpPr w:leftFromText="180" w:rightFromText="180" w:vertAnchor="page" w:horzAnchor="page" w:tblpXSpec="center" w:tblpY="2099"/>
        <w:tblOverlap w:val="never"/>
        <w:tblW w:w="88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5"/>
        <w:gridCol w:w="1450"/>
        <w:gridCol w:w="2117"/>
        <w:gridCol w:w="45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atLeast"/>
          <w:jc w:val="center"/>
        </w:trPr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货物名称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参数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图片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6" w:hRule="atLeast"/>
          <w:jc w:val="center"/>
        </w:trPr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小学一、四年级夏季校服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面料：针织面料，克重≥170g/㎡。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原料成分：聚酯纤维55%，棉45%。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626360" cy="1718945"/>
                  <wp:effectExtent l="0" t="0" r="2540" b="14605"/>
                  <wp:docPr id="8" name="图片 8" descr="94871329a9ac6a4cf9227859be1b9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4871329a9ac6a4cf9227859be1b9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17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6" w:hRule="atLeast"/>
          <w:jc w:val="center"/>
        </w:trPr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小学一四年级秋冬季校服（三件套）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上衣外面料：100%聚酯纤维。下衣外面料：100%聚酯纤维。内胆复合摇粒绒：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100%聚酯纤维，克重≥300g/㎡。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623185" cy="1933575"/>
                  <wp:effectExtent l="0" t="0" r="5715" b="9525"/>
                  <wp:docPr id="2" name="图片 2" descr="bfeaf92df1939844582df8227e97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feaf92df1939844582df8227e970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18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6" w:hRule="atLeast"/>
          <w:jc w:val="center"/>
        </w:trPr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中学七年级夏季校服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面料：针织面料，克重≥170g/㎡。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原料成分：聚酯纤维55%，棉45%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66950" cy="1765935"/>
                  <wp:effectExtent l="0" t="0" r="0" b="5715"/>
                  <wp:docPr id="4" name="图片 4" descr="70404d6bdef9a3731bee7b2afaad0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0404d6bdef9a3731bee7b2afaad03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6" w:hRule="atLeast"/>
          <w:jc w:val="center"/>
        </w:trPr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中学七年级秋冬季校服（三件套）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上衣外面料：100%聚酯纤维。下衣外面料：100%聚酯纤维，内胆复合摇粒绒：100%聚酯纤维，克重≥300g/㎡。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626995" cy="2157095"/>
                  <wp:effectExtent l="0" t="0" r="1905" b="14605"/>
                  <wp:docPr id="5" name="图片 5" descr="e9fabd0740f6a6e136ee0608bb9ca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9fabd0740f6a6e136ee0608bb9ca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95" cy="215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096" w:firstLineChars="170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096" w:firstLineChars="170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设计说明：</w:t>
      </w:r>
      <w:r>
        <w:rPr>
          <w:rFonts w:hint="eastAsia" w:ascii="Times New Roman" w:hAnsi="Times New Roman" w:eastAsia="宋体" w:cs="Times New Roman"/>
          <w:sz w:val="24"/>
        </w:rPr>
        <w:t>上衣左胸放置各校校标，反光条设计起到安全警示功能。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校服面辅料等相关指标</w:t>
      </w:r>
    </w:p>
    <w:tbl>
      <w:tblPr>
        <w:tblStyle w:val="5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7"/>
        <w:gridCol w:w="680"/>
        <w:gridCol w:w="623"/>
        <w:gridCol w:w="860"/>
        <w:gridCol w:w="1115"/>
        <w:gridCol w:w="1136"/>
        <w:gridCol w:w="1130"/>
        <w:gridCol w:w="6"/>
        <w:gridCol w:w="1311"/>
        <w:gridCol w:w="113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63" w:type="dxa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111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226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夏装</w:t>
            </w:r>
          </w:p>
        </w:tc>
        <w:tc>
          <w:tcPr>
            <w:tcW w:w="3589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8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秋冬装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120" w:firstLineChars="50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上衣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下衣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上衣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下衣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内胆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面料种类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针织布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针织布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功能性户外面料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功能性户外面料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弹力复合摇粒绒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面料纤维含量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5%棉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5%棉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100%聚酯纤维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100%聚酯纤维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100%聚酯纤维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面料克重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克/米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80" w:type="dxa"/>
            <w:vMerge w:val="restart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染色牢度</w:t>
            </w: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耐水(变色、沾色)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耐汗渍(变色、沾色)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3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耐摩擦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干摩</w:t>
            </w:r>
          </w:p>
        </w:tc>
        <w:tc>
          <w:tcPr>
            <w:tcW w:w="1115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湿摩</w:t>
            </w:r>
          </w:p>
        </w:tc>
        <w:tc>
          <w:tcPr>
            <w:tcW w:w="1115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耐皂洗(变色、沾色)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耐光汗复合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3~4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耐光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起球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顶破强力(针织类）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≥250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≥250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断裂强力(机织类）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600" w:firstLineChars="2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≥200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≥200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03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接缝强力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面料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≥140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≥140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≥140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≥140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里料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≥80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≥80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03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水洗尺寸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变化率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针织类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-4.0~+2.0</w:t>
            </w:r>
          </w:p>
        </w:tc>
        <w:tc>
          <w:tcPr>
            <w:tcW w:w="1136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-4.0~+2.0</w:t>
            </w:r>
          </w:p>
        </w:tc>
        <w:tc>
          <w:tcPr>
            <w:tcW w:w="1311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机织类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-2.5~+1.5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-2.5~+1.5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-2.5~+1.5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防水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透湿率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g/m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*24h</w:t>
            </w:r>
          </w:p>
        </w:tc>
        <w:tc>
          <w:tcPr>
            <w:tcW w:w="113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3000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甲醛限量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855" w:type="dxa"/>
            <w:gridSpan w:val="6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" w:firstLineChars="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按GB18401-2010的B类要求执行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可分解致癌芳香胺染料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855" w:type="dxa"/>
            <w:gridSpan w:val="6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pH值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5" w:type="dxa"/>
            <w:gridSpan w:val="6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63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异味</w:t>
            </w:r>
          </w:p>
        </w:tc>
        <w:tc>
          <w:tcPr>
            <w:tcW w:w="11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55" w:type="dxa"/>
            <w:gridSpan w:val="6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53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278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外观质量、包装、贮运和标志</w:t>
            </w:r>
          </w:p>
        </w:tc>
        <w:tc>
          <w:tcPr>
            <w:tcW w:w="5855" w:type="dxa"/>
            <w:gridSpan w:val="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按国家标准《中小学生校服》（GB/T31888-2015）和《户外运动服装 冲锋衣》（GB／T32614-2016）执行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1" w:hRule="atLeast"/>
          <w:jc w:val="center"/>
        </w:trPr>
        <w:tc>
          <w:tcPr>
            <w:tcW w:w="9670" w:type="dxa"/>
            <w:gridSpan w:val="1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1：磨毛、起绒类产品不考核起球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2：高可视警示性标志按GB/T28468执行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3：须有CMA和CNAS认证的检测机构提供的检测合格报告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4：其它未尽事宜按国家标准《中小学生校服》（GB/T31888-2015）执行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校服加工工艺等技术要求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（1）质量要求：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1、连腰长裤腰头应用链式车缝制，不能跳针；中间应有贯穿全腰的棉纱绳带，抽出口应锁眼，绳带从内到外；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2、领子罗纹采用双面结构，多洗不变形、不起翘；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3、反光转移印或胶印图案，多洗不脱落、不变形；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4、后裆采用链式或双包边工艺，起到加固作用；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5、冬装功能面料要求防风、防水、透气等功能处理。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（2）外观要求：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领面、后身、袖子、前后裤片的斜度不超过3%。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（3）缝制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1、针距</w:t>
      </w:r>
    </w:p>
    <w:tbl>
      <w:tblPr>
        <w:tblStyle w:val="5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60"/>
        <w:gridCol w:w="4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006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项 目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924"/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针距密度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006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明暗线迹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924"/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3cm不少于12针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006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包缝线迹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3cm不少于9针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46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锁眼</w:t>
            </w:r>
          </w:p>
        </w:tc>
        <w:tc>
          <w:tcPr>
            <w:tcW w:w="22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细线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924"/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1cm不少于12针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4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粗线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924"/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1cm不少于9针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746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粗线</w:t>
            </w:r>
          </w:p>
        </w:tc>
        <w:tc>
          <w:tcPr>
            <w:tcW w:w="435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80"/>
                <w:tab w:val="left" w:pos="924"/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每眼不少于6根线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2、各部位缝制平服，线路顺直、整齐、牢固，针迹均匀，上下线松紧要适宜，起止针处及袋口须回针缉牢。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3、领子平服，不反翘，领子部位明线不允许断线。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4、绱袖圆顺，前后基本一致。袋与袋盖方正、圆顺，前后、高低一致。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5、各部位缝份不小于0.8cm。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6、所有外露缝份须全部包缝。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7、锁眼定位准确，大小适宜，扣与眼对位，整齐牢固。眼位不偏斜，锁眼针迹美观、整齐、平服。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8、绱拉链缉线平服，拉链带顺直，左右、高低一致。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9、对称部位基本一致。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10、领子部位不允许跳针，其余部位30cm内不得有两处及以上单跳针或连续跳针。链式线迹不允许跳线。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（4）规格尺寸偏差　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3316"/>
        <w:gridCol w:w="3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部位名称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允许偏差（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衣 长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胸 围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领 大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总肩宽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872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袖 长</w:t>
            </w:r>
          </w:p>
        </w:tc>
        <w:tc>
          <w:tcPr>
            <w:tcW w:w="331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短袖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872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长袖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裤 长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18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腰 围</w:t>
            </w:r>
          </w:p>
        </w:tc>
        <w:tc>
          <w:tcPr>
            <w:tcW w:w="367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12" w:firstLineChars="5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±2.0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（5）整烫外观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各部位熨烫平服、整洁，无烫黄、水渍及亮光，覆粘合衬部位不允许有脱胶、渗胶及起皱。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jEwNTk4MTZlMzY0YzY0N2I3Mzg4OWI4ZDkyNDEifQ=="/>
  </w:docVars>
  <w:rsids>
    <w:rsidRoot w:val="144219B3"/>
    <w:rsid w:val="144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xl36"/>
    <w:basedOn w:val="1"/>
    <w:qFormat/>
    <w:uiPriority w:val="0"/>
    <w:pPr>
      <w:widowControl/>
      <w:spacing w:before="100" w:after="100"/>
      <w:jc w:val="center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2023-02-23T04:26:00Z</dcterms:created>
  <dc:creator>WPS_1492229536</dc:creator>
  <cp:lastModifiedBy>WPS_1492229536</cp:lastModifiedBy>
  <dcterms:modified xsi:type="dcterms:W3CDTF">2023-02-23T04:32:06Z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A5A674CC2A3F4C02996FCBF479BB71E5</vt:lpwstr>
  </property>
</Properties>
</file>