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ind w:firstLine="0" w:firstLineChars="0"/>
        <w:jc w:val="center"/>
        <w:outlineLvl w:val="1"/>
        <w:rPr>
          <w:rFonts w:hint="eastAsia" w:ascii="仿宋" w:hAnsi="仿宋" w:eastAsia="仿宋" w:cs="Times New Roman"/>
          <w:b/>
          <w:color w:val="auto"/>
          <w:sz w:val="32"/>
          <w:szCs w:val="32"/>
        </w:rPr>
      </w:pPr>
      <w:r>
        <w:rPr>
          <w:rFonts w:ascii="仿宋" w:hAnsi="仿宋" w:eastAsia="仿宋" w:cs="Times New Roman"/>
          <w:b/>
          <w:color w:val="auto"/>
          <w:sz w:val="32"/>
          <w:szCs w:val="32"/>
        </w:rPr>
        <w:t>采购</w:t>
      </w:r>
      <w:r>
        <w:rPr>
          <w:rFonts w:hint="eastAsia" w:ascii="仿宋" w:hAnsi="仿宋" w:eastAsia="仿宋" w:cs="Times New Roman"/>
          <w:b/>
          <w:color w:val="auto"/>
          <w:sz w:val="32"/>
          <w:szCs w:val="32"/>
        </w:rPr>
        <w:t>需</w:t>
      </w:r>
      <w:r>
        <w:rPr>
          <w:rFonts w:ascii="仿宋" w:hAnsi="仿宋" w:eastAsia="仿宋" w:cs="Times New Roman"/>
          <w:b/>
          <w:color w:val="auto"/>
          <w:sz w:val="32"/>
          <w:szCs w:val="32"/>
        </w:rPr>
        <w:t>求</w:t>
      </w:r>
    </w:p>
    <w:p>
      <w:pPr>
        <w:pStyle w:val="4"/>
        <w:spacing w:line="500" w:lineRule="exact"/>
        <w:ind w:left="0" w:leftChars="0" w:firstLine="0" w:firstLineChars="0"/>
        <w:outlineLvl w:val="1"/>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一、采购需求</w:t>
      </w:r>
    </w:p>
    <w:tbl>
      <w:tblPr>
        <w:tblStyle w:val="7"/>
        <w:tblpPr w:leftFromText="180" w:rightFromText="180" w:vertAnchor="page" w:horzAnchor="page" w:tblpX="1272" w:tblpY="2516"/>
        <w:tblOverlap w:val="never"/>
        <w:tblW w:w="1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91"/>
        <w:gridCol w:w="7108"/>
        <w:gridCol w:w="783"/>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5" w:type="dxa"/>
            <w:shd w:val="clear" w:color="auto" w:fill="D7D7D7" w:themeFill="background1" w:themeFillShade="D8"/>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791" w:type="dxa"/>
            <w:shd w:val="clear" w:color="auto" w:fill="D7D7D7" w:themeFill="background1" w:themeFillShade="D8"/>
            <w:vAlign w:val="center"/>
          </w:tcPr>
          <w:p>
            <w:pPr>
              <w:jc w:val="center"/>
              <w:rPr>
                <w:rFonts w:hint="default"/>
                <w:b/>
                <w:bCs/>
                <w:vertAlign w:val="baseline"/>
                <w:lang w:val="en-US" w:eastAsia="zh-CN"/>
              </w:rPr>
            </w:pPr>
            <w:r>
              <w:rPr>
                <w:rFonts w:hint="eastAsia"/>
                <w:b/>
                <w:bCs/>
                <w:vertAlign w:val="baseline"/>
                <w:lang w:val="en-US" w:eastAsia="zh-CN"/>
              </w:rPr>
              <w:t>名称</w:t>
            </w:r>
          </w:p>
        </w:tc>
        <w:tc>
          <w:tcPr>
            <w:tcW w:w="7108" w:type="dxa"/>
            <w:shd w:val="clear" w:color="auto" w:fill="D7D7D7" w:themeFill="background1" w:themeFillShade="D8"/>
            <w:vAlign w:val="center"/>
          </w:tcPr>
          <w:p>
            <w:pPr>
              <w:jc w:val="center"/>
              <w:rPr>
                <w:rFonts w:hint="default"/>
                <w:b/>
                <w:bCs/>
                <w:vertAlign w:val="baseline"/>
                <w:lang w:val="en-US" w:eastAsia="zh-CN"/>
              </w:rPr>
            </w:pPr>
            <w:r>
              <w:rPr>
                <w:rFonts w:hint="eastAsia"/>
                <w:b/>
                <w:bCs/>
                <w:vertAlign w:val="baseline"/>
                <w:lang w:val="en-US" w:eastAsia="zh-CN"/>
              </w:rPr>
              <w:t>参数</w:t>
            </w:r>
          </w:p>
        </w:tc>
        <w:tc>
          <w:tcPr>
            <w:tcW w:w="783" w:type="dxa"/>
            <w:shd w:val="clear" w:color="auto" w:fill="D7D7D7" w:themeFill="background1" w:themeFillShade="D8"/>
            <w:vAlign w:val="center"/>
          </w:tcPr>
          <w:p>
            <w:pPr>
              <w:jc w:val="center"/>
              <w:rPr>
                <w:rFonts w:hint="default"/>
                <w:b/>
                <w:bCs/>
                <w:vertAlign w:val="baseline"/>
                <w:lang w:val="en-US" w:eastAsia="zh-CN"/>
              </w:rPr>
            </w:pPr>
            <w:r>
              <w:rPr>
                <w:rFonts w:hint="eastAsia"/>
                <w:b/>
                <w:bCs/>
                <w:vertAlign w:val="baseline"/>
                <w:lang w:val="en-US" w:eastAsia="zh-CN"/>
              </w:rPr>
              <w:t>单位</w:t>
            </w:r>
          </w:p>
        </w:tc>
        <w:tc>
          <w:tcPr>
            <w:tcW w:w="783" w:type="dxa"/>
            <w:shd w:val="clear" w:color="auto" w:fill="D7D7D7" w:themeFill="background1" w:themeFillShade="D8"/>
            <w:vAlign w:val="center"/>
          </w:tcPr>
          <w:p>
            <w:pPr>
              <w:jc w:val="center"/>
              <w:rPr>
                <w:rFonts w:hint="eastAsia"/>
                <w:b/>
                <w:bCs/>
                <w:vertAlign w:val="baseline"/>
                <w:lang w:val="en-US" w:eastAsia="zh-CN"/>
              </w:rPr>
            </w:pPr>
            <w:r>
              <w:rPr>
                <w:rFonts w:hint="eastAsia"/>
                <w:b/>
                <w:bCs/>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535" w:type="dxa"/>
            <w:vAlign w:val="center"/>
          </w:tcPr>
          <w:p>
            <w:pPr>
              <w:jc w:val="center"/>
              <w:rPr>
                <w:rFonts w:hint="default"/>
                <w:vertAlign w:val="baseline"/>
                <w:lang w:val="en-US" w:eastAsia="zh-CN"/>
              </w:rPr>
            </w:pPr>
            <w:r>
              <w:rPr>
                <w:rFonts w:hint="eastAsia"/>
                <w:vertAlign w:val="baseline"/>
                <w:lang w:val="en-US" w:eastAsia="zh-CN"/>
              </w:rPr>
              <w:t>1</w:t>
            </w:r>
          </w:p>
        </w:tc>
        <w:tc>
          <w:tcPr>
            <w:tcW w:w="791" w:type="dxa"/>
            <w:vAlign w:val="center"/>
          </w:tcPr>
          <w:p>
            <w:pPr>
              <w:jc w:val="center"/>
              <w:rPr>
                <w:rFonts w:hint="default"/>
                <w:vertAlign w:val="baseline"/>
                <w:lang w:val="en-US" w:eastAsia="zh-CN"/>
              </w:rPr>
            </w:pPr>
            <w:r>
              <w:rPr>
                <w:rFonts w:hint="eastAsia"/>
                <w:vertAlign w:val="baseline"/>
                <w:lang w:val="en-US" w:eastAsia="zh-CN"/>
              </w:rPr>
              <w:t>电脑</w:t>
            </w:r>
          </w:p>
        </w:tc>
        <w:tc>
          <w:tcPr>
            <w:tcW w:w="7108" w:type="dxa"/>
            <w:vAlign w:val="center"/>
          </w:tcPr>
          <w:p>
            <w:pPr>
              <w:jc w:val="left"/>
              <w:rPr>
                <w:rFonts w:hint="eastAsia" w:ascii="宋体" w:hAnsi="宋体" w:eastAsia="宋体" w:cs="宋体"/>
                <w:bCs/>
                <w:kern w:val="0"/>
                <w:sz w:val="21"/>
                <w:szCs w:val="21"/>
                <w:lang w:val="en-US" w:eastAsia="zh-CN"/>
              </w:rPr>
            </w:pPr>
            <w:r>
              <w:rPr>
                <w:rFonts w:hint="eastAsia" w:ascii="仿宋_GB2312" w:hAnsi="仿宋" w:eastAsia="仿宋_GB2312"/>
                <w:sz w:val="28"/>
                <w:szCs w:val="28"/>
                <w:lang w:val="en-US" w:eastAsia="zh-CN"/>
              </w:rPr>
              <w:t>★</w:t>
            </w:r>
            <w:r>
              <w:rPr>
                <w:rFonts w:hint="eastAsia" w:ascii="宋体" w:hAnsi="宋体" w:eastAsia="宋体" w:cs="宋体"/>
                <w:bCs/>
                <w:kern w:val="0"/>
                <w:sz w:val="21"/>
                <w:szCs w:val="21"/>
                <w:lang w:val="en-US" w:eastAsia="zh-CN"/>
              </w:rPr>
              <w:t>处理器：</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Cs/>
                <w:kern w:val="0"/>
                <w:sz w:val="21"/>
                <w:szCs w:val="21"/>
                <w:lang w:val="en-US" w:eastAsia="zh-CN"/>
              </w:rPr>
              <w:t>Intel第十二代Core i5处理器（主频≥2.5GHz主频，18MB缓存）</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主板：</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Cs/>
                <w:kern w:val="0"/>
                <w:sz w:val="21"/>
                <w:szCs w:val="21"/>
                <w:lang w:val="en-US" w:eastAsia="zh-CN"/>
              </w:rPr>
              <w:t>Intel 600系列及以上芯片组</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内存：</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Cs/>
                <w:kern w:val="0"/>
                <w:sz w:val="21"/>
                <w:szCs w:val="21"/>
                <w:lang w:val="en-US" w:eastAsia="zh-CN"/>
              </w:rPr>
              <w:t>8G DDR4 3200MHz 内存，提供双内存槽位</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显卡：集成显卡</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声卡：配置5.1声道(</w:t>
            </w:r>
            <w:bookmarkStart w:id="0" w:name="_GoBack"/>
            <w:bookmarkEnd w:id="0"/>
            <w:r>
              <w:rPr>
                <w:rFonts w:hint="eastAsia" w:ascii="宋体" w:hAnsi="宋体" w:eastAsia="宋体" w:cs="宋体"/>
                <w:bCs/>
                <w:kern w:val="0"/>
                <w:sz w:val="21"/>
                <w:szCs w:val="21"/>
                <w:lang w:val="en-US" w:eastAsia="zh-CN"/>
              </w:rPr>
              <w:t>共5个音频接口，其中前置包含1个2合1接口)</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硬盘：</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Cs/>
                <w:kern w:val="0"/>
                <w:sz w:val="21"/>
                <w:szCs w:val="21"/>
                <w:lang w:val="en-US" w:eastAsia="zh-CN"/>
              </w:rPr>
              <w:t>1TB SATA3 7200rpm 硬盘；</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网卡：集成10/100/1000M以太网卡；</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扩展槽：1个PCI-E*16、2个PCI-E*1</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键鼠：原厂防水键盘、抗菌鼠标；</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接口：10个USB（含2个USB3.2 Gen2）接口、VGA+HDMI接口、2个PS2接口，1个串口； </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电源：≥180W 电源</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安全特性：USB限制技术，仅识别USB键盘、鼠标，无法识别USB读取设备，有效防止数据泄露；</w:t>
            </w:r>
          </w:p>
          <w:p>
            <w:pPr>
              <w:jc w:val="left"/>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机箱：顶置提手，标准立式机箱，≥13L。</w:t>
            </w:r>
          </w:p>
          <w:p>
            <w:pPr>
              <w:jc w:val="left"/>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lang w:val="en-US" w:eastAsia="zh-CN"/>
              </w:rPr>
              <w:t>显示屏：21.5英寸16:9宽屏液晶显示器（1920x1080，低蓝光，VGA+DVI双接口，15个月保修）</w:t>
            </w:r>
            <w:r>
              <w:rPr>
                <w:rFonts w:hint="eastAsia" w:ascii="宋体" w:hAnsi="宋体" w:eastAsia="宋体" w:cs="宋体"/>
                <w:bCs/>
                <w:kern w:val="0"/>
                <w:sz w:val="21"/>
                <w:szCs w:val="21"/>
              </w:rPr>
              <w:t>预装软件：终端管理系统客户端</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操作系统：Windows 10企业版</w:t>
            </w:r>
          </w:p>
        </w:tc>
        <w:tc>
          <w:tcPr>
            <w:tcW w:w="783" w:type="dxa"/>
            <w:vAlign w:val="center"/>
          </w:tcPr>
          <w:p>
            <w:pPr>
              <w:jc w:val="center"/>
              <w:rPr>
                <w:rFonts w:hint="default"/>
                <w:vertAlign w:val="baseline"/>
                <w:lang w:val="en-US" w:eastAsia="zh-CN"/>
              </w:rPr>
            </w:pPr>
            <w:r>
              <w:rPr>
                <w:rFonts w:hint="eastAsia"/>
                <w:vertAlign w:val="baseline"/>
                <w:lang w:val="en-US" w:eastAsia="zh-CN"/>
              </w:rPr>
              <w:t>台</w:t>
            </w:r>
          </w:p>
        </w:tc>
        <w:tc>
          <w:tcPr>
            <w:tcW w:w="783" w:type="dxa"/>
            <w:vAlign w:val="center"/>
          </w:tcPr>
          <w:p>
            <w:pPr>
              <w:jc w:val="center"/>
              <w:rPr>
                <w:rFonts w:hint="eastAsia"/>
                <w:vertAlign w:val="baseline"/>
                <w:lang w:val="en-US" w:eastAsia="zh-CN"/>
              </w:rPr>
            </w:pPr>
            <w:r>
              <w:rPr>
                <w:rFonts w:hint="eastAsia"/>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5" w:type="dxa"/>
            <w:vAlign w:val="center"/>
          </w:tcPr>
          <w:p>
            <w:pPr>
              <w:jc w:val="center"/>
              <w:rPr>
                <w:rFonts w:hint="default"/>
                <w:vertAlign w:val="baseline"/>
                <w:lang w:val="en-US" w:eastAsia="zh-CN"/>
              </w:rPr>
            </w:pPr>
            <w:r>
              <w:rPr>
                <w:rFonts w:hint="eastAsia"/>
                <w:vertAlign w:val="baseline"/>
                <w:lang w:val="en-US" w:eastAsia="zh-CN"/>
              </w:rPr>
              <w:t>2</w:t>
            </w:r>
          </w:p>
        </w:tc>
        <w:tc>
          <w:tcPr>
            <w:tcW w:w="791" w:type="dxa"/>
            <w:vAlign w:val="center"/>
          </w:tcPr>
          <w:p>
            <w:pPr>
              <w:jc w:val="center"/>
              <w:rPr>
                <w:rFonts w:hint="default"/>
                <w:vertAlign w:val="baseline"/>
                <w:lang w:val="en-US" w:eastAsia="zh-CN"/>
              </w:rPr>
            </w:pPr>
            <w:r>
              <w:rPr>
                <w:rFonts w:hint="eastAsia"/>
                <w:vertAlign w:val="baseline"/>
                <w:lang w:val="en-US" w:eastAsia="zh-CN"/>
              </w:rPr>
              <w:t>一体机</w:t>
            </w:r>
          </w:p>
        </w:tc>
        <w:tc>
          <w:tcPr>
            <w:tcW w:w="7108"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处理器：</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sz w:val="21"/>
                <w:szCs w:val="21"/>
                <w:vertAlign w:val="baseline"/>
                <w:lang w:val="en-US" w:eastAsia="zh-CN"/>
              </w:rPr>
              <w:t xml:space="preserve">I5-12400 </w:t>
            </w:r>
          </w:p>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内存：</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sz w:val="21"/>
                <w:szCs w:val="21"/>
                <w:vertAlign w:val="baseline"/>
                <w:lang w:val="en-US" w:eastAsia="zh-CN"/>
              </w:rPr>
              <w:t>8G 512GB固态硬盘 wifi   24寸显示器，</w:t>
            </w:r>
          </w:p>
          <w:p>
            <w:pPr>
              <w:jc w:val="left"/>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rPr>
              <w:t>预装软件：终端管理系统客户端</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操作系统：Windows 10企业版</w:t>
            </w:r>
          </w:p>
        </w:tc>
        <w:tc>
          <w:tcPr>
            <w:tcW w:w="783" w:type="dxa"/>
            <w:vAlign w:val="center"/>
          </w:tcPr>
          <w:p>
            <w:pPr>
              <w:jc w:val="center"/>
              <w:rPr>
                <w:rFonts w:hint="default"/>
                <w:vertAlign w:val="baseline"/>
                <w:lang w:val="en-US" w:eastAsia="zh-CN"/>
              </w:rPr>
            </w:pPr>
            <w:r>
              <w:rPr>
                <w:rFonts w:hint="eastAsia"/>
                <w:vertAlign w:val="baseline"/>
                <w:lang w:val="en-US" w:eastAsia="zh-CN"/>
              </w:rPr>
              <w:t>台</w:t>
            </w:r>
          </w:p>
        </w:tc>
        <w:tc>
          <w:tcPr>
            <w:tcW w:w="783" w:type="dxa"/>
            <w:vAlign w:val="center"/>
          </w:tcPr>
          <w:p>
            <w:pPr>
              <w:jc w:val="center"/>
              <w:rPr>
                <w:rFonts w:hint="eastAsia"/>
                <w:vertAlign w:val="baseline"/>
                <w:lang w:val="en-US" w:eastAsia="zh-CN"/>
              </w:rPr>
            </w:pPr>
            <w:r>
              <w:rPr>
                <w:rFonts w:hint="eastAsia"/>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535" w:type="dxa"/>
            <w:vAlign w:val="center"/>
          </w:tcPr>
          <w:p>
            <w:pPr>
              <w:jc w:val="center"/>
              <w:rPr>
                <w:rFonts w:hint="default"/>
                <w:vertAlign w:val="baseline"/>
                <w:lang w:val="en-US" w:eastAsia="zh-CN"/>
              </w:rPr>
            </w:pPr>
            <w:r>
              <w:rPr>
                <w:rFonts w:hint="eastAsia"/>
                <w:vertAlign w:val="baseline"/>
                <w:lang w:val="en-US" w:eastAsia="zh-CN"/>
              </w:rPr>
              <w:t>3</w:t>
            </w:r>
          </w:p>
        </w:tc>
        <w:tc>
          <w:tcPr>
            <w:tcW w:w="791" w:type="dxa"/>
            <w:vAlign w:val="center"/>
          </w:tcPr>
          <w:p>
            <w:pPr>
              <w:jc w:val="center"/>
              <w:rPr>
                <w:rFonts w:hint="default"/>
                <w:vertAlign w:val="baseline"/>
                <w:lang w:val="en-US" w:eastAsia="zh-CN"/>
              </w:rPr>
            </w:pPr>
            <w:r>
              <w:rPr>
                <w:rFonts w:hint="eastAsia"/>
                <w:vertAlign w:val="baseline"/>
                <w:lang w:val="en-US" w:eastAsia="zh-CN"/>
              </w:rPr>
              <w:t>医生工作中打印机</w:t>
            </w:r>
          </w:p>
        </w:tc>
        <w:tc>
          <w:tcPr>
            <w:tcW w:w="7108" w:type="dxa"/>
            <w:vAlign w:val="center"/>
          </w:tcPr>
          <w:p>
            <w:pPr>
              <w:widowControl/>
              <w:rPr>
                <w:rFonts w:hint="eastAsia" w:ascii="宋体" w:hAnsi="宋体" w:eastAsia="宋体" w:cs="宋体"/>
                <w:bCs/>
                <w:kern w:val="0"/>
                <w:sz w:val="21"/>
                <w:szCs w:val="21"/>
              </w:rPr>
            </w:pPr>
            <w:r>
              <w:rPr>
                <w:rFonts w:hint="eastAsia" w:ascii="宋体" w:hAnsi="宋体" w:eastAsia="宋体" w:cs="宋体"/>
                <w:bCs/>
                <w:kern w:val="0"/>
                <w:sz w:val="21"/>
                <w:szCs w:val="21"/>
              </w:rPr>
              <w:t xml:space="preserve">打印速度: 约34 ppm, 15 ipm; </w:t>
            </w:r>
          </w:p>
          <w:p>
            <w:pPr>
              <w:widowControl/>
              <w:rPr>
                <w:rFonts w:hint="eastAsia" w:ascii="宋体" w:hAnsi="宋体" w:eastAsia="宋体" w:cs="宋体"/>
                <w:bCs/>
                <w:kern w:val="0"/>
                <w:sz w:val="21"/>
                <w:szCs w:val="21"/>
              </w:rPr>
            </w:pPr>
            <w:r>
              <w:rPr>
                <w:rFonts w:hint="eastAsia" w:ascii="宋体" w:hAnsi="宋体" w:eastAsia="宋体" w:cs="宋体"/>
                <w:bCs/>
                <w:kern w:val="0"/>
                <w:sz w:val="21"/>
                <w:szCs w:val="21"/>
              </w:rPr>
              <w:t xml:space="preserve">最大分辨率: 1440 x 720 dpi </w:t>
            </w:r>
          </w:p>
          <w:p>
            <w:pPr>
              <w:widowControl/>
              <w:rPr>
                <w:rFonts w:hint="eastAsia" w:ascii="宋体" w:hAnsi="宋体" w:eastAsia="宋体" w:cs="宋体"/>
                <w:bCs/>
                <w:kern w:val="0"/>
                <w:sz w:val="21"/>
                <w:szCs w:val="21"/>
              </w:rPr>
            </w:pPr>
            <w:r>
              <w:rPr>
                <w:rFonts w:hint="eastAsia" w:ascii="宋体" w:hAnsi="宋体" w:eastAsia="宋体" w:cs="宋体"/>
                <w:bCs/>
                <w:kern w:val="0"/>
                <w:sz w:val="21"/>
                <w:szCs w:val="21"/>
              </w:rPr>
              <w:t>最大月负荷: 5,000页;</w:t>
            </w:r>
          </w:p>
          <w:p>
            <w:pPr>
              <w:widowControl/>
              <w:rPr>
                <w:rFonts w:hint="eastAsia" w:ascii="宋体" w:hAnsi="宋体" w:eastAsia="宋体" w:cs="宋体"/>
                <w:bCs/>
                <w:kern w:val="0"/>
                <w:sz w:val="21"/>
                <w:szCs w:val="21"/>
              </w:rPr>
            </w:pPr>
            <w:r>
              <w:rPr>
                <w:rFonts w:hint="eastAsia" w:ascii="宋体" w:hAnsi="宋体" w:eastAsia="宋体" w:cs="宋体"/>
                <w:bCs/>
                <w:kern w:val="0"/>
                <w:sz w:val="21"/>
                <w:szCs w:val="21"/>
              </w:rPr>
              <w:t>网络接口:有线/无线网络接口；</w:t>
            </w:r>
          </w:p>
          <w:p>
            <w:pPr>
              <w:widowControl/>
              <w:rPr>
                <w:rFonts w:hint="eastAsia" w:ascii="宋体" w:hAnsi="宋体" w:eastAsia="宋体" w:cs="宋体"/>
                <w:bCs/>
                <w:kern w:val="0"/>
                <w:sz w:val="21"/>
                <w:szCs w:val="21"/>
              </w:rPr>
            </w:pPr>
            <w:r>
              <w:rPr>
                <w:rFonts w:hint="eastAsia" w:ascii="宋体" w:hAnsi="宋体" w:eastAsia="宋体" w:cs="宋体"/>
                <w:bCs/>
                <w:kern w:val="0"/>
                <w:sz w:val="21"/>
                <w:szCs w:val="21"/>
              </w:rPr>
              <w:t>耗电量：打印模式：大约 13 W  ；</w:t>
            </w:r>
          </w:p>
          <w:p>
            <w:pPr>
              <w:widowControl/>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rPr>
              <w:t>环保：没有碳粉，臭氧等危害物质产生；</w:t>
            </w:r>
          </w:p>
        </w:tc>
        <w:tc>
          <w:tcPr>
            <w:tcW w:w="783" w:type="dxa"/>
            <w:vAlign w:val="center"/>
          </w:tcPr>
          <w:p>
            <w:pPr>
              <w:jc w:val="center"/>
              <w:rPr>
                <w:rFonts w:hint="default"/>
                <w:vertAlign w:val="baseline"/>
                <w:lang w:val="en-US" w:eastAsia="zh-CN"/>
              </w:rPr>
            </w:pPr>
            <w:r>
              <w:rPr>
                <w:rFonts w:hint="eastAsia"/>
                <w:vertAlign w:val="baseline"/>
                <w:lang w:val="en-US" w:eastAsia="zh-CN"/>
              </w:rPr>
              <w:t>台</w:t>
            </w:r>
          </w:p>
        </w:tc>
        <w:tc>
          <w:tcPr>
            <w:tcW w:w="783" w:type="dxa"/>
            <w:vAlign w:val="center"/>
          </w:tcPr>
          <w:p>
            <w:pPr>
              <w:jc w:val="center"/>
              <w:rPr>
                <w:rFonts w:hint="eastAsia"/>
                <w:vertAlign w:val="baseline"/>
                <w:lang w:val="en-US" w:eastAsia="zh-CN"/>
              </w:rPr>
            </w:pPr>
            <w:r>
              <w:rPr>
                <w:rFonts w:hint="eastAsia"/>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35" w:type="dxa"/>
            <w:vAlign w:val="center"/>
          </w:tcPr>
          <w:p>
            <w:pPr>
              <w:jc w:val="center"/>
              <w:rPr>
                <w:rFonts w:hint="default"/>
                <w:vertAlign w:val="baseline"/>
                <w:lang w:val="en-US" w:eastAsia="zh-CN"/>
              </w:rPr>
            </w:pPr>
            <w:r>
              <w:rPr>
                <w:rFonts w:hint="eastAsia"/>
                <w:vertAlign w:val="baseline"/>
                <w:lang w:val="en-US" w:eastAsia="zh-CN"/>
              </w:rPr>
              <w:t>4</w:t>
            </w:r>
          </w:p>
        </w:tc>
        <w:tc>
          <w:tcPr>
            <w:tcW w:w="791" w:type="dxa"/>
            <w:vAlign w:val="center"/>
          </w:tcPr>
          <w:p>
            <w:pPr>
              <w:jc w:val="center"/>
              <w:rPr>
                <w:rFonts w:hint="default"/>
                <w:vertAlign w:val="baseline"/>
                <w:lang w:val="en-US" w:eastAsia="zh-CN"/>
              </w:rPr>
            </w:pPr>
            <w:r>
              <w:rPr>
                <w:rFonts w:hint="eastAsia"/>
                <w:vertAlign w:val="baseline"/>
                <w:lang w:val="en-US" w:eastAsia="zh-CN"/>
              </w:rPr>
              <w:t>护士工作站打印机</w:t>
            </w:r>
          </w:p>
        </w:tc>
        <w:tc>
          <w:tcPr>
            <w:tcW w:w="7108" w:type="dxa"/>
            <w:vAlign w:val="center"/>
          </w:tcPr>
          <w:p>
            <w:pPr>
              <w:jc w:val="both"/>
              <w:rPr>
                <w:rFonts w:hint="eastAsia" w:ascii="宋体" w:hAnsi="宋体" w:eastAsia="宋体" w:cs="宋体"/>
                <w:bCs/>
                <w:kern w:val="0"/>
                <w:sz w:val="21"/>
                <w:szCs w:val="21"/>
              </w:rPr>
            </w:pPr>
            <w:r>
              <w:rPr>
                <w:rFonts w:hint="eastAsia" w:ascii="宋体" w:hAnsi="宋体" w:eastAsia="宋体" w:cs="宋体"/>
                <w:bCs/>
                <w:kern w:val="0"/>
                <w:sz w:val="21"/>
                <w:szCs w:val="21"/>
              </w:rPr>
              <w:t>打印速度：黑白约13ipm，彩色约6.8ipm（A4 普通模式）</w:t>
            </w:r>
          </w:p>
          <w:p>
            <w:pPr>
              <w:jc w:val="both"/>
              <w:rPr>
                <w:rFonts w:hint="eastAsia" w:ascii="宋体" w:hAnsi="宋体" w:eastAsia="宋体" w:cs="宋体"/>
                <w:sz w:val="21"/>
                <w:szCs w:val="21"/>
                <w:vertAlign w:val="baseline"/>
                <w:lang w:val="en-US" w:eastAsia="zh-CN"/>
              </w:rPr>
            </w:pPr>
            <w:r>
              <w:rPr>
                <w:rFonts w:hint="eastAsia" w:ascii="宋体" w:hAnsi="宋体" w:eastAsia="宋体" w:cs="宋体"/>
                <w:bCs/>
                <w:kern w:val="0"/>
                <w:sz w:val="21"/>
                <w:szCs w:val="21"/>
              </w:rPr>
              <w:t>进纸器容量：底部纸盒：250 页，候补纸盒100页，A4 普通纸(80g/m2)；支持有线、无线网络连接</w:t>
            </w:r>
            <w:r>
              <w:rPr>
                <w:rFonts w:hint="eastAsia" w:ascii="宋体" w:hAnsi="宋体" w:eastAsia="宋体" w:cs="宋体"/>
                <w:sz w:val="21"/>
                <w:szCs w:val="21"/>
                <w:vertAlign w:val="baseline"/>
                <w:lang w:val="en-US" w:eastAsia="zh-CN"/>
              </w:rPr>
              <w:t>网络接口:支持USB、有线、无线网络链接</w:t>
            </w:r>
          </w:p>
        </w:tc>
        <w:tc>
          <w:tcPr>
            <w:tcW w:w="783" w:type="dxa"/>
            <w:vAlign w:val="center"/>
          </w:tcPr>
          <w:p>
            <w:pPr>
              <w:jc w:val="center"/>
              <w:rPr>
                <w:rFonts w:hint="default"/>
                <w:vertAlign w:val="baseline"/>
                <w:lang w:val="en-US" w:eastAsia="zh-CN"/>
              </w:rPr>
            </w:pPr>
            <w:r>
              <w:rPr>
                <w:rFonts w:hint="eastAsia"/>
                <w:vertAlign w:val="baseline"/>
                <w:lang w:val="en-US" w:eastAsia="zh-CN"/>
              </w:rPr>
              <w:t>台</w:t>
            </w:r>
          </w:p>
        </w:tc>
        <w:tc>
          <w:tcPr>
            <w:tcW w:w="783" w:type="dxa"/>
            <w:vAlign w:val="center"/>
          </w:tcPr>
          <w:p>
            <w:pPr>
              <w:jc w:val="center"/>
              <w:rPr>
                <w:rFonts w:hint="eastAsia"/>
                <w:vertAlign w:val="baseline"/>
                <w:lang w:val="en-US" w:eastAsia="zh-CN"/>
              </w:rPr>
            </w:pPr>
            <w:r>
              <w:rPr>
                <w:rFonts w:hint="eastAsia"/>
                <w:vertAlign w:val="baseline"/>
                <w:lang w:val="en-US" w:eastAsia="zh-CN"/>
              </w:rPr>
              <w:t>60</w:t>
            </w:r>
          </w:p>
        </w:tc>
      </w:tr>
    </w:tbl>
    <w:p>
      <w:pPr>
        <w:pStyle w:val="5"/>
        <w:ind w:left="0" w:leftChars="0" w:firstLine="0" w:firstLineChars="0"/>
        <w:rPr>
          <w:rFonts w:hint="default" w:ascii="仿宋" w:hAnsi="仿宋" w:eastAsia="仿宋" w:cs="仿宋"/>
          <w:b/>
          <w:bCs/>
          <w:color w:val="FF0000"/>
          <w:sz w:val="30"/>
          <w:szCs w:val="30"/>
          <w:lang w:val="en-US" w:eastAsia="zh-CN"/>
        </w:rPr>
      </w:pPr>
      <w:r>
        <mc:AlternateContent>
          <mc:Choice Requires="wps">
            <w:drawing>
              <wp:anchor distT="0" distB="0" distL="114300" distR="114300" simplePos="0" relativeHeight="251659264" behindDoc="0" locked="0" layoutInCell="1" allowOverlap="1">
                <wp:simplePos x="0" y="0"/>
                <wp:positionH relativeFrom="page">
                  <wp:posOffset>5386070</wp:posOffset>
                </wp:positionH>
                <wp:positionV relativeFrom="page">
                  <wp:posOffset>5997575</wp:posOffset>
                </wp:positionV>
                <wp:extent cx="207645" cy="22606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207645" cy="226060"/>
                        </a:xfrm>
                        <a:prstGeom prst="rect">
                          <a:avLst/>
                        </a:prstGeom>
                        <a:noFill/>
                        <a:ln>
                          <a:noFill/>
                        </a:ln>
                      </wps:spPr>
                      <wps:txbx>
                        <w:txbxContent>
                          <w:p>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wps:txbx>
                      <wps:bodyPr lIns="0" tIns="0" rIns="0" bIns="0" upright="1"/>
                    </wps:wsp>
                  </a:graphicData>
                </a:graphic>
              </wp:anchor>
            </w:drawing>
          </mc:Choice>
          <mc:Fallback>
            <w:pict>
              <v:shape id="_x0000_s1026" o:spid="_x0000_s1026" o:spt="202" type="#_x0000_t202" style="position:absolute;left:0pt;flip:x;margin-left:424.1pt;margin-top:472.25pt;height:17.8pt;width:16.35pt;mso-position-horizontal-relative:page;mso-position-vertical-relative:page;z-index:251659264;mso-width-relative:page;mso-height-relative:page;" filled="f" stroked="f" coordsize="21600,21600" o:gfxdata="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C9HUrZAAAACwEAAA8AAAAAAAAAAQAgAAAAIgAAAGRycy9kb3ducmV2Lnht&#10;bFBLAQIUABQAAAAIAIdO4kCZlsOEvwEAAHsDAAAOAAAAAAAAAAEAIAAAACgBAABkcnMvZTJvRG9j&#10;LnhtbFBLBQYAAAAABgAGAFkBAABZBQAAAAA=&#10;">
                <v:fill on="f" focussize="0,0"/>
                <v:stroke on="f"/>
                <v:imagedata o:title=""/>
                <o:lock v:ext="edit" aspectratio="f"/>
                <v:textbox inset="0mm,0mm,0mm,0mm">
                  <w:txbxContent>
                    <w:p>
                      <w:pPr>
                        <w:spacing w:before="20" w:line="234" w:lineRule="auto"/>
                        <w:ind w:left="20" w:right="20"/>
                        <w:rPr>
                          <w:rFonts w:ascii="宋体" w:hAnsi="宋体" w:eastAsia="宋体" w:cs="宋体"/>
                          <w:sz w:val="19"/>
                          <w:szCs w:val="19"/>
                        </w:rPr>
                      </w:pPr>
                      <w:r>
                        <w:rPr>
                          <w:rFonts w:ascii="宋体" w:hAnsi="宋体" w:eastAsia="宋体" w:cs="宋体"/>
                          <w:spacing w:val="8"/>
                          <w:sz w:val="19"/>
                          <w:szCs w:val="19"/>
                        </w:rPr>
                        <w:t xml:space="preserve"> 为了保证本次配置设备的统一性，兼容性，方便日后的维护</w:t>
                      </w:r>
                      <w:r>
                        <w:rPr>
                          <w:rFonts w:ascii="宋体" w:hAnsi="宋体" w:eastAsia="宋体" w:cs="宋体"/>
                          <w:sz w:val="19"/>
                          <w:szCs w:val="19"/>
                        </w:rPr>
                        <w:t xml:space="preserve"> </w:t>
                      </w:r>
                      <w:r>
                        <w:rPr>
                          <w:rFonts w:ascii="宋体" w:hAnsi="宋体" w:eastAsia="宋体" w:cs="宋体"/>
                          <w:spacing w:val="12"/>
                          <w:sz w:val="19"/>
                          <w:szCs w:val="19"/>
                        </w:rPr>
                        <w:t>管</w:t>
                      </w:r>
                      <w:r>
                        <w:rPr>
                          <w:rFonts w:ascii="宋体" w:hAnsi="宋体" w:eastAsia="宋体" w:cs="宋体"/>
                          <w:spacing w:val="7"/>
                          <w:sz w:val="19"/>
                          <w:szCs w:val="19"/>
                        </w:rPr>
                        <w:t>理 要求与云服务器同  品牌</w:t>
                      </w:r>
                    </w:p>
                  </w:txbxContent>
                </v:textbox>
              </v:shape>
            </w:pict>
          </mc:Fallback>
        </mc:AlternateContent>
      </w:r>
      <w:r>
        <w:rPr>
          <w:rFonts w:hint="eastAsia"/>
          <w:lang w:eastAsia="zh-CN"/>
        </w:rPr>
        <w:t>注：</w:t>
      </w:r>
      <w:r>
        <w:rPr>
          <w:rFonts w:hint="eastAsia" w:ascii="仿宋" w:hAnsi="仿宋" w:eastAsia="仿宋" w:cs="仿宋"/>
          <w:b/>
          <w:bCs/>
          <w:color w:val="FF0000"/>
          <w:sz w:val="30"/>
          <w:szCs w:val="30"/>
          <w:lang w:val="en-US" w:eastAsia="zh-CN"/>
        </w:rPr>
        <w:t>1、</w:t>
      </w:r>
      <w:r>
        <w:rPr>
          <w:rFonts w:hint="eastAsia" w:ascii="仿宋" w:hAnsi="仿宋" w:eastAsia="仿宋" w:cs="仿宋"/>
          <w:b/>
          <w:bCs/>
          <w:color w:val="FF0000"/>
          <w:sz w:val="30"/>
          <w:szCs w:val="30"/>
          <w:lang w:eastAsia="zh-CN"/>
        </w:rPr>
        <w:t>本项目核心产品为</w:t>
      </w:r>
      <w:r>
        <w:rPr>
          <w:rFonts w:hint="eastAsia" w:ascii="仿宋" w:hAnsi="仿宋" w:eastAsia="仿宋" w:cs="仿宋"/>
          <w:b/>
          <w:bCs/>
          <w:color w:val="FF0000"/>
          <w:sz w:val="30"/>
          <w:szCs w:val="30"/>
          <w:lang w:val="en-US" w:eastAsia="zh-CN"/>
        </w:rPr>
        <w:t>电脑</w:t>
      </w:r>
    </w:p>
    <w:p>
      <w:pPr>
        <w:pStyle w:val="5"/>
        <w:ind w:left="0" w:leftChars="0" w:firstLine="602" w:firstLineChars="200"/>
        <w:rPr>
          <w:rFonts w:hint="eastAsia" w:ascii="仿宋" w:hAnsi="仿宋" w:eastAsia="仿宋" w:cs="仿宋"/>
          <w:b/>
          <w:bCs/>
          <w:i w:val="0"/>
          <w:iCs w:val="0"/>
          <w:color w:val="FF0000"/>
          <w:kern w:val="0"/>
          <w:sz w:val="30"/>
          <w:szCs w:val="30"/>
          <w:u w:val="none"/>
          <w:lang w:val="en-US" w:eastAsia="zh-CN" w:bidi="ar"/>
        </w:rPr>
      </w:pPr>
      <w:r>
        <w:rPr>
          <w:rFonts w:hint="eastAsia" w:ascii="仿宋" w:hAnsi="仿宋" w:eastAsia="仿宋" w:cs="仿宋"/>
          <w:b/>
          <w:bCs/>
          <w:color w:val="FF0000"/>
          <w:sz w:val="30"/>
          <w:szCs w:val="30"/>
          <w:lang w:val="en-US" w:eastAsia="zh-CN"/>
        </w:rPr>
        <w:t>2、本项目所属行业为工业；</w:t>
      </w:r>
    </w:p>
    <w:p>
      <w:pPr>
        <w:pStyle w:val="4"/>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二、综合要求</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lang w:eastAsia="zh-CN"/>
        </w:rPr>
      </w:pPr>
      <w:r>
        <w:rPr>
          <w:rFonts w:hint="eastAsia" w:ascii="仿宋_GB2312" w:hAnsi="仿宋" w:eastAsia="仿宋_GB2312"/>
          <w:sz w:val="28"/>
          <w:szCs w:val="28"/>
          <w:lang w:val="en-US" w:eastAsia="zh-CN"/>
        </w:rPr>
        <w:t>1、加“★”部分为实质性要求，必须满足，否则视为无效投标文件。</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eastAsia="zh-CN"/>
        </w:rPr>
        <w:t>谈判供应商</w:t>
      </w:r>
      <w:r>
        <w:rPr>
          <w:rFonts w:hint="eastAsia" w:ascii="仿宋_GB2312" w:hAnsi="仿宋" w:eastAsia="仿宋_GB2312"/>
          <w:sz w:val="28"/>
          <w:szCs w:val="28"/>
        </w:rPr>
        <w:t>所投货物各项指标符合或优于本次货物</w:t>
      </w:r>
      <w:r>
        <w:rPr>
          <w:rFonts w:hint="eastAsia" w:ascii="仿宋_GB2312" w:hAnsi="仿宋" w:eastAsia="仿宋_GB2312"/>
          <w:sz w:val="28"/>
          <w:szCs w:val="28"/>
          <w:lang w:eastAsia="zh-CN"/>
        </w:rPr>
        <w:t>谈判</w:t>
      </w:r>
      <w:r>
        <w:rPr>
          <w:rFonts w:hint="eastAsia" w:ascii="仿宋_GB2312" w:hAnsi="仿宋" w:eastAsia="仿宋_GB2312"/>
          <w:sz w:val="28"/>
          <w:szCs w:val="28"/>
        </w:rPr>
        <w:t>的技术条件要求、国家标准、行业标准及规范。</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ascii="仿宋_GB2312" w:hAnsi="仿宋" w:eastAsia="仿宋_GB2312"/>
          <w:kern w:val="0"/>
          <w:sz w:val="28"/>
          <w:szCs w:val="28"/>
        </w:rPr>
      </w:pPr>
      <w:r>
        <w:rPr>
          <w:rFonts w:hint="eastAsia" w:ascii="仿宋_GB2312" w:hAnsi="华文仿宋" w:eastAsia="仿宋_GB2312" w:cs="Tahoma"/>
          <w:color w:val="000000"/>
          <w:sz w:val="28"/>
          <w:szCs w:val="28"/>
          <w:lang w:val="en-US" w:eastAsia="zh-CN"/>
        </w:rPr>
        <w:t>3</w:t>
      </w:r>
      <w:r>
        <w:rPr>
          <w:rFonts w:hint="eastAsia" w:ascii="仿宋_GB2312" w:hAnsi="华文仿宋" w:eastAsia="仿宋_GB2312" w:cs="Tahoma"/>
          <w:color w:val="000000"/>
          <w:sz w:val="28"/>
          <w:szCs w:val="28"/>
          <w:lang w:val="zh-CN"/>
        </w:rPr>
        <w:t>、</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必须按</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文件各章节条款的内容和顺序逐项作出实质性应答。无论</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文件如何表述，</w:t>
      </w:r>
      <w:r>
        <w:rPr>
          <w:rFonts w:hint="eastAsia" w:ascii="仿宋_GB2312" w:hAnsi="仿宋" w:eastAsia="仿宋_GB2312"/>
          <w:kern w:val="0"/>
          <w:sz w:val="28"/>
          <w:szCs w:val="28"/>
          <w:lang w:eastAsia="zh-CN"/>
        </w:rPr>
        <w:t>谈判小组</w:t>
      </w:r>
      <w:r>
        <w:rPr>
          <w:rFonts w:hint="eastAsia" w:ascii="仿宋_GB2312" w:hAnsi="仿宋" w:eastAsia="仿宋_GB2312"/>
          <w:kern w:val="0"/>
          <w:sz w:val="28"/>
          <w:szCs w:val="28"/>
        </w:rPr>
        <w:t>欢迎</w:t>
      </w:r>
      <w:r>
        <w:rPr>
          <w:rFonts w:hint="eastAsia" w:ascii="仿宋_GB2312" w:hAnsi="仿宋" w:eastAsia="仿宋_GB2312"/>
          <w:sz w:val="28"/>
          <w:szCs w:val="28"/>
          <w:lang w:eastAsia="zh-CN"/>
        </w:rPr>
        <w:t>谈判供应商</w:t>
      </w:r>
      <w:r>
        <w:rPr>
          <w:rFonts w:hint="eastAsia" w:ascii="仿宋_GB2312" w:hAnsi="仿宋" w:eastAsia="仿宋_GB2312"/>
          <w:kern w:val="0"/>
          <w:sz w:val="28"/>
          <w:szCs w:val="28"/>
        </w:rPr>
        <w:t>尽可能用数据响应技术要求。所投产品的技术要求与所规定货物技术要求的任何偏离都必</w:t>
      </w:r>
      <w:r>
        <w:rPr>
          <w:rFonts w:hint="eastAsia" w:ascii="仿宋_GB2312" w:hAnsi="仿宋" w:eastAsia="仿宋_GB2312"/>
          <w:color w:val="000000"/>
          <w:kern w:val="0"/>
          <w:sz w:val="28"/>
          <w:szCs w:val="28"/>
        </w:rPr>
        <w:t>须逐条列</w:t>
      </w:r>
      <w:r>
        <w:rPr>
          <w:rFonts w:hint="eastAsia" w:ascii="仿宋_GB2312" w:hAnsi="仿宋" w:eastAsia="仿宋_GB2312"/>
          <w:kern w:val="0"/>
          <w:sz w:val="28"/>
          <w:szCs w:val="28"/>
        </w:rPr>
        <w:t>入投标文件中的技术规格偏离表中，任何不按此要求的</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文件将承担被拒绝接受的风险。</w:t>
      </w:r>
      <w:r>
        <w:rPr>
          <w:rFonts w:hint="eastAsia" w:ascii="仿宋_GB2312" w:hAnsi="仿宋" w:eastAsia="仿宋_GB2312"/>
          <w:kern w:val="0"/>
          <w:sz w:val="28"/>
          <w:szCs w:val="28"/>
          <w:lang w:eastAsia="zh-CN"/>
        </w:rPr>
        <w:t>成交</w:t>
      </w:r>
      <w:r>
        <w:rPr>
          <w:rFonts w:hint="eastAsia" w:ascii="仿宋_GB2312" w:hAnsi="仿宋" w:eastAsia="仿宋_GB2312"/>
          <w:kern w:val="0"/>
          <w:sz w:val="28"/>
          <w:szCs w:val="28"/>
        </w:rPr>
        <w:t>后，</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在合同谈判中的任何偏离都不得超越此偏离表中已被采购人确认的条款。</w:t>
      </w:r>
    </w:p>
    <w:p>
      <w:pPr>
        <w:keepNext w:val="0"/>
        <w:keepLines w:val="0"/>
        <w:pageBreakBefore w:val="0"/>
        <w:widowControl/>
        <w:tabs>
          <w:tab w:val="left" w:pos="210"/>
        </w:tabs>
        <w:kinsoku/>
        <w:wordWrap/>
        <w:overflowPunct/>
        <w:topLinePunct w:val="0"/>
        <w:bidi w:val="0"/>
        <w:snapToGrid/>
        <w:spacing w:line="440" w:lineRule="exact"/>
        <w:ind w:firstLine="560" w:firstLineChars="200"/>
        <w:rPr>
          <w:rFonts w:hint="eastAsia"/>
        </w:rPr>
      </w:pPr>
      <w:r>
        <w:rPr>
          <w:rFonts w:hint="eastAsia" w:ascii="仿宋_GB2312" w:hAnsi="仿宋" w:eastAsia="仿宋_GB2312"/>
          <w:sz w:val="28"/>
          <w:szCs w:val="28"/>
          <w:lang w:val="en-US" w:eastAsia="zh-CN"/>
        </w:rPr>
        <w:t>4、投标人所投办公设备及办公家具类货物（指满足单位基本办公需要普遍适用的设备和家具，不含专业类设备和家具）报价须执行神办发【2014】36号关于印发《神木县机关单位办公设备和办公家具购置标准》通知的规定，清单详见附件。</w:t>
      </w:r>
    </w:p>
    <w:p>
      <w:pPr>
        <w:keepNext w:val="0"/>
        <w:keepLines w:val="0"/>
        <w:pageBreakBefore w:val="0"/>
        <w:widowControl/>
        <w:kinsoku/>
        <w:wordWrap/>
        <w:overflowPunct/>
        <w:topLinePunct w:val="0"/>
        <w:bidi w:val="0"/>
        <w:snapToGrid/>
        <w:spacing w:line="440" w:lineRule="exact"/>
        <w:ind w:right="73" w:rightChars="26" w:firstLine="560" w:firstLineChars="200"/>
        <w:rPr>
          <w:rFonts w:hint="eastAsia" w:ascii="仿宋_GB2312" w:hAnsi="仿宋" w:eastAsia="仿宋_GB2312"/>
          <w:color w:val="FF0000"/>
          <w:kern w:val="0"/>
          <w:sz w:val="28"/>
          <w:szCs w:val="28"/>
        </w:rPr>
      </w:pPr>
      <w:r>
        <w:rPr>
          <w:rFonts w:hint="eastAsia" w:ascii="仿宋_GB2312" w:hAnsi="仿宋" w:eastAsia="仿宋_GB2312"/>
          <w:color w:val="000000"/>
          <w:kern w:val="0"/>
          <w:sz w:val="28"/>
          <w:szCs w:val="28"/>
          <w:lang w:val="en-US" w:eastAsia="zh-CN"/>
        </w:rPr>
        <w:t>5</w:t>
      </w:r>
      <w:r>
        <w:rPr>
          <w:rFonts w:hint="eastAsia" w:ascii="仿宋_GB2312" w:hAnsi="仿宋" w:eastAsia="仿宋_GB2312"/>
          <w:color w:val="000000"/>
          <w:kern w:val="0"/>
          <w:sz w:val="28"/>
          <w:szCs w:val="28"/>
        </w:rPr>
        <w:t>、</w:t>
      </w:r>
      <w:r>
        <w:rPr>
          <w:rFonts w:hint="eastAsia" w:ascii="仿宋_GB2312" w:hAnsi="仿宋" w:eastAsia="仿宋_GB2312"/>
          <w:kern w:val="0"/>
          <w:sz w:val="28"/>
          <w:szCs w:val="28"/>
          <w:lang w:eastAsia="zh-CN"/>
        </w:rPr>
        <w:t>谈判供应商</w:t>
      </w:r>
      <w:r>
        <w:rPr>
          <w:rFonts w:hint="eastAsia" w:ascii="仿宋_GB2312" w:hAnsi="仿宋" w:eastAsia="仿宋_GB2312"/>
          <w:kern w:val="0"/>
          <w:sz w:val="28"/>
          <w:szCs w:val="28"/>
        </w:rPr>
        <w:t>人应在</w:t>
      </w:r>
      <w:r>
        <w:rPr>
          <w:rFonts w:hint="eastAsia" w:ascii="仿宋_GB2312" w:hAnsi="仿宋" w:eastAsia="仿宋_GB2312"/>
          <w:kern w:val="0"/>
          <w:sz w:val="28"/>
          <w:szCs w:val="28"/>
          <w:lang w:eastAsia="zh-CN"/>
        </w:rPr>
        <w:t>谈判</w:t>
      </w:r>
      <w:r>
        <w:rPr>
          <w:rFonts w:hint="eastAsia" w:ascii="仿宋_GB2312" w:hAnsi="仿宋" w:eastAsia="仿宋_GB2312"/>
          <w:kern w:val="0"/>
          <w:sz w:val="28"/>
          <w:szCs w:val="28"/>
        </w:rPr>
        <w:t>文件中指明所投产品</w:t>
      </w:r>
      <w:r>
        <w:rPr>
          <w:rFonts w:hint="eastAsia" w:ascii="仿宋_GB2312" w:hAnsi="仿宋" w:eastAsia="仿宋_GB2312"/>
          <w:kern w:val="0"/>
          <w:sz w:val="28"/>
          <w:szCs w:val="28"/>
          <w:lang w:val="zh-CN"/>
        </w:rPr>
        <w:t>主要技术指标和性能及</w:t>
      </w:r>
      <w:r>
        <w:rPr>
          <w:rFonts w:hint="eastAsia" w:ascii="仿宋_GB2312" w:hAnsi="仿宋" w:eastAsia="仿宋_GB2312"/>
          <w:kern w:val="0"/>
          <w:sz w:val="28"/>
          <w:szCs w:val="28"/>
        </w:rPr>
        <w:t>品牌、规格、型号、制造商</w:t>
      </w:r>
      <w:r>
        <w:rPr>
          <w:rFonts w:hint="eastAsia" w:ascii="仿宋_GB2312" w:hAnsi="仿宋" w:eastAsia="仿宋_GB2312"/>
          <w:kern w:val="0"/>
          <w:sz w:val="28"/>
          <w:szCs w:val="28"/>
          <w:lang w:eastAsia="zh-CN"/>
        </w:rPr>
        <w:t>的详细说明、</w:t>
      </w:r>
      <w:r>
        <w:rPr>
          <w:rFonts w:hint="eastAsia" w:ascii="仿宋_GB2312" w:hAnsi="仿宋" w:eastAsia="仿宋_GB2312"/>
          <w:kern w:val="0"/>
          <w:sz w:val="28"/>
          <w:szCs w:val="28"/>
          <w:lang w:val="zh-CN" w:eastAsia="zh-CN"/>
        </w:rPr>
        <w:t>详细的交货清单、验收标准、技术资料以及必须的备件。</w:t>
      </w:r>
    </w:p>
    <w:p>
      <w:pPr>
        <w:keepNext w:val="0"/>
        <w:keepLines w:val="0"/>
        <w:pageBreakBefore w:val="0"/>
        <w:widowControl/>
        <w:kinsoku/>
        <w:wordWrap/>
        <w:overflowPunct/>
        <w:topLinePunct w:val="0"/>
        <w:bidi w:val="0"/>
        <w:snapToGrid/>
        <w:spacing w:line="440" w:lineRule="exact"/>
        <w:ind w:firstLine="560" w:firstLineChars="200"/>
        <w:rPr>
          <w:rFonts w:hint="eastAsia" w:ascii="仿宋_GB2312" w:hAnsi="仿宋" w:eastAsia="仿宋_GB2312"/>
          <w:sz w:val="28"/>
          <w:szCs w:val="28"/>
        </w:rPr>
      </w:pP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rPr>
        <w:t>、所供货物必须为原装品牌产品。</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color w:val="000000"/>
          <w:kern w:val="0"/>
          <w:sz w:val="28"/>
          <w:szCs w:val="28"/>
        </w:rPr>
      </w:pPr>
      <w:r>
        <w:rPr>
          <w:rFonts w:hint="eastAsia" w:ascii="仿宋_GB2312" w:hAnsi="仿宋" w:eastAsia="仿宋_GB2312"/>
          <w:color w:val="000000"/>
          <w:kern w:val="0"/>
          <w:sz w:val="28"/>
          <w:szCs w:val="28"/>
          <w:lang w:val="en-US" w:eastAsia="zh-CN"/>
        </w:rPr>
        <w:t>7</w:t>
      </w:r>
      <w:r>
        <w:rPr>
          <w:rFonts w:hint="eastAsia" w:ascii="仿宋_GB2312" w:hAnsi="仿宋" w:eastAsia="仿宋_GB2312"/>
          <w:color w:val="000000"/>
          <w:kern w:val="0"/>
          <w:sz w:val="28"/>
          <w:szCs w:val="28"/>
        </w:rPr>
        <w:t>、货物到场经需方初验合格后方可</w:t>
      </w:r>
      <w:r>
        <w:rPr>
          <w:rFonts w:hint="eastAsia" w:ascii="仿宋_GB2312" w:hAnsi="仿宋" w:eastAsia="仿宋_GB2312"/>
          <w:color w:val="000000"/>
          <w:kern w:val="0"/>
          <w:sz w:val="28"/>
          <w:szCs w:val="28"/>
          <w:lang w:eastAsia="zh-CN"/>
        </w:rPr>
        <w:t>交验</w:t>
      </w:r>
      <w:r>
        <w:rPr>
          <w:rFonts w:hint="eastAsia" w:ascii="仿宋_GB2312" w:hAnsi="仿宋" w:eastAsia="仿宋_GB2312"/>
          <w:color w:val="000000"/>
          <w:kern w:val="0"/>
          <w:sz w:val="28"/>
          <w:szCs w:val="28"/>
        </w:rPr>
        <w:t>。</w:t>
      </w:r>
    </w:p>
    <w:p>
      <w:pPr>
        <w:keepNext w:val="0"/>
        <w:keepLines w:val="0"/>
        <w:pageBreakBefore w:val="0"/>
        <w:widowControl/>
        <w:tabs>
          <w:tab w:val="left" w:pos="210"/>
        </w:tabs>
        <w:kinsoku/>
        <w:wordWrap/>
        <w:overflowPunct/>
        <w:topLinePunct w:val="0"/>
        <w:autoSpaceDE w:val="0"/>
        <w:autoSpaceDN w:val="0"/>
        <w:bidi w:val="0"/>
        <w:adjustRightInd w:val="0"/>
        <w:snapToGrid/>
        <w:spacing w:line="44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lang w:val="en-US" w:eastAsia="zh-CN"/>
        </w:rPr>
        <w:t>8</w:t>
      </w:r>
      <w:r>
        <w:rPr>
          <w:rFonts w:hint="eastAsia" w:ascii="仿宋_GB2312" w:hAnsi="仿宋" w:eastAsia="仿宋_GB2312"/>
          <w:kern w:val="0"/>
          <w:sz w:val="28"/>
          <w:szCs w:val="28"/>
        </w:rPr>
        <w:t>、供货时资料要求：</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（1）提供货物、清单、技术资料和货物制造、执行的标准、规范的名称和代号。</w:t>
      </w:r>
    </w:p>
    <w:p>
      <w:pPr>
        <w:keepNext w:val="0"/>
        <w:keepLines w:val="0"/>
        <w:pageBreakBefore w:val="0"/>
        <w:widowControl/>
        <w:tabs>
          <w:tab w:val="left" w:pos="210"/>
          <w:tab w:val="left" w:pos="473"/>
        </w:tabs>
        <w:kinsoku/>
        <w:wordWrap/>
        <w:overflowPunct/>
        <w:topLinePunct w:val="0"/>
        <w:autoSpaceDE w:val="0"/>
        <w:autoSpaceDN w:val="0"/>
        <w:bidi w:val="0"/>
        <w:adjustRightInd w:val="0"/>
        <w:snapToGrid/>
        <w:spacing w:line="440" w:lineRule="exact"/>
        <w:ind w:firstLine="592" w:firstLineChars="200"/>
        <w:rPr>
          <w:rFonts w:hint="eastAsia" w:ascii="仿宋_GB2312" w:hAnsi="仿宋" w:eastAsia="仿宋_GB2312"/>
          <w:spacing w:val="8"/>
          <w:sz w:val="28"/>
          <w:szCs w:val="28"/>
        </w:rPr>
      </w:pPr>
      <w:r>
        <w:rPr>
          <w:rFonts w:hint="eastAsia" w:ascii="仿宋_GB2312" w:hAnsi="仿宋" w:eastAsia="仿宋_GB2312"/>
          <w:spacing w:val="8"/>
          <w:sz w:val="28"/>
          <w:szCs w:val="28"/>
        </w:rPr>
        <w:t>（2）提供货物的出厂合格证。</w:t>
      </w:r>
    </w:p>
    <w:p>
      <w:pPr>
        <w:pStyle w:val="4"/>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lang w:eastAsia="zh-CN"/>
        </w:rPr>
        <w:t>三</w:t>
      </w:r>
      <w:r>
        <w:rPr>
          <w:rFonts w:hint="eastAsia" w:ascii="仿宋" w:hAnsi="仿宋" w:eastAsia="仿宋" w:cs="Times New Roman"/>
          <w:b/>
          <w:sz w:val="28"/>
          <w:szCs w:val="28"/>
        </w:rPr>
        <w:t>、保修期</w:t>
      </w:r>
    </w:p>
    <w:p>
      <w:pPr>
        <w:keepNext w:val="0"/>
        <w:keepLines w:val="0"/>
        <w:pageBreakBefore w:val="0"/>
        <w:widowControl/>
        <w:tabs>
          <w:tab w:val="left" w:pos="567"/>
          <w:tab w:val="left" w:pos="2694"/>
          <w:tab w:val="left" w:pos="5103"/>
          <w:tab w:val="left" w:pos="7513"/>
        </w:tabs>
        <w:kinsoku/>
        <w:wordWrap/>
        <w:overflowPunct/>
        <w:topLinePunct w:val="0"/>
        <w:bidi w:val="0"/>
        <w:adjustRightInd w:val="0"/>
        <w:snapToGrid w:val="0"/>
        <w:spacing w:line="44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eastAsia="zh-CN"/>
        </w:rPr>
        <w:t>成交</w:t>
      </w:r>
      <w:r>
        <w:rPr>
          <w:rFonts w:hint="eastAsia" w:ascii="仿宋_GB2312" w:hAnsi="仿宋" w:eastAsia="仿宋_GB2312"/>
          <w:color w:val="000000"/>
          <w:sz w:val="28"/>
          <w:szCs w:val="28"/>
        </w:rPr>
        <w:t>人须提供为期</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年的免费</w:t>
      </w:r>
      <w:r>
        <w:rPr>
          <w:rFonts w:hint="eastAsia" w:ascii="仿宋_GB2312" w:hAnsi="仿宋" w:eastAsia="仿宋_GB2312"/>
          <w:color w:val="000000"/>
          <w:sz w:val="28"/>
          <w:szCs w:val="28"/>
          <w:lang w:val="en-US" w:eastAsia="zh-CN"/>
        </w:rPr>
        <w:t>上门</w:t>
      </w:r>
      <w:r>
        <w:rPr>
          <w:rFonts w:hint="eastAsia" w:ascii="仿宋_GB2312" w:hAnsi="仿宋" w:eastAsia="仿宋_GB2312"/>
          <w:color w:val="000000"/>
          <w:sz w:val="28"/>
          <w:szCs w:val="28"/>
        </w:rPr>
        <w:t>维修（该期限自货物、安装调试完成经采购人正式验收合格后起算）并提供相应维保内容及协议。</w:t>
      </w:r>
    </w:p>
    <w:p>
      <w:pPr>
        <w:pStyle w:val="4"/>
        <w:spacing w:line="500" w:lineRule="exact"/>
        <w:ind w:firstLine="562" w:firstLineChars="200"/>
        <w:outlineLvl w:val="1"/>
        <w:rPr>
          <w:rFonts w:hint="eastAsia" w:ascii="仿宋" w:hAnsi="仿宋" w:eastAsia="仿宋" w:cs="Times New Roman"/>
          <w:b/>
          <w:sz w:val="28"/>
          <w:szCs w:val="28"/>
        </w:rPr>
      </w:pPr>
      <w:r>
        <w:rPr>
          <w:rFonts w:hint="eastAsia" w:ascii="仿宋" w:hAnsi="仿宋" w:eastAsia="仿宋" w:cs="Times New Roman"/>
          <w:b/>
          <w:sz w:val="28"/>
          <w:szCs w:val="28"/>
        </w:rPr>
        <w:t xml:space="preserve"> </w:t>
      </w:r>
      <w:r>
        <w:rPr>
          <w:rFonts w:hint="eastAsia" w:ascii="仿宋" w:hAnsi="仿宋" w:eastAsia="仿宋" w:cs="Times New Roman"/>
          <w:b/>
          <w:sz w:val="28"/>
          <w:szCs w:val="28"/>
          <w:lang w:eastAsia="zh-CN"/>
        </w:rPr>
        <w:t>四</w:t>
      </w:r>
      <w:r>
        <w:rPr>
          <w:rFonts w:hint="eastAsia" w:ascii="仿宋" w:hAnsi="仿宋" w:eastAsia="仿宋" w:cs="Times New Roman"/>
          <w:b/>
          <w:sz w:val="28"/>
          <w:szCs w:val="28"/>
        </w:rPr>
        <w:t>、</w:t>
      </w:r>
      <w:r>
        <w:rPr>
          <w:rFonts w:hint="eastAsia" w:ascii="仿宋" w:hAnsi="仿宋" w:eastAsia="仿宋" w:cs="Times New Roman"/>
          <w:b/>
          <w:sz w:val="28"/>
          <w:szCs w:val="28"/>
          <w:lang w:eastAsia="zh-CN"/>
        </w:rPr>
        <w:t>成交供应商</w:t>
      </w:r>
      <w:r>
        <w:rPr>
          <w:rFonts w:hint="eastAsia" w:ascii="仿宋" w:hAnsi="仿宋" w:eastAsia="仿宋" w:cs="Times New Roman"/>
          <w:b/>
          <w:sz w:val="28"/>
          <w:szCs w:val="28"/>
        </w:rPr>
        <w:t>的职责</w:t>
      </w:r>
    </w:p>
    <w:p>
      <w:pPr>
        <w:keepNext w:val="0"/>
        <w:keepLines w:val="0"/>
        <w:pageBreakBefore w:val="0"/>
        <w:widowControl/>
        <w:kinsoku/>
        <w:wordWrap/>
        <w:overflowPunct/>
        <w:topLinePunct w:val="0"/>
        <w:bidi w:val="0"/>
        <w:spacing w:line="440" w:lineRule="exact"/>
        <w:ind w:left="134" w:leftChars="48" w:firstLine="560" w:firstLineChars="200"/>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w:t>
      </w:r>
      <w:r>
        <w:rPr>
          <w:rFonts w:hint="eastAsia" w:ascii="仿宋_GB2312" w:hAnsi="仿宋" w:eastAsia="仿宋_GB2312"/>
          <w:sz w:val="28"/>
          <w:szCs w:val="28"/>
          <w:lang w:eastAsia="zh-CN"/>
        </w:rPr>
        <w:t>谈判</w:t>
      </w:r>
      <w:r>
        <w:rPr>
          <w:rFonts w:hint="eastAsia" w:ascii="仿宋_GB2312" w:hAnsi="仿宋" w:eastAsia="仿宋_GB2312"/>
          <w:sz w:val="28"/>
          <w:szCs w:val="28"/>
        </w:rPr>
        <w:t>文件中提供的货物、品牌和类型及主要部件必须与实际提供给采购人的产品一致，否则采购人有权利拒收并追究</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因此而给采购人造成的损失和相应的责任。</w:t>
      </w:r>
    </w:p>
    <w:p>
      <w:pPr>
        <w:keepNext w:val="0"/>
        <w:keepLines w:val="0"/>
        <w:pageBreakBefore w:val="0"/>
        <w:widowControl/>
        <w:kinsoku/>
        <w:wordWrap/>
        <w:overflowPunct/>
        <w:topLinePunct w:val="0"/>
        <w:bidi w:val="0"/>
        <w:snapToGrid w:val="0"/>
        <w:spacing w:line="440" w:lineRule="exact"/>
        <w:rPr>
          <w:rFonts w:hint="eastAsia" w:ascii="仿宋_GB2312" w:hAnsi="仿宋" w:eastAsia="仿宋_GB2312"/>
          <w:sz w:val="28"/>
          <w:szCs w:val="28"/>
        </w:rPr>
      </w:pPr>
      <w:r>
        <w:rPr>
          <w:rFonts w:hint="eastAsia" w:ascii="仿宋_GB2312" w:hAnsi="仿宋" w:eastAsia="仿宋_GB2312"/>
          <w:sz w:val="28"/>
          <w:szCs w:val="28"/>
        </w:rPr>
        <w:t xml:space="preserve">     2、</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应提供供货产品的全套技术资料。</w:t>
      </w:r>
    </w:p>
    <w:p>
      <w:pPr>
        <w:keepNext w:val="0"/>
        <w:keepLines w:val="0"/>
        <w:pageBreakBefore w:val="0"/>
        <w:widowControl/>
        <w:kinsoku/>
        <w:wordWrap/>
        <w:overflowPunct/>
        <w:topLinePunct w:val="0"/>
        <w:bidi w:val="0"/>
        <w:snapToGrid w:val="0"/>
        <w:spacing w:line="440" w:lineRule="exact"/>
        <w:ind w:firstLine="700" w:firstLineChars="250"/>
        <w:rPr>
          <w:rFonts w:hint="eastAsia" w:ascii="仿宋_GB2312" w:hAnsi="仿宋" w:eastAsia="仿宋_GB2312"/>
          <w:color w:val="auto"/>
          <w:sz w:val="28"/>
          <w:szCs w:val="28"/>
        </w:rPr>
      </w:pPr>
      <w:r>
        <w:rPr>
          <w:rFonts w:hint="eastAsia" w:ascii="仿宋_GB2312" w:hAnsi="仿宋" w:eastAsia="仿宋_GB2312"/>
          <w:sz w:val="28"/>
          <w:szCs w:val="28"/>
        </w:rPr>
        <w:t>3、</w:t>
      </w:r>
      <w:r>
        <w:rPr>
          <w:rFonts w:hint="eastAsia" w:ascii="仿宋_GB2312" w:hAnsi="仿宋" w:eastAsia="仿宋_GB2312"/>
          <w:sz w:val="28"/>
          <w:szCs w:val="28"/>
          <w:lang w:eastAsia="zh-CN"/>
        </w:rPr>
        <w:t>成交供应商</w:t>
      </w:r>
      <w:r>
        <w:rPr>
          <w:rFonts w:hint="eastAsia" w:ascii="仿宋_GB2312" w:hAnsi="仿宋" w:eastAsia="仿宋_GB2312"/>
          <w:sz w:val="28"/>
          <w:szCs w:val="28"/>
        </w:rPr>
        <w:t>在项目验收时需提供详细</w:t>
      </w:r>
      <w:r>
        <w:rPr>
          <w:rFonts w:hint="eastAsia" w:ascii="仿宋_GB2312" w:hAnsi="仿宋" w:eastAsia="仿宋_GB2312"/>
          <w:color w:val="auto"/>
          <w:sz w:val="28"/>
          <w:szCs w:val="28"/>
        </w:rPr>
        <w:t>完整的验收报告书。</w:t>
      </w:r>
    </w:p>
    <w:p>
      <w:pPr>
        <w:keepNext w:val="0"/>
        <w:keepLines w:val="0"/>
        <w:pageBreakBefore w:val="0"/>
        <w:widowControl/>
        <w:kinsoku/>
        <w:wordWrap/>
        <w:overflowPunct/>
        <w:topLinePunct w:val="0"/>
        <w:bidi w:val="0"/>
        <w:snapToGrid w:val="0"/>
        <w:spacing w:line="440" w:lineRule="exact"/>
        <w:ind w:firstLine="422" w:firstLineChars="150"/>
        <w:rPr>
          <w:rFonts w:hint="eastAsia" w:ascii="仿宋_GB2312" w:hAnsi="仿宋" w:eastAsia="仿宋_GB2312"/>
          <w:color w:val="auto"/>
          <w:sz w:val="28"/>
          <w:szCs w:val="28"/>
          <w:lang w:val="zh-CN"/>
        </w:rPr>
      </w:pPr>
      <w:r>
        <w:rPr>
          <w:rFonts w:hint="eastAsia" w:ascii="仿宋" w:hAnsi="仿宋" w:eastAsia="仿宋" w:cs="Times New Roman"/>
          <w:b/>
          <w:color w:val="auto"/>
          <w:kern w:val="2"/>
          <w:sz w:val="28"/>
          <w:szCs w:val="28"/>
          <w:lang w:val="zh-CN" w:eastAsia="zh-CN" w:bidi="ar-SA"/>
        </w:rPr>
        <w:t xml:space="preserve"> 五、工期要求：</w:t>
      </w:r>
      <w:r>
        <w:rPr>
          <w:rFonts w:hint="eastAsia" w:ascii="仿宋_GB2312" w:hAnsi="仿宋" w:eastAsia="仿宋_GB2312"/>
          <w:color w:val="auto"/>
          <w:sz w:val="28"/>
          <w:szCs w:val="28"/>
          <w:lang w:val="zh-CN"/>
        </w:rPr>
        <w:t>成交供应商于合同签订后于</w:t>
      </w:r>
      <w:r>
        <w:rPr>
          <w:rFonts w:hint="eastAsia" w:ascii="仿宋_GB2312" w:hAnsi="仿宋" w:eastAsia="仿宋_GB2312"/>
          <w:b/>
          <w:bCs/>
          <w:color w:val="auto"/>
          <w:sz w:val="28"/>
          <w:szCs w:val="28"/>
          <w:lang w:val="en-US" w:eastAsia="zh-CN"/>
        </w:rPr>
        <w:t>45日内</w:t>
      </w:r>
      <w:r>
        <w:rPr>
          <w:rFonts w:hint="eastAsia" w:ascii="仿宋_GB2312" w:hAnsi="仿宋" w:eastAsia="仿宋_GB2312"/>
          <w:color w:val="auto"/>
          <w:sz w:val="28"/>
          <w:szCs w:val="28"/>
          <w:lang w:val="zh-CN"/>
        </w:rPr>
        <w:t>安装、调试完毕向采购人交验，不满足工期要求按无效标处理。</w:t>
      </w:r>
    </w:p>
    <w:p>
      <w:pPr>
        <w:pStyle w:val="4"/>
        <w:spacing w:line="500" w:lineRule="exact"/>
        <w:ind w:firstLine="562" w:firstLineChars="200"/>
        <w:outlineLvl w:val="1"/>
        <w:rPr>
          <w:rFonts w:hint="eastAsia" w:ascii="仿宋" w:hAnsi="仿宋" w:eastAsia="仿宋" w:cs="Times New Roman"/>
          <w:b/>
          <w:sz w:val="28"/>
          <w:szCs w:val="28"/>
          <w:lang w:val="zh-CN" w:eastAsia="zh-CN"/>
        </w:rPr>
      </w:pPr>
      <w:r>
        <w:rPr>
          <w:rFonts w:hint="eastAsia" w:ascii="仿宋" w:hAnsi="仿宋" w:eastAsia="仿宋" w:cs="Times New Roman"/>
          <w:b/>
          <w:sz w:val="28"/>
          <w:szCs w:val="28"/>
          <w:lang w:val="zh-CN"/>
        </w:rPr>
        <w:t>六、付款办法：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lang w:val="zh-CN" w:eastAsia="zh-CN"/>
        </w:rPr>
      </w:pPr>
      <w:r>
        <w:rPr>
          <w:rFonts w:hint="eastAsia" w:ascii="仿宋" w:hAnsi="仿宋" w:eastAsia="仿宋" w:cs="Times New Roman"/>
          <w:color w:val="auto"/>
          <w:lang w:val="zh-CN" w:eastAsia="zh-CN"/>
        </w:rPr>
        <w:t>1、若中标人为非中小企业，所有货物安装到位经采购单位组织验收合格后，乙方向甲方提供相应的增值税发票，甲方一次性付清合同价款。</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lang w:val="en-US" w:eastAsia="zh-CN"/>
        </w:rPr>
      </w:pPr>
      <w:r>
        <w:rPr>
          <w:rFonts w:hint="eastAsia" w:ascii="仿宋" w:hAnsi="仿宋" w:eastAsia="仿宋" w:cs="Times New Roman"/>
          <w:color w:val="auto"/>
          <w:lang w:val="zh-CN" w:eastAsia="zh-CN"/>
        </w:rPr>
        <w:t>2、若中标人为中小企业，采购人支付合同价款40%的预付款，所有货物安装到位经采购单位组织验收合格后支付剩余款项。不满足付款要求按无效标处理。</w:t>
      </w:r>
      <w:r>
        <w:rPr>
          <w:rFonts w:hint="eastAsia" w:ascii="仿宋" w:hAnsi="仿宋" w:eastAsia="仿宋" w:cs="Times New Roman"/>
          <w:color w:val="auto"/>
          <w:lang w:val="en-US" w:eastAsia="zh-CN"/>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QyMDlhNWZhOWVlNWI0YTRiODhhNjZlMzcxNjYifQ=="/>
  </w:docVars>
  <w:rsids>
    <w:rsidRoot w:val="74736B45"/>
    <w:rsid w:val="0E0D48B8"/>
    <w:rsid w:val="106F63B8"/>
    <w:rsid w:val="322F3062"/>
    <w:rsid w:val="3ACD4558"/>
    <w:rsid w:val="3C0761D6"/>
    <w:rsid w:val="3D143CBF"/>
    <w:rsid w:val="3F0C38E5"/>
    <w:rsid w:val="564D7162"/>
    <w:rsid w:val="5E235EB5"/>
    <w:rsid w:val="62377A5E"/>
    <w:rsid w:val="64D7243F"/>
    <w:rsid w:val="6C7812C6"/>
    <w:rsid w:val="72023B0B"/>
    <w:rsid w:val="7473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Indent"/>
    <w:basedOn w:val="1"/>
    <w:unhideWhenUsed/>
    <w:qFormat/>
    <w:uiPriority w:val="99"/>
    <w:pPr>
      <w:spacing w:after="120"/>
      <w:ind w:left="420" w:leftChars="200"/>
    </w:pPr>
  </w:style>
  <w:style w:type="paragraph" w:styleId="4">
    <w:name w:val="Body Text First Indent"/>
    <w:basedOn w:val="2"/>
    <w:next w:val="5"/>
    <w:unhideWhenUsed/>
    <w:qFormat/>
    <w:uiPriority w:val="0"/>
    <w:pPr>
      <w:spacing w:afterLines="0" w:line="240" w:lineRule="auto"/>
      <w:ind w:firstLine="420" w:firstLineChars="100"/>
    </w:pPr>
    <w:rPr>
      <w:rFonts w:ascii="Times New Roman" w:hAnsi="Times New Roman"/>
      <w:color w:val="auto"/>
      <w:sz w:val="18"/>
      <w:szCs w:val="18"/>
    </w:rPr>
  </w:style>
  <w:style w:type="paragraph" w:styleId="5">
    <w:name w:val="Body Text First Indent 2"/>
    <w:basedOn w:val="3"/>
    <w:unhideWhenUsed/>
    <w:qFormat/>
    <w:uiPriority w:val="99"/>
    <w:pPr>
      <w:spacing w:before="100" w:beforeAutospacing="1"/>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2023-09-08T07:28:00Z</dcterms:created>
  <dc:creator>HJIO</dc:creator>
  <cp:lastModifiedBy>HJIO</cp:lastModifiedBy>
  <dcterms:modified xsi:type="dcterms:W3CDTF">2023-12-14T02:35:37Z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D09F5E69D9F74D6FB14A498CBFC509B2_11</vt:lpwstr>
  </property>
</Properties>
</file>