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jc w:val="center"/>
        <w:textAlignment w:val="auto"/>
        <w:outlineLvl w:val="1"/>
        <w:rPr>
          <w:rFonts w:hint="eastAsia" w:ascii="仿宋" w:hAnsi="仿宋" w:eastAsia="仿宋" w:cs="仿宋"/>
          <w:b/>
          <w:bCs/>
          <w:color w:val="auto"/>
          <w:sz w:val="36"/>
          <w:szCs w:val="36"/>
          <w:lang w:val="zh-CN"/>
        </w:rPr>
      </w:pPr>
      <w:r>
        <w:rPr>
          <w:rFonts w:hint="eastAsia" w:ascii="仿宋" w:hAnsi="仿宋" w:eastAsia="仿宋" w:cs="仿宋"/>
          <w:b/>
          <w:bCs/>
          <w:color w:val="auto"/>
          <w:sz w:val="36"/>
          <w:szCs w:val="36"/>
          <w:lang w:val="zh-CN"/>
        </w:rPr>
        <w:t>采购内容及要求</w:t>
      </w:r>
    </w:p>
    <w:p>
      <w:pPr>
        <w:keepNext w:val="0"/>
        <w:keepLines w:val="0"/>
        <w:pageBreakBefore w:val="0"/>
        <w:widowControl w:val="0"/>
        <w:kinsoku/>
        <w:wordWrap/>
        <w:overflowPunct/>
        <w:topLinePunct w:val="0"/>
        <w:autoSpaceDE/>
        <w:autoSpaceDN/>
        <w:bidi w:val="0"/>
        <w:adjustRightInd/>
        <w:snapToGrid/>
        <w:spacing w:after="157" w:afterLines="50"/>
        <w:jc w:val="left"/>
        <w:textAlignment w:val="auto"/>
        <w:outlineLvl w:val="1"/>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一．项目简介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因煤矿2021年对工业广场进行物探发现采空区，同时地质勘察时间较早，地质资料不详实，为进一步查明F3断层、1-2煤层</w:t>
      </w:r>
      <w:bookmarkStart w:id="3" w:name="_GoBack"/>
      <w:bookmarkEnd w:id="3"/>
      <w:r>
        <w:rPr>
          <w:rFonts w:hint="eastAsia" w:ascii="仿宋" w:hAnsi="仿宋" w:eastAsia="仿宋" w:cs="仿宋"/>
          <w:bCs/>
          <w:color w:val="auto"/>
          <w:spacing w:val="0"/>
          <w:sz w:val="24"/>
          <w:szCs w:val="24"/>
          <w:lang w:val="en-US" w:eastAsia="zh-CN"/>
        </w:rPr>
        <w:t>层位、厚度变化、可采范围、岩层分布、井田范围资源储量及矿界附近朱概塔煤矿、刘家峁煤矿的采空区分布，为1-2煤层的选择合适的采煤方法及合理的布置盘区巷道，提供地质依据。现委托有能力的第三方对1-2煤层（121、122）盘区进行补充地质勘探。</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二、勘探任务及目的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jc w:val="left"/>
        <w:textAlignment w:val="auto"/>
        <w:outlineLvl w:val="1"/>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zh-CN" w:eastAsia="zh-CN"/>
        </w:rPr>
        <w:t>1、查明1-2煤层层位、厚度变化、可采范围及资源量。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jc w:val="left"/>
        <w:textAlignment w:val="auto"/>
        <w:outlineLvl w:val="1"/>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zh-CN" w:eastAsia="zh-CN"/>
        </w:rPr>
        <w:t>2、进一步查明F3正断层的分布、延伸及其它相关构造因素。</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jc w:val="left"/>
        <w:textAlignment w:val="auto"/>
        <w:outlineLvl w:val="1"/>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zh-CN" w:eastAsia="zh-CN"/>
        </w:rPr>
        <w:t>3、查明煤矿边界附近刘家峁煤矿、朱概塔煤矿的采空区范围。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jc w:val="left"/>
        <w:textAlignment w:val="auto"/>
        <w:outlineLvl w:val="1"/>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zh-CN" w:eastAsia="zh-CN"/>
        </w:rPr>
        <w:t>4、通过施工水文钻孔，对烧变岩含水层段进行抽水试验，获取烧变岩的相关水文地质参数。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sz w:val="24"/>
          <w:szCs w:val="24"/>
          <w:lang w:val="zh-CN" w:eastAsia="zh-CN"/>
        </w:rPr>
      </w:pPr>
      <w:r>
        <w:rPr>
          <w:rFonts w:hint="eastAsia" w:ascii="仿宋" w:hAnsi="仿宋" w:eastAsia="仿宋" w:cs="仿宋"/>
          <w:b/>
          <w:bCs/>
          <w:sz w:val="24"/>
          <w:szCs w:val="24"/>
          <w:lang w:val="zh-CN" w:eastAsia="zh-CN"/>
        </w:rPr>
        <w:t>三、煤矿基本情况</w:t>
      </w:r>
    </w:p>
    <w:p>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位置、范围及四邻关系、交通</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eastAsia" w:ascii="仿宋" w:hAnsi="仿宋" w:eastAsia="仿宋" w:cs="仿宋"/>
          <w:b/>
          <w:bCs/>
          <w:caps w:val="0"/>
          <w:sz w:val="24"/>
          <w:szCs w:val="24"/>
        </w:rPr>
      </w:pPr>
      <w:r>
        <w:rPr>
          <w:rFonts w:hint="eastAsia" w:ascii="仿宋" w:hAnsi="仿宋" w:eastAsia="仿宋" w:cs="仿宋"/>
          <w:b/>
          <w:bCs/>
          <w:caps w:val="0"/>
          <w:sz w:val="24"/>
          <w:szCs w:val="24"/>
        </w:rPr>
        <w:t>（1）位 置</w:t>
      </w:r>
    </w:p>
    <w:p>
      <w:pPr>
        <w:spacing w:line="560" w:lineRule="exact"/>
        <w:ind w:firstLine="480" w:firstLineChars="200"/>
        <w:jc w:val="left"/>
        <w:rPr>
          <w:rFonts w:hint="eastAsia" w:ascii="仿宋" w:hAnsi="仿宋" w:eastAsia="仿宋" w:cs="仿宋"/>
          <w:sz w:val="24"/>
          <w:szCs w:val="24"/>
        </w:rPr>
      </w:pPr>
      <w:bookmarkStart w:id="0" w:name="_Hlk3994201"/>
      <w:r>
        <w:rPr>
          <w:rFonts w:hint="eastAsia" w:ascii="仿宋" w:hAnsi="仿宋" w:eastAsia="仿宋" w:cs="仿宋"/>
          <w:sz w:val="24"/>
          <w:szCs w:val="24"/>
        </w:rPr>
        <w:t>煤矿位于神木县西北约42km处，行政区划隶属陕西省神木市孙家岔镇管辖。地理坐标(大地2000坐标系)在北纬39°09′60″～39°11′52″，东经110°13′37″～110°16′38″之间。</w:t>
      </w:r>
    </w:p>
    <w:bookmarkEnd w:id="0"/>
    <w:p>
      <w:pPr>
        <w:pStyle w:val="2"/>
        <w:spacing w:before="0" w:after="0" w:line="560" w:lineRule="exact"/>
        <w:ind w:firstLine="482" w:firstLineChars="200"/>
        <w:jc w:val="left"/>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（2）范围及四邻关系</w:t>
      </w:r>
    </w:p>
    <w:p>
      <w:pPr>
        <w:spacing w:line="560" w:lineRule="exact"/>
        <w:ind w:firstLine="480" w:firstLineChars="200"/>
        <w:jc w:val="left"/>
        <w:rPr>
          <w:rFonts w:hint="eastAsia" w:ascii="仿宋" w:hAnsi="仿宋" w:eastAsia="仿宋" w:cs="仿宋"/>
          <w:color w:val="000000"/>
          <w:spacing w:val="-2"/>
          <w:sz w:val="24"/>
          <w:szCs w:val="24"/>
        </w:rPr>
      </w:pPr>
      <w:r>
        <w:rPr>
          <w:rFonts w:hint="eastAsia" w:ascii="仿宋" w:hAnsi="仿宋" w:eastAsia="仿宋" w:cs="仿宋"/>
          <w:sz w:val="24"/>
          <w:szCs w:val="24"/>
        </w:rPr>
        <w:drawing>
          <wp:anchor distT="0" distB="0" distL="114300" distR="114300" simplePos="0" relativeHeight="251659264" behindDoc="0" locked="0" layoutInCell="1" allowOverlap="1">
            <wp:simplePos x="0" y="0"/>
            <wp:positionH relativeFrom="column">
              <wp:align>center</wp:align>
            </wp:positionH>
            <wp:positionV relativeFrom="paragraph">
              <wp:posOffset>1499870</wp:posOffset>
            </wp:positionV>
            <wp:extent cx="5762625" cy="4655820"/>
            <wp:effectExtent l="0" t="0" r="9525" b="11430"/>
            <wp:wrapSquare wrapText="bothSides"/>
            <wp:docPr id="3"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1"/>
                    <pic:cNvPicPr>
                      <a:picLocks noChangeAspect="1"/>
                    </pic:cNvPicPr>
                  </pic:nvPicPr>
                  <pic:blipFill>
                    <a:blip r:embed="rId4"/>
                    <a:stretch>
                      <a:fillRect/>
                    </a:stretch>
                  </pic:blipFill>
                  <pic:spPr>
                    <a:xfrm>
                      <a:off x="0" y="0"/>
                      <a:ext cx="5762625" cy="4655820"/>
                    </a:xfrm>
                    <a:prstGeom prst="rect">
                      <a:avLst/>
                    </a:prstGeom>
                    <a:noFill/>
                    <a:ln>
                      <a:noFill/>
                    </a:ln>
                  </pic:spPr>
                </pic:pic>
              </a:graphicData>
            </a:graphic>
          </wp:anchor>
        </w:drawing>
      </w:r>
      <w:r>
        <w:rPr>
          <w:rFonts w:hint="eastAsia" w:ascii="仿宋" w:hAnsi="仿宋" w:eastAsia="仿宋" w:cs="仿宋"/>
          <w:sz w:val="24"/>
          <w:szCs w:val="24"/>
        </w:rPr>
        <w:t>煤矿位于陕西省陕北侏罗纪煤田神木北部矿区朱盖塔井田中东部，</w:t>
      </w:r>
      <w:r>
        <w:rPr>
          <w:rFonts w:hint="eastAsia" w:ascii="仿宋" w:hAnsi="仿宋" w:eastAsia="仿宋" w:cs="仿宋"/>
          <w:color w:val="000000"/>
          <w:sz w:val="24"/>
          <w:szCs w:val="24"/>
        </w:rPr>
        <w:t>北部与神木县锟源矿业有限公司煤矿相邻，东部与孙家岔镇朱概塔煤矿相邻，西部与神木县升兴矿业有限公司煤矿相邻，西南部与神木县孙家岔沙坡村刘家峁煤矿相邻，东南部与孙家岔镇润邦煤矿相邻</w:t>
      </w:r>
      <w:r>
        <w:rPr>
          <w:rFonts w:hint="eastAsia" w:ascii="仿宋" w:hAnsi="仿宋" w:eastAsia="仿宋" w:cs="仿宋"/>
          <w:sz w:val="24"/>
          <w:szCs w:val="24"/>
        </w:rPr>
        <w:t>。除此之外，再无其他矿权设置</w:t>
      </w:r>
      <w:r>
        <w:rPr>
          <w:rFonts w:hint="eastAsia" w:ascii="仿宋" w:hAnsi="仿宋" w:eastAsia="仿宋" w:cs="仿宋"/>
          <w:color w:val="000000"/>
          <w:spacing w:val="-2"/>
          <w:sz w:val="24"/>
          <w:szCs w:val="24"/>
        </w:rPr>
        <w:t>（图1-2-1）。</w:t>
      </w:r>
    </w:p>
    <w:p>
      <w:pPr>
        <w:pStyle w:val="2"/>
        <w:jc w:val="center"/>
        <w:rPr>
          <w:rFonts w:hint="eastAsia" w:ascii="仿宋" w:hAnsi="仿宋" w:eastAsia="仿宋" w:cs="仿宋"/>
          <w:b/>
          <w:bCs/>
          <w:sz w:val="24"/>
          <w:szCs w:val="24"/>
        </w:rPr>
      </w:pPr>
      <w:r>
        <w:rPr>
          <w:rFonts w:hint="eastAsia" w:ascii="仿宋" w:hAnsi="仿宋" w:eastAsia="仿宋" w:cs="仿宋"/>
          <w:b/>
          <w:bCs/>
          <w:sz w:val="24"/>
          <w:szCs w:val="24"/>
        </w:rPr>
        <w:t>矿权设置示意图</w:t>
      </w:r>
    </w:p>
    <w:p>
      <w:pPr>
        <w:spacing w:line="56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陕西神木朱盖塔矿业有限公司朱盖塔煤矿，位于朱盖塔井田(矿区编号为612722008)，矿山编号：6127229093，采矿许可证号：C6100002019071120148321， 设计生产能力为1.20Mt/a ，面积10.1226km</w:t>
      </w:r>
      <w:r>
        <w:rPr>
          <w:rFonts w:hint="eastAsia" w:ascii="仿宋" w:hAnsi="仿宋" w:eastAsia="仿宋" w:cs="仿宋"/>
          <w:color w:val="000000"/>
          <w:sz w:val="24"/>
          <w:szCs w:val="24"/>
          <w:vertAlign w:val="superscript"/>
        </w:rPr>
        <w:t>2</w:t>
      </w:r>
      <w:r>
        <w:rPr>
          <w:rFonts w:hint="eastAsia" w:ascii="仿宋" w:hAnsi="仿宋" w:eastAsia="仿宋" w:cs="仿宋"/>
          <w:color w:val="000000"/>
          <w:sz w:val="24"/>
          <w:szCs w:val="24"/>
        </w:rPr>
        <w:t>，由6个拐点坐标圈定（见表1-2-1）。批采煤层为 1</w:t>
      </w:r>
      <w:r>
        <w:rPr>
          <w:rFonts w:hint="eastAsia" w:ascii="仿宋" w:hAnsi="仿宋" w:eastAsia="仿宋" w:cs="仿宋"/>
          <w:color w:val="000000"/>
          <w:sz w:val="24"/>
          <w:szCs w:val="24"/>
          <w:vertAlign w:val="superscript"/>
        </w:rPr>
        <w:t>-2</w:t>
      </w:r>
      <w:r>
        <w:rPr>
          <w:rFonts w:hint="eastAsia" w:ascii="仿宋" w:hAnsi="仿宋" w:eastAsia="仿宋" w:cs="仿宋"/>
          <w:color w:val="000000"/>
          <w:sz w:val="24"/>
          <w:szCs w:val="24"/>
        </w:rPr>
        <w:t>、2</w:t>
      </w:r>
      <w:r>
        <w:rPr>
          <w:rFonts w:hint="eastAsia" w:ascii="仿宋" w:hAnsi="仿宋" w:eastAsia="仿宋" w:cs="仿宋"/>
          <w:color w:val="000000"/>
          <w:sz w:val="24"/>
          <w:szCs w:val="24"/>
          <w:vertAlign w:val="superscript"/>
        </w:rPr>
        <w:t>-2上</w:t>
      </w:r>
      <w:r>
        <w:rPr>
          <w:rFonts w:hint="eastAsia" w:ascii="仿宋" w:hAnsi="仿宋" w:eastAsia="仿宋" w:cs="仿宋"/>
          <w:color w:val="000000"/>
          <w:sz w:val="24"/>
          <w:szCs w:val="24"/>
        </w:rPr>
        <w:t>、3</w:t>
      </w:r>
      <w:r>
        <w:rPr>
          <w:rFonts w:hint="eastAsia" w:ascii="仿宋" w:hAnsi="仿宋" w:eastAsia="仿宋" w:cs="仿宋"/>
          <w:color w:val="000000"/>
          <w:sz w:val="24"/>
          <w:szCs w:val="24"/>
          <w:vertAlign w:val="superscript"/>
        </w:rPr>
        <w:t>-1</w:t>
      </w:r>
      <w:r>
        <w:rPr>
          <w:rFonts w:hint="eastAsia" w:ascii="仿宋" w:hAnsi="仿宋" w:eastAsia="仿宋" w:cs="仿宋"/>
          <w:color w:val="000000"/>
          <w:sz w:val="24"/>
          <w:szCs w:val="24"/>
        </w:rPr>
        <w:t>、4</w:t>
      </w:r>
      <w:r>
        <w:rPr>
          <w:rFonts w:hint="eastAsia" w:ascii="仿宋" w:hAnsi="仿宋" w:eastAsia="仿宋" w:cs="仿宋"/>
          <w:color w:val="000000"/>
          <w:sz w:val="24"/>
          <w:szCs w:val="24"/>
          <w:vertAlign w:val="superscript"/>
        </w:rPr>
        <w:t>-3</w:t>
      </w:r>
      <w:r>
        <w:rPr>
          <w:rFonts w:hint="eastAsia" w:ascii="仿宋" w:hAnsi="仿宋" w:eastAsia="仿宋" w:cs="仿宋"/>
          <w:color w:val="000000"/>
          <w:sz w:val="24"/>
          <w:szCs w:val="24"/>
        </w:rPr>
        <w:t>、5</w:t>
      </w:r>
      <w:r>
        <w:rPr>
          <w:rFonts w:hint="eastAsia" w:ascii="仿宋" w:hAnsi="仿宋" w:eastAsia="仿宋" w:cs="仿宋"/>
          <w:color w:val="000000"/>
          <w:sz w:val="24"/>
          <w:szCs w:val="24"/>
          <w:vertAlign w:val="superscript"/>
        </w:rPr>
        <w:t>-1</w:t>
      </w:r>
      <w:r>
        <w:rPr>
          <w:rFonts w:hint="eastAsia" w:ascii="仿宋" w:hAnsi="仿宋" w:eastAsia="仿宋" w:cs="仿宋"/>
          <w:color w:val="000000"/>
          <w:sz w:val="24"/>
          <w:szCs w:val="24"/>
        </w:rPr>
        <w:t>、5</w:t>
      </w:r>
      <w:r>
        <w:rPr>
          <w:rFonts w:hint="eastAsia" w:ascii="仿宋" w:hAnsi="仿宋" w:eastAsia="仿宋" w:cs="仿宋"/>
          <w:color w:val="000000"/>
          <w:sz w:val="24"/>
          <w:szCs w:val="24"/>
          <w:vertAlign w:val="superscript"/>
        </w:rPr>
        <w:t>-2</w:t>
      </w:r>
      <w:r>
        <w:rPr>
          <w:rFonts w:hint="eastAsia" w:ascii="仿宋" w:hAnsi="仿宋" w:eastAsia="仿宋" w:cs="仿宋"/>
          <w:color w:val="000000"/>
          <w:sz w:val="24"/>
          <w:szCs w:val="24"/>
        </w:rPr>
        <w:t>煤层，批采标高从1140米至900米，采矿证有效期为2020年7月16日至2025年7月16日。</w:t>
      </w:r>
    </w:p>
    <w:p>
      <w:pPr>
        <w:pStyle w:val="2"/>
        <w:spacing w:before="0" w:after="0" w:line="400" w:lineRule="exact"/>
        <w:jc w:val="left"/>
        <w:rPr>
          <w:rFonts w:hint="eastAsia" w:ascii="仿宋" w:hAnsi="仿宋" w:eastAsia="仿宋" w:cs="仿宋"/>
          <w:b/>
          <w:bCs/>
          <w:kern w:val="24"/>
          <w:sz w:val="24"/>
          <w:szCs w:val="24"/>
        </w:rPr>
      </w:pPr>
    </w:p>
    <w:p>
      <w:pPr>
        <w:pStyle w:val="2"/>
        <w:spacing w:before="0" w:after="0" w:line="400" w:lineRule="exact"/>
        <w:jc w:val="left"/>
        <w:rPr>
          <w:rFonts w:hint="eastAsia" w:ascii="仿宋" w:hAnsi="仿宋" w:eastAsia="仿宋" w:cs="仿宋"/>
          <w:b/>
          <w:bCs/>
          <w:kern w:val="24"/>
          <w:sz w:val="24"/>
          <w:szCs w:val="24"/>
        </w:rPr>
      </w:pPr>
    </w:p>
    <w:p>
      <w:pPr>
        <w:pStyle w:val="2"/>
        <w:spacing w:before="0" w:after="0" w:line="400" w:lineRule="exact"/>
        <w:jc w:val="left"/>
        <w:rPr>
          <w:rFonts w:hint="eastAsia" w:ascii="仿宋" w:hAnsi="仿宋" w:eastAsia="仿宋" w:cs="仿宋"/>
          <w:sz w:val="24"/>
          <w:szCs w:val="24"/>
        </w:rPr>
      </w:pPr>
      <w:r>
        <w:rPr>
          <w:rFonts w:hint="eastAsia" w:ascii="仿宋" w:hAnsi="仿宋" w:eastAsia="仿宋" w:cs="仿宋"/>
          <w:b/>
          <w:bCs/>
          <w:kern w:val="24"/>
          <w:sz w:val="24"/>
          <w:szCs w:val="24"/>
        </w:rPr>
        <w:t xml:space="preserve">朱盖塔煤矿范围拐点坐标表 </w:t>
      </w:r>
      <w:r>
        <w:rPr>
          <w:rFonts w:hint="eastAsia" w:ascii="仿宋" w:hAnsi="仿宋" w:eastAsia="仿宋" w:cs="仿宋"/>
          <w:bCs w:val="0"/>
          <w:kern w:val="24"/>
          <w:sz w:val="24"/>
          <w:szCs w:val="24"/>
        </w:rPr>
        <w:t xml:space="preserve">              表1-2-1</w:t>
      </w:r>
    </w:p>
    <w:tbl>
      <w:tblPr>
        <w:tblStyle w:val="4"/>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05"/>
        <w:gridCol w:w="3384"/>
        <w:gridCol w:w="3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vMerge w:val="restart"/>
            <w:tcBorders>
              <w:top w:val="single" w:color="auto" w:sz="12" w:space="0"/>
            </w:tcBorders>
            <w:noWrap w:val="0"/>
            <w:vAlign w:val="center"/>
          </w:tcPr>
          <w:p>
            <w:pPr>
              <w:pStyle w:val="6"/>
              <w:spacing w:line="240" w:lineRule="auto"/>
              <w:ind w:left="105"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拐点</w:t>
            </w:r>
          </w:p>
        </w:tc>
        <w:tc>
          <w:tcPr>
            <w:tcW w:w="3895" w:type="pct"/>
            <w:gridSpan w:val="2"/>
            <w:tcBorders>
              <w:top w:val="single" w:color="auto" w:sz="12" w:space="0"/>
            </w:tcBorders>
            <w:noWrap w:val="0"/>
            <w:vAlign w:val="center"/>
          </w:tcPr>
          <w:p>
            <w:pPr>
              <w:pStyle w:val="6"/>
              <w:spacing w:line="240" w:lineRule="auto"/>
              <w:ind w:left="105"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国家2000坐标系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vMerge w:val="continue"/>
            <w:noWrap w:val="0"/>
            <w:vAlign w:val="center"/>
          </w:tcPr>
          <w:p>
            <w:pPr>
              <w:pStyle w:val="6"/>
              <w:spacing w:line="240" w:lineRule="auto"/>
              <w:ind w:left="105" w:leftChars="0" w:firstLine="0" w:firstLineChars="0"/>
              <w:jc w:val="left"/>
              <w:rPr>
                <w:rFonts w:hint="eastAsia" w:ascii="仿宋" w:hAnsi="仿宋" w:eastAsia="仿宋" w:cs="仿宋"/>
                <w:kern w:val="0"/>
                <w:sz w:val="24"/>
                <w:szCs w:val="24"/>
              </w:rPr>
            </w:pPr>
          </w:p>
        </w:tc>
        <w:tc>
          <w:tcPr>
            <w:tcW w:w="1865" w:type="pct"/>
            <w:noWrap w:val="0"/>
            <w:vAlign w:val="center"/>
          </w:tcPr>
          <w:p>
            <w:pPr>
              <w:pStyle w:val="6"/>
              <w:spacing w:line="240" w:lineRule="auto"/>
              <w:ind w:left="105"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X</w:t>
            </w:r>
          </w:p>
        </w:tc>
        <w:tc>
          <w:tcPr>
            <w:tcW w:w="2030" w:type="pct"/>
            <w:noWrap w:val="0"/>
            <w:vAlign w:val="center"/>
          </w:tcPr>
          <w:p>
            <w:pPr>
              <w:pStyle w:val="6"/>
              <w:spacing w:line="240" w:lineRule="auto"/>
              <w:ind w:left="105"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1</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4337309.01</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37435193.92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2</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4338758.80</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37433245.40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3</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4340348.50</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37434205.20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4</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4340768.23</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37434902.95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5</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4340406.97</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37437582.60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05" w:type="pct"/>
            <w:noWrap w:val="0"/>
            <w:vAlign w:val="center"/>
          </w:tcPr>
          <w:p>
            <w:pPr>
              <w:pStyle w:val="6"/>
              <w:spacing w:line="240" w:lineRule="auto"/>
              <w:ind w:left="105" w:leftChars="0" w:firstLine="0" w:firstLineChars="0"/>
              <w:jc w:val="left"/>
              <w:rPr>
                <w:rFonts w:hint="eastAsia" w:ascii="仿宋" w:hAnsi="仿宋" w:eastAsia="仿宋" w:cs="仿宋"/>
                <w:b w:val="0"/>
                <w:kern w:val="0"/>
                <w:sz w:val="24"/>
                <w:szCs w:val="24"/>
              </w:rPr>
            </w:pPr>
            <w:r>
              <w:rPr>
                <w:rFonts w:hint="eastAsia" w:ascii="仿宋" w:hAnsi="仿宋" w:eastAsia="仿宋" w:cs="仿宋"/>
                <w:b w:val="0"/>
                <w:kern w:val="0"/>
                <w:sz w:val="24"/>
                <w:szCs w:val="24"/>
              </w:rPr>
              <w:t>6</w:t>
            </w:r>
          </w:p>
        </w:tc>
        <w:tc>
          <w:tcPr>
            <w:tcW w:w="186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4338709.09</w:t>
            </w:r>
          </w:p>
        </w:tc>
        <w:tc>
          <w:tcPr>
            <w:tcW w:w="2030"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37437582.65</w:t>
            </w:r>
          </w:p>
        </w:tc>
      </w:tr>
    </w:tbl>
    <w:p>
      <w:pPr>
        <w:pStyle w:val="2"/>
        <w:spacing w:before="0" w:after="0" w:line="560" w:lineRule="exact"/>
        <w:ind w:firstLine="482" w:firstLineChars="200"/>
        <w:jc w:val="left"/>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（3）交 通</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sz w:val="24"/>
          <w:szCs w:val="24"/>
        </w:rPr>
        <w:t>本区地处陕西“米”字形公路网内，榆神二级公路（S204省道）、榆神高速公路和西（安）包（头）铁路（神延段）并行从煤矿范围内通过，交通干线框架基本形成。加之区内各乡镇之间有若干条公路相通，交通条件尚属便利。周边较近的机场有榆林机场和鄂尔多斯机场。公路、铁路、航空运输四通八达、快捷方便，交通较为便利。交通位置详见图1-2-2。</w:t>
      </w:r>
      <w:r>
        <w:rPr>
          <w:rFonts w:hint="eastAsia" w:ascii="仿宋" w:hAnsi="仿宋" w:eastAsia="仿宋" w:cs="仿宋"/>
          <w:sz w:val="24"/>
          <w:szCs w:val="24"/>
        </w:rPr>
        <w:drawing>
          <wp:inline distT="0" distB="0" distL="114300" distR="114300">
            <wp:extent cx="5761355" cy="4547235"/>
            <wp:effectExtent l="0" t="0" r="10795" b="5715"/>
            <wp:docPr id="2" name="图片 1" descr="府谷县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府谷县交通位置图"/>
                    <pic:cNvPicPr>
                      <a:picLocks noChangeAspect="1"/>
                    </pic:cNvPicPr>
                  </pic:nvPicPr>
                  <pic:blipFill>
                    <a:blip r:embed="rId5"/>
                    <a:srcRect l="2504" t="1158" r="2051"/>
                    <a:stretch>
                      <a:fillRect/>
                    </a:stretch>
                  </pic:blipFill>
                  <pic:spPr>
                    <a:xfrm>
                      <a:off x="0" y="0"/>
                      <a:ext cx="5761355" cy="4547235"/>
                    </a:xfrm>
                    <a:prstGeom prst="rect">
                      <a:avLst/>
                    </a:prstGeom>
                    <a:noFill/>
                    <a:ln>
                      <a:noFill/>
                    </a:ln>
                  </pic:spPr>
                </pic:pic>
              </a:graphicData>
            </a:graphic>
          </wp:inline>
        </w:drawing>
      </w:r>
    </w:p>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图1-2-2      交通位置示意图</w:t>
      </w:r>
    </w:p>
    <w:p>
      <w:pPr>
        <w:autoSpaceDE w:val="0"/>
        <w:autoSpaceDN w:val="0"/>
        <w:adjustRightInd w:val="0"/>
        <w:snapToGrid w:val="0"/>
        <w:spacing w:line="60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四、煤矿开采现状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矿井工业场地位于本区西部的朱盖沟东侧台地上，采用斜井开拓，共布置主斜井、副斜井和回风斜井三条井筒。</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矿井划分为三个水平。1-2、2-2上煤层划分为一水平，主水平设置在2-2上煤层中，水平标高+1080m，1-2煤层设置辅助水平。3-1煤层划分为二水平，水平标高+1040m。4-3、5-1、5-2煤层划分为三水平，主水平设置在5-2煤层中，水平标高+915m，4-3、5-1煤层分别设置辅助水平。井筒初期落底于一水平，后期直接延深至二、三水平。</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井筒从西向东布置至各水平，见煤后在各水平煤层内从北向南分别布置三条大巷，工作面东西向推进。</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矿井各煤层均采用长壁一次采全高采煤法，综合机械化回采工艺，全部垮落法管理顶板。</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矿井首采121盘区，位于F3断层以北，1-2、2-2上煤层火烧边界以南。盘区内含1-2、2-2上煤层，首采1-2煤层，布置1个综采工作面、1个综掘工作面和1个炮掘工作面，设计生产能力1.20Mt/a。</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煤层间采用下行开采顺序，先采上部煤层，再采下部煤层。井田共划分为12个盘区，分别为121、122、221、222、223、311、312、431、432、511、521和522盘区。截止2022年7月31日，朱盖塔煤矿处于建设中，尚未形成新采空区。</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煤矿地质概述</w:t>
      </w:r>
    </w:p>
    <w:p>
      <w:pPr>
        <w:pStyle w:val="2"/>
        <w:keepNext w:val="0"/>
        <w:keepLines w:val="0"/>
        <w:pageBreakBefore w:val="0"/>
        <w:kinsoku/>
        <w:wordWrap/>
        <w:topLinePunct w:val="0"/>
        <w:autoSpaceDE/>
        <w:autoSpaceDN/>
        <w:bidi w:val="0"/>
        <w:spacing w:line="360" w:lineRule="auto"/>
        <w:ind w:firstLine="482" w:firstLineChars="200"/>
        <w:jc w:val="left"/>
        <w:textAlignment w:val="auto"/>
        <w:rPr>
          <w:rFonts w:ascii="仿宋" w:hAnsi="仿宋" w:eastAsia="仿宋" w:cs="仿宋"/>
          <w:b/>
          <w:bCs/>
          <w:color w:val="auto"/>
          <w:sz w:val="24"/>
        </w:rPr>
      </w:pPr>
      <w:bookmarkStart w:id="1" w:name="_Toc111617349"/>
      <w:r>
        <w:rPr>
          <w:rFonts w:hint="eastAsia" w:ascii="仿宋" w:hAnsi="仿宋" w:eastAsia="仿宋" w:cs="仿宋"/>
          <w:b/>
          <w:bCs/>
          <w:color w:val="auto"/>
          <w:sz w:val="24"/>
        </w:rPr>
        <w:t>（1）地 层</w:t>
      </w:r>
      <w:bookmarkEnd w:id="1"/>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依据《陕西神木朱盖塔矿业有限公司煤矿（整合区）补充勘探报告》资料，朱盖塔煤矿范围地层由老至新依次为：侏罗系中统延安组（J</w:t>
      </w:r>
      <w:r>
        <w:rPr>
          <w:rFonts w:ascii="仿宋" w:hAnsi="仿宋" w:eastAsia="仿宋"/>
          <w:color w:val="auto"/>
          <w:sz w:val="24"/>
          <w:vertAlign w:val="subscript"/>
        </w:rPr>
        <w:t>2</w:t>
      </w:r>
      <w:r>
        <w:rPr>
          <w:rFonts w:ascii="仿宋" w:hAnsi="仿宋" w:eastAsia="仿宋"/>
          <w:color w:val="auto"/>
          <w:sz w:val="24"/>
        </w:rPr>
        <w:t>y）、直罗组（J</w:t>
      </w:r>
      <w:r>
        <w:rPr>
          <w:rFonts w:ascii="仿宋" w:hAnsi="仿宋" w:eastAsia="仿宋"/>
          <w:color w:val="auto"/>
          <w:sz w:val="24"/>
          <w:vertAlign w:val="subscript"/>
        </w:rPr>
        <w:t>2</w:t>
      </w:r>
      <w:r>
        <w:rPr>
          <w:rFonts w:ascii="仿宋" w:hAnsi="仿宋" w:eastAsia="仿宋"/>
          <w:color w:val="auto"/>
          <w:sz w:val="24"/>
        </w:rPr>
        <w:t>z）、第四系上更新统马兰组（Q</w:t>
      </w:r>
      <w:r>
        <w:rPr>
          <w:rFonts w:ascii="仿宋" w:hAnsi="仿宋" w:eastAsia="仿宋"/>
          <w:color w:val="auto"/>
          <w:sz w:val="24"/>
          <w:vertAlign w:val="subscript"/>
        </w:rPr>
        <w:t>3</w:t>
      </w:r>
      <w:r>
        <w:rPr>
          <w:rFonts w:ascii="仿宋" w:hAnsi="仿宋" w:eastAsia="仿宋"/>
          <w:color w:val="auto"/>
          <w:sz w:val="24"/>
        </w:rPr>
        <w:t>m）、第四系全新统风积砂（Q</w:t>
      </w:r>
      <w:r>
        <w:rPr>
          <w:rFonts w:ascii="仿宋" w:hAnsi="仿宋" w:eastAsia="仿宋"/>
          <w:color w:val="auto"/>
          <w:sz w:val="24"/>
          <w:vertAlign w:val="subscript"/>
        </w:rPr>
        <w:t>4</w:t>
      </w:r>
      <w:r>
        <w:rPr>
          <w:rFonts w:ascii="仿宋" w:hAnsi="仿宋" w:eastAsia="仿宋"/>
          <w:color w:val="auto"/>
          <w:sz w:val="24"/>
          <w:vertAlign w:val="superscript"/>
        </w:rPr>
        <w:t>eol</w:t>
      </w:r>
      <w:r>
        <w:rPr>
          <w:rFonts w:ascii="仿宋" w:hAnsi="仿宋" w:eastAsia="仿宋"/>
          <w:color w:val="auto"/>
          <w:sz w:val="24"/>
        </w:rPr>
        <w:t>），从老至新分述如下：</w:t>
      </w:r>
    </w:p>
    <w:p>
      <w:pPr>
        <w:keepNext w:val="0"/>
        <w:keepLines w:val="0"/>
        <w:pageBreakBefore w:val="0"/>
        <w:widowControl/>
        <w:suppressAutoHyphens/>
        <w:kinsoku/>
        <w:wordWrap/>
        <w:overflowPunct w:val="0"/>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1</w:t>
      </w:r>
      <w:r>
        <w:rPr>
          <w:rFonts w:hint="eastAsia" w:ascii="仿宋" w:hAnsi="仿宋" w:eastAsia="仿宋"/>
          <w:b/>
          <w:bCs/>
          <w:color w:val="auto"/>
          <w:sz w:val="24"/>
        </w:rPr>
        <w:t>）</w:t>
      </w:r>
      <w:r>
        <w:rPr>
          <w:rFonts w:ascii="仿宋" w:hAnsi="仿宋" w:eastAsia="仿宋"/>
          <w:b/>
          <w:bCs/>
          <w:color w:val="auto"/>
          <w:sz w:val="24"/>
        </w:rPr>
        <w:t>侏罗系中统延安组（J</w:t>
      </w:r>
      <w:r>
        <w:rPr>
          <w:rFonts w:ascii="仿宋" w:hAnsi="仿宋" w:eastAsia="仿宋"/>
          <w:b/>
          <w:bCs/>
          <w:color w:val="auto"/>
          <w:sz w:val="24"/>
          <w:vertAlign w:val="subscript"/>
        </w:rPr>
        <w:t>2</w:t>
      </w:r>
      <w:r>
        <w:rPr>
          <w:rFonts w:ascii="仿宋" w:hAnsi="仿宋" w:eastAsia="仿宋"/>
          <w:b/>
          <w:bCs/>
          <w:color w:val="auto"/>
          <w:sz w:val="24"/>
        </w:rPr>
        <w:t>y）</w:t>
      </w:r>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延安组为本矿区含煤地层，除西南部边界一带遭受直罗期古河道冲刷剥蚀使该地层顶部部分地层缺失外，基本保存完整，与下伏富县组呈整合接触。厚度166.00～250.00m，一般为214m左右，总体趋势由西南向东北逐渐增厚。根据沉积旋回、岩煤组合特征及物性特征，将其可划分为五个中级旋回，自下而上依次编为一～五段，每段各含一个煤组，自上而下编为1～5号煤组。可采煤层赋存于旋回顶部，为延安组各段的分界界面，各岩段含煤分布如下：</w:t>
      </w:r>
    </w:p>
    <w:p>
      <w:pPr>
        <w:keepNext w:val="0"/>
        <w:keepLines w:val="0"/>
        <w:pageBreakBefore w:val="0"/>
        <w:tabs>
          <w:tab w:val="left" w:pos="3675"/>
        </w:tabs>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① 延安组第一段（J</w:t>
      </w:r>
      <w:r>
        <w:rPr>
          <w:rFonts w:ascii="仿宋" w:hAnsi="仿宋" w:eastAsia="仿宋"/>
          <w:color w:val="auto"/>
          <w:sz w:val="24"/>
          <w:vertAlign w:val="subscript"/>
        </w:rPr>
        <w:t>2</w:t>
      </w:r>
      <w:r>
        <w:rPr>
          <w:rFonts w:ascii="仿宋" w:hAnsi="仿宋" w:eastAsia="仿宋"/>
          <w:color w:val="auto"/>
          <w:sz w:val="24"/>
        </w:rPr>
        <w:t>y</w:t>
      </w:r>
      <w:r>
        <w:rPr>
          <w:rFonts w:ascii="仿宋" w:hAnsi="仿宋" w:eastAsia="仿宋"/>
          <w:color w:val="auto"/>
          <w:sz w:val="24"/>
          <w:vertAlign w:val="superscript"/>
        </w:rPr>
        <w:t>1</w:t>
      </w:r>
      <w:r>
        <w:rPr>
          <w:rFonts w:ascii="仿宋" w:hAnsi="仿宋" w:eastAsia="仿宋"/>
          <w:color w:val="auto"/>
          <w:sz w:val="24"/>
        </w:rPr>
        <w:t>）含5号煤组（5</w:t>
      </w:r>
      <w:r>
        <w:rPr>
          <w:rFonts w:ascii="仿宋" w:hAnsi="仿宋" w:eastAsia="仿宋"/>
          <w:color w:val="auto"/>
          <w:sz w:val="24"/>
          <w:vertAlign w:val="superscript"/>
        </w:rPr>
        <w:t>-1</w:t>
      </w:r>
      <w:r>
        <w:rPr>
          <w:rFonts w:ascii="仿宋" w:hAnsi="仿宋" w:eastAsia="仿宋"/>
          <w:color w:val="auto"/>
          <w:sz w:val="24"/>
        </w:rPr>
        <w:t>、5</w:t>
      </w:r>
      <w:r>
        <w:rPr>
          <w:rFonts w:ascii="仿宋" w:hAnsi="仿宋" w:eastAsia="仿宋"/>
          <w:color w:val="auto"/>
          <w:sz w:val="24"/>
          <w:vertAlign w:val="superscript"/>
        </w:rPr>
        <w:t>-2</w:t>
      </w:r>
      <w:r>
        <w:rPr>
          <w:rFonts w:ascii="仿宋" w:hAnsi="仿宋" w:eastAsia="仿宋"/>
          <w:color w:val="auto"/>
          <w:sz w:val="24"/>
        </w:rPr>
        <w:t>煤层），岩性以灰白色中粒、细粒长石岩屑砂岩，顶部和底部为灰色、深灰色富云母粉砂岩、砂质泥岩灰色粉砂岩、泥岩为主。</w:t>
      </w:r>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② 延安组第二段（J</w:t>
      </w:r>
      <w:r>
        <w:rPr>
          <w:rFonts w:ascii="仿宋" w:hAnsi="仿宋" w:eastAsia="仿宋"/>
          <w:color w:val="auto"/>
          <w:sz w:val="24"/>
          <w:vertAlign w:val="subscript"/>
        </w:rPr>
        <w:t>2</w:t>
      </w:r>
      <w:r>
        <w:rPr>
          <w:rFonts w:ascii="仿宋" w:hAnsi="仿宋" w:eastAsia="仿宋"/>
          <w:color w:val="auto"/>
          <w:sz w:val="24"/>
        </w:rPr>
        <w:t>y</w:t>
      </w:r>
      <w:r>
        <w:rPr>
          <w:rFonts w:ascii="仿宋" w:hAnsi="仿宋" w:eastAsia="仿宋"/>
          <w:color w:val="auto"/>
          <w:sz w:val="24"/>
          <w:vertAlign w:val="superscript"/>
        </w:rPr>
        <w:t>2</w:t>
      </w:r>
      <w:r>
        <w:rPr>
          <w:rFonts w:ascii="仿宋" w:hAnsi="仿宋" w:eastAsia="仿宋"/>
          <w:color w:val="auto"/>
          <w:sz w:val="24"/>
        </w:rPr>
        <w:t>）含4号煤组（4</w:t>
      </w:r>
      <w:r>
        <w:rPr>
          <w:rFonts w:ascii="仿宋" w:hAnsi="仿宋" w:eastAsia="仿宋"/>
          <w:color w:val="auto"/>
          <w:sz w:val="24"/>
          <w:vertAlign w:val="superscript"/>
        </w:rPr>
        <w:t>-2</w:t>
      </w:r>
      <w:r>
        <w:rPr>
          <w:rFonts w:ascii="仿宋" w:hAnsi="仿宋" w:eastAsia="仿宋"/>
          <w:color w:val="auto"/>
          <w:sz w:val="24"/>
        </w:rPr>
        <w:t>、4</w:t>
      </w:r>
      <w:r>
        <w:rPr>
          <w:rFonts w:ascii="仿宋" w:hAnsi="仿宋" w:eastAsia="仿宋"/>
          <w:color w:val="auto"/>
          <w:sz w:val="24"/>
          <w:vertAlign w:val="superscript"/>
        </w:rPr>
        <w:t>-3</w:t>
      </w:r>
      <w:r>
        <w:rPr>
          <w:rFonts w:ascii="仿宋" w:hAnsi="仿宋" w:eastAsia="仿宋"/>
          <w:color w:val="auto"/>
          <w:sz w:val="24"/>
        </w:rPr>
        <w:t>、4</w:t>
      </w:r>
      <w:r>
        <w:rPr>
          <w:rFonts w:ascii="仿宋" w:hAnsi="仿宋" w:eastAsia="仿宋"/>
          <w:color w:val="auto"/>
          <w:sz w:val="24"/>
          <w:vertAlign w:val="superscript"/>
        </w:rPr>
        <w:t>-4</w:t>
      </w:r>
      <w:r>
        <w:rPr>
          <w:rFonts w:ascii="仿宋" w:hAnsi="仿宋" w:eastAsia="仿宋"/>
          <w:color w:val="auto"/>
          <w:sz w:val="24"/>
        </w:rPr>
        <w:t>煤层）,岩性主要为细碎屑岩，以灰色粉砂岩、砂质泥岩、泥岩为主，夹众多薄煤层、泥灰岩及菱铁质泥岩透镜体。</w:t>
      </w:r>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③ 延安组第三段（J</w:t>
      </w:r>
      <w:r>
        <w:rPr>
          <w:rFonts w:ascii="仿宋" w:hAnsi="仿宋" w:eastAsia="仿宋"/>
          <w:color w:val="auto"/>
          <w:sz w:val="24"/>
          <w:vertAlign w:val="subscript"/>
        </w:rPr>
        <w:t>2</w:t>
      </w:r>
      <w:r>
        <w:rPr>
          <w:rFonts w:ascii="仿宋" w:hAnsi="仿宋" w:eastAsia="仿宋"/>
          <w:color w:val="auto"/>
          <w:sz w:val="24"/>
        </w:rPr>
        <w:t>y</w:t>
      </w:r>
      <w:r>
        <w:rPr>
          <w:rFonts w:ascii="仿宋" w:hAnsi="仿宋" w:eastAsia="仿宋"/>
          <w:color w:val="auto"/>
          <w:sz w:val="24"/>
          <w:vertAlign w:val="superscript"/>
        </w:rPr>
        <w:t>3</w:t>
      </w:r>
      <w:r>
        <w:rPr>
          <w:rFonts w:ascii="仿宋" w:hAnsi="仿宋" w:eastAsia="仿宋"/>
          <w:color w:val="auto"/>
          <w:sz w:val="24"/>
        </w:rPr>
        <w:t>）含3号煤组（3</w:t>
      </w:r>
      <w:r>
        <w:rPr>
          <w:rFonts w:ascii="仿宋" w:hAnsi="仿宋" w:eastAsia="仿宋"/>
          <w:color w:val="auto"/>
          <w:sz w:val="24"/>
          <w:vertAlign w:val="superscript"/>
        </w:rPr>
        <w:t>-1</w:t>
      </w:r>
      <w:r>
        <w:rPr>
          <w:rFonts w:ascii="仿宋" w:hAnsi="仿宋" w:eastAsia="仿宋"/>
          <w:color w:val="auto"/>
          <w:sz w:val="24"/>
        </w:rPr>
        <w:t>煤层），岩性粒度较细，以灰色泥岩及粉砂岩为主，灰白色砂岩较少，含砂率仅为29％，顶部为3</w:t>
      </w:r>
      <w:r>
        <w:rPr>
          <w:rFonts w:ascii="仿宋" w:hAnsi="仿宋" w:eastAsia="仿宋"/>
          <w:color w:val="auto"/>
          <w:sz w:val="24"/>
          <w:vertAlign w:val="superscript"/>
        </w:rPr>
        <w:t>-1</w:t>
      </w:r>
      <w:r>
        <w:rPr>
          <w:rFonts w:ascii="仿宋" w:hAnsi="仿宋" w:eastAsia="仿宋"/>
          <w:color w:val="auto"/>
          <w:sz w:val="24"/>
        </w:rPr>
        <w:t>煤层，为鸟足状三角洲的大型分流间湾沉积，下部产瓣鳃类动物化石。</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④ 延安组第四段（J</w:t>
      </w:r>
      <w:r>
        <w:rPr>
          <w:rFonts w:ascii="仿宋" w:hAnsi="仿宋" w:eastAsia="仿宋"/>
          <w:color w:val="auto"/>
          <w:sz w:val="24"/>
          <w:vertAlign w:val="subscript"/>
        </w:rPr>
        <w:t>2</w:t>
      </w:r>
      <w:r>
        <w:rPr>
          <w:rFonts w:ascii="仿宋" w:hAnsi="仿宋" w:eastAsia="仿宋"/>
          <w:color w:val="auto"/>
          <w:sz w:val="24"/>
        </w:rPr>
        <w:t>y</w:t>
      </w:r>
      <w:r>
        <w:rPr>
          <w:rFonts w:ascii="仿宋" w:hAnsi="仿宋" w:eastAsia="仿宋"/>
          <w:color w:val="auto"/>
          <w:sz w:val="24"/>
          <w:vertAlign w:val="superscript"/>
        </w:rPr>
        <w:t>4</w:t>
      </w:r>
      <w:r>
        <w:rPr>
          <w:rFonts w:ascii="仿宋" w:hAnsi="仿宋" w:eastAsia="仿宋"/>
          <w:color w:val="auto"/>
          <w:sz w:val="24"/>
        </w:rPr>
        <w:t>）含2号煤组（2</w:t>
      </w:r>
      <w:r>
        <w:rPr>
          <w:rFonts w:ascii="仿宋" w:hAnsi="仿宋" w:eastAsia="仿宋"/>
          <w:color w:val="auto"/>
          <w:sz w:val="24"/>
          <w:vertAlign w:val="superscript"/>
        </w:rPr>
        <w:t>-2上</w:t>
      </w:r>
      <w:r>
        <w:rPr>
          <w:rFonts w:ascii="仿宋" w:hAnsi="仿宋" w:eastAsia="仿宋"/>
          <w:color w:val="auto"/>
          <w:sz w:val="24"/>
        </w:rPr>
        <w:t>、2</w:t>
      </w:r>
      <w:r>
        <w:rPr>
          <w:rFonts w:ascii="仿宋" w:hAnsi="仿宋" w:eastAsia="仿宋"/>
          <w:color w:val="auto"/>
          <w:sz w:val="24"/>
          <w:vertAlign w:val="superscript"/>
        </w:rPr>
        <w:t>-2</w:t>
      </w:r>
      <w:r>
        <w:rPr>
          <w:rFonts w:ascii="仿宋" w:hAnsi="仿宋" w:eastAsia="仿宋"/>
          <w:color w:val="auto"/>
          <w:sz w:val="24"/>
        </w:rPr>
        <w:t>煤层）,上部岩性为灰色粉砂岩及泥岩，夹厚层状灰白色中细粒长石，石英砂岩，局部夹蒙脱质粘土岩及煤线;中、下部岩性主要为灰白色中粒，细粒乃粗粒长石岩屑杂砂岩，交错层理，次为灰色粉砂岩，泥岩，小型交错层理及水平层理发育。底部较细，由下向上依次为灰色泥岩，粉砂岩及细粒长石砂岩。</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⑤ 延安组第五段（J</w:t>
      </w:r>
      <w:r>
        <w:rPr>
          <w:rFonts w:ascii="仿宋" w:hAnsi="仿宋" w:eastAsia="仿宋"/>
          <w:color w:val="auto"/>
          <w:sz w:val="24"/>
          <w:vertAlign w:val="subscript"/>
        </w:rPr>
        <w:t>2</w:t>
      </w:r>
      <w:r>
        <w:rPr>
          <w:rFonts w:ascii="仿宋" w:hAnsi="仿宋" w:eastAsia="仿宋"/>
          <w:color w:val="auto"/>
          <w:sz w:val="24"/>
        </w:rPr>
        <w:t>y</w:t>
      </w:r>
      <w:r>
        <w:rPr>
          <w:rFonts w:ascii="仿宋" w:hAnsi="仿宋" w:eastAsia="仿宋"/>
          <w:color w:val="auto"/>
          <w:sz w:val="24"/>
          <w:vertAlign w:val="superscript"/>
        </w:rPr>
        <w:t>5</w:t>
      </w:r>
      <w:r>
        <w:rPr>
          <w:rFonts w:ascii="仿宋" w:hAnsi="仿宋" w:eastAsia="仿宋"/>
          <w:color w:val="auto"/>
          <w:sz w:val="24"/>
        </w:rPr>
        <w:t>）含1号煤组（1</w:t>
      </w:r>
      <w:r>
        <w:rPr>
          <w:rFonts w:ascii="仿宋" w:hAnsi="仿宋" w:eastAsia="仿宋"/>
          <w:color w:val="auto"/>
          <w:sz w:val="24"/>
          <w:vertAlign w:val="superscript"/>
        </w:rPr>
        <w:t>-2上</w:t>
      </w:r>
      <w:r>
        <w:rPr>
          <w:rFonts w:ascii="仿宋" w:hAnsi="仿宋" w:eastAsia="仿宋"/>
          <w:color w:val="auto"/>
          <w:sz w:val="24"/>
        </w:rPr>
        <w:t>、1</w:t>
      </w:r>
      <w:r>
        <w:rPr>
          <w:rFonts w:ascii="仿宋" w:hAnsi="仿宋" w:eastAsia="仿宋"/>
          <w:color w:val="auto"/>
          <w:sz w:val="24"/>
          <w:vertAlign w:val="superscript"/>
        </w:rPr>
        <w:t>-2</w:t>
      </w:r>
      <w:r>
        <w:rPr>
          <w:rFonts w:ascii="仿宋" w:hAnsi="仿宋" w:eastAsia="仿宋"/>
          <w:color w:val="auto"/>
          <w:sz w:val="24"/>
        </w:rPr>
        <w:t>煤层）,上部岩性以灰色粉砂岩，深灰色及灰黑色泥岩为主，夹炭质泥岩及煤线。中部岩性以灰白色长石，岩屑杂岩为主，具交错层理，次为灰色深灰色细碎屑岩，局部夹炭质泥岩及煤线。</w:t>
      </w:r>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下部岩性以灰色粉砂岩，深灰色泥岩为主，夹灰白色中细粒砂岩透镜体。</w:t>
      </w:r>
    </w:p>
    <w:p>
      <w:pPr>
        <w:keepNext w:val="0"/>
        <w:keepLines w:val="0"/>
        <w:pageBreakBefore w:val="0"/>
        <w:kinsoku/>
        <w:wordWrap/>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2</w:t>
      </w:r>
      <w:r>
        <w:rPr>
          <w:rFonts w:hint="eastAsia" w:ascii="仿宋" w:hAnsi="仿宋" w:eastAsia="仿宋"/>
          <w:b/>
          <w:bCs/>
          <w:color w:val="auto"/>
          <w:sz w:val="24"/>
        </w:rPr>
        <w:t>）</w:t>
      </w:r>
      <w:r>
        <w:rPr>
          <w:rFonts w:ascii="仿宋" w:hAnsi="仿宋" w:eastAsia="仿宋"/>
          <w:b/>
          <w:bCs/>
          <w:color w:val="auto"/>
          <w:sz w:val="24"/>
        </w:rPr>
        <w:t>侏罗系中统直罗组（J</w:t>
      </w:r>
      <w:r>
        <w:rPr>
          <w:rFonts w:ascii="仿宋" w:hAnsi="仿宋" w:eastAsia="仿宋"/>
          <w:b/>
          <w:bCs/>
          <w:color w:val="auto"/>
          <w:sz w:val="24"/>
          <w:vertAlign w:val="subscript"/>
        </w:rPr>
        <w:t>2</w:t>
      </w:r>
      <w:r>
        <w:rPr>
          <w:rFonts w:ascii="仿宋" w:hAnsi="仿宋" w:eastAsia="仿宋"/>
          <w:b/>
          <w:bCs/>
          <w:color w:val="auto"/>
          <w:sz w:val="24"/>
        </w:rPr>
        <w:t>z）</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本组地层遭受新生界剥蚀，由北向南变薄，据钻孔揭露，厚度60～63m，一般厚61m。与下伏地层延安组呈假整合接触。</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本组地层为一套灰绿色、兰灰色、紫杂色河湖相沉积，按岩性大致可分为上、下两个亚段，下亚段上部以灰绿色、兰灰色团块状泥岩、粉砂岩为主，夹细粒长石砂岩。下部为灰白色中、粗粒长石砂岩、岩屑长石砂岩夹灰绿色泥岩、粉砂岩。上亚段为灰绿色、兰灰色紫杂色、紫红色泥岩、粉砂岩，并与灰绿色、灰白色、暗紫色富云母细粒长石砂岩、长石杂砂岩、岩屑长石砂岩不等厚互层。</w:t>
      </w:r>
    </w:p>
    <w:p>
      <w:pPr>
        <w:keepNext w:val="0"/>
        <w:keepLines w:val="0"/>
        <w:pageBreakBefore w:val="0"/>
        <w:kinsoku/>
        <w:wordWrap/>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3</w:t>
      </w:r>
      <w:r>
        <w:rPr>
          <w:rFonts w:hint="eastAsia" w:ascii="仿宋" w:hAnsi="仿宋" w:eastAsia="仿宋"/>
          <w:b/>
          <w:bCs/>
          <w:color w:val="auto"/>
          <w:sz w:val="24"/>
        </w:rPr>
        <w:t>）</w:t>
      </w:r>
      <w:r>
        <w:rPr>
          <w:rFonts w:ascii="仿宋" w:hAnsi="仿宋" w:eastAsia="仿宋"/>
          <w:b/>
          <w:bCs/>
          <w:color w:val="auto"/>
          <w:sz w:val="24"/>
        </w:rPr>
        <w:t>第四系上更新统马兰组（Q</w:t>
      </w:r>
      <w:r>
        <w:rPr>
          <w:rFonts w:ascii="仿宋" w:hAnsi="仿宋" w:eastAsia="仿宋"/>
          <w:b/>
          <w:bCs/>
          <w:color w:val="auto"/>
          <w:sz w:val="24"/>
          <w:vertAlign w:val="subscript"/>
        </w:rPr>
        <w:t>3</w:t>
      </w:r>
      <w:r>
        <w:rPr>
          <w:rFonts w:ascii="仿宋" w:hAnsi="仿宋" w:eastAsia="仿宋"/>
          <w:b/>
          <w:bCs/>
          <w:color w:val="auto"/>
          <w:sz w:val="24"/>
        </w:rPr>
        <w:t>m）</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在区内零星小面积出露。因第四系剥蚀，厚度变化大，平均厚度约15m，岩性以土黄色、灰黄色亚粘土、亚沙土为主，含大小不一、形态各异的钙质结核，结核呈零散状分布。与下伏地层呈假整合或角度不整合接触。</w:t>
      </w:r>
    </w:p>
    <w:p>
      <w:pPr>
        <w:keepNext w:val="0"/>
        <w:keepLines w:val="0"/>
        <w:pageBreakBefore w:val="0"/>
        <w:kinsoku/>
        <w:wordWrap/>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4</w:t>
      </w:r>
      <w:r>
        <w:rPr>
          <w:rFonts w:hint="eastAsia" w:ascii="仿宋" w:hAnsi="仿宋" w:eastAsia="仿宋"/>
          <w:b/>
          <w:bCs/>
          <w:color w:val="auto"/>
          <w:sz w:val="24"/>
        </w:rPr>
        <w:t>）</w:t>
      </w:r>
      <w:r>
        <w:rPr>
          <w:rFonts w:ascii="仿宋" w:hAnsi="仿宋" w:eastAsia="仿宋"/>
          <w:b/>
          <w:bCs/>
          <w:color w:val="auto"/>
          <w:sz w:val="24"/>
        </w:rPr>
        <w:t>第四系全新统风积沙(Q</w:t>
      </w:r>
      <w:r>
        <w:rPr>
          <w:rFonts w:ascii="仿宋" w:hAnsi="仿宋" w:eastAsia="仿宋"/>
          <w:b/>
          <w:bCs/>
          <w:color w:val="auto"/>
          <w:sz w:val="24"/>
          <w:vertAlign w:val="subscript"/>
        </w:rPr>
        <w:t>4</w:t>
      </w:r>
      <w:r>
        <w:rPr>
          <w:rFonts w:ascii="仿宋" w:hAnsi="仿宋" w:eastAsia="仿宋"/>
          <w:b/>
          <w:bCs/>
          <w:color w:val="auto"/>
          <w:sz w:val="24"/>
          <w:vertAlign w:val="superscript"/>
        </w:rPr>
        <w:t>eol</w:t>
      </w:r>
      <w:r>
        <w:rPr>
          <w:rFonts w:ascii="仿宋" w:hAnsi="仿宋" w:eastAsia="仿宋"/>
          <w:b/>
          <w:bCs/>
          <w:color w:val="auto"/>
          <w:sz w:val="24"/>
        </w:rPr>
        <w:t>)</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在本区广有分布，以固定沙、半固定沙、流动沙覆于其它地层之上，中南部较厚，厚度2～6m，一般4m左右。上部岩性为浅黄色中沙、细沙及粉沙，其成份以石英、各色燧石为主。分选差，磨园度较好；下部为灰黄色、灰绿、青黄色、灰褐色及灰黑色粉沙、细沙、中沙、夹亚沙土、亚粘土。含螺、蚌壳层。</w:t>
      </w:r>
    </w:p>
    <w:p>
      <w:pPr>
        <w:pStyle w:val="2"/>
        <w:keepNext w:val="0"/>
        <w:keepLines w:val="0"/>
        <w:pageBreakBefore w:val="0"/>
        <w:kinsoku/>
        <w:wordWrap/>
        <w:topLinePunct w:val="0"/>
        <w:autoSpaceDE/>
        <w:autoSpaceDN/>
        <w:bidi w:val="0"/>
        <w:spacing w:line="360" w:lineRule="auto"/>
        <w:ind w:firstLine="482" w:firstLineChars="200"/>
        <w:jc w:val="left"/>
        <w:textAlignment w:val="auto"/>
        <w:rPr>
          <w:rFonts w:ascii="仿宋" w:hAnsi="仿宋" w:eastAsia="仿宋" w:cs="仿宋"/>
          <w:b/>
          <w:bCs/>
          <w:color w:val="auto"/>
          <w:sz w:val="24"/>
        </w:rPr>
      </w:pPr>
      <w:bookmarkStart w:id="2" w:name="_Toc111617350"/>
      <w:r>
        <w:rPr>
          <w:rFonts w:hint="eastAsia" w:ascii="仿宋" w:hAnsi="仿宋" w:eastAsia="仿宋" w:cs="仿宋"/>
          <w:b/>
          <w:bCs/>
          <w:color w:val="auto"/>
          <w:sz w:val="24"/>
        </w:rPr>
        <w:t>（2）构 造</w:t>
      </w:r>
      <w:bookmarkEnd w:id="2"/>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区内地质构造中等，总体走向北东～南西、倾向北西、倾角1～3°，一般1°左右的单斜构造。局部受断层影响，倾角增大，煤层底板形态表现为宽缓的波状起伏，走向及倾向的方向性十分明显。受后期燕山构造运动的影响，区内发育两条正断层F2、F3。</w:t>
      </w:r>
    </w:p>
    <w:p>
      <w:pPr>
        <w:keepNext w:val="0"/>
        <w:keepLines w:val="0"/>
        <w:pageBreakBefore w:val="0"/>
        <w:kinsoku/>
        <w:wordWrap/>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1</w:t>
      </w:r>
      <w:r>
        <w:rPr>
          <w:rFonts w:hint="eastAsia" w:ascii="仿宋" w:hAnsi="仿宋" w:eastAsia="仿宋"/>
          <w:b/>
          <w:bCs/>
          <w:color w:val="auto"/>
          <w:sz w:val="24"/>
        </w:rPr>
        <w:t>）</w:t>
      </w:r>
      <w:r>
        <w:rPr>
          <w:rFonts w:ascii="仿宋" w:hAnsi="仿宋" w:eastAsia="仿宋"/>
          <w:b/>
          <w:bCs/>
          <w:color w:val="auto"/>
          <w:sz w:val="24"/>
        </w:rPr>
        <w:t>吴道沟正断层（F2）</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该断层从吴道沟沿SEE方向延伸以朱盖沟村对面横穿本区。区内延伸约2.3km。断层走向NWW～SEE，倾向SSW，倾角75°左右，为北升南降的正断层。</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该断层在本区及邻区地下有H15-22与H15-21、T13与H14-22、H13-4与H14-17等钻孔分别控制其上、下盘，并有H13-4号钻孔穿过断层面，根据控制钻孔资料分析，断层落差由T13与H14-22周边向NWW与SEE方向均逐渐变小，在吴道沟附近的H15-22与H15-21钻孔之间约为35m，延伸至刘家沟村以东的T13与H14-22钻孔之间变为50m左右，至朱盖沟附近的H13-4与H14-17钻孔之间造成煤层缺失，落差约为32m，继续向SEE方向延伸，落差愈来愈小。</w:t>
      </w:r>
    </w:p>
    <w:p>
      <w:pPr>
        <w:keepNext w:val="0"/>
        <w:keepLines w:val="0"/>
        <w:pageBreakBefore w:val="0"/>
        <w:kinsoku/>
        <w:wordWrap/>
        <w:topLinePunct w:val="0"/>
        <w:autoSpaceDE/>
        <w:autoSpaceDN/>
        <w:bidi w:val="0"/>
        <w:spacing w:line="360" w:lineRule="auto"/>
        <w:ind w:firstLine="482" w:firstLineChars="200"/>
        <w:textAlignment w:val="auto"/>
        <w:rPr>
          <w:rFonts w:ascii="仿宋" w:hAnsi="仿宋" w:eastAsia="仿宋"/>
          <w:b/>
          <w:bCs/>
          <w:color w:val="auto"/>
          <w:sz w:val="24"/>
        </w:rPr>
      </w:pPr>
      <w:r>
        <w:rPr>
          <w:rFonts w:ascii="仿宋" w:hAnsi="仿宋" w:eastAsia="仿宋"/>
          <w:b/>
          <w:bCs/>
          <w:color w:val="auto"/>
          <w:sz w:val="24"/>
        </w:rPr>
        <w:t>2</w:t>
      </w:r>
      <w:r>
        <w:rPr>
          <w:rFonts w:hint="eastAsia" w:ascii="仿宋" w:hAnsi="仿宋" w:eastAsia="仿宋"/>
          <w:b/>
          <w:bCs/>
          <w:color w:val="auto"/>
          <w:sz w:val="24"/>
        </w:rPr>
        <w:t>）</w:t>
      </w:r>
      <w:r>
        <w:rPr>
          <w:rFonts w:ascii="仿宋" w:hAnsi="仿宋" w:eastAsia="仿宋"/>
          <w:b/>
          <w:bCs/>
          <w:color w:val="auto"/>
          <w:sz w:val="24"/>
        </w:rPr>
        <w:t>扎子沟正断层（F3）</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该断层沿扎子沟向SEE方向横穿本区，区内延伸约3.3km，经邻区石场峁北延伸至李家湾以东约900米处。断层走向NWW～SEE,平面上略呈“S”形展布，倾向NNE、倾角75°左右，为-南升北降的正断层，与F2断层构成地堑（见图2-2-1）。</w:t>
      </w:r>
    </w:p>
    <w:p>
      <w:pPr>
        <w:keepNext w:val="0"/>
        <w:keepLines w:val="0"/>
        <w:pageBreakBefore w:val="0"/>
        <w:kinsoku/>
        <w:wordWrap/>
        <w:topLinePunct w:val="0"/>
        <w:autoSpaceDE/>
        <w:autoSpaceDN/>
        <w:bidi w:val="0"/>
        <w:spacing w:line="360" w:lineRule="auto"/>
        <w:ind w:firstLine="480" w:firstLineChars="200"/>
        <w:textAlignment w:val="auto"/>
        <w:rPr>
          <w:rFonts w:ascii="仿宋" w:hAnsi="仿宋" w:eastAsia="仿宋"/>
          <w:color w:val="auto"/>
          <w:sz w:val="24"/>
        </w:rPr>
      </w:pPr>
      <w:r>
        <w:rPr>
          <w:rFonts w:ascii="仿宋" w:hAnsi="仿宋" w:eastAsia="仿宋"/>
          <w:color w:val="auto"/>
          <w:sz w:val="24"/>
        </w:rPr>
        <w:t>该断层在本区及邻区地下有H15-19与H15-20、93与H15-18、H13-3与94等钻孔分别控制其上、下盘，并有H15-19、T51、T53三个钻孔穿过断层面，根据控制钻孔资料分析，断层落差由NWW向SEE方向逐渐变小，在栅子沟附近的H15-19与H15-20钻孔之间造成煤层缺失，延伸至93与H15-18钻孔之间变为35m左右，至朱盖沟附近的H13-3与94钻孔之间变为30m，继续向SEE方向延伸，落差愈来愈小。</w:t>
      </w:r>
    </w:p>
    <w:p>
      <w:pPr>
        <w:pStyle w:val="2"/>
        <w:rPr>
          <w:rFonts w:hint="eastAsia" w:ascii="仿宋" w:hAnsi="仿宋" w:eastAsia="仿宋"/>
          <w:color w:val="FF0000"/>
          <w:sz w:val="24"/>
        </w:rPr>
      </w:pPr>
      <w:r>
        <w:rPr>
          <w:rFonts w:hint="eastAsia" w:ascii="仿宋" w:hAnsi="仿宋" w:eastAsia="仿宋"/>
          <w:color w:val="FF0000"/>
          <w:sz w:val="24"/>
        </w:rPr>
        <w:drawing>
          <wp:inline distT="0" distB="0" distL="114300" distR="114300">
            <wp:extent cx="5298440" cy="3392170"/>
            <wp:effectExtent l="0" t="0" r="16510" b="17780"/>
            <wp:docPr id="1" name="图片 2" descr="朱盖塔煤矿构造纲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朱盖塔煤矿构造纲要图"/>
                    <pic:cNvPicPr>
                      <a:picLocks noChangeAspect="1"/>
                    </pic:cNvPicPr>
                  </pic:nvPicPr>
                  <pic:blipFill>
                    <a:blip r:embed="rId6"/>
                    <a:srcRect l="420" t="1459" r="861" b="1424"/>
                    <a:stretch>
                      <a:fillRect/>
                    </a:stretch>
                  </pic:blipFill>
                  <pic:spPr>
                    <a:xfrm>
                      <a:off x="0" y="0"/>
                      <a:ext cx="5298440" cy="3392170"/>
                    </a:xfrm>
                    <a:prstGeom prst="rect">
                      <a:avLst/>
                    </a:prstGeom>
                    <a:noFill/>
                    <a:ln>
                      <a:noFill/>
                    </a:ln>
                  </pic:spPr>
                </pic:pic>
              </a:graphicData>
            </a:graphic>
          </wp:inline>
        </w:drawing>
      </w:r>
    </w:p>
    <w:p>
      <w:pPr>
        <w:ind w:firstLine="482"/>
        <w:jc w:val="center"/>
        <w:rPr>
          <w:rFonts w:ascii="仿宋" w:hAnsi="仿宋" w:eastAsia="仿宋"/>
          <w:b/>
          <w:bCs w:val="0"/>
          <w:color w:val="auto"/>
          <w:sz w:val="24"/>
        </w:rPr>
      </w:pPr>
      <w:r>
        <w:rPr>
          <w:rFonts w:hint="eastAsia" w:ascii="仿宋" w:hAnsi="仿宋" w:eastAsia="仿宋"/>
          <w:b/>
          <w:bCs w:val="0"/>
          <w:color w:val="auto"/>
          <w:sz w:val="24"/>
        </w:rPr>
        <w:t>煤矿</w:t>
      </w:r>
      <w:r>
        <w:rPr>
          <w:rFonts w:ascii="仿宋" w:hAnsi="仿宋" w:eastAsia="仿宋"/>
          <w:b/>
          <w:bCs w:val="0"/>
          <w:color w:val="auto"/>
          <w:sz w:val="24"/>
        </w:rPr>
        <w:t>构造纲要示意图</w:t>
      </w:r>
    </w:p>
    <w:p>
      <w:pPr>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煤 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区内具有对比意义的煤层10层，1-2上、1-2、2-2上、2-2、3-1、4-2、4-3、4-4、5-1、5-2；其中：不可采煤层3层2-2、4-2、4-4；可采煤层6层1-2、2-2上、3-1、4-3、5-1、5-2。</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勘探总体方案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auto"/>
          <w:sz w:val="24"/>
        </w:rPr>
      </w:pPr>
      <w:r>
        <w:rPr>
          <w:rFonts w:hint="eastAsia" w:ascii="仿宋" w:hAnsi="仿宋" w:eastAsia="仿宋"/>
          <w:color w:val="auto"/>
          <w:sz w:val="24"/>
        </w:rPr>
        <w:t>为了查明煤矿边界与相邻煤矿处的采空区及积水分布情况，采用大功率瞬变电磁法及高密度电法进行物探工作，然后再采用钻探对异常区进行相互配合、相互补充手段进行探测工作。本次工作计划圈定物探勘查区两块，一块位于煤矿南部与刘家峁煤矿相邻区域，一块位于煤矿东北部与锟源煤矿及朱概塔煤矿相邻区域。</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仿宋" w:hAnsi="仿宋" w:eastAsia="仿宋"/>
          <w:color w:val="auto"/>
          <w:sz w:val="24"/>
        </w:rPr>
        <w:t>本次钻孔布设原则要求充分利用以往地质成果，首先结合以往钻孔揭露，对煤层变化较大区域，在以往钻孔间距加密布设钻孔控制煤层厚度，其次在火烧边界、F3断层走向位置布设钻孔进行控制。本次钻探工作要求所有钻孔钻进至设计层位5</w:t>
      </w:r>
      <w:r>
        <w:rPr>
          <w:rFonts w:hint="eastAsia" w:ascii="仿宋" w:hAnsi="仿宋" w:eastAsia="仿宋"/>
          <w:color w:val="auto"/>
          <w:sz w:val="24"/>
          <w:vertAlign w:val="superscript"/>
        </w:rPr>
        <w:t>-2</w:t>
      </w:r>
      <w:r>
        <w:rPr>
          <w:rFonts w:hint="eastAsia" w:ascii="仿宋" w:hAnsi="仿宋" w:eastAsia="仿宋"/>
          <w:color w:val="auto"/>
          <w:sz w:val="24"/>
        </w:rPr>
        <w:t>煤。</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zh-CN" w:eastAsia="zh-CN"/>
        </w:rPr>
        <w:t>七、</w:t>
      </w:r>
      <w:r>
        <w:rPr>
          <w:rFonts w:hint="eastAsia" w:ascii="仿宋" w:hAnsi="仿宋" w:eastAsia="仿宋" w:cs="仿宋"/>
          <w:b/>
          <w:bCs/>
          <w:color w:val="auto"/>
          <w:sz w:val="24"/>
          <w:szCs w:val="24"/>
          <w:lang w:val="en-US" w:eastAsia="zh-CN"/>
        </w:rPr>
        <w:t>技术标准、规范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color w:val="auto"/>
          <w:sz w:val="24"/>
          <w:szCs w:val="24"/>
        </w:rPr>
      </w:pPr>
      <w:r>
        <w:rPr>
          <w:rFonts w:hint="eastAsia" w:ascii="仿宋" w:hAnsi="仿宋" w:eastAsia="仿宋" w:cs="仿宋"/>
          <w:color w:val="auto"/>
          <w:sz w:val="24"/>
          <w:szCs w:val="24"/>
        </w:rPr>
        <w:t>依据《煤矿地质工作规定》（安监总煤调[2013]135号）、《矿产地质勘查规范 煤》（DZ/T 0215-2020）、《煤矿床水文地质、工程地质及环境地质勘查评价标准》MTT1091-2008和《煤矿床水文地质勘查工程质量标准》MT/T 1163-2011等现行规范，对煤矿1-2煤层进行补充勘探工作。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left"/>
        <w:textAlignment w:val="auto"/>
        <w:outlineLvl w:val="1"/>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八、勘探预期成果</w:t>
      </w:r>
    </w:p>
    <w:p>
      <w:pPr>
        <w:spacing w:line="56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提交《陕西神木朱盖塔矿业有限公司朱盖塔煤矿补充勘探地质报告》及附图、附表、附件。</w:t>
      </w:r>
    </w:p>
    <w:p>
      <w:pPr>
        <w:spacing w:line="480" w:lineRule="exact"/>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提交勘探主要附图：</w:t>
      </w:r>
    </w:p>
    <w:tbl>
      <w:tblPr>
        <w:tblStyle w:val="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6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图 号</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地形地质图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综合水文地质图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岩煤层对比图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4</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勘探线剖面图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5</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施工钻孔柱状图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6</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抽水曲线图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7</w:t>
            </w:r>
          </w:p>
        </w:tc>
        <w:tc>
          <w:tcPr>
            <w:tcW w:w="3908"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水文地质剖面图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w:t>
            </w:r>
          </w:p>
        </w:tc>
        <w:tc>
          <w:tcPr>
            <w:tcW w:w="3908" w:type="pct"/>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地层综合柱状图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w:t>
            </w:r>
          </w:p>
        </w:tc>
        <w:tc>
          <w:tcPr>
            <w:tcW w:w="3908" w:type="pct"/>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采空区范围图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10</w:t>
            </w:r>
          </w:p>
        </w:tc>
        <w:tc>
          <w:tcPr>
            <w:tcW w:w="3908" w:type="pct"/>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1-2煤层顶板岩性分布及直接顶等厚线图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11</w:t>
            </w:r>
          </w:p>
        </w:tc>
        <w:tc>
          <w:tcPr>
            <w:tcW w:w="3908" w:type="pct"/>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1-2煤层底板等高线及资源量计算图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2" w:type="pct"/>
            <w:noWrap w:val="0"/>
            <w:vAlign w:val="center"/>
          </w:tcPr>
          <w:p>
            <w:pPr>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w:t>
            </w:r>
          </w:p>
        </w:tc>
        <w:tc>
          <w:tcPr>
            <w:tcW w:w="3908" w:type="pct"/>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1-2煤层底板等高线及资源量</w:t>
            </w:r>
            <w:r>
              <w:rPr>
                <w:rFonts w:hint="eastAsia" w:ascii="仿宋" w:hAnsi="仿宋" w:eastAsia="仿宋" w:cs="仿宋"/>
                <w:color w:val="auto"/>
                <w:sz w:val="24"/>
                <w:szCs w:val="24"/>
                <w:lang w:val="en-US" w:eastAsia="zh-CN"/>
              </w:rPr>
              <w:t>估</w:t>
            </w:r>
            <w:r>
              <w:rPr>
                <w:rFonts w:hint="eastAsia" w:ascii="仿宋" w:hAnsi="仿宋" w:eastAsia="仿宋" w:cs="仿宋"/>
                <w:color w:val="auto"/>
                <w:sz w:val="24"/>
                <w:szCs w:val="24"/>
              </w:rPr>
              <w:t>算图</w:t>
            </w:r>
          </w:p>
        </w:tc>
      </w:tr>
    </w:tbl>
    <w:p>
      <w:pPr>
        <w:spacing w:line="480" w:lineRule="exact"/>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勘查报告主要附表：</w:t>
      </w:r>
    </w:p>
    <w:tbl>
      <w:tblPr>
        <w:tblStyle w:val="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2"/>
        <w:gridCol w:w="6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顺序号</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附     表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钻孔综合成果表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钻孔测量成果表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水样测试成果表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4</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钻孔抽水试验成果表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5</w:t>
            </w:r>
          </w:p>
        </w:tc>
        <w:tc>
          <w:tcPr>
            <w:tcW w:w="3817" w:type="pct"/>
            <w:noWrap w:val="0"/>
            <w:vAlign w:val="center"/>
          </w:tcPr>
          <w:p>
            <w:pPr>
              <w:spacing w:line="400" w:lineRule="exact"/>
              <w:jc w:val="left"/>
              <w:rPr>
                <w:rFonts w:hint="eastAsia" w:ascii="仿宋" w:hAnsi="仿宋" w:eastAsia="仿宋" w:cs="仿宋"/>
                <w:bCs/>
                <w:color w:val="auto"/>
                <w:sz w:val="24"/>
                <w:szCs w:val="24"/>
              </w:rPr>
            </w:pPr>
            <w:r>
              <w:rPr>
                <w:rFonts w:hint="eastAsia" w:ascii="仿宋" w:hAnsi="仿宋" w:eastAsia="仿宋" w:cs="仿宋"/>
                <w:color w:val="auto"/>
                <w:sz w:val="24"/>
                <w:szCs w:val="24"/>
              </w:rPr>
              <w:t>钻孔简易水文观测统计表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83" w:type="pct"/>
            <w:noWrap w:val="0"/>
            <w:vAlign w:val="center"/>
          </w:tcPr>
          <w:p>
            <w:pPr>
              <w:spacing w:line="400" w:lineRule="exact"/>
              <w:jc w:val="center"/>
              <w:rPr>
                <w:rFonts w:hint="eastAsia" w:ascii="仿宋" w:hAnsi="仿宋" w:eastAsia="仿宋" w:cs="仿宋"/>
                <w:bCs/>
                <w:color w:val="auto"/>
                <w:sz w:val="24"/>
                <w:szCs w:val="24"/>
              </w:rPr>
            </w:pPr>
          </w:p>
        </w:tc>
        <w:tc>
          <w:tcPr>
            <w:tcW w:w="3817" w:type="pct"/>
            <w:noWrap w:val="0"/>
            <w:vAlign w:val="center"/>
          </w:tcPr>
          <w:p>
            <w:pPr>
              <w:spacing w:line="40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补充</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left"/>
        <w:textAlignment w:val="auto"/>
        <w:outlineLvl w:val="1"/>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九、勘探工期：本项目拟定工期为60日历天。</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left"/>
        <w:textAlignment w:val="auto"/>
        <w:outlineLvl w:val="1"/>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十、其他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1、施工期间，施工人员必须无条件遵守陕西神木朱盖塔矿业有限公司的各项管理制度。</w:t>
      </w:r>
    </w:p>
    <w:p>
      <w:r>
        <w:rPr>
          <w:rFonts w:hint="eastAsia" w:ascii="仿宋" w:hAnsi="仿宋" w:eastAsia="仿宋" w:cs="仿宋"/>
          <w:b w:val="0"/>
          <w:bCs w:val="0"/>
          <w:color w:val="auto"/>
          <w:sz w:val="24"/>
          <w:szCs w:val="24"/>
          <w:lang w:val="en-US" w:eastAsia="zh-CN"/>
        </w:rPr>
        <w:t>2、施工期前必须与甲方签订安全环保协议。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196216"/>
    <w:multiLevelType w:val="singleLevel"/>
    <w:tmpl w:val="37196216"/>
    <w:lvl w:ilvl="0" w:tentative="0">
      <w:start w:val="3"/>
      <w:numFmt w:val="decimal"/>
      <w:suff w:val="nothing"/>
      <w:lvlText w:val="（%1）"/>
      <w:lvlJc w:val="left"/>
    </w:lvl>
  </w:abstractNum>
  <w:abstractNum w:abstractNumId="1">
    <w:nsid w:val="757EBCFD"/>
    <w:multiLevelType w:val="singleLevel"/>
    <w:tmpl w:val="757EBCFD"/>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OWQzNGFmMTlmMThmMzFlYWM5YjUzN2U3ZDYzOTQifQ=="/>
  </w:docVars>
  <w:rsids>
    <w:rsidRoot w:val="18822390"/>
    <w:rsid w:val="18822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style>
  <w:style w:type="paragraph" w:styleId="3">
    <w:name w:val="Normal (Web)"/>
    <w:basedOn w:val="1"/>
    <w:qFormat/>
    <w:uiPriority w:val="99"/>
    <w:pPr>
      <w:widowControl/>
      <w:spacing w:before="100" w:beforeAutospacing="1" w:after="100" w:afterAutospacing="1"/>
      <w:jc w:val="left"/>
    </w:pPr>
    <w:rPr>
      <w:rFonts w:ascii="宋体" w:hAnsi="宋体" w:cs="宋体"/>
      <w:kern w:val="0"/>
      <w:sz w:val="24"/>
    </w:rPr>
  </w:style>
  <w:style w:type="paragraph" w:customStyle="1" w:styleId="6">
    <w:name w:val="清除格式"/>
    <w:basedOn w:val="1"/>
    <w:qFormat/>
    <w:uiPriority w:val="0"/>
    <w:pPr>
      <w:spacing w:line="560" w:lineRule="exact"/>
      <w:ind w:leftChars="-50" w:hanging="105" w:hangingChars="50"/>
      <w:jc w:val="center"/>
    </w:pPr>
    <w:rPr>
      <w:rFonts w:ascii="宋体"/>
      <w:b/>
      <w:color w:val="000000"/>
      <w:sz w:val="28"/>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2023-02-22T09:41:00Z</dcterms:created>
  <dc:creator>尚智</dc:creator>
  <cp:lastModifiedBy>尚智</cp:lastModifiedBy>
  <dcterms:modified xsi:type="dcterms:W3CDTF">2023-02-22T09:50:18Z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3825BF9BB4AF43FE99C8A265573072E3</vt:lpwstr>
  </property>
</Properties>
</file>