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default" w:ascii="仿宋" w:hAnsi="仿宋" w:eastAsia="仿宋" w:cs="仿宋"/>
          <w:b/>
          <w:bCs/>
          <w:color w:val="000000" w:themeColor="text1"/>
          <w:sz w:val="36"/>
          <w:szCs w:val="28"/>
          <w:lang w:val="en-US" w:eastAsia="zh-CN"/>
          <w14:textFill>
            <w14:solidFill>
              <w14:schemeClr w14:val="tx1"/>
            </w14:solidFill>
          </w14:textFill>
        </w:rPr>
      </w:pPr>
      <w:bookmarkStart w:id="0" w:name="_Toc1678"/>
      <w:r>
        <w:rPr>
          <w:rFonts w:hint="eastAsia" w:ascii="仿宋" w:hAnsi="仿宋" w:eastAsia="仿宋" w:cs="仿宋"/>
          <w:b/>
          <w:bCs/>
          <w:color w:val="000000" w:themeColor="text1"/>
          <w:sz w:val="36"/>
          <w:szCs w:val="28"/>
          <w:lang w:val="en-US" w:eastAsia="zh-CN"/>
          <w14:textFill>
            <w14:solidFill>
              <w14:schemeClr w14:val="tx1"/>
            </w14:solidFill>
          </w14:textFill>
        </w:rPr>
        <w:t>神木市朱盖塔煤矿10kV高压开关柜及故障处理系统成套装置采购项目招标公告</w:t>
      </w:r>
      <w:bookmarkEnd w:id="0"/>
    </w:p>
    <w:p>
      <w:pPr>
        <w:widowControl/>
        <w:spacing w:line="240" w:lineRule="auto"/>
        <w:ind w:firstLine="5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神木市朱盖塔煤矿10kV高压开关柜及故障处理系统成套装置采购项目的供应商可在全国公共资源交易中心平台获取招标文件，并于202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6  9</w:t>
      </w:r>
      <w:r>
        <w:rPr>
          <w:rFonts w:hint="eastAsia" w:ascii="仿宋" w:hAnsi="仿宋" w:eastAsia="仿宋" w:cs="仿宋"/>
          <w:color w:val="000000" w:themeColor="text1"/>
          <w:sz w:val="28"/>
          <w:szCs w:val="28"/>
          <w:lang w:eastAsia="zh-CN"/>
          <w14:textFill>
            <w14:solidFill>
              <w14:schemeClr w14:val="tx1"/>
            </w14:solidFill>
          </w14:textFill>
        </w:rPr>
        <w:t>:30:00前递交投标文件</w:t>
      </w:r>
      <w:r>
        <w:rPr>
          <w:rFonts w:hint="eastAsia" w:ascii="仿宋" w:hAnsi="仿宋" w:eastAsia="仿宋" w:cs="仿宋"/>
          <w:color w:val="000000" w:themeColor="text1"/>
          <w:sz w:val="28"/>
          <w:szCs w:val="28"/>
          <w14:textFill>
            <w14:solidFill>
              <w14:schemeClr w14:val="tx1"/>
            </w14:solidFill>
          </w14:textFill>
        </w:rPr>
        <w:t>。</w:t>
      </w:r>
    </w:p>
    <w:p>
      <w:pPr>
        <w:pStyle w:val="8"/>
        <w:widowControl/>
        <w:spacing w:before="0" w:line="240" w:lineRule="auto"/>
        <w:outlineLvl w:val="1"/>
        <w:rPr>
          <w:rFonts w:hint="eastAsia" w:ascii="仿宋" w:hAnsi="仿宋" w:eastAsia="仿宋" w:cs="仿宋"/>
          <w:color w:val="000000" w:themeColor="text1"/>
          <w:sz w:val="28"/>
          <w:szCs w:val="28"/>
          <w14:textFill>
            <w14:solidFill>
              <w14:schemeClr w14:val="tx1"/>
            </w14:solidFill>
          </w14:textFill>
        </w:rPr>
      </w:pPr>
      <w:bookmarkStart w:id="1" w:name="_Toc25995"/>
      <w:r>
        <w:rPr>
          <w:rFonts w:hint="eastAsia" w:ascii="仿宋" w:hAnsi="仿宋" w:eastAsia="仿宋" w:cs="仿宋"/>
          <w:color w:val="000000" w:themeColor="text1"/>
          <w:sz w:val="28"/>
          <w:szCs w:val="28"/>
          <w:lang w:bidi="ar"/>
          <w14:textFill>
            <w14:solidFill>
              <w14:schemeClr w14:val="tx1"/>
            </w14:solidFill>
          </w14:textFill>
        </w:rPr>
        <w:t>一、项目基本情况：</w:t>
      </w:r>
      <w:bookmarkEnd w:id="1"/>
    </w:p>
    <w:p>
      <w:pPr>
        <w:pStyle w:val="4"/>
        <w:keepNext w:val="0"/>
        <w:keepLines w:val="0"/>
        <w:pageBreakBefore w:val="0"/>
        <w:kinsoku/>
        <w:wordWrap/>
        <w:overflowPunct/>
        <w:topLinePunct w:val="0"/>
        <w:autoSpaceDE/>
        <w:autoSpaceDN/>
        <w:bidi w:val="0"/>
        <w:adjustRightIn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lang w:eastAsia="zh-CN"/>
          <w14:textFill>
            <w14:solidFill>
              <w14:schemeClr w14:val="tx1"/>
            </w14:solidFill>
          </w14:textFill>
        </w:rPr>
        <w:t>SXXSJ2022-</w:t>
      </w:r>
      <w:r>
        <w:rPr>
          <w:rFonts w:hint="eastAsia" w:ascii="仿宋" w:hAnsi="仿宋" w:eastAsia="仿宋" w:cs="仿宋"/>
          <w:color w:val="000000" w:themeColor="text1"/>
          <w:sz w:val="28"/>
          <w:szCs w:val="28"/>
          <w:lang w:val="en-US" w:eastAsia="zh-CN"/>
          <w14:textFill>
            <w14:solidFill>
              <w14:schemeClr w14:val="tx1"/>
            </w14:solidFill>
          </w14:textFill>
        </w:rPr>
        <w:t>58</w:t>
      </w:r>
    </w:p>
    <w:p>
      <w:pPr>
        <w:pStyle w:val="4"/>
        <w:keepNext w:val="0"/>
        <w:keepLines w:val="0"/>
        <w:pageBreakBefore w:val="0"/>
        <w:kinsoku/>
        <w:wordWrap/>
        <w:overflowPunct/>
        <w:topLinePunct w:val="0"/>
        <w:autoSpaceDE/>
        <w:autoSpaceDN/>
        <w:bidi w:val="0"/>
        <w:adjustRightIn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lang w:eastAsia="zh-CN"/>
          <w14:textFill>
            <w14:solidFill>
              <w14:schemeClr w14:val="tx1"/>
            </w14:solidFill>
          </w14:textFill>
        </w:rPr>
        <w:t>神木市朱盖塔煤矿10kV高压开关柜及故障处理系统成套装置采购项目</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采购方式：公开招标</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预算金额：5445000元</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采购需求：</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合同包1(10kV高压开关柜及故障处理系统成套装置):</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合同包预算金额：5445000元</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合同包最高限价：5445000元</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21"/>
        <w:gridCol w:w="1462"/>
        <w:gridCol w:w="1063"/>
        <w:gridCol w:w="1587"/>
        <w:gridCol w:w="151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品目号</w:t>
            </w:r>
          </w:p>
        </w:tc>
        <w:tc>
          <w:tcPr>
            <w:tcW w:w="1221"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品目名称</w:t>
            </w:r>
          </w:p>
        </w:tc>
        <w:tc>
          <w:tcPr>
            <w:tcW w:w="1462"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采购标的</w:t>
            </w:r>
          </w:p>
        </w:tc>
        <w:tc>
          <w:tcPr>
            <w:tcW w:w="1063"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数量</w:t>
            </w:r>
          </w:p>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（单位）</w:t>
            </w:r>
          </w:p>
        </w:tc>
        <w:tc>
          <w:tcPr>
            <w:tcW w:w="1587"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技术规格、参数及要求</w:t>
            </w:r>
          </w:p>
        </w:tc>
        <w:tc>
          <w:tcPr>
            <w:tcW w:w="1513"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品目预算(元)</w:t>
            </w:r>
          </w:p>
        </w:tc>
        <w:tc>
          <w:tcPr>
            <w:tcW w:w="1553"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1-1</w:t>
            </w:r>
          </w:p>
        </w:tc>
        <w:tc>
          <w:tcPr>
            <w:tcW w:w="1221"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开关柜</w:t>
            </w:r>
          </w:p>
        </w:tc>
        <w:tc>
          <w:tcPr>
            <w:tcW w:w="1462"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10kV高压开关柜及故障处理系统成套装置</w:t>
            </w:r>
          </w:p>
        </w:tc>
        <w:tc>
          <w:tcPr>
            <w:tcW w:w="1063"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1(套)</w:t>
            </w:r>
          </w:p>
        </w:tc>
        <w:tc>
          <w:tcPr>
            <w:tcW w:w="1587"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详见采购文件</w:t>
            </w:r>
          </w:p>
        </w:tc>
        <w:tc>
          <w:tcPr>
            <w:tcW w:w="1513" w:type="dxa"/>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5445000</w:t>
            </w:r>
          </w:p>
        </w:tc>
        <w:tc>
          <w:tcPr>
            <w:tcW w:w="1553" w:type="dxa"/>
            <w:vAlign w:val="center"/>
          </w:tcPr>
          <w:p>
            <w:pPr>
              <w:keepNext w:val="0"/>
              <w:keepLines w:val="0"/>
              <w:widowControl/>
              <w:suppressLineNumbers w:val="0"/>
              <w:wordWrap/>
              <w:spacing w:before="0" w:beforeAutospacing="0" w:after="0" w:afterAutospacing="0" w:line="360" w:lineRule="atLeast"/>
              <w:ind w:left="0" w:leftChars="0" w:right="0" w:rightChars="0"/>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5445000</w:t>
            </w:r>
          </w:p>
        </w:tc>
      </w:tr>
    </w:tbl>
    <w:p>
      <w:pPr>
        <w:keepNext w:val="0"/>
        <w:keepLines w:val="0"/>
        <w:pageBreakBefore w:val="0"/>
        <w:widowControl/>
        <w:kinsoku/>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本合同包不接受联合体投标</w:t>
      </w:r>
    </w:p>
    <w:p>
      <w:pPr>
        <w:pStyle w:val="2"/>
        <w:spacing w:line="24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合同履行期限：合同签订后</w:t>
      </w:r>
      <w:r>
        <w:rPr>
          <w:rFonts w:hint="eastAsia" w:ascii="仿宋" w:hAnsi="仿宋" w:eastAsia="仿宋" w:cs="仿宋"/>
          <w:color w:val="000000" w:themeColor="text1"/>
          <w:sz w:val="28"/>
          <w:szCs w:val="28"/>
          <w:lang w:eastAsia="zh-CN"/>
          <w14:textFill>
            <w14:solidFill>
              <w14:schemeClr w14:val="tx1"/>
            </w14:solidFill>
          </w14:textFill>
        </w:rPr>
        <w:t>120个自然日</w:t>
      </w:r>
      <w:r>
        <w:rPr>
          <w:rFonts w:hint="eastAsia" w:ascii="仿宋" w:hAnsi="仿宋" w:eastAsia="仿宋" w:cs="仿宋"/>
          <w:color w:val="000000" w:themeColor="text1"/>
          <w:sz w:val="28"/>
          <w:szCs w:val="28"/>
          <w14:textFill>
            <w14:solidFill>
              <w14:schemeClr w14:val="tx1"/>
            </w14:solidFill>
          </w14:textFill>
        </w:rPr>
        <w:t>到货</w:t>
      </w:r>
      <w:r>
        <w:rPr>
          <w:rFonts w:hint="eastAsia" w:ascii="仿宋" w:hAnsi="仿宋" w:eastAsia="仿宋" w:cs="仿宋"/>
          <w:color w:val="000000" w:themeColor="text1"/>
          <w:sz w:val="28"/>
          <w:szCs w:val="28"/>
          <w:lang w:eastAsia="zh-CN"/>
          <w14:textFill>
            <w14:solidFill>
              <w14:schemeClr w14:val="tx1"/>
            </w14:solidFill>
          </w14:textFill>
        </w:rPr>
        <w:t>。</w:t>
      </w:r>
    </w:p>
    <w:p>
      <w:pPr>
        <w:pStyle w:val="8"/>
        <w:widowControl/>
        <w:spacing w:before="0" w:line="240" w:lineRule="auto"/>
        <w:outlineLvl w:val="1"/>
        <w:rPr>
          <w:rFonts w:hint="eastAsia" w:ascii="仿宋" w:hAnsi="仿宋" w:eastAsia="仿宋" w:cs="仿宋"/>
          <w:color w:val="000000" w:themeColor="text1"/>
          <w:sz w:val="28"/>
          <w:szCs w:val="28"/>
          <w14:textFill>
            <w14:solidFill>
              <w14:schemeClr w14:val="tx1"/>
            </w14:solidFill>
          </w14:textFill>
        </w:rPr>
      </w:pPr>
      <w:bookmarkStart w:id="2" w:name="_Toc29141"/>
      <w:r>
        <w:rPr>
          <w:rFonts w:hint="eastAsia" w:ascii="仿宋" w:hAnsi="仿宋" w:eastAsia="仿宋" w:cs="仿宋"/>
          <w:color w:val="000000" w:themeColor="text1"/>
          <w:sz w:val="28"/>
          <w:szCs w:val="28"/>
          <w:lang w:bidi="ar"/>
          <w14:textFill>
            <w14:solidFill>
              <w14:schemeClr w14:val="tx1"/>
            </w14:solidFill>
          </w14:textFill>
        </w:rPr>
        <w:t xml:space="preserve">二、 </w:t>
      </w:r>
      <w:r>
        <w:rPr>
          <w:rFonts w:hint="eastAsia" w:ascii="仿宋" w:hAnsi="仿宋" w:eastAsia="仿宋" w:cs="仿宋"/>
          <w:color w:val="000000" w:themeColor="text1"/>
          <w:sz w:val="28"/>
          <w:szCs w:val="28"/>
          <w:lang w:val="en-US" w:eastAsia="zh-CN" w:bidi="ar"/>
          <w14:textFill>
            <w14:solidFill>
              <w14:schemeClr w14:val="tx1"/>
            </w14:solidFill>
          </w14:textFill>
        </w:rPr>
        <w:t>申请人</w:t>
      </w:r>
      <w:r>
        <w:rPr>
          <w:rFonts w:hint="eastAsia" w:ascii="仿宋" w:hAnsi="仿宋" w:eastAsia="仿宋" w:cs="仿宋"/>
          <w:color w:val="000000" w:themeColor="text1"/>
          <w:sz w:val="28"/>
          <w:szCs w:val="28"/>
          <w:lang w:bidi="ar"/>
          <w14:textFill>
            <w14:solidFill>
              <w14:schemeClr w14:val="tx1"/>
            </w14:solidFill>
          </w14:textFill>
        </w:rPr>
        <w:t>的资格要求</w:t>
      </w:r>
      <w:bookmarkEnd w:id="2"/>
      <w:r>
        <w:rPr>
          <w:rFonts w:hint="eastAsia" w:ascii="仿宋" w:hAnsi="仿宋" w:eastAsia="仿宋" w:cs="仿宋"/>
          <w:color w:val="000000" w:themeColor="text1"/>
          <w:sz w:val="28"/>
          <w:szCs w:val="28"/>
          <w:lang w:bidi="ar"/>
          <w14:textFill>
            <w14:solidFill>
              <w14:schemeClr w14:val="tx1"/>
            </w14:solidFill>
          </w14:textFill>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《政府采购促进中小企业发展管理法》（财库〔2020〕46号）</w:t>
      </w:r>
      <w:r>
        <w:rPr>
          <w:rFonts w:hint="eastAsia" w:ascii="仿宋" w:hAnsi="仿宋" w:eastAsia="仿宋" w:cs="仿宋"/>
          <w:color w:val="000000" w:themeColor="text1"/>
          <w:sz w:val="28"/>
          <w:szCs w:val="28"/>
          <w:lang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《财政部司法部关于政府采购支持监狱企业发展有关问题的通知》（财库〔2014〕68号）；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《国务院办公厅关于建立政府强制采购节能产品制度的通知》（国办发〔2007〕51号）；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《环境标志产品政府采购实施的意见》（财库[2006]90号）；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《节能产品政府采购实施意见》（财库[2004] 185号）；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《财政部民政部中国残疾人联合会关于促进残疾人就业政府采购政策的通知》（财库〔2017〕141号）；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《关于在政府采购活动中查询及使用信用记录有关问题的通知》（财库〔2016〕125号）；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《陕西省中小企业政府采购信用融资办法》（陕财办采〔2018〕23号）。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本项目的特定资格要求：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须</w:t>
      </w:r>
      <w:r>
        <w:rPr>
          <w:rFonts w:hint="eastAsia" w:ascii="仿宋" w:hAnsi="仿宋" w:eastAsia="仿宋" w:cs="仿宋"/>
          <w:color w:val="000000" w:themeColor="text1"/>
          <w:sz w:val="28"/>
          <w:szCs w:val="28"/>
          <w14:textFill>
            <w14:solidFill>
              <w14:schemeClr w14:val="tx1"/>
            </w14:solidFill>
          </w14:textFill>
        </w:rPr>
        <w:t>为具有独立承担民事责任能力的法人、事业法人、其他组织或自然人。企业法人应</w:t>
      </w: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14:textFill>
            <w14:solidFill>
              <w14:schemeClr w14:val="tx1"/>
            </w14:solidFill>
          </w14:textFill>
        </w:rPr>
        <w:t>合法有效的标识有统一社会信用代码的营业执照；事业法人应</w:t>
      </w: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14:textFill>
            <w14:solidFill>
              <w14:schemeClr w14:val="tx1"/>
            </w14:solidFill>
          </w14:textFill>
        </w:rPr>
        <w:t>事业单位法人证书；其他组织应</w:t>
      </w: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14:textFill>
            <w14:solidFill>
              <w14:schemeClr w14:val="tx1"/>
            </w14:solidFill>
          </w14:textFill>
        </w:rPr>
        <w:t>合法登记证明文件；自然</w:t>
      </w:r>
      <w:r>
        <w:rPr>
          <w:rFonts w:hint="eastAsia" w:ascii="仿宋" w:hAnsi="仿宋" w:eastAsia="仿宋" w:cs="仿宋"/>
          <w:color w:val="000000" w:themeColor="text1"/>
          <w:sz w:val="28"/>
          <w:szCs w:val="28"/>
          <w:lang w:val="en-US" w:eastAsia="zh-CN"/>
          <w14:textFill>
            <w14:solidFill>
              <w14:schemeClr w14:val="tx1"/>
            </w14:solidFill>
          </w14:textFill>
        </w:rPr>
        <w:t>人应具有身份证；</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19" w:leftChars="9" w:firstLine="537" w:firstLineChars="192"/>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3.2供应商应</w:t>
      </w:r>
      <w:r>
        <w:rPr>
          <w:rFonts w:hint="eastAsia" w:ascii="仿宋" w:hAnsi="仿宋" w:eastAsia="仿宋" w:cs="仿宋"/>
          <w:color w:val="000000" w:themeColor="text1"/>
          <w:sz w:val="28"/>
          <w:szCs w:val="28"/>
          <w14:textFill>
            <w14:solidFill>
              <w14:schemeClr w14:val="tx1"/>
            </w14:solidFill>
          </w14:textFill>
        </w:rPr>
        <w:t>具有履行合同所必需的设备和专业技术能力的证明资料或承诺书；</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3.3具有供应商2021年经审计的财</w:t>
      </w:r>
      <w:r>
        <w:rPr>
          <w:rFonts w:hint="eastAsia" w:ascii="仿宋" w:hAnsi="仿宋" w:eastAsia="仿宋" w:cs="仿宋"/>
          <w:color w:val="000000" w:themeColor="text1"/>
          <w:sz w:val="28"/>
          <w:szCs w:val="28"/>
          <w14:textFill>
            <w14:solidFill>
              <w14:schemeClr w14:val="tx1"/>
            </w14:solidFill>
          </w14:textFill>
        </w:rPr>
        <w:t>务</w:t>
      </w:r>
      <w:r>
        <w:rPr>
          <w:rFonts w:hint="eastAsia" w:ascii="仿宋" w:hAnsi="仿宋" w:eastAsia="仿宋" w:cs="仿宋"/>
          <w:color w:val="000000" w:themeColor="text1"/>
          <w:sz w:val="28"/>
          <w:szCs w:val="28"/>
          <w:lang w:val="en-US" w:eastAsia="zh-CN"/>
          <w14:textFill>
            <w14:solidFill>
              <w14:schemeClr w14:val="tx1"/>
            </w14:solidFill>
          </w14:textFill>
        </w:rPr>
        <w:t>会计</w:t>
      </w:r>
      <w:r>
        <w:rPr>
          <w:rFonts w:hint="eastAsia" w:ascii="仿宋" w:hAnsi="仿宋" w:eastAsia="仿宋" w:cs="仿宋"/>
          <w:color w:val="000000" w:themeColor="text1"/>
          <w:sz w:val="28"/>
          <w:szCs w:val="28"/>
          <w14:textFill>
            <w14:solidFill>
              <w14:schemeClr w14:val="tx1"/>
            </w14:solidFill>
          </w14:textFill>
        </w:rPr>
        <w:t>报告</w:t>
      </w:r>
      <w:r>
        <w:rPr>
          <w:rFonts w:hint="eastAsia" w:ascii="仿宋" w:hAnsi="仿宋" w:eastAsia="仿宋" w:cs="仿宋"/>
          <w:color w:val="000000" w:themeColor="text1"/>
          <w:sz w:val="28"/>
          <w:szCs w:val="28"/>
          <w:lang w:eastAsia="zh-CN"/>
          <w14:textFill>
            <w14:solidFill>
              <w14:schemeClr w14:val="tx1"/>
            </w14:solidFill>
          </w14:textFill>
        </w:rPr>
        <w:t>（至少包括审计报告、资产负债表和利润表）；</w:t>
      </w:r>
      <w:r>
        <w:rPr>
          <w:rFonts w:hint="eastAsia" w:ascii="仿宋" w:hAnsi="仿宋" w:eastAsia="仿宋" w:cs="仿宋"/>
          <w:color w:val="000000" w:themeColor="text1"/>
          <w:sz w:val="28"/>
          <w:szCs w:val="28"/>
          <w14:textFill>
            <w14:solidFill>
              <w14:schemeClr w14:val="tx1"/>
            </w14:solidFill>
          </w14:textFill>
        </w:rPr>
        <w:t>成立时间至提交投标文件递交截止时间不足一年的，须</w:t>
      </w: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14:textFill>
            <w14:solidFill>
              <w14:schemeClr w14:val="tx1"/>
            </w14:solidFill>
          </w14:textFill>
        </w:rPr>
        <w:t>其基本存款账户开户银行近三个月内出具的银行资信证明或自成立后任意时段的资产负债表；</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3.4具有</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已缴存的202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年1月1日以来</w:t>
      </w:r>
      <w:r>
        <w:rPr>
          <w:rFonts w:hint="eastAsia" w:ascii="仿宋" w:hAnsi="仿宋" w:eastAsia="仿宋" w:cs="仿宋"/>
          <w:color w:val="000000" w:themeColor="text1"/>
          <w:sz w:val="28"/>
          <w:szCs w:val="28"/>
          <w:lang w:val="en-US" w:eastAsia="zh-CN"/>
          <w14:textFill>
            <w14:solidFill>
              <w14:schemeClr w14:val="tx1"/>
            </w14:solidFill>
          </w14:textFill>
        </w:rPr>
        <w:t>任意一个</w:t>
      </w:r>
      <w:r>
        <w:rPr>
          <w:rFonts w:hint="eastAsia" w:ascii="仿宋" w:hAnsi="仿宋" w:eastAsia="仿宋" w:cs="仿宋"/>
          <w:color w:val="000000" w:themeColor="text1"/>
          <w:sz w:val="28"/>
          <w:szCs w:val="28"/>
          <w14:textFill>
            <w14:solidFill>
              <w14:schemeClr w14:val="tx1"/>
            </w14:solidFill>
          </w14:textFill>
        </w:rPr>
        <w:t>月的社会保障资金缴存单据或社保机构开具的社会保险参保缴费情况证明。依法不需要缴纳社会保障资金的</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应提供相关文件证明；</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3.5具有</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已缴纳的202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年1月1日以来</w:t>
      </w:r>
      <w:r>
        <w:rPr>
          <w:rFonts w:hint="eastAsia" w:ascii="仿宋" w:hAnsi="仿宋" w:eastAsia="仿宋" w:cs="仿宋"/>
          <w:color w:val="000000" w:themeColor="text1"/>
          <w:sz w:val="28"/>
          <w:szCs w:val="28"/>
          <w:lang w:val="en-US" w:eastAsia="zh-CN"/>
          <w14:textFill>
            <w14:solidFill>
              <w14:schemeClr w14:val="tx1"/>
            </w14:solidFill>
          </w14:textFill>
        </w:rPr>
        <w:t>任意一个</w:t>
      </w:r>
      <w:r>
        <w:rPr>
          <w:rFonts w:hint="eastAsia" w:ascii="仿宋" w:hAnsi="仿宋" w:eastAsia="仿宋" w:cs="仿宋"/>
          <w:color w:val="000000" w:themeColor="text1"/>
          <w:sz w:val="28"/>
          <w:szCs w:val="28"/>
          <w14:textFill>
            <w14:solidFill>
              <w14:schemeClr w14:val="tx1"/>
            </w14:solidFill>
          </w14:textFill>
        </w:rPr>
        <w:t>月的纳税证明或完税证明，纳税证明或完税证明上应有代收机构或税务机关的公章或业务专用章。依法免税的</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应提供相关文件证明</w:t>
      </w:r>
      <w:r>
        <w:rPr>
          <w:rFonts w:hint="eastAsia" w:ascii="仿宋" w:hAnsi="仿宋" w:eastAsia="仿宋" w:cs="仿宋"/>
          <w:color w:val="000000" w:themeColor="text1"/>
          <w:sz w:val="28"/>
          <w:szCs w:val="28"/>
          <w:lang w:eastAsia="zh-CN"/>
          <w14:textFill>
            <w14:solidFill>
              <w14:schemeClr w14:val="tx1"/>
            </w14:solidFill>
          </w14:textFill>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3.6</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应具有</w:t>
      </w:r>
      <w:r>
        <w:rPr>
          <w:rFonts w:hint="eastAsia" w:ascii="仿宋" w:hAnsi="仿宋" w:eastAsia="仿宋" w:cs="仿宋"/>
          <w:color w:val="000000" w:themeColor="text1"/>
          <w:sz w:val="28"/>
          <w:szCs w:val="28"/>
          <w14:textFill>
            <w14:solidFill>
              <w14:schemeClr w14:val="tx1"/>
            </w14:solidFill>
          </w14:textFill>
        </w:rPr>
        <w:t>投标保证金缴纳凭证；</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3.7</w:t>
      </w: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lang w:val="en-US" w:eastAsia="zh-CN"/>
          <w14:textFill>
            <w14:solidFill>
              <w14:schemeClr w14:val="tx1"/>
            </w14:solidFill>
          </w14:textFill>
        </w:rPr>
        <w:t>应具有良好的商业信誉，</w:t>
      </w:r>
      <w:r>
        <w:rPr>
          <w:rFonts w:hint="eastAsia" w:ascii="仿宋" w:hAnsi="仿宋" w:eastAsia="仿宋" w:cs="仿宋"/>
          <w:color w:val="000000" w:themeColor="text1"/>
          <w:sz w:val="28"/>
          <w:szCs w:val="28"/>
          <w14:textFill>
            <w14:solidFill>
              <w14:schemeClr w14:val="tx1"/>
            </w14:solidFill>
          </w14:textFill>
        </w:rPr>
        <w:t>应未被列入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信用中国网站(www.creditchina.gov.cn)</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行政处罚记录、失信被执行人、重大税收违法案件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当事人名单</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中国政府采购网网站(www.ccgp.gov.cn)</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违法失信行为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名单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查询相关主体信用记录（查询日期为从招标文件发售之日起至投标截止时间前），以网站截图加盖供应商公章为准；</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3.8本项目不接受联合体投标。单位负责人为同一人或者存在控股、管理关系的不同单位，不得参加同一标段</w:t>
      </w:r>
      <w:r>
        <w:rPr>
          <w:rFonts w:hint="eastAsia" w:ascii="仿宋" w:hAnsi="仿宋" w:eastAsia="仿宋" w:cs="仿宋"/>
          <w:color w:val="000000" w:themeColor="text1"/>
          <w:sz w:val="28"/>
          <w:szCs w:val="28"/>
          <w14:textFill>
            <w14:solidFill>
              <w14:schemeClr w14:val="tx1"/>
            </w14:solidFill>
          </w14:textFill>
        </w:rPr>
        <w:t>投标或者未划分标段的同一采购项目投标。违反规定的，其投标均无效。</w:t>
      </w:r>
    </w:p>
    <w:p>
      <w:pPr>
        <w:keepNext w:val="0"/>
        <w:keepLines w:val="0"/>
        <w:pageBreakBefore w:val="0"/>
        <w:widowControl/>
        <w:kinsoku/>
        <w:overflowPunct/>
        <w:topLinePunct w:val="0"/>
        <w:autoSpaceDE/>
        <w:autoSpaceDN/>
        <w:bidi w:val="0"/>
        <w:adjustRightInd/>
        <w:snapToGrid/>
        <w:spacing w:line="240" w:lineRule="auto"/>
        <w:textAlignment w:val="auto"/>
        <w:outlineLvl w:val="1"/>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bookmarkStart w:id="3" w:name="_Toc16159"/>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三、获取招标文件</w:t>
      </w:r>
      <w:bookmarkEnd w:id="3"/>
    </w:p>
    <w:p>
      <w:pPr>
        <w:ind w:firstLine="560" w:firstLineChars="200"/>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时间：2022年12月16日 至 2022年121月22日，每天上午 08:00:00 至 11:30:00 ，下午 14:00:00 至 17:30:00 （北京时间,法定节假日除外）</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地点：全国公共资源交易中心平台</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方式：全国公共资源交易中心平台在线获取</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售价： 免费获取</w:t>
      </w:r>
    </w:p>
    <w:p>
      <w:pPr>
        <w:keepNext w:val="0"/>
        <w:keepLines w:val="0"/>
        <w:pageBreakBefore w:val="0"/>
        <w:widowControl/>
        <w:kinsoku/>
        <w:overflowPunct/>
        <w:topLinePunct w:val="0"/>
        <w:autoSpaceDE/>
        <w:autoSpaceDN/>
        <w:bidi w:val="0"/>
        <w:adjustRightInd/>
        <w:snapToGrid/>
        <w:spacing w:line="240" w:lineRule="auto"/>
        <w:textAlignment w:val="auto"/>
        <w:outlineLvl w:val="1"/>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bookmarkStart w:id="4" w:name="_Toc30458"/>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四、提交投标文件截止时间、开标时间和地点</w:t>
      </w:r>
      <w:bookmarkEnd w:id="4"/>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时间：2023年1月6日10时30分00秒 （北京时间）</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地点：全国公共资源交易中心平台CA锁在线上传递交</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开标地点：榆林市公共资源交易中心十楼开标室7</w:t>
      </w:r>
    </w:p>
    <w:p>
      <w:pPr>
        <w:pStyle w:val="8"/>
        <w:widowControl/>
        <w:spacing w:before="0" w:line="240" w:lineRule="auto"/>
        <w:outlineLvl w:val="1"/>
        <w:rPr>
          <w:rFonts w:hint="eastAsia" w:ascii="仿宋" w:hAnsi="仿宋" w:eastAsia="仿宋" w:cs="仿宋"/>
          <w:color w:val="000000" w:themeColor="text1"/>
          <w:sz w:val="28"/>
          <w:szCs w:val="28"/>
          <w14:textFill>
            <w14:solidFill>
              <w14:schemeClr w14:val="tx1"/>
            </w14:solidFill>
          </w14:textFill>
        </w:rPr>
      </w:pPr>
      <w:bookmarkStart w:id="5" w:name="_Toc19888"/>
      <w:r>
        <w:rPr>
          <w:rFonts w:hint="eastAsia" w:ascii="仿宋" w:hAnsi="仿宋" w:eastAsia="仿宋" w:cs="仿宋"/>
          <w:color w:val="000000" w:themeColor="text1"/>
          <w:sz w:val="28"/>
          <w:szCs w:val="28"/>
          <w:lang w:bidi="ar"/>
          <w14:textFill>
            <w14:solidFill>
              <w14:schemeClr w14:val="tx1"/>
            </w14:solidFill>
          </w14:textFill>
        </w:rPr>
        <w:t>五、公告期限</w:t>
      </w:r>
      <w:bookmarkEnd w:id="5"/>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自本公告发布之日起5个工作日</w:t>
      </w:r>
    </w:p>
    <w:p>
      <w:pPr>
        <w:pStyle w:val="8"/>
        <w:widowControl/>
        <w:spacing w:before="0" w:line="240" w:lineRule="auto"/>
        <w:outlineLvl w:val="1"/>
        <w:rPr>
          <w:rFonts w:hint="eastAsia" w:ascii="仿宋" w:hAnsi="仿宋" w:eastAsia="仿宋" w:cs="仿宋"/>
          <w:color w:val="000000" w:themeColor="text1"/>
          <w:sz w:val="28"/>
          <w:szCs w:val="28"/>
          <w14:textFill>
            <w14:solidFill>
              <w14:schemeClr w14:val="tx1"/>
            </w14:solidFill>
          </w14:textFill>
        </w:rPr>
      </w:pPr>
      <w:bookmarkStart w:id="6" w:name="_Toc30315"/>
      <w:r>
        <w:rPr>
          <w:rFonts w:hint="eastAsia" w:ascii="仿宋" w:hAnsi="仿宋" w:eastAsia="仿宋" w:cs="仿宋"/>
          <w:color w:val="000000" w:themeColor="text1"/>
          <w:sz w:val="28"/>
          <w:szCs w:val="28"/>
          <w:lang w:bidi="ar"/>
          <w14:textFill>
            <w14:solidFill>
              <w14:schemeClr w14:val="tx1"/>
            </w14:solidFill>
          </w14:textFill>
        </w:rPr>
        <w:t>六、其他补充事宜</w:t>
      </w:r>
      <w:bookmarkEnd w:id="6"/>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地点：榆林市公共资源交易中心十楼开标室7（不见面开标）</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（http://www.sxggzyjy.cn/）,选择“电子交易平台-陕西政府采购交易系统-陕西省公共资源交易平台-供应商”进行登录，登录后选择“交易乙方”身份进入供应商界面进行报名并免费下载招标文件；</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本项目采用电子化不见面开标方式，开标时建议供应商使用带有麦克风和摄像头的笔记本电脑，登录不见面开标系统进行供应商签到和投标文件解密等开标事宜；</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    </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CA办理：榆林市市民大厦四楼窗口购买或下载手机APP（陕西公共资源交易服务），线上购买，咨询电话：0912-3515031。</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 w:name="_Toc16018"/>
      <w:r>
        <w:rPr>
          <w:rFonts w:hint="eastAsia" w:ascii="仿宋" w:hAnsi="仿宋" w:eastAsia="仿宋" w:cs="仿宋"/>
          <w:b/>
          <w:bCs/>
          <w:color w:val="000000" w:themeColor="text1"/>
          <w:sz w:val="28"/>
          <w:szCs w:val="28"/>
          <w:lang w:val="en-US" w:eastAsia="zh-CN"/>
          <w14:textFill>
            <w14:solidFill>
              <w14:schemeClr w14:val="tx1"/>
            </w14:solidFill>
          </w14:textFill>
        </w:rPr>
        <w:t>七、对本次招标提出询问，请按以下方式联系。</w:t>
      </w:r>
      <w:bookmarkEnd w:id="7"/>
      <w:r>
        <w:rPr>
          <w:rFonts w:hint="eastAsia" w:ascii="仿宋" w:hAnsi="仿宋" w:eastAsia="仿宋" w:cs="仿宋"/>
          <w:color w:val="000000" w:themeColor="text1"/>
          <w:sz w:val="28"/>
          <w:szCs w:val="28"/>
          <w:lang w:bidi="ar"/>
          <w14:textFill>
            <w14:solidFill>
              <w14:schemeClr w14:val="tx1"/>
            </w14:solidFill>
          </w14:textFill>
        </w:rPr>
        <w:t xml:space="preserve"> </w:t>
      </w:r>
    </w:p>
    <w:p>
      <w:pPr>
        <w:pStyle w:val="4"/>
        <w:spacing w:before="0" w:beforeAutospacing="0" w:after="0" w:afterAutospacing="0" w:line="240" w:lineRule="auto"/>
        <w:ind w:firstLine="42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1、采购人信息：</w:t>
      </w:r>
      <w:r>
        <w:rPr>
          <w:rFonts w:hint="eastAsia" w:ascii="仿宋" w:hAnsi="仿宋" w:eastAsia="仿宋" w:cs="仿宋"/>
          <w:color w:val="000000" w:themeColor="text1"/>
          <w:sz w:val="28"/>
          <w:szCs w:val="28"/>
          <w:lang w:eastAsia="zh-CN"/>
          <w14:textFill>
            <w14:solidFill>
              <w14:schemeClr w14:val="tx1"/>
            </w14:solidFill>
          </w14:textFill>
        </w:rPr>
        <w:t>陕西神木朱盖塔矿业有限公司</w:t>
      </w:r>
    </w:p>
    <w:p>
      <w:pPr>
        <w:pStyle w:val="4"/>
        <w:spacing w:before="0" w:beforeAutospacing="0" w:after="0" w:afterAutospacing="0" w:line="240" w:lineRule="auto"/>
        <w:ind w:firstLine="42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联系地址：陕西省榆林市神木市煤炭公司</w:t>
      </w:r>
    </w:p>
    <w:p>
      <w:pPr>
        <w:pStyle w:val="4"/>
        <w:spacing w:before="0" w:beforeAutospacing="0" w:after="0" w:afterAutospacing="0" w:line="240" w:lineRule="auto"/>
        <w:ind w:firstLine="42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联系电话：15686750616</w:t>
      </w:r>
    </w:p>
    <w:p>
      <w:pPr>
        <w:pStyle w:val="4"/>
        <w:spacing w:before="0" w:beforeAutospacing="0" w:after="0" w:afterAutospacing="0" w:line="240" w:lineRule="auto"/>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、采购代理机构信息</w:t>
      </w:r>
    </w:p>
    <w:p>
      <w:pPr>
        <w:pStyle w:val="4"/>
        <w:spacing w:before="0" w:beforeAutospacing="0" w:after="0" w:afterAutospacing="0" w:line="240" w:lineRule="auto"/>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名称：陕西新世纪工程管理咨询有限公司</w:t>
      </w:r>
    </w:p>
    <w:p>
      <w:pPr>
        <w:pStyle w:val="4"/>
        <w:spacing w:before="0" w:beforeAutospacing="0" w:after="0" w:afterAutospacing="0" w:line="240" w:lineRule="auto"/>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联系地址：陕西省榆林市榆阳区沙河口世纪嘉兴酒店五楼</w:t>
      </w:r>
    </w:p>
    <w:p>
      <w:pPr>
        <w:pStyle w:val="4"/>
        <w:spacing w:before="0" w:beforeAutospacing="0" w:after="0" w:afterAutospacing="0" w:line="240" w:lineRule="auto"/>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招标一部</w:t>
      </w:r>
      <w:r>
        <w:rPr>
          <w:rFonts w:hint="eastAsia" w:ascii="仿宋" w:hAnsi="仿宋" w:eastAsia="仿宋" w:cs="仿宋"/>
          <w:color w:val="000000" w:themeColor="text1"/>
          <w:sz w:val="28"/>
          <w:szCs w:val="28"/>
          <w14:textFill>
            <w14:solidFill>
              <w14:schemeClr w14:val="tx1"/>
            </w14:solidFill>
          </w14:textFill>
        </w:rPr>
        <w:t>）</w:t>
      </w:r>
    </w:p>
    <w:p>
      <w:pPr>
        <w:pStyle w:val="4"/>
        <w:spacing w:before="0" w:beforeAutospacing="0" w:after="0" w:afterAutospacing="0" w:line="240" w:lineRule="auto"/>
        <w:ind w:firstLine="42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lang w:val="en-US" w:eastAsia="zh-CN"/>
          <w14:textFill>
            <w14:solidFill>
              <w14:schemeClr w14:val="tx1"/>
            </w14:solidFill>
          </w14:textFill>
        </w:rPr>
        <w:t>0912-2256048</w:t>
      </w:r>
    </w:p>
    <w:p>
      <w:pPr>
        <w:pStyle w:val="4"/>
        <w:spacing w:before="0" w:beforeAutospacing="0" w:after="0" w:afterAutospacing="0" w:line="240" w:lineRule="auto"/>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、项目联系方式</w:t>
      </w:r>
    </w:p>
    <w:p>
      <w:pPr>
        <w:pStyle w:val="4"/>
        <w:spacing w:before="0" w:beforeAutospacing="0" w:after="0" w:afterAutospacing="0" w:line="240" w:lineRule="auto"/>
        <w:ind w:firstLine="42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r>
        <w:rPr>
          <w:rFonts w:hint="eastAsia" w:ascii="仿宋" w:hAnsi="仿宋" w:eastAsia="仿宋" w:cs="仿宋"/>
          <w:color w:val="000000" w:themeColor="text1"/>
          <w:sz w:val="28"/>
          <w:szCs w:val="28"/>
          <w:lang w:eastAsia="zh-CN"/>
          <w14:textFill>
            <w14:solidFill>
              <w14:schemeClr w14:val="tx1"/>
            </w14:solidFill>
          </w14:textFill>
        </w:rPr>
        <w:t>王艳</w:t>
      </w:r>
      <w:bookmarkStart w:id="8" w:name="_GoBack"/>
      <w:bookmarkEnd w:id="8"/>
      <w:r>
        <w:rPr>
          <w:rFonts w:hint="eastAsia" w:ascii="仿宋" w:hAnsi="仿宋" w:eastAsia="仿宋" w:cs="仿宋"/>
          <w:color w:val="000000" w:themeColor="text1"/>
          <w:sz w:val="28"/>
          <w:szCs w:val="28"/>
          <w:lang w:eastAsia="zh-CN"/>
          <w14:textFill>
            <w14:solidFill>
              <w14:schemeClr w14:val="tx1"/>
            </w14:solidFill>
          </w14:textFill>
        </w:rPr>
        <w:t>红</w:t>
      </w:r>
      <w:r>
        <w:rPr>
          <w:rFonts w:hint="eastAsia" w:ascii="仿宋" w:hAnsi="仿宋" w:eastAsia="仿宋" w:cs="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lang w:eastAsia="zh-CN"/>
          <w14:textFill>
            <w14:solidFill>
              <w14:schemeClr w14:val="tx1"/>
            </w14:solidFill>
          </w14:textFill>
        </w:rPr>
        <w:t>15529990564</w:t>
      </w:r>
    </w:p>
    <w:p>
      <w:pPr>
        <w:pStyle w:val="2"/>
        <w:rPr>
          <w:rFonts w:hint="eastAsia" w:ascii="仿宋" w:hAnsi="仿宋" w:eastAsia="仿宋" w:cs="仿宋"/>
          <w:color w:val="000000" w:themeColor="text1"/>
          <w:sz w:val="28"/>
          <w:szCs w:val="28"/>
          <w14:textFill>
            <w14:solidFill>
              <w14:schemeClr w14:val="tx1"/>
            </w14:solidFill>
          </w14:textFill>
        </w:rPr>
      </w:pPr>
    </w:p>
    <w:p>
      <w:pPr>
        <w:pStyle w:val="3"/>
        <w:rPr>
          <w:rFonts w:hint="eastAsia"/>
        </w:rPr>
      </w:pPr>
    </w:p>
    <w:p>
      <w:pPr>
        <w:rPr>
          <w:rFonts w:hint="eastAsia" w:ascii="仿宋" w:hAnsi="仿宋" w:eastAsia="仿宋" w:cs="仿宋"/>
          <w:color w:val="000000" w:themeColor="text1"/>
          <w14:textFill>
            <w14:solidFill>
              <w14:schemeClr w14:val="tx1"/>
            </w14:solidFill>
          </w14:textFill>
        </w:rPr>
      </w:pPr>
    </w:p>
    <w:p>
      <w:pPr>
        <w:pStyle w:val="4"/>
        <w:spacing w:before="0" w:beforeAutospacing="0" w:after="0" w:afterAutospacing="0" w:line="510" w:lineRule="atLeast"/>
        <w:ind w:firstLine="42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陕西新世纪工程管理咨询有限公司</w:t>
      </w:r>
    </w:p>
    <w:p>
      <w:pPr>
        <w:pStyle w:val="4"/>
        <w:spacing w:before="0" w:beforeAutospacing="0" w:after="0" w:afterAutospacing="0" w:line="510" w:lineRule="atLeast"/>
        <w:ind w:firstLine="42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8170D"/>
    <w:multiLevelType w:val="singleLevel"/>
    <w:tmpl w:val="5F4817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TY0MmY3YTg5NjFjZGIzOTJkYmNjNjNhYjdjNjEifQ=="/>
  </w:docVars>
  <w:rsids>
    <w:rsidRoot w:val="7B7C14C8"/>
    <w:rsid w:val="1F2A6BD9"/>
    <w:rsid w:val="27A96204"/>
    <w:rsid w:val="5F85487D"/>
    <w:rsid w:val="7B7C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rFonts w:ascii="Calibri Light" w:hAnsi="Calibri Light" w:eastAsia="华文仿宋" w:cs="Calibri Light"/>
      <w:sz w:val="18"/>
      <w:szCs w:val="28"/>
    </w:rPr>
  </w:style>
  <w:style w:type="paragraph" w:styleId="3">
    <w:name w:val="Body Text"/>
    <w:basedOn w:val="1"/>
    <w:next w:val="1"/>
    <w:unhideWhenUsed/>
    <w:qFormat/>
    <w:uiPriority w:val="99"/>
    <w:pPr>
      <w:spacing w:after="120"/>
    </w:pPr>
    <w:rPr>
      <w:rFonts w:ascii="Times New Roman" w:hAnsi="Times New Roman" w:eastAsia="宋体" w:cs="Times New Roman"/>
      <w:szCs w:val="24"/>
    </w:rPr>
  </w:style>
  <w:style w:type="paragraph" w:styleId="4">
    <w:name w:val="Normal (Web)"/>
    <w:basedOn w:val="1"/>
    <w:next w:val="2"/>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2089</Words>
  <Characters>2430</Characters>
  <Lines>0</Lines>
  <Paragraphs>0</Paragraphs>
  <TotalTime>1</TotalTime>
  <ScaleCrop>false</ScaleCrop>
  <LinksUpToDate>false</LinksUpToDate>
  <CharactersWithSpaces>2454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2022-11-09T02:11:00Z</dcterms:created>
  <dc:creator>王艳红</dc:creator>
  <cp:lastModifiedBy>王艳红</cp:lastModifiedBy>
  <dcterms:modified xsi:type="dcterms:W3CDTF">2022-12-15T07:57:26Z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F7DA75615F7B418FA27ACCEF379FC1B8</vt:lpwstr>
  </property>
</Properties>
</file>