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3640" w:firstLineChars="1300"/>
        <w:jc w:val="both"/>
        <w:rPr>
          <w:rFonts w:hint="eastAsia" w:ascii="仿宋" w:hAnsi="仿宋" w:eastAsia="仿宋" w:cs="Times New Roman"/>
          <w:b/>
          <w:sz w:val="32"/>
          <w:szCs w:val="32"/>
        </w:rPr>
      </w:pPr>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left="1960" w:leftChars="200" w:hanging="1400" w:hangingChars="500"/>
        <w:rPr>
          <w:rFonts w:hint="eastAsia" w:ascii="仿宋" w:hAnsi="仿宋" w:eastAsia="仿宋" w:cs="Times New Roman"/>
          <w:lang w:eastAsia="zh-CN"/>
        </w:rPr>
      </w:pPr>
      <w:r>
        <w:rPr>
          <w:rFonts w:hint="eastAsia" w:ascii="仿宋" w:hAnsi="仿宋" w:eastAsia="仿宋" w:cs="Times New Roman"/>
        </w:rPr>
        <w:t>项目编号：</w:t>
      </w:r>
      <w:r>
        <w:rPr>
          <w:rFonts w:hint="eastAsia" w:ascii="仿宋" w:hAnsi="仿宋" w:eastAsia="仿宋" w:cs="Times New Roman"/>
          <w:lang w:eastAsia="zh-CN"/>
        </w:rPr>
        <w:t>SMZCZ-2023128C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神木市城市管理执法局垃圾处理厂1000KV箱式变压器安装工程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810243.30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神木市城市管理执法局垃圾处理厂1000KV箱式变压器安装工程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810243.30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30天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）电力工程施工总承包三级以上资质（含三级），并具备有效的安全生产许可证。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电力工程施工专业</w:t>
      </w:r>
      <w:r>
        <w:rPr>
          <w:rFonts w:hint="eastAsia" w:ascii="仿宋" w:hAnsi="仿宋" w:eastAsia="仿宋" w:cs="仿宋"/>
          <w:spacing w:val="2"/>
          <w:kern w:val="0"/>
          <w:sz w:val="28"/>
          <w:szCs w:val="28"/>
          <w:lang w:val="en-US" w:eastAsia="zh-CN"/>
        </w:rPr>
        <w:t>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）本项目专门面向小微企业采购，预留份额为整体预留，供应商须填写《中小企业声明函》。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3、本项目专门面向小微企业采购，残疾人福利性单位、监狱企业投标视同为小微企业，不再单独享受价格扣除。</w:t>
      </w:r>
    </w:p>
    <w:p>
      <w:pPr>
        <w:spacing w:line="500" w:lineRule="exact"/>
        <w:ind w:firstLine="562" w:firstLineChars="200"/>
        <w:rPr>
          <w:rFonts w:hint="eastAsia" w:ascii="仿宋" w:hAnsi="仿宋" w:eastAsia="仿宋" w:cs="Times New Roman"/>
          <w:b/>
        </w:rPr>
      </w:pP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22</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26</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1</w:t>
      </w:r>
      <w:r>
        <w:rPr>
          <w:rFonts w:hint="eastAsia" w:ascii="仿宋" w:hAnsi="仿宋" w:eastAsia="仿宋" w:cs="Times New Roman"/>
          <w:color w:val="FF0000"/>
        </w:rPr>
        <w:t>日</w:t>
      </w:r>
      <w:r>
        <w:rPr>
          <w:rFonts w:hint="eastAsia" w:ascii="仿宋" w:hAnsi="仿宋" w:eastAsia="仿宋" w:cs="Times New Roman"/>
          <w:color w:val="FF0000"/>
          <w:lang w:val="en-US" w:eastAsia="zh-CN"/>
        </w:rPr>
        <w:t>13</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神木市城市管理执法局</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val="en-US" w:eastAsia="zh-CN"/>
        </w:rPr>
        <w:t>神木市贺家川镇</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18091248517</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0F100717"/>
    <w:rsid w:val="0E664FCA"/>
    <w:rsid w:val="0F100717"/>
    <w:rsid w:val="146F4AF9"/>
    <w:rsid w:val="1B743AAF"/>
    <w:rsid w:val="2156049A"/>
    <w:rsid w:val="3DC41242"/>
    <w:rsid w:val="4C682AE9"/>
    <w:rsid w:val="557430F6"/>
    <w:rsid w:val="63B079EF"/>
    <w:rsid w:val="741A256D"/>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2042</Words>
  <Characters>2282</Characters>
  <Lines>0</Lines>
  <Paragraphs>0</Paragraphs>
  <TotalTime>0</TotalTime>
  <ScaleCrop>false</ScaleCrop>
  <LinksUpToDate>false</LinksUpToDate>
  <CharactersWithSpaces>2311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2023-05-12T04:54:00Z</dcterms:created>
  <dc:creator>HJIO</dc:creator>
  <cp:lastModifiedBy>HJIO</cp:lastModifiedBy>
  <dcterms:modified xsi:type="dcterms:W3CDTF">2023-05-19T10:37:05Z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69EA75A8DAC64535BDD82459BCF56468_11</vt:lpwstr>
  </property>
</Properties>
</file>