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eastAsia" w:ascii="宋体" w:hAnsi="宋体" w:eastAsia="宋体" w:cs="宋体"/>
          <w:b/>
          <w:bCs/>
          <w:color w:val="auto"/>
          <w:spacing w:val="4"/>
          <w:sz w:val="30"/>
          <w:highlight w:val="none"/>
          <w:lang w:val="en-US" w:eastAsia="zh-CN"/>
        </w:rPr>
      </w:pPr>
      <w:r>
        <w:rPr>
          <w:rFonts w:hint="eastAsia" w:ascii="宋体" w:hAnsi="宋体" w:eastAsia="宋体" w:cs="宋体"/>
          <w:b/>
          <w:bCs/>
          <w:color w:val="auto"/>
          <w:spacing w:val="4"/>
          <w:sz w:val="30"/>
          <w:highlight w:val="none"/>
        </w:rPr>
        <w:t>采购编号：</w:t>
      </w:r>
      <w:r>
        <w:rPr>
          <w:rFonts w:hint="eastAsia" w:ascii="宋体" w:hAnsi="宋体" w:eastAsia="宋体" w:cs="宋体"/>
          <w:b/>
          <w:bCs/>
          <w:color w:val="auto"/>
          <w:sz w:val="30"/>
          <w:szCs w:val="30"/>
          <w:lang w:val="zh-CN"/>
        </w:rPr>
        <w:t>HC2023-YL3</w:t>
      </w:r>
      <w:r>
        <w:rPr>
          <w:rFonts w:hint="eastAsia" w:ascii="宋体" w:hAnsi="宋体" w:cs="宋体"/>
          <w:b/>
          <w:bCs/>
          <w:color w:val="auto"/>
          <w:sz w:val="30"/>
          <w:szCs w:val="30"/>
          <w:lang w:val="en-US" w:eastAsia="zh-CN"/>
        </w:rPr>
        <w:t>9号</w:t>
      </w:r>
    </w:p>
    <w:p>
      <w:pPr>
        <w:pStyle w:val="8"/>
        <w:spacing w:line="360" w:lineRule="auto"/>
        <w:rPr>
          <w:rFonts w:hint="eastAsia" w:ascii="宋体" w:hAnsi="宋体" w:eastAsia="宋体" w:cs="宋体"/>
          <w:color w:val="auto"/>
          <w:spacing w:val="4"/>
          <w:sz w:val="30"/>
          <w:highlight w:val="none"/>
        </w:rPr>
      </w:pPr>
    </w:p>
    <w:p>
      <w:pPr>
        <w:spacing w:line="360" w:lineRule="auto"/>
        <w:jc w:val="both"/>
        <w:rPr>
          <w:rFonts w:hint="eastAsia" w:ascii="宋体" w:hAnsi="宋体" w:eastAsia="宋体" w:cs="宋体"/>
          <w:b/>
          <w:color w:val="auto"/>
          <w:spacing w:val="4"/>
          <w:sz w:val="48"/>
          <w:highlight w:val="none"/>
          <w:lang w:eastAsia="zh-CN"/>
        </w:rPr>
      </w:pPr>
    </w:p>
    <w:p>
      <w:pPr>
        <w:pStyle w:val="8"/>
        <w:spacing w:line="360" w:lineRule="auto"/>
        <w:ind w:left="0" w:leftChars="0" w:firstLine="0" w:firstLineChars="0"/>
        <w:jc w:val="center"/>
        <w:rPr>
          <w:rFonts w:hint="eastAsia" w:ascii="宋体" w:hAnsi="宋体" w:eastAsia="宋体" w:cs="宋体"/>
          <w:b/>
          <w:bCs w:val="0"/>
          <w:color w:val="auto"/>
          <w:spacing w:val="4"/>
          <w:sz w:val="44"/>
          <w:szCs w:val="44"/>
          <w:highlight w:val="none"/>
          <w:lang w:val="en-US" w:eastAsia="zh-CN"/>
        </w:rPr>
      </w:pPr>
      <w:r>
        <w:rPr>
          <w:rFonts w:hint="eastAsia" w:ascii="宋体" w:hAnsi="宋体" w:cs="宋体"/>
          <w:b/>
          <w:bCs w:val="0"/>
          <w:color w:val="auto"/>
          <w:spacing w:val="4"/>
          <w:sz w:val="44"/>
          <w:szCs w:val="44"/>
          <w:highlight w:val="none"/>
          <w:lang w:val="en-US" w:eastAsia="zh-CN"/>
        </w:rPr>
        <w:t>店塔镇生活垃圾填埋场运营管理项目</w:t>
      </w:r>
    </w:p>
    <w:p>
      <w:pPr>
        <w:spacing w:line="360" w:lineRule="auto"/>
        <w:jc w:val="center"/>
        <w:rPr>
          <w:rFonts w:hint="eastAsia" w:ascii="宋体" w:hAnsi="宋体" w:eastAsia="宋体" w:cs="宋体"/>
          <w:b/>
          <w:bCs/>
          <w:color w:val="auto"/>
          <w:sz w:val="36"/>
          <w:szCs w:val="36"/>
          <w:lang w:val="zh-CN"/>
        </w:rPr>
      </w:pPr>
    </w:p>
    <w:p>
      <w:pPr>
        <w:spacing w:line="360" w:lineRule="auto"/>
        <w:jc w:val="center"/>
        <w:rPr>
          <w:rFonts w:hint="eastAsia" w:ascii="宋体" w:hAnsi="宋体" w:eastAsia="宋体" w:cs="宋体"/>
          <w:b/>
          <w:bCs/>
          <w:color w:val="auto"/>
          <w:sz w:val="36"/>
          <w:szCs w:val="36"/>
          <w:lang w:val="zh-CN"/>
        </w:rPr>
      </w:pPr>
    </w:p>
    <w:p>
      <w:pPr>
        <w:pStyle w:val="19"/>
        <w:spacing w:line="360" w:lineRule="auto"/>
        <w:rPr>
          <w:rFonts w:hint="eastAsia" w:ascii="宋体" w:hAnsi="宋体" w:eastAsia="宋体" w:cs="宋体"/>
          <w:color w:val="auto"/>
          <w:lang w:val="zh-CN"/>
        </w:rPr>
      </w:pPr>
    </w:p>
    <w:p>
      <w:pPr>
        <w:pStyle w:val="19"/>
        <w:spacing w:line="360" w:lineRule="auto"/>
        <w:rPr>
          <w:rFonts w:hint="eastAsia" w:ascii="宋体" w:hAnsi="宋体" w:eastAsia="宋体" w:cs="宋体"/>
          <w:color w:val="auto"/>
          <w:lang w:val="zh-CN"/>
        </w:rPr>
      </w:pPr>
    </w:p>
    <w:p>
      <w:pPr>
        <w:pStyle w:val="8"/>
        <w:spacing w:line="360" w:lineRule="auto"/>
        <w:ind w:left="0" w:leftChars="0" w:firstLine="0" w:firstLineChars="0"/>
        <w:rPr>
          <w:rFonts w:hint="eastAsia" w:ascii="宋体" w:hAnsi="宋体" w:eastAsia="宋体" w:cs="宋体"/>
          <w:b/>
          <w:bCs/>
          <w:color w:val="auto"/>
          <w:sz w:val="36"/>
          <w:szCs w:val="36"/>
          <w:lang w:val="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pacing w:val="4"/>
          <w:sz w:val="72"/>
          <w:highlight w:val="none"/>
        </w:rPr>
      </w:pPr>
      <w:r>
        <w:rPr>
          <w:rFonts w:hint="eastAsia" w:ascii="宋体" w:hAnsi="宋体" w:eastAsia="宋体" w:cs="宋体"/>
          <w:b/>
          <w:color w:val="auto"/>
          <w:spacing w:val="4"/>
          <w:sz w:val="72"/>
          <w:highlight w:val="none"/>
        </w:rPr>
        <w:t>竞争性</w:t>
      </w:r>
      <w:r>
        <w:rPr>
          <w:rFonts w:hint="eastAsia" w:ascii="宋体" w:hAnsi="宋体" w:eastAsia="宋体" w:cs="宋体"/>
          <w:b/>
          <w:color w:val="auto"/>
          <w:spacing w:val="4"/>
          <w:sz w:val="72"/>
          <w:highlight w:val="none"/>
          <w:lang w:val="en-US" w:eastAsia="zh-CN"/>
        </w:rPr>
        <w:t>磋商</w:t>
      </w:r>
      <w:r>
        <w:rPr>
          <w:rFonts w:hint="eastAsia" w:ascii="宋体" w:hAnsi="宋体" w:eastAsia="宋体" w:cs="宋体"/>
          <w:b/>
          <w:color w:val="auto"/>
          <w:spacing w:val="4"/>
          <w:sz w:val="72"/>
          <w:highlight w:val="none"/>
        </w:rPr>
        <w:t>文件</w:t>
      </w:r>
    </w:p>
    <w:p>
      <w:pPr>
        <w:spacing w:line="360" w:lineRule="auto"/>
        <w:rPr>
          <w:rFonts w:hint="eastAsia" w:ascii="宋体" w:hAnsi="宋体" w:eastAsia="宋体" w:cs="宋体"/>
          <w:color w:val="auto"/>
          <w:spacing w:val="4"/>
          <w:sz w:val="30"/>
          <w:highlight w:val="none"/>
        </w:rPr>
      </w:pPr>
    </w:p>
    <w:p>
      <w:pPr>
        <w:pStyle w:val="8"/>
        <w:spacing w:line="360" w:lineRule="auto"/>
        <w:rPr>
          <w:rFonts w:hint="eastAsia" w:ascii="宋体" w:hAnsi="宋体" w:eastAsia="宋体" w:cs="宋体"/>
          <w:color w:val="auto"/>
          <w:spacing w:val="4"/>
          <w:sz w:val="30"/>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spacing w:line="360" w:lineRule="auto"/>
        <w:ind w:firstLine="988" w:firstLineChars="300"/>
        <w:rPr>
          <w:rFonts w:hint="eastAsia" w:ascii="宋体" w:hAnsi="宋体" w:eastAsia="宋体" w:cs="宋体"/>
          <w:b/>
          <w:color w:val="auto"/>
          <w:spacing w:val="4"/>
          <w:sz w:val="32"/>
          <w:highlight w:val="none"/>
          <w:lang w:val="en-US" w:eastAsia="zh-CN"/>
        </w:rPr>
      </w:pPr>
      <w:r>
        <w:rPr>
          <w:rFonts w:hint="eastAsia" w:ascii="宋体" w:hAnsi="宋体" w:eastAsia="宋体" w:cs="宋体"/>
          <w:b/>
          <w:color w:val="auto"/>
          <w:spacing w:val="4"/>
          <w:sz w:val="32"/>
          <w:highlight w:val="none"/>
        </w:rPr>
        <w:t>采   购   人：</w:t>
      </w:r>
      <w:r>
        <w:rPr>
          <w:rFonts w:hint="eastAsia" w:ascii="宋体" w:hAnsi="宋体" w:cs="宋体"/>
          <w:b/>
          <w:color w:val="auto"/>
          <w:spacing w:val="4"/>
          <w:sz w:val="32"/>
          <w:highlight w:val="none"/>
          <w:lang w:val="en-US" w:eastAsia="zh-CN"/>
        </w:rPr>
        <w:t>神木市店塔镇人民政府</w:t>
      </w:r>
    </w:p>
    <w:p>
      <w:pPr>
        <w:spacing w:line="360" w:lineRule="auto"/>
        <w:ind w:firstLine="988" w:firstLineChars="300"/>
        <w:rPr>
          <w:rFonts w:hint="eastAsia" w:ascii="宋体" w:hAnsi="宋体" w:eastAsia="宋体" w:cs="宋体"/>
          <w:b/>
          <w:color w:val="auto"/>
          <w:spacing w:val="4"/>
          <w:sz w:val="32"/>
          <w:highlight w:val="none"/>
          <w:lang w:eastAsia="zh-CN"/>
        </w:rPr>
      </w:pPr>
      <w:r>
        <w:rPr>
          <w:rFonts w:hint="eastAsia" w:ascii="宋体" w:hAnsi="宋体" w:eastAsia="宋体" w:cs="宋体"/>
          <w:b/>
          <w:color w:val="auto"/>
          <w:spacing w:val="4"/>
          <w:sz w:val="32"/>
          <w:highlight w:val="none"/>
        </w:rPr>
        <w:t>采购代理机构：</w:t>
      </w:r>
      <w:r>
        <w:rPr>
          <w:rFonts w:hint="eastAsia" w:ascii="宋体" w:hAnsi="宋体" w:eastAsia="宋体" w:cs="宋体"/>
          <w:b/>
          <w:color w:val="auto"/>
          <w:spacing w:val="4"/>
          <w:sz w:val="32"/>
          <w:highlight w:val="none"/>
          <w:lang w:eastAsia="zh-CN"/>
        </w:rPr>
        <w:t>华春建设工程项目管理有限责任公司</w:t>
      </w:r>
    </w:p>
    <w:p>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pacing w:val="4"/>
          <w:sz w:val="32"/>
          <w:highlight w:val="none"/>
        </w:rPr>
        <w:t>二○</w:t>
      </w:r>
      <w:r>
        <w:rPr>
          <w:rFonts w:hint="eastAsia" w:ascii="宋体" w:hAnsi="宋体" w:eastAsia="宋体" w:cs="宋体"/>
          <w:b/>
          <w:color w:val="auto"/>
          <w:spacing w:val="4"/>
          <w:sz w:val="32"/>
          <w:highlight w:val="none"/>
          <w:lang w:eastAsia="zh-CN"/>
        </w:rPr>
        <w:t>二</w:t>
      </w:r>
      <w:r>
        <w:rPr>
          <w:rFonts w:hint="eastAsia" w:ascii="宋体" w:hAnsi="宋体" w:cs="宋体"/>
          <w:b/>
          <w:color w:val="auto"/>
          <w:spacing w:val="4"/>
          <w:sz w:val="32"/>
          <w:highlight w:val="none"/>
          <w:lang w:eastAsia="zh-CN"/>
        </w:rPr>
        <w:t>三</w:t>
      </w:r>
      <w:r>
        <w:rPr>
          <w:rFonts w:hint="eastAsia" w:ascii="宋体" w:hAnsi="宋体" w:eastAsia="宋体" w:cs="宋体"/>
          <w:b/>
          <w:color w:val="auto"/>
          <w:spacing w:val="4"/>
          <w:sz w:val="32"/>
          <w:highlight w:val="none"/>
        </w:rPr>
        <w:t>年</w:t>
      </w:r>
      <w:r>
        <w:rPr>
          <w:rFonts w:hint="eastAsia" w:ascii="宋体" w:hAnsi="宋体" w:cs="宋体"/>
          <w:b/>
          <w:color w:val="auto"/>
          <w:spacing w:val="4"/>
          <w:sz w:val="32"/>
          <w:highlight w:val="none"/>
          <w:lang w:eastAsia="zh-CN"/>
        </w:rPr>
        <w:t>七</w:t>
      </w:r>
      <w:r>
        <w:rPr>
          <w:rFonts w:hint="eastAsia" w:ascii="宋体" w:hAnsi="宋体" w:eastAsia="宋体" w:cs="宋体"/>
          <w:b/>
          <w:color w:val="auto"/>
          <w:spacing w:val="4"/>
          <w:sz w:val="32"/>
          <w:highlight w:val="none"/>
        </w:rPr>
        <w:t>月</w:t>
      </w:r>
    </w:p>
    <w:p>
      <w:pPr>
        <w:spacing w:line="360" w:lineRule="auto"/>
        <w:ind w:left="0" w:leftChars="0" w:firstLine="0" w:firstLineChars="0"/>
        <w:jc w:val="both"/>
        <w:rPr>
          <w:rFonts w:hint="eastAsia" w:ascii="宋体" w:hAnsi="宋体" w:eastAsia="宋体" w:cs="宋体"/>
          <w:b/>
          <w:color w:val="auto"/>
          <w:sz w:val="40"/>
          <w:szCs w:val="44"/>
          <w:highlight w:val="none"/>
        </w:rPr>
        <w:sectPr>
          <w:headerReference r:id="rId6" w:type="first"/>
          <w:footerReference r:id="rId8" w:type="first"/>
          <w:headerReference r:id="rId5" w:type="default"/>
          <w:footerReference r:id="rId7" w:type="default"/>
          <w:pgSz w:w="11906" w:h="16838"/>
          <w:pgMar w:top="1344" w:right="1344" w:bottom="1344" w:left="1344" w:header="850" w:footer="994"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pPr>
        <w:spacing w:line="360" w:lineRule="auto"/>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pPr>
        <w:pStyle w:val="15"/>
        <w:tabs>
          <w:tab w:val="right" w:leader="dot" w:pos="9218"/>
        </w:tabs>
        <w:spacing w:line="360" w:lineRule="auto"/>
        <w:ind w:left="0" w:leftChars="0" w:firstLine="442" w:firstLineChars="100"/>
        <w:rPr>
          <w:rFonts w:hint="eastAsia" w:ascii="宋体" w:hAnsi="宋体" w:eastAsia="宋体" w:cs="宋体"/>
          <w:color w:val="auto"/>
        </w:rPr>
      </w:pPr>
      <w:r>
        <w:rPr>
          <w:rFonts w:hint="eastAsia" w:ascii="宋体" w:hAnsi="宋体" w:eastAsia="宋体" w:cs="宋体"/>
          <w:b/>
          <w:color w:val="auto"/>
          <w:sz w:val="44"/>
          <w:highlight w:val="none"/>
        </w:rPr>
        <w:fldChar w:fldCharType="begin"/>
      </w:r>
      <w:r>
        <w:rPr>
          <w:rFonts w:hint="eastAsia" w:ascii="宋体" w:hAnsi="宋体" w:eastAsia="宋体" w:cs="宋体"/>
          <w:b/>
          <w:color w:val="auto"/>
          <w:sz w:val="44"/>
          <w:highlight w:val="none"/>
        </w:rPr>
        <w:instrText xml:space="preserve"> TOC \o "1-1" \h \z \u </w:instrText>
      </w:r>
      <w:r>
        <w:rPr>
          <w:rFonts w:hint="eastAsia" w:ascii="宋体" w:hAnsi="宋体" w:eastAsia="宋体" w:cs="宋体"/>
          <w:b/>
          <w:color w:val="auto"/>
          <w:sz w:val="4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_Toc32462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5"/>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_Toc14473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5"/>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合同条款及格</w:t>
      </w:r>
      <w:r>
        <w:rPr>
          <w:rFonts w:hint="eastAsia" w:ascii="宋体" w:hAnsi="宋体" w:eastAsia="宋体" w:cs="宋体"/>
          <w:color w:val="auto"/>
          <w:highlight w:val="none"/>
          <w:lang w:val="en-US" w:eastAsia="zh-CN"/>
        </w:rPr>
        <w:t>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_Toc4403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5"/>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rPr>
        <w:t>第四章  磋商内容及技术要求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_Toc30034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5"/>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rPr>
        <w:t>第五章  竞争性磋商响应文件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_Toc16274 \h </w:instrText>
      </w:r>
      <w:r>
        <w:rPr>
          <w:rFonts w:hint="eastAsia" w:ascii="宋体" w:hAnsi="宋体" w:eastAsia="宋体" w:cs="宋体"/>
          <w:color w:val="auto"/>
        </w:rPr>
        <w:fldChar w:fldCharType="separate"/>
      </w:r>
      <w:r>
        <w:rPr>
          <w:rFonts w:hint="eastAsia" w:ascii="宋体" w:hAnsi="宋体" w:eastAsia="宋体" w:cs="宋体"/>
          <w:color w:val="auto"/>
        </w:rPr>
        <w:t>42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5"/>
        <w:tabs>
          <w:tab w:val="right" w:leader="dot" w:pos="8302"/>
        </w:tabs>
        <w:spacing w:line="360" w:lineRule="auto"/>
        <w:rPr>
          <w:rFonts w:hint="eastAsia" w:ascii="宋体" w:hAnsi="宋体" w:eastAsia="宋体" w:cs="宋体"/>
          <w:color w:val="auto"/>
          <w:sz w:val="44"/>
          <w:szCs w:val="32"/>
          <w:highlight w:val="none"/>
        </w:rPr>
      </w:pPr>
      <w:r>
        <w:rPr>
          <w:rFonts w:hint="eastAsia" w:ascii="宋体" w:hAnsi="宋体" w:eastAsia="宋体" w:cs="宋体"/>
          <w:color w:val="auto"/>
          <w:highlight w:val="none"/>
        </w:rPr>
        <w:fldChar w:fldCharType="end"/>
      </w:r>
    </w:p>
    <w:p>
      <w:pPr>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bidi w:val="0"/>
        <w:spacing w:line="360" w:lineRule="auto"/>
        <w:ind w:left="0" w:leftChars="0" w:firstLine="0" w:firstLineChars="0"/>
        <w:rPr>
          <w:rFonts w:hint="eastAsia" w:ascii="宋体" w:hAnsi="宋体" w:eastAsia="宋体" w:cs="宋体"/>
          <w:color w:val="auto"/>
        </w:rPr>
      </w:pPr>
    </w:p>
    <w:p>
      <w:pPr>
        <w:pStyle w:val="3"/>
        <w:keepNext/>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highlight w:val="none"/>
        </w:rPr>
      </w:pPr>
      <w:bookmarkStart w:id="0" w:name="_Toc32462"/>
      <w:bookmarkStart w:id="1" w:name="_Toc363473971"/>
      <w:bookmarkStart w:id="2" w:name="_Toc363474016"/>
      <w:bookmarkStart w:id="3" w:name="_Toc403077638"/>
      <w:r>
        <w:rPr>
          <w:rFonts w:hint="eastAsia" w:ascii="宋体" w:hAnsi="宋体" w:eastAsia="宋体" w:cs="宋体"/>
          <w:color w:val="auto"/>
          <w:highlight w:val="none"/>
        </w:rPr>
        <w:t>第一章  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bookmarkStart w:id="4" w:name="_Toc2929"/>
      <w:bookmarkStart w:id="5" w:name="_Toc389582035"/>
      <w:r>
        <w:rPr>
          <w:rStyle w:val="22"/>
          <w:rFonts w:hint="eastAsia" w:ascii="宋体" w:hAnsi="宋体" w:eastAsia="宋体" w:cs="宋体"/>
          <w:b/>
          <w:bCs/>
          <w:i w:val="0"/>
          <w:iCs w:val="0"/>
          <w:caps w:val="0"/>
          <w:color w:val="333333"/>
          <w:spacing w:val="0"/>
          <w:sz w:val="21"/>
          <w:szCs w:val="21"/>
          <w:shd w:val="clear" w:fill="FFFFFF"/>
          <w:vertAlign w:val="baseline"/>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店塔镇生活垃圾场项目运营服务采购项目的潜在供应商应在登录全国公共资源交易中心平台 (陕西省) 使用CA 锁报名后自行下载获取采购文件，并于 2023年08月08日 15时30分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项目编号：HC2023-YL39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项目名称：店塔镇生活垃圾场项目运营服务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预算金额：930,000.00元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合同包1(店塔镇生活垃圾场项目运营服务):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合同包预算金额：930,000.00元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合同包最高限价：930,000.00元</w:t>
      </w:r>
    </w:p>
    <w:tbl>
      <w:tblPr>
        <w:tblStyle w:val="20"/>
        <w:tblW w:w="9295"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43"/>
        <w:gridCol w:w="1304"/>
        <w:gridCol w:w="1262"/>
        <w:gridCol w:w="1083"/>
        <w:gridCol w:w="1125"/>
        <w:gridCol w:w="1646"/>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1" w:hRule="atLeast"/>
          <w:tblHeader/>
        </w:trPr>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其他公共设施管理服务</w:t>
            </w:r>
          </w:p>
        </w:tc>
        <w:tc>
          <w:tcPr>
            <w:tcW w:w="1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生活垃圾场运营服务</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center"/>
              <w:rPr>
                <w:rFonts w:hint="eastAsia" w:ascii="宋体" w:hAnsi="宋体" w:eastAsia="宋体" w:cs="宋体"/>
                <w:i w:val="0"/>
                <w:iCs w:val="0"/>
                <w:caps w:val="0"/>
                <w:color w:val="333333"/>
                <w:spacing w:val="0"/>
                <w:kern w:val="0"/>
                <w:sz w:val="21"/>
                <w:szCs w:val="21"/>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SA"/>
              </w:rPr>
              <w:t>930,000.00</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宋体" w:hAnsi="宋体" w:eastAsia="宋体" w:cs="宋体"/>
                <w:i w:val="0"/>
                <w:iCs w:val="0"/>
                <w:caps w:val="0"/>
                <w:color w:val="333333"/>
                <w:spacing w:val="0"/>
                <w:kern w:val="0"/>
                <w:sz w:val="21"/>
                <w:szCs w:val="21"/>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SA"/>
              </w:rPr>
              <w:t>930,000.00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合同包1(店塔镇生活垃圾场项目运营服务)落实政府采购政策需满足的资格要求如下: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(1)《政府采购促进中小企业发展管理办法》 (财库〔2020〕46 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(2)《财政部司法部关于政府采购支持监狱企业发展有关问题的通知》(财库〔2014〕68 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(3)《财政部、民政部、中国残疾人联合会关于促进残疾人就业政府采购 政策的通知》(财库[2017]141 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(4)陕西省财政厅关于印发《陕西省中小企业政府采购信用融资办法》(陕 财办采〔2018〕23 号) ；相关政策、业务流程、办理平台(http://www.ccgpsha anxi.gov.cn/zcdservice/zcd/shanxi/)；</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 《关于在政府采购活动中查询及使用信用记录有关问题的通知》  (财 库〔2016〕125 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(6)《榆林市财政局关于进一步加大政府采购支持中小企业力度的通知》 (榆政财采发〔2023〕10 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(7)《陕西省财政厅关于进一步加大政府采购支持中小企业力度的通知》(陕财采发〔2023〕5 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（8）.其他需要落实的政府采购政策。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合同包1(店塔镇生活垃圾场项目运营服务)特定资格要求如下: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 供应商为具有独立承担民事责任能力的法人、事业法人、其他组织或 自然人。企业法人应提供合法有效的标识有统一社会信用代码的营业执照；事业 法人应提供事业单位法人证书；其他组织应提供合法登记证明文件；自然人应提 供身份证；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 财务状况报告：提供 2021年度或2022年度的财务审计报告，成立时 间至提交投标文件递交截止时间不足一年的，须提供其基本存款账户开户银行近 三个月内出具的银行资信证明或自成立以来的财务报表；</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 税收缴纳证明：提供 2023年01月1日至今已缴纳的至少一个月的纳税证明 (银行缴费凭证) 或完税证明(时间以税款所属日期为准、税种须包含增值税或企业所得税或营业税) ，依法免税的单位应提供相关证明材料；</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 社会保障资金缴纳证明：提供 2023 年01 月1日至今已缴纳的至少一 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 参加政府采购活动前三年内，在经营活动中没有重大违法记录的书面 声明；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(6)提供具有履行合同所必需的设备和专业技术能力的证明资料或承诺书；</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 对列入“信用中国”网站(www.creditchina.gov.cn)“记录失信被执行人、税收违法黑名单、企业经营异常名录”记录名单；中国政府采购网(www.ccgp.gov.cn)“政府采购严重违法失信行为信息记录”的单位，应当拒绝参与政府采购活动 (附投标截止日前的查询结果但以投标截止日当天查询结果为准) 。提供“信用中国”网站(www.creditchina.gov.cn)、“信用中国 (陕西榆林) ”网站 (http：//www.ylcredit.gov.cn/) 、中国政府采购网(www.ccgp.gov.cn) 等网页截图及信用中国报告加盖供应商公章 (鲜章) 为准；</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(8)本项目专门面向中小企业采购，预留份额为整体预留，投标供应商须提供《中小企业声明函》；</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备注：(1) 本项目不接受联合体投标、不允许分包、转包，单位负责人为 同一人或者存在直接控股、管理关系的不同供应商，不得参加同一合同项下的政 府采购活动；(2) 事业单位法人参与投标可不提供财务状况报告和社会保障资 金缴纳证明及税收缴纳证明。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2023年07月26日 至 2023年08月01日 ，每天上午 09:00:00 至 12:00:00 ，下午 12:00:00 至 17:00:00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途径：登录全国公共资源交易中心平台 (陕西省) 使用CA 锁报名后自行下载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截止时间： 2023年08月08日 15时30分00秒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2023年08月08日 15时30分00秒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地点：榆林市公共资源交易中心十楼开标2室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1、本项目专门面向中小企业采购；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2、特别提醒：1、供应商可登录全国公共资源交易中心平台(陕西省)(h ttp://www.sxggzyjy.cn/) ,选择“电子交易平台-陕西政府采购交易系统-陕西 省公共资源交易平台-投标人”进行登录，登录后选择“交易乙方”身份进入投标人界面进行报名并免费下载磋商文件；2、CA 锁购买：榆林市市民大厦四楼窗口,电话：0912-3515031；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3、本项目采用电子化招投标方式和“不见面”开标形 式，投标人使用数字认证证书 (CA 锁) 对投标文件进行签章、加密、递交及开标时解密等相关招投标事宜。供应商应于响应文件递交截止时间前任意时段登录交易平台〖首页〉电子交易平台〉企业端〗在线提交电子响应文件，逾期提交系 统将拒绝接收。供应商可登录榆林交易平台〖首页〉不见面开标〗在线参与开评 标过程，详见《榆林市不见面开标大厅操作手册 (投标人) 》 (交易平台〖首页〉 服务指南〉下载专区〗中的《榆林市不见面开标大厅操作手册 (投标人) 》)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4、请供应商按照陕西省财政厅关于政府采购投标人注册登记有关事项的通知中 的要求，通过陕西省政府采购网 (http://www.ccgp-shaanxi.gov.cn/) 注册登 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5、供应商应随时关注发布的变更公告，当澄 清或修改的内容影响响应文件编制时，将在交易平台上同步发布答疑文件，此时 投标人应从“项目流程〉答疑文件下载”下载最新发布的答疑文件 (*.SXSCF 格式) ，并使用该文件重新编制电子响应文件 (*.SXSTF 格式) ，使用旧版电子 招标文件或旧版答疑文件制作的电子响应文件，系统将拒绝接收；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226" w:right="-226"/>
        <w:jc w:val="left"/>
        <w:textAlignment w:val="baseline"/>
        <w:rPr>
          <w:rFonts w:hint="eastAsia" w:ascii="宋体" w:hAnsi="宋体" w:eastAsia="宋体" w:cs="宋体"/>
          <w:b w:val="0"/>
          <w:bCs w:val="0"/>
          <w:sz w:val="21"/>
          <w:szCs w:val="21"/>
        </w:rPr>
      </w:pPr>
      <w:r>
        <w:rPr>
          <w:rFonts w:hint="eastAsia" w:ascii="宋体" w:hAnsi="宋体" w:eastAsia="宋体" w:cs="宋体"/>
          <w:b/>
          <w:bCs/>
          <w:i w:val="0"/>
          <w:iCs w:val="0"/>
          <w:caps w:val="0"/>
          <w:color w:val="333333"/>
          <w:spacing w:val="0"/>
          <w:sz w:val="21"/>
          <w:szCs w:val="21"/>
          <w:shd w:val="clear" w:fill="FFFFFF"/>
          <w:vertAlign w:val="baseline"/>
        </w:rPr>
        <w:t>6、合同履行期限：服务期：3 年(一次招标，招标延用两年，合同一年一签。)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2"/>
          <w:rFonts w:hint="eastAsia" w:ascii="宋体" w:hAnsi="宋体" w:eastAsia="宋体" w:cs="宋体"/>
          <w:b/>
          <w:bCs/>
          <w:i w:val="0"/>
          <w:iCs w:val="0"/>
          <w:caps w:val="0"/>
          <w:color w:val="333333"/>
          <w:spacing w:val="0"/>
          <w:sz w:val="21"/>
          <w:szCs w:val="21"/>
          <w:shd w:val="clear" w:fill="FFFFFF"/>
          <w:vertAlign w:val="baseline"/>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名称：神木市店塔镇人民政府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地址：陕西省神木市店塔镇店塔村阳塔组人民路15号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联系方式：15091888804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名称：华春建设工程项目管理有限责任公司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地址：陕西省榆林高新区高科城C座写字楼603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联系方式：09123428555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项目联系人：徐工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电话：09123428555</w:t>
      </w:r>
    </w:p>
    <w:p>
      <w:pP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page"/>
      </w:r>
    </w:p>
    <w:p>
      <w:pPr>
        <w:pStyle w:val="3"/>
        <w:spacing w:line="360" w:lineRule="auto"/>
        <w:jc w:val="center"/>
        <w:rPr>
          <w:rFonts w:hint="eastAsia" w:ascii="宋体" w:hAnsi="宋体" w:eastAsia="宋体" w:cs="宋体"/>
          <w:color w:val="auto"/>
          <w:highlight w:val="none"/>
        </w:rPr>
      </w:pPr>
      <w:bookmarkStart w:id="6" w:name="_Toc14473"/>
      <w:r>
        <w:rPr>
          <w:rFonts w:hint="eastAsia" w:ascii="宋体" w:hAnsi="宋体" w:eastAsia="宋体" w:cs="宋体"/>
          <w:color w:val="auto"/>
          <w:highlight w:val="none"/>
        </w:rPr>
        <w:t xml:space="preserve">第二章  </w:t>
      </w:r>
      <w:bookmarkEnd w:id="4"/>
      <w:bookmarkEnd w:id="5"/>
      <w:r>
        <w:rPr>
          <w:rFonts w:hint="eastAsia" w:ascii="宋体" w:cs="宋体"/>
          <w:color w:val="auto"/>
          <w:highlight w:val="none"/>
          <w:lang w:eastAsia="zh-CN"/>
        </w:rPr>
        <w:t>供应商</w:t>
      </w:r>
      <w:r>
        <w:rPr>
          <w:rFonts w:hint="eastAsia" w:ascii="宋体" w:hAnsi="宋体" w:eastAsia="宋体" w:cs="宋体"/>
          <w:color w:val="auto"/>
          <w:highlight w:val="none"/>
        </w:rPr>
        <w:t>须知</w:t>
      </w:r>
      <w:bookmarkEnd w:id="6"/>
    </w:p>
    <w:p>
      <w:pPr>
        <w:pStyle w:val="10"/>
        <w:spacing w:line="360" w:lineRule="auto"/>
        <w:jc w:val="center"/>
        <w:rPr>
          <w:rFonts w:hint="eastAsia" w:ascii="宋体" w:hAnsi="宋体" w:eastAsia="宋体" w:cs="宋体"/>
          <w:b/>
          <w:color w:val="auto"/>
          <w:sz w:val="32"/>
          <w:highlight w:val="none"/>
        </w:rPr>
      </w:pPr>
      <w:r>
        <w:rPr>
          <w:rFonts w:hint="eastAsia" w:hAnsi="宋体" w:cs="宋体"/>
          <w:b/>
          <w:color w:val="auto"/>
          <w:sz w:val="32"/>
          <w:highlight w:val="none"/>
          <w:lang w:eastAsia="zh-CN"/>
        </w:rPr>
        <w:t>供应商</w:t>
      </w:r>
      <w:r>
        <w:rPr>
          <w:rFonts w:hint="eastAsia" w:ascii="宋体" w:hAnsi="宋体" w:eastAsia="宋体" w:cs="宋体"/>
          <w:b/>
          <w:color w:val="auto"/>
          <w:sz w:val="32"/>
          <w:highlight w:val="none"/>
        </w:rPr>
        <w:t>须知前附表</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本表是对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须知的具体补充和修改，如有矛盾，应以本资料表为准。</w:t>
      </w:r>
    </w:p>
    <w:tbl>
      <w:tblPr>
        <w:tblStyle w:val="20"/>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7"/>
        <w:gridCol w:w="8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38" w:type="dxa"/>
            <w:noWrap w:val="0"/>
            <w:vAlign w:val="top"/>
          </w:tcPr>
          <w:p>
            <w:pPr>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采购人：</w:t>
            </w:r>
            <w:r>
              <w:rPr>
                <w:rFonts w:hint="eastAsia" w:ascii="宋体" w:hAnsi="宋体" w:cs="宋体"/>
                <w:color w:val="auto"/>
                <w:sz w:val="24"/>
                <w:szCs w:val="24"/>
                <w:highlight w:val="none"/>
                <w:lang w:eastAsia="zh-CN"/>
              </w:rPr>
              <w:t>神木市店塔镇人民政府</w:t>
            </w:r>
          </w:p>
          <w:p>
            <w:pPr>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rPr>
              <w:t>代理机构</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华春建设工程项目管理有限责任公司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项目名称：</w:t>
            </w:r>
            <w:r>
              <w:rPr>
                <w:rFonts w:hint="eastAsia" w:ascii="宋体" w:hAnsi="宋体" w:cs="宋体"/>
                <w:color w:val="auto"/>
                <w:sz w:val="24"/>
                <w:szCs w:val="24"/>
                <w:lang w:val="en-US" w:eastAsia="zh-CN"/>
              </w:rPr>
              <w:t>店塔镇生活垃圾填埋场运营管理项目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采购预算金额：</w:t>
            </w:r>
            <w:r>
              <w:rPr>
                <w:rFonts w:hint="eastAsia" w:ascii="宋体" w:hAnsi="宋体" w:cs="宋体"/>
                <w:b w:val="0"/>
                <w:bCs w:val="0"/>
                <w:color w:val="auto"/>
                <w:sz w:val="24"/>
                <w:szCs w:val="24"/>
                <w:highlight w:val="none"/>
                <w:lang w:val="en-US" w:eastAsia="zh-CN"/>
              </w:rPr>
              <w:t>93</w:t>
            </w:r>
            <w:r>
              <w:rPr>
                <w:rFonts w:hint="eastAsia" w:ascii="宋体" w:hAnsi="宋体" w:eastAsia="宋体" w:cs="宋体"/>
                <w:b w:val="0"/>
                <w:bCs w:val="0"/>
                <w:color w:val="auto"/>
                <w:sz w:val="24"/>
                <w:szCs w:val="24"/>
                <w:highlight w:val="none"/>
                <w:lang w:val="en-US" w:eastAsia="zh-CN"/>
              </w:rPr>
              <w:t>0000.00</w:t>
            </w:r>
            <w:r>
              <w:rPr>
                <w:rFonts w:hint="eastAsia" w:ascii="宋体" w:hAnsi="宋体" w:eastAsia="宋体" w:cs="宋体"/>
                <w:b w:val="0"/>
                <w:bCs w:val="0"/>
                <w:color w:val="auto"/>
                <w:sz w:val="24"/>
                <w:szCs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采购方式：</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8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采购内容及要求：</w:t>
            </w:r>
            <w:r>
              <w:rPr>
                <w:rFonts w:hint="eastAsia" w:ascii="宋体" w:hAnsi="宋体" w:eastAsia="宋体" w:cs="宋体"/>
                <w:color w:val="auto"/>
                <w:sz w:val="24"/>
                <w:szCs w:val="24"/>
                <w:highlight w:val="none"/>
              </w:rPr>
              <w:t>详见</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内容及技术要求</w:t>
            </w:r>
            <w:r>
              <w:rPr>
                <w:rFonts w:hint="eastAsia" w:ascii="宋体" w:hAnsi="宋体" w:eastAsia="宋体" w:cs="宋体"/>
                <w:b/>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分包：</w:t>
            </w:r>
            <w:r>
              <w:rPr>
                <w:rFonts w:hint="eastAsia" w:ascii="宋体" w:hAnsi="宋体" w:eastAsia="宋体" w:cs="宋体"/>
                <w:color w:val="auto"/>
                <w:sz w:val="24"/>
                <w:szCs w:val="24"/>
                <w:highlight w:val="none"/>
                <w:lang w:val="zh-CN"/>
              </w:rPr>
              <w:t>不允许分包。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期：</w:t>
            </w:r>
            <w:r>
              <w:rPr>
                <w:rFonts w:hint="eastAsia" w:ascii="宋体" w:hAnsi="宋体" w:cs="宋体"/>
                <w:i w:val="0"/>
                <w:iCs w:val="0"/>
                <w:caps w:val="0"/>
                <w:color w:val="auto"/>
                <w:spacing w:val="0"/>
                <w:sz w:val="24"/>
                <w:szCs w:val="24"/>
                <w:shd w:val="clear" w:color="auto" w:fill="FFFFFF"/>
                <w:lang w:eastAsia="zh-CN"/>
              </w:rPr>
              <w:t>3年(一次招标，招标延用两年，合同一年一签。)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质量：</w:t>
            </w:r>
            <w:r>
              <w:rPr>
                <w:rFonts w:hint="eastAsia" w:ascii="宋体" w:hAnsi="宋体" w:eastAsia="宋体" w:cs="宋体"/>
                <w:color w:val="auto"/>
                <w:sz w:val="24"/>
                <w:szCs w:val="24"/>
                <w:highlight w:val="none"/>
                <w:lang w:val="zh-CN"/>
              </w:rPr>
              <w:t>符合行业标准。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总价说明：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总价：指完成本项目所有发生一切费用（含税）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总价大于预算金额为无效报价。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响应说明：</w:t>
            </w:r>
            <w:r>
              <w:rPr>
                <w:rFonts w:hint="eastAsia" w:ascii="宋体" w:hAnsi="宋体" w:eastAsia="宋体" w:cs="宋体"/>
                <w:color w:val="auto"/>
                <w:sz w:val="24"/>
                <w:szCs w:val="24"/>
                <w:highlight w:val="none"/>
              </w:rPr>
              <w:t>本次采购</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可根据自身的资质情况和经营范围对本次项目进行响应，不得将其自行分解或只对本次项目中的品目进行不完全响应，任何不完全的响应将按无效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8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备选方案：</w:t>
            </w:r>
            <w:r>
              <w:rPr>
                <w:rFonts w:hint="eastAsia" w:ascii="宋体" w:hAnsi="宋体" w:eastAsia="宋体" w:cs="宋体"/>
                <w:color w:val="auto"/>
                <w:sz w:val="24"/>
                <w:szCs w:val="24"/>
                <w:highlight w:val="none"/>
              </w:rPr>
              <w:t xml:space="preserve">不允许提供备选方案。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838" w:type="dxa"/>
            <w:noWrap w:val="0"/>
            <w:vAlign w:val="center"/>
          </w:tcPr>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cs="宋体"/>
                <w:sz w:val="24"/>
                <w:szCs w:val="24"/>
                <w:lang w:eastAsia="zh-CN"/>
              </w:rPr>
              <w:t>供应商</w:t>
            </w:r>
            <w:r>
              <w:rPr>
                <w:rFonts w:hint="eastAsia" w:ascii="宋体" w:hAnsi="宋体" w:eastAsia="宋体" w:cs="宋体"/>
                <w:sz w:val="24"/>
                <w:szCs w:val="24"/>
              </w:rPr>
              <w:t>为具有独立承担民事责任能力的法人、事业法人、其他组织或 自然人。企业法人应提供合法有效的标识有统一社会信用代码的营业执照；事业 法人应提供事业单位法人证书；其他组织应提供合法登记证明文件；自然人应提 供身份证；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财务状况报告：提供 2021年度或2022年度的财务审计报告，成立时 间至提交投标文件递交截止时间不足一年的，须提供其基本存款账户开户银行近 三个月内出具的银行资信证明或自成立以来的财务报表；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 税收缴纳证明：提供 202</w:t>
            </w:r>
            <w:r>
              <w:rPr>
                <w:rFonts w:hint="eastAsia" w:ascii="宋体" w:hAnsi="宋体" w:cs="宋体"/>
                <w:sz w:val="24"/>
                <w:szCs w:val="24"/>
                <w:lang w:val="en-US" w:eastAsia="zh-CN"/>
              </w:rPr>
              <w:t>3</w:t>
            </w:r>
            <w:r>
              <w:rPr>
                <w:rFonts w:hint="eastAsia" w:ascii="宋体" w:hAnsi="宋体" w:eastAsia="宋体" w:cs="宋体"/>
                <w:sz w:val="24"/>
                <w:szCs w:val="24"/>
              </w:rPr>
              <w:t>年0</w:t>
            </w:r>
            <w:r>
              <w:rPr>
                <w:rFonts w:hint="eastAsia" w:ascii="宋体" w:hAnsi="宋体" w:cs="宋体"/>
                <w:sz w:val="24"/>
                <w:szCs w:val="24"/>
                <w:lang w:val="en-US" w:eastAsia="zh-CN"/>
              </w:rPr>
              <w:t>1</w:t>
            </w:r>
            <w:r>
              <w:rPr>
                <w:rFonts w:hint="eastAsia" w:ascii="宋体" w:hAnsi="宋体" w:eastAsia="宋体" w:cs="宋体"/>
                <w:sz w:val="24"/>
                <w:szCs w:val="24"/>
              </w:rPr>
              <w:t>月1日至今已缴纳的至少一个月的纳税证明 (银行缴费凭证)或完税证明(时间以税款所属日期为准、税种须包含增值税或企业所得税或营业税)，依法免税的单位应提供相关证明材料；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)社会保障资金缴纳证明：提供202</w:t>
            </w:r>
            <w:r>
              <w:rPr>
                <w:rFonts w:hint="eastAsia" w:ascii="宋体" w:hAnsi="宋体" w:cs="宋体"/>
                <w:sz w:val="24"/>
                <w:szCs w:val="24"/>
                <w:lang w:val="en-US" w:eastAsia="zh-CN"/>
              </w:rPr>
              <w:t>3</w:t>
            </w:r>
            <w:r>
              <w:rPr>
                <w:rFonts w:hint="eastAsia" w:ascii="宋体" w:hAnsi="宋体" w:eastAsia="宋体" w:cs="宋体"/>
                <w:sz w:val="24"/>
                <w:szCs w:val="24"/>
              </w:rPr>
              <w:t>年0</w:t>
            </w:r>
            <w:r>
              <w:rPr>
                <w:rFonts w:hint="eastAsia" w:ascii="宋体" w:hAnsi="宋体" w:cs="宋体"/>
                <w:sz w:val="24"/>
                <w:szCs w:val="24"/>
                <w:lang w:val="en-US" w:eastAsia="zh-CN"/>
              </w:rPr>
              <w:t>1</w:t>
            </w:r>
            <w:r>
              <w:rPr>
                <w:rFonts w:hint="eastAsia" w:ascii="宋体" w:hAnsi="宋体" w:eastAsia="宋体" w:cs="宋体"/>
                <w:sz w:val="24"/>
                <w:szCs w:val="24"/>
              </w:rPr>
              <w:t>月1日至今已缴纳的至少一个月的社会保障资金银行缴费单据或社保机构开具的社会保险参保缴费情况证明，依法不需要缴纳社会保障资金的单位应提供相关证明材料；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)参加政府采购活动前三年内，在经营活动中没有重大违法记录的书面 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 (附投标截止日前的查询结果但以投标截止日当天查询结果为准) 。提供“信用中国”网站(www.creditchina.gov.cn)、“信用中国 (陕西榆林) ”网站 (http：//www.ylcredit.gov.cn/) 、中国政府采购网(www.ccgp.gov.cn) 等网页截图及信用中国报告加盖</w:t>
            </w:r>
            <w:r>
              <w:rPr>
                <w:rFonts w:hint="eastAsia" w:ascii="宋体" w:hAnsi="宋体" w:cs="宋体"/>
                <w:sz w:val="24"/>
                <w:szCs w:val="24"/>
                <w:lang w:eastAsia="zh-CN"/>
              </w:rPr>
              <w:t>供应商</w:t>
            </w:r>
            <w:r>
              <w:rPr>
                <w:rFonts w:hint="eastAsia" w:ascii="宋体" w:hAnsi="宋体" w:eastAsia="宋体" w:cs="宋体"/>
                <w:sz w:val="24"/>
                <w:szCs w:val="24"/>
              </w:rPr>
              <w:t>公章(鲜章)为准；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)本项目专门面向中小企业采购，预留份额为整体预留，投标供应商须提供《中小企业声明函》；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13</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w:t>
            </w:r>
          </w:p>
          <w:p>
            <w:pPr>
              <w:pStyle w:val="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不要求</w:t>
            </w:r>
            <w:bookmarkStart w:id="7" w:name="_Hlk81404720"/>
            <w:r>
              <w:rPr>
                <w:rFonts w:hint="eastAsia" w:ascii="宋体" w:hAnsi="宋体" w:eastAsia="宋体" w:cs="宋体"/>
                <w:color w:val="auto"/>
                <w:sz w:val="24"/>
                <w:szCs w:val="24"/>
              </w:rPr>
              <w:t>，投标信用承诺书</w:t>
            </w:r>
            <w:bookmarkEnd w:id="7"/>
            <w:r>
              <w:rPr>
                <w:rFonts w:hint="eastAsia" w:ascii="宋体" w:hAnsi="宋体" w:eastAsia="宋体" w:cs="宋体"/>
                <w:color w:val="auto"/>
                <w:sz w:val="24"/>
                <w:szCs w:val="24"/>
              </w:rPr>
              <w:t>代替</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保证金</w:t>
            </w:r>
            <w:r>
              <w:rPr>
                <w:rFonts w:hint="eastAsia" w:ascii="宋体" w:hAnsi="宋体" w:eastAsia="宋体" w:cs="宋体"/>
                <w:color w:val="auto"/>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有效期:</w:t>
            </w:r>
            <w:r>
              <w:rPr>
                <w:rFonts w:hint="eastAsia" w:ascii="宋体" w:hAnsi="宋体" w:eastAsia="宋体" w:cs="宋体"/>
                <w:color w:val="auto"/>
                <w:sz w:val="24"/>
                <w:szCs w:val="24"/>
                <w:highlight w:val="none"/>
              </w:rPr>
              <w:t xml:space="preserve"> 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响应文件提交截止之日起 90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838" w:type="dxa"/>
            <w:noWrap w:val="0"/>
            <w:vAlign w:val="center"/>
          </w:tcPr>
          <w:p>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lang w:val="en-US"/>
              </w:rPr>
            </w:pPr>
            <w:r>
              <w:rPr>
                <w:rFonts w:hint="eastAsia" w:ascii="宋体" w:hAnsi="宋体" w:eastAsia="宋体" w:cs="宋体"/>
                <w:sz w:val="24"/>
                <w:szCs w:val="24"/>
                <w:highlight w:val="none"/>
                <w:lang w:val="zh-CN"/>
              </w:rPr>
              <w:t>供应商无需提交纸质版响应文件，待成交结果公示发布后五个工作日内，成交单位需补交一正二副的纸质版响应文件(备案用)。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电子磋商响应文件编制要求：</w:t>
            </w:r>
          </w:p>
          <w:p>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本项目的磋商响应文件必须使用专用工具软件编制，编制完成后需电子签章，并通过“</w:t>
            </w:r>
            <w:r>
              <w:rPr>
                <w:rFonts w:hint="eastAsia" w:ascii="宋体" w:hAnsi="宋体" w:eastAsia="宋体" w:cs="宋体"/>
                <w:color w:val="auto"/>
                <w:sz w:val="24"/>
                <w:szCs w:val="24"/>
                <w:lang w:val="zh-TW" w:eastAsia="zh-TW" w:bidi="zh-TW"/>
              </w:rPr>
              <w:t>全国公共资源交易平台（陕西省·榆林市）</w:t>
            </w:r>
            <w:r>
              <w:rPr>
                <w:rFonts w:hint="eastAsia" w:ascii="宋体" w:hAnsi="宋体" w:eastAsia="宋体" w:cs="宋体"/>
                <w:color w:val="auto"/>
                <w:sz w:val="24"/>
                <w:szCs w:val="24"/>
                <w:lang w:val="en-US" w:eastAsia="zh-CN"/>
              </w:rPr>
              <w:t>”完成投标过程，投标人在磋商响应文件的编制和递交，应按照磋商文件的规定进行，如未按照磋商文件要求编制、递交电子磋商响应文件，将可能导致投标无效，其后果由投标人自负。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838" w:type="dxa"/>
            <w:noWrap w:val="0"/>
            <w:vAlign w:val="center"/>
          </w:tcPr>
          <w:p>
            <w:pPr>
              <w:pStyle w:val="11"/>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电子投标注意事项：</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应及时下载磋商文件等相关文件，在投标截止前必须上传磋商响应文件，开标时需携带生成电子磋商响应文件时使用的CA锁，以便对上传的磋商响应文件进行解密，因投标人原因造成其磋商响应文件无法解密的，按无效投标处理。</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该项目将采取“不见面”开标的形式，供应商无须到达开标现场，即可在网上直接参与开标活动。</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相关注意事项如下：</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1、开标当日，请各供应商在开标截止时间前至少提前半小时登录“不见面”开标系统登录方式有以下几种：</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1）IE浏览器输入网址：</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http://111.20.184.126:8081/BidOpeningHallCS/bidhall/default/login；</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2）在【全国公共资源交易平台（陕西省·榆林市）】网站首页点击不见面开标模块进入；</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3）在【全国公共资源交易平台（陕西省）】网站首页点击不见面开标模块选择榆林市进入。</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注：登录不见面开标系统请选择IE11浏览器</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2、供应商应按要求及时签到（签到时间为投标截止时间前1小时内，如果未签到将视为放弃投标资格），评审过程中，评标委员会可能会就某些问题要求供应商进行在线澄清，请供应商保持在线直到评审结束；</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开标过程中，供应商在收到工作人员“开始解密”指令后，请及时使用CA对电子投标文件进行解密。解密时所用CA应与加密投标文件时所用CA相同；注：竞争性磋商方式解密时间为30分钟在解密时间内供应商全部解密完成后，可提前进入开标下一阶段。</w:t>
            </w:r>
          </w:p>
          <w:p>
            <w:pPr>
              <w:pStyle w:val="2"/>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4、相关技术问题，请咨询软件开发商：技术支持热线：400-998-0000/400-928-0095</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5、榆林不见面开标系统操作手册下载方式：登录【全国公共资源交易平台（陕西省·榆林市）】网站首页选择【服务指南】-【下载专区】-点击【榆林不见面开标系统操作手册（投标人）】进行下载。</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723" w:firstLineChars="3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进入公共资源交易平台的各方交易主体，均应在“信用中国(陕西榆林)”网站进行注册、登录、自主上报信用承诺书(网址:https://credit.yl.gov.cn/)。各相关交易主体注册、登陆后根据承诺事项选择相应的模板填写《信用承诺书》，并载明承诺事由，政府采购活动中，各方交易主体的承诺事由为“公共资源交易平台的所有活动”。投标人请将申报截图附在投标文件投标人委托代理人员附件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响应文件递交及</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时间：</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响应文件递交截止时间：2023年08月08日 15时30分00秒 </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响应文件递交：</w:t>
            </w:r>
            <w:r>
              <w:rPr>
                <w:rFonts w:hint="eastAsia" w:ascii="宋体" w:hAnsi="宋体" w:eastAsia="宋体" w:cs="宋体"/>
                <w:color w:val="auto"/>
                <w:sz w:val="24"/>
                <w:szCs w:val="24"/>
                <w:highlight w:val="none"/>
                <w:lang w:val="en-US" w:eastAsia="zh-CN"/>
              </w:rPr>
              <w:t>网上递交</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时间：2023年08月08日 15时30分00秒</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地点：榆林市公共资源交易中心十楼开标2室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评审方法：</w:t>
            </w:r>
            <w:r>
              <w:rPr>
                <w:rFonts w:hint="eastAsia" w:ascii="宋体" w:hAnsi="宋体" w:eastAsia="宋体" w:cs="宋体"/>
                <w:color w:val="auto"/>
                <w:kern w:val="0"/>
                <w:sz w:val="24"/>
                <w:szCs w:val="24"/>
                <w:shd w:val="clear" w:color="auto" w:fill="FFFFFF"/>
              </w:rPr>
              <w:t>综合评分法</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本章</w:t>
            </w:r>
            <w:r>
              <w:rPr>
                <w:rFonts w:hint="eastAsia" w:ascii="宋体" w:hAnsi="宋体" w:eastAsia="宋体" w:cs="宋体"/>
                <w:color w:val="auto"/>
                <w:sz w:val="24"/>
                <w:szCs w:val="24"/>
                <w:highlight w:val="none"/>
              </w:rPr>
              <w:t xml:space="preserve">第五节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r>
              <w:rPr>
                <w:rFonts w:hint="eastAsia" w:ascii="宋体" w:hAnsi="宋体" w:eastAsia="宋体" w:cs="宋体"/>
                <w:color w:val="auto"/>
                <w:sz w:val="24"/>
                <w:szCs w:val="24"/>
                <w:highlight w:val="none"/>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踏勘现场：自行踏勘</w:t>
            </w:r>
            <w:r>
              <w:rPr>
                <w:rFonts w:hint="eastAsia" w:ascii="宋体" w:hAnsi="宋体" w:eastAsia="宋体" w:cs="宋体"/>
                <w:b/>
                <w:bCs/>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成交服务费：</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成交服务费包含采购代理服务费及</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时发生的其他费用，均由</w:t>
            </w:r>
            <w:r>
              <w:rPr>
                <w:rFonts w:hint="eastAsia" w:ascii="宋体" w:hAnsi="宋体" w:eastAsia="宋体" w:cs="宋体"/>
                <w:b/>
                <w:bCs/>
                <w:color w:val="auto"/>
                <w:sz w:val="24"/>
                <w:szCs w:val="24"/>
                <w:highlight w:val="none"/>
                <w:lang w:eastAsia="zh-CN"/>
              </w:rPr>
              <w:t>中标供应商</w:t>
            </w:r>
            <w:r>
              <w:rPr>
                <w:rFonts w:hint="eastAsia" w:ascii="宋体" w:hAnsi="宋体" w:eastAsia="宋体" w:cs="宋体"/>
                <w:b/>
                <w:bCs/>
                <w:color w:val="auto"/>
                <w:sz w:val="24"/>
                <w:szCs w:val="24"/>
                <w:highlight w:val="none"/>
              </w:rPr>
              <w:t>承担。</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(1)采购代理服务费参照国家标准（计价格[2002]1980号）</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类标准收取，以成交价为计算基数；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时可能发生的其他费用（以实际发生额为准）。</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(2)成交商在领取成交通知书前，须向采购代理机构一次性支付成交服务费。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解释：</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文件组成部分的各章节中出现的措辞“委托人”、“发包人“和“供应商”、“承包人”，在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阶段应当分别按“采购人”和“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8838" w:type="dxa"/>
            <w:noWrap w:val="0"/>
            <w:vAlign w:val="center"/>
          </w:tcPr>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pacing w:val="12"/>
                <w:sz w:val="24"/>
                <w:szCs w:val="24"/>
                <w:lang w:eastAsia="zh-CN"/>
              </w:rPr>
            </w:pPr>
            <w:r>
              <w:rPr>
                <w:rFonts w:hint="eastAsia" w:ascii="宋体" w:hAnsi="宋体" w:eastAsia="宋体" w:cs="宋体"/>
                <w:b/>
                <w:bCs/>
                <w:color w:val="auto"/>
                <w:sz w:val="24"/>
                <w:szCs w:val="24"/>
                <w:lang w:val="en-US" w:eastAsia="zh-CN"/>
              </w:rPr>
              <w:t>本次采购所属行业：</w:t>
            </w:r>
            <w:r>
              <w:rPr>
                <w:rFonts w:hint="eastAsia" w:ascii="宋体" w:hAnsi="宋体" w:cs="宋体"/>
                <w:b/>
                <w:bCs/>
                <w:color w:val="auto"/>
                <w:sz w:val="24"/>
                <w:szCs w:val="24"/>
                <w:lang w:val="en-US" w:eastAsia="zh-CN"/>
              </w:rPr>
              <w:t>其他未列明行业</w:t>
            </w:r>
            <w:r>
              <w:rPr>
                <w:rFonts w:hint="eastAsia" w:ascii="宋体" w:hAnsi="宋体" w:eastAsia="宋体" w:cs="宋体"/>
                <w:b/>
                <w:bCs/>
                <w:color w:val="auto"/>
                <w:sz w:val="24"/>
                <w:szCs w:val="24"/>
                <w:lang w:val="en-US" w:eastAsia="zh-CN"/>
              </w:rPr>
              <w:t>。</w:t>
            </w:r>
          </w:p>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7"/>
                <w:sz w:val="24"/>
                <w:szCs w:val="24"/>
              </w:rPr>
              <w:t>专门面向中小企业采购项目</w:t>
            </w:r>
          </w:p>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非专门面向中小企业采购项目(价格扣除)</w:t>
            </w:r>
            <w:r>
              <w:rPr>
                <w:rFonts w:hint="eastAsia" w:ascii="宋体" w:hAnsi="宋体" w:eastAsia="宋体" w:cs="宋体"/>
                <w:color w:val="auto"/>
                <w:spacing w:val="6"/>
                <w:sz w:val="24"/>
                <w:szCs w:val="24"/>
              </w:rPr>
              <w:t>：</w:t>
            </w:r>
          </w:p>
          <w:p>
            <w:pPr>
              <w:keepNext w:val="0"/>
              <w:keepLines w:val="0"/>
              <w:pageBreakBefore w:val="0"/>
              <w:kinsoku/>
              <w:wordWrap/>
              <w:overflowPunct/>
              <w:topLinePunct w:val="0"/>
              <w:autoSpaceDE/>
              <w:autoSpaceDN/>
              <w:bidi w:val="0"/>
              <w:spacing w:line="360" w:lineRule="auto"/>
              <w:ind w:left="116" w:right="114" w:hanging="2"/>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10"/>
                <w:sz w:val="24"/>
                <w:szCs w:val="24"/>
              </w:rPr>
              <w:t>对小型和微型企业产品的价格给予10%~20%的扣除</w:t>
            </w:r>
            <w:r>
              <w:rPr>
                <w:rFonts w:hint="eastAsia" w:ascii="宋体" w:hAnsi="宋体" w:eastAsia="宋体" w:cs="宋体"/>
                <w:color w:val="auto"/>
                <w:spacing w:val="9"/>
                <w:sz w:val="24"/>
                <w:szCs w:val="24"/>
              </w:rPr>
              <w:t>，</w:t>
            </w:r>
            <w:r>
              <w:rPr>
                <w:rFonts w:hint="eastAsia" w:ascii="宋体" w:hAnsi="宋体" w:eastAsia="宋体" w:cs="宋体"/>
                <w:color w:val="auto"/>
                <w:spacing w:val="12"/>
                <w:sz w:val="24"/>
                <w:szCs w:val="24"/>
              </w:rPr>
              <w:t>用扣</w:t>
            </w:r>
            <w:r>
              <w:rPr>
                <w:rFonts w:hint="eastAsia" w:ascii="宋体" w:hAnsi="宋体" w:eastAsia="宋体" w:cs="宋体"/>
                <w:color w:val="auto"/>
                <w:spacing w:val="11"/>
                <w:sz w:val="24"/>
                <w:szCs w:val="24"/>
              </w:rPr>
              <w:t>除</w:t>
            </w:r>
            <w:r>
              <w:rPr>
                <w:rFonts w:hint="eastAsia" w:ascii="宋体" w:hAnsi="宋体" w:eastAsia="宋体" w:cs="宋体"/>
                <w:color w:val="auto"/>
                <w:spacing w:val="6"/>
                <w:sz w:val="24"/>
                <w:szCs w:val="24"/>
              </w:rPr>
              <w:t>后的价格参与评审。本项目的扣除比例为：小型</w:t>
            </w:r>
            <w:r>
              <w:rPr>
                <w:rFonts w:hint="eastAsia" w:ascii="宋体" w:hAnsi="宋体" w:eastAsia="宋体" w:cs="宋体"/>
                <w:color w:val="auto"/>
                <w:spacing w:val="1"/>
                <w:sz w:val="24"/>
                <w:szCs w:val="24"/>
              </w:rPr>
              <w:t>企业扣除20%，微型企业扣除20</w:t>
            </w:r>
            <w:r>
              <w:rPr>
                <w:rFonts w:hint="eastAsia" w:ascii="宋体" w:hAnsi="宋体" w:eastAsia="宋体" w:cs="宋体"/>
                <w:color w:val="auto"/>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8838" w:type="dxa"/>
            <w:noWrap w:val="0"/>
            <w:vAlign w:val="center"/>
          </w:tcPr>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支持监狱企业发展：</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专门面向监狱企业采购项目</w:t>
            </w:r>
          </w:p>
          <w:p>
            <w:pPr>
              <w:keepNext w:val="0"/>
              <w:keepLines w:val="0"/>
              <w:pageBreakBefore w:val="0"/>
              <w:kinsoku/>
              <w:wordWrap/>
              <w:overflowPunct/>
              <w:topLinePunct w:val="0"/>
              <w:autoSpaceDE/>
              <w:autoSpaceDN/>
              <w:bidi w:val="0"/>
              <w:spacing w:line="360" w:lineRule="auto"/>
              <w:ind w:left="0" w:leftChars="0" w:right="106"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非专门面向监狱企业采购项目（价格扣除）：</w:t>
            </w:r>
            <w:r>
              <w:rPr>
                <w:rFonts w:hint="eastAsia" w:ascii="宋体" w:hAnsi="宋体" w:eastAsia="宋体" w:cs="宋体"/>
                <w:color w:val="auto"/>
                <w:spacing w:val="6"/>
                <w:sz w:val="24"/>
                <w:szCs w:val="24"/>
              </w:rPr>
              <w:t>监狱企业</w:t>
            </w:r>
            <w:r>
              <w:rPr>
                <w:rFonts w:hint="eastAsia" w:ascii="宋体" w:hAnsi="宋体" w:eastAsia="宋体" w:cs="宋体"/>
                <w:color w:val="auto"/>
                <w:spacing w:val="4"/>
                <w:sz w:val="24"/>
                <w:szCs w:val="24"/>
              </w:rPr>
              <w:t>可</w:t>
            </w:r>
            <w:r>
              <w:rPr>
                <w:rFonts w:hint="eastAsia" w:ascii="宋体" w:hAnsi="宋体" w:eastAsia="宋体" w:cs="宋体"/>
                <w:color w:val="auto"/>
                <w:spacing w:val="10"/>
                <w:sz w:val="24"/>
                <w:szCs w:val="24"/>
              </w:rPr>
              <w:t>视同小微企业在价格评审时给予10%~20%的扣除，</w:t>
            </w:r>
            <w:r>
              <w:rPr>
                <w:rFonts w:hint="eastAsia" w:ascii="宋体" w:hAnsi="宋体" w:eastAsia="宋体" w:cs="宋体"/>
                <w:color w:val="auto"/>
                <w:spacing w:val="6"/>
                <w:sz w:val="24"/>
                <w:szCs w:val="24"/>
              </w:rPr>
              <w:t>用</w:t>
            </w:r>
            <w:r>
              <w:rPr>
                <w:rFonts w:hint="eastAsia" w:ascii="宋体" w:hAnsi="宋体" w:eastAsia="宋体" w:cs="宋体"/>
                <w:color w:val="auto"/>
                <w:spacing w:val="18"/>
                <w:sz w:val="24"/>
                <w:szCs w:val="24"/>
              </w:rPr>
              <w:t>扣</w:t>
            </w:r>
            <w:r>
              <w:rPr>
                <w:rFonts w:hint="eastAsia" w:ascii="宋体" w:hAnsi="宋体" w:eastAsia="宋体" w:cs="宋体"/>
                <w:color w:val="auto"/>
                <w:spacing w:val="17"/>
                <w:sz w:val="24"/>
                <w:szCs w:val="24"/>
              </w:rPr>
              <w:t>除后的价格参与评审。本项目的扣除比例为：扣除</w:t>
            </w:r>
            <w:r>
              <w:rPr>
                <w:rFonts w:hint="eastAsia" w:ascii="宋体" w:hAnsi="宋体" w:eastAsia="宋体" w:cs="宋体"/>
                <w:color w:val="auto"/>
                <w:spacing w:val="2"/>
                <w:sz w:val="24"/>
                <w:szCs w:val="24"/>
                <w:lang w:val="en-US" w:eastAsia="zh-CN"/>
              </w:rPr>
              <w:t>20</w:t>
            </w:r>
            <w:r>
              <w:rPr>
                <w:rFonts w:hint="eastAsia" w:ascii="宋体" w:hAnsi="宋体" w:eastAsia="宋体" w:cs="宋体"/>
                <w:color w:val="auto"/>
                <w:spacing w:val="1"/>
                <w:sz w:val="24"/>
                <w:szCs w:val="24"/>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非专门面向监狱企业采购项目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bookmarkStart w:id="8" w:name="_Toc6903"/>
            <w:r>
              <w:rPr>
                <w:rFonts w:hint="eastAsia" w:ascii="宋体" w:hAnsi="宋体" w:eastAsia="宋体" w:cs="宋体"/>
                <w:color w:val="auto"/>
                <w:sz w:val="24"/>
                <w:szCs w:val="24"/>
                <w:highlight w:val="none"/>
                <w:lang w:val="en-US" w:eastAsia="zh-CN"/>
              </w:rPr>
              <w:t>25</w:t>
            </w:r>
          </w:p>
        </w:tc>
        <w:tc>
          <w:tcPr>
            <w:tcW w:w="8838" w:type="dxa"/>
            <w:noWrap w:val="0"/>
            <w:vAlign w:val="center"/>
          </w:tcPr>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lang w:eastAsia="zh-CN"/>
              </w:rPr>
              <w:t>榆林市</w:t>
            </w:r>
            <w:r>
              <w:rPr>
                <w:rFonts w:hint="eastAsia" w:ascii="宋体" w:hAnsi="宋体" w:eastAsia="宋体" w:cs="宋体"/>
                <w:color w:val="auto"/>
                <w:spacing w:val="9"/>
                <w:sz w:val="24"/>
                <w:szCs w:val="24"/>
              </w:rPr>
              <w:t>公共资源交易平台全流程电子化政府采购项目内容</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1、关于需要特别提醒投标人的内容</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1.1、本项目采用电子化投标的方式</w:t>
            </w:r>
            <w:r>
              <w:rPr>
                <w:rFonts w:hint="eastAsia" w:ascii="宋体" w:hAnsi="宋体" w:cs="宋体"/>
                <w:color w:val="auto"/>
                <w:spacing w:val="9"/>
                <w:sz w:val="24"/>
                <w:szCs w:val="24"/>
                <w:lang w:eastAsia="zh-CN"/>
              </w:rPr>
              <w:t>，</w:t>
            </w:r>
            <w:r>
              <w:rPr>
                <w:rFonts w:hint="eastAsia" w:ascii="宋体" w:hAnsi="宋体" w:eastAsia="宋体" w:cs="宋体"/>
                <w:color w:val="auto"/>
                <w:spacing w:val="9"/>
                <w:sz w:val="24"/>
                <w:szCs w:val="24"/>
                <w:lang w:val="en-US" w:eastAsia="zh-CN"/>
              </w:rPr>
              <w:t>投标人</w:t>
            </w:r>
            <w:r>
              <w:rPr>
                <w:rFonts w:hint="eastAsia" w:ascii="宋体" w:hAnsi="宋体" w:eastAsia="宋体" w:cs="宋体"/>
                <w:color w:val="auto"/>
                <w:spacing w:val="9"/>
                <w:sz w:val="24"/>
                <w:szCs w:val="24"/>
              </w:rPr>
              <w:t>须使用数字认证证书对电子投标文件进行签章、加密、递交及开标时解密等相关招投标事宜。如因投标人自身原因数字认证证书造成无法解密投标文件，按无效投标对待。</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9"/>
                <w:sz w:val="24"/>
                <w:szCs w:val="24"/>
                <w:lang w:val="en-US" w:eastAsia="zh-CN"/>
              </w:rPr>
              <w:t>2</w:t>
            </w:r>
            <w:r>
              <w:rPr>
                <w:rFonts w:hint="eastAsia" w:ascii="宋体" w:hAnsi="宋体" w:eastAsia="宋体" w:cs="宋体"/>
                <w:color w:val="auto"/>
                <w:spacing w:val="9"/>
                <w:sz w:val="24"/>
                <w:szCs w:val="24"/>
              </w:rPr>
              <w:t>、制作电子投标文件</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cs="宋体"/>
                <w:color w:val="auto"/>
                <w:spacing w:val="9"/>
                <w:sz w:val="24"/>
                <w:szCs w:val="24"/>
                <w:lang w:val="en-US" w:eastAsia="zh-CN"/>
              </w:rPr>
              <w:t>供应商</w:t>
            </w:r>
            <w:r>
              <w:rPr>
                <w:rFonts w:hint="eastAsia" w:ascii="宋体" w:hAnsi="宋体" w:eastAsia="宋体" w:cs="宋体"/>
                <w:color w:val="auto"/>
                <w:spacing w:val="9"/>
                <w:sz w:val="24"/>
                <w:szCs w:val="24"/>
              </w:rPr>
              <w:t>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1.4、递交电子响应文件</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2、关于报名</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2.1、</w:t>
            </w:r>
            <w:r>
              <w:rPr>
                <w:rFonts w:hint="eastAsia" w:ascii="宋体" w:hAnsi="宋体" w:eastAsia="宋体" w:cs="宋体"/>
                <w:color w:val="auto"/>
                <w:spacing w:val="9"/>
                <w:sz w:val="24"/>
                <w:szCs w:val="24"/>
                <w:lang w:val="en-US" w:eastAsia="zh-CN"/>
              </w:rPr>
              <w:t>获取</w:t>
            </w:r>
            <w:r>
              <w:rPr>
                <w:rFonts w:hint="eastAsia" w:ascii="宋体" w:hAnsi="宋体" w:eastAsia="宋体" w:cs="宋体"/>
                <w:color w:val="auto"/>
                <w:spacing w:val="9"/>
                <w:sz w:val="24"/>
                <w:szCs w:val="24"/>
              </w:rPr>
              <w:t>须知：使用捆绑省交易平台的CA锁登录电子交易平台，通过政府采购系统企业端进入，点击我要投标，完善相关投标信息；</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w:t>
            </w:r>
            <w:r>
              <w:rPr>
                <w:rFonts w:hint="eastAsia" w:ascii="宋体" w:hAnsi="宋体" w:eastAsia="宋体" w:cs="宋体"/>
                <w:color w:val="auto"/>
                <w:spacing w:val="9"/>
                <w:sz w:val="24"/>
                <w:szCs w:val="24"/>
                <w:lang w:val="en-US" w:eastAsia="zh-CN"/>
              </w:rPr>
              <w:t>2</w:t>
            </w:r>
            <w:r>
              <w:rPr>
                <w:rFonts w:hint="eastAsia" w:ascii="宋体" w:hAnsi="宋体" w:eastAsia="宋体" w:cs="宋体"/>
                <w:color w:val="auto"/>
                <w:spacing w:val="9"/>
                <w:sz w:val="24"/>
                <w:szCs w:val="24"/>
              </w:rPr>
              <w:t>、相关操作流程详见全国公共资源交易平台（陕西省）网站[服务指南-下载专区]中的《陕西省公共资源交易中心政府采购项目投标指南》；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w:t>
            </w:r>
            <w:r>
              <w:rPr>
                <w:rFonts w:hint="eastAsia" w:ascii="宋体" w:hAnsi="宋体" w:eastAsia="宋体" w:cs="宋体"/>
                <w:color w:val="auto"/>
                <w:spacing w:val="9"/>
                <w:sz w:val="24"/>
                <w:szCs w:val="24"/>
                <w:lang w:val="en-US" w:eastAsia="zh-CN"/>
              </w:rPr>
              <w:t>3</w:t>
            </w:r>
            <w:r>
              <w:rPr>
                <w:rFonts w:hint="eastAsia" w:ascii="宋体" w:hAnsi="宋体" w:eastAsia="宋体" w:cs="宋体"/>
                <w:color w:val="auto"/>
                <w:spacing w:val="9"/>
                <w:sz w:val="24"/>
                <w:szCs w:val="24"/>
              </w:rPr>
              <w:t>、电子招标文件技术支持：4009280095、4009980000。</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3、关于文件的制作和签名</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3.1、编制电子投标文件时，应使用最新发布的电子招标文件及专用制作工具进行编制。并使用数字认证证书（CA）对电子投标文件进行签署、加密、递交及开标时解密等相关操作。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3.2.1电子招标文件下载</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cs="宋体"/>
                <w:color w:val="auto"/>
                <w:spacing w:val="9"/>
                <w:sz w:val="24"/>
                <w:szCs w:val="24"/>
                <w:lang w:val="en-US" w:eastAsia="zh-CN"/>
              </w:rPr>
              <w:t>供应商</w:t>
            </w:r>
            <w:r>
              <w:rPr>
                <w:rFonts w:hint="eastAsia" w:ascii="宋体" w:hAnsi="宋体" w:eastAsia="宋体" w:cs="宋体"/>
                <w:color w:val="auto"/>
                <w:spacing w:val="9"/>
                <w:sz w:val="24"/>
                <w:szCs w:val="24"/>
              </w:rPr>
              <w:t>登录全国公共资源交易平台（陕西省）网站[电子交易平台-企业端]后，在[我的项目]中点击“项目流程-交易文件下载”下载电子招标文件（*.SXSZF）;</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注意：该项目如有变更文件，则应点击“项目流程&gt;答疑文件下载”下载更新后的电子招标文件（*.SXSCF），使用旧版电子招标文件制作的电子投标文件，系统将拒绝接收。</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3.2.</w:t>
            </w:r>
            <w:r>
              <w:rPr>
                <w:rFonts w:hint="eastAsia" w:ascii="宋体" w:hAnsi="宋体" w:eastAsia="宋体" w:cs="宋体"/>
                <w:color w:val="auto"/>
                <w:spacing w:val="9"/>
                <w:sz w:val="24"/>
                <w:szCs w:val="24"/>
                <w:lang w:val="en-US" w:eastAsia="zh-CN"/>
              </w:rPr>
              <w:t>1</w:t>
            </w:r>
            <w:r>
              <w:rPr>
                <w:rFonts w:hint="eastAsia" w:ascii="宋体" w:hAnsi="宋体" w:eastAsia="宋体" w:cs="宋体"/>
                <w:color w:val="auto"/>
                <w:spacing w:val="9"/>
                <w:sz w:val="24"/>
                <w:szCs w:val="24"/>
              </w:rPr>
              <w:t>制作电子投标文件</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4、关于响应文件递交与解密</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4.1.文件递交</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4.1.1电子投标文件可于提交投标文件截止时间前任意时段登录全国公共资源交易平台（陕西省）网站[电子交易平台-企业端]进行提交，逾期系统将拒绝接收。提交时，</w:t>
            </w:r>
            <w:r>
              <w:rPr>
                <w:rFonts w:hint="eastAsia" w:ascii="宋体" w:hAnsi="宋体" w:cs="宋体"/>
                <w:color w:val="auto"/>
                <w:spacing w:val="9"/>
                <w:sz w:val="24"/>
                <w:szCs w:val="24"/>
                <w:lang w:val="en-US" w:eastAsia="zh-CN"/>
              </w:rPr>
              <w:t>供应商</w:t>
            </w:r>
            <w:r>
              <w:rPr>
                <w:rFonts w:hint="eastAsia" w:ascii="宋体" w:hAnsi="宋体" w:eastAsia="宋体" w:cs="宋体"/>
                <w:color w:val="auto"/>
                <w:spacing w:val="9"/>
                <w:sz w:val="24"/>
                <w:szCs w:val="24"/>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4.1.2逾期将被拒绝接收。</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4.2.文件开启与解密</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4.2.1。在开标环节出现下列情况之一的，其投标文件视为无效文件：</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a.</w:t>
            </w:r>
            <w:r>
              <w:rPr>
                <w:rFonts w:hint="eastAsia" w:ascii="宋体" w:hAnsi="宋体" w:cs="宋体"/>
                <w:color w:val="auto"/>
                <w:spacing w:val="9"/>
                <w:sz w:val="24"/>
                <w:szCs w:val="24"/>
                <w:lang w:val="en-US" w:eastAsia="zh-CN"/>
              </w:rPr>
              <w:t>供应商</w:t>
            </w:r>
            <w:r>
              <w:rPr>
                <w:rFonts w:hint="eastAsia" w:ascii="宋体" w:hAnsi="宋体" w:eastAsia="宋体" w:cs="宋体"/>
                <w:color w:val="auto"/>
                <w:spacing w:val="9"/>
                <w:sz w:val="24"/>
                <w:szCs w:val="24"/>
              </w:rPr>
              <w:t>拒绝对电子投标文件进行解密的；</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b.因</w:t>
            </w:r>
            <w:r>
              <w:rPr>
                <w:rFonts w:hint="eastAsia" w:ascii="宋体" w:hAnsi="宋体" w:cs="宋体"/>
                <w:color w:val="auto"/>
                <w:spacing w:val="9"/>
                <w:sz w:val="24"/>
                <w:szCs w:val="24"/>
                <w:lang w:val="en-US" w:eastAsia="zh-CN"/>
              </w:rPr>
              <w:t>供应商</w:t>
            </w:r>
            <w:r>
              <w:rPr>
                <w:rFonts w:hint="eastAsia" w:ascii="宋体" w:hAnsi="宋体" w:eastAsia="宋体" w:cs="宋体"/>
                <w:color w:val="auto"/>
                <w:spacing w:val="9"/>
                <w:sz w:val="24"/>
                <w:szCs w:val="24"/>
              </w:rPr>
              <w:t>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autoSpaceDN/>
              <w:bidi w:val="0"/>
              <w:spacing w:line="360" w:lineRule="auto"/>
              <w:ind w:left="277"/>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c.上传的电子投标文件无法打开的；</w:t>
            </w:r>
          </w:p>
          <w:p>
            <w:pPr>
              <w:keepNext w:val="0"/>
              <w:keepLines w:val="0"/>
              <w:pageBreakBefore w:val="0"/>
              <w:kinsoku/>
              <w:wordWrap/>
              <w:overflowPunct/>
              <w:topLinePunct w:val="0"/>
              <w:autoSpaceDE/>
              <w:autoSpaceDN/>
              <w:bidi w:val="0"/>
              <w:adjustRightInd w:val="0"/>
              <w:snapToGrid w:val="0"/>
              <w:spacing w:line="360" w:lineRule="auto"/>
              <w:ind w:firstLine="51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9"/>
                <w:sz w:val="24"/>
                <w:szCs w:val="24"/>
              </w:rPr>
              <w:t>d.政府采购法律法规规定的其他无效情形。</w:t>
            </w:r>
          </w:p>
        </w:tc>
      </w:tr>
      <w:bookmarkEnd w:id="1"/>
      <w:bookmarkEnd w:id="2"/>
      <w:bookmarkEnd w:id="3"/>
    </w:tbl>
    <w:p>
      <w:pPr>
        <w:pStyle w:val="5"/>
        <w:keepLines w:val="0"/>
        <w:pageBreakBefore w:val="0"/>
        <w:widowControl w:val="0"/>
        <w:kinsoku/>
        <w:wordWrap/>
        <w:overflowPunct/>
        <w:topLinePunct w:val="0"/>
        <w:autoSpaceDE/>
        <w:autoSpaceDN/>
        <w:bidi w:val="0"/>
        <w:adjustRightInd w:val="0"/>
        <w:snapToGrid w:val="0"/>
        <w:spacing w:beforeLines="0" w:line="360" w:lineRule="auto"/>
        <w:ind w:left="0" w:lef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bookmarkEnd w:id="8"/>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1．1本磋商文件仅适用于本次磋商所叙述的</w:t>
      </w:r>
      <w:r>
        <w:rPr>
          <w:rFonts w:hint="eastAsia" w:ascii="宋体" w:hAnsi="宋体" w:eastAsia="宋体" w:cs="宋体"/>
          <w:color w:val="auto"/>
          <w:sz w:val="24"/>
          <w:szCs w:val="24"/>
          <w:lang w:val="en-US" w:eastAsia="zh-CN"/>
        </w:rPr>
        <w:t>店塔镇生活垃圾填埋场运营管理项目服务项目</w:t>
      </w:r>
      <w:r>
        <w:rPr>
          <w:rFonts w:hint="eastAsia" w:ascii="宋体" w:hAnsi="宋体" w:eastAsia="宋体" w:cs="宋体"/>
          <w:color w:val="auto"/>
          <w:sz w:val="24"/>
          <w:szCs w:val="24"/>
        </w:rPr>
        <w:t>。</w:t>
      </w:r>
      <w:bookmarkStart w:id="9" w:name="_Toc8700"/>
    </w:p>
    <w:p>
      <w:pPr>
        <w:pStyle w:val="16"/>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bookmarkEnd w:id="9"/>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2．1“采购人”系指</w:t>
      </w:r>
      <w:r>
        <w:rPr>
          <w:rFonts w:hint="eastAsia" w:ascii="宋体" w:hAnsi="宋体" w:eastAsia="宋体" w:cs="宋体"/>
          <w:color w:val="auto"/>
          <w:sz w:val="24"/>
          <w:szCs w:val="24"/>
          <w:lang w:val="en-US" w:eastAsia="zh-CN"/>
        </w:rPr>
        <w:t>神木市店塔镇人民政府</w:t>
      </w:r>
      <w:r>
        <w:rPr>
          <w:rFonts w:hint="eastAsia" w:ascii="宋体" w:hAnsi="宋体" w:eastAsia="宋体" w:cs="宋体"/>
          <w:color w:val="auto"/>
          <w:sz w:val="24"/>
          <w:szCs w:val="24"/>
        </w:rPr>
        <w:t>。</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2．2“采购代理机构”系指组织本次磋商活动的</w:t>
      </w:r>
      <w:r>
        <w:rPr>
          <w:rFonts w:hint="eastAsia" w:ascii="宋体" w:hAnsi="宋体" w:eastAsia="宋体" w:cs="宋体"/>
          <w:color w:val="auto"/>
          <w:sz w:val="24"/>
          <w:szCs w:val="24"/>
          <w:lang w:eastAsia="zh-CN"/>
        </w:rPr>
        <w:t>华春建设工程项目管理有限责任公司</w:t>
      </w:r>
      <w:r>
        <w:rPr>
          <w:rFonts w:hint="eastAsia" w:ascii="宋体" w:hAnsi="宋体" w:eastAsia="宋体" w:cs="宋体"/>
          <w:color w:val="auto"/>
          <w:sz w:val="24"/>
          <w:szCs w:val="24"/>
        </w:rPr>
        <w:t>。</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2．3“供应商”系指无条件接受磋商文件的各项要求，具备相应履约能力、具有《中华人民共和国政府采购法》第22规定的相关条件并向磋商小组提交响应文件的供应商。</w:t>
      </w:r>
    </w:p>
    <w:p>
      <w:pPr>
        <w:pStyle w:val="5"/>
        <w:keepLines w:val="0"/>
        <w:pageBreakBefore w:val="0"/>
        <w:widowControl w:val="0"/>
        <w:numPr>
          <w:ilvl w:val="0"/>
          <w:numId w:val="1"/>
        </w:numPr>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color w:val="auto"/>
          <w:sz w:val="24"/>
          <w:szCs w:val="24"/>
        </w:rPr>
      </w:pPr>
      <w:bookmarkStart w:id="10" w:name="_Toc5914"/>
      <w:r>
        <w:rPr>
          <w:rFonts w:hint="eastAsia" w:ascii="宋体" w:hAnsi="宋体" w:eastAsia="宋体" w:cs="宋体"/>
          <w:color w:val="auto"/>
          <w:sz w:val="24"/>
          <w:szCs w:val="24"/>
        </w:rPr>
        <w:t>合格供应商的范围</w:t>
      </w:r>
      <w:bookmarkEnd w:id="10"/>
    </w:p>
    <w:p>
      <w:pPr>
        <w:pStyle w:val="16"/>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3．1具有独立承担民事责任的能力；</w:t>
      </w:r>
    </w:p>
    <w:p>
      <w:pPr>
        <w:pStyle w:val="16"/>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3.1.1法人或者其他组织的营业执照等证明文件；</w:t>
      </w:r>
    </w:p>
    <w:p>
      <w:pPr>
        <w:pStyle w:val="16"/>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3.1.2具备履行合同所必需的设备和专业技术能力的证明材料；</w:t>
      </w:r>
    </w:p>
    <w:p>
      <w:pPr>
        <w:pStyle w:val="16"/>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3.1.3具备法律、行政法规规定的其他条件的证明材料。</w:t>
      </w:r>
    </w:p>
    <w:p>
      <w:pPr>
        <w:pStyle w:val="16"/>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3．2具有履行合同所必需的设备和专业技术能力；</w:t>
      </w:r>
    </w:p>
    <w:p>
      <w:pPr>
        <w:pStyle w:val="16"/>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3．3 具备法律行政法规规定的其他条件；</w:t>
      </w:r>
    </w:p>
    <w:p>
      <w:pPr>
        <w:pStyle w:val="16"/>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3．4完全满足磋商文件的实质性要求；</w:t>
      </w:r>
    </w:p>
    <w:p>
      <w:pPr>
        <w:pStyle w:val="16"/>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3．5凡具备磋商文件要求资格，有服务能力的供应商均可参加。</w:t>
      </w:r>
    </w:p>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如不具备以上条件则按《中华人民共和国政府采购法》第七十七条规定处理。</w:t>
      </w:r>
      <w:bookmarkStart w:id="11" w:name="_Toc26793"/>
    </w:p>
    <w:p>
      <w:pPr>
        <w:pStyle w:val="16"/>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4．磋商代表</w:t>
      </w:r>
      <w:bookmarkEnd w:id="11"/>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4．1磋商代表必须是法定代表人，或持有《法定代表人授权委托书》的被授权代表人。</w:t>
      </w:r>
      <w:bookmarkStart w:id="12" w:name="_Toc13042"/>
    </w:p>
    <w:p>
      <w:pPr>
        <w:pStyle w:val="16"/>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5．费用</w:t>
      </w:r>
      <w:bookmarkEnd w:id="12"/>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5．1无论磋商结果如何，供应商自行承担所有与参加磋商有关的全部费用；</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 本项目报价为采购人完成采购范围内全部工作的报价，包括人工费、、税金、评审费等能达到使用要求的一切费用。</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5.3不接受任何选择性报价，只能有一个磋商报价。</w:t>
      </w:r>
      <w:bookmarkStart w:id="13" w:name="_Toc25125"/>
    </w:p>
    <w:p>
      <w:pPr>
        <w:pStyle w:val="16"/>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6．响应文件</w:t>
      </w:r>
      <w:bookmarkEnd w:id="13"/>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6．1响应文件的组成</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6．2响应文件编制要求</w:t>
      </w:r>
    </w:p>
    <w:p>
      <w:pPr>
        <w:pStyle w:val="16"/>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（1）响应文件应字迹清楚、内容齐全、数字准确、不应有涂改增删处。如修改时，修改处须有响应文件授权代表签字或盖章。</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）响应文件中报价表必须加盖供应商公章和法定代表人或被授权人签字或盖章。</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）本项目磋商有效期为九十个日历日。</w:t>
      </w:r>
    </w:p>
    <w:p>
      <w:pPr>
        <w:pStyle w:val="16"/>
        <w:pageBreakBefore w:val="0"/>
        <w:kinsoku/>
        <w:wordWrap/>
        <w:overflowPunct/>
        <w:topLinePunct w:val="0"/>
        <w:bidi w:val="0"/>
        <w:spacing w:line="360" w:lineRule="auto"/>
        <w:ind w:left="240" w:lef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6．3响应文件必须在递交截止时间前送达磋商地点，逾期送达的文件将不被接收。</w:t>
      </w:r>
      <w:bookmarkStart w:id="14" w:name="_Toc2451"/>
    </w:p>
    <w:p>
      <w:pPr>
        <w:pStyle w:val="16"/>
        <w:pageBreakBefore w:val="0"/>
        <w:kinsoku/>
        <w:wordWrap/>
        <w:overflowPunct/>
        <w:topLinePunct w:val="0"/>
        <w:bidi w:val="0"/>
        <w:spacing w:line="360" w:lineRule="auto"/>
        <w:ind w:left="240" w:lef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7．磋商保证金</w:t>
      </w:r>
      <w:bookmarkEnd w:id="14"/>
    </w:p>
    <w:p>
      <w:pPr>
        <w:pStyle w:val="16"/>
        <w:pageBreakBefore w:val="0"/>
        <w:kinsoku/>
        <w:wordWrap/>
        <w:overflowPunct/>
        <w:topLinePunct w:val="0"/>
        <w:bidi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不要求提供。</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bookmarkStart w:id="15" w:name="_Toc5798"/>
      <w:r>
        <w:rPr>
          <w:rFonts w:hint="eastAsia" w:ascii="宋体" w:hAnsi="宋体" w:eastAsia="宋体" w:cs="宋体"/>
          <w:color w:val="auto"/>
          <w:sz w:val="24"/>
          <w:szCs w:val="24"/>
        </w:rPr>
        <w:t>8．评审工作程序</w:t>
      </w:r>
      <w:bookmarkEnd w:id="15"/>
      <w:r>
        <w:rPr>
          <w:rFonts w:hint="eastAsia" w:ascii="宋体" w:hAnsi="宋体" w:eastAsia="宋体" w:cs="宋体"/>
          <w:color w:val="auto"/>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8.1主持人按下列程序进行开标：</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采购代理机构在规定的时间和地点组织公开磋商。磋商时所有供应商代表自愿参加，不参加的视为认同磋商结果，参加磋商的代表应签名报到以证明其出席。</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磋商时，由供应商将电子响应文件解密后，由系统公布供应商名称以及采购代理机构认为合适的其他内容。</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采购代理机构将做磋商记录，存档备查。</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）响应文件送交评标委员会进行评审；评标委员会首先对供应商的资格证明文件及符合性进行审查（资格及符合性审查条件不符合响应文件规定的供应商，不再进入下一步评审）；</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）磋商；</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）供应商线上进行二次报价；</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）评审；</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）磋商。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red"/>
          <w:lang w:val="zh-CN"/>
        </w:rPr>
      </w:pPr>
      <w:r>
        <w:rPr>
          <w:rFonts w:hint="eastAsia" w:ascii="宋体" w:hAnsi="宋体" w:eastAsia="宋体" w:cs="宋体"/>
          <w:color w:val="auto"/>
          <w:sz w:val="24"/>
          <w:szCs w:val="24"/>
          <w:lang w:val="zh-CN"/>
        </w:rPr>
        <w:t>在磋商文件及程序符合法律规定的前提下，递交响应文件或对磋商文件做出实质响应的供应商少于</w:t>
      </w:r>
      <w:r>
        <w:rPr>
          <w:rFonts w:hint="eastAsia" w:ascii="宋体" w:hAnsi="宋体" w:eastAsia="宋体" w:cs="宋体"/>
          <w:color w:val="auto"/>
          <w:sz w:val="24"/>
          <w:szCs w:val="24"/>
        </w:rPr>
        <w:t>3家</w:t>
      </w:r>
      <w:r>
        <w:rPr>
          <w:rFonts w:hint="eastAsia" w:ascii="宋体" w:hAnsi="宋体" w:eastAsia="宋体" w:cs="宋体"/>
          <w:color w:val="auto"/>
          <w:sz w:val="24"/>
          <w:szCs w:val="24"/>
          <w:lang w:val="zh-CN"/>
        </w:rPr>
        <w:t>时，</w:t>
      </w:r>
      <w:r>
        <w:rPr>
          <w:rFonts w:hint="eastAsia" w:ascii="宋体" w:hAnsi="宋体" w:eastAsia="宋体" w:cs="宋体"/>
          <w:color w:val="auto"/>
          <w:sz w:val="24"/>
          <w:szCs w:val="24"/>
        </w:rPr>
        <w:t>采购过程中符合要求的供应商（社会资本）只有2家的，</w:t>
      </w:r>
      <w:r>
        <w:rPr>
          <w:rFonts w:hint="eastAsia" w:ascii="宋体" w:hAnsi="宋体" w:eastAsia="宋体" w:cs="宋体"/>
          <w:color w:val="auto"/>
          <w:sz w:val="24"/>
          <w:szCs w:val="24"/>
          <w:lang w:val="zh-CN"/>
        </w:rPr>
        <w:t>在书面征得供应商及采购人同意情况下，并报经财政部门核准后，可以按照公平、公正和竞争原则，继续进行磋商采购；</w:t>
      </w:r>
      <w:r>
        <w:rPr>
          <w:rFonts w:hint="eastAsia" w:ascii="宋体" w:hAnsi="宋体" w:eastAsia="宋体" w:cs="宋体"/>
          <w:color w:val="auto"/>
          <w:sz w:val="24"/>
          <w:szCs w:val="24"/>
        </w:rPr>
        <w:t>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8.2磋商开始，与供应商谈各项内容：</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磋商小组所有成员集中与单一供应商按照</w:t>
      </w:r>
      <w:r>
        <w:rPr>
          <w:rFonts w:hint="eastAsia" w:ascii="宋体" w:hAnsi="宋体" w:eastAsia="宋体" w:cs="宋体"/>
          <w:color w:val="auto"/>
          <w:sz w:val="24"/>
          <w:szCs w:val="24"/>
        </w:rPr>
        <w:t>顺序</w:t>
      </w:r>
      <w:r>
        <w:rPr>
          <w:rFonts w:hint="eastAsia" w:ascii="宋体" w:hAnsi="宋体" w:eastAsia="宋体" w:cs="宋体"/>
          <w:color w:val="auto"/>
          <w:sz w:val="24"/>
          <w:szCs w:val="24"/>
          <w:lang w:val="zh-CN"/>
        </w:rPr>
        <w:t>分别进行磋商。磋商小组可根据供应商的报价，响应内容及磋商的情况，给予每个正在参加磋商的供应商相同的机会。</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,1)</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rPr>
        <w:t xml:space="preserve">在磋商过程中，磋商小组可以根据磋商文件和磋商情况实质性变动采购需求中的技术、服务要求以及合同草案条款，但不得变动磋商文件中的其他内容。实质性变动的内容，须经采购人代表确认。 </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position w:val="0"/>
          <w:sz w:val="24"/>
          <w:szCs w:val="24"/>
        </w:rPr>
        <w:instrText xml:space="preserve">,2)</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对磋商文件作出的实质性变动是磋商文件的有效组成部分，磋商小组应当及时以书面形式同时通知所有参加磋商的供应商。 </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position w:val="0"/>
          <w:sz w:val="24"/>
          <w:szCs w:val="24"/>
        </w:rPr>
        <w:instrText xml:space="preserve">,3)</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供应商应当按照磋商文件的变动情况和磋商小组的要求重新提交响应文件，并由其授权代表签章。</w:t>
      </w:r>
    </w:p>
    <w:p>
      <w:pPr>
        <w:pStyle w:val="16"/>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8.3各供应商进行二次报价</w:t>
      </w:r>
      <w:r>
        <w:rPr>
          <w:rFonts w:hint="eastAsia" w:ascii="宋体" w:hAnsi="宋体" w:eastAsia="宋体" w:cs="宋体"/>
          <w:b/>
          <w:bCs/>
          <w:color w:val="auto"/>
          <w:sz w:val="24"/>
          <w:szCs w:val="24"/>
        </w:rPr>
        <w:t>：供应商</w:t>
      </w:r>
      <w:r>
        <w:rPr>
          <w:rFonts w:hint="eastAsia" w:ascii="宋体" w:hAnsi="宋体" w:eastAsia="宋体" w:cs="宋体"/>
          <w:b/>
          <w:bCs/>
          <w:color w:val="auto"/>
          <w:sz w:val="24"/>
          <w:szCs w:val="24"/>
          <w:lang w:eastAsia="zh-CN"/>
        </w:rPr>
        <w:t>应</w:t>
      </w:r>
      <w:r>
        <w:rPr>
          <w:rFonts w:hint="eastAsia" w:ascii="宋体" w:hAnsi="宋体" w:eastAsia="宋体" w:cs="宋体"/>
          <w:b/>
          <w:bCs/>
          <w:color w:val="auto"/>
          <w:sz w:val="24"/>
          <w:szCs w:val="24"/>
        </w:rPr>
        <w:t>使用 CA 锁，在规定的时间内在电脑上进行最终报价。</w:t>
      </w:r>
    </w:p>
    <w:p>
      <w:pPr>
        <w:pStyle w:val="16"/>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本次磋商不公开各供应商的项目报价</w:t>
      </w:r>
      <w:r>
        <w:rPr>
          <w:rFonts w:hint="eastAsia" w:ascii="宋体" w:hAnsi="宋体" w:eastAsia="宋体" w:cs="宋体"/>
          <w:b/>
          <w:color w:val="auto"/>
          <w:sz w:val="24"/>
          <w:szCs w:val="24"/>
          <w:lang w:eastAsia="zh-CN"/>
        </w:rPr>
        <w:t>。</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磋商结束后，参加磋商的供应商应当对磋商的承诺以书面形式确认，并由授权代表签字或盖章。</w:t>
      </w:r>
    </w:p>
    <w:p>
      <w:pPr>
        <w:pStyle w:val="16"/>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color w:val="auto"/>
          <w:sz w:val="24"/>
          <w:szCs w:val="24"/>
        </w:rPr>
        <w:t>凡因供应商对竞争性磋商文件阅读不深、理解不透、误解、疏漏、或因市场行情了解不清造成的后果和风险均由供应商自负</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8.4</w:t>
      </w:r>
      <w:r>
        <w:rPr>
          <w:rFonts w:hint="eastAsia" w:ascii="宋体" w:hAnsi="宋体" w:eastAsia="宋体" w:cs="宋体"/>
          <w:color w:val="auto"/>
          <w:sz w:val="24"/>
          <w:szCs w:val="24"/>
        </w:rPr>
        <w:t>由磋商小组采用综合评分法对提交最后报价的供应商的响应文件和最后报价进行综合评分。</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8.5确定成交供应商。</w:t>
      </w:r>
    </w:p>
    <w:p>
      <w:pPr>
        <w:pStyle w:val="5"/>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color w:val="auto"/>
          <w:sz w:val="24"/>
          <w:szCs w:val="24"/>
        </w:rPr>
      </w:pPr>
      <w:bookmarkStart w:id="16" w:name="_Toc15875"/>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磋商内容</w:t>
      </w:r>
      <w:bookmarkEnd w:id="16"/>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9.1采购项目的价格、技术方案、质量保证措施、针对本项目的承诺、商务响应等内容。</w:t>
      </w:r>
      <w:bookmarkStart w:id="17" w:name="_Toc4639"/>
    </w:p>
    <w:p>
      <w:pPr>
        <w:pStyle w:val="5"/>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10.评审</w:t>
      </w:r>
      <w:bookmarkEnd w:id="17"/>
    </w:p>
    <w:p>
      <w:pPr>
        <w:pStyle w:val="16"/>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10.1评审原则</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严格按照竞争性磋商文件的要求和内容进行评审。</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pPr>
        <w:pStyle w:val="16"/>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（3）磋商小组应当根据综合评分情况，按照评审得分由高到低顺序推荐3名以上成交候选供应商，并编写评审报告。</w:t>
      </w:r>
    </w:p>
    <w:p>
      <w:pPr>
        <w:pStyle w:val="16"/>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（4）</w:t>
      </w:r>
      <w:r>
        <w:rPr>
          <w:rFonts w:hint="eastAsia" w:ascii="宋体" w:hAnsi="宋体" w:eastAsia="宋体" w:cs="宋体"/>
          <w:bCs/>
          <w:color w:val="auto"/>
          <w:sz w:val="24"/>
          <w:szCs w:val="24"/>
          <w:lang w:val="zh-CN"/>
        </w:rPr>
        <w:t>评审报告应当由磋商小组全体人员签字或盖章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6"/>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（5）本项目评标过程实行全程录音、录像监控，</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在</w:t>
      </w:r>
      <w:r>
        <w:rPr>
          <w:rFonts w:hint="eastAsia" w:ascii="宋体" w:hAnsi="宋体" w:eastAsia="宋体" w:cs="宋体"/>
          <w:bCs/>
          <w:color w:val="auto"/>
          <w:sz w:val="24"/>
          <w:szCs w:val="24"/>
          <w:lang w:eastAsia="zh-CN"/>
        </w:rPr>
        <w:t>磋商</w:t>
      </w:r>
      <w:r>
        <w:rPr>
          <w:rFonts w:hint="eastAsia" w:ascii="宋体" w:hAnsi="宋体" w:eastAsia="宋体" w:cs="宋体"/>
          <w:bCs/>
          <w:color w:val="auto"/>
          <w:sz w:val="24"/>
          <w:szCs w:val="24"/>
        </w:rPr>
        <w:t>过程中所进行的试图影响</w:t>
      </w:r>
      <w:r>
        <w:rPr>
          <w:rFonts w:hint="eastAsia" w:ascii="宋体" w:hAnsi="宋体" w:eastAsia="宋体" w:cs="宋体"/>
          <w:bCs/>
          <w:color w:val="auto"/>
          <w:sz w:val="24"/>
          <w:szCs w:val="24"/>
          <w:lang w:eastAsia="zh-CN"/>
        </w:rPr>
        <w:t>采购</w:t>
      </w:r>
      <w:r>
        <w:rPr>
          <w:rFonts w:hint="eastAsia" w:ascii="宋体" w:hAnsi="宋体" w:eastAsia="宋体" w:cs="宋体"/>
          <w:bCs/>
          <w:color w:val="auto"/>
          <w:sz w:val="24"/>
          <w:szCs w:val="24"/>
        </w:rPr>
        <w:t>结果的不公正活动，可能导致其磋商被拒绝。</w:t>
      </w:r>
    </w:p>
    <w:p>
      <w:pPr>
        <w:pStyle w:val="5"/>
        <w:keepNext/>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bCs w:val="0"/>
          <w:color w:val="auto"/>
          <w:sz w:val="32"/>
          <w:szCs w:val="32"/>
          <w:lang w:val="zh-CN"/>
        </w:rPr>
      </w:pPr>
      <w:r>
        <w:rPr>
          <w:rFonts w:hint="eastAsia" w:ascii="宋体" w:hAnsi="宋体" w:eastAsia="宋体" w:cs="宋体"/>
          <w:bCs w:val="0"/>
          <w:color w:val="auto"/>
          <w:sz w:val="32"/>
          <w:szCs w:val="32"/>
          <w:lang w:val="zh-CN"/>
        </w:rPr>
        <w:t>资格审查</w:t>
      </w:r>
    </w:p>
    <w:tbl>
      <w:tblPr>
        <w:tblStyle w:val="20"/>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04"/>
        <w:gridCol w:w="5586"/>
        <w:gridCol w:w="18"/>
        <w:gridCol w:w="1943"/>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04" w:type="dxa"/>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检查项</w:t>
            </w:r>
          </w:p>
        </w:tc>
        <w:tc>
          <w:tcPr>
            <w:tcW w:w="5604" w:type="dxa"/>
            <w:gridSpan w:val="2"/>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项目内容</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(1) </w:t>
            </w:r>
            <w:r>
              <w:rPr>
                <w:rFonts w:hint="eastAsia" w:ascii="宋体" w:hAnsi="宋体" w:cs="宋体"/>
                <w:sz w:val="24"/>
                <w:szCs w:val="24"/>
                <w:lang w:eastAsia="zh-CN"/>
              </w:rPr>
              <w:t>供应商</w:t>
            </w:r>
            <w:r>
              <w:rPr>
                <w:rFonts w:hint="eastAsia" w:ascii="宋体" w:hAnsi="宋体" w:eastAsia="宋体" w:cs="宋体"/>
                <w:sz w:val="24"/>
                <w:szCs w:val="24"/>
              </w:rPr>
              <w:t>为具有独立承担民事责任能力的法人、事业法人、其他组织或 自然人。企业法人应提供合法有效的标识有统一社会信用代码的营业执照；事业 法人应提供事业单位法人证书；其他组织应提供合法登记证明文件；自然人应提 供身份证；</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财务状况报告</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sz w:val="24"/>
                <w:szCs w:val="24"/>
              </w:rPr>
              <w:t>(2) 财务状况报告：提供 2021年度或2022年度的财务审计报告，成立时 间至提交投标文件递交截止时间不足一年的，须提供其基本存款账户开户银行近 三个月内出具的银行资信证明或自成立以来的财务报表；</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税收缴纳证明</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 税收缴纳证明：提供 202</w:t>
            </w:r>
            <w:r>
              <w:rPr>
                <w:rFonts w:hint="eastAsia" w:ascii="宋体" w:hAnsi="宋体" w:cs="宋体"/>
                <w:sz w:val="24"/>
                <w:szCs w:val="24"/>
                <w:lang w:val="en-US" w:eastAsia="zh-CN"/>
              </w:rPr>
              <w:t>3</w:t>
            </w:r>
            <w:r>
              <w:rPr>
                <w:rFonts w:hint="eastAsia" w:ascii="宋体" w:hAnsi="宋体" w:eastAsia="宋体" w:cs="宋体"/>
                <w:sz w:val="24"/>
                <w:szCs w:val="24"/>
              </w:rPr>
              <w:t>年0</w:t>
            </w:r>
            <w:r>
              <w:rPr>
                <w:rFonts w:hint="eastAsia" w:ascii="宋体" w:hAnsi="宋体" w:cs="宋体"/>
                <w:sz w:val="24"/>
                <w:szCs w:val="24"/>
                <w:lang w:val="en-US" w:eastAsia="zh-CN"/>
              </w:rPr>
              <w:t>1</w:t>
            </w:r>
            <w:r>
              <w:rPr>
                <w:rFonts w:hint="eastAsia" w:ascii="宋体" w:hAnsi="宋体" w:eastAsia="宋体" w:cs="宋体"/>
                <w:sz w:val="24"/>
                <w:szCs w:val="24"/>
              </w:rPr>
              <w:t>月1日至今已缴纳的至少一个月的纳税证明 (银行缴费凭证) 或完税证明(时间以税款所属日期为准、税种须包含增值税或企业所得税或营业税) ，依法免税的单位应提供相关证明材料；</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社保缴纳证明</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 社会保障资金缴纳证明：提供 202</w:t>
            </w:r>
            <w:r>
              <w:rPr>
                <w:rFonts w:hint="eastAsia" w:ascii="宋体" w:hAnsi="宋体" w:cs="宋体"/>
                <w:sz w:val="24"/>
                <w:szCs w:val="24"/>
                <w:lang w:val="en-US" w:eastAsia="zh-CN"/>
              </w:rPr>
              <w:t>3</w:t>
            </w:r>
            <w:r>
              <w:rPr>
                <w:rFonts w:hint="eastAsia" w:ascii="宋体" w:hAnsi="宋体" w:eastAsia="宋体" w:cs="宋体"/>
                <w:sz w:val="24"/>
                <w:szCs w:val="24"/>
              </w:rPr>
              <w:t xml:space="preserve"> 年0</w:t>
            </w:r>
            <w:r>
              <w:rPr>
                <w:rFonts w:hint="eastAsia" w:ascii="宋体" w:hAnsi="宋体" w:cs="宋体"/>
                <w:sz w:val="24"/>
                <w:szCs w:val="24"/>
                <w:lang w:val="en-US" w:eastAsia="zh-CN"/>
              </w:rPr>
              <w:t>1</w:t>
            </w:r>
            <w:r>
              <w:rPr>
                <w:rFonts w:hint="eastAsia" w:ascii="宋体" w:hAnsi="宋体" w:eastAsia="宋体" w:cs="宋体"/>
                <w:sz w:val="24"/>
                <w:szCs w:val="24"/>
              </w:rPr>
              <w:t xml:space="preserve"> 月1日至今已缴纳的至少一 个月的社会保障资金银行缴费单据或社保机构开具的社会保险参保缴费情况证明，依法不需要缴纳社会保障资金的单位应提供相关证明材料；</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书面声明</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lang w:val="zh-CN"/>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 参加政府采购活动前三年内，在经营活动中没有重大违法记录的书面 声明；</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承诺书</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)提供具有履行合同所必需的设备和专业技术能力的证明资料或承诺书；</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信用要求</w:t>
            </w:r>
          </w:p>
        </w:tc>
        <w:tc>
          <w:tcPr>
            <w:tcW w:w="56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 对列入“信用中国”网站(www.creditchina.gov.cn)“记录失信被执行人、税收违法黑名单、企业经营异常名录”记录名单；中国政府采购网(www.ccgp.gov.cn)“政府采购严重违法失信行为信息记录”的单位，应当拒绝参与政府采购活动 (附投标截止日前的查询结果但以投标截止日当天查询结果为准) 。提供“信用中国”网站(www.creditchina.gov.cn)、“信用中国 (陕西榆林) ”网站 (http：//www.ylcredit.gov.cn/) 、中国政府采购网(www.ccgp.gov.cn) 等网页截图及信用中国报告加盖</w:t>
            </w:r>
            <w:r>
              <w:rPr>
                <w:rFonts w:hint="eastAsia" w:ascii="宋体" w:hAnsi="宋体" w:cs="宋体"/>
                <w:sz w:val="24"/>
                <w:szCs w:val="24"/>
                <w:lang w:eastAsia="zh-CN"/>
              </w:rPr>
              <w:t>供应商</w:t>
            </w:r>
            <w:r>
              <w:rPr>
                <w:rFonts w:hint="eastAsia" w:ascii="宋体" w:hAnsi="宋体" w:eastAsia="宋体" w:cs="宋体"/>
                <w:sz w:val="24"/>
                <w:szCs w:val="24"/>
              </w:rPr>
              <w:t>公章 (鲜章) 为准；</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699"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中小企业采购</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)本项目专门面向中小企业采购，预留份额为整体预留，投标供应商须提供《中小企业声明函》；</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其他</w:t>
            </w:r>
          </w:p>
        </w:tc>
        <w:tc>
          <w:tcPr>
            <w:tcW w:w="558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本项目不接受联合体投标，单位负责人为同一人或者存在直接控股、管理关系的不同</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，不得参加同一合同项下的政府采购活动.</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投标须知前附表第</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条供应商资质要求</w:t>
            </w:r>
          </w:p>
        </w:tc>
      </w:tr>
    </w:tbl>
    <w:p>
      <w:pPr>
        <w:pStyle w:val="16"/>
        <w:pageBreakBefore w:val="0"/>
        <w:kinsoku/>
        <w:wordWrap/>
        <w:overflowPunct/>
        <w:topLinePunct w:val="0"/>
        <w:bidi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注：结论为 “合格”和“不合格”；上表所列所有评审项目均符合要求的结论为“合格”，有任意一项不符合要求则结论为“不合格”。</w:t>
      </w:r>
    </w:p>
    <w:p>
      <w:pPr>
        <w:pageBreakBefore w:val="0"/>
        <w:numPr>
          <w:ilvl w:val="0"/>
          <w:numId w:val="0"/>
        </w:numPr>
        <w:kinsoku/>
        <w:wordWrap/>
        <w:overflowPunct/>
        <w:topLinePunct w:val="0"/>
        <w:bidi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w:t>
      </w:r>
    </w:p>
    <w:p>
      <w:pPr>
        <w:keepNext w:val="0"/>
        <w:keepLines w:val="0"/>
        <w:pageBreakBefore w:val="0"/>
        <w:kinsoku/>
        <w:wordWrap/>
        <w:overflowPunct/>
        <w:topLinePunct w:val="0"/>
        <w:bidi w:val="0"/>
        <w:spacing w:afterAutospacing="0"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小组对通过资格审查的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按照以下要求对其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的符合性进行审查，出现下列情形之一，</w:t>
      </w:r>
      <w:r>
        <w:rPr>
          <w:rFonts w:hint="eastAsia" w:ascii="宋体" w:hAnsi="宋体" w:eastAsia="宋体" w:cs="宋体"/>
          <w:color w:val="auto"/>
          <w:sz w:val="24"/>
          <w:szCs w:val="24"/>
          <w:highlight w:val="none"/>
          <w:lang w:eastAsia="zh-CN"/>
        </w:rPr>
        <w:t>视为</w:t>
      </w:r>
      <w:r>
        <w:rPr>
          <w:rFonts w:hint="eastAsia" w:ascii="宋体" w:hAnsi="宋体" w:eastAsia="宋体" w:cs="宋体"/>
          <w:color w:val="auto"/>
          <w:sz w:val="24"/>
          <w:szCs w:val="24"/>
          <w:highlight w:val="none"/>
        </w:rPr>
        <w:t>不合格，为无效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，不得进入详细评审。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不能接受的附加条件的；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技术文件及服务方案不合理，不满足磋商文件要求和采购人需求的；</w:t>
      </w:r>
    </w:p>
    <w:p>
      <w:pPr>
        <w:spacing w:line="360" w:lineRule="auto"/>
        <w:ind w:firstLine="360" w:firstLineChars="150"/>
        <w:rPr>
          <w:rFonts w:hint="eastAsia" w:ascii="宋体" w:hAnsi="宋体" w:eastAsia="宋体" w:cs="宋体"/>
          <w:b/>
          <w:bCs/>
          <w:color w:val="auto"/>
          <w:sz w:val="24"/>
          <w:szCs w:val="24"/>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spacing w:line="360" w:lineRule="auto"/>
        <w:ind w:firstLine="452" w:firstLineChars="15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11．详细评审</w:t>
      </w:r>
    </w:p>
    <w:p>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政府采购法实施条例》及省、市有关规定，磋商小组成员按照客观、公正、谨慎的原则，根据磋商文件规定的评审程序、评审方法和评审标准进行独立评审。根据排名先后确定成交候选供应商。</w:t>
      </w:r>
    </w:p>
    <w:p>
      <w:pPr>
        <w:pageBreakBefore w:val="0"/>
        <w:kinsoku/>
        <w:wordWrap/>
        <w:overflowPunct/>
        <w:topLinePunct w:val="0"/>
        <w:bidi w:val="0"/>
        <w:snapToGrid w:val="0"/>
        <w:spacing w:line="360" w:lineRule="auto"/>
        <w:ind w:left="0" w:leftChars="0"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具体评审标准如下</w:t>
      </w:r>
      <w:r>
        <w:rPr>
          <w:rFonts w:hint="eastAsia" w:ascii="宋体" w:hAnsi="宋体" w:eastAsia="宋体" w:cs="宋体"/>
          <w:b/>
          <w:bCs/>
          <w:color w:val="auto"/>
          <w:sz w:val="24"/>
          <w:szCs w:val="24"/>
          <w:lang w:eastAsia="zh-CN"/>
        </w:rPr>
        <w:t>：</w:t>
      </w:r>
    </w:p>
    <w:tbl>
      <w:tblPr>
        <w:tblStyle w:val="20"/>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202"/>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6" w:type="dxa"/>
            <w:tcBorders>
              <w:top w:val="single" w:color="auto" w:sz="12" w:space="0"/>
              <w:left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项别</w:t>
            </w:r>
          </w:p>
        </w:tc>
        <w:tc>
          <w:tcPr>
            <w:tcW w:w="1202" w:type="dxa"/>
            <w:tcBorders>
              <w:top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赋分区间</w:t>
            </w:r>
          </w:p>
        </w:tc>
        <w:tc>
          <w:tcPr>
            <w:tcW w:w="7941" w:type="dxa"/>
            <w:tcBorders>
              <w:top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916" w:type="dxa"/>
            <w:tcBorders>
              <w:top w:val="single" w:color="auto" w:sz="4" w:space="0"/>
              <w:left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价格</w:t>
            </w:r>
          </w:p>
        </w:tc>
        <w:tc>
          <w:tcPr>
            <w:tcW w:w="1202"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94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满足磋商文件要求且最后报价最低价格为磋商基准价，其价格分为满分。其他</w:t>
            </w:r>
            <w:r>
              <w:rPr>
                <w:rFonts w:hint="eastAsia" w:ascii="宋体" w:hAnsi="宋体" w:eastAsia="宋体" w:cs="宋体"/>
                <w:color w:val="auto"/>
                <w:sz w:val="24"/>
                <w:szCs w:val="24"/>
                <w:lang w:val="zh-TW"/>
              </w:rPr>
              <w:t>服务商</w:t>
            </w:r>
            <w:r>
              <w:rPr>
                <w:rFonts w:hint="eastAsia" w:ascii="宋体" w:hAnsi="宋体" w:eastAsia="宋体" w:cs="宋体"/>
                <w:color w:val="auto"/>
                <w:sz w:val="24"/>
                <w:szCs w:val="24"/>
                <w:lang w:val="zh-TW" w:eastAsia="zh-TW"/>
              </w:rPr>
              <w:t>的价格分统一按照下列公式计算：</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磋商报价得分=（磋商基准价/最后磋商报价）×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5" w:hRule="atLeast"/>
          <w:jc w:val="center"/>
        </w:trPr>
        <w:tc>
          <w:tcPr>
            <w:tcW w:w="916" w:type="dxa"/>
            <w:vMerge w:val="restart"/>
            <w:tcBorders>
              <w:top w:val="single" w:color="auto" w:sz="4" w:space="0"/>
              <w:lef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Cs/>
                <w:color w:val="auto"/>
                <w:kern w:val="0"/>
                <w:sz w:val="24"/>
                <w:szCs w:val="24"/>
              </w:rPr>
            </w:pPr>
            <w:r>
              <w:rPr>
                <w:rFonts w:hint="eastAsia" w:ascii="宋体" w:hAnsi="宋体" w:eastAsia="宋体" w:cs="宋体"/>
                <w:color w:val="auto"/>
                <w:sz w:val="24"/>
                <w:szCs w:val="24"/>
              </w:rPr>
              <w:t>针对本项目编制服务方案</w:t>
            </w:r>
          </w:p>
        </w:tc>
        <w:tc>
          <w:tcPr>
            <w:tcW w:w="12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对项目的认识和理解程度</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分)</w:t>
            </w:r>
          </w:p>
        </w:tc>
        <w:tc>
          <w:tcPr>
            <w:tcW w:w="7941" w:type="dxa"/>
            <w:tcBorders>
              <w:top w:val="single" w:color="auto" w:sz="4" w:space="0"/>
              <w:bottom w:val="single" w:color="auto" w:sz="4" w:space="0"/>
            </w:tcBorders>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lang w:val="zh-TW" w:eastAsia="zh-TW"/>
              </w:rPr>
            </w:pPr>
            <w:r>
              <w:rPr>
                <w:rFonts w:hint="eastAsia"/>
                <w:lang w:val="en-US" w:eastAsia="zh-CN"/>
              </w:rPr>
              <w:t>1、</w:t>
            </w:r>
            <w:r>
              <w:rPr>
                <w:rFonts w:hint="eastAsia"/>
                <w:lang w:val="zh-TW" w:eastAsia="zh-TW"/>
              </w:rPr>
              <w:t>对项目的认识和理解到位深入，抓住项目重点，思路明确分析准确到位:提出的相应对策合理，切实可行，得</w:t>
            </w:r>
            <w:r>
              <w:rPr>
                <w:rFonts w:hint="eastAsia"/>
                <w:lang w:val="en-US" w:eastAsia="zh-CN"/>
              </w:rPr>
              <w:t>5</w:t>
            </w:r>
            <w:r>
              <w:rPr>
                <w:rFonts w:hint="eastAsia"/>
                <w:lang w:val="zh-TW" w:eastAsia="zh-TW"/>
              </w:rPr>
              <w:t>分</w:t>
            </w:r>
            <w:r>
              <w:rPr>
                <w:rFonts w:hint="eastAsia"/>
                <w:lang w:val="zh-TW"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2、</w:t>
            </w:r>
            <w:r>
              <w:rPr>
                <w:rFonts w:hint="eastAsia"/>
                <w:lang w:val="zh-TW" w:eastAsia="zh-TW"/>
              </w:rPr>
              <w:t>对项目的认识和理解基本到位，抓住项目重点，思路基本明确，分析基本到位:提出的相应对策合理，得3分</w:t>
            </w:r>
            <w:r>
              <w:rPr>
                <w:rFonts w:hint="eastAsia"/>
                <w:lang w:val="zh-TW"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3、</w:t>
            </w:r>
            <w:r>
              <w:rPr>
                <w:rFonts w:hint="eastAsia"/>
                <w:lang w:val="zh-TW" w:eastAsia="zh-TW"/>
              </w:rPr>
              <w:t>对项目的认识和理解基本到位，没有抓住项目重点，思路不够明确，分析不够准确:提出的相应对策不够合理，不可行得</w:t>
            </w:r>
            <w:r>
              <w:rPr>
                <w:rFonts w:hint="eastAsia"/>
                <w:lang w:val="en-US" w:eastAsia="zh-CN"/>
              </w:rPr>
              <w:t>1</w:t>
            </w:r>
            <w:r>
              <w:rPr>
                <w:rFonts w:hint="eastAsia"/>
                <w:lang w:val="zh-TW" w:eastAsia="zh-TW"/>
              </w:rPr>
              <w:t>分。</w:t>
            </w:r>
          </w:p>
          <w:p>
            <w:pPr>
              <w:pStyle w:val="2"/>
              <w:ind w:left="0" w:leftChars="0" w:firstLine="0" w:firstLineChars="0"/>
              <w:rPr>
                <w:rFonts w:hint="eastAsia" w:eastAsia="宋体"/>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TW" w:eastAsia="zh-TW"/>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916"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tc>
        <w:tc>
          <w:tcPr>
            <w:tcW w:w="12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rPr>
            </w:pPr>
            <w:r>
              <w:rPr>
                <w:rFonts w:hint="eastAsia"/>
              </w:rPr>
              <w:t>项目运营方案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pPr>
            <w:r>
              <w:t>(</w:t>
            </w:r>
            <w:r>
              <w:rPr>
                <w:rFonts w:hint="eastAsia"/>
                <w:lang w:val="en-US" w:eastAsia="zh-CN"/>
              </w:rPr>
              <w:t>40</w:t>
            </w:r>
            <w:r>
              <w:t xml:space="preserve">分)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p>
        </w:tc>
        <w:tc>
          <w:tcPr>
            <w:tcW w:w="794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1、提供的整体具体实施计划满足</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需求，计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2、提供的</w:t>
            </w:r>
            <w:r>
              <w:rPr>
                <w:rFonts w:hint="eastAsia" w:ascii="宋体" w:hAnsi="宋体" w:cs="宋体"/>
                <w:color w:val="auto"/>
                <w:sz w:val="24"/>
                <w:szCs w:val="24"/>
                <w:lang w:val="en-US" w:eastAsia="zh-CN"/>
              </w:rPr>
              <w:t>技术方案</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垃圾场</w:t>
            </w:r>
            <w:r>
              <w:rPr>
                <w:rFonts w:hint="eastAsia" w:ascii="宋体" w:hAnsi="宋体" w:eastAsia="宋体" w:cs="宋体"/>
                <w:color w:val="auto"/>
                <w:sz w:val="24"/>
                <w:szCs w:val="24"/>
                <w:lang w:val="en-US" w:eastAsia="zh-CN"/>
              </w:rPr>
              <w:t>运营管理制度，内容完整、思路清晰的</w:t>
            </w:r>
            <w:r>
              <w:rPr>
                <w:rFonts w:hint="eastAsia" w:ascii="宋体" w:hAnsi="宋体" w:eastAsia="宋体" w:cs="宋体"/>
                <w:color w:val="auto"/>
                <w:sz w:val="24"/>
                <w:szCs w:val="24"/>
                <w:highlight w:val="none"/>
              </w:rPr>
              <w:t>计</w:t>
            </w:r>
            <w:r>
              <w:rPr>
                <w:rFonts w:hint="eastAsia" w:ascii="宋体" w:hAnsi="宋体" w:eastAsia="宋体" w:cs="宋体"/>
                <w:color w:val="auto"/>
                <w:sz w:val="24"/>
                <w:szCs w:val="24"/>
                <w:lang w:val="en-US" w:eastAsia="zh-CN"/>
              </w:rPr>
              <w:t>5分；3、提供的</w:t>
            </w:r>
            <w:r>
              <w:rPr>
                <w:rFonts w:hint="eastAsia" w:ascii="宋体" w:hAnsi="宋体" w:cs="宋体"/>
                <w:color w:val="auto"/>
                <w:sz w:val="24"/>
                <w:szCs w:val="24"/>
                <w:lang w:val="en-US" w:eastAsia="zh-CN"/>
              </w:rPr>
              <w:t>技术方案对</w:t>
            </w:r>
            <w:r>
              <w:rPr>
                <w:rFonts w:hint="eastAsia" w:ascii="宋体" w:hAnsi="宋体" w:eastAsia="宋体" w:cs="宋体"/>
                <w:color w:val="auto"/>
                <w:sz w:val="24"/>
                <w:szCs w:val="24"/>
                <w:lang w:val="zh-CN" w:eastAsia="zh-CN"/>
              </w:rPr>
              <w:t>场地安全管理制度</w:t>
            </w:r>
            <w:r>
              <w:rPr>
                <w:rFonts w:hint="eastAsia" w:ascii="宋体" w:hAnsi="宋体" w:eastAsia="宋体" w:cs="宋体"/>
                <w:color w:val="auto"/>
                <w:sz w:val="24"/>
                <w:szCs w:val="24"/>
                <w:lang w:val="en-US" w:eastAsia="zh-CN"/>
              </w:rPr>
              <w:t>思路清晰完整、方法明确的</w:t>
            </w:r>
            <w:r>
              <w:rPr>
                <w:rFonts w:hint="eastAsia" w:ascii="宋体" w:hAnsi="宋体" w:eastAsia="宋体" w:cs="宋体"/>
                <w:color w:val="auto"/>
                <w:sz w:val="24"/>
                <w:szCs w:val="24"/>
                <w:highlight w:val="none"/>
              </w:rPr>
              <w:t>计</w:t>
            </w:r>
            <w:r>
              <w:rPr>
                <w:rFonts w:hint="eastAsia" w:ascii="宋体" w:hAnsi="宋体" w:eastAsia="宋体" w:cs="宋体"/>
                <w:color w:val="auto"/>
                <w:sz w:val="24"/>
                <w:szCs w:val="24"/>
                <w:lang w:val="en-US" w:eastAsia="zh-CN"/>
              </w:rPr>
              <w:t>5分；</w:t>
            </w:r>
          </w:p>
          <w:p>
            <w:p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4、编制内容全面完整、清晰明确、，对发展方向、重大工程或任务可提出创新举措的</w:t>
            </w:r>
            <w:r>
              <w:rPr>
                <w:rFonts w:hint="eastAsia" w:ascii="宋体" w:hAnsi="宋体" w:eastAsia="宋体" w:cs="宋体"/>
                <w:color w:val="auto"/>
                <w:sz w:val="24"/>
                <w:szCs w:val="24"/>
                <w:highlight w:val="none"/>
              </w:rPr>
              <w:t>计</w:t>
            </w:r>
            <w:r>
              <w:rPr>
                <w:rFonts w:hint="eastAsia" w:ascii="宋体" w:hAnsi="宋体" w:eastAsia="宋体" w:cs="宋体"/>
                <w:color w:val="auto"/>
                <w:sz w:val="24"/>
                <w:szCs w:val="24"/>
                <w:lang w:val="en-US" w:eastAsia="zh-CN"/>
              </w:rPr>
              <w:t>5分；</w:t>
            </w:r>
          </w:p>
          <w:p>
            <w:p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运营服务</w:t>
            </w:r>
            <w:r>
              <w:rPr>
                <w:rFonts w:hint="eastAsia" w:ascii="宋体" w:hAnsi="宋体" w:eastAsia="宋体" w:cs="宋体"/>
                <w:color w:val="auto"/>
                <w:sz w:val="24"/>
                <w:szCs w:val="24"/>
                <w:lang w:val="en-US" w:eastAsia="zh-CN"/>
              </w:rPr>
              <w:t>项目服务规划定位准确，规划方案可行，可操作性强的</w:t>
            </w:r>
            <w:r>
              <w:rPr>
                <w:rFonts w:hint="eastAsia" w:ascii="宋体" w:hAnsi="宋体" w:eastAsia="宋体" w:cs="宋体"/>
                <w:color w:val="auto"/>
                <w:sz w:val="24"/>
                <w:szCs w:val="24"/>
                <w:highlight w:val="none"/>
              </w:rPr>
              <w:t>计</w:t>
            </w:r>
            <w:r>
              <w:rPr>
                <w:rFonts w:hint="eastAsia" w:ascii="宋体" w:hAnsi="宋体" w:eastAsia="宋体" w:cs="宋体"/>
                <w:color w:val="auto"/>
                <w:sz w:val="24"/>
                <w:szCs w:val="24"/>
                <w:lang w:val="en-US" w:eastAsia="zh-CN"/>
              </w:rPr>
              <w:t>5分；</w:t>
            </w:r>
          </w:p>
          <w:p>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6、工作计划目标明确，进度安排方案科学合理，措施全面及可行性高的</w:t>
            </w:r>
            <w:r>
              <w:rPr>
                <w:rFonts w:hint="eastAsia" w:ascii="宋体" w:hAnsi="宋体" w:eastAsia="宋体" w:cs="宋体"/>
                <w:color w:val="auto"/>
                <w:sz w:val="24"/>
                <w:szCs w:val="24"/>
                <w:highlight w:val="none"/>
              </w:rPr>
              <w:t>计</w:t>
            </w:r>
            <w:r>
              <w:rPr>
                <w:rFonts w:hint="eastAsia" w:ascii="宋体" w:hAnsi="宋体" w:eastAsia="宋体" w:cs="宋体"/>
                <w:color w:val="auto"/>
                <w:sz w:val="24"/>
                <w:szCs w:val="24"/>
                <w:lang w:val="en-US" w:eastAsia="zh-CN"/>
              </w:rPr>
              <w:t>5分；</w:t>
            </w:r>
          </w:p>
          <w:p>
            <w:pPr>
              <w:pStyle w:val="2"/>
              <w:ind w:left="0" w:leftChars="0" w:firstLine="0" w:firstLineChars="0"/>
              <w:rPr>
                <w:rFonts w:hint="default"/>
                <w:lang w:val="en-US" w:eastAsia="zh-CN"/>
              </w:rPr>
            </w:pPr>
            <w:r>
              <w:rPr>
                <w:rFonts w:hint="eastAsia" w:ascii="宋体" w:hAnsi="宋体" w:eastAsia="宋体" w:cs="宋体"/>
                <w:color w:val="auto"/>
                <w:sz w:val="24"/>
                <w:szCs w:val="24"/>
                <w:lang w:val="en-US" w:eastAsia="zh-CN"/>
              </w:rPr>
              <w:t>7、对工作进度保障措施全面有效、合法、及时，</w:t>
            </w:r>
            <w:r>
              <w:rPr>
                <w:rFonts w:ascii="宋体" w:hAnsi="宋体" w:eastAsia="宋体" w:cs="宋体"/>
                <w:spacing w:val="4"/>
                <w:sz w:val="24"/>
                <w:szCs w:val="24"/>
              </w:rPr>
              <w:t>满足项目需求</w:t>
            </w:r>
            <w:r>
              <w:rPr>
                <w:rFonts w:hint="eastAsia" w:ascii="宋体" w:hAnsi="宋体" w:eastAsia="宋体" w:cs="宋体"/>
                <w:spacing w:val="4"/>
                <w:sz w:val="24"/>
                <w:szCs w:val="24"/>
                <w:lang w:eastAsia="zh-CN"/>
              </w:rPr>
              <w:t>的</w:t>
            </w:r>
            <w:r>
              <w:rPr>
                <w:rFonts w:ascii="宋体" w:hAnsi="宋体" w:eastAsia="宋体" w:cs="宋体"/>
                <w:spacing w:val="4"/>
                <w:sz w:val="24"/>
                <w:szCs w:val="24"/>
              </w:rPr>
              <w:t>计</w:t>
            </w:r>
            <w:r>
              <w:rPr>
                <w:rFonts w:hint="eastAsia" w:ascii="宋体" w:hAnsi="宋体" w:eastAsia="宋体" w:cs="宋体"/>
                <w:spacing w:val="4"/>
                <w:sz w:val="24"/>
                <w:szCs w:val="24"/>
                <w:lang w:val="en-US" w:eastAsia="zh-CN"/>
              </w:rPr>
              <w:t>5</w:t>
            </w:r>
            <w:r>
              <w:rPr>
                <w:rFonts w:hint="eastAsia" w:ascii="宋体" w:hAnsi="宋体" w:eastAsia="宋体" w:cs="宋体"/>
                <w:color w:val="auto"/>
                <w:sz w:val="24"/>
                <w:szCs w:val="24"/>
                <w:lang w:val="en-US" w:eastAsia="zh-CN"/>
              </w:rPr>
              <w:t>分；</w:t>
            </w:r>
          </w:p>
          <w:p>
            <w:pPr>
              <w:pStyle w:val="2"/>
              <w:ind w:left="0" w:leftChars="0" w:firstLine="0" w:firstLineChars="0"/>
              <w:rPr>
                <w:rFonts w:hint="default"/>
                <w:lang w:val="en-US" w:eastAsia="zh-CN"/>
              </w:rPr>
            </w:pPr>
            <w:r>
              <w:rPr>
                <w:rFonts w:hint="eastAsia" w:ascii="宋体" w:hAnsi="宋体" w:eastAsia="宋体" w:cs="宋体"/>
                <w:color w:val="auto"/>
                <w:sz w:val="24"/>
                <w:szCs w:val="24"/>
                <w:lang w:val="en-US" w:eastAsia="zh-CN"/>
              </w:rPr>
              <w:t>8、项目实施过程中的关键点分析准确，相应保障措施得当计5分；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备注：评审项得分为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分的，每有一项不满足招标文件要求的扣 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916"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tc>
        <w:tc>
          <w:tcPr>
            <w:tcW w:w="12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安全管理措施和质量控制措施</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tc>
        <w:tc>
          <w:tcPr>
            <w:tcW w:w="794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zh-TW" w:eastAsia="zh-CN"/>
              </w:rPr>
            </w:pPr>
            <w:r>
              <w:rPr>
                <w:rFonts w:hint="eastAsia"/>
                <w:lang w:val="zh-TW" w:eastAsia="zh-CN"/>
              </w:rPr>
              <w:t>对服务管理中的安全管理措施和质量控制措施进行评比：</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zh-TW" w:eastAsia="zh-CN"/>
              </w:rPr>
            </w:pPr>
            <w:r>
              <w:rPr>
                <w:rFonts w:hint="eastAsia"/>
                <w:lang w:val="zh-TW" w:eastAsia="zh-CN"/>
              </w:rPr>
              <w:t>1、有完善的安全管理规范， 施工质量的保障监督机制非常具体，计</w:t>
            </w:r>
            <w:r>
              <w:rPr>
                <w:rFonts w:hint="eastAsia"/>
                <w:lang w:val="en-US" w:eastAsia="zh-CN"/>
              </w:rPr>
              <w:t>7-10</w:t>
            </w:r>
            <w:r>
              <w:rPr>
                <w:rFonts w:hint="eastAsia"/>
                <w:lang w:val="zh-TW" w:eastAsia="zh-CN"/>
              </w:rPr>
              <w:t>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zh-TW" w:eastAsia="zh-CN"/>
              </w:rPr>
            </w:pPr>
            <w:r>
              <w:rPr>
                <w:rFonts w:hint="eastAsia"/>
                <w:lang w:val="zh-TW" w:eastAsia="zh-CN"/>
              </w:rPr>
              <w:t>2、有齐全的安全管理规范， 施工质量的保障监督机制基本具有，记</w:t>
            </w:r>
            <w:r>
              <w:rPr>
                <w:rFonts w:hint="eastAsia"/>
                <w:lang w:val="en-US" w:eastAsia="zh-CN"/>
              </w:rPr>
              <w:t>3-6</w:t>
            </w:r>
            <w:r>
              <w:rPr>
                <w:rFonts w:hint="eastAsia"/>
                <w:lang w:val="zh-TW" w:eastAsia="zh-CN"/>
              </w:rPr>
              <w:t xml:space="preserve"> 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zh-TW" w:eastAsia="zh-CN"/>
              </w:rPr>
            </w:pPr>
            <w:r>
              <w:rPr>
                <w:rFonts w:hint="eastAsia"/>
                <w:lang w:val="zh-TW" w:eastAsia="zh-CN"/>
              </w:rPr>
              <w:t>3、安全管理不规范， 施工质量的保障监督机制不全面，计1-2分。</w:t>
            </w:r>
          </w:p>
          <w:p>
            <w:pPr>
              <w:pStyle w:val="2"/>
              <w:ind w:left="0" w:leftChars="0" w:firstLine="0" w:firstLineChars="0"/>
              <w:rPr>
                <w:rFonts w:hint="eastAsia"/>
                <w:lang w:val="zh-TW"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TW" w:eastAsia="zh-TW"/>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916"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tc>
        <w:tc>
          <w:tcPr>
            <w:tcW w:w="12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应急</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方案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TW" w:eastAsia="zh-TW"/>
              </w:rPr>
              <w:t>分)</w:t>
            </w:r>
          </w:p>
        </w:tc>
        <w:tc>
          <w:tcPr>
            <w:tcW w:w="794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1、提供突发事件应急方案，如</w:t>
            </w:r>
            <w:r>
              <w:rPr>
                <w:rFonts w:hint="eastAsia" w:ascii="宋体" w:hAnsi="宋体" w:cs="宋体"/>
                <w:color w:val="auto"/>
                <w:sz w:val="24"/>
                <w:szCs w:val="24"/>
                <w:lang w:val="zh-TW" w:eastAsia="zh-CN"/>
              </w:rPr>
              <w:t>建筑</w:t>
            </w:r>
            <w:r>
              <w:rPr>
                <w:rFonts w:hint="eastAsia" w:ascii="宋体" w:hAnsi="宋体" w:eastAsia="宋体" w:cs="宋体"/>
                <w:color w:val="auto"/>
                <w:sz w:val="24"/>
                <w:szCs w:val="24"/>
                <w:lang w:val="zh-TW" w:eastAsia="zh-TW"/>
              </w:rPr>
              <w:t>内发生突发 (火灾、失 盗等) 事件的应急处理与信息反馈机制满足项目需求，计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2、提供自然灾害引发的安全事故的应急处理与信息反馈机制满足 项目需求，计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备注：评审项得分为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分的，每一项有不满足招标文件要求的扣 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916"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tc>
        <w:tc>
          <w:tcPr>
            <w:tcW w:w="12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合同</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履行</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TW" w:eastAsia="zh-TW"/>
              </w:rPr>
              <w:t>分)</w:t>
            </w:r>
          </w:p>
        </w:tc>
        <w:tc>
          <w:tcPr>
            <w:tcW w:w="794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合同履行过程中对现场管理、日常垃圾推平整工作、消毒工作、覆土工作、进出场管理、场区道路清扫、渗漏液体看护工作等质量保证及履约做出实质性承诺计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 xml:space="preserve"> 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备注：评审项得分为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 xml:space="preserve"> 分的，每一项有不满足招标文件要求的扣 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916" w:type="dxa"/>
            <w:vMerge w:val="continue"/>
            <w:tcBorders>
              <w:left w:val="single" w:color="auto" w:sz="12"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Cs/>
                <w:color w:val="auto"/>
                <w:kern w:val="0"/>
                <w:sz w:val="24"/>
                <w:szCs w:val="24"/>
              </w:rPr>
            </w:pPr>
          </w:p>
        </w:tc>
        <w:tc>
          <w:tcPr>
            <w:tcW w:w="120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人员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配备</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TW" w:eastAsia="zh-TW"/>
              </w:rPr>
              <w:t>分</w:t>
            </w:r>
            <w:r>
              <w:rPr>
                <w:rFonts w:hint="eastAsia" w:ascii="宋体" w:hAnsi="宋体" w:eastAsia="宋体" w:cs="宋体"/>
                <w:color w:val="auto"/>
                <w:sz w:val="24"/>
                <w:szCs w:val="24"/>
                <w:lang w:val="zh-TW" w:eastAsia="zh-CN"/>
              </w:rPr>
              <w:t>）</w:t>
            </w:r>
          </w:p>
        </w:tc>
        <w:tc>
          <w:tcPr>
            <w:tcW w:w="7941"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组织机构健全，拟派人员岗位职责分工明确，计</w:t>
            </w:r>
            <w:r>
              <w:rPr>
                <w:rFonts w:hint="eastAsia" w:ascii="宋体" w:hAnsi="宋体" w:cs="宋体"/>
                <w:color w:val="auto"/>
                <w:sz w:val="24"/>
                <w:szCs w:val="24"/>
                <w:lang w:val="en-US" w:eastAsia="zh-CN"/>
              </w:rPr>
              <w:t>2分；</w:t>
            </w:r>
          </w:p>
          <w:p>
            <w:pPr>
              <w:keepNext w:val="0"/>
              <w:keepLines w:val="0"/>
              <w:pageBreakBefore w:val="0"/>
              <w:kinsoku/>
              <w:wordWrap/>
              <w:overflowPunct/>
              <w:topLinePunct w:val="0"/>
              <w:autoSpaceDE/>
              <w:autoSpaceDN/>
              <w:bidi w:val="0"/>
              <w:adjustRightInd w:val="0"/>
              <w:snapToGrid w:val="0"/>
              <w:spacing w:line="360" w:lineRule="auto"/>
              <w:ind w:left="0" w:leftChars="0" w:right="106"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人员构成、人员工作经历、工作分工三部分内容，提供一项计0-1分，满分3分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916" w:type="dxa"/>
            <w:vMerge w:val="continue"/>
            <w:tcBorders>
              <w:left w:val="single" w:color="auto" w:sz="12" w:space="0"/>
            </w:tcBorders>
            <w:noWrap w:val="0"/>
            <w:vAlign w:val="center"/>
          </w:tcPr>
          <w:p>
            <w:pPr>
              <w:spacing w:line="360" w:lineRule="auto"/>
              <w:ind w:left="0" w:leftChars="0" w:right="0" w:rightChars="0" w:firstLine="0" w:firstLineChars="0"/>
              <w:jc w:val="center"/>
              <w:rPr>
                <w:rFonts w:ascii="宋体" w:hAnsi="宋体" w:eastAsia="宋体" w:cs="宋体"/>
                <w:spacing w:val="7"/>
                <w:sz w:val="23"/>
                <w:szCs w:val="23"/>
              </w:rPr>
            </w:pPr>
          </w:p>
        </w:tc>
        <w:tc>
          <w:tcPr>
            <w:tcW w:w="12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投入设备工具情况</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c>
          <w:tcPr>
            <w:tcW w:w="7941" w:type="dxa"/>
            <w:tcBorders>
              <w:top w:val="single" w:color="auto" w:sz="4" w:space="0"/>
              <w:bottom w:val="single" w:color="auto" w:sz="4" w:space="0"/>
            </w:tcBorders>
            <w:noWrap w:val="0"/>
            <w:vAlign w:val="top"/>
          </w:tcPr>
          <w:p>
            <w:pPr>
              <w:spacing w:line="360" w:lineRule="auto"/>
              <w:ind w:left="0" w:leftChars="0" w:right="0" w:rightChars="0" w:firstLine="480" w:firstLineChars="200"/>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根据供应商拟投入的仪器设备与本项目匹配程度更先进,提供主要设备清单及购买主要机械设备的发票或租赁合同</w:t>
            </w:r>
            <w:r>
              <w:rPr>
                <w:rFonts w:hint="eastAsia" w:ascii="宋体" w:hAnsi="宋体" w:eastAsia="宋体" w:cs="宋体"/>
                <w:color w:val="auto"/>
                <w:sz w:val="24"/>
                <w:szCs w:val="24"/>
                <w:lang w:val="zh-TW" w:eastAsia="zh-TW"/>
              </w:rPr>
              <w:t>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 xml:space="preserve"> 分</w:t>
            </w:r>
            <w:r>
              <w:rPr>
                <w:rFonts w:hint="eastAsia" w:ascii="宋体" w:hAnsi="宋体" w:cs="宋体"/>
                <w:color w:val="000000"/>
                <w:sz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106" w:firstLine="0" w:firstLineChars="0"/>
              <w:textAlignment w:val="auto"/>
              <w:rPr>
                <w:rFonts w:ascii="宋体" w:hAnsi="宋体" w:eastAsia="宋体" w:cs="宋体"/>
                <w:spacing w:val="18"/>
                <w:sz w:val="24"/>
                <w:szCs w:val="24"/>
              </w:rPr>
            </w:pPr>
            <w:r>
              <w:rPr>
                <w:rFonts w:ascii="宋体" w:hAnsi="宋体" w:eastAsia="宋体" w:cs="宋体"/>
                <w:spacing w:val="2"/>
                <w:sz w:val="24"/>
                <w:szCs w:val="24"/>
              </w:rPr>
              <w:t xml:space="preserve">备注：评审项得分为 </w:t>
            </w:r>
            <w:r>
              <w:rPr>
                <w:rFonts w:hint="eastAsia" w:ascii="宋体" w:hAnsi="宋体" w:cs="宋体"/>
                <w:spacing w:val="2"/>
                <w:sz w:val="24"/>
                <w:szCs w:val="24"/>
                <w:lang w:val="en-US" w:eastAsia="zh-CN"/>
              </w:rPr>
              <w:t>5</w:t>
            </w:r>
            <w:r>
              <w:rPr>
                <w:rFonts w:ascii="宋体" w:hAnsi="宋体" w:eastAsia="宋体" w:cs="宋体"/>
                <w:spacing w:val="2"/>
                <w:sz w:val="24"/>
                <w:szCs w:val="24"/>
              </w:rPr>
              <w:t>分的，每一项有不满足招标文件要求的扣 1</w:t>
            </w:r>
            <w:r>
              <w:rPr>
                <w:rFonts w:ascii="宋体" w:hAnsi="宋体" w:eastAsia="宋体" w:cs="宋体"/>
                <w:spacing w:val="8"/>
                <w:sz w:val="24"/>
                <w:szCs w:val="24"/>
              </w:rPr>
              <w:t>分</w:t>
            </w:r>
            <w:r>
              <w:rPr>
                <w:rFonts w:ascii="宋体" w:hAnsi="宋体" w:eastAsia="宋体" w:cs="宋体"/>
                <w:spacing w:val="7"/>
                <w:sz w:val="24"/>
                <w:szCs w:val="24"/>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916" w:type="dxa"/>
            <w:vMerge w:val="continue"/>
            <w:tcBorders>
              <w:left w:val="single" w:color="auto" w:sz="12"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eastAsia" w:ascii="宋体" w:hAnsi="宋体" w:eastAsia="宋体" w:cs="宋体"/>
                <w:kern w:val="2"/>
                <w:sz w:val="24"/>
                <w:szCs w:val="24"/>
                <w:lang w:val="en-US" w:eastAsia="zh-CN" w:bidi="ar-SA"/>
              </w:rPr>
            </w:pPr>
          </w:p>
        </w:tc>
        <w:tc>
          <w:tcPr>
            <w:tcW w:w="120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服务承诺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TW" w:eastAsia="zh-TW"/>
              </w:rPr>
              <w:t>分</w:t>
            </w:r>
            <w:r>
              <w:rPr>
                <w:rFonts w:hint="eastAsia" w:ascii="宋体" w:hAnsi="宋体" w:eastAsia="宋体" w:cs="宋体"/>
                <w:color w:val="auto"/>
                <w:sz w:val="24"/>
                <w:szCs w:val="24"/>
                <w:lang w:val="zh-TW" w:eastAsia="zh-CN"/>
              </w:rPr>
              <w:t>）</w:t>
            </w:r>
          </w:p>
        </w:tc>
        <w:tc>
          <w:tcPr>
            <w:tcW w:w="7941"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针对本项目承诺并接受采购人对管理服务的监督、批评和建议，计</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val="0"/>
              <w:snapToGrid w:val="0"/>
              <w:spacing w:line="360" w:lineRule="auto"/>
              <w:ind w:left="0" w:leftChars="0" w:right="106" w:firstLine="0" w:firstLineChars="0"/>
              <w:textAlignment w:val="auto"/>
              <w:rPr>
                <w:rFonts w:ascii="宋体" w:hAnsi="宋体" w:eastAsia="宋体" w:cs="宋体"/>
                <w:spacing w:val="2"/>
                <w:sz w:val="24"/>
                <w:szCs w:val="24"/>
              </w:rPr>
            </w:pPr>
            <w:r>
              <w:rPr>
                <w:rFonts w:hint="eastAsia" w:ascii="宋体" w:hAnsi="宋体" w:eastAsia="宋体" w:cs="宋体"/>
                <w:sz w:val="24"/>
                <w:szCs w:val="24"/>
              </w:rPr>
              <w:t>备注：评审项得分为</w:t>
            </w:r>
            <w:r>
              <w:rPr>
                <w:rFonts w:hint="eastAsia" w:ascii="宋体" w:hAnsi="宋体" w:eastAsia="宋体" w:cs="宋体"/>
                <w:sz w:val="24"/>
                <w:szCs w:val="24"/>
                <w:lang w:val="en-US" w:eastAsia="zh-CN"/>
              </w:rPr>
              <w:t>5</w:t>
            </w:r>
            <w:r>
              <w:rPr>
                <w:rFonts w:hint="eastAsia" w:ascii="宋体" w:hAnsi="宋体" w:eastAsia="宋体" w:cs="宋体"/>
                <w:sz w:val="24"/>
                <w:szCs w:val="24"/>
              </w:rPr>
              <w:t>分的，每有一项存在不足(存在不足指内容不够完整或与分析不到位或内容不符合实际情况)扣1分，扣完为止。内容有重大缺陷无法满足实际工作需要的不得分。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916" w:type="dxa"/>
            <w:tcBorders>
              <w:top w:val="single" w:color="auto" w:sz="4" w:space="0"/>
              <w:left w:val="single" w:color="auto" w:sz="12"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rPr>
            </w:pPr>
            <w:r>
              <w:rPr>
                <w:rFonts w:hint="eastAsia"/>
                <w:lang w:val="zh-TW" w:eastAsia="zh-TW"/>
              </w:rPr>
              <w:t>业绩</w:t>
            </w:r>
          </w:p>
        </w:tc>
        <w:tc>
          <w:tcPr>
            <w:tcW w:w="120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TW" w:eastAsia="zh-TW"/>
              </w:rPr>
              <w:t>分</w:t>
            </w:r>
          </w:p>
        </w:tc>
        <w:tc>
          <w:tcPr>
            <w:tcW w:w="794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right="106"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提供 2019 年1月（以合同签订日期为准）起至提交磋商响应文件截止日期前承担的类似项目业绩（中标通知书或合同）（提供一个有效业绩得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w:t>
            </w:r>
          </w:p>
        </w:tc>
      </w:tr>
    </w:tbl>
    <w:p>
      <w:pPr>
        <w:pStyle w:val="16"/>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1）若出现缺项或只有标题无内容或内容有严重错误者，该项得0分。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以上各项打分均由磋商小组共同认定，如磋商小组在认定上出现意见分歧，由磋商小组进行表决，以少数服从多数决定原则确定，并作记录。</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3)如磋商小组一致认为</w:t>
      </w:r>
      <w:r>
        <w:rPr>
          <w:rFonts w:hint="eastAsia" w:ascii="宋体" w:hAnsi="宋体" w:eastAsia="宋体" w:cs="宋体"/>
          <w:snapToGrid w:val="0"/>
          <w:color w:val="auto"/>
          <w:kern w:val="0"/>
          <w:sz w:val="24"/>
          <w:szCs w:val="24"/>
        </w:rPr>
        <w:t>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4)若出现综合得分并列时，比较技术得分，此分项得分高者排序在前；若技术得分仍相同，比较价格得分，此分项得分高者排序在前；若磋商报价得分仍相同，则由磋商小组无记名投票，得票高者排序在前。</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评委打分超过得分界限或未按本方法赋分时，该评委的打分按废票处理。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各种计算采用插入法，数字均保留两位小数，第三位“四舍五入”。</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 评标时，对小型和微型企业给与用扣除后的价格参与评审。根据《政府采购促进中小企业发展</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办法》（财库（20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号）规定</w:t>
      </w:r>
      <w:r>
        <w:rPr>
          <w:rFonts w:hint="eastAsia" w:ascii="宋体" w:hAnsi="宋体" w:eastAsia="宋体" w:cs="宋体"/>
          <w:color w:val="auto"/>
          <w:sz w:val="24"/>
          <w:szCs w:val="24"/>
          <w:lang w:eastAsia="zh-CN"/>
        </w:rPr>
        <w:t>。</w:t>
      </w:r>
    </w:p>
    <w:p>
      <w:pPr>
        <w:pageBreakBefore w:val="0"/>
        <w:kinsoku/>
        <w:wordWrap/>
        <w:overflowPunct/>
        <w:topLinePunct w:val="0"/>
        <w:bidi w:val="0"/>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8）对既属于监狱企业、福利企业，同时又满足中小微企业规定的供应商，其价格扣除仅适用一次。</w:t>
      </w:r>
    </w:p>
    <w:p>
      <w:pPr>
        <w:pStyle w:val="16"/>
        <w:pageBreakBefore w:val="0"/>
        <w:kinsoku/>
        <w:wordWrap/>
        <w:overflowPunct/>
        <w:topLinePunct w:val="0"/>
        <w:bidi w:val="0"/>
        <w:spacing w:line="36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12</w:t>
      </w: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zh-CN"/>
        </w:rPr>
        <w:t>磋商小组</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磋商小组由采购人代表和评审专家共同组成。评审专家应当从政府采购评审专家库内相关专业的专家名单中随机抽取。</w:t>
      </w:r>
    </w:p>
    <w:p>
      <w:pPr>
        <w:pStyle w:val="16"/>
        <w:pageBreakBefore w:val="0"/>
        <w:kinsoku/>
        <w:wordWrap/>
        <w:overflowPunct/>
        <w:topLinePunct w:val="0"/>
        <w:bidi w:val="0"/>
        <w:spacing w:line="36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13</w:t>
      </w: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zh-CN"/>
        </w:rPr>
        <w:t>磋商评审纪律</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13.1磋商小组成员</w:t>
      </w:r>
      <w:r>
        <w:rPr>
          <w:rFonts w:hint="eastAsia" w:ascii="宋体" w:hAnsi="宋体" w:eastAsia="宋体" w:cs="宋体"/>
          <w:color w:val="auto"/>
          <w:sz w:val="24"/>
          <w:szCs w:val="24"/>
          <w:lang w:val="zh-CN"/>
        </w:rPr>
        <w:t>内部讨论的情况和意见必须保密，任何人不得以任何形式透露给供应商或与供应商有关的单位或个人；</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zh-CN"/>
        </w:rPr>
        <w:t>在磋商过程中，供应商不得以任何形式对磋商小组成员进行旨在影响磋商结果的私下接触，否则取消其磋商资格；</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zh-CN"/>
        </w:rPr>
        <w:t>磋商小组采用以及与磋商有关的人员应当对评审情况和评审过程中获悉的国家秘密、商业秘密予以保密。</w:t>
      </w:r>
    </w:p>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14．无效报价情况说明</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bookmarkStart w:id="128" w:name="_GoBack"/>
      <w:r>
        <w:rPr>
          <w:rFonts w:hint="eastAsia" w:ascii="宋体" w:hAnsi="宋体" w:eastAsia="宋体" w:cs="宋体"/>
          <w:color w:val="auto"/>
          <w:sz w:val="24"/>
          <w:szCs w:val="24"/>
          <w:lang w:val="zh-CN"/>
        </w:rPr>
        <w:t xml:space="preserve">响应文件有下列情形之一的，应当按照无效响应文件处理：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14.1在规定的截止时间之后递交的；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14.2未按采购文件规定要求密封、签署、盖章的；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14.3未按规定交纳保证金的；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14.4不具备采购文件中规定的资格要求的；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14.5报价超过采购预算的；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14.6 文件数量不足的；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14.7未全部响应采购文件规定的实质性要求的；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14.8不符合法律、法规规定的其他情形。</w:t>
      </w:r>
    </w:p>
    <w:bookmarkEnd w:id="128"/>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15．对响应文件的修正</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15．1磋商中，对价格的计算错误按下述原则修正：</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（1）磋商时，响应文件正本与副本不一致的，以正本为准。</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的大写和小写金额不一致的，以大写金额为准；总价金额与按单价汇总金额不一致的，以单价金额计算结果为准；单价金额小数点有明显错位的，应以总价为准，并修改单价；对不同文字文本磋商文件的解释发生异议的，以中文文本为准。</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（3）供应商不同意以上修正，则其响应文件将被拒绝。</w:t>
      </w:r>
    </w:p>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16. 成交公告</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成交公告内容应当包括采购人和采购代理机构的名称、地址、联系方式，项目名称和项目编号，成交供应商名称、地址和成交金额以及磋商小组成员等。</w:t>
      </w:r>
    </w:p>
    <w:p>
      <w:pPr>
        <w:pStyle w:val="16"/>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17．</w:t>
      </w:r>
      <w:r>
        <w:rPr>
          <w:rFonts w:hint="eastAsia" w:ascii="宋体" w:hAnsi="宋体" w:eastAsia="宋体" w:cs="宋体"/>
          <w:b/>
          <w:color w:val="auto"/>
          <w:sz w:val="24"/>
          <w:szCs w:val="24"/>
        </w:rPr>
        <w:t xml:space="preserve">成交通知  </w:t>
      </w:r>
    </w:p>
    <w:p>
      <w:pPr>
        <w:pStyle w:val="16"/>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17．1在磋商有效期内，采购代理机构以书面形式通知所选定的成交供应商。 </w:t>
      </w:r>
    </w:p>
    <w:p>
      <w:pPr>
        <w:pStyle w:val="16"/>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17．2当成交供应商按规定与采购人签订合同后，采购代理机构将向其他供应商并退还投标保证金。采购代理机构对落标的供应商不作落标原因的解释。</w:t>
      </w:r>
    </w:p>
    <w:p>
      <w:pPr>
        <w:pStyle w:val="16"/>
        <w:pageBreakBefore w:val="0"/>
        <w:kinsoku/>
        <w:wordWrap/>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17．3成交通知书将是合同的一个组成部分。</w:t>
      </w:r>
    </w:p>
    <w:p>
      <w:pPr>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18．合同授予</w:t>
      </w:r>
    </w:p>
    <w:p>
      <w:pPr>
        <w:pStyle w:val="16"/>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18.1 磋商文件、响应文件及磋商过程中有关补充文件均作为合同附件，并与合同具有相同的法律效力。</w:t>
      </w:r>
    </w:p>
    <w:p>
      <w:pPr>
        <w:pStyle w:val="16"/>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18.2当按照合同履行义务，完成磋商项目。未经采购人同意，成交供应商不得向他人转让成交项目。</w:t>
      </w:r>
    </w:p>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19．</w:t>
      </w:r>
      <w:r>
        <w:rPr>
          <w:rFonts w:hint="eastAsia" w:ascii="宋体" w:hAnsi="宋体" w:eastAsia="宋体" w:cs="宋体"/>
          <w:b/>
          <w:color w:val="auto"/>
          <w:sz w:val="24"/>
          <w:szCs w:val="24"/>
        </w:rPr>
        <w:t>签订合同</w:t>
      </w:r>
    </w:p>
    <w:p>
      <w:pPr>
        <w:pStyle w:val="16"/>
        <w:pageBreakBefore w:val="0"/>
        <w:kinsoku/>
        <w:wordWrap/>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19.1成交供应商应按成交通知书中规定的时间与采购人签订合同，否则按违约处理，其磋商保证金不予退还，并赔偿本次及再次采购所发生的费用。</w:t>
      </w:r>
    </w:p>
    <w:p>
      <w:pPr>
        <w:pStyle w:val="1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19.2磋商文件、成交供应商的响应报价文件及评审过程中有关澄清文件均应作为合同附件，并与合同具有相同的法律效力。</w:t>
      </w:r>
    </w:p>
    <w:p>
      <w:pPr>
        <w:pStyle w:val="16"/>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20.招标代理服务费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供应商依据成交金额向采购代理交纳招标代理服务费，招标代理服务收费按差额定率累进法计算，具体收费标准参照（计价格[2002]1980号）文件规定执行。供应商可将此费用考虑在磋商总报价中，采购人不再单独支付。</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 中标人在取得成交通知书时，向采购代理机构一次性缴付招标代理服务费。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 招标代理服务费以电汇或现金形式缴纳。</w:t>
      </w:r>
    </w:p>
    <w:p>
      <w:pPr>
        <w:pageBreakBefore w:val="0"/>
        <w:kinsoku/>
        <w:wordWrap/>
        <w:overflowPunct/>
        <w:topLinePunct w:val="0"/>
        <w:bidi w:val="0"/>
        <w:spacing w:after="163" w:afterLines="50" w:line="360" w:lineRule="auto"/>
        <w:ind w:left="-2" w:leftChars="-59" w:hanging="140" w:hangingChars="58"/>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21.说明  </w:t>
      </w:r>
    </w:p>
    <w:p>
      <w:pPr>
        <w:spacing w:line="360" w:lineRule="auto"/>
        <w:ind w:firstLine="512" w:firstLineChars="200"/>
        <w:outlineLvl w:val="2"/>
        <w:rPr>
          <w:rFonts w:hint="eastAsia" w:ascii="宋体" w:hAnsi="宋体" w:eastAsia="宋体" w:cs="宋体"/>
          <w:color w:val="auto"/>
          <w:spacing w:val="4"/>
          <w:sz w:val="24"/>
          <w:szCs w:val="24"/>
          <w:lang w:val="en-US" w:eastAsia="zh-CN"/>
        </w:rPr>
      </w:pPr>
      <w:bookmarkStart w:id="18" w:name="_Toc23370"/>
      <w:r>
        <w:rPr>
          <w:rFonts w:hint="eastAsia" w:ascii="宋体" w:hAnsi="宋体" w:eastAsia="宋体" w:cs="宋体"/>
          <w:color w:val="auto"/>
          <w:spacing w:val="13"/>
          <w:position w:val="1"/>
          <w:sz w:val="23"/>
          <w:szCs w:val="23"/>
          <w:lang w:val="en-US" w:eastAsia="zh-CN"/>
        </w:rPr>
        <w:t>21.1、</w:t>
      </w:r>
      <w:bookmarkStart w:id="19" w:name="_Toc26038"/>
      <w:bookmarkStart w:id="20" w:name="_Toc20184"/>
      <w:bookmarkStart w:id="21" w:name="_Toc6716"/>
      <w:bookmarkStart w:id="22" w:name="_Toc13885"/>
      <w:bookmarkStart w:id="23" w:name="_Toc21517"/>
      <w:bookmarkStart w:id="24" w:name="_Toc21818"/>
      <w:bookmarkStart w:id="25" w:name="_Toc28576"/>
      <w:bookmarkStart w:id="26" w:name="_Toc5823"/>
      <w:bookmarkStart w:id="27" w:name="_Toc18036"/>
      <w:bookmarkStart w:id="28" w:name="_Toc20097"/>
      <w:bookmarkStart w:id="29" w:name="_Toc11560"/>
      <w:r>
        <w:rPr>
          <w:rFonts w:hint="eastAsia" w:ascii="宋体" w:hAnsi="宋体" w:eastAsia="宋体" w:cs="宋体"/>
          <w:color w:val="auto"/>
          <w:spacing w:val="4"/>
          <w:sz w:val="24"/>
          <w:szCs w:val="24"/>
          <w:lang w:val="en-US" w:eastAsia="zh-CN"/>
        </w:rPr>
        <w:t>政策性扣减</w:t>
      </w:r>
      <w:bookmarkEnd w:id="18"/>
      <w:bookmarkEnd w:id="19"/>
      <w:bookmarkEnd w:id="20"/>
      <w:bookmarkEnd w:id="21"/>
      <w:bookmarkEnd w:id="22"/>
      <w:bookmarkEnd w:id="23"/>
      <w:bookmarkEnd w:id="24"/>
      <w:bookmarkEnd w:id="25"/>
      <w:bookmarkEnd w:id="26"/>
      <w:bookmarkEnd w:id="27"/>
      <w:bookmarkEnd w:id="28"/>
      <w:bookmarkEnd w:id="29"/>
    </w:p>
    <w:p>
      <w:pPr>
        <w:spacing w:line="360"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21.1.1、政策性价格优惠折扣规定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（1）对小型和微型企业产品的价格给予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b w:val="0"/>
          <w:bCs/>
          <w:color w:val="auto"/>
          <w:spacing w:val="4"/>
          <w:sz w:val="24"/>
          <w:szCs w:val="24"/>
          <w:lang w:val="en-US" w:eastAsia="zh-CN"/>
        </w:rPr>
        <w:t>6</w:t>
      </w:r>
      <w:r>
        <w:rPr>
          <w:rFonts w:hint="eastAsia" w:ascii="宋体" w:hAnsi="宋体" w:eastAsia="宋体" w:cs="宋体"/>
          <w:b w:val="0"/>
          <w:bCs/>
          <w:color w:val="auto"/>
          <w:spacing w:val="4"/>
          <w:sz w:val="24"/>
          <w:szCs w:val="24"/>
        </w:rPr>
        <w:t>%的价格扣除，用扣除后的价格参与评审。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ascii="宋体" w:hAnsi="宋体" w:cs="宋体"/>
          <w:b w:val="0"/>
          <w:bCs/>
          <w:color w:val="auto"/>
          <w:spacing w:val="4"/>
          <w:sz w:val="24"/>
          <w:szCs w:val="24"/>
          <w:lang w:eastAsia="zh-CN"/>
        </w:rPr>
        <w:t>供应商</w:t>
      </w:r>
      <w:r>
        <w:rPr>
          <w:rFonts w:hint="eastAsia" w:ascii="宋体" w:hAnsi="宋体" w:eastAsia="宋体" w:cs="宋体"/>
          <w:b w:val="0"/>
          <w:bCs/>
          <w:color w:val="auto"/>
          <w:spacing w:val="4"/>
          <w:sz w:val="24"/>
          <w:szCs w:val="24"/>
        </w:rPr>
        <w:t>须作出承诺，保证真实性，如有虚假，将依法承担相应责任。未提供的不视为小微企业。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（4）</w:t>
      </w:r>
      <w:r>
        <w:rPr>
          <w:rFonts w:hint="eastAsia" w:ascii="宋体" w:hAnsi="宋体" w:eastAsia="宋体" w:cs="宋体"/>
          <w:b w:val="0"/>
          <w:bCs/>
          <w:color w:val="auto"/>
          <w:spacing w:val="4"/>
          <w:sz w:val="24"/>
          <w:szCs w:val="24"/>
          <w:lang w:val="en-US" w:eastAsia="zh-CN"/>
        </w:rPr>
        <w:t>《政府采购促进中小企业发展管理办法》（财库【2020】46号）</w:t>
      </w:r>
      <w:r>
        <w:rPr>
          <w:rFonts w:hint="eastAsia" w:ascii="宋体" w:hAnsi="宋体" w:eastAsia="宋体" w:cs="宋体"/>
          <w:b w:val="0"/>
          <w:bCs/>
          <w:color w:val="auto"/>
          <w:spacing w:val="4"/>
          <w:sz w:val="24"/>
          <w:szCs w:val="24"/>
        </w:rPr>
        <w:t>和《工业和信息化部、国家统计局、国家发展和改革委员会、财政部关于印发&lt;中小企业划型标准规定&gt;的通知》（工信部联企业【2011】300号）文件规定标准确认。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lang w:val="en-US" w:eastAsia="zh-CN"/>
        </w:rPr>
        <w:t>21.1.2</w:t>
      </w:r>
      <w:r>
        <w:rPr>
          <w:rFonts w:hint="eastAsia" w:ascii="宋体" w:hAnsi="宋体" w:eastAsia="宋体" w:cs="宋体"/>
          <w:b w:val="0"/>
          <w:bCs/>
          <w:color w:val="auto"/>
          <w:spacing w:val="4"/>
          <w:sz w:val="24"/>
          <w:szCs w:val="24"/>
        </w:rPr>
        <w:t>、监狱企业的价格评分标准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（4）监狱企业属于小型、微型企业的，不重复享受政策。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lang w:val="en-US" w:eastAsia="zh-CN"/>
        </w:rPr>
        <w:t>21.1.</w:t>
      </w:r>
      <w:r>
        <w:rPr>
          <w:rFonts w:hint="eastAsia" w:ascii="宋体" w:hAnsi="宋体" w:eastAsia="宋体" w:cs="宋体"/>
          <w:b w:val="0"/>
          <w:bCs/>
          <w:color w:val="auto"/>
          <w:spacing w:val="4"/>
          <w:sz w:val="24"/>
          <w:szCs w:val="24"/>
        </w:rPr>
        <w:t>3、残疾人福利性单位的价格评分标准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pageBreakBefore w:val="0"/>
        <w:tabs>
          <w:tab w:val="left" w:pos="360"/>
        </w:tabs>
        <w:kinsoku/>
        <w:wordWrap/>
        <w:overflowPunct/>
        <w:topLinePunct w:val="0"/>
        <w:bidi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23、需要补充的其他内容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23.1供应商对采购事项有疑问的，应当按照《政府采购质疑和投诉办法》规定，以书面形式向采购人或代理机构提出，经法定代表人签字并加盖公章。</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23.2供应商认为采购文件、采购过程、中标或者成交结果使自己的权益受到损害的，可以在知道或者应知其权益受到损害之日起7个工作日内，以书面形式向采购人、采购代理机构提出质疑。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供应商对磋商文件条款或技术参数有异议的，应当在开标前通过澄清或修改程序提出。供应商已经参与开标，并于开标后对磋商文件提出质疑的，其质疑应当被视为无效质疑。在法定质疑期内对采购文件只能是一次性提出针对同一采购程序环节的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23.4提出质疑的供应商（以下简称质疑供应商）应当是参与所质疑项目采购活动的供应商。潜在供应商已依法获取其可质疑的采购文件的，可以对该文件提出质疑。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23.5对采购文件提出质疑的，应当在获取采购文件或者采购文件公告期限届满之日起7个工作日内提出。</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23.6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23.7有下列情形之一的，属于无效质疑，代理机构可不予受理：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23.7.1未在有效期限内提出质疑的；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23.7.2质疑未以书面形式提出的；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23.7.3所提交材料未明示属于质疑材料的；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23.7.4质疑书没有法定代表人签署本人姓名或印盖本人姓名章并加盖供应商公章；质疑书由参加采购项目的授权代表签署本人姓名或印盖本人姓名章的，没有法定代表人的特别授权；质疑书加盖合同专用章的；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23.7.5质疑书未提供有效联系人或联系方式的；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23.7.6质疑事项已经进入投诉或者诉讼程序的；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23.7.7其它不符合受理条件的情形。</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23.9供应商对评审过程、中标或者成交结果提出质疑的，采购人、采购代理机构可以组织原评标委员会、竞争性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小组、询价小组或者竞争性磋商小组协助答复质疑。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23.10质疑人有下列情形之一的，代理机构应驳回质疑：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23.10.1质疑缺乏事实和法律依据的；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23.10.2质疑人捏造事实、提供虚假材料，或在一定期限内多次质疑而无实据的；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23.10.3质疑已经处理并答复后，质疑人就同一事项又提起质疑且未提供新的有效证据的；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23.10.4其他根据相关法律、法规应当予以驳回的情形。</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23.11供应商进行虚假和恶意质疑的，代理机构可以提请有关部门将其列入不良记录名单，在一至三年内禁止参加政府采购活动，并将处理决定在相关政府采购媒体上公布。</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23.12采购人、采购代理机构认为供应商质疑不成立，或者成立但未对中标、成交结果构成影响的，继续开展采购活动；认为供应商质疑成立且影响或者可能影响中标、成交结果的，按照下列情况处理：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（一）对采购文件提出的质疑，依法通过澄清或者修改可以继续开展采购活动的，澄清或者修改采购文件后继续开展采购活动；否则应当修改采购文件后重新开展采购活动。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质疑答复导致中标、成交结果改变的，采购人或者采购代理机构应当将有关情况书面报告本级财政部门。</w:t>
      </w:r>
    </w:p>
    <w:p>
      <w:pPr>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23.13质疑供应商对采购人、采购代理机构的答复不满意，或者采购人、采购代理机构未在规定时间内作出答复的，可以在答复期满后15个工作日内向本办法第六条规定的财政部门提起投诉。</w:t>
      </w:r>
    </w:p>
    <w:p>
      <w:pPr>
        <w:pageBreakBefore w:val="0"/>
        <w:kinsoku/>
        <w:wordWrap/>
        <w:overflowPunct/>
        <w:topLinePunct w:val="0"/>
        <w:bidi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23.14质疑提出时间：质疑需在有效期内提出，逾期不予受理。</w:t>
      </w:r>
    </w:p>
    <w:p>
      <w:pPr>
        <w:pageBreakBefore w:val="0"/>
        <w:kinsoku/>
        <w:wordWrap/>
        <w:overflowPunct/>
        <w:topLinePunct w:val="0"/>
        <w:bidi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质疑递交地址：榆林市榆溪大道辅路高科城 C 座写字楼 603 室</w:t>
      </w:r>
    </w:p>
    <w:p>
      <w:pPr>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联系人：徐工 联系电话：0912-3428555</w:t>
      </w:r>
      <w:r>
        <w:rPr>
          <w:rFonts w:hint="eastAsia" w:ascii="宋体" w:hAnsi="宋体" w:eastAsia="宋体" w:cs="宋体"/>
          <w:b/>
          <w:color w:val="auto"/>
          <w:sz w:val="24"/>
          <w:szCs w:val="24"/>
        </w:rPr>
        <w:br w:type="page"/>
      </w:r>
    </w:p>
    <w:p>
      <w:pPr>
        <w:pStyle w:val="3"/>
        <w:spacing w:line="360" w:lineRule="auto"/>
        <w:jc w:val="center"/>
        <w:rPr>
          <w:rFonts w:hint="eastAsia" w:ascii="宋体" w:hAnsi="宋体" w:eastAsia="宋体" w:cs="宋体"/>
          <w:color w:val="auto"/>
          <w:lang w:val="en-US" w:eastAsia="zh-CN"/>
        </w:rPr>
      </w:pPr>
      <w:bookmarkStart w:id="30" w:name="_Toc403077645"/>
      <w:bookmarkStart w:id="31" w:name="_Toc4403"/>
      <w:bookmarkStart w:id="32" w:name="_Toc363474023"/>
      <w:r>
        <w:rPr>
          <w:rFonts w:hint="eastAsia" w:ascii="宋体" w:hAnsi="宋体" w:eastAsia="宋体" w:cs="宋体"/>
          <w:color w:val="auto"/>
          <w:highlight w:val="none"/>
        </w:rPr>
        <w:t>第三章  合同条款及格</w:t>
      </w:r>
      <w:bookmarkEnd w:id="30"/>
      <w:r>
        <w:rPr>
          <w:rFonts w:hint="eastAsia" w:ascii="宋体" w:hAnsi="宋体" w:eastAsia="宋体" w:cs="宋体"/>
          <w:color w:val="auto"/>
          <w:highlight w:val="none"/>
          <w:lang w:val="en-US" w:eastAsia="zh-CN"/>
        </w:rPr>
        <w:t>式</w:t>
      </w:r>
      <w:bookmarkEnd w:id="31"/>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bookmarkStart w:id="33" w:name="_Toc4537"/>
      <w:r>
        <w:rPr>
          <w:rFonts w:hint="eastAsia" w:ascii="宋体" w:hAnsi="宋体" w:eastAsia="宋体" w:cs="宋体"/>
        </w:rPr>
        <w:t>发包方(以下简称狎方</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承包方(以下简称乙方</w:t>
      </w:r>
    </w:p>
    <w:p>
      <w:pPr>
        <w:pStyle w:val="17"/>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rPr>
      </w:pPr>
      <w:r>
        <w:rPr>
          <w:rFonts w:hint="eastAsia" w:ascii="宋体" w:hAnsi="宋体" w:eastAsia="宋体" w:cs="宋体"/>
        </w:rPr>
        <w:t>为使店塔镇生活垃圾填埋场管理工作更为高效和规范，经甲乙双方协商一致，就店塔镇生活垃圾填埋场运营管理事宜订立以下合同条款，以此共同遵守。</w:t>
      </w:r>
    </w:p>
    <w:p>
      <w:pPr>
        <w:pStyle w:val="17"/>
        <w:keepNext w:val="0"/>
        <w:keepLines w:val="0"/>
        <w:widowControl/>
        <w:suppressLineNumbers w:val="0"/>
        <w:spacing w:before="0" w:beforeAutospacing="0" w:after="0" w:afterAutospacing="0" w:line="360" w:lineRule="auto"/>
        <w:ind w:right="0"/>
        <w:rPr>
          <w:rFonts w:hint="eastAsia" w:ascii="宋体" w:hAnsi="宋体" w:eastAsia="宋体" w:cs="宋体"/>
        </w:rPr>
      </w:pPr>
      <w:r>
        <w:rPr>
          <w:rFonts w:hint="eastAsia" w:ascii="宋体" w:hAnsi="宋体" w:eastAsia="宋体" w:cs="宋体"/>
        </w:rPr>
        <w:t>一、承包项目</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1、项目名称：店塔镇生活垃圾填埋场运营管理项目。</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项目概况：店塔镇生活垃圾填埋场位于店塔镇石拉沟村，垃圾处理方式现以简易填埋为主，生活垃圾填埋场的运营管理工作包括现场管理、日常垃圾推平整工作、消毒工作、覆土工作、进出场管理、场区道路清扫、渗漏液体看护工作。</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二、承包期限</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年 月 日至 年 月日</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三、承包费用</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1、每年项目承包费用为：元(大写：元整),承包费用已含税。</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2、合同生效后甲方每年 月 日前向乙方支付当年的承包费用。在甲方付款前乙方应向甲方提供合法有效的发票作为付款凭证。</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四、承包项目内容</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(一)填埋场现场管理和推土工作</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1、乙方负责引导垃圾运输车辆倒垃圾到甲方指定区域，按甲方要求使用装载机、挖掘机及时平整垃圾(机械有乙方自行采购使用)。</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2、乙方负责平整、清理填埋场道路，确保垃圾填埋工作顺进行。</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3、乙方负责填理场全部设施、设备的管理工作。(维修更有甲方负责)</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(二)填埋场消毒工作</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1、乙方负责按甲方要求每天对生活垃圾填埋场实施药消毒2次，不影响周边环境。</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2、甲方可根据天气变化、重要活动需要等情况随时调整消毒时间要求。</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3、乙方使用消毒药物种类应符合国家有关法规、标准，并向甲方上报。</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三、填埋场覆土工作</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乙方负责按甲方要求按每月对生活垃圾填埋场实施2次覆土处理，覆土区域由甲方指定。每次覆土面积不小于1000平方米，覆土厚度达到0.5米以上。</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四、填埋场进出管理</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乙方负责按照甲方要求协助做好填埋场进出管理工作，任何运输车辆、垃圾、设备、设施、物品必须通过甲方审批，经甲方同意后方可进出填埋场。</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五、双方责任义务</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1、甲方责任</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(1)根据工作要求标准，监督和指导乙方的工作。</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甲方原则上不干预乙方公司内部管理、人员安排等，但如乙方现场管理人员工作严重失职，不能配合甲方突击检查和其它重要活动需要，造成工作不到位或管理水平低下、素质太差，甲方有权责令乙方更换管理人员。</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(3)甲方每月通过定期和不定期检查的形式，对乙方运营理工作质量进行监督和考评/如乙方工作质量未达到合同要求，方根据实际情况扣减乙方当月承包费用。</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(4)由于乙方一次性投入机械设备等作业工具，合同履行期满时，同等条件下甲方必须优先选择和乙方续签运营合同。</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2、乙方责任</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(1)乙方应按相关法规标准及市、镇工作要求做好所承包的作业项目，无条件接受甲方或上级管理部门的监督、考核和工作指导。</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(2)乙方未经甲方同意，不得擅自将本项目部分或全部转包或分包给他人，否则，将视为乙方违约，甲方有权解除合同，并向乙方追究法律责任。</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(3)乙方必须落实安全生产和安全防火措施，如发生任何安全事故，一切责任及造成损失均由乙方负责承担，与甲方无关。</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(4)乙方及其工人必须遵守国家法律、法规的规定。乙方及其工人如有违纪违法、发生工伤意外事故，乙方承担一切经济责任和法律责任。</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(5)由于承包范围内的设备、器械被盗或损坏或操作不当而导致他人死伤或造成其他损失的，由乙方负责赔偿和承担一切责任。</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(6)填埋场现有的属于甲方所有的设施、设备，如因乙方管理不善造成损坏，由乙方负责赔偿。</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(7)乙方必须按照甲方要求配备足够的工作人员，聘用人员必须符合《中华人民共和国劳动法》等法规要求，如乙方出现违规违法用工行为， 一切经济责任和法律责任均由乙方负责承担。</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(8)按国家规定应由乙方缴纳的各种费用，已包含在合同,由乙方向有关部门交付。乙方工人的工资、保险费、工具一切费用支出， 由乙方负责，自负盈亏，与甲方无关。</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(9)乙方无故停止工作，甲方有权按损失程度扣减承包款，旬乙方追究法律责任，并有权单方面解除合同。</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(10)由于乙方原因，导致双方签订的合同终止或被解除的，乙方因此而遭受的损失，将由乙方独立承担，甲方对此不负任何责任，也不作任何赔偿。</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六、附则</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1、本合同在执行过程中，如遇未尽事宜，由甲乙双方协商后，另行签订补充合同，与本合同具有同等的法律效力。</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2、本合同正本一式四份，甲方三份，乙方一份，均具有同等法律效力。</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3、本合同自甲乙双方法定代表人或委托代理人签字、盖章之日起生效；</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工上</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甲方(公章)</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t>乙方(公章):</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签约代表：</w:t>
      </w:r>
      <w:r>
        <w:rPr>
          <w:rFonts w:hint="eastAsia" w:ascii="宋体" w:hAnsi="宋体" w:eastAsia="宋体" w:cs="宋体"/>
          <w:lang w:val="en-US" w:eastAsia="zh-CN"/>
        </w:rPr>
        <w:t xml:space="preserve">                           </w:t>
      </w:r>
      <w:r>
        <w:rPr>
          <w:rFonts w:hint="eastAsia" w:ascii="宋体" w:hAnsi="宋体" w:eastAsia="宋体" w:cs="宋体"/>
        </w:rPr>
        <w:t>签约代表：</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rPr>
      </w:pPr>
      <w:r>
        <w:rPr>
          <w:rFonts w:hint="eastAsia" w:ascii="宋体" w:hAnsi="宋体" w:eastAsia="宋体" w:cs="宋体"/>
        </w:rPr>
        <w:t>年 月 日</w:t>
      </w:r>
    </w:p>
    <w:p>
      <w:pPr>
        <w:pStyle w:val="17"/>
        <w:keepNext w:val="0"/>
        <w:keepLines w:val="0"/>
        <w:widowControl/>
        <w:suppressLineNumbers w:val="0"/>
        <w:spacing w:before="0" w:beforeAutospacing="0" w:after="0" w:afterAutospacing="0"/>
        <w:ind w:left="0" w:right="0" w:firstLine="0"/>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pStyle w:val="2"/>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
      </w:pPr>
    </w:p>
    <w:bookmarkEnd w:id="32"/>
    <w:bookmarkEnd w:id="33"/>
    <w:p>
      <w:pPr>
        <w:pStyle w:val="3"/>
        <w:numPr>
          <w:ilvl w:val="0"/>
          <w:numId w:val="0"/>
        </w:numPr>
        <w:bidi w:val="0"/>
        <w:spacing w:line="360" w:lineRule="auto"/>
        <w:ind w:firstLine="2249" w:firstLineChars="700"/>
        <w:jc w:val="both"/>
        <w:rPr>
          <w:rFonts w:hint="eastAsia" w:ascii="宋体" w:hAnsi="宋体" w:eastAsia="宋体" w:cs="宋体"/>
          <w:color w:val="auto"/>
          <w:szCs w:val="22"/>
          <w:highlight w:val="none"/>
          <w:lang w:val="en-US" w:eastAsia="zh-CN"/>
        </w:rPr>
      </w:pPr>
      <w:bookmarkStart w:id="34" w:name="_Toc13308"/>
      <w:bookmarkStart w:id="35" w:name="_Toc19246"/>
      <w:bookmarkStart w:id="36" w:name="_Toc26595"/>
      <w:bookmarkStart w:id="37" w:name="_Toc19199"/>
      <w:bookmarkStart w:id="38" w:name="_Toc8333"/>
      <w:bookmarkStart w:id="39" w:name="_Toc29888"/>
      <w:bookmarkStart w:id="40" w:name="_Toc30034"/>
      <w:bookmarkStart w:id="41" w:name="_Toc389582037"/>
      <w:bookmarkStart w:id="42" w:name="_Toc31520"/>
      <w:r>
        <w:rPr>
          <w:rFonts w:hint="eastAsia" w:ascii="宋体" w:hAnsi="宋体" w:eastAsia="宋体" w:cs="宋体"/>
          <w:color w:val="auto"/>
          <w:szCs w:val="22"/>
          <w:highlight w:val="none"/>
          <w:lang w:val="en-US" w:eastAsia="zh-CN"/>
        </w:rPr>
        <w:t>第四章  磋商内容及技术要求</w:t>
      </w:r>
      <w:bookmarkEnd w:id="34"/>
      <w:bookmarkEnd w:id="35"/>
      <w:bookmarkEnd w:id="36"/>
      <w:bookmarkEnd w:id="37"/>
      <w:bookmarkEnd w:id="38"/>
      <w:bookmarkEnd w:id="39"/>
      <w:bookmarkEnd w:id="40"/>
      <w:bookmarkEnd w:id="41"/>
      <w:bookmarkEnd w:id="42"/>
      <w:bookmarkStart w:id="43" w:name="_Toc4053"/>
      <w:bookmarkStart w:id="44" w:name="_Toc2711"/>
      <w:bookmarkStart w:id="45" w:name="_Toc11450"/>
      <w:bookmarkStart w:id="46" w:name="_Toc20481"/>
      <w:bookmarkStart w:id="47" w:name="_Toc1025"/>
      <w:bookmarkStart w:id="48" w:name="_Toc23856"/>
      <w:bookmarkStart w:id="49" w:name="_Toc389582038"/>
    </w:p>
    <w:bookmarkEnd w:id="43"/>
    <w:bookmarkEnd w:id="44"/>
    <w:bookmarkEnd w:id="45"/>
    <w:bookmarkEnd w:id="46"/>
    <w:bookmarkEnd w:id="47"/>
    <w:bookmarkEnd w:id="48"/>
    <w:bookmarkEnd w:id="49"/>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一、采购内容 </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sz w:val="24"/>
          <w:szCs w:val="24"/>
        </w:rPr>
      </w:pPr>
      <w:r>
        <w:rPr>
          <w:rFonts w:hint="eastAsia" w:ascii="宋体" w:hAnsi="宋体" w:eastAsia="宋体" w:cs="宋体"/>
          <w:sz w:val="24"/>
          <w:szCs w:val="24"/>
          <w:lang w:val="en-US" w:eastAsia="zh-CN"/>
        </w:rPr>
        <w:t>1、项目概况：</w:t>
      </w:r>
      <w:r>
        <w:rPr>
          <w:rFonts w:hint="eastAsia" w:ascii="宋体" w:hAnsi="宋体" w:eastAsia="宋体" w:cs="宋体"/>
          <w:sz w:val="24"/>
          <w:szCs w:val="24"/>
        </w:rPr>
        <w:t>店塔镇生活垃圾填埋场位于店塔镇石拉沟村，垃圾处理方式现以简易填埋为主，生活垃圾填埋场的运营管理工作包括现场管理、日常垃圾推平整工作、消毒工作、覆土工作、进出场管理、场区道路清扫、渗漏液体看护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2、项目地址：</w:t>
      </w:r>
      <w:r>
        <w:rPr>
          <w:rFonts w:hint="eastAsia" w:ascii="宋体" w:hAnsi="宋体" w:eastAsia="宋体" w:cs="宋体"/>
          <w:sz w:val="24"/>
          <w:szCs w:val="24"/>
        </w:rPr>
        <w:t>神木市</w:t>
      </w:r>
      <w:r>
        <w:rPr>
          <w:rFonts w:hint="eastAsia" w:ascii="宋体" w:hAnsi="宋体" w:eastAsia="宋体" w:cs="宋体"/>
          <w:sz w:val="24"/>
          <w:szCs w:val="24"/>
          <w:lang w:eastAsia="zh-CN"/>
        </w:rPr>
        <w:t>店塔镇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3、本项目采购预算为：（￥：9</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0000元/年）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4、服务期：</w:t>
      </w:r>
      <w:r>
        <w:rPr>
          <w:rFonts w:hint="eastAsia" w:ascii="宋体" w:hAnsi="宋体" w:eastAsia="宋体" w:cs="宋体"/>
          <w:i w:val="0"/>
          <w:iCs w:val="0"/>
          <w:caps w:val="0"/>
          <w:color w:val="auto"/>
          <w:spacing w:val="0"/>
          <w:sz w:val="24"/>
          <w:szCs w:val="24"/>
          <w:shd w:val="clear" w:color="auto" w:fill="FFFFFF"/>
          <w:lang w:eastAsia="zh-CN"/>
        </w:rPr>
        <w:t>3年(一次招标，招标延用两年，合同一年一签。)</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宋体" w:hAnsi="宋体" w:eastAsia="宋体" w:cs="宋体"/>
          <w:b/>
          <w:bCs/>
          <w:sz w:val="24"/>
          <w:szCs w:val="24"/>
          <w:lang w:val="en-US" w:eastAsia="zh-CN"/>
        </w:rPr>
      </w:pPr>
      <w:bookmarkStart w:id="50" w:name="第五章  合同基本条款"/>
      <w:bookmarkEnd w:id="50"/>
      <w:r>
        <w:rPr>
          <w:rFonts w:hint="eastAsia" w:ascii="宋体" w:hAnsi="宋体" w:eastAsia="宋体" w:cs="宋体"/>
          <w:b/>
          <w:bCs/>
          <w:sz w:val="24"/>
          <w:szCs w:val="24"/>
          <w:lang w:val="en-US" w:eastAsia="zh-CN"/>
        </w:rPr>
        <w:t xml:space="preserve">二、服务内容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1、神木市店塔镇店塔镇生活垃圾填埋运营服务所有内容；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2、成果要求：针对本项目提供相应的质量保证及措施，投入专业技术人员的配置情况、分工合理性、组织结构设置健全性等，服务质量必须符合采购人的要求；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三、人员及机械要求</w:t>
      </w:r>
    </w:p>
    <w:p>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根据实地测量并核实核算，</w:t>
      </w:r>
      <w:r>
        <w:rPr>
          <w:rFonts w:hint="eastAsia" w:ascii="宋体" w:hAnsi="宋体" w:cs="宋体"/>
          <w:color w:val="000000"/>
          <w:sz w:val="24"/>
          <w:szCs w:val="24"/>
          <w:lang w:eastAsia="zh-CN"/>
        </w:rPr>
        <w:t>至少</w:t>
      </w:r>
      <w:r>
        <w:rPr>
          <w:rFonts w:hint="eastAsia" w:ascii="宋体" w:hAnsi="宋体" w:eastAsia="宋体" w:cs="宋体"/>
          <w:color w:val="000000"/>
          <w:sz w:val="24"/>
          <w:szCs w:val="24"/>
        </w:rPr>
        <w:t>配置人员</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人，</w:t>
      </w:r>
      <w:r>
        <w:rPr>
          <w:rFonts w:hint="eastAsia" w:ascii="宋体" w:hAnsi="宋体" w:cs="宋体"/>
          <w:color w:val="000000"/>
          <w:sz w:val="24"/>
          <w:szCs w:val="24"/>
          <w:lang w:eastAsia="zh-CN"/>
        </w:rPr>
        <w:t>自有机械</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eastAsia="zh-CN"/>
        </w:rPr>
        <w:t>台</w:t>
      </w:r>
      <w:r>
        <w:rPr>
          <w:rFonts w:hint="eastAsia" w:ascii="宋体" w:hAnsi="宋体" w:eastAsia="宋体" w:cs="宋体"/>
          <w:color w:val="000000"/>
          <w:sz w:val="24"/>
          <w:szCs w:val="24"/>
        </w:rPr>
        <w:t xml:space="preserve">，具体情况如下：  </w:t>
      </w:r>
    </w:p>
    <w:p>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rPr>
        <w:t>人员配置：</w:t>
      </w:r>
      <w:r>
        <w:rPr>
          <w:rFonts w:hint="eastAsia" w:ascii="宋体" w:hAnsi="宋体" w:eastAsia="宋体" w:cs="宋体"/>
          <w:color w:val="000000"/>
          <w:sz w:val="24"/>
          <w:szCs w:val="24"/>
        </w:rPr>
        <w:t>经理1人</w:t>
      </w:r>
      <w:r>
        <w:rPr>
          <w:rFonts w:hint="eastAsia" w:ascii="宋体" w:hAnsi="宋体" w:cs="宋体"/>
          <w:color w:val="000000"/>
          <w:sz w:val="24"/>
          <w:szCs w:val="24"/>
          <w:lang w:eastAsia="zh-CN"/>
        </w:rPr>
        <w:t>、</w:t>
      </w:r>
      <w:r>
        <w:rPr>
          <w:rFonts w:hint="eastAsia" w:ascii="宋体" w:hAnsi="宋体" w:eastAsia="宋体" w:cs="宋体"/>
          <w:color w:val="000000"/>
          <w:sz w:val="24"/>
          <w:szCs w:val="24"/>
        </w:rPr>
        <w:t>现场负责人1人</w:t>
      </w:r>
      <w:r>
        <w:rPr>
          <w:rFonts w:hint="eastAsia" w:ascii="宋体" w:hAnsi="宋体" w:cs="宋体"/>
          <w:color w:val="000000"/>
          <w:sz w:val="24"/>
          <w:szCs w:val="24"/>
          <w:lang w:eastAsia="zh-CN"/>
        </w:rPr>
        <w:t>、</w:t>
      </w:r>
      <w:r>
        <w:rPr>
          <w:rFonts w:hint="eastAsia" w:ascii="宋体" w:hAnsi="宋体" w:eastAsia="宋体" w:cs="宋体"/>
          <w:color w:val="000000"/>
          <w:sz w:val="24"/>
          <w:szCs w:val="24"/>
        </w:rPr>
        <w:t>司机</w:t>
      </w:r>
      <w:r>
        <w:rPr>
          <w:rFonts w:hint="eastAsia" w:ascii="宋体" w:hAnsi="宋体" w:eastAsia="宋体" w:cs="宋体"/>
          <w:color w:val="000000"/>
          <w:sz w:val="24"/>
          <w:szCs w:val="24"/>
        </w:rPr>
        <w:tab/>
      </w:r>
      <w:r>
        <w:rPr>
          <w:rFonts w:hint="eastAsia" w:ascii="宋体" w:hAnsi="宋体" w:eastAsia="宋体" w:cs="宋体"/>
          <w:color w:val="000000"/>
          <w:sz w:val="24"/>
          <w:szCs w:val="24"/>
        </w:rPr>
        <w:t>2人</w:t>
      </w:r>
      <w:r>
        <w:rPr>
          <w:rFonts w:hint="eastAsia" w:ascii="宋体" w:hAnsi="宋体" w:cs="宋体"/>
          <w:color w:val="000000"/>
          <w:sz w:val="24"/>
          <w:szCs w:val="24"/>
          <w:lang w:eastAsia="zh-CN"/>
        </w:rPr>
        <w:t>、</w:t>
      </w:r>
      <w:r>
        <w:rPr>
          <w:rFonts w:hint="eastAsia" w:ascii="宋体" w:hAnsi="宋体" w:eastAsia="宋体" w:cs="宋体"/>
          <w:color w:val="000000"/>
          <w:sz w:val="24"/>
          <w:szCs w:val="24"/>
        </w:rPr>
        <w:t>门卫管理员</w:t>
      </w:r>
      <w:r>
        <w:rPr>
          <w:rFonts w:hint="eastAsia" w:ascii="宋体" w:hAnsi="宋体" w:eastAsia="宋体" w:cs="宋体"/>
          <w:color w:val="000000"/>
          <w:sz w:val="24"/>
          <w:szCs w:val="24"/>
        </w:rPr>
        <w:tab/>
      </w:r>
      <w:r>
        <w:rPr>
          <w:rFonts w:hint="eastAsia" w:ascii="宋体" w:hAnsi="宋体" w:eastAsia="宋体" w:cs="宋体"/>
          <w:color w:val="000000"/>
          <w:sz w:val="24"/>
          <w:szCs w:val="24"/>
        </w:rPr>
        <w:t>2人</w:t>
      </w:r>
      <w:r>
        <w:rPr>
          <w:rFonts w:hint="eastAsia" w:ascii="宋体" w:hAnsi="宋体" w:cs="宋体"/>
          <w:color w:val="000000"/>
          <w:sz w:val="24"/>
          <w:szCs w:val="24"/>
          <w:lang w:eastAsia="zh-CN"/>
        </w:rPr>
        <w:t>、</w:t>
      </w:r>
      <w:r>
        <w:rPr>
          <w:rFonts w:hint="eastAsia" w:ascii="宋体" w:hAnsi="宋体" w:eastAsia="宋体" w:cs="宋体"/>
          <w:color w:val="000000"/>
          <w:sz w:val="24"/>
          <w:szCs w:val="24"/>
        </w:rPr>
        <w:t>除臭员</w:t>
      </w:r>
      <w:r>
        <w:rPr>
          <w:rFonts w:hint="eastAsia" w:ascii="宋体" w:hAnsi="宋体" w:eastAsia="宋体" w:cs="宋体"/>
          <w:color w:val="000000"/>
          <w:sz w:val="24"/>
          <w:szCs w:val="24"/>
        </w:rPr>
        <w:tab/>
      </w:r>
      <w:r>
        <w:rPr>
          <w:rFonts w:hint="eastAsia" w:ascii="宋体" w:hAnsi="宋体" w:eastAsia="宋体" w:cs="宋体"/>
          <w:color w:val="000000"/>
          <w:sz w:val="24"/>
          <w:szCs w:val="24"/>
        </w:rPr>
        <w:t>3人</w:t>
      </w:r>
      <w:r>
        <w:rPr>
          <w:rFonts w:hint="eastAsia" w:ascii="宋体" w:hAnsi="宋体" w:cs="宋体"/>
          <w:color w:val="000000"/>
          <w:sz w:val="24"/>
          <w:szCs w:val="24"/>
          <w:lang w:eastAsia="zh-CN"/>
        </w:rPr>
        <w:t>、</w:t>
      </w:r>
      <w:r>
        <w:rPr>
          <w:rFonts w:hint="eastAsia" w:ascii="宋体" w:hAnsi="宋体" w:eastAsia="宋体" w:cs="宋体"/>
          <w:color w:val="000000"/>
          <w:sz w:val="24"/>
          <w:szCs w:val="24"/>
        </w:rPr>
        <w:t>清洁工</w:t>
      </w:r>
      <w:r>
        <w:rPr>
          <w:rFonts w:hint="eastAsia" w:ascii="宋体" w:hAnsi="宋体" w:eastAsia="宋体" w:cs="宋体"/>
          <w:color w:val="000000"/>
          <w:sz w:val="24"/>
          <w:szCs w:val="24"/>
        </w:rPr>
        <w:tab/>
      </w:r>
      <w:r>
        <w:rPr>
          <w:rFonts w:hint="eastAsia" w:ascii="宋体" w:hAnsi="宋体" w:eastAsia="宋体" w:cs="宋体"/>
          <w:color w:val="000000"/>
          <w:sz w:val="24"/>
          <w:szCs w:val="24"/>
        </w:rPr>
        <w:t>3人</w:t>
      </w:r>
      <w:r>
        <w:rPr>
          <w:rFonts w:hint="eastAsia" w:ascii="宋体" w:hAnsi="宋体" w:eastAsia="宋体" w:cs="宋体"/>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cs="宋体"/>
          <w:b/>
          <w:bCs/>
          <w:color w:val="000000"/>
          <w:sz w:val="24"/>
          <w:szCs w:val="24"/>
          <w:lang w:eastAsia="zh-CN"/>
        </w:rPr>
        <w:t>机械</w:t>
      </w:r>
      <w:r>
        <w:rPr>
          <w:rFonts w:hint="eastAsia" w:ascii="宋体" w:hAnsi="宋体" w:eastAsia="宋体" w:cs="宋体"/>
          <w:b/>
          <w:bCs/>
          <w:color w:val="000000"/>
          <w:sz w:val="24"/>
          <w:szCs w:val="24"/>
        </w:rPr>
        <w:t>配置：</w:t>
      </w:r>
      <w:r>
        <w:rPr>
          <w:rFonts w:hint="eastAsia" w:ascii="宋体" w:hAnsi="宋体" w:eastAsia="宋体" w:cs="宋体"/>
          <w:color w:val="000000"/>
          <w:sz w:val="24"/>
          <w:szCs w:val="24"/>
        </w:rPr>
        <w:t>装载机</w:t>
      </w:r>
      <w:r>
        <w:rPr>
          <w:rFonts w:hint="eastAsia" w:ascii="宋体" w:hAnsi="宋体" w:eastAsia="宋体" w:cs="宋体"/>
          <w:color w:val="000000"/>
          <w:sz w:val="24"/>
          <w:szCs w:val="24"/>
        </w:rPr>
        <w:tab/>
      </w:r>
      <w:r>
        <w:rPr>
          <w:rFonts w:hint="eastAsia" w:ascii="宋体" w:hAnsi="宋体" w:eastAsia="宋体" w:cs="宋体"/>
          <w:color w:val="000000"/>
          <w:sz w:val="24"/>
          <w:szCs w:val="24"/>
        </w:rPr>
        <w:t>1 台</w:t>
      </w:r>
      <w:r>
        <w:rPr>
          <w:rFonts w:hint="eastAsia" w:ascii="宋体" w:hAnsi="宋体" w:cs="宋体"/>
          <w:color w:val="000000"/>
          <w:sz w:val="24"/>
          <w:szCs w:val="24"/>
          <w:lang w:eastAsia="zh-CN"/>
        </w:rPr>
        <w:t>、</w:t>
      </w:r>
      <w:r>
        <w:rPr>
          <w:rFonts w:hint="eastAsia" w:ascii="宋体" w:hAnsi="宋体" w:eastAsia="宋体" w:cs="宋体"/>
          <w:color w:val="000000"/>
          <w:sz w:val="24"/>
          <w:szCs w:val="24"/>
        </w:rPr>
        <w:t>挖机(300)</w:t>
      </w:r>
      <w:r>
        <w:rPr>
          <w:rFonts w:hint="eastAsia" w:ascii="宋体" w:hAnsi="宋体" w:eastAsia="宋体" w:cs="宋体"/>
          <w:color w:val="000000"/>
          <w:sz w:val="24"/>
          <w:szCs w:val="24"/>
        </w:rPr>
        <w:tab/>
      </w:r>
      <w:r>
        <w:rPr>
          <w:rFonts w:hint="eastAsia" w:ascii="宋体" w:hAnsi="宋体" w:eastAsia="宋体" w:cs="宋体"/>
          <w:color w:val="000000"/>
          <w:sz w:val="24"/>
          <w:szCs w:val="24"/>
        </w:rPr>
        <w:t>1 台</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四、服务保证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1、成交供应商须按照国家相关政策法规以及相关文件精神，即合理安排，真实评估， 符合有关技术标准要求。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2、做好工作，合理安排人员时间，按照既定方案，保质保量完成工作任务。 </w:t>
      </w:r>
    </w:p>
    <w:p>
      <w:pPr>
        <w:pStyle w:val="4"/>
        <w:spacing w:line="360" w:lineRule="auto"/>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五、</w:t>
      </w:r>
      <w:r>
        <w:rPr>
          <w:rFonts w:hint="eastAsia" w:ascii="宋体" w:hAnsi="宋体" w:eastAsia="宋体" w:cs="宋体"/>
          <w:sz w:val="24"/>
          <w:szCs w:val="24"/>
          <w:lang w:val="zh-CN" w:eastAsia="zh-CN"/>
        </w:rPr>
        <w:t>考核：按照采购人制定的考核管理办法进行考核</w:t>
      </w:r>
      <w:r>
        <w:rPr>
          <w:rFonts w:hint="eastAsia" w:ascii="宋体" w:hAnsi="宋体" w:cs="宋体"/>
          <w:sz w:val="24"/>
          <w:szCs w:val="24"/>
          <w:lang w:val="zh-CN" w:eastAsia="zh-CN"/>
        </w:rPr>
        <w:t>，经采购人考核验收合格，经双方同意，续签下一年合同。</w:t>
      </w:r>
    </w:p>
    <w:p>
      <w:pPr>
        <w:rPr>
          <w:rFonts w:hint="eastAsia" w:ascii="宋体" w:hAnsi="宋体" w:eastAsia="宋体" w:cs="宋体"/>
          <w:color w:val="auto"/>
          <w:sz w:val="24"/>
          <w:szCs w:val="24"/>
          <w:lang w:val="en-US" w:eastAsia="zh-CN"/>
        </w:rPr>
      </w:pPr>
    </w:p>
    <w:p>
      <w:pPr>
        <w:pStyle w:val="1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sectPr>
          <w:headerReference r:id="rId9" w:type="default"/>
          <w:footerReference r:id="rId10" w:type="default"/>
          <w:pgSz w:w="11906" w:h="16839"/>
          <w:pgMar w:top="1431" w:right="1580" w:bottom="1166" w:left="1580" w:header="850" w:footer="992" w:gutter="0"/>
          <w:pgNumType w:fmt="decimal"/>
          <w:cols w:space="720" w:num="1"/>
        </w:sectPr>
      </w:pPr>
    </w:p>
    <w:p>
      <w:pPr>
        <w:rPr>
          <w:rFonts w:hint="eastAsia" w:eastAsia="宋体"/>
          <w:lang w:val="en-US" w:eastAsia="zh-CN"/>
        </w:rPr>
      </w:pPr>
      <w:r>
        <w:rPr>
          <w:rFonts w:hint="eastAsia"/>
          <w:lang w:val="en-US" w:eastAsia="zh-CN"/>
        </w:rPr>
        <w:t>附：</w:t>
      </w:r>
    </w:p>
    <w:p>
      <w:pPr>
        <w:jc w:val="center"/>
        <w:rPr>
          <w:rFonts w:hint="eastAsia" w:ascii="黑体" w:hAnsi="宋体" w:eastAsia="黑体"/>
          <w:color w:val="000000"/>
          <w:kern w:val="0"/>
        </w:rPr>
      </w:pPr>
      <w:r>
        <w:rPr>
          <w:rFonts w:hint="eastAsia" w:ascii="黑体" w:hAnsi="宋体" w:eastAsia="黑体"/>
          <w:color w:val="000000"/>
          <w:kern w:val="0"/>
        </w:rPr>
        <w:t>生活垃圾卫生填埋场运行管理考核评价标准</w:t>
      </w:r>
    </w:p>
    <w:tbl>
      <w:tblPr>
        <w:tblStyle w:val="20"/>
        <w:tblW w:w="14260" w:type="dxa"/>
        <w:jc w:val="center"/>
        <w:tblLayout w:type="fixed"/>
        <w:tblCellMar>
          <w:top w:w="0" w:type="dxa"/>
          <w:left w:w="108" w:type="dxa"/>
          <w:bottom w:w="0" w:type="dxa"/>
          <w:right w:w="108" w:type="dxa"/>
        </w:tblCellMar>
      </w:tblPr>
      <w:tblGrid>
        <w:gridCol w:w="466"/>
        <w:gridCol w:w="43"/>
        <w:gridCol w:w="692"/>
        <w:gridCol w:w="43"/>
        <w:gridCol w:w="701"/>
        <w:gridCol w:w="34"/>
        <w:gridCol w:w="491"/>
        <w:gridCol w:w="173"/>
        <w:gridCol w:w="627"/>
        <w:gridCol w:w="108"/>
        <w:gridCol w:w="7404"/>
        <w:gridCol w:w="163"/>
        <w:gridCol w:w="1000"/>
        <w:gridCol w:w="148"/>
        <w:gridCol w:w="606"/>
        <w:gridCol w:w="121"/>
        <w:gridCol w:w="600"/>
        <w:gridCol w:w="143"/>
        <w:gridCol w:w="580"/>
        <w:gridCol w:w="117"/>
      </w:tblGrid>
      <w:tr>
        <w:tblPrEx>
          <w:tblCellMar>
            <w:top w:w="0" w:type="dxa"/>
            <w:left w:w="108" w:type="dxa"/>
            <w:bottom w:w="0" w:type="dxa"/>
            <w:right w:w="108" w:type="dxa"/>
          </w:tblCellMar>
        </w:tblPrEx>
        <w:trPr>
          <w:gridAfter w:val="1"/>
          <w:wAfter w:w="117" w:type="dxa"/>
          <w:trHeight w:val="726"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35"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名称</w:t>
            </w:r>
          </w:p>
        </w:tc>
        <w:tc>
          <w:tcPr>
            <w:tcW w:w="74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总分</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分值</w:t>
            </w:r>
          </w:p>
        </w:tc>
        <w:tc>
          <w:tcPr>
            <w:tcW w:w="800"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考核内容</w:t>
            </w:r>
          </w:p>
        </w:tc>
        <w:tc>
          <w:tcPr>
            <w:tcW w:w="7675"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评分标准</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w:t>
            </w:r>
          </w:p>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说明</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考核记录</w:t>
            </w:r>
          </w:p>
        </w:tc>
        <w:tc>
          <w:tcPr>
            <w:tcW w:w="721"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分项 得分</w:t>
            </w:r>
          </w:p>
        </w:tc>
        <w:tc>
          <w:tcPr>
            <w:tcW w:w="72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  得分</w:t>
            </w:r>
          </w:p>
        </w:tc>
      </w:tr>
      <w:tr>
        <w:tblPrEx>
          <w:tblCellMar>
            <w:top w:w="0" w:type="dxa"/>
            <w:left w:w="108" w:type="dxa"/>
            <w:bottom w:w="0" w:type="dxa"/>
            <w:right w:w="108" w:type="dxa"/>
          </w:tblCellMar>
        </w:tblPrEx>
        <w:trPr>
          <w:gridAfter w:val="1"/>
          <w:wAfter w:w="117" w:type="dxa"/>
          <w:cantSplit/>
          <w:trHeight w:val="659"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w:t>
            </w:r>
          </w:p>
        </w:tc>
        <w:tc>
          <w:tcPr>
            <w:tcW w:w="735" w:type="dxa"/>
            <w:gridSpan w:val="2"/>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垃圾运输与称重计量</w:t>
            </w:r>
          </w:p>
        </w:tc>
        <w:tc>
          <w:tcPr>
            <w:tcW w:w="744" w:type="dxa"/>
            <w:gridSpan w:val="2"/>
            <w:vMerge w:val="restart"/>
            <w:tcBorders>
              <w:top w:val="single" w:color="auto" w:sz="4" w:space="0"/>
              <w:left w:val="nil"/>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52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w:t>
            </w:r>
          </w:p>
        </w:tc>
        <w:tc>
          <w:tcPr>
            <w:tcW w:w="800"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垃圾运输</w:t>
            </w:r>
          </w:p>
        </w:tc>
        <w:tc>
          <w:tcPr>
            <w:tcW w:w="7675"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1、进场垃圾运输车辆车况良好，无破损，车容整洁，得1分。发现一辆车况不好的，车辆破损，车容不整洁的，扣分，扣完为止。</w:t>
            </w:r>
          </w:p>
          <w:p>
            <w:pPr>
              <w:widowControl/>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2、运输途中无散泼滴漏现象发生，得1分。发现一辆有散泼滴漏现象的，扣分，扣完为止。</w:t>
            </w:r>
          </w:p>
          <w:p>
            <w:pPr>
              <w:widowControl/>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3、进场道路整洁，呈路本色，无黑臭现象（特别是夏季），得1分。未达到要求的，扣1分。</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1"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3"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gridAfter w:val="1"/>
          <w:wAfter w:w="117" w:type="dxa"/>
          <w:cantSplit/>
          <w:trHeight w:val="750"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4"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52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800"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垃圾接纳</w:t>
            </w:r>
          </w:p>
        </w:tc>
        <w:tc>
          <w:tcPr>
            <w:tcW w:w="7675"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1、按规定接纳符合入场要求填埋废物的，得分。每发现一次不符合的，扣分，扣完为止。</w:t>
            </w:r>
          </w:p>
          <w:p>
            <w:pPr>
              <w:widowControl/>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2、未发生违返规定接纳非服务范围填埋废物的，得分。每发现一次，扣分。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3、未发生违返规定接纳危险废物和医疗废物的，得1分。每发现一次，扣1分。</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21"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3"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gridAfter w:val="1"/>
          <w:wAfter w:w="117" w:type="dxa"/>
          <w:cantSplit/>
          <w:trHeight w:val="1265"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4"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52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800"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垃圾检验</w:t>
            </w:r>
          </w:p>
        </w:tc>
        <w:tc>
          <w:tcPr>
            <w:tcW w:w="7675" w:type="dxa"/>
            <w:gridSpan w:val="3"/>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1、有进场垃圾质量源头控制措施的，得分。没有相应措施的，扣分。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2、填埋场或作业库区入口设置有《入场须知》告之的，得分。没有设置的，扣分。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3、发生有违反规定的垃圾进场，采取相应补救措施的，得1分。未采取相应补救措施的，</w:t>
            </w:r>
            <w:r>
              <w:rPr>
                <w:rFonts w:hint="eastAsia" w:ascii="宋体" w:hAnsi="宋体" w:eastAsia="宋体" w:cs="宋体"/>
                <w:color w:val="000000"/>
                <w:kern w:val="0"/>
                <w:sz w:val="21"/>
                <w:szCs w:val="21"/>
              </w:rPr>
              <w:t>每发现一次，</w:t>
            </w:r>
            <w:r>
              <w:rPr>
                <w:rFonts w:hint="eastAsia" w:ascii="宋体" w:hAnsi="宋体" w:eastAsia="宋体" w:cs="宋体"/>
                <w:sz w:val="21"/>
                <w:szCs w:val="21"/>
              </w:rPr>
              <w:t>扣分</w:t>
            </w:r>
            <w:r>
              <w:rPr>
                <w:rFonts w:hint="eastAsia" w:ascii="宋体" w:hAnsi="宋体" w:eastAsia="宋体" w:cs="宋体"/>
                <w:color w:val="000000"/>
                <w:kern w:val="0"/>
                <w:sz w:val="21"/>
                <w:szCs w:val="21"/>
              </w:rPr>
              <w:t>，扣完为止</w:t>
            </w:r>
            <w:r>
              <w:rPr>
                <w:rFonts w:hint="eastAsia" w:ascii="宋体" w:hAnsi="宋体" w:eastAsia="宋体" w:cs="宋体"/>
                <w:sz w:val="21"/>
                <w:szCs w:val="21"/>
              </w:rPr>
              <w:t>。</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w:t>
            </w:r>
          </w:p>
          <w:p>
            <w:pPr>
              <w:widowControl/>
              <w:spacing w:line="240" w:lineRule="auto"/>
              <w:ind w:left="0" w:leftChars="0" w:firstLine="0" w:firstLineChars="0"/>
              <w:jc w:val="both"/>
              <w:rPr>
                <w:rFonts w:hint="eastAsia"/>
              </w:rPr>
            </w:pPr>
            <w:r>
              <w:rPr>
                <w:rFonts w:hint="eastAsia" w:ascii="宋体" w:hAnsi="宋体" w:eastAsia="宋体" w:cs="宋体"/>
                <w:color w:val="000000"/>
                <w:kern w:val="0"/>
                <w:sz w:val="21"/>
                <w:szCs w:val="21"/>
              </w:rPr>
              <w:t>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21"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3"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gridAfter w:val="1"/>
          <w:wAfter w:w="117" w:type="dxa"/>
          <w:cantSplit/>
          <w:trHeight w:val="1309"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4" w:type="dxa"/>
            <w:gridSpan w:val="2"/>
            <w:vMerge w:val="continue"/>
            <w:tcBorders>
              <w:left w:val="nil"/>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52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800"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称重计量</w:t>
            </w:r>
          </w:p>
        </w:tc>
        <w:tc>
          <w:tcPr>
            <w:tcW w:w="7675" w:type="dxa"/>
            <w:gridSpan w:val="3"/>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1、建有称重计量系统的，</w:t>
            </w:r>
            <w:r>
              <w:rPr>
                <w:rFonts w:hint="eastAsia" w:ascii="宋体" w:hAnsi="宋体" w:eastAsia="宋体" w:cs="宋体"/>
                <w:sz w:val="21"/>
                <w:szCs w:val="21"/>
              </w:rPr>
              <w:t>得1分。没有的，扣1分。</w:t>
            </w:r>
          </w:p>
          <w:p>
            <w:pPr>
              <w:widowControl/>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2、称重计量系统稳定运行的，</w:t>
            </w:r>
            <w:r>
              <w:rPr>
                <w:rFonts w:hint="eastAsia" w:ascii="宋体" w:hAnsi="宋体" w:eastAsia="宋体" w:cs="宋体"/>
                <w:sz w:val="21"/>
                <w:szCs w:val="21"/>
              </w:rPr>
              <w:t>得1分。数据记录不连续、不完整的，扣分。</w:t>
            </w:r>
          </w:p>
          <w:p>
            <w:pPr>
              <w:widowControl/>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kern w:val="0"/>
                <w:sz w:val="21"/>
                <w:szCs w:val="21"/>
              </w:rPr>
              <w:t>称重计量数据真实、台帐健全的，</w:t>
            </w:r>
            <w:r>
              <w:rPr>
                <w:rFonts w:hint="eastAsia" w:ascii="宋体" w:hAnsi="宋体" w:eastAsia="宋体" w:cs="宋体"/>
                <w:sz w:val="21"/>
                <w:szCs w:val="21"/>
              </w:rPr>
              <w:t>得1分。数据不真实的，扣1分；</w:t>
            </w:r>
            <w:r>
              <w:rPr>
                <w:rFonts w:hint="eastAsia" w:ascii="宋体" w:hAnsi="宋体" w:eastAsia="宋体" w:cs="宋体"/>
                <w:color w:val="000000"/>
                <w:kern w:val="0"/>
                <w:sz w:val="21"/>
                <w:szCs w:val="21"/>
              </w:rPr>
              <w:t>台帐不健全的，</w:t>
            </w:r>
            <w:r>
              <w:rPr>
                <w:rFonts w:hint="eastAsia" w:ascii="宋体" w:hAnsi="宋体" w:eastAsia="宋体" w:cs="宋体"/>
                <w:sz w:val="21"/>
                <w:szCs w:val="21"/>
              </w:rPr>
              <w:t>扣分。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4、有</w:t>
            </w:r>
            <w:r>
              <w:rPr>
                <w:rFonts w:hint="eastAsia" w:ascii="宋体" w:hAnsi="宋体" w:eastAsia="宋体" w:cs="宋体"/>
                <w:color w:val="000000"/>
                <w:kern w:val="0"/>
                <w:sz w:val="21"/>
                <w:szCs w:val="21"/>
              </w:rPr>
              <w:t>故障应急预案的，</w:t>
            </w:r>
            <w:r>
              <w:rPr>
                <w:rFonts w:hint="eastAsia" w:ascii="宋体" w:hAnsi="宋体" w:eastAsia="宋体" w:cs="宋体"/>
                <w:sz w:val="21"/>
                <w:szCs w:val="21"/>
              </w:rPr>
              <w:t>得1分。没有的，扣1分。</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21"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gridAfter w:val="1"/>
          <w:wAfter w:w="117" w:type="dxa"/>
          <w:cantSplit/>
          <w:trHeight w:val="1183" w:hRule="atLeast"/>
          <w:jc w:val="center"/>
        </w:trPr>
        <w:tc>
          <w:tcPr>
            <w:tcW w:w="466" w:type="dxa"/>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bottom w:val="single" w:color="auto" w:sz="4" w:space="0"/>
              <w:right w:val="single" w:color="auto" w:sz="4" w:space="0"/>
            </w:tcBorders>
            <w:noWrap w:val="0"/>
            <w:vAlign w:val="center"/>
          </w:tcPr>
          <w:p>
            <w:pPr>
              <w:spacing w:line="240" w:lineRule="auto"/>
              <w:jc w:val="left"/>
              <w:rPr>
                <w:rFonts w:hint="eastAsia" w:ascii="宋体" w:hAnsi="宋体" w:eastAsia="宋体" w:cs="宋体"/>
                <w:color w:val="000000"/>
                <w:kern w:val="0"/>
                <w:sz w:val="21"/>
                <w:szCs w:val="21"/>
              </w:rPr>
            </w:pPr>
          </w:p>
        </w:tc>
        <w:tc>
          <w:tcPr>
            <w:tcW w:w="744" w:type="dxa"/>
            <w:gridSpan w:val="2"/>
            <w:vMerge w:val="continue"/>
            <w:tcBorders>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52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w:t>
            </w:r>
          </w:p>
        </w:tc>
        <w:tc>
          <w:tcPr>
            <w:tcW w:w="800"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计量维护与校验</w:t>
            </w:r>
          </w:p>
        </w:tc>
        <w:tc>
          <w:tcPr>
            <w:tcW w:w="7675" w:type="dxa"/>
            <w:gridSpan w:val="3"/>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1、有称重计量系统运行维护制度且正常开展维护的，得分。有维护制度但没有维护的，扣分; 没有维护制度的，扣分。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2、每年对称重计量系统进行一次校验并提供相应检测报告</w:t>
            </w:r>
            <w:r>
              <w:rPr>
                <w:rFonts w:hint="eastAsia" w:ascii="宋体" w:hAnsi="宋体" w:eastAsia="宋体" w:cs="宋体"/>
                <w:sz w:val="21"/>
                <w:szCs w:val="21"/>
              </w:rPr>
              <w:t>或合格证</w:t>
            </w:r>
            <w:r>
              <w:rPr>
                <w:rFonts w:hint="eastAsia" w:ascii="宋体" w:hAnsi="宋体" w:eastAsia="宋体" w:cs="宋体"/>
                <w:color w:val="000000"/>
                <w:kern w:val="0"/>
                <w:sz w:val="21"/>
                <w:szCs w:val="21"/>
              </w:rPr>
              <w:t>的，得分。未进行校验的，扣分。</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场检查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w:t>
            </w:r>
          </w:p>
        </w:tc>
        <w:tc>
          <w:tcPr>
            <w:tcW w:w="75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21"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72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726" w:hRule="atLeast"/>
          <w:jc w:val="center"/>
        </w:trPr>
        <w:tc>
          <w:tcPr>
            <w:tcW w:w="5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735"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总分</w:t>
            </w:r>
          </w:p>
        </w:tc>
        <w:tc>
          <w:tcPr>
            <w:tcW w:w="664"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分值</w:t>
            </w:r>
          </w:p>
        </w:tc>
        <w:tc>
          <w:tcPr>
            <w:tcW w:w="735"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考核内容</w:t>
            </w:r>
          </w:p>
        </w:tc>
        <w:tc>
          <w:tcPr>
            <w:tcW w:w="7404"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评分标准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考核说明</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考核记录</w:t>
            </w: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分项 得分</w:t>
            </w:r>
          </w:p>
        </w:tc>
        <w:tc>
          <w:tcPr>
            <w:tcW w:w="69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  得分</w:t>
            </w:r>
          </w:p>
        </w:tc>
      </w:tr>
      <w:tr>
        <w:tblPrEx>
          <w:tblCellMar>
            <w:top w:w="0" w:type="dxa"/>
            <w:left w:w="108" w:type="dxa"/>
            <w:bottom w:w="0" w:type="dxa"/>
            <w:right w:w="108" w:type="dxa"/>
          </w:tblCellMar>
        </w:tblPrEx>
        <w:trPr>
          <w:cantSplit/>
          <w:trHeight w:val="731" w:hRule="atLeast"/>
          <w:jc w:val="center"/>
        </w:trPr>
        <w:tc>
          <w:tcPr>
            <w:tcW w:w="509" w:type="dxa"/>
            <w:gridSpan w:val="2"/>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735" w:type="dxa"/>
            <w:gridSpan w:val="2"/>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工艺控制</w:t>
            </w:r>
          </w:p>
        </w:tc>
        <w:tc>
          <w:tcPr>
            <w:tcW w:w="735" w:type="dxa"/>
            <w:gridSpan w:val="2"/>
            <w:vMerge w:val="restart"/>
            <w:tcBorders>
              <w:top w:val="single" w:color="auto" w:sz="4" w:space="0"/>
              <w:left w:val="nil"/>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664" w:type="dxa"/>
            <w:gridSpan w:val="2"/>
            <w:tcBorders>
              <w:top w:val="single" w:color="auto" w:sz="4" w:space="0"/>
              <w:left w:val="nil"/>
              <w:bottom w:val="nil"/>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735" w:type="dxa"/>
            <w:gridSpan w:val="2"/>
            <w:tcBorders>
              <w:top w:val="single" w:color="auto" w:sz="4" w:space="0"/>
              <w:left w:val="nil"/>
              <w:bottom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防渗系统保护</w:t>
            </w:r>
          </w:p>
        </w:tc>
        <w:tc>
          <w:tcPr>
            <w:tcW w:w="7404" w:type="dxa"/>
            <w:tcBorders>
              <w:top w:val="single" w:color="auto" w:sz="4" w:space="0"/>
              <w:left w:val="nil"/>
              <w:bottom w:val="nil"/>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作业前，对库底和边坡防渗系统有相应保护措施的，得3分。没有相应措施的，扣3分。</w:t>
            </w:r>
          </w:p>
        </w:tc>
        <w:tc>
          <w:tcPr>
            <w:tcW w:w="1311" w:type="dxa"/>
            <w:gridSpan w:val="3"/>
            <w:tcBorders>
              <w:top w:val="single" w:color="auto" w:sz="4" w:space="0"/>
              <w:left w:val="nil"/>
              <w:bottom w:val="nil"/>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27" w:type="dxa"/>
            <w:gridSpan w:val="2"/>
            <w:tcBorders>
              <w:top w:val="single" w:color="auto" w:sz="4" w:space="0"/>
              <w:left w:val="nil"/>
              <w:bottom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43" w:type="dxa"/>
            <w:gridSpan w:val="2"/>
            <w:tcBorders>
              <w:top w:val="single" w:color="auto" w:sz="4" w:space="0"/>
              <w:left w:val="nil"/>
              <w:bottom w:val="nil"/>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97"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cantSplit/>
          <w:trHeight w:val="1627" w:hRule="atLeast"/>
          <w:jc w:val="center"/>
        </w:trPr>
        <w:tc>
          <w:tcPr>
            <w:tcW w:w="509" w:type="dxa"/>
            <w:gridSpan w:val="2"/>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分区分单元填埋</w:t>
            </w:r>
          </w:p>
        </w:tc>
        <w:tc>
          <w:tcPr>
            <w:tcW w:w="740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1、有年度填埋作业计划的，得1分。没有的，扣1分。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2、按填埋废物种类实行分区填埋的，得1分。未分区的，扣1分。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3、有分单元填埋作业计划并执行的，得2分。有分单元填埋作业计划但未按计划执行的，扣1分；没有分单元填埋作业计划的，扣2分。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4、预留雨季填埋作业区或有雨季作业措施的，得1分。未预留雨季填埋作业区或没有雨季作业措施的，扣1分。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697"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840" w:hRule="atLeast"/>
          <w:jc w:val="center"/>
        </w:trPr>
        <w:tc>
          <w:tcPr>
            <w:tcW w:w="509" w:type="dxa"/>
            <w:gridSpan w:val="2"/>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垃圾摊铺压实</w:t>
            </w:r>
          </w:p>
        </w:tc>
        <w:tc>
          <w:tcPr>
            <w:tcW w:w="740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1、按规范要求进行垃圾摊铺作业的，得2分。没有按规范要求进行的，扣2分。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2、采用专用压实机进行分层压实的（无专用压实机但用推土机替代完成压实作业的），得2分。没有分层压实的，扣2分。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697"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877" w:hRule="atLeast"/>
          <w:jc w:val="center"/>
        </w:trPr>
        <w:tc>
          <w:tcPr>
            <w:tcW w:w="509" w:type="dxa"/>
            <w:gridSpan w:val="2"/>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垃圾堆体</w:t>
            </w:r>
          </w:p>
        </w:tc>
        <w:tc>
          <w:tcPr>
            <w:tcW w:w="740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1、垃圾堆体成型，结构稳定的，得2分。未达到要求的，扣2分。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2、垃圾堆体顶平面坡度不小于2%，边坡坡比不大于1：3的，得3分。未达到要求的，扣3分。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697"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1071" w:hRule="atLeast"/>
          <w:jc w:val="center"/>
        </w:trPr>
        <w:tc>
          <w:tcPr>
            <w:tcW w:w="509" w:type="dxa"/>
            <w:gridSpan w:val="2"/>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场区消杀除臭</w:t>
            </w:r>
          </w:p>
        </w:tc>
        <w:tc>
          <w:tcPr>
            <w:tcW w:w="740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1、有消杀措施且效果良好的，得1分。有消杀措施但效果不好的，扣分；没有消杀措施的，扣1分。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2、有除臭措施且效果良好的，得1分。有除臭措施但效果不好的，扣分；没有除臭措施的，扣1分。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697"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1211" w:hRule="atLeast"/>
          <w:jc w:val="center"/>
        </w:trPr>
        <w:tc>
          <w:tcPr>
            <w:tcW w:w="509"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gridSpan w:val="2"/>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735" w:type="dxa"/>
            <w:gridSpan w:val="2"/>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飘场物控制</w:t>
            </w:r>
          </w:p>
        </w:tc>
        <w:tc>
          <w:tcPr>
            <w:tcW w:w="740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1、设置有固定式防飞散设施的，得1分。没有的，扣1分。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2、设置有移动式防飞散设施的，得1分。没有的，扣1分。</w:t>
            </w:r>
          </w:p>
          <w:p>
            <w:pPr>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3、作业现场无明显飘扬物的，得1分。飘扬物清理不及时的，扣1分。</w:t>
            </w:r>
          </w:p>
        </w:tc>
        <w:tc>
          <w:tcPr>
            <w:tcW w:w="1311"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tc>
        <w:tc>
          <w:tcPr>
            <w:tcW w:w="72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43"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p>
        </w:tc>
        <w:tc>
          <w:tcPr>
            <w:tcW w:w="697"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bl>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widowControl/>
        <w:spacing w:line="240" w:lineRule="auto"/>
        <w:jc w:val="center"/>
        <w:rPr>
          <w:rFonts w:hint="eastAsia" w:ascii="宋体" w:hAnsi="宋体" w:eastAsia="宋体" w:cs="宋体"/>
          <w:b/>
          <w:color w:val="000000"/>
          <w:kern w:val="0"/>
          <w:sz w:val="24"/>
          <w:szCs w:val="24"/>
        </w:rPr>
      </w:pPr>
    </w:p>
    <w:tbl>
      <w:tblPr>
        <w:tblStyle w:val="20"/>
        <w:tblW w:w="14260" w:type="dxa"/>
        <w:jc w:val="center"/>
        <w:tblLayout w:type="fixed"/>
        <w:tblCellMar>
          <w:top w:w="0" w:type="dxa"/>
          <w:left w:w="108" w:type="dxa"/>
          <w:bottom w:w="0" w:type="dxa"/>
          <w:right w:w="108" w:type="dxa"/>
        </w:tblCellMar>
      </w:tblPr>
      <w:tblGrid>
        <w:gridCol w:w="509"/>
        <w:gridCol w:w="735"/>
        <w:gridCol w:w="735"/>
        <w:gridCol w:w="664"/>
        <w:gridCol w:w="735"/>
        <w:gridCol w:w="7929"/>
        <w:gridCol w:w="786"/>
        <w:gridCol w:w="685"/>
        <w:gridCol w:w="785"/>
        <w:gridCol w:w="697"/>
      </w:tblGrid>
      <w:tr>
        <w:tblPrEx>
          <w:tblCellMar>
            <w:top w:w="0" w:type="dxa"/>
            <w:left w:w="108" w:type="dxa"/>
            <w:bottom w:w="0" w:type="dxa"/>
            <w:right w:w="108" w:type="dxa"/>
          </w:tblCellMar>
        </w:tblPrEx>
        <w:trPr>
          <w:cantSplit/>
          <w:trHeight w:val="55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总分</w:t>
            </w: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分值</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考核内容</w:t>
            </w:r>
          </w:p>
        </w:tc>
        <w:tc>
          <w:tcPr>
            <w:tcW w:w="7929"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786"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考核说明</w:t>
            </w:r>
          </w:p>
        </w:tc>
        <w:tc>
          <w:tcPr>
            <w:tcW w:w="68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考核记录</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分项 得分</w:t>
            </w:r>
          </w:p>
        </w:tc>
        <w:tc>
          <w:tcPr>
            <w:tcW w:w="697"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  得分</w:t>
            </w:r>
          </w:p>
        </w:tc>
      </w:tr>
      <w:tr>
        <w:tblPrEx>
          <w:tblCellMar>
            <w:top w:w="0" w:type="dxa"/>
            <w:left w:w="108" w:type="dxa"/>
            <w:bottom w:w="0" w:type="dxa"/>
            <w:right w:w="108" w:type="dxa"/>
          </w:tblCellMar>
        </w:tblPrEx>
        <w:trPr>
          <w:cantSplit/>
          <w:trHeight w:val="995" w:hRule="atLeast"/>
          <w:jc w:val="center"/>
        </w:trPr>
        <w:tc>
          <w:tcPr>
            <w:tcW w:w="509"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工艺控制</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堆体覆盖</w:t>
            </w:r>
          </w:p>
        </w:tc>
        <w:tc>
          <w:tcPr>
            <w:tcW w:w="7929"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1、每日覆盖措施有效、可行的，得1分。不可行的，扣1分。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2、中间覆盖效果明显，覆盖后雨水能及时导排出库区和垃圾堆体表面的，得1分。效果不明显的，扣1分。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3、垃圾作业面控制得当，暴露面积小的，得1分。垃圾暴露面大的，扣1分。</w:t>
            </w:r>
          </w:p>
        </w:tc>
        <w:tc>
          <w:tcPr>
            <w:tcW w:w="786"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tc>
        <w:tc>
          <w:tcPr>
            <w:tcW w:w="6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97"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1098" w:hRule="atLeast"/>
          <w:jc w:val="center"/>
        </w:trPr>
        <w:tc>
          <w:tcPr>
            <w:tcW w:w="509"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雨污分流</w:t>
            </w:r>
          </w:p>
        </w:tc>
        <w:tc>
          <w:tcPr>
            <w:tcW w:w="7929"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1、作业库区外围雨污分流设施完好、有效的，得2分。设施破损、未及时修复的，扣2分。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2、已填埋区域与未填埋区域区分明显，清污分开的，得2分。作业区未分区的，扣2分。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3、已填埋区域雨污分流措施得当，能最大限度减少渗滤液产生量的，得6分。雨污分流措施不得当，造成渗滤液产生量大的，酌情扣分，扣完为止。</w:t>
            </w:r>
          </w:p>
        </w:tc>
        <w:tc>
          <w:tcPr>
            <w:tcW w:w="786"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tc>
        <w:tc>
          <w:tcPr>
            <w:tcW w:w="6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97"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921" w:hRule="atLeast"/>
          <w:jc w:val="center"/>
        </w:trPr>
        <w:tc>
          <w:tcPr>
            <w:tcW w:w="509"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填埋气体收集及处理</w:t>
            </w:r>
          </w:p>
        </w:tc>
        <w:tc>
          <w:tcPr>
            <w:tcW w:w="7929"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1、按规范要求设置有填埋气体导气石笼的，得2分。未设置的，扣2分。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2、设置有填埋气体导排和收集管道并进行利用或火炬燃烧的，得2分。未进行利用或火炬燃烧的，扣2分。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3、填埋气体处理系统运行记录完善、规范的，得1分。运行记录不完善、不规范的，扣1分。</w:t>
            </w:r>
          </w:p>
        </w:tc>
        <w:tc>
          <w:tcPr>
            <w:tcW w:w="786"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现场检查查看资料</w:t>
            </w:r>
          </w:p>
        </w:tc>
        <w:tc>
          <w:tcPr>
            <w:tcW w:w="6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97"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2872" w:hRule="atLeast"/>
          <w:jc w:val="center"/>
        </w:trPr>
        <w:tc>
          <w:tcPr>
            <w:tcW w:w="509" w:type="dxa"/>
            <w:vMerge w:val="continue"/>
            <w:tcBorders>
              <w:left w:val="single" w:color="auto" w:sz="4" w:space="0"/>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vMerge w:val="continue"/>
            <w:tcBorders>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vMerge w:val="continue"/>
            <w:tcBorders>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64"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渗滤液收集及处理</w:t>
            </w:r>
          </w:p>
        </w:tc>
        <w:tc>
          <w:tcPr>
            <w:tcW w:w="7929"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1、建有完善的渗滤液收集系统且导排畅通的，得1分。收集系统不完善、不畅通的，扣1分。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2、渗滤液能及时导排出库区，作业区无囤积的，得2分。作业区有渗滤液囤积的，扣2分。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3、渗滤液处理设施规模得当的，得5分。设施规模偏小，造成处理现场渗滤液囤积的，扣5分。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4、渗滤液处理设施运行正常的，得5分。运行不正常，处理量大于70%小于100%设计规模的，酌情扣分；处理量小于70%设计规模的，扣5分。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5、渗滤液处理后出水水质达到环评要求且去向符合规定的，得5分。处理后出水水质不达标次数小于20%的，扣2分；不达标次数大于20%的，扣4分；长期超标的，扣5分。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6、渗滤液处理后污泥、浓缩液等去向合理，措施得当的，得1分。去向不合理，措施不当的，扣1分。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7、渗滤液处理运行记录完整、规范的，得1分。记录不完整、不规范的，扣1分。</w:t>
            </w:r>
          </w:p>
        </w:tc>
        <w:tc>
          <w:tcPr>
            <w:tcW w:w="786"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现场检查查看资料</w:t>
            </w:r>
          </w:p>
        </w:tc>
        <w:tc>
          <w:tcPr>
            <w:tcW w:w="6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97"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bl>
    <w:p>
      <w:pPr>
        <w:widowControl/>
        <w:tabs>
          <w:tab w:val="left" w:pos="601"/>
        </w:tabs>
        <w:spacing w:line="240" w:lineRule="auto"/>
        <w:ind w:left="0" w:leftChars="0" w:firstLine="0" w:firstLineChars="0"/>
        <w:jc w:val="left"/>
        <w:rPr>
          <w:rFonts w:hint="eastAsia" w:ascii="宋体" w:hAnsi="宋体" w:eastAsia="宋体" w:cs="宋体"/>
          <w:color w:val="000000"/>
          <w:kern w:val="0"/>
          <w:sz w:val="24"/>
          <w:szCs w:val="24"/>
        </w:rPr>
        <w:sectPr>
          <w:pgSz w:w="16838" w:h="11906" w:orient="landscape"/>
          <w:pgMar w:top="1797" w:right="1440" w:bottom="1797" w:left="1440" w:header="851" w:footer="992" w:gutter="0"/>
          <w:pgNumType w:fmt="decimal"/>
          <w:cols w:space="425" w:num="1"/>
          <w:docGrid w:linePitch="312" w:charSpace="0"/>
        </w:sectPr>
      </w:pPr>
    </w:p>
    <w:tbl>
      <w:tblPr>
        <w:tblStyle w:val="20"/>
        <w:tblW w:w="14488" w:type="dxa"/>
        <w:jc w:val="center"/>
        <w:tblLayout w:type="fixed"/>
        <w:tblCellMar>
          <w:top w:w="0" w:type="dxa"/>
          <w:left w:w="108" w:type="dxa"/>
          <w:bottom w:w="0" w:type="dxa"/>
          <w:right w:w="108" w:type="dxa"/>
        </w:tblCellMar>
      </w:tblPr>
      <w:tblGrid>
        <w:gridCol w:w="466"/>
        <w:gridCol w:w="735"/>
        <w:gridCol w:w="664"/>
        <w:gridCol w:w="701"/>
        <w:gridCol w:w="840"/>
        <w:gridCol w:w="7646"/>
        <w:gridCol w:w="1273"/>
        <w:gridCol w:w="735"/>
        <w:gridCol w:w="735"/>
        <w:gridCol w:w="693"/>
      </w:tblGrid>
      <w:tr>
        <w:tblPrEx>
          <w:tblCellMar>
            <w:top w:w="0" w:type="dxa"/>
            <w:left w:w="108" w:type="dxa"/>
            <w:bottom w:w="0" w:type="dxa"/>
            <w:right w:w="108" w:type="dxa"/>
          </w:tblCellMar>
        </w:tblPrEx>
        <w:trPr>
          <w:trHeight w:val="726"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总分</w:t>
            </w:r>
          </w:p>
        </w:tc>
        <w:tc>
          <w:tcPr>
            <w:tcW w:w="701"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84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考核内容</w:t>
            </w:r>
          </w:p>
        </w:tc>
        <w:tc>
          <w:tcPr>
            <w:tcW w:w="7646"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评分标准</w:t>
            </w:r>
          </w:p>
        </w:tc>
        <w:tc>
          <w:tcPr>
            <w:tcW w:w="1273"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考核说明</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记录</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分项</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c>
          <w:tcPr>
            <w:tcW w:w="693"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  得分</w:t>
            </w:r>
          </w:p>
        </w:tc>
      </w:tr>
      <w:tr>
        <w:tblPrEx>
          <w:tblCellMar>
            <w:top w:w="0" w:type="dxa"/>
            <w:left w:w="108" w:type="dxa"/>
            <w:bottom w:w="0" w:type="dxa"/>
            <w:right w:w="108" w:type="dxa"/>
          </w:tblCellMar>
        </w:tblPrEx>
        <w:trPr>
          <w:cantSplit/>
          <w:trHeight w:val="659" w:hRule="atLeast"/>
          <w:jc w:val="center"/>
        </w:trPr>
        <w:tc>
          <w:tcPr>
            <w:tcW w:w="4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w:t>
            </w:r>
          </w:p>
        </w:tc>
        <w:tc>
          <w:tcPr>
            <w:tcW w:w="735" w:type="dxa"/>
            <w:vMerge w:val="restart"/>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污染控制</w:t>
            </w:r>
          </w:p>
        </w:tc>
        <w:tc>
          <w:tcPr>
            <w:tcW w:w="664" w:type="dxa"/>
            <w:vMerge w:val="restart"/>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环境及污染物监测</w:t>
            </w:r>
          </w:p>
        </w:tc>
        <w:tc>
          <w:tcPr>
            <w:tcW w:w="7646"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1、配备有进行常规污染物检测的化验设备，化验人员操作熟练，开展自测，数据可信的，得1分。配备化验设备，自测项目较少，数据可信度差的，扣分。未配备化验设备和人员的，扣1分。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规定频次与检测内容委托环境监测部门对渗滤液水质、渗滤液处理后出水水质、填埋气体、地下水、地表水、大气、噪声等污染物进行监测且出具报告的，得6分。委托内容不完整的，每少一大类，扣1分。监测频次符合要求，主要检测内容已包括但未全部监测的，每缺一项，扣分。未开展相应监测的，扣6分。</w:t>
            </w:r>
          </w:p>
        </w:tc>
        <w:tc>
          <w:tcPr>
            <w:tcW w:w="1273"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93" w:type="dxa"/>
            <w:vMerge w:val="restart"/>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cantSplit/>
          <w:trHeight w:val="750" w:hRule="atLeast"/>
          <w:jc w:val="center"/>
        </w:trPr>
        <w:tc>
          <w:tcPr>
            <w:tcW w:w="4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vMerge w:val="continue"/>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64" w:type="dxa"/>
            <w:vMerge w:val="continue"/>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环境影响</w:t>
            </w:r>
          </w:p>
        </w:tc>
        <w:tc>
          <w:tcPr>
            <w:tcW w:w="7646"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渗滤液处理后出水水质、地下水、地表水、大气、噪声等污染物经自测和权威部门监测后均达标的，得5分。排放指标监测数据达标率大于50%小于100%，扣分；排放指标监测数据达标率小于50%，扣5分。</w:t>
            </w:r>
          </w:p>
        </w:tc>
        <w:tc>
          <w:tcPr>
            <w:tcW w:w="1273"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93" w:type="dxa"/>
            <w:vMerge w:val="continue"/>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bl>
    <w:p/>
    <w:p>
      <w:pPr>
        <w:pStyle w:val="2"/>
      </w:pPr>
    </w:p>
    <w:p/>
    <w:p>
      <w:pPr>
        <w:pStyle w:val="2"/>
      </w:pPr>
    </w:p>
    <w:p/>
    <w:p>
      <w:pPr>
        <w:pStyle w:val="2"/>
      </w:pPr>
    </w:p>
    <w:p/>
    <w:p>
      <w:pPr>
        <w:pStyle w:val="2"/>
      </w:pPr>
    </w:p>
    <w:p/>
    <w:p>
      <w:pPr>
        <w:pStyle w:val="2"/>
      </w:pPr>
    </w:p>
    <w:tbl>
      <w:tblPr>
        <w:tblStyle w:val="20"/>
        <w:tblW w:w="14633" w:type="dxa"/>
        <w:jc w:val="center"/>
        <w:tblLayout w:type="fixed"/>
        <w:tblCellMar>
          <w:top w:w="0" w:type="dxa"/>
          <w:left w:w="108" w:type="dxa"/>
          <w:bottom w:w="0" w:type="dxa"/>
          <w:right w:w="108" w:type="dxa"/>
        </w:tblCellMar>
      </w:tblPr>
      <w:tblGrid>
        <w:gridCol w:w="466"/>
        <w:gridCol w:w="735"/>
        <w:gridCol w:w="664"/>
        <w:gridCol w:w="701"/>
        <w:gridCol w:w="840"/>
        <w:gridCol w:w="7718"/>
        <w:gridCol w:w="1260"/>
        <w:gridCol w:w="785"/>
        <w:gridCol w:w="735"/>
        <w:gridCol w:w="729"/>
      </w:tblGrid>
      <w:tr>
        <w:tblPrEx>
          <w:tblCellMar>
            <w:top w:w="0" w:type="dxa"/>
            <w:left w:w="108" w:type="dxa"/>
            <w:bottom w:w="0" w:type="dxa"/>
            <w:right w:w="108" w:type="dxa"/>
          </w:tblCellMar>
        </w:tblPrEx>
        <w:trPr>
          <w:trHeight w:val="726"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66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总分</w:t>
            </w:r>
          </w:p>
        </w:tc>
        <w:tc>
          <w:tcPr>
            <w:tcW w:w="701"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84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考核内容</w:t>
            </w:r>
          </w:p>
        </w:tc>
        <w:tc>
          <w:tcPr>
            <w:tcW w:w="7718"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评分标准</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考核说明</w:t>
            </w:r>
          </w:p>
        </w:tc>
        <w:tc>
          <w:tcPr>
            <w:tcW w:w="78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考核记录</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分项</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c>
          <w:tcPr>
            <w:tcW w:w="729"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r>
      <w:tr>
        <w:tblPrEx>
          <w:tblCellMar>
            <w:top w:w="0" w:type="dxa"/>
            <w:left w:w="108" w:type="dxa"/>
            <w:bottom w:w="0" w:type="dxa"/>
            <w:right w:w="108" w:type="dxa"/>
          </w:tblCellMar>
        </w:tblPrEx>
        <w:trPr>
          <w:cantSplit/>
          <w:trHeight w:val="659"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内部管理</w:t>
            </w:r>
          </w:p>
        </w:tc>
        <w:tc>
          <w:tcPr>
            <w:tcW w:w="664" w:type="dxa"/>
            <w:vMerge w:val="restart"/>
            <w:tcBorders>
              <w:top w:val="single" w:color="auto" w:sz="4" w:space="0"/>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制度建设</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1、规章制度、岗位职责、操作规程健全，得1分。每缺一项扣分。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2、运行作业手册及设备操作维护保养手册规范，得分。每缺一项扣分。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3、场内标志标识齐全、完整，得分。每缺一项扣分。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4、工艺运行和设施维护正常，得1分。每缺一项扣分。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5、有完善的内部运行考核制度并认真实施的，得分。如缺，扣分。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9" w:type="dxa"/>
            <w:vMerge w:val="restart"/>
            <w:tcBorders>
              <w:top w:val="single" w:color="auto" w:sz="4" w:space="0"/>
              <w:left w:val="nil"/>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cantSplit/>
          <w:trHeight w:val="750"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64"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安全管理</w:t>
            </w:r>
          </w:p>
        </w:tc>
        <w:tc>
          <w:tcPr>
            <w:tcW w:w="7718"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1、安全设施、设备配合齐全的，得分。每缺一项扣分。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2、安全制度落实到位，各岗位操作人员经培训合格后上岗的，得分。每缺一项扣分。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3、严格执行安全操作规程操作，未发生安全责任事故的，得分。每发生一起扣分。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4、场内无拾拣人员，得分。如有，扣分。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5、生产作业区严禁明火和吸烟，有动火措施的，得分。如发现有明火和吸烟或没有动火措施的，扣分。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6、场区交通标志清楚、规范，场区内车速不宜大于20km/h，填埋区设置现场指挥人员，得分。每缺一项扣分。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7、有应急预案且措施到位的，得1分。如有，扣1分。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9"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330"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设备管理</w:t>
            </w:r>
          </w:p>
        </w:tc>
        <w:tc>
          <w:tcPr>
            <w:tcW w:w="7718"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1、按照设备操作手册的要求，使用和管理好作业机械设备的，得1分。使用和管理不到位的，扣1分。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2、设备完好率高，维修保养及时的，得1分。设备完好率差，维修保养不及时的，扣1分。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465" w:hRule="atLeast"/>
          <w:jc w:val="center"/>
        </w:trPr>
        <w:tc>
          <w:tcPr>
            <w:tcW w:w="466" w:type="dxa"/>
            <w:vMerge w:val="continue"/>
            <w:tcBorders>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资料管理</w:t>
            </w:r>
          </w:p>
        </w:tc>
        <w:tc>
          <w:tcPr>
            <w:tcW w:w="7718" w:type="dxa"/>
            <w:tcBorders>
              <w:top w:val="single" w:color="auto" w:sz="4" w:space="0"/>
              <w:left w:val="nil"/>
              <w:bottom w:val="single" w:color="auto" w:sz="4" w:space="0"/>
              <w:right w:val="single" w:color="auto" w:sz="4" w:space="0"/>
            </w:tcBorders>
            <w:noWrap w:val="0"/>
            <w:vAlign w:val="top"/>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1、填埋场运行台帐资料分类清晰、内容完整、记录准确、真实可信的，得1分。每有一项不符合要求的，扣分。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2、配备有专（兼）职档案管理人员，有专用档案管理室的，得分。无专（兼）职档案管理人员的扣分；无专用档案管理室的，扣分。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3、运行台帐资料装订规范，记录完整、连续，保管得当的，得分。装订不规范的，扣分；记录不完整、不连续的，扣分；保管不当的，扣分。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29"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bl>
    <w:p/>
    <w:p>
      <w:pPr>
        <w:pStyle w:val="2"/>
      </w:pPr>
    </w:p>
    <w:tbl>
      <w:tblPr>
        <w:tblStyle w:val="20"/>
        <w:tblW w:w="14633" w:type="dxa"/>
        <w:jc w:val="center"/>
        <w:tblLayout w:type="fixed"/>
        <w:tblCellMar>
          <w:top w:w="0" w:type="dxa"/>
          <w:left w:w="108" w:type="dxa"/>
          <w:bottom w:w="0" w:type="dxa"/>
          <w:right w:w="108" w:type="dxa"/>
        </w:tblCellMar>
      </w:tblPr>
      <w:tblGrid>
        <w:gridCol w:w="466"/>
        <w:gridCol w:w="735"/>
        <w:gridCol w:w="664"/>
        <w:gridCol w:w="701"/>
        <w:gridCol w:w="840"/>
        <w:gridCol w:w="7718"/>
        <w:gridCol w:w="1260"/>
        <w:gridCol w:w="785"/>
        <w:gridCol w:w="735"/>
        <w:gridCol w:w="729"/>
      </w:tblGrid>
      <w:tr>
        <w:tblPrEx>
          <w:tblCellMar>
            <w:top w:w="0" w:type="dxa"/>
            <w:left w:w="108" w:type="dxa"/>
            <w:bottom w:w="0" w:type="dxa"/>
            <w:right w:w="108" w:type="dxa"/>
          </w:tblCellMar>
        </w:tblPrEx>
        <w:trPr>
          <w:cantSplit/>
          <w:trHeight w:val="450"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664"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总分</w:t>
            </w:r>
          </w:p>
        </w:tc>
        <w:tc>
          <w:tcPr>
            <w:tcW w:w="701"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84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考核内容</w:t>
            </w:r>
          </w:p>
        </w:tc>
        <w:tc>
          <w:tcPr>
            <w:tcW w:w="7718"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评分标准</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考核说明</w:t>
            </w:r>
          </w:p>
        </w:tc>
        <w:tc>
          <w:tcPr>
            <w:tcW w:w="78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考核记录</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分项</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r>
      <w:tr>
        <w:tblPrEx>
          <w:tblCellMar>
            <w:top w:w="0" w:type="dxa"/>
            <w:left w:w="108" w:type="dxa"/>
            <w:bottom w:w="0" w:type="dxa"/>
            <w:right w:w="108" w:type="dxa"/>
          </w:tblCellMar>
        </w:tblPrEx>
        <w:trPr>
          <w:cantSplit/>
          <w:trHeight w:val="1094"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w:t>
            </w:r>
          </w:p>
        </w:tc>
        <w:tc>
          <w:tcPr>
            <w:tcW w:w="735" w:type="dxa"/>
            <w:vMerge w:val="restart"/>
            <w:tcBorders>
              <w:top w:val="single" w:color="auto" w:sz="4" w:space="0"/>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内部管理</w:t>
            </w:r>
          </w:p>
        </w:tc>
        <w:tc>
          <w:tcPr>
            <w:tcW w:w="664" w:type="dxa"/>
            <w:vMerge w:val="restart"/>
            <w:tcBorders>
              <w:top w:val="single" w:color="auto" w:sz="4" w:space="0"/>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经费管理</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1、运行经费有保障、拨付及时，能满足正常运行管理需要的，得2分。保障不到位的，扣1分；拨付不及时的，扣1分。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2、开支合理，帐目清晰规范的，得1 分。使用不合理的，扣分；帐目混乱的，扣分。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restart"/>
            <w:tcBorders>
              <w:top w:val="single" w:color="auto" w:sz="4" w:space="0"/>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1828"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64" w:type="dxa"/>
            <w:vMerge w:val="continue"/>
            <w:tcBorders>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场容场貌</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1、建筑物外观整洁、无明显的破损、渗漏、污染；场内道路完好、通畅、无破损；所有车辆在固定场所停放有序；场内照明设施完好； 场内绿化、景观良好，且绿地植被无死亡缺损现象，得1分。每发生一处不符合要求的，扣分。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办公室、现场管理用房、渗滤液处理车间内物品摆放整齐，卫生整洁，无烟头污渍等，照明齐全有效；门、窗、玻璃明亮无破损，墙壁整洁；办公桌椅、操作工具摆放整齐；卫生间设施齐全、无破损、无异味；操作人员着装整齐、干净、文明礼貌，得1分。每发生一处不符合要求的，扣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617" w:hRule="atLeast"/>
          <w:jc w:val="center"/>
        </w:trPr>
        <w:tc>
          <w:tcPr>
            <w:tcW w:w="466" w:type="dxa"/>
            <w:vMerge w:val="continue"/>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文化建设</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有良好的企业文化氛围，职工工余生活丰富，单位内部和谐，得1分。否则不得分。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2260" w:hRule="atLeast"/>
          <w:jc w:val="center"/>
        </w:trPr>
        <w:tc>
          <w:tcPr>
            <w:tcW w:w="466" w:type="dxa"/>
            <w:vMerge w:val="continue"/>
            <w:tcBorders>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664"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信息化建设</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1、有很好的信息化建设平台，能较好地通过对内对外信息平台为运行管理服务的,得分。否则不得分。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2、每月及时上报建设部“全国生活垃圾处理管理信息系统”有关运营信息，数据真实可靠的，得分。否则不得分。</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continue"/>
            <w:tcBorders>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bl>
    <w:p/>
    <w:p>
      <w:pPr>
        <w:pStyle w:val="2"/>
      </w:pPr>
    </w:p>
    <w:p/>
    <w:p>
      <w:pPr>
        <w:pStyle w:val="2"/>
      </w:pPr>
    </w:p>
    <w:tbl>
      <w:tblPr>
        <w:tblStyle w:val="20"/>
        <w:tblW w:w="14633" w:type="dxa"/>
        <w:jc w:val="center"/>
        <w:tblLayout w:type="fixed"/>
        <w:tblCellMar>
          <w:top w:w="0" w:type="dxa"/>
          <w:left w:w="108" w:type="dxa"/>
          <w:bottom w:w="0" w:type="dxa"/>
          <w:right w:w="108" w:type="dxa"/>
        </w:tblCellMar>
      </w:tblPr>
      <w:tblGrid>
        <w:gridCol w:w="466"/>
        <w:gridCol w:w="735"/>
        <w:gridCol w:w="664"/>
        <w:gridCol w:w="701"/>
        <w:gridCol w:w="840"/>
        <w:gridCol w:w="7718"/>
        <w:gridCol w:w="1260"/>
        <w:gridCol w:w="785"/>
        <w:gridCol w:w="735"/>
        <w:gridCol w:w="729"/>
      </w:tblGrid>
      <w:tr>
        <w:tblPrEx>
          <w:tblCellMar>
            <w:top w:w="0" w:type="dxa"/>
            <w:left w:w="108" w:type="dxa"/>
            <w:bottom w:w="0" w:type="dxa"/>
            <w:right w:w="108" w:type="dxa"/>
          </w:tblCellMar>
        </w:tblPrEx>
        <w:trPr>
          <w:cantSplit/>
          <w:trHeight w:val="450"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名称</w:t>
            </w:r>
          </w:p>
        </w:tc>
        <w:tc>
          <w:tcPr>
            <w:tcW w:w="664"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总分</w:t>
            </w:r>
          </w:p>
        </w:tc>
        <w:tc>
          <w:tcPr>
            <w:tcW w:w="701"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84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考核内容</w:t>
            </w:r>
          </w:p>
        </w:tc>
        <w:tc>
          <w:tcPr>
            <w:tcW w:w="7718"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评分标准</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考核说明</w:t>
            </w:r>
          </w:p>
        </w:tc>
        <w:tc>
          <w:tcPr>
            <w:tcW w:w="78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考核记录</w:t>
            </w: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分项</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c>
          <w:tcPr>
            <w:tcW w:w="729" w:type="dxa"/>
            <w:vMerge w:val="restart"/>
            <w:tcBorders>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项目</w:t>
            </w:r>
          </w:p>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得分</w:t>
            </w:r>
          </w:p>
        </w:tc>
      </w:tr>
      <w:tr>
        <w:tblPrEx>
          <w:tblCellMar>
            <w:top w:w="0" w:type="dxa"/>
            <w:left w:w="108" w:type="dxa"/>
            <w:bottom w:w="0" w:type="dxa"/>
            <w:right w:w="108" w:type="dxa"/>
          </w:tblCellMar>
        </w:tblPrEx>
        <w:trPr>
          <w:cantSplit/>
          <w:trHeight w:val="2839" w:hRule="atLeast"/>
          <w:jc w:val="center"/>
        </w:trPr>
        <w:tc>
          <w:tcPr>
            <w:tcW w:w="466"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w:t>
            </w:r>
          </w:p>
        </w:tc>
        <w:tc>
          <w:tcPr>
            <w:tcW w:w="735" w:type="dxa"/>
            <w:vMerge w:val="restart"/>
            <w:tcBorders>
              <w:top w:val="single" w:color="auto" w:sz="4" w:space="0"/>
              <w:left w:val="nil"/>
              <w:right w:val="single" w:color="auto" w:sz="4" w:space="0"/>
            </w:tcBorders>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运行监管</w:t>
            </w:r>
          </w:p>
        </w:tc>
        <w:tc>
          <w:tcPr>
            <w:tcW w:w="664" w:type="dxa"/>
            <w:vMerge w:val="restart"/>
            <w:tcBorders>
              <w:top w:val="single" w:color="auto" w:sz="4" w:space="0"/>
              <w:left w:val="nil"/>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监管体系建设</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1、上级主管部门或实行委托运行的填埋场的上级监管机构制定有相应的监管办法及措施的，得分。未制定有相应的监管办法及措施的，扣分。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2、现场有相应监管人员且认真履行职责的，得分。有相应监管人员但履行职责不力的，扣分。没有相应监管人员的，扣分。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3、建设有接入环保、环卫主管部门的在线监管系统并保持正常运行的，得1分。建有相应在线监管系统但运行不正常的，扣分。未建相应在线监管系统的，扣1分。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建有相应考核办法并开展量化考核的，得1分。没有相应考核办法的，扣1分。5、有委托第三方权威机构按规范要求进行环境监测、检验并出具相应合格报告的，得1分。监测频次不符合的，扣分；检测报告有不符合要求的，每发现一项扣分，扣完分为止。</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现场检查</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restart"/>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cantSplit/>
          <w:trHeight w:val="105" w:hRule="atLeast"/>
          <w:jc w:val="center"/>
        </w:trPr>
        <w:tc>
          <w:tcPr>
            <w:tcW w:w="466" w:type="dxa"/>
            <w:vMerge w:val="continue"/>
            <w:tcBorders>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vMerge w:val="continue"/>
            <w:tcBorders>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664" w:type="dxa"/>
            <w:vMerge w:val="continue"/>
            <w:tcBorders>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701"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84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公众参与</w:t>
            </w:r>
          </w:p>
        </w:tc>
        <w:tc>
          <w:tcPr>
            <w:tcW w:w="7718"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1、向公众开放，进行相应宣传，接待公众来访的，得分。未实施的，扣分。</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2、接受新闻媒体和舆论的监督，未发生有责投诉或曝光的，得分。每发现一次扣分，扣完为止。</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查看资料、</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查阅网站及媒体信息，征询当地环保部门意见</w:t>
            </w:r>
          </w:p>
        </w:tc>
        <w:tc>
          <w:tcPr>
            <w:tcW w:w="785"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c>
          <w:tcPr>
            <w:tcW w:w="73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kern w:val="0"/>
                <w:sz w:val="21"/>
                <w:szCs w:val="21"/>
              </w:rPr>
            </w:pPr>
          </w:p>
        </w:tc>
        <w:tc>
          <w:tcPr>
            <w:tcW w:w="729" w:type="dxa"/>
            <w:vMerge w:val="continue"/>
            <w:tcBorders>
              <w:left w:val="nil"/>
              <w:right w:val="single" w:color="auto" w:sz="4" w:space="0"/>
            </w:tcBorders>
            <w:noWrap w:val="0"/>
            <w:vAlign w:val="center"/>
          </w:tcPr>
          <w:p>
            <w:pPr>
              <w:widowControl/>
              <w:spacing w:line="240" w:lineRule="auto"/>
              <w:jc w:val="left"/>
              <w:rPr>
                <w:rFonts w:hint="eastAsia" w:ascii="宋体" w:hAnsi="宋体" w:eastAsia="宋体" w:cs="宋体"/>
                <w:color w:val="000000"/>
                <w:kern w:val="0"/>
                <w:sz w:val="21"/>
                <w:szCs w:val="21"/>
              </w:rPr>
            </w:pPr>
          </w:p>
        </w:tc>
      </w:tr>
    </w:tbl>
    <w:p>
      <w:pPr>
        <w:rPr>
          <w:rFonts w:hint="eastAsia" w:ascii="宋体" w:hAnsi="宋体" w:eastAsia="宋体"/>
          <w:sz w:val="21"/>
          <w:szCs w:val="21"/>
        </w:rPr>
      </w:pPr>
      <w:r>
        <w:rPr>
          <w:rFonts w:hint="eastAsia" w:ascii="思源宋体 CN" w:hAnsi="思源宋体 CN" w:eastAsia="思源宋体 CN" w:cs="思源宋体 CN"/>
          <w:sz w:val="21"/>
          <w:szCs w:val="21"/>
        </w:rPr>
        <w:t>注：1、考核周期：首次考核周期为上一年度，第二次及以上考核周期为前一次考核后的时间（取自然年度）；考核周期以后发生的安全、环境方面重大事项也纳入考核内容。</w:t>
      </w:r>
    </w:p>
    <w:p>
      <w:pPr>
        <w:ind w:firstLine="420"/>
        <w:rPr>
          <w:rFonts w:hint="eastAsia" w:ascii="宋体" w:hAnsi="宋体" w:eastAsia="宋体"/>
          <w:sz w:val="21"/>
          <w:szCs w:val="21"/>
        </w:rPr>
      </w:pPr>
      <w:r>
        <w:rPr>
          <w:rFonts w:hint="eastAsia" w:ascii="思源宋体 CN" w:hAnsi="思源宋体 CN" w:eastAsia="思源宋体 CN" w:cs="思源宋体 CN"/>
          <w:sz w:val="21"/>
          <w:szCs w:val="21"/>
        </w:rPr>
        <w:t>2、提供资料：首次考核为上一年度和本年度资料，之后为上次考核年度以来的全部资料。</w:t>
      </w:r>
    </w:p>
    <w:p>
      <w:pPr>
        <w:ind w:firstLine="420"/>
        <w:rPr>
          <w:rFonts w:hint="eastAsia" w:ascii="宋体" w:hAnsi="宋体" w:eastAsia="宋体"/>
          <w:sz w:val="21"/>
          <w:szCs w:val="21"/>
        </w:rPr>
      </w:pPr>
      <w:r>
        <w:rPr>
          <w:rFonts w:hint="eastAsia" w:ascii="思源宋体 CN" w:hAnsi="思源宋体 CN" w:eastAsia="思源宋体 CN" w:cs="思源宋体 CN"/>
          <w:sz w:val="21"/>
          <w:szCs w:val="21"/>
        </w:rPr>
        <w:t>3、每项考核内容得分最多保留两位小数，每项扣分最高值为该项分值。</w:t>
      </w:r>
    </w:p>
    <w:p>
      <w:pPr>
        <w:ind w:firstLine="420"/>
        <w:rPr>
          <w:rFonts w:hint="eastAsia" w:ascii="宋体" w:hAnsi="宋体" w:eastAsia="宋体"/>
          <w:sz w:val="21"/>
          <w:szCs w:val="21"/>
        </w:rPr>
      </w:pPr>
    </w:p>
    <w:p>
      <w:pPr>
        <w:ind w:firstLine="420"/>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r>
        <w:rPr>
          <w:rFonts w:hint="eastAsia" w:ascii="思源宋体 CN" w:hAnsi="思源宋体 CN" w:eastAsia="思源宋体 CN" w:cs="思源宋体 CN"/>
          <w:sz w:val="21"/>
          <w:szCs w:val="21"/>
        </w:rPr>
        <w:t>附录：1、生活垃圾卫生填埋场环境监测采样频次、方法及监测项目要求</w:t>
      </w:r>
    </w:p>
    <w:p>
      <w:pPr>
        <w:ind w:firstLine="630" w:firstLineChars="300"/>
        <w:rPr>
          <w:rFonts w:hint="eastAsia" w:ascii="宋体" w:hAnsi="宋体" w:eastAsia="宋体"/>
          <w:sz w:val="21"/>
          <w:szCs w:val="21"/>
        </w:rPr>
      </w:pPr>
      <w:r>
        <w:rPr>
          <w:rFonts w:hint="eastAsia" w:ascii="思源宋体 CN" w:hAnsi="思源宋体 CN" w:eastAsia="思源宋体 CN" w:cs="思源宋体 CN"/>
          <w:sz w:val="21"/>
          <w:szCs w:val="21"/>
        </w:rPr>
        <w:t>2、生活垃圾卫生填埋场环境监测项目分析方法</w:t>
      </w:r>
    </w:p>
    <w:p>
      <w:pPr>
        <w:rPr>
          <w:rFonts w:hint="eastAsia" w:ascii="宋体" w:hAnsi="宋体" w:eastAsia="宋体"/>
          <w:sz w:val="21"/>
          <w:szCs w:val="21"/>
        </w:rPr>
      </w:pPr>
    </w:p>
    <w:p>
      <w:pPr>
        <w:jc w:val="center"/>
        <w:rPr>
          <w:rFonts w:hint="eastAsia" w:ascii="宋体" w:hAnsi="宋体" w:eastAsia="宋体"/>
          <w:b/>
          <w:sz w:val="28"/>
          <w:szCs w:val="28"/>
        </w:rPr>
      </w:pPr>
      <w:r>
        <w:rPr>
          <w:rFonts w:hint="eastAsia" w:ascii="思源宋体 CN" w:hAnsi="思源宋体 CN" w:eastAsia="思源宋体 CN" w:cs="思源宋体 CN"/>
          <w:b/>
          <w:sz w:val="28"/>
          <w:szCs w:val="28"/>
        </w:rPr>
        <w:t>生活垃圾卫生填埋场环境监测采样频次、方法及监测项目要求</w:t>
      </w:r>
    </w:p>
    <w:p>
      <w:pPr>
        <w:jc w:val="center"/>
        <w:rPr>
          <w:rFonts w:hint="eastAsia" w:ascii="宋体" w:hAnsi="宋体" w:eastAsia="宋体"/>
          <w:sz w:val="21"/>
          <w:szCs w:val="21"/>
        </w:rPr>
      </w:pPr>
      <w:r>
        <w:rPr>
          <w:rFonts w:hint="eastAsia" w:ascii="思源宋体 CN" w:hAnsi="思源宋体 CN" w:eastAsia="思源宋体 CN" w:cs="思源宋体 CN"/>
          <w:sz w:val="21"/>
          <w:szCs w:val="21"/>
        </w:rPr>
        <w:t>（按GB/T18772-2017要求执行）</w:t>
      </w:r>
    </w:p>
    <w:tbl>
      <w:tblPr>
        <w:tblStyle w:val="20"/>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46"/>
        <w:gridCol w:w="1794"/>
        <w:gridCol w:w="2880"/>
        <w:gridCol w:w="2700"/>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1446"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类别</w:t>
            </w:r>
          </w:p>
        </w:tc>
        <w:tc>
          <w:tcPr>
            <w:tcW w:w="1794"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采样点的布设</w:t>
            </w:r>
          </w:p>
        </w:tc>
        <w:tc>
          <w:tcPr>
            <w:tcW w:w="288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采样频次</w:t>
            </w:r>
          </w:p>
        </w:tc>
        <w:tc>
          <w:tcPr>
            <w:tcW w:w="270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采样方法</w:t>
            </w:r>
          </w:p>
        </w:tc>
        <w:tc>
          <w:tcPr>
            <w:tcW w:w="4892"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大气污染物</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按GB16297-1996标准要求布设</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每年应监测4次，每季度1次</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按HJ/T194-2005执行</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臭气浓度、甲烷、总悬浮颗粒物、硫化氢、氨、甲硫醇、氮氧化合物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填埋气体</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气体收集导排系统的排气口</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每季度应至少监测1次，一年不少于6次，两次不能在同一个月进行</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按HJ/T194-2005执行</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甲烷、二氧化碳、氧气、硫化氢、氨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渗滤液</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渗处理设施入口和排放口</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每月应监测1次</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弃去前3次、用第4次样品。按HJ/T91-2002执行</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悬浮物、化学需氧量、五日生化需氧量、氨氮、大肠菌值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外排水</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废水外排口</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连续外排时每日应监测一次</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弃去前3次、用第4次样品。</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PH、悬浮物、化学需氧量、五日生化需氧量、氨氮、粪大肠菌群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地下水</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应布设5点： </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本底井一眼、 </w:t>
            </w: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污染扩散井二眼、污染监视井二眼</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每年按丰、平、枯水期各监测一次</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小水桶提取水样，严禁用泵抽吸水样，弃去前3次水样，用第4次样品，每个样品采集2000mL，</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pH、浊度、肉眼可见物、嗅味、色度、高锰酸盐指数、硫酸盐、溶解性总固体、氯化物、钙和镁总量、挥发酚、氨氮、硝酸盐氮、亚硝酸盐、总大肠菌群、细菌总数、铅、铬（六价）、镉、总汞、总砷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按GB12349-1990规定执行</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填埋物</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现场采样</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每季度应监测1次，每次连续3天</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立体对角线法在3个等距点采等量垃圾共20kg以上，最少采5车，总共100kg～200kg</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垃圾物理成分分析、含水率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446"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苍蝇密度</w:t>
            </w:r>
          </w:p>
        </w:tc>
        <w:tc>
          <w:tcPr>
            <w:tcW w:w="1794"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每隔30m～50m设一点，放置诱蝇笼</w:t>
            </w:r>
          </w:p>
        </w:tc>
        <w:tc>
          <w:tcPr>
            <w:tcW w:w="288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苍蝇活跃季节每月应监测2次</w:t>
            </w:r>
          </w:p>
        </w:tc>
        <w:tc>
          <w:tcPr>
            <w:tcW w:w="27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日出时放诱蝇笼，日落时收笼，用杀虫剂杀灭，一并计数。</w:t>
            </w:r>
          </w:p>
        </w:tc>
        <w:tc>
          <w:tcPr>
            <w:tcW w:w="4892"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每笼计数，单位：只/（笼•d)</w:t>
            </w:r>
          </w:p>
        </w:tc>
      </w:tr>
    </w:tbl>
    <w:p>
      <w:pPr>
        <w:rPr>
          <w:rFonts w:hint="eastAsia" w:ascii="宋体" w:hAnsi="宋体" w:eastAsia="宋体"/>
          <w:sz w:val="21"/>
          <w:szCs w:val="21"/>
        </w:rPr>
      </w:pPr>
    </w:p>
    <w:p>
      <w:pPr>
        <w:rPr>
          <w:rFonts w:hint="eastAsia" w:ascii="宋体" w:hAnsi="宋体" w:eastAsia="宋体"/>
          <w:sz w:val="21"/>
          <w:szCs w:val="21"/>
        </w:rPr>
      </w:pPr>
    </w:p>
    <w:p>
      <w:pPr>
        <w:jc w:val="center"/>
        <w:rPr>
          <w:rFonts w:hint="eastAsia" w:ascii="宋体" w:hAnsi="宋体" w:eastAsia="宋体"/>
          <w:b/>
          <w:sz w:val="28"/>
          <w:szCs w:val="28"/>
        </w:rPr>
      </w:pPr>
      <w:r>
        <w:rPr>
          <w:rFonts w:hint="eastAsia" w:ascii="思源宋体 CN" w:hAnsi="思源宋体 CN" w:eastAsia="思源宋体 CN" w:cs="思源宋体 CN"/>
          <w:b/>
          <w:sz w:val="28"/>
          <w:szCs w:val="28"/>
        </w:rPr>
        <w:t>生活垃圾卫生填埋场环境监测项目分析方法</w:t>
      </w:r>
    </w:p>
    <w:p>
      <w:pPr>
        <w:jc w:val="center"/>
        <w:rPr>
          <w:rFonts w:hint="eastAsia" w:ascii="宋体" w:hAnsi="宋体" w:eastAsia="宋体"/>
          <w:sz w:val="21"/>
          <w:szCs w:val="21"/>
        </w:rPr>
      </w:pPr>
      <w:r>
        <w:rPr>
          <w:rFonts w:hint="eastAsia" w:ascii="思源宋体 CN" w:hAnsi="思源宋体 CN" w:eastAsia="思源宋体 CN" w:cs="思源宋体 CN"/>
          <w:sz w:val="21"/>
          <w:szCs w:val="21"/>
        </w:rPr>
        <w:t>（按GB/T18772-2017要求执行）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30"/>
        <w:gridCol w:w="3600"/>
        <w:gridCol w:w="39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243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类别</w:t>
            </w:r>
          </w:p>
        </w:tc>
        <w:tc>
          <w:tcPr>
            <w:tcW w:w="360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监测项目</w:t>
            </w:r>
          </w:p>
        </w:tc>
        <w:tc>
          <w:tcPr>
            <w:tcW w:w="396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分析方法</w:t>
            </w:r>
          </w:p>
        </w:tc>
        <w:tc>
          <w:tcPr>
            <w:tcW w:w="3240" w:type="dxa"/>
            <w:shd w:val="clear" w:color="auto" w:fill="auto"/>
            <w:noWrap w:val="0"/>
            <w:vAlign w:val="center"/>
          </w:tcPr>
          <w:p>
            <w:pPr>
              <w:spacing w:line="240" w:lineRule="auto"/>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方法来源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43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大气污染物监测</w:t>
            </w: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臭气浓度</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三点比较式臭袋法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甲烷</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气相色谱分析法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总悬浮颗粒物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重量法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硫化氢</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氨</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次氯酸钠-水杨酸分光光度法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甲硫醇</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氮氧化合物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Saltzman法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GB/T15436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43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填埋气体</w:t>
            </w: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甲烷</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气相色谱分析法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二氧化碳</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气相色谱分析法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氧气</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气相色谱分析法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硫化氢</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气相色谱分析法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氨</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次氯酸钠-水杨酸分光光度法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GB/T146792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43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渗滤液</w:t>
            </w: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悬浮物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重量法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化学需氧量</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重铬酸盐法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五日生化需氧量</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稀释与接种法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氨氮</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纲氏试剂比色法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蒸馏和滴定法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大肠菌值</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多管发酵法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43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填埋场外排水</w:t>
            </w: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玻璃电极法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GB/T6920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悬浮物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重量法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化学需氧量</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重铬酸盐法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五日生化需氧量</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稀释与接种法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氨氮</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纲氏试剂比色法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蒸馏和滴定法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粪大肠菌群</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多管发酵法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43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地下水</w:t>
            </w: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玻璃电极法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GB/T6920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浊度</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肉眼可见物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嗅味</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色度</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高锰酸盐指数</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酸性或碱性高锰酸钾氧化法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硫酸盐</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重量法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火焰原子吸收分光光度法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溶解性总固体</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氯化物</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硝酸银滴定法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GB/T11896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钙和镁总量</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EDTA滴定法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挥发酚</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蒸馏后4-氨基安替比林分光光度法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氨氮</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纳氏试剂比色法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蒸馏和滴定法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硝酸盐氮</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酚二磺酸分光光度法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麝香草酚分光光度法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亚硝酸盐</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总大肠菌群</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多管发酵法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细菌总数</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平皿计数法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铅</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原子吸收分光光度法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双硫腙分光光度法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铬（六价）</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二苯碳酰二肼分光光度法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镉</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原子吸收分光光度法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双硫腙分光光度法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总汞</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冷原子吸收分光光度法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restart"/>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总砷</w:t>
            </w: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二乙基二硫代氨基甲酸银分光光度法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243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600" w:type="dxa"/>
            <w:vMerge w:val="continue"/>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c>
          <w:tcPr>
            <w:tcW w:w="396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氯化物发生原子吸收法</w:t>
            </w:r>
          </w:p>
        </w:tc>
        <w:tc>
          <w:tcPr>
            <w:tcW w:w="3240" w:type="dxa"/>
            <w:shd w:val="clear" w:color="auto" w:fill="auto"/>
            <w:noWrap w:val="0"/>
            <w:vAlign w:val="center"/>
          </w:tcPr>
          <w:p>
            <w:pPr>
              <w:widowControl/>
              <w:tabs>
                <w:tab w:val="left" w:pos="601"/>
              </w:tabs>
              <w:spacing w:line="240" w:lineRule="auto"/>
              <w:ind w:left="0" w:leftChars="0" w:firstLine="0" w:firstLineChars="0"/>
              <w:jc w:val="left"/>
              <w:rPr>
                <w:rFonts w:hint="eastAsia" w:ascii="宋体" w:hAnsi="宋体" w:eastAsia="宋体" w:cs="宋体"/>
                <w:color w:val="000000"/>
                <w:kern w:val="0"/>
                <w:sz w:val="21"/>
                <w:szCs w:val="21"/>
              </w:rPr>
            </w:pPr>
          </w:p>
        </w:tc>
      </w:tr>
    </w:tbl>
    <w:p>
      <w:pP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sectPr>
          <w:pgSz w:w="16839" w:h="11906" w:orient="landscape"/>
          <w:pgMar w:top="1580" w:right="1431" w:bottom="1580" w:left="1166" w:header="850" w:footer="992" w:gutter="0"/>
          <w:pgNumType w:fmt="decimal"/>
          <w:cols w:space="720" w:num="1"/>
        </w:sectPr>
      </w:pPr>
    </w:p>
    <w:p>
      <w:pPr>
        <w:pStyle w:val="3"/>
        <w:numPr>
          <w:ilvl w:val="0"/>
          <w:numId w:val="0"/>
        </w:numPr>
        <w:bidi w:val="0"/>
        <w:spacing w:line="360" w:lineRule="auto"/>
        <w:ind w:firstLine="2249" w:firstLineChars="700"/>
        <w:jc w:val="both"/>
        <w:rPr>
          <w:rFonts w:hint="eastAsia" w:ascii="宋体" w:hAnsi="宋体" w:eastAsia="宋体" w:cs="宋体"/>
          <w:color w:val="auto"/>
          <w:lang w:val="en-US" w:eastAsia="zh-CN"/>
        </w:rPr>
      </w:pPr>
      <w:bookmarkStart w:id="51" w:name="_Toc16274"/>
      <w:r>
        <w:rPr>
          <w:rFonts w:hint="eastAsia" w:ascii="宋体" w:hAnsi="宋体" w:eastAsia="宋体" w:cs="宋体"/>
          <w:color w:val="auto"/>
          <w:szCs w:val="22"/>
          <w:highlight w:val="none"/>
          <w:lang w:val="en-US" w:eastAsia="zh-CN"/>
        </w:rPr>
        <w:t>第五章  竞争性磋商响应文件</w:t>
      </w:r>
      <w:bookmarkEnd w:id="51"/>
    </w:p>
    <w:p>
      <w:pPr>
        <w:spacing w:line="360" w:lineRule="auto"/>
        <w:jc w:val="left"/>
        <w:rPr>
          <w:rFonts w:hint="eastAsia" w:ascii="宋体" w:hAnsi="宋体" w:eastAsia="宋体" w:cs="宋体"/>
          <w:b/>
          <w:color w:val="auto"/>
          <w:sz w:val="28"/>
          <w:szCs w:val="28"/>
          <w:highlight w:val="none"/>
          <w:lang w:bidi="ar"/>
        </w:rPr>
      </w:pPr>
    </w:p>
    <w:p>
      <w:pPr>
        <w:pStyle w:val="10"/>
        <w:spacing w:line="360" w:lineRule="auto"/>
        <w:ind w:firstLine="141" w:firstLineChars="50"/>
        <w:jc w:val="both"/>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采购项目编号：</w:t>
      </w:r>
      <w:r>
        <w:rPr>
          <w:rFonts w:hint="eastAsia" w:ascii="宋体" w:hAnsi="宋体" w:eastAsia="宋体" w:cs="宋体"/>
          <w:b/>
          <w:color w:val="auto"/>
          <w:sz w:val="28"/>
          <w:szCs w:val="28"/>
          <w:highlight w:val="none"/>
          <w:lang w:val="en-US" w:eastAsia="zh-CN" w:bidi="ar"/>
        </w:rPr>
        <w:t xml:space="preserve"> </w:t>
      </w:r>
      <w:r>
        <w:rPr>
          <w:rFonts w:hint="eastAsia" w:hAnsi="宋体" w:cs="宋体"/>
          <w:b/>
          <w:color w:val="auto"/>
          <w:sz w:val="28"/>
          <w:szCs w:val="28"/>
          <w:highlight w:val="none"/>
          <w:lang w:val="en-US" w:eastAsia="zh-CN" w:bidi="ar"/>
        </w:rPr>
        <w:t xml:space="preserve">                                </w:t>
      </w:r>
      <w:r>
        <w:rPr>
          <w:rFonts w:hint="eastAsia" w:ascii="宋体" w:hAnsi="宋体" w:eastAsia="宋体" w:cs="宋体"/>
          <w:b/>
          <w:color w:val="auto"/>
          <w:sz w:val="28"/>
          <w:szCs w:val="28"/>
          <w:highlight w:val="none"/>
          <w:lang w:bidi="ar"/>
        </w:rPr>
        <w:t>（正本或副本）</w:t>
      </w:r>
    </w:p>
    <w:p>
      <w:pPr>
        <w:spacing w:line="360" w:lineRule="auto"/>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23"/>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val="en-US" w:eastAsia="zh-CN"/>
        </w:rPr>
        <w:t>店塔镇生活垃圾填埋场运营管理项目</w:t>
      </w:r>
    </w:p>
    <w:p>
      <w:pPr>
        <w:pStyle w:val="23"/>
        <w:spacing w:line="360" w:lineRule="auto"/>
        <w:rPr>
          <w:rFonts w:hint="eastAsia" w:ascii="宋体" w:hAnsi="宋体" w:eastAsia="宋体" w:cs="宋体"/>
          <w:b/>
          <w:bCs/>
          <w:color w:val="auto"/>
          <w:sz w:val="44"/>
          <w:szCs w:val="44"/>
          <w:highlight w:val="none"/>
          <w:lang w:eastAsia="zh-CN"/>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w:t>
      </w:r>
      <w:r>
        <w:rPr>
          <w:rFonts w:hint="eastAsia" w:ascii="宋体" w:hAnsi="宋体" w:eastAsia="宋体" w:cs="宋体"/>
          <w:b/>
          <w:color w:val="auto"/>
          <w:sz w:val="72"/>
          <w:szCs w:val="72"/>
          <w:highlight w:val="none"/>
          <w:lang w:eastAsia="zh-CN"/>
        </w:rPr>
        <w:t>磋商</w:t>
      </w:r>
      <w:r>
        <w:rPr>
          <w:rFonts w:hint="eastAsia" w:ascii="宋体" w:hAnsi="宋体" w:eastAsia="宋体" w:cs="宋体"/>
          <w:b/>
          <w:color w:val="auto"/>
          <w:sz w:val="72"/>
          <w:szCs w:val="72"/>
          <w:highlight w:val="none"/>
        </w:rPr>
        <w:t>响应文件</w:t>
      </w:r>
    </w:p>
    <w:p>
      <w:pPr>
        <w:tabs>
          <w:tab w:val="center" w:pos="5346"/>
        </w:tabs>
        <w:spacing w:line="360" w:lineRule="auto"/>
        <w:ind w:left="0" w:leftChars="0" w:firstLine="0" w:firstLineChars="0"/>
        <w:jc w:val="both"/>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rPr>
          <w:rFonts w:hint="eastAsia"/>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tabs>
          <w:tab w:val="center" w:pos="5346"/>
        </w:tabs>
        <w:spacing w:line="360" w:lineRule="auto"/>
        <w:ind w:firstLine="1205" w:firstLineChars="400"/>
        <w:jc w:val="both"/>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盖</w:t>
      </w:r>
      <w:r>
        <w:rPr>
          <w:rFonts w:hint="eastAsia" w:ascii="宋体" w:hAnsi="宋体" w:eastAsia="宋体" w:cs="宋体"/>
          <w:b/>
          <w:color w:val="auto"/>
          <w:sz w:val="30"/>
          <w:szCs w:val="30"/>
          <w:highlight w:val="none"/>
        </w:rPr>
        <w:t>章）</w:t>
      </w:r>
    </w:p>
    <w:p>
      <w:pPr>
        <w:pStyle w:val="8"/>
        <w:spacing w:line="360" w:lineRule="auto"/>
        <w:ind w:left="0" w:leftChars="0" w:firstLine="0" w:firstLineChars="0"/>
        <w:jc w:val="center"/>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法定代表人或</w:t>
      </w:r>
      <w:r>
        <w:rPr>
          <w:rFonts w:hint="eastAsia" w:ascii="宋体" w:hAnsi="宋体" w:eastAsia="宋体" w:cs="宋体"/>
          <w:b/>
          <w:color w:val="auto"/>
          <w:sz w:val="30"/>
          <w:szCs w:val="30"/>
          <w:highlight w:val="none"/>
          <w:lang w:eastAsia="zh-CN"/>
        </w:rPr>
        <w:t>被授权人</w:t>
      </w:r>
      <w:r>
        <w:rPr>
          <w:rFonts w:hint="eastAsia" w:ascii="宋体" w:hAnsi="宋体" w:eastAsia="宋体" w:cs="宋体"/>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签字或盖章</w:t>
      </w:r>
      <w:r>
        <w:rPr>
          <w:rFonts w:hint="eastAsia" w:ascii="宋体" w:hAnsi="宋体" w:eastAsia="宋体" w:cs="宋体"/>
          <w:b/>
          <w:color w:val="auto"/>
          <w:sz w:val="30"/>
          <w:szCs w:val="30"/>
          <w:highlight w:val="none"/>
        </w:rPr>
        <w:t>）</w:t>
      </w:r>
    </w:p>
    <w:p>
      <w:pPr>
        <w:pStyle w:val="8"/>
        <w:spacing w:line="360" w:lineRule="auto"/>
        <w:ind w:firstLine="960" w:firstLineChars="40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年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 xml:space="preserve"> 月    日</w:t>
      </w:r>
      <w:bookmarkStart w:id="52" w:name="_Toc403077647"/>
      <w:bookmarkStart w:id="53" w:name="_Toc363474026"/>
    </w:p>
    <w:bookmarkEnd w:id="52"/>
    <w:bookmarkEnd w:id="53"/>
    <w:p>
      <w:pPr>
        <w:tabs>
          <w:tab w:val="left" w:pos="3329"/>
        </w:tabs>
        <w:spacing w:line="360" w:lineRule="auto"/>
        <w:jc w:val="center"/>
        <w:rPr>
          <w:rFonts w:hint="eastAsia" w:ascii="宋体" w:hAnsi="宋体" w:eastAsia="宋体" w:cs="宋体"/>
          <w:b/>
          <w:color w:val="auto"/>
          <w:sz w:val="44"/>
        </w:rPr>
      </w:pPr>
    </w:p>
    <w:p>
      <w:pPr>
        <w:tabs>
          <w:tab w:val="left" w:pos="3329"/>
        </w:tabs>
        <w:spacing w:line="360" w:lineRule="auto"/>
        <w:jc w:val="center"/>
        <w:rPr>
          <w:rFonts w:hint="eastAsia" w:ascii="宋体" w:hAnsi="宋体" w:eastAsia="宋体" w:cs="宋体"/>
          <w:b/>
          <w:color w:val="auto"/>
          <w:sz w:val="44"/>
        </w:rPr>
      </w:pPr>
      <w:r>
        <w:rPr>
          <w:rFonts w:hint="eastAsia" w:ascii="宋体" w:hAnsi="宋体" w:eastAsia="宋体" w:cs="宋体"/>
          <w:b/>
          <w:color w:val="auto"/>
          <w:sz w:val="44"/>
        </w:rPr>
        <w:t>目  录</w:t>
      </w:r>
    </w:p>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kern w:val="0"/>
          <w:sz w:val="24"/>
          <w:szCs w:val="24"/>
        </w:rPr>
        <w:t>(引用三级目录）</w:t>
      </w: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before="86" w:line="360" w:lineRule="auto"/>
        <w:outlineLvl w:val="1"/>
        <w:rPr>
          <w:rFonts w:hint="eastAsia" w:ascii="宋体" w:hAnsi="宋体" w:eastAsia="宋体" w:cs="宋体"/>
          <w:color w:val="auto"/>
          <w:sz w:val="43"/>
          <w:szCs w:val="43"/>
        </w:rPr>
      </w:pPr>
      <w:r>
        <w:rPr>
          <w:rFonts w:hint="eastAsia" w:ascii="宋体" w:hAnsi="宋体" w:eastAsia="宋体" w:cs="宋体"/>
          <w:bCs/>
          <w:color w:val="auto"/>
          <w:sz w:val="44"/>
        </w:rPr>
        <w:br w:type="page"/>
      </w:r>
      <w:bookmarkStart w:id="54" w:name="_Toc29065"/>
      <w:r>
        <w:rPr>
          <w:rFonts w:hint="eastAsia" w:ascii="宋体" w:hAnsi="宋体" w:cs="宋体"/>
          <w:bCs/>
          <w:color w:val="auto"/>
          <w:sz w:val="44"/>
          <w:lang w:val="en-US" w:eastAsia="zh-CN"/>
        </w:rPr>
        <w:t xml:space="preserve">     </w:t>
      </w:r>
      <w:r>
        <w:rPr>
          <w:rFonts w:hint="eastAsia" w:ascii="宋体" w:hAnsi="宋体" w:eastAsia="宋体" w:cs="宋体"/>
          <w:color w:val="auto"/>
          <w:spacing w:val="12"/>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9"/>
          <w:sz w:val="43"/>
          <w:szCs w:val="43"/>
          <w14:textOutline w14:w="7972" w14:cap="sq" w14:cmpd="sng">
            <w14:solidFill>
              <w14:srgbClr w14:val="000000"/>
            </w14:solidFill>
            <w14:prstDash w14:val="solid"/>
            <w14:bevel/>
          </w14:textOutline>
        </w:rPr>
        <w:t>一部分</w:t>
      </w:r>
      <w:r>
        <w:rPr>
          <w:rFonts w:hint="eastAsia" w:ascii="宋体" w:hAnsi="宋体" w:eastAsia="宋体" w:cs="宋体"/>
          <w:color w:val="auto"/>
          <w:spacing w:val="9"/>
          <w:sz w:val="43"/>
          <w:szCs w:val="43"/>
        </w:rPr>
        <w:t xml:space="preserve"> </w:t>
      </w:r>
      <w:r>
        <w:rPr>
          <w:rFonts w:hint="eastAsia" w:ascii="宋体" w:hAnsi="宋体" w:eastAsia="宋体" w:cs="宋体"/>
          <w:color w:val="auto"/>
          <w:spacing w:val="9"/>
          <w:sz w:val="43"/>
          <w:szCs w:val="43"/>
          <w14:textOutline w14:w="7972" w14:cap="sq" w14:cmpd="sng">
            <w14:solidFill>
              <w14:srgbClr w14:val="000000"/>
            </w14:solidFill>
            <w14:prstDash w14:val="solid"/>
            <w14:bevel/>
          </w14:textOutline>
        </w:rPr>
        <w:t>资格证明文件</w:t>
      </w:r>
      <w:bookmarkEnd w:id="54"/>
    </w:p>
    <w:p>
      <w:pPr>
        <w:spacing w:before="91" w:line="360" w:lineRule="auto"/>
        <w:ind w:right="61" w:firstLine="55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5103" w14:cap="sq" w14:cmpd="sng">
            <w14:solidFill>
              <w14:srgbClr w14:val="000000"/>
            </w14:solidFill>
            <w14:prstDash w14:val="solid"/>
            <w14:bevel/>
          </w14:textOutline>
        </w:rPr>
        <w:t>供应商应按照竞争性</w:t>
      </w:r>
      <w:r>
        <w:rPr>
          <w:rFonts w:hint="eastAsia" w:ascii="宋体" w:hAnsi="宋体" w:eastAsia="宋体" w:cs="宋体"/>
          <w:color w:val="auto"/>
          <w:spacing w:val="-1"/>
          <w:sz w:val="24"/>
          <w:szCs w:val="24"/>
          <w:lang w:eastAsia="zh-CN"/>
          <w14:textOutline w14:w="5103" w14:cap="sq" w14:cmpd="sng">
            <w14:solidFill>
              <w14:srgbClr w14:val="000000"/>
            </w14:solidFill>
            <w14:prstDash w14:val="solid"/>
            <w14:bevel/>
          </w14:textOutline>
        </w:rPr>
        <w:t>磋商文件</w:t>
      </w:r>
      <w:r>
        <w:rPr>
          <w:rFonts w:hint="eastAsia" w:ascii="宋体" w:hAnsi="宋体" w:eastAsia="宋体" w:cs="宋体"/>
          <w:color w:val="auto"/>
          <w:spacing w:val="-1"/>
          <w:sz w:val="24"/>
          <w:szCs w:val="24"/>
          <w14:textOutline w14:w="5103" w14:cap="sq" w14:cmpd="sng">
            <w14:solidFill>
              <w14:srgbClr w14:val="000000"/>
            </w14:solidFill>
            <w14:prstDash w14:val="solid"/>
            <w14:bevel/>
          </w14:textOutline>
        </w:rPr>
        <w:t>的要求准备编制至</w:t>
      </w:r>
      <w:r>
        <w:rPr>
          <w:rFonts w:hint="eastAsia" w:ascii="宋体" w:hAnsi="宋体" w:eastAsia="宋体" w:cs="宋体"/>
          <w:color w:val="auto"/>
          <w:sz w:val="24"/>
          <w:szCs w:val="24"/>
          <w:lang w:eastAsia="zh-CN"/>
          <w14:textOutline w14:w="5103" w14:cap="sq" w14:cmpd="sng">
            <w14:solidFill>
              <w14:srgbClr w14:val="000000"/>
            </w14:solidFill>
            <w14:prstDash w14:val="solid"/>
            <w14:bevel/>
          </w14:textOutline>
        </w:rPr>
        <w:t>磋商</w:t>
      </w:r>
      <w:r>
        <w:rPr>
          <w:rFonts w:hint="eastAsia" w:ascii="宋体" w:hAnsi="宋体" w:eastAsia="宋体" w:cs="宋体"/>
          <w:color w:val="auto"/>
          <w:sz w:val="24"/>
          <w:szCs w:val="24"/>
          <w14:textOutline w14:w="5103" w14:cap="sq" w14:cmpd="sng">
            <w14:solidFill>
              <w14:srgbClr w14:val="000000"/>
            </w14:solidFill>
            <w14:prstDash w14:val="solid"/>
            <w14:bevel/>
          </w14:textOutline>
        </w:rPr>
        <w:t>响应文件中。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5103" w14:cap="sq" w14:cmpd="sng">
            <w14:solidFill>
              <w14:srgbClr w14:val="000000"/>
            </w14:solidFill>
            <w14:prstDash w14:val="solid"/>
            <w14:bevel/>
          </w14:textOutline>
        </w:rPr>
        <w:t>至少应包</w:t>
      </w:r>
      <w:r>
        <w:rPr>
          <w:rFonts w:hint="eastAsia" w:ascii="宋体" w:hAnsi="宋体" w:eastAsia="宋体" w:cs="宋体"/>
          <w:color w:val="auto"/>
          <w:sz w:val="24"/>
          <w:szCs w:val="24"/>
          <w14:textOutline w14:w="5103" w14:cap="sq" w14:cmpd="sng">
            <w14:solidFill>
              <w14:srgbClr w14:val="000000"/>
            </w14:solidFill>
            <w14:prstDash w14:val="solid"/>
            <w14:bevel/>
          </w14:textOutline>
        </w:rPr>
        <w:t>括以下内容：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一、</w:t>
      </w:r>
      <w:bookmarkStart w:id="55" w:name="_Toc28784"/>
      <w:r>
        <w:rPr>
          <w:rFonts w:hint="eastAsia" w:ascii="宋体" w:hAnsi="宋体" w:eastAsia="宋体" w:cs="宋体"/>
          <w:color w:val="auto"/>
          <w:spacing w:val="2"/>
          <w:sz w:val="24"/>
          <w:szCs w:val="24"/>
        </w:rPr>
        <w:t>供应商资</w:t>
      </w:r>
      <w:r>
        <w:rPr>
          <w:rFonts w:hint="eastAsia" w:ascii="宋体" w:hAnsi="宋体" w:eastAsia="宋体" w:cs="宋体"/>
          <w:color w:val="auto"/>
          <w:spacing w:val="1"/>
          <w:sz w:val="24"/>
          <w:szCs w:val="24"/>
        </w:rPr>
        <w:t>格证明文件 (竞争性</w:t>
      </w:r>
      <w:r>
        <w:rPr>
          <w:rFonts w:hint="eastAsia" w:ascii="宋体" w:hAnsi="宋体" w:eastAsia="宋体" w:cs="宋体"/>
          <w:color w:val="auto"/>
          <w:spacing w:val="1"/>
          <w:sz w:val="24"/>
          <w:szCs w:val="24"/>
          <w:lang w:eastAsia="zh-CN"/>
        </w:rPr>
        <w:t>磋商文件</w:t>
      </w:r>
      <w:r>
        <w:rPr>
          <w:rFonts w:hint="eastAsia" w:ascii="宋体" w:hAnsi="宋体" w:eastAsia="宋体" w:cs="宋体"/>
          <w:color w:val="auto"/>
          <w:spacing w:val="1"/>
          <w:sz w:val="24"/>
          <w:szCs w:val="24"/>
        </w:rPr>
        <w:t>规定的资格证明文件复</w:t>
      </w:r>
      <w:bookmarkEnd w:id="55"/>
      <w:r>
        <w:rPr>
          <w:rFonts w:hint="eastAsia" w:ascii="宋体" w:hAnsi="宋体" w:eastAsia="宋体" w:cs="宋体"/>
          <w:color w:val="auto"/>
          <w:spacing w:val="-6"/>
          <w:sz w:val="24"/>
          <w:szCs w:val="24"/>
        </w:rPr>
        <w:t>印</w:t>
      </w:r>
      <w:r>
        <w:rPr>
          <w:rFonts w:hint="eastAsia" w:ascii="宋体" w:hAnsi="宋体" w:eastAsia="宋体" w:cs="宋体"/>
          <w:color w:val="auto"/>
          <w:spacing w:val="-5"/>
          <w:sz w:val="24"/>
          <w:szCs w:val="24"/>
        </w:rPr>
        <w:t>件</w:t>
      </w:r>
      <w:r>
        <w:rPr>
          <w:rFonts w:hint="eastAsia" w:ascii="宋体" w:hAnsi="宋体" w:eastAsia="宋体" w:cs="宋体"/>
          <w:color w:val="auto"/>
          <w:spacing w:val="-3"/>
          <w:sz w:val="24"/>
          <w:szCs w:val="24"/>
        </w:rPr>
        <w:t>或扫描件)</w:t>
      </w:r>
      <w:r>
        <w:rPr>
          <w:rFonts w:hint="eastAsia" w:ascii="宋体" w:hAnsi="宋体" w:cs="宋体"/>
          <w:color w:val="auto"/>
          <w:spacing w:val="-3"/>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pacing w:val="-1"/>
          <w:sz w:val="24"/>
          <w:szCs w:val="24"/>
          <w:lang w:eastAsia="zh-CN"/>
        </w:rPr>
        <w:t>二</w:t>
      </w:r>
      <w:r>
        <w:rPr>
          <w:rFonts w:hint="eastAsia" w:ascii="宋体" w:hAnsi="宋体" w:eastAsia="宋体" w:cs="宋体"/>
          <w:color w:val="auto"/>
          <w:spacing w:val="-1"/>
          <w:sz w:val="24"/>
          <w:szCs w:val="24"/>
        </w:rPr>
        <w:t>、竞争性</w:t>
      </w:r>
      <w:r>
        <w:rPr>
          <w:rFonts w:hint="eastAsia" w:ascii="宋体" w:hAnsi="宋体" w:eastAsia="宋体" w:cs="宋体"/>
          <w:color w:val="auto"/>
          <w:spacing w:val="-1"/>
          <w:sz w:val="24"/>
          <w:szCs w:val="24"/>
          <w:lang w:eastAsia="zh-CN"/>
        </w:rPr>
        <w:t>磋商文件</w:t>
      </w:r>
      <w:r>
        <w:rPr>
          <w:rFonts w:hint="eastAsia" w:ascii="宋体" w:hAnsi="宋体" w:eastAsia="宋体" w:cs="宋体"/>
          <w:color w:val="auto"/>
          <w:spacing w:val="-1"/>
          <w:sz w:val="24"/>
          <w:szCs w:val="24"/>
        </w:rPr>
        <w:t>要</w:t>
      </w:r>
      <w:r>
        <w:rPr>
          <w:rFonts w:hint="eastAsia" w:ascii="宋体" w:hAnsi="宋体" w:eastAsia="宋体" w:cs="宋体"/>
          <w:color w:val="auto"/>
          <w:sz w:val="24"/>
          <w:szCs w:val="24"/>
        </w:rPr>
        <w:t>求的其他资格证明资料</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76" w:firstLineChars="200"/>
        <w:textAlignment w:val="auto"/>
        <w:rPr>
          <w:rFonts w:hint="eastAsia" w:ascii="宋体" w:hAnsi="宋体" w:eastAsia="宋体" w:cs="宋体"/>
          <w:color w:val="auto"/>
          <w:spacing w:val="11"/>
          <w:sz w:val="24"/>
          <w:szCs w:val="24"/>
          <w:lang w:eastAsia="zh-CN"/>
          <w14:textOutline w14:w="5103" w14:cap="sq" w14:cmpd="sng">
            <w14:solidFill>
              <w14:srgbClr w14:val="000000"/>
            </w14:solidFill>
            <w14:prstDash w14:val="solid"/>
            <w14:bevel/>
          </w14:textOutline>
        </w:rPr>
      </w:pPr>
      <w:r>
        <w:rPr>
          <w:rFonts w:hint="eastAsia" w:ascii="宋体" w:hAnsi="宋体" w:cs="宋体"/>
          <w:color w:val="auto"/>
          <w:spacing w:val="-1"/>
          <w:sz w:val="24"/>
          <w:szCs w:val="24"/>
          <w:lang w:val="en-US" w:eastAsia="zh-CN"/>
        </w:rPr>
        <w:t>三</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rPr>
        <w:t>法定代表人证明书及授权书</w:t>
      </w:r>
      <w:r>
        <w:rPr>
          <w:rFonts w:hint="eastAsia" w:ascii="宋体" w:hAnsi="宋体" w:cs="宋体"/>
          <w:color w:val="auto"/>
          <w:spacing w:val="-1"/>
          <w:sz w:val="24"/>
          <w:szCs w:val="24"/>
          <w:lang w:eastAsia="zh-CN"/>
        </w:rPr>
        <w:t>；</w:t>
      </w: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pStyle w:val="2"/>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rPr>
          <w:rFonts w:hint="eastAsia"/>
        </w:rPr>
      </w:pPr>
    </w:p>
    <w:p>
      <w:pPr>
        <w:rPr>
          <w:rFonts w:hint="eastAsia"/>
        </w:rPr>
      </w:pPr>
    </w:p>
    <w:p>
      <w:pPr>
        <w:pStyle w:val="2"/>
        <w:rPr>
          <w:rFonts w:hint="eastAsia"/>
        </w:rPr>
      </w:pPr>
    </w:p>
    <w:p>
      <w:pPr>
        <w:rPr>
          <w:rFonts w:hint="eastAsia"/>
        </w:rPr>
      </w:pPr>
    </w:p>
    <w:p>
      <w:pPr>
        <w:rPr>
          <w:rFonts w:hint="eastAsia"/>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pStyle w:val="2"/>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rPr>
          <w:rFonts w:hint="eastAsia"/>
        </w:rPr>
      </w:pPr>
    </w:p>
    <w:p>
      <w:pPr>
        <w:pStyle w:val="2"/>
        <w:rPr>
          <w:rFonts w:hint="eastAsia"/>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181" w:line="360" w:lineRule="auto"/>
        <w:ind w:left="2475"/>
        <w:outlineLvl w:val="2"/>
        <w:rPr>
          <w:rFonts w:hint="eastAsia" w:ascii="宋体" w:hAnsi="宋体" w:eastAsia="宋体" w:cs="宋体"/>
          <w:b/>
          <w:kern w:val="0"/>
          <w:sz w:val="28"/>
          <w:szCs w:val="28"/>
          <w:shd w:val="clear" w:color="auto" w:fill="FFFFFF"/>
          <w:lang w:val="en-US" w:eastAsia="zh-CN" w:bidi="ar-SA"/>
        </w:rPr>
      </w:pPr>
      <w:r>
        <w:rPr>
          <w:rFonts w:hint="eastAsia" w:ascii="宋体" w:hAnsi="宋体" w:eastAsia="宋体" w:cs="宋体"/>
          <w:b/>
          <w:kern w:val="0"/>
          <w:sz w:val="28"/>
          <w:szCs w:val="28"/>
          <w:shd w:val="clear" w:color="auto" w:fill="FFFFFF"/>
          <w:lang w:val="en-US" w:eastAsia="zh-CN" w:bidi="ar-SA"/>
        </w:rPr>
        <w:t>(一)法定代表人证明书</w:t>
      </w:r>
    </w:p>
    <w:tbl>
      <w:tblPr>
        <w:tblStyle w:val="24"/>
        <w:tblW w:w="8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038"/>
        <w:gridCol w:w="1906"/>
        <w:gridCol w:w="1334"/>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40" w:type="dxa"/>
            <w:gridSpan w:val="5"/>
            <w:vAlign w:val="top"/>
          </w:tcPr>
          <w:p>
            <w:pPr>
              <w:spacing w:before="200"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17"/>
                <w:sz w:val="23"/>
                <w:szCs w:val="23"/>
              </w:rPr>
              <w:t>致</w:t>
            </w:r>
            <w:r>
              <w:rPr>
                <w:rFonts w:hint="eastAsia" w:ascii="宋体" w:hAnsi="宋体" w:eastAsia="宋体" w:cs="宋体"/>
                <w:color w:val="auto"/>
                <w:spacing w:val="9"/>
                <w:sz w:val="23"/>
                <w:szCs w:val="23"/>
              </w:rPr>
              <w:t>：华春建设工程项目管理有限责任公司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84" w:type="dxa"/>
            <w:vMerge w:val="restart"/>
            <w:tcBorders>
              <w:bottom w:val="nil"/>
            </w:tcBorders>
            <w:textDirection w:val="tbRlV"/>
            <w:vAlign w:val="top"/>
          </w:tcPr>
          <w:p>
            <w:pPr>
              <w:spacing w:line="360" w:lineRule="auto"/>
              <w:rPr>
                <w:rFonts w:hint="eastAsia" w:ascii="宋体" w:hAnsi="宋体" w:eastAsia="宋体" w:cs="宋体"/>
                <w:color w:val="auto"/>
                <w:sz w:val="21"/>
              </w:rPr>
            </w:pPr>
          </w:p>
          <w:p>
            <w:pPr>
              <w:spacing w:before="77" w:line="360" w:lineRule="auto"/>
              <w:ind w:left="696"/>
              <w:rPr>
                <w:rFonts w:hint="eastAsia" w:ascii="宋体" w:hAnsi="宋体" w:eastAsia="宋体" w:cs="宋体"/>
                <w:color w:val="auto"/>
                <w:sz w:val="23"/>
                <w:szCs w:val="23"/>
              </w:rPr>
            </w:pPr>
            <w:r>
              <w:rPr>
                <w:rFonts w:hint="eastAsia" w:ascii="宋体" w:hAnsi="宋体" w:eastAsia="宋体" w:cs="宋体"/>
                <w:color w:val="auto"/>
                <w:spacing w:val="13"/>
                <w:sz w:val="23"/>
                <w:szCs w:val="23"/>
              </w:rPr>
              <w:t>企  业  法  人</w:t>
            </w:r>
          </w:p>
        </w:tc>
        <w:tc>
          <w:tcPr>
            <w:tcW w:w="2038" w:type="dxa"/>
            <w:vAlign w:val="top"/>
          </w:tcPr>
          <w:p>
            <w:pPr>
              <w:spacing w:before="195" w:line="360" w:lineRule="auto"/>
              <w:rPr>
                <w:rFonts w:hint="eastAsia" w:ascii="宋体" w:hAnsi="宋体" w:eastAsia="宋体" w:cs="宋体"/>
                <w:color w:val="auto"/>
                <w:sz w:val="23"/>
                <w:szCs w:val="23"/>
              </w:rPr>
            </w:pPr>
            <w:r>
              <w:rPr>
                <w:rFonts w:hint="eastAsia" w:ascii="宋体" w:hAnsi="宋体" w:eastAsia="宋体" w:cs="宋体"/>
                <w:color w:val="auto"/>
                <w:spacing w:val="8"/>
                <w:sz w:val="23"/>
                <w:szCs w:val="23"/>
              </w:rPr>
              <w:t>供应商名称</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038"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9"/>
                <w:sz w:val="23"/>
                <w:szCs w:val="23"/>
              </w:rPr>
              <w:t>法</w:t>
            </w:r>
            <w:r>
              <w:rPr>
                <w:rFonts w:hint="eastAsia" w:ascii="宋体" w:hAnsi="宋体" w:eastAsia="宋体" w:cs="宋体"/>
                <w:color w:val="auto"/>
                <w:spacing w:val="6"/>
                <w:sz w:val="23"/>
                <w:szCs w:val="23"/>
              </w:rPr>
              <w:t xml:space="preserve"> 定 地 址</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038"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4"/>
                <w:sz w:val="23"/>
                <w:szCs w:val="23"/>
              </w:rPr>
              <w:t xml:space="preserve">邮 政 编 </w:t>
            </w:r>
            <w:r>
              <w:rPr>
                <w:rFonts w:hint="eastAsia" w:ascii="宋体" w:hAnsi="宋体" w:eastAsia="宋体" w:cs="宋体"/>
                <w:color w:val="auto"/>
                <w:spacing w:val="3"/>
                <w:sz w:val="23"/>
                <w:szCs w:val="23"/>
              </w:rPr>
              <w:t>码</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038" w:type="dxa"/>
            <w:vAlign w:val="top"/>
          </w:tcPr>
          <w:p>
            <w:pPr>
              <w:spacing w:before="198" w:line="360" w:lineRule="auto"/>
              <w:rPr>
                <w:rFonts w:hint="eastAsia" w:ascii="宋体" w:hAnsi="宋体" w:eastAsia="宋体" w:cs="宋体"/>
                <w:color w:val="auto"/>
                <w:sz w:val="23"/>
                <w:szCs w:val="23"/>
              </w:rPr>
            </w:pPr>
            <w:r>
              <w:rPr>
                <w:rFonts w:hint="eastAsia" w:ascii="宋体" w:hAnsi="宋体" w:eastAsia="宋体" w:cs="宋体"/>
                <w:color w:val="auto"/>
                <w:spacing w:val="3"/>
                <w:sz w:val="23"/>
                <w:szCs w:val="23"/>
              </w:rPr>
              <w:t>网       址</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038"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8"/>
                <w:sz w:val="23"/>
                <w:szCs w:val="23"/>
              </w:rPr>
              <w:t>工商登记机</w:t>
            </w:r>
            <w:r>
              <w:rPr>
                <w:rFonts w:hint="eastAsia" w:ascii="宋体" w:hAnsi="宋体" w:eastAsia="宋体" w:cs="宋体"/>
                <w:color w:val="auto"/>
                <w:spacing w:val="7"/>
                <w:sz w:val="23"/>
                <w:szCs w:val="23"/>
              </w:rPr>
              <w:t>关</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tcBorders>
            <w:textDirection w:val="tbRlV"/>
            <w:vAlign w:val="top"/>
          </w:tcPr>
          <w:p>
            <w:pPr>
              <w:spacing w:line="360" w:lineRule="auto"/>
              <w:rPr>
                <w:rFonts w:hint="eastAsia" w:ascii="宋体" w:hAnsi="宋体" w:eastAsia="宋体" w:cs="宋体"/>
                <w:color w:val="auto"/>
                <w:sz w:val="21"/>
              </w:rPr>
            </w:pPr>
          </w:p>
        </w:tc>
        <w:tc>
          <w:tcPr>
            <w:tcW w:w="2038"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11"/>
                <w:sz w:val="23"/>
                <w:szCs w:val="23"/>
              </w:rPr>
              <w:t>机</w:t>
            </w:r>
            <w:r>
              <w:rPr>
                <w:rFonts w:hint="eastAsia" w:ascii="宋体" w:hAnsi="宋体" w:eastAsia="宋体" w:cs="宋体"/>
                <w:color w:val="auto"/>
                <w:spacing w:val="8"/>
                <w:sz w:val="23"/>
                <w:szCs w:val="23"/>
              </w:rPr>
              <w:t>构代码证号</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122" w:type="dxa"/>
            <w:gridSpan w:val="2"/>
            <w:vAlign w:val="top"/>
          </w:tcPr>
          <w:p>
            <w:pPr>
              <w:spacing w:before="197" w:line="360" w:lineRule="auto"/>
              <w:jc w:val="both"/>
              <w:rPr>
                <w:rFonts w:hint="eastAsia" w:ascii="宋体" w:hAnsi="宋体" w:eastAsia="宋体" w:cs="宋体"/>
                <w:color w:val="auto"/>
                <w:sz w:val="23"/>
                <w:szCs w:val="23"/>
              </w:rPr>
            </w:pPr>
            <w:r>
              <w:rPr>
                <w:rFonts w:hint="eastAsia" w:ascii="宋体" w:hAnsi="宋体" w:eastAsia="宋体" w:cs="宋体"/>
                <w:color w:val="auto"/>
                <w:spacing w:val="11"/>
                <w:sz w:val="23"/>
                <w:szCs w:val="23"/>
              </w:rPr>
              <w:t>采</w:t>
            </w:r>
            <w:r>
              <w:rPr>
                <w:rFonts w:hint="eastAsia" w:ascii="宋体" w:hAnsi="宋体" w:eastAsia="宋体" w:cs="宋体"/>
                <w:color w:val="auto"/>
                <w:spacing w:val="8"/>
                <w:sz w:val="23"/>
                <w:szCs w:val="23"/>
              </w:rPr>
              <w:t>购项目名称</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122" w:type="dxa"/>
            <w:gridSpan w:val="2"/>
            <w:vAlign w:val="top"/>
          </w:tcPr>
          <w:p>
            <w:pPr>
              <w:spacing w:before="198" w:line="360" w:lineRule="auto"/>
              <w:jc w:val="both"/>
              <w:rPr>
                <w:rFonts w:hint="eastAsia" w:ascii="宋体" w:hAnsi="宋体" w:eastAsia="宋体" w:cs="宋体"/>
                <w:color w:val="auto"/>
                <w:sz w:val="23"/>
                <w:szCs w:val="23"/>
              </w:rPr>
            </w:pPr>
            <w:r>
              <w:rPr>
                <w:rFonts w:hint="eastAsia" w:ascii="宋体" w:hAnsi="宋体" w:eastAsia="宋体" w:cs="宋体"/>
                <w:color w:val="auto"/>
                <w:spacing w:val="11"/>
                <w:sz w:val="23"/>
                <w:szCs w:val="23"/>
              </w:rPr>
              <w:t>采</w:t>
            </w:r>
            <w:r>
              <w:rPr>
                <w:rFonts w:hint="eastAsia" w:ascii="宋体" w:hAnsi="宋体" w:eastAsia="宋体" w:cs="宋体"/>
                <w:color w:val="auto"/>
                <w:spacing w:val="8"/>
                <w:sz w:val="23"/>
                <w:szCs w:val="23"/>
              </w:rPr>
              <w:t>购项目编号</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vAlign w:val="top"/>
          </w:tcPr>
          <w:p>
            <w:pPr>
              <w:spacing w:before="206"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8"/>
                <w:sz w:val="23"/>
                <w:szCs w:val="23"/>
              </w:rPr>
              <w:t>法定代表人</w:t>
            </w:r>
          </w:p>
        </w:tc>
        <w:tc>
          <w:tcPr>
            <w:tcW w:w="2038"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7"/>
                <w:sz w:val="23"/>
                <w:szCs w:val="23"/>
              </w:rPr>
              <w:t>姓</w:t>
            </w:r>
            <w:r>
              <w:rPr>
                <w:rFonts w:hint="eastAsia" w:ascii="宋体" w:hAnsi="宋体" w:eastAsia="宋体" w:cs="宋体"/>
                <w:color w:val="auto"/>
                <w:spacing w:val="5"/>
                <w:sz w:val="23"/>
                <w:szCs w:val="23"/>
              </w:rPr>
              <w:t xml:space="preserve">    名</w:t>
            </w:r>
          </w:p>
        </w:tc>
        <w:tc>
          <w:tcPr>
            <w:tcW w:w="1906" w:type="dxa"/>
            <w:vAlign w:val="top"/>
          </w:tcPr>
          <w:p>
            <w:pPr>
              <w:spacing w:before="197" w:line="360" w:lineRule="auto"/>
              <w:rPr>
                <w:rFonts w:hint="eastAsia" w:ascii="宋体" w:hAnsi="宋体" w:eastAsia="宋体" w:cs="宋体"/>
                <w:color w:val="auto"/>
                <w:sz w:val="23"/>
                <w:szCs w:val="23"/>
              </w:rPr>
            </w:pPr>
          </w:p>
        </w:tc>
        <w:tc>
          <w:tcPr>
            <w:tcW w:w="1334" w:type="dxa"/>
            <w:vAlign w:val="top"/>
          </w:tcPr>
          <w:p>
            <w:pPr>
              <w:spacing w:before="196"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7"/>
                <w:sz w:val="23"/>
                <w:szCs w:val="23"/>
              </w:rPr>
              <w:t>性</w:t>
            </w:r>
            <w:r>
              <w:rPr>
                <w:rFonts w:hint="eastAsia" w:ascii="宋体" w:hAnsi="宋体" w:eastAsia="宋体" w:cs="宋体"/>
                <w:color w:val="auto"/>
                <w:spacing w:val="5"/>
                <w:sz w:val="23"/>
                <w:szCs w:val="23"/>
              </w:rPr>
              <w:t xml:space="preserve">    别</w:t>
            </w:r>
          </w:p>
        </w:tc>
        <w:tc>
          <w:tcPr>
            <w:tcW w:w="2378" w:type="dxa"/>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vAlign w:val="top"/>
          </w:tcPr>
          <w:p>
            <w:pPr>
              <w:spacing w:line="360" w:lineRule="auto"/>
              <w:rPr>
                <w:rFonts w:hint="eastAsia" w:ascii="宋体" w:hAnsi="宋体" w:eastAsia="宋体" w:cs="宋体"/>
                <w:color w:val="auto"/>
                <w:sz w:val="21"/>
              </w:rPr>
            </w:pPr>
          </w:p>
        </w:tc>
        <w:tc>
          <w:tcPr>
            <w:tcW w:w="2038" w:type="dxa"/>
            <w:vAlign w:val="top"/>
          </w:tcPr>
          <w:p>
            <w:pPr>
              <w:spacing w:before="198" w:line="360" w:lineRule="auto"/>
              <w:rPr>
                <w:rFonts w:hint="eastAsia" w:ascii="宋体" w:hAnsi="宋体" w:eastAsia="宋体" w:cs="宋体"/>
                <w:color w:val="auto"/>
                <w:sz w:val="23"/>
                <w:szCs w:val="23"/>
              </w:rPr>
            </w:pPr>
            <w:r>
              <w:rPr>
                <w:rFonts w:hint="eastAsia" w:ascii="宋体" w:hAnsi="宋体" w:eastAsia="宋体" w:cs="宋体"/>
                <w:color w:val="auto"/>
                <w:spacing w:val="5"/>
                <w:sz w:val="23"/>
                <w:szCs w:val="23"/>
              </w:rPr>
              <w:t>职    务</w:t>
            </w:r>
          </w:p>
        </w:tc>
        <w:tc>
          <w:tcPr>
            <w:tcW w:w="1906" w:type="dxa"/>
            <w:vAlign w:val="top"/>
          </w:tcPr>
          <w:p>
            <w:pPr>
              <w:spacing w:line="360" w:lineRule="auto"/>
              <w:rPr>
                <w:rFonts w:hint="eastAsia" w:ascii="宋体" w:hAnsi="宋体" w:eastAsia="宋体" w:cs="宋体"/>
                <w:color w:val="auto"/>
                <w:sz w:val="21"/>
              </w:rPr>
            </w:pPr>
          </w:p>
        </w:tc>
        <w:tc>
          <w:tcPr>
            <w:tcW w:w="1334" w:type="dxa"/>
            <w:vAlign w:val="top"/>
          </w:tcPr>
          <w:p>
            <w:pPr>
              <w:spacing w:before="198"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8"/>
                <w:sz w:val="23"/>
                <w:szCs w:val="23"/>
              </w:rPr>
              <w:t>联</w:t>
            </w:r>
            <w:r>
              <w:rPr>
                <w:rFonts w:hint="eastAsia" w:ascii="宋体" w:hAnsi="宋体" w:eastAsia="宋体" w:cs="宋体"/>
                <w:color w:val="auto"/>
                <w:spacing w:val="7"/>
                <w:sz w:val="23"/>
                <w:szCs w:val="23"/>
              </w:rPr>
              <w:t>系电话</w:t>
            </w:r>
          </w:p>
        </w:tc>
        <w:tc>
          <w:tcPr>
            <w:tcW w:w="2378" w:type="dxa"/>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tcBorders>
            <w:vAlign w:val="top"/>
          </w:tcPr>
          <w:p>
            <w:pPr>
              <w:spacing w:line="360" w:lineRule="auto"/>
              <w:rPr>
                <w:rFonts w:hint="eastAsia" w:ascii="宋体" w:hAnsi="宋体" w:eastAsia="宋体" w:cs="宋体"/>
                <w:color w:val="auto"/>
                <w:sz w:val="21"/>
              </w:rPr>
            </w:pPr>
          </w:p>
        </w:tc>
        <w:tc>
          <w:tcPr>
            <w:tcW w:w="2038" w:type="dxa"/>
            <w:vAlign w:val="top"/>
          </w:tcPr>
          <w:p>
            <w:pPr>
              <w:spacing w:before="196" w:line="360" w:lineRule="auto"/>
              <w:rPr>
                <w:rFonts w:hint="eastAsia" w:ascii="宋体" w:hAnsi="宋体" w:eastAsia="宋体" w:cs="宋体"/>
                <w:color w:val="auto"/>
                <w:sz w:val="23"/>
                <w:szCs w:val="23"/>
              </w:rPr>
            </w:pPr>
            <w:r>
              <w:rPr>
                <w:rFonts w:hint="eastAsia" w:ascii="宋体" w:hAnsi="宋体" w:eastAsia="宋体" w:cs="宋体"/>
                <w:color w:val="auto"/>
                <w:spacing w:val="6"/>
                <w:sz w:val="23"/>
                <w:szCs w:val="23"/>
              </w:rPr>
              <w:t xml:space="preserve">传    </w:t>
            </w:r>
            <w:r>
              <w:rPr>
                <w:rFonts w:hint="eastAsia" w:ascii="宋体" w:hAnsi="宋体" w:eastAsia="宋体" w:cs="宋体"/>
                <w:color w:val="auto"/>
                <w:spacing w:val="4"/>
                <w:sz w:val="23"/>
                <w:szCs w:val="23"/>
              </w:rPr>
              <w:t>真</w:t>
            </w:r>
          </w:p>
        </w:tc>
        <w:tc>
          <w:tcPr>
            <w:tcW w:w="5618"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1084" w:type="dxa"/>
            <w:vMerge w:val="restart"/>
            <w:tcBorders>
              <w:bottom w:val="nil"/>
            </w:tcBorders>
            <w:vAlign w:val="top"/>
          </w:tcPr>
          <w:p>
            <w:pPr>
              <w:spacing w:before="197"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4"/>
                <w:sz w:val="23"/>
                <w:szCs w:val="23"/>
              </w:rPr>
              <w:t>法定代表人身份证复印件</w:t>
            </w:r>
          </w:p>
        </w:tc>
        <w:tc>
          <w:tcPr>
            <w:tcW w:w="3944" w:type="dxa"/>
            <w:gridSpan w:val="2"/>
            <w:vAlign w:val="top"/>
          </w:tcPr>
          <w:p>
            <w:pPr>
              <w:spacing w:before="74" w:line="360" w:lineRule="auto"/>
              <w:ind w:left="116"/>
              <w:rPr>
                <w:rFonts w:hint="eastAsia" w:ascii="宋体" w:hAnsi="宋体" w:eastAsia="宋体" w:cs="宋体"/>
                <w:color w:val="auto"/>
                <w:sz w:val="23"/>
                <w:szCs w:val="23"/>
              </w:rPr>
            </w:pPr>
            <w:r>
              <w:rPr>
                <w:rFonts w:hint="eastAsia" w:ascii="宋体" w:hAnsi="宋体" w:eastAsia="宋体" w:cs="宋体"/>
                <w:color w:val="auto"/>
                <w:spacing w:val="2"/>
                <w:sz w:val="23"/>
                <w:szCs w:val="23"/>
              </w:rPr>
              <w:t>二代身份证正</w:t>
            </w:r>
            <w:r>
              <w:rPr>
                <w:rFonts w:hint="eastAsia" w:ascii="宋体" w:hAnsi="宋体" w:eastAsia="宋体" w:cs="宋体"/>
                <w:color w:val="auto"/>
                <w:spacing w:val="1"/>
                <w:sz w:val="23"/>
                <w:szCs w:val="23"/>
              </w:rPr>
              <w:t>面都需复印</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123"/>
              <w:rPr>
                <w:rFonts w:hint="eastAsia" w:ascii="宋体" w:hAnsi="宋体" w:eastAsia="宋体" w:cs="宋体"/>
                <w:color w:val="auto"/>
                <w:sz w:val="23"/>
                <w:szCs w:val="23"/>
              </w:rPr>
            </w:pPr>
            <w:r>
              <w:rPr>
                <w:rFonts w:hint="eastAsia" w:ascii="宋体" w:hAnsi="宋体" w:eastAsia="宋体" w:cs="宋体"/>
                <w:color w:val="auto"/>
                <w:spacing w:val="27"/>
                <w:sz w:val="23"/>
                <w:szCs w:val="23"/>
              </w:rPr>
              <w:t>(粘贴处</w:t>
            </w:r>
            <w:r>
              <w:rPr>
                <w:rFonts w:hint="eastAsia" w:ascii="宋体" w:hAnsi="宋体" w:eastAsia="宋体" w:cs="宋体"/>
                <w:color w:val="auto"/>
                <w:spacing w:val="26"/>
                <w:sz w:val="23"/>
                <w:szCs w:val="23"/>
              </w:rPr>
              <w:t>)</w:t>
            </w:r>
          </w:p>
        </w:tc>
        <w:tc>
          <w:tcPr>
            <w:tcW w:w="3712" w:type="dxa"/>
            <w:gridSpan w:val="2"/>
            <w:vAlign w:val="top"/>
          </w:tcPr>
          <w:p>
            <w:pPr>
              <w:spacing w:before="197" w:line="360" w:lineRule="auto"/>
              <w:ind w:left="130"/>
              <w:rPr>
                <w:rFonts w:hint="eastAsia" w:ascii="宋体" w:hAnsi="宋体" w:eastAsia="宋体" w:cs="宋体"/>
                <w:color w:val="auto"/>
                <w:sz w:val="23"/>
                <w:szCs w:val="23"/>
              </w:rPr>
            </w:pPr>
            <w:r>
              <w:rPr>
                <w:rFonts w:hint="eastAsia" w:ascii="宋体" w:hAnsi="宋体" w:eastAsia="宋体" w:cs="宋体"/>
                <w:color w:val="auto"/>
                <w:spacing w:val="22"/>
                <w:sz w:val="23"/>
                <w:szCs w:val="23"/>
              </w:rPr>
              <w:t>(</w:t>
            </w:r>
            <w:r>
              <w:rPr>
                <w:rFonts w:hint="eastAsia" w:ascii="宋体" w:hAnsi="宋体" w:eastAsia="宋体" w:cs="宋体"/>
                <w:color w:val="auto"/>
                <w:spacing w:val="19"/>
                <w:sz w:val="23"/>
                <w:szCs w:val="23"/>
              </w:rPr>
              <w:t>法定代表人签章)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1084" w:type="dxa"/>
            <w:vMerge w:val="continue"/>
            <w:tcBorders>
              <w:top w:val="nil"/>
            </w:tcBorders>
            <w:vAlign w:val="top"/>
          </w:tcPr>
          <w:p>
            <w:pPr>
              <w:spacing w:line="360" w:lineRule="auto"/>
              <w:rPr>
                <w:rFonts w:hint="eastAsia" w:ascii="宋体" w:hAnsi="宋体" w:eastAsia="宋体" w:cs="宋体"/>
                <w:color w:val="auto"/>
                <w:sz w:val="21"/>
              </w:rPr>
            </w:pPr>
          </w:p>
        </w:tc>
        <w:tc>
          <w:tcPr>
            <w:tcW w:w="3944" w:type="dxa"/>
            <w:gridSpan w:val="2"/>
            <w:vAlign w:val="top"/>
          </w:tcPr>
          <w:p>
            <w:pPr>
              <w:spacing w:before="199" w:line="360" w:lineRule="auto"/>
              <w:ind w:left="116"/>
              <w:rPr>
                <w:rFonts w:hint="eastAsia" w:ascii="宋体" w:hAnsi="宋体" w:eastAsia="宋体" w:cs="宋体"/>
                <w:color w:val="auto"/>
                <w:sz w:val="23"/>
                <w:szCs w:val="23"/>
              </w:rPr>
            </w:pPr>
            <w:r>
              <w:rPr>
                <w:rFonts w:hint="eastAsia" w:ascii="宋体" w:hAnsi="宋体" w:eastAsia="宋体" w:cs="宋体"/>
                <w:color w:val="auto"/>
                <w:spacing w:val="2"/>
                <w:sz w:val="23"/>
                <w:szCs w:val="23"/>
              </w:rPr>
              <w:t>二代身份证背</w:t>
            </w:r>
            <w:r>
              <w:rPr>
                <w:rFonts w:hint="eastAsia" w:ascii="宋体" w:hAnsi="宋体" w:eastAsia="宋体" w:cs="宋体"/>
                <w:color w:val="auto"/>
                <w:spacing w:val="1"/>
                <w:sz w:val="23"/>
                <w:szCs w:val="23"/>
              </w:rPr>
              <w:t>面都需复印</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123"/>
              <w:rPr>
                <w:rFonts w:hint="eastAsia" w:ascii="宋体" w:hAnsi="宋体" w:eastAsia="宋体" w:cs="宋体"/>
                <w:color w:val="auto"/>
                <w:sz w:val="23"/>
                <w:szCs w:val="23"/>
              </w:rPr>
            </w:pPr>
            <w:r>
              <w:rPr>
                <w:rFonts w:hint="eastAsia" w:ascii="宋体" w:hAnsi="宋体" w:eastAsia="宋体" w:cs="宋体"/>
                <w:color w:val="auto"/>
                <w:spacing w:val="27"/>
                <w:sz w:val="23"/>
                <w:szCs w:val="23"/>
              </w:rPr>
              <w:t>(粘贴处</w:t>
            </w:r>
            <w:r>
              <w:rPr>
                <w:rFonts w:hint="eastAsia" w:ascii="宋体" w:hAnsi="宋体" w:eastAsia="宋体" w:cs="宋体"/>
                <w:color w:val="auto"/>
                <w:spacing w:val="26"/>
                <w:sz w:val="23"/>
                <w:szCs w:val="23"/>
              </w:rPr>
              <w:t>)</w:t>
            </w:r>
          </w:p>
        </w:tc>
        <w:tc>
          <w:tcPr>
            <w:tcW w:w="3712" w:type="dxa"/>
            <w:gridSpan w:val="2"/>
            <w:vAlign w:val="top"/>
          </w:tcPr>
          <w:p>
            <w:pPr>
              <w:spacing w:before="199" w:line="360" w:lineRule="auto"/>
              <w:ind w:left="245"/>
              <w:rPr>
                <w:rFonts w:hint="eastAsia" w:ascii="宋体" w:hAnsi="宋体" w:eastAsia="宋体" w:cs="宋体"/>
                <w:color w:val="auto"/>
                <w:sz w:val="23"/>
                <w:szCs w:val="23"/>
              </w:rPr>
            </w:pPr>
            <w:r>
              <w:rPr>
                <w:rFonts w:hint="eastAsia" w:ascii="宋体" w:hAnsi="宋体" w:eastAsia="宋体" w:cs="宋体"/>
                <w:color w:val="auto"/>
                <w:spacing w:val="24"/>
                <w:sz w:val="23"/>
                <w:szCs w:val="23"/>
              </w:rPr>
              <w:t>(企业公章)</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4" w:line="360" w:lineRule="auto"/>
              <w:ind w:left="1554"/>
              <w:rPr>
                <w:rFonts w:hint="eastAsia" w:ascii="宋体" w:hAnsi="宋体" w:eastAsia="宋体" w:cs="宋体"/>
                <w:color w:val="auto"/>
                <w:sz w:val="23"/>
                <w:szCs w:val="23"/>
              </w:rPr>
            </w:pPr>
            <w:r>
              <w:rPr>
                <w:rFonts w:hint="eastAsia" w:ascii="宋体" w:hAnsi="宋体" w:eastAsia="宋体" w:cs="宋体"/>
                <w:color w:val="auto"/>
                <w:spacing w:val="14"/>
                <w:sz w:val="23"/>
                <w:szCs w:val="23"/>
              </w:rPr>
              <w:t>年</w:t>
            </w:r>
            <w:r>
              <w:rPr>
                <w:rFonts w:hint="eastAsia" w:ascii="宋体" w:hAnsi="宋体" w:eastAsia="宋体" w:cs="宋体"/>
                <w:color w:val="auto"/>
                <w:spacing w:val="11"/>
                <w:sz w:val="23"/>
                <w:szCs w:val="23"/>
              </w:rPr>
              <w:t xml:space="preserve">  月  日</w:t>
            </w:r>
          </w:p>
        </w:tc>
      </w:tr>
    </w:tbl>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rPr>
        <w:sectPr>
          <w:pgSz w:w="11906" w:h="16839"/>
          <w:pgMar w:top="1431" w:right="1580" w:bottom="1166" w:left="1580" w:header="850" w:footer="992" w:gutter="0"/>
          <w:pgNumType w:fmt="decimal"/>
          <w:cols w:space="720" w:num="1"/>
        </w:sectPr>
      </w:pPr>
    </w:p>
    <w:p>
      <w:pPr>
        <w:spacing w:before="181" w:line="360" w:lineRule="auto"/>
        <w:ind w:left="2475"/>
        <w:outlineLvl w:val="2"/>
        <w:rPr>
          <w:rFonts w:hint="eastAsia" w:ascii="宋体" w:hAnsi="宋体" w:eastAsia="宋体" w:cs="宋体"/>
          <w:b/>
          <w:kern w:val="0"/>
          <w:sz w:val="28"/>
          <w:szCs w:val="28"/>
          <w:shd w:val="clear" w:color="auto" w:fill="FFFFFF"/>
          <w:lang w:val="en-US" w:eastAsia="zh-CN" w:bidi="ar-SA"/>
        </w:rPr>
      </w:pPr>
      <w:r>
        <w:rPr>
          <w:rFonts w:hint="eastAsia" w:ascii="宋体" w:hAnsi="宋体" w:eastAsia="宋体" w:cs="宋体"/>
          <w:b/>
          <w:kern w:val="0"/>
          <w:sz w:val="28"/>
          <w:szCs w:val="28"/>
          <w:shd w:val="clear" w:color="auto" w:fill="FFFFFF"/>
          <w:lang w:val="en-US" w:eastAsia="zh-CN" w:bidi="ar-SA"/>
        </w:rPr>
        <w:t>(二) 法定代表人授权书</w:t>
      </w:r>
    </w:p>
    <w:tbl>
      <w:tblPr>
        <w:tblStyle w:val="24"/>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2159"/>
        <w:gridCol w:w="1437"/>
        <w:gridCol w:w="1080"/>
        <w:gridCol w:w="1403"/>
        <w:gridCol w:w="23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944" w:type="dxa"/>
            <w:gridSpan w:val="6"/>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致：华春建设工程项目管理有限责任公司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restart"/>
            <w:tcBorders>
              <w:bottom w:val="nil"/>
            </w:tcBorders>
            <w:textDirection w:val="tbRlV"/>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被  授  权  人</w:t>
            </w: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姓    名</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性    别</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职    务</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手机号码</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联系电话</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传真</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通讯地址</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网    址</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19" w:type="dxa"/>
            <w:vMerge w:val="restart"/>
            <w:tcBorders>
              <w:bottom w:val="nil"/>
            </w:tcBorders>
            <w:textDirection w:val="tbRlV"/>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被 授 权 项 目 与 内 容</w:t>
            </w: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供应商名称</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采购项目名称</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采购项目编号</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授权范围</w:t>
            </w:r>
          </w:p>
        </w:tc>
        <w:tc>
          <w:tcPr>
            <w:tcW w:w="6266" w:type="dxa"/>
            <w:gridSpan w:val="4"/>
            <w:vAlign w:val="top"/>
          </w:tcPr>
          <w:p>
            <w:pPr>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全权办理本次招标采购项目的投标、联系、洽谈、签约、 执行等具体事务，签署全部有关文件、文书、协议及合同。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法律责任</w:t>
            </w:r>
          </w:p>
        </w:tc>
        <w:tc>
          <w:tcPr>
            <w:tcW w:w="6266" w:type="dxa"/>
            <w:gridSpan w:val="4"/>
            <w:vAlign w:val="top"/>
          </w:tcPr>
          <w:p>
            <w:pPr>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本公司对被授权人在本项目中的签名承担全部法律责任。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19" w:type="dxa"/>
            <w:vMerge w:val="continue"/>
            <w:tcBorders>
              <w:top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授权期限</w:t>
            </w:r>
          </w:p>
        </w:tc>
        <w:tc>
          <w:tcPr>
            <w:tcW w:w="6266" w:type="dxa"/>
            <w:gridSpan w:val="4"/>
            <w:vAlign w:val="top"/>
          </w:tcPr>
          <w:p>
            <w:pPr>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本授权书自开标会议之日计算有效期为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法定代表人签署栏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二代身份证正面都需复印</w:t>
            </w: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(粘贴处)</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二代身份证背面都需复印</w:t>
            </w: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(粘贴处)</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(单位公章)</w:t>
            </w: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4115" w:type="dxa"/>
            <w:gridSpan w:val="3"/>
            <w:vAlign w:val="top"/>
          </w:tcPr>
          <w:p>
            <w:pPr>
              <w:spacing w:before="118" w:line="360" w:lineRule="auto"/>
              <w:ind w:left="117"/>
              <w:rPr>
                <w:rFonts w:hint="eastAsia" w:ascii="宋体" w:hAnsi="宋体" w:eastAsia="宋体" w:cs="宋体"/>
                <w:color w:val="auto"/>
                <w:sz w:val="23"/>
                <w:szCs w:val="23"/>
              </w:rPr>
            </w:pPr>
            <w:r>
              <w:rPr>
                <w:rFonts w:hint="eastAsia" w:ascii="宋体" w:hAnsi="宋体" w:eastAsia="宋体" w:cs="宋体"/>
                <w:color w:val="auto"/>
                <w:spacing w:val="9"/>
                <w:sz w:val="23"/>
                <w:szCs w:val="23"/>
              </w:rPr>
              <w:t>被授权人身份证复印件</w:t>
            </w:r>
          </w:p>
          <w:p>
            <w:pPr>
              <w:spacing w:before="74" w:line="360" w:lineRule="auto"/>
              <w:ind w:left="122"/>
              <w:rPr>
                <w:rFonts w:hint="eastAsia" w:ascii="宋体" w:hAnsi="宋体" w:eastAsia="宋体" w:cs="宋体"/>
                <w:color w:val="auto"/>
                <w:sz w:val="23"/>
                <w:szCs w:val="23"/>
              </w:rPr>
            </w:pPr>
            <w:r>
              <w:rPr>
                <w:rFonts w:hint="eastAsia" w:ascii="宋体" w:hAnsi="宋体" w:eastAsia="宋体" w:cs="宋体"/>
                <w:color w:val="auto"/>
                <w:spacing w:val="3"/>
                <w:sz w:val="23"/>
                <w:szCs w:val="23"/>
              </w:rPr>
              <w:t>正</w:t>
            </w:r>
            <w:r>
              <w:rPr>
                <w:rFonts w:hint="eastAsia" w:ascii="宋体" w:hAnsi="宋体" w:eastAsia="宋体" w:cs="宋体"/>
                <w:color w:val="auto"/>
                <w:spacing w:val="2"/>
                <w:sz w:val="23"/>
                <w:szCs w:val="23"/>
              </w:rPr>
              <w:t>面</w:t>
            </w:r>
          </w:p>
        </w:tc>
        <w:tc>
          <w:tcPr>
            <w:tcW w:w="4829" w:type="dxa"/>
            <w:gridSpan w:val="3"/>
            <w:vAlign w:val="top"/>
          </w:tcPr>
          <w:p>
            <w:pPr>
              <w:spacing w:before="118" w:line="360" w:lineRule="auto"/>
              <w:ind w:left="113"/>
              <w:rPr>
                <w:rFonts w:hint="eastAsia" w:ascii="宋体" w:hAnsi="宋体" w:eastAsia="宋体" w:cs="宋体"/>
                <w:color w:val="auto"/>
                <w:sz w:val="23"/>
                <w:szCs w:val="23"/>
              </w:rPr>
            </w:pPr>
            <w:r>
              <w:rPr>
                <w:rFonts w:hint="eastAsia" w:ascii="宋体" w:hAnsi="宋体" w:eastAsia="宋体" w:cs="宋体"/>
                <w:color w:val="auto"/>
                <w:spacing w:val="9"/>
                <w:sz w:val="23"/>
                <w:szCs w:val="23"/>
              </w:rPr>
              <w:t>被授权人身份证复印件</w:t>
            </w:r>
          </w:p>
          <w:p>
            <w:pPr>
              <w:spacing w:before="74" w:line="360" w:lineRule="auto"/>
              <w:ind w:left="114"/>
              <w:rPr>
                <w:rFonts w:hint="eastAsia" w:ascii="宋体" w:hAnsi="宋体" w:eastAsia="宋体" w:cs="宋体"/>
                <w:color w:val="auto"/>
                <w:sz w:val="23"/>
                <w:szCs w:val="23"/>
              </w:rPr>
            </w:pPr>
            <w:r>
              <w:rPr>
                <w:rFonts w:hint="eastAsia" w:ascii="宋体" w:hAnsi="宋体" w:eastAsia="宋体" w:cs="宋体"/>
                <w:color w:val="auto"/>
                <w:spacing w:val="5"/>
                <w:sz w:val="23"/>
                <w:szCs w:val="23"/>
              </w:rPr>
              <w:t>反</w:t>
            </w:r>
            <w:r>
              <w:rPr>
                <w:rFonts w:hint="eastAsia" w:ascii="宋体" w:hAnsi="宋体" w:eastAsia="宋体" w:cs="宋体"/>
                <w:color w:val="auto"/>
                <w:spacing w:val="4"/>
                <w:sz w:val="23"/>
                <w:szCs w:val="23"/>
              </w:rPr>
              <w:t>面</w:t>
            </w:r>
          </w:p>
        </w:tc>
      </w:tr>
    </w:tbl>
    <w:p>
      <w:pPr>
        <w:spacing w:before="75" w:line="360" w:lineRule="auto"/>
        <w:ind w:left="331"/>
        <w:rPr>
          <w:rFonts w:hint="eastAsia" w:ascii="宋体" w:hAnsi="宋体" w:eastAsia="宋体" w:cs="宋体"/>
          <w:color w:val="auto"/>
          <w:sz w:val="23"/>
          <w:szCs w:val="23"/>
        </w:rPr>
      </w:pPr>
      <w:r>
        <w:rPr>
          <w:rFonts w:hint="eastAsia" w:ascii="宋体" w:hAnsi="宋体" w:eastAsia="宋体" w:cs="宋体"/>
          <w:color w:val="auto"/>
          <w:spacing w:val="7"/>
          <w:sz w:val="23"/>
          <w:szCs w:val="23"/>
        </w:rPr>
        <w:t>供应商名称(公章)</w:t>
      </w:r>
      <w:r>
        <w:rPr>
          <w:rFonts w:hint="eastAsia" w:ascii="宋体" w:hAnsi="宋体" w:eastAsia="宋体" w:cs="宋体"/>
          <w:color w:val="auto"/>
          <w:spacing w:val="6"/>
          <w:sz w:val="23"/>
          <w:szCs w:val="23"/>
        </w:rPr>
        <w:t>：</w:t>
      </w:r>
      <w:r>
        <w:rPr>
          <w:rFonts w:hint="eastAsia" w:ascii="宋体" w:hAnsi="宋体" w:eastAsia="宋体" w:cs="宋体"/>
          <w:color w:val="auto"/>
          <w:sz w:val="23"/>
          <w:szCs w:val="23"/>
          <w:u w:val="single" w:color="auto"/>
        </w:rPr>
        <w:t xml:space="preserve">                     </w:t>
      </w:r>
    </w:p>
    <w:p>
      <w:pPr>
        <w:spacing w:before="75" w:line="360" w:lineRule="auto"/>
        <w:ind w:left="332"/>
        <w:rPr>
          <w:rFonts w:hint="eastAsia" w:ascii="宋体" w:hAnsi="宋体" w:eastAsia="宋体" w:cs="宋体"/>
          <w:color w:val="auto"/>
          <w:sz w:val="23"/>
          <w:szCs w:val="23"/>
        </w:rPr>
      </w:pPr>
      <w:r>
        <w:rPr>
          <w:rFonts w:hint="eastAsia" w:ascii="宋体" w:hAnsi="宋体" w:eastAsia="宋体" w:cs="宋体"/>
          <w:color w:val="auto"/>
          <w:spacing w:val="14"/>
          <w:sz w:val="23"/>
          <w:szCs w:val="23"/>
        </w:rPr>
        <w:t>法</w:t>
      </w:r>
      <w:r>
        <w:rPr>
          <w:rFonts w:hint="eastAsia" w:ascii="宋体" w:hAnsi="宋体" w:eastAsia="宋体" w:cs="宋体"/>
          <w:color w:val="auto"/>
          <w:spacing w:val="7"/>
          <w:sz w:val="23"/>
          <w:szCs w:val="23"/>
        </w:rPr>
        <w:t>定代表人(签字并盖章)：</w:t>
      </w:r>
      <w:r>
        <w:rPr>
          <w:rFonts w:hint="eastAsia" w:ascii="宋体" w:hAnsi="宋体" w:eastAsia="宋体" w:cs="宋体"/>
          <w:color w:val="auto"/>
          <w:sz w:val="23"/>
          <w:szCs w:val="23"/>
          <w:u w:val="single" w:color="auto"/>
        </w:rPr>
        <w:t xml:space="preserve">               </w:t>
      </w:r>
    </w:p>
    <w:p>
      <w:pPr>
        <w:tabs>
          <w:tab w:val="left" w:pos="6717"/>
        </w:tabs>
        <w:spacing w:before="30" w:line="360" w:lineRule="auto"/>
        <w:jc w:val="right"/>
        <w:rPr>
          <w:rFonts w:hint="eastAsia" w:ascii="宋体" w:hAnsi="宋体" w:eastAsia="宋体" w:cs="宋体"/>
          <w:color w:val="auto"/>
          <w:sz w:val="23"/>
          <w:szCs w:val="23"/>
        </w:rPr>
      </w:pPr>
      <w:r>
        <w:rPr>
          <w:rFonts w:hint="eastAsia" w:ascii="宋体" w:hAnsi="宋体" w:eastAsia="宋体" w:cs="宋体"/>
          <w:color w:val="auto"/>
          <w:spacing w:val="-8"/>
          <w:sz w:val="23"/>
          <w:szCs w:val="23"/>
          <w:u w:val="single" w:color="auto"/>
        </w:rPr>
        <w:t xml:space="preserve"> </w:t>
      </w:r>
      <w:r>
        <w:rPr>
          <w:rFonts w:hint="eastAsia" w:ascii="宋体" w:hAnsi="宋体" w:cs="宋体"/>
          <w:color w:val="auto"/>
          <w:spacing w:val="-8"/>
          <w:sz w:val="23"/>
          <w:szCs w:val="23"/>
          <w:u w:val="single" w:color="auto"/>
          <w:lang w:val="en-US" w:eastAsia="zh-CN"/>
        </w:rPr>
        <w:t xml:space="preserve">    </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年</w:t>
      </w:r>
      <w:r>
        <w:rPr>
          <w:rFonts w:hint="eastAsia" w:ascii="宋体" w:hAnsi="宋体" w:eastAsia="宋体" w:cs="宋体"/>
          <w:color w:val="auto"/>
          <w:spacing w:val="-8"/>
          <w:sz w:val="23"/>
          <w:szCs w:val="23"/>
          <w:u w:val="single" w:color="auto"/>
        </w:rPr>
        <w:t xml:space="preserve"> </w:t>
      </w:r>
      <w:r>
        <w:rPr>
          <w:rFonts w:hint="eastAsia" w:ascii="宋体" w:hAnsi="宋体" w:cs="宋体"/>
          <w:color w:val="auto"/>
          <w:spacing w:val="-8"/>
          <w:sz w:val="23"/>
          <w:szCs w:val="23"/>
          <w:u w:val="single" w:color="auto"/>
          <w:lang w:val="en-US" w:eastAsia="zh-CN"/>
        </w:rPr>
        <w:t xml:space="preserve">  </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月</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日</w:t>
      </w:r>
    </w:p>
    <w:p>
      <w:pPr>
        <w:spacing w:before="100" w:line="360" w:lineRule="auto"/>
        <w:ind w:firstLine="1832" w:firstLineChars="400"/>
        <w:outlineLvl w:val="1"/>
        <w:rPr>
          <w:rFonts w:hint="eastAsia" w:ascii="宋体" w:hAnsi="宋体" w:eastAsia="宋体" w:cs="宋体"/>
          <w:color w:val="auto"/>
          <w:sz w:val="43"/>
          <w:szCs w:val="43"/>
        </w:rPr>
      </w:pPr>
      <w:bookmarkStart w:id="56" w:name="_Toc12484"/>
      <w:r>
        <w:rPr>
          <w:rFonts w:hint="eastAsia" w:ascii="宋体" w:hAnsi="宋体" w:eastAsia="宋体" w:cs="宋体"/>
          <w:color w:val="auto"/>
          <w:spacing w:val="14"/>
          <w:position w:val="19"/>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9"/>
          <w:position w:val="19"/>
          <w:sz w:val="43"/>
          <w:szCs w:val="43"/>
          <w14:textOutline w14:w="7972" w14:cap="sq" w14:cmpd="sng">
            <w14:solidFill>
              <w14:srgbClr w14:val="000000"/>
            </w14:solidFill>
            <w14:prstDash w14:val="solid"/>
            <w14:bevel/>
          </w14:textOutline>
        </w:rPr>
        <w:t>二部分</w:t>
      </w:r>
      <w:r>
        <w:rPr>
          <w:rFonts w:hint="eastAsia" w:ascii="宋体" w:hAnsi="宋体" w:eastAsia="宋体" w:cs="宋体"/>
          <w:color w:val="auto"/>
          <w:spacing w:val="9"/>
          <w:position w:val="19"/>
          <w:sz w:val="43"/>
          <w:szCs w:val="43"/>
        </w:rPr>
        <w:t xml:space="preserve"> </w:t>
      </w:r>
      <w:r>
        <w:rPr>
          <w:rFonts w:hint="eastAsia" w:ascii="宋体" w:hAnsi="宋体" w:eastAsia="宋体" w:cs="宋体"/>
          <w:color w:val="auto"/>
          <w:spacing w:val="9"/>
          <w:position w:val="19"/>
          <w:sz w:val="43"/>
          <w:szCs w:val="43"/>
          <w14:textOutline w14:w="7972" w14:cap="sq" w14:cmpd="sng">
            <w14:solidFill>
              <w14:srgbClr w14:val="000000"/>
            </w14:solidFill>
            <w14:prstDash w14:val="solid"/>
            <w14:bevel/>
          </w14:textOutline>
        </w:rPr>
        <w:t>符合性证明文件</w:t>
      </w:r>
      <w:bookmarkEnd w:id="56"/>
    </w:p>
    <w:p>
      <w:pPr>
        <w:spacing w:before="181" w:line="360" w:lineRule="auto"/>
        <w:ind w:left="2475"/>
        <w:outlineLvl w:val="2"/>
        <w:rPr>
          <w:rFonts w:hint="eastAsia" w:ascii="宋体" w:hAnsi="宋体" w:eastAsia="宋体" w:cs="宋体"/>
          <w:b/>
          <w:kern w:val="0"/>
          <w:sz w:val="28"/>
          <w:szCs w:val="28"/>
          <w:shd w:val="clear" w:color="auto" w:fill="FFFFFF"/>
          <w:lang w:val="en-US" w:eastAsia="zh-CN" w:bidi="ar-SA"/>
        </w:rPr>
      </w:pPr>
      <w:bookmarkStart w:id="57" w:name="_Toc6683"/>
      <w:r>
        <w:rPr>
          <w:rFonts w:hint="eastAsia" w:ascii="宋体" w:hAnsi="宋体" w:eastAsia="宋体" w:cs="宋体"/>
          <w:b/>
          <w:kern w:val="0"/>
          <w:sz w:val="28"/>
          <w:szCs w:val="28"/>
          <w:shd w:val="clear" w:color="auto" w:fill="FFFFFF"/>
          <w:lang w:val="en-US" w:eastAsia="zh-CN" w:bidi="ar-SA"/>
        </w:rPr>
        <w:t>一、响应函</w:t>
      </w:r>
      <w:bookmarkEnd w:id="57"/>
    </w:p>
    <w:p>
      <w:pPr>
        <w:spacing w:line="360" w:lineRule="auto"/>
        <w:rPr>
          <w:rFonts w:hint="eastAsia" w:ascii="宋体" w:hAnsi="宋体" w:eastAsia="宋体" w:cs="宋体"/>
          <w:color w:val="auto"/>
          <w:sz w:val="24"/>
        </w:rPr>
      </w:pPr>
      <w:bookmarkStart w:id="58" w:name="_Toc283240496"/>
      <w:bookmarkStart w:id="59" w:name="_Toc334522291"/>
      <w:bookmarkStart w:id="60" w:name="_Toc347478746"/>
      <w:bookmarkStart w:id="61" w:name="_Toc312789403"/>
      <w:bookmarkStart w:id="62" w:name="_Toc311415657"/>
      <w:bookmarkStart w:id="63" w:name="_Toc9587"/>
      <w:bookmarkStart w:id="64" w:name="_Toc283626511"/>
      <w:r>
        <w:rPr>
          <w:rFonts w:hint="eastAsia" w:ascii="宋体" w:hAnsi="宋体" w:eastAsia="宋体" w:cs="宋体"/>
          <w:color w:val="auto"/>
          <w:kern w:val="0"/>
          <w:sz w:val="24"/>
          <w:szCs w:val="24"/>
          <w:lang w:eastAsia="zh-CN"/>
        </w:rPr>
        <w:t>华春建设工程项目管理有限责任公司</w:t>
      </w:r>
      <w:r>
        <w:rPr>
          <w:rFonts w:hint="eastAsia" w:ascii="宋体" w:hAnsi="宋体" w:eastAsia="宋体" w:cs="宋体"/>
          <w:color w:val="auto"/>
          <w:kern w:val="0"/>
          <w:sz w:val="24"/>
          <w:szCs w:val="24"/>
        </w:rPr>
        <w:t>：</w:t>
      </w:r>
    </w:p>
    <w:p>
      <w:pPr>
        <w:spacing w:line="360" w:lineRule="auto"/>
        <w:ind w:firstLine="540" w:firstLineChars="225"/>
        <w:rPr>
          <w:rFonts w:hint="eastAsia" w:ascii="宋体" w:hAnsi="宋体" w:eastAsia="宋体" w:cs="宋体"/>
          <w:color w:val="auto"/>
          <w:sz w:val="24"/>
        </w:rPr>
      </w:pPr>
      <w:bookmarkStart w:id="65" w:name="_Hlt491573407"/>
      <w:bookmarkEnd w:id="65"/>
      <w:r>
        <w:rPr>
          <w:rFonts w:hint="eastAsia" w:ascii="宋体" w:hAnsi="宋体" w:eastAsia="宋体" w:cs="宋体"/>
          <w:color w:val="auto"/>
          <w:sz w:val="24"/>
        </w:rPr>
        <w:t>我单位收到贵公司</w:t>
      </w:r>
      <w:r>
        <w:rPr>
          <w:rFonts w:hint="eastAsia" w:ascii="宋体" w:hAnsi="宋体" w:eastAsia="宋体" w:cs="宋体"/>
          <w:color w:val="auto"/>
          <w:sz w:val="24"/>
          <w:u w:val="single"/>
        </w:rPr>
        <w:t xml:space="preserve">   （采购项目名称、采购项目编号）  </w:t>
      </w:r>
      <w:r>
        <w:rPr>
          <w:rFonts w:hint="eastAsia" w:ascii="宋体" w:hAnsi="宋体" w:eastAsia="宋体" w:cs="宋体"/>
          <w:color w:val="auto"/>
          <w:sz w:val="24"/>
          <w:lang w:eastAsia="zh-CN"/>
        </w:rPr>
        <w:t>磋商</w:t>
      </w:r>
      <w:r>
        <w:rPr>
          <w:rFonts w:hint="eastAsia" w:ascii="宋体" w:hAnsi="宋体" w:eastAsia="宋体" w:cs="宋体"/>
          <w:color w:val="auto"/>
          <w:sz w:val="24"/>
        </w:rPr>
        <w:t>文件，经详细研究，决定参加本次投标活动，签字代表</w:t>
      </w:r>
      <w:r>
        <w:rPr>
          <w:rFonts w:hint="eastAsia" w:ascii="宋体" w:hAnsi="宋体" w:eastAsia="宋体" w:cs="宋体"/>
          <w:color w:val="auto"/>
          <w:sz w:val="24"/>
          <w:u w:val="single"/>
        </w:rPr>
        <w:t xml:space="preserve"> (全名、职务)</w:t>
      </w:r>
      <w:r>
        <w:rPr>
          <w:rFonts w:hint="eastAsia" w:ascii="宋体" w:hAnsi="宋体" w:eastAsia="宋体" w:cs="宋体"/>
          <w:color w:val="auto"/>
          <w:sz w:val="24"/>
        </w:rPr>
        <w:t>经正式授权并代表</w:t>
      </w:r>
      <w:r>
        <w:rPr>
          <w:rFonts w:hint="eastAsia" w:ascii="宋体" w:hAnsi="宋体" w:eastAsia="宋体" w:cs="宋体"/>
          <w:color w:val="auto"/>
          <w:sz w:val="24"/>
          <w:u w:val="single"/>
        </w:rPr>
        <w:t>（投标单位名称、地址。</w:t>
      </w:r>
      <w:r>
        <w:rPr>
          <w:rFonts w:hint="eastAsia" w:ascii="宋体" w:hAnsi="宋体" w:eastAsia="宋体" w:cs="宋体"/>
          <w:color w:val="auto"/>
          <w:sz w:val="24"/>
        </w:rPr>
        <w:t>为此，我方郑重声明以下几点，并愿负法律责任。</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w:t>
      </w:r>
      <w:r>
        <w:rPr>
          <w:rFonts w:hint="eastAsia" w:ascii="宋体" w:hAnsi="宋体" w:eastAsia="宋体" w:cs="宋体"/>
          <w:color w:val="auto"/>
          <w:sz w:val="24"/>
          <w:lang w:eastAsia="zh-CN"/>
        </w:rPr>
        <w:t>磋商文件</w:t>
      </w:r>
      <w:r>
        <w:rPr>
          <w:rFonts w:hint="eastAsia" w:ascii="宋体" w:hAnsi="宋体" w:eastAsia="宋体" w:cs="宋体"/>
          <w:color w:val="auto"/>
          <w:sz w:val="24"/>
        </w:rPr>
        <w:t>中的一切要求，提供完全满足采购需求的合格产品、全面技术和售后服务保障。</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2、如若中标，将根据</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及承诺条件，全面签约并履行合同规定的责任和义务。</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3、我方提交的</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包括：正本壹份、副本壹份、电子版（word或PDF文件U盘）壹份。</w:t>
      </w:r>
    </w:p>
    <w:p>
      <w:pPr>
        <w:kinsoku w:val="0"/>
        <w:spacing w:line="360" w:lineRule="auto"/>
        <w:rPr>
          <w:rFonts w:hint="eastAsia" w:ascii="宋体" w:hAnsi="宋体" w:eastAsia="宋体" w:cs="宋体"/>
          <w:color w:val="auto"/>
          <w:sz w:val="24"/>
        </w:rPr>
      </w:pPr>
      <w:r>
        <w:rPr>
          <w:rFonts w:hint="eastAsia" w:ascii="宋体" w:hAnsi="宋体" w:eastAsia="宋体" w:cs="宋体"/>
          <w:color w:val="auto"/>
          <w:sz w:val="24"/>
        </w:rPr>
        <w:t>4、我方所附开标一览表中的</w:t>
      </w:r>
      <w:r>
        <w:rPr>
          <w:rFonts w:hint="eastAsia" w:ascii="宋体" w:hAnsi="宋体" w:eastAsia="宋体" w:cs="宋体"/>
          <w:color w:val="auto"/>
          <w:sz w:val="24"/>
          <w:lang w:eastAsia="zh-CN"/>
        </w:rPr>
        <w:t>磋商</w:t>
      </w:r>
      <w:r>
        <w:rPr>
          <w:rFonts w:hint="eastAsia" w:ascii="宋体" w:hAnsi="宋体" w:eastAsia="宋体" w:cs="宋体"/>
          <w:color w:val="auto"/>
          <w:sz w:val="24"/>
        </w:rPr>
        <w:t>总价为：</w:t>
      </w:r>
      <w:r>
        <w:rPr>
          <w:rFonts w:hint="eastAsia" w:ascii="宋体" w:hAnsi="宋体" w:eastAsia="宋体" w:cs="宋体"/>
          <w:color w:val="auto"/>
          <w:sz w:val="24"/>
          <w:u w:val="single"/>
        </w:rPr>
        <w:t>（小写金额）</w:t>
      </w:r>
      <w:r>
        <w:rPr>
          <w:rFonts w:hint="eastAsia" w:ascii="宋体" w:hAnsi="宋体" w:eastAsia="宋体" w:cs="宋体"/>
          <w:color w:val="auto"/>
          <w:sz w:val="24"/>
        </w:rPr>
        <w:t>（即：</w:t>
      </w:r>
      <w:r>
        <w:rPr>
          <w:rFonts w:hint="eastAsia" w:ascii="宋体" w:hAnsi="宋体" w:eastAsia="宋体" w:cs="宋体"/>
          <w:color w:val="auto"/>
          <w:sz w:val="24"/>
          <w:u w:val="single"/>
        </w:rPr>
        <w:t>大写金额</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rPr>
        <w:t>；</w:t>
      </w:r>
    </w:p>
    <w:p>
      <w:pPr>
        <w:kinsoku w:val="0"/>
        <w:spacing w:line="360" w:lineRule="auto"/>
        <w:rPr>
          <w:rFonts w:hint="eastAsia" w:ascii="宋体" w:hAnsi="宋体" w:eastAsia="宋体" w:cs="宋体"/>
          <w:color w:val="auto"/>
          <w:sz w:val="24"/>
        </w:rPr>
      </w:pPr>
      <w:r>
        <w:rPr>
          <w:rFonts w:hint="eastAsia" w:ascii="宋体" w:hAnsi="宋体" w:eastAsia="宋体" w:cs="宋体"/>
          <w:color w:val="auto"/>
          <w:sz w:val="24"/>
        </w:rPr>
        <w:t>5、我方按</w:t>
      </w:r>
      <w:r>
        <w:rPr>
          <w:rFonts w:hint="eastAsia" w:ascii="宋体" w:hAnsi="宋体" w:eastAsia="宋体" w:cs="宋体"/>
          <w:color w:val="auto"/>
          <w:sz w:val="24"/>
          <w:lang w:eastAsia="zh-CN"/>
        </w:rPr>
        <w:t>磋商</w:t>
      </w:r>
      <w:r>
        <w:rPr>
          <w:rFonts w:hint="eastAsia" w:ascii="宋体" w:hAnsi="宋体" w:eastAsia="宋体" w:cs="宋体"/>
          <w:color w:val="auto"/>
          <w:sz w:val="24"/>
        </w:rPr>
        <w:t>文件要求交纳投标保证金为：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6、我方已详细阅读并完全理解</w:t>
      </w:r>
      <w:r>
        <w:rPr>
          <w:rFonts w:hint="eastAsia" w:ascii="宋体" w:hAnsi="宋体" w:eastAsia="宋体" w:cs="宋体"/>
          <w:color w:val="auto"/>
          <w:sz w:val="24"/>
          <w:lang w:eastAsia="zh-CN"/>
        </w:rPr>
        <w:t>磋商文件</w:t>
      </w:r>
      <w:r>
        <w:rPr>
          <w:rFonts w:hint="eastAsia" w:ascii="宋体" w:hAnsi="宋体" w:eastAsia="宋体" w:cs="宋体"/>
          <w:color w:val="auto"/>
          <w:sz w:val="24"/>
        </w:rPr>
        <w:t>内容，同意放弃有不明及误解的权利。</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7、我方同意提供与本次招标有关的任何证明资料，并为资料的真实性承担法律责任。</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8、我方的</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在开标之日起有效期为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9、所有关于本次投标的函电，请按下列地址、方式联系：</w:t>
      </w:r>
    </w:p>
    <w:p>
      <w:pPr>
        <w:kinsoku w:val="0"/>
        <w:spacing w:line="360" w:lineRule="auto"/>
        <w:ind w:firstLine="8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pPr>
        <w:kinsoku w:val="0"/>
        <w:spacing w:line="360" w:lineRule="auto"/>
        <w:rPr>
          <w:rFonts w:hint="eastAsia" w:ascii="宋体" w:hAnsi="宋体" w:eastAsia="宋体" w:cs="宋体"/>
          <w:color w:val="auto"/>
          <w:sz w:val="24"/>
        </w:rPr>
      </w:pPr>
      <w:r>
        <w:rPr>
          <w:rFonts w:hint="eastAsia" w:ascii="宋体" w:hAnsi="宋体" w:eastAsia="宋体" w:cs="宋体"/>
          <w:color w:val="auto"/>
          <w:sz w:val="24"/>
        </w:rPr>
        <w:t>投标单位：全称（公章）</w:t>
      </w:r>
      <w:r>
        <w:rPr>
          <w:rFonts w:hint="eastAsia" w:ascii="宋体" w:hAnsi="宋体" w:eastAsia="宋体" w:cs="宋体"/>
          <w:color w:val="auto"/>
          <w:sz w:val="24"/>
          <w:u w:val="single"/>
        </w:rPr>
        <w:t xml:space="preserve">                                         </w:t>
      </w:r>
    </w:p>
    <w:p>
      <w:pPr>
        <w:kinsoku w:val="0"/>
        <w:spacing w:line="360" w:lineRule="auto"/>
        <w:rPr>
          <w:rFonts w:hint="eastAsia" w:ascii="宋体" w:hAnsi="宋体" w:eastAsia="宋体" w:cs="宋体"/>
          <w:color w:val="auto"/>
          <w:sz w:val="24"/>
          <w:u w:val="single"/>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rPr>
        <w:t>（</w:t>
      </w:r>
      <w:r>
        <w:rPr>
          <w:rFonts w:hint="eastAsia" w:ascii="宋体" w:hAnsi="宋体" w:eastAsia="宋体" w:cs="宋体"/>
          <w:color w:val="auto"/>
          <w:kern w:val="0"/>
          <w:sz w:val="24"/>
          <w:szCs w:val="24"/>
          <w:lang w:bidi="ar"/>
        </w:rPr>
        <w:t>盖章或签字</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kinsoku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pPr>
        <w:spacing w:before="274" w:line="360" w:lineRule="auto"/>
        <w:ind w:left="2845"/>
        <w:rPr>
          <w:rFonts w:hint="eastAsia" w:ascii="宋体" w:hAnsi="宋体" w:eastAsia="宋体" w:cs="宋体"/>
          <w:b/>
          <w:kern w:val="0"/>
          <w:sz w:val="28"/>
          <w:szCs w:val="28"/>
          <w:shd w:val="clear" w:color="auto" w:fill="FFFFFF"/>
          <w:lang w:val="en-US" w:eastAsia="zh-CN" w:bidi="ar-SA"/>
        </w:rPr>
      </w:pPr>
      <w:r>
        <w:rPr>
          <w:rFonts w:hint="eastAsia" w:ascii="宋体" w:hAnsi="宋体" w:eastAsia="宋体" w:cs="宋体"/>
          <w:color w:val="auto"/>
          <w:sz w:val="24"/>
          <w:szCs w:val="24"/>
        </w:rPr>
        <w:br w:type="page"/>
      </w:r>
      <w:bookmarkStart w:id="66" w:name="_Toc31273"/>
      <w:bookmarkStart w:id="67" w:name="_Toc462325842"/>
      <w:bookmarkStart w:id="68" w:name="_Toc20560"/>
      <w:bookmarkStart w:id="69" w:name="_Toc27905"/>
      <w:bookmarkStart w:id="70" w:name="_Toc15060"/>
      <w:bookmarkStart w:id="71" w:name="_Toc16042"/>
      <w:bookmarkStart w:id="72" w:name="_Toc708"/>
      <w:bookmarkStart w:id="73" w:name="_Toc5066"/>
      <w:r>
        <w:rPr>
          <w:rFonts w:hint="eastAsia" w:ascii="宋体" w:hAnsi="宋体" w:eastAsia="宋体" w:cs="宋体"/>
          <w:b/>
          <w:kern w:val="0"/>
          <w:sz w:val="28"/>
          <w:szCs w:val="28"/>
          <w:shd w:val="clear" w:color="auto" w:fill="FFFFFF"/>
          <w:lang w:val="en-US" w:eastAsia="zh-CN" w:bidi="ar-SA"/>
        </w:rPr>
        <w:t>二、磋商报价表</w:t>
      </w:r>
      <w:bookmarkEnd w:id="66"/>
    </w:p>
    <w:p>
      <w:pPr>
        <w:spacing w:before="274" w:line="360" w:lineRule="auto"/>
        <w:ind w:left="2845"/>
        <w:rPr>
          <w:rFonts w:hint="eastAsia" w:ascii="宋体" w:hAnsi="宋体" w:eastAsia="宋体" w:cs="宋体"/>
          <w:b/>
          <w:kern w:val="0"/>
          <w:sz w:val="24"/>
          <w:szCs w:val="24"/>
          <w:shd w:val="clear" w:color="auto" w:fill="FFFFFF"/>
          <w:lang w:val="en-US" w:eastAsia="zh-CN" w:bidi="ar-SA"/>
        </w:rPr>
      </w:pPr>
      <w:bookmarkStart w:id="74" w:name="_Toc18127"/>
      <w:r>
        <w:rPr>
          <w:rFonts w:hint="eastAsia" w:ascii="宋体" w:hAnsi="宋体" w:eastAsia="宋体" w:cs="宋体"/>
          <w:b/>
          <w:kern w:val="0"/>
          <w:sz w:val="24"/>
          <w:szCs w:val="24"/>
          <w:shd w:val="clear" w:color="auto" w:fill="FFFFFF"/>
          <w:lang w:val="en-US" w:eastAsia="zh-CN" w:bidi="ar-SA"/>
        </w:rPr>
        <w:t>2.1磋商一览表</w:t>
      </w:r>
      <w:bookmarkEnd w:id="58"/>
      <w:bookmarkEnd w:id="59"/>
      <w:bookmarkEnd w:id="60"/>
      <w:bookmarkEnd w:id="61"/>
      <w:bookmarkEnd w:id="62"/>
      <w:bookmarkEnd w:id="63"/>
      <w:bookmarkEnd w:id="64"/>
      <w:bookmarkEnd w:id="67"/>
      <w:bookmarkEnd w:id="68"/>
      <w:bookmarkEnd w:id="69"/>
      <w:bookmarkEnd w:id="70"/>
      <w:bookmarkEnd w:id="71"/>
      <w:bookmarkEnd w:id="72"/>
      <w:bookmarkEnd w:id="73"/>
      <w:bookmarkEnd w:id="74"/>
    </w:p>
    <w:tbl>
      <w:tblPr>
        <w:tblStyle w:val="20"/>
        <w:tblW w:w="96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6"/>
        <w:gridCol w:w="7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21"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总价</w:t>
            </w:r>
          </w:p>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（人民币）</w:t>
            </w:r>
          </w:p>
        </w:tc>
        <w:tc>
          <w:tcPr>
            <w:tcW w:w="7903"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小写金额：</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 xml:space="preserve">元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大写金额：</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元</w:t>
            </w:r>
            <w:r>
              <w:rPr>
                <w:rFonts w:hint="eastAsia" w:ascii="宋体" w:hAnsi="宋体" w:eastAsia="宋体" w:cs="宋体"/>
                <w:color w:val="auto"/>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8"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采购项目名称</w:t>
            </w:r>
          </w:p>
        </w:tc>
        <w:tc>
          <w:tcPr>
            <w:tcW w:w="7903" w:type="dxa"/>
            <w:noWrap w:val="0"/>
            <w:vAlign w:val="center"/>
          </w:tcPr>
          <w:p>
            <w:pPr>
              <w:widowControl/>
              <w:spacing w:line="360" w:lineRule="auto"/>
              <w:jc w:val="left"/>
              <w:rPr>
                <w:rFonts w:hint="eastAsia" w:ascii="宋体" w:hAnsi="宋体" w:eastAsia="宋体" w:cs="宋体"/>
                <w:b/>
                <w:bCs/>
                <w:color w:val="auto"/>
                <w:kern w:val="0"/>
                <w:sz w:val="24"/>
                <w:szCs w:val="24"/>
              </w:rPr>
            </w:pPr>
          </w:p>
          <w:p>
            <w:pPr>
              <w:widowControl/>
              <w:spacing w:line="360" w:lineRule="auto"/>
              <w:jc w:val="center"/>
              <w:rPr>
                <w:rFonts w:hint="eastAsia" w:ascii="宋体" w:hAnsi="宋体" w:eastAsia="宋体" w:cs="宋体"/>
                <w:b/>
                <w:bCs/>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3"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7903" w:type="dxa"/>
            <w:noWrap w:val="0"/>
            <w:vAlign w:val="center"/>
          </w:tcPr>
          <w:p>
            <w:pPr>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81"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供应商</w:t>
            </w:r>
          </w:p>
        </w:tc>
        <w:tc>
          <w:tcPr>
            <w:tcW w:w="7903" w:type="dxa"/>
            <w:noWrap w:val="0"/>
            <w:vAlign w:val="center"/>
          </w:tcPr>
          <w:p>
            <w:pPr>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4"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期</w:t>
            </w:r>
          </w:p>
        </w:tc>
        <w:tc>
          <w:tcPr>
            <w:tcW w:w="7903" w:type="dxa"/>
            <w:noWrap w:val="0"/>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rPr>
      </w:pPr>
    </w:p>
    <w:p>
      <w:pPr>
        <w:spacing w:line="360" w:lineRule="auto"/>
        <w:ind w:left="0" w:leftChars="0" w:firstLine="0" w:firstLineChars="0"/>
        <w:rPr>
          <w:rFonts w:hint="eastAsia" w:ascii="宋体" w:hAnsi="宋体" w:eastAsia="宋体" w:cs="宋体"/>
          <w:color w:val="auto"/>
          <w:sz w:val="24"/>
        </w:rPr>
      </w:pPr>
    </w:p>
    <w:p>
      <w:pPr>
        <w:spacing w:line="360" w:lineRule="auto"/>
        <w:ind w:firstLine="360" w:firstLineChars="150"/>
        <w:rPr>
          <w:rFonts w:hint="eastAsia" w:ascii="宋体" w:hAnsi="宋体" w:eastAsia="宋体" w:cs="宋体"/>
          <w:color w:val="auto"/>
          <w:sz w:val="24"/>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spacing w:line="360" w:lineRule="auto"/>
        <w:ind w:right="-161"/>
        <w:rPr>
          <w:rFonts w:hint="eastAsia" w:ascii="宋体" w:hAnsi="宋体" w:eastAsia="宋体" w:cs="宋体"/>
          <w:color w:val="auto"/>
          <w:sz w:val="24"/>
          <w:szCs w:val="24"/>
          <w:u w:val="single"/>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供</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line="360" w:lineRule="auto"/>
        <w:ind w:right="-161" w:firstLine="2640" w:firstLineChars="1100"/>
        <w:rPr>
          <w:rFonts w:hint="eastAsia" w:ascii="宋体" w:hAnsi="宋体" w:eastAsia="宋体" w:cs="宋体"/>
          <w:color w:val="auto"/>
          <w:sz w:val="24"/>
          <w:szCs w:val="24"/>
          <w:u w:val="single"/>
        </w:rPr>
      </w:pPr>
    </w:p>
    <w:p>
      <w:pPr>
        <w:pStyle w:val="2"/>
        <w:spacing w:line="360" w:lineRule="auto"/>
        <w:ind w:firstLine="2160" w:firstLineChars="900"/>
        <w:jc w:val="both"/>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bookmarkStart w:id="75" w:name="_Toc16000"/>
      <w:bookmarkStart w:id="76" w:name="_Toc312789404"/>
      <w:bookmarkStart w:id="77" w:name="_Toc347478747"/>
      <w:bookmarkStart w:id="78" w:name="_Toc283240497"/>
      <w:bookmarkStart w:id="79" w:name="_Toc311415658"/>
      <w:bookmarkStart w:id="80" w:name="_Toc334522292"/>
      <w:r>
        <w:rPr>
          <w:rFonts w:hint="eastAsia" w:ascii="宋体" w:hAnsi="宋体" w:eastAsia="宋体" w:cs="宋体"/>
          <w:b w:val="0"/>
          <w:color w:val="auto"/>
          <w:sz w:val="24"/>
          <w:szCs w:val="24"/>
          <w:u w:val="single"/>
        </w:rPr>
        <w:br w:type="page"/>
      </w:r>
      <w:bookmarkStart w:id="81" w:name="_Toc8483"/>
      <w:bookmarkStart w:id="82" w:name="_Toc27665"/>
      <w:bookmarkStart w:id="83" w:name="_Toc29346"/>
      <w:bookmarkStart w:id="84" w:name="_Toc20819"/>
      <w:bookmarkStart w:id="85" w:name="_Toc30603"/>
      <w:bookmarkStart w:id="86" w:name="_Toc9067"/>
      <w:bookmarkStart w:id="87" w:name="_Toc12397"/>
      <w:bookmarkStart w:id="88" w:name="_Toc20392"/>
      <w:r>
        <w:rPr>
          <w:rFonts w:hint="eastAsia" w:ascii="宋体" w:hAnsi="宋体" w:eastAsia="宋体" w:cs="宋体"/>
          <w:b/>
          <w:kern w:val="0"/>
          <w:sz w:val="24"/>
          <w:szCs w:val="24"/>
          <w:shd w:val="clear" w:color="auto" w:fill="FFFFFF"/>
          <w:lang w:val="en-US" w:eastAsia="zh-CN" w:bidi="ar-SA"/>
        </w:rPr>
        <w:t>2.2分项报价表</w:t>
      </w:r>
    </w:p>
    <w:p>
      <w:pPr>
        <w:shd w:val="clear" w:color="auto" w:fill="auto"/>
        <w:jc w:val="center"/>
        <w:rPr>
          <w:rFonts w:hint="eastAsia" w:ascii="宋体" w:hAnsi="Times New Roman" w:eastAsia="宋体" w:cs="Times New Roman"/>
          <w:color w:val="auto"/>
          <w:kern w:val="0"/>
          <w:highlight w:val="none"/>
          <w:lang w:eastAsia="zh-CN"/>
        </w:rPr>
      </w:pPr>
      <w:r>
        <w:rPr>
          <w:rFonts w:hint="eastAsia" w:ascii="宋体" w:hAnsi="宋体" w:eastAsia="宋体" w:cs="Times New Roman"/>
          <w:b/>
          <w:color w:val="auto"/>
          <w:kern w:val="0"/>
          <w:sz w:val="24"/>
          <w:highlight w:val="none"/>
        </w:rPr>
        <w:t>（格式自拟，</w:t>
      </w:r>
      <w:r>
        <w:rPr>
          <w:rFonts w:hint="eastAsia" w:ascii="宋体" w:hAnsi="宋体" w:eastAsia="宋体" w:cs="Times New Roman"/>
          <w:b/>
          <w:color w:val="auto"/>
          <w:kern w:val="0"/>
          <w:sz w:val="24"/>
          <w:highlight w:val="none"/>
          <w:lang w:eastAsia="zh-CN"/>
        </w:rPr>
        <w:t>投标人</w:t>
      </w:r>
      <w:r>
        <w:rPr>
          <w:rFonts w:hint="eastAsia" w:ascii="宋体" w:hAnsi="宋体" w:eastAsia="宋体" w:cs="Times New Roman"/>
          <w:b/>
          <w:color w:val="auto"/>
          <w:kern w:val="0"/>
          <w:sz w:val="24"/>
          <w:highlight w:val="none"/>
        </w:rPr>
        <w:t>根据项目情况自行编制，须包含本项目的所有内容）</w:t>
      </w:r>
    </w:p>
    <w:p>
      <w:pPr>
        <w:widowControl/>
        <w:spacing w:line="360" w:lineRule="auto"/>
        <w:jc w:val="center"/>
        <w:rPr>
          <w:rFonts w:hint="eastAsia" w:ascii="宋体" w:hAnsi="宋体" w:eastAsia="宋体" w:cs="宋体"/>
          <w:color w:val="auto"/>
          <w:sz w:val="24"/>
          <w:szCs w:val="24"/>
          <w:lang w:val="en-US" w:eastAsia="zh-CN"/>
        </w:rPr>
      </w:pPr>
    </w:p>
    <w:p>
      <w:pPr>
        <w:widowControl/>
        <w:spacing w:line="360" w:lineRule="auto"/>
        <w:jc w:val="center"/>
        <w:rPr>
          <w:rFonts w:hint="eastAsia" w:ascii="宋体" w:hAnsi="宋体" w:eastAsia="宋体" w:cs="宋体"/>
          <w:color w:val="auto"/>
          <w:sz w:val="24"/>
          <w:szCs w:val="24"/>
          <w:lang w:val="en-US" w:eastAsia="zh-CN"/>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供</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before="181" w:line="360" w:lineRule="auto"/>
        <w:ind w:left="2475"/>
        <w:outlineLvl w:val="2"/>
        <w:rPr>
          <w:rFonts w:hint="eastAsia" w:ascii="宋体" w:hAnsi="宋体" w:eastAsia="宋体" w:cs="宋体"/>
          <w:b/>
          <w:kern w:val="0"/>
          <w:sz w:val="28"/>
          <w:szCs w:val="28"/>
          <w:shd w:val="clear" w:color="auto" w:fill="FFFFFF"/>
          <w:lang w:val="en-US" w:eastAsia="zh-CN" w:bidi="ar-SA"/>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b w:val="0"/>
          <w:color w:val="auto"/>
          <w:sz w:val="24"/>
          <w:szCs w:val="24"/>
          <w:u w:val="single"/>
        </w:rPr>
        <w:br w:type="page"/>
      </w:r>
      <w:r>
        <w:rPr>
          <w:rFonts w:hint="eastAsia" w:ascii="宋体" w:hAnsi="宋体" w:cs="宋体"/>
          <w:b w:val="0"/>
          <w:color w:val="auto"/>
          <w:sz w:val="24"/>
          <w:szCs w:val="24"/>
          <w:u w:val="single"/>
          <w:lang w:val="en-US" w:eastAsia="zh-CN"/>
        </w:rPr>
        <w:t xml:space="preserve"> </w:t>
      </w:r>
      <w:r>
        <w:rPr>
          <w:rFonts w:hint="eastAsia" w:ascii="宋体" w:hAnsi="宋体" w:cs="宋体"/>
          <w:b w:val="0"/>
          <w:color w:val="auto"/>
          <w:sz w:val="24"/>
          <w:szCs w:val="24"/>
          <w:u w:val="none"/>
          <w:lang w:val="en-US" w:eastAsia="zh-CN"/>
        </w:rPr>
        <w:t xml:space="preserve">   </w:t>
      </w:r>
      <w:r>
        <w:rPr>
          <w:rFonts w:hint="eastAsia" w:ascii="宋体" w:hAnsi="宋体" w:eastAsia="宋体" w:cs="宋体"/>
          <w:b/>
          <w:kern w:val="0"/>
          <w:sz w:val="28"/>
          <w:szCs w:val="28"/>
          <w:shd w:val="clear" w:color="auto" w:fill="FFFFFF"/>
          <w:lang w:val="en-US" w:eastAsia="zh-CN" w:bidi="ar-SA"/>
        </w:rPr>
        <w:t xml:space="preserve">   三、</w:t>
      </w:r>
      <w:bookmarkEnd w:id="81"/>
      <w:bookmarkEnd w:id="82"/>
      <w:bookmarkEnd w:id="83"/>
      <w:bookmarkEnd w:id="84"/>
      <w:bookmarkEnd w:id="85"/>
      <w:bookmarkEnd w:id="86"/>
      <w:bookmarkEnd w:id="87"/>
      <w:r>
        <w:rPr>
          <w:rFonts w:hint="eastAsia" w:ascii="宋体" w:hAnsi="宋体" w:eastAsia="宋体" w:cs="宋体"/>
          <w:b/>
          <w:kern w:val="0"/>
          <w:sz w:val="28"/>
          <w:szCs w:val="28"/>
          <w:shd w:val="clear" w:color="auto" w:fill="FFFFFF"/>
          <w:lang w:val="en-US" w:eastAsia="zh-CN" w:bidi="ar-SA"/>
        </w:rPr>
        <w:t>承诺书</w:t>
      </w:r>
    </w:p>
    <w:p>
      <w:pPr>
        <w:pStyle w:val="17"/>
        <w:keepNext w:val="0"/>
        <w:keepLines w:val="0"/>
        <w:pageBreakBefore w:val="0"/>
        <w:widowControl/>
        <w:shd w:val="clear" w:color="060000" w:fill="FFFFFF"/>
        <w:kinsoku/>
        <w:wordWrap/>
        <w:overflowPunct/>
        <w:topLinePunct w:val="0"/>
        <w:autoSpaceDE/>
        <w:autoSpaceDN/>
        <w:bidi w:val="0"/>
        <w:adjustRightInd w:val="0"/>
        <w:snapToGrid w:val="0"/>
        <w:spacing w:before="0" w:beforeAutospacing="0" w:after="0" w:afterAutospacing="0" w:line="360" w:lineRule="auto"/>
        <w:ind w:firstLine="480"/>
        <w:jc w:val="center"/>
        <w:textAlignment w:val="auto"/>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榆林市政府采购服务类项目供应商信用承诺书</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市场主体名称：</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证件类型：统一社会信用代码</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证件号码：</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法人代表：</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承诺有效期限：   年    月    日—    年    月     日</w:t>
      </w:r>
      <w:r>
        <w:rPr>
          <w:rFonts w:hint="eastAsia" w:ascii="宋体" w:hAnsi="宋体" w:eastAsia="宋体" w:cs="宋体"/>
          <w:color w:val="auto"/>
          <w:sz w:val="24"/>
          <w:szCs w:val="24"/>
          <w:shd w:val="clear" w:color="auto" w:fill="FFFFFF"/>
          <w:lang w:eastAsia="zh-CN"/>
        </w:rPr>
        <w:t>（有效期一年）</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承诺内容：</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为维护公开、公平、公正的政府采购市场秩序，树立诚实守信的政府采购供应商形象，本单位自愿做出以下承诺：</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一、承诺本单位严格遵守国家法律、法规和规章，全面履行应尽的责任和义务，全面做到履约守信，具备《政府采购法》第二十二条第一款规定的条件;</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三、承诺本单位严格依法开展生产经营活动，主动接受行业监管，自愿接受依法开展的日常检查；违法失信经营后将自愿接受约束和惩戒，并依法承担相应责任；</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四、承诺本单位自觉接受行政管理部门、行业组织、社会公众、新闻舆论的监督；</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六、承诺本单位提出政府采购质疑和投诉坚持依法依规、诚实信用原则，在全国范围12个月内没有三次以上查无实据的政府采购投诉；</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七、根据政府采购相关法律法规的规定需要作出的其他承诺：</w:t>
      </w:r>
      <w:r>
        <w:rPr>
          <w:rFonts w:hint="eastAsia" w:ascii="宋体" w:hAnsi="宋体" w:eastAsia="宋体" w:cs="宋体"/>
          <w:color w:val="auto"/>
          <w:sz w:val="24"/>
          <w:szCs w:val="24"/>
          <w:u w:val="single"/>
          <w:shd w:val="clear" w:color="auto" w:fill="FFFFFF"/>
        </w:rPr>
        <w:t>                                                              </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xml:space="preserve">              承诺单位（盖章）：</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法定代表人（负责人）：</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2160" w:firstLineChars="9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法定代表人（负责人）身份证号：</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承诺日期：</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注：法定代表人或负责人、主体名称发生变更的应当重新做出承诺；承诺书标题按照工程类、货物类、服务类确定。</w:t>
      </w:r>
    </w:p>
    <w:p>
      <w:pPr>
        <w:pStyle w:val="2"/>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p>
    <w:p>
      <w:pPr>
        <w:pStyle w:val="2"/>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rPr>
      </w:pPr>
    </w:p>
    <w:p>
      <w:pPr>
        <w:rPr>
          <w:rFonts w:hint="eastAsia"/>
        </w:rPr>
      </w:pPr>
    </w:p>
    <w:p>
      <w:pPr>
        <w:pStyle w:val="2"/>
        <w:spacing w:line="360" w:lineRule="auto"/>
        <w:rPr>
          <w:rFonts w:hint="eastAsia" w:ascii="宋体" w:hAnsi="宋体" w:eastAsia="宋体" w:cs="宋体"/>
          <w:color w:val="auto"/>
          <w:sz w:val="24"/>
          <w:szCs w:val="24"/>
        </w:rPr>
      </w:pPr>
    </w:p>
    <w:p>
      <w:pPr>
        <w:pStyle w:val="2"/>
        <w:spacing w:line="360" w:lineRule="auto"/>
        <w:ind w:left="0" w:leftChars="0" w:firstLine="0" w:firstLineChars="0"/>
        <w:rPr>
          <w:rFonts w:hint="eastAsia" w:ascii="宋体" w:hAnsi="宋体" w:eastAsia="宋体" w:cs="宋体"/>
          <w:color w:val="auto"/>
          <w:sz w:val="24"/>
          <w:szCs w:val="24"/>
        </w:rPr>
      </w:pPr>
    </w:p>
    <w:p>
      <w:pPr>
        <w:keepNext w:val="0"/>
        <w:keepLines w:val="0"/>
        <w:widowControl/>
        <w:suppressLineNumbers w:val="0"/>
        <w:jc w:val="center"/>
        <w:rPr>
          <w:rFonts w:hint="eastAsia" w:ascii="宋体" w:hAnsi="宋体" w:eastAsia="宋体" w:cs="宋体"/>
          <w:b/>
          <w:kern w:val="0"/>
          <w:sz w:val="24"/>
          <w:szCs w:val="24"/>
          <w:shd w:val="clear" w:color="auto" w:fill="FFFFFF"/>
          <w:lang w:val="en-US" w:eastAsia="zh-CN"/>
        </w:rPr>
      </w:pPr>
      <w:bookmarkStart w:id="89" w:name="_Toc6447"/>
      <w:bookmarkStart w:id="90" w:name="_Toc363474034"/>
      <w:bookmarkStart w:id="91" w:name="_Toc403077657"/>
      <w:bookmarkStart w:id="92" w:name="_Toc11449"/>
      <w:bookmarkStart w:id="93" w:name="_Toc30095"/>
      <w:r>
        <w:rPr>
          <w:rFonts w:hint="eastAsia" w:ascii="宋体" w:hAnsi="宋体" w:eastAsia="宋体" w:cs="宋体"/>
          <w:b/>
          <w:kern w:val="0"/>
          <w:sz w:val="24"/>
          <w:szCs w:val="24"/>
          <w:shd w:val="clear" w:color="auto" w:fill="FFFFFF"/>
          <w:lang w:val="en-US" w:eastAsia="zh-CN"/>
        </w:rPr>
        <w:t>投标信用承诺书</w:t>
      </w:r>
    </w:p>
    <w:p>
      <w:pPr>
        <w:spacing w:before="78" w:line="415" w:lineRule="auto"/>
        <w:ind w:right="240"/>
        <w:rPr>
          <w:rFonts w:hint="eastAsia" w:ascii="宋体" w:hAnsi="宋体" w:eastAsia="宋体" w:cs="宋体"/>
          <w:color w:val="000000"/>
          <w:spacing w:val="-22"/>
          <w:w w:val="100"/>
          <w:sz w:val="24"/>
          <w:szCs w:val="24"/>
          <w:highlight w:val="none"/>
          <w:u w:val="single"/>
          <w:lang w:val="en-US" w:eastAsia="zh-CN"/>
        </w:rPr>
      </w:pPr>
      <w:r>
        <w:rPr>
          <w:rFonts w:hint="eastAsia" w:ascii="宋体" w:hAnsi="宋体" w:eastAsia="宋体" w:cs="宋体"/>
          <w:color w:val="000000"/>
          <w:spacing w:val="-22"/>
          <w:w w:val="100"/>
          <w:sz w:val="24"/>
          <w:szCs w:val="24"/>
          <w:highlight w:val="none"/>
          <w:lang w:eastAsia="zh-CN"/>
        </w:rPr>
        <w:t>项目名称：</w:t>
      </w:r>
      <w:r>
        <w:rPr>
          <w:rFonts w:hint="eastAsia" w:ascii="宋体" w:hAnsi="宋体" w:eastAsia="宋体" w:cs="宋体"/>
          <w:color w:val="000000"/>
          <w:spacing w:val="-22"/>
          <w:w w:val="100"/>
          <w:sz w:val="24"/>
          <w:szCs w:val="24"/>
          <w:highlight w:val="none"/>
          <w:u w:val="single"/>
          <w:lang w:val="en-US" w:eastAsia="zh-CN"/>
        </w:rPr>
        <w:t xml:space="preserve">                                                                         </w:t>
      </w:r>
    </w:p>
    <w:p>
      <w:pPr>
        <w:spacing w:before="78" w:line="415" w:lineRule="auto"/>
        <w:ind w:left="2" w:right="24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pacing w:val="-22"/>
          <w:w w:val="100"/>
          <w:sz w:val="24"/>
          <w:szCs w:val="24"/>
          <w:highlight w:val="none"/>
          <w:lang w:eastAsia="zh-CN"/>
        </w:rPr>
        <w:t>投</w:t>
      </w:r>
      <w:r>
        <w:rPr>
          <w:rFonts w:hint="eastAsia" w:ascii="宋体" w:hAnsi="宋体" w:eastAsia="宋体" w:cs="宋体"/>
          <w:color w:val="000000"/>
          <w:spacing w:val="-22"/>
          <w:w w:val="100"/>
          <w:sz w:val="24"/>
          <w:szCs w:val="24"/>
          <w:highlight w:val="none"/>
          <w:lang w:val="en-US" w:eastAsia="zh-CN"/>
        </w:rPr>
        <w:t xml:space="preserve">   </w:t>
      </w:r>
      <w:r>
        <w:rPr>
          <w:rFonts w:hint="eastAsia" w:ascii="宋体" w:hAnsi="宋体" w:eastAsia="宋体" w:cs="宋体"/>
          <w:color w:val="000000"/>
          <w:spacing w:val="-22"/>
          <w:w w:val="100"/>
          <w:sz w:val="24"/>
          <w:szCs w:val="24"/>
          <w:highlight w:val="none"/>
          <w:lang w:eastAsia="zh-CN"/>
        </w:rPr>
        <w:t>标</w:t>
      </w:r>
      <w:r>
        <w:rPr>
          <w:rFonts w:hint="eastAsia" w:ascii="宋体" w:hAnsi="宋体" w:eastAsia="宋体" w:cs="宋体"/>
          <w:color w:val="000000"/>
          <w:spacing w:val="-22"/>
          <w:w w:val="100"/>
          <w:sz w:val="24"/>
          <w:szCs w:val="24"/>
          <w:highlight w:val="none"/>
          <w:lang w:val="en-US" w:eastAsia="zh-CN"/>
        </w:rPr>
        <w:t xml:space="preserve">  </w:t>
      </w:r>
      <w:r>
        <w:rPr>
          <w:rFonts w:hint="eastAsia" w:ascii="宋体" w:hAnsi="宋体" w:eastAsia="宋体" w:cs="宋体"/>
          <w:color w:val="000000"/>
          <w:spacing w:val="-22"/>
          <w:w w:val="100"/>
          <w:sz w:val="24"/>
          <w:szCs w:val="24"/>
          <w:highlight w:val="none"/>
          <w:lang w:eastAsia="zh-CN"/>
        </w:rPr>
        <w:t>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before="1" w:line="415" w:lineRule="auto"/>
        <w:ind w:right="240"/>
        <w:rPr>
          <w:rFonts w:hint="eastAsia" w:ascii="宋体" w:hAnsi="宋体" w:eastAsia="宋体" w:cs="宋体"/>
          <w:color w:val="000000"/>
          <w:spacing w:val="16"/>
          <w:sz w:val="24"/>
          <w:szCs w:val="24"/>
          <w:highlight w:val="none"/>
        </w:rPr>
      </w:pPr>
      <w:r>
        <w:rPr>
          <w:rFonts w:hint="eastAsia" w:ascii="宋体" w:hAnsi="宋体" w:eastAsia="宋体" w:cs="宋体"/>
          <w:color w:val="000000"/>
          <w:spacing w:val="-23"/>
          <w:w w:val="98"/>
          <w:sz w:val="24"/>
          <w:szCs w:val="24"/>
          <w:highlight w:val="none"/>
        </w:rPr>
        <w:t>统一社会信用代码：</w:t>
      </w:r>
      <w:r>
        <w:rPr>
          <w:rFonts w:hint="eastAsia" w:ascii="宋体" w:hAnsi="宋体" w:eastAsia="宋体" w:cs="宋体"/>
          <w:color w:val="000000"/>
          <w:spacing w:val="2"/>
          <w:sz w:val="24"/>
          <w:szCs w:val="24"/>
          <w:highlight w:val="none"/>
          <w:u w:val="single"/>
        </w:rPr>
        <w:t xml:space="preserve">                                </w:t>
      </w:r>
      <w:r>
        <w:rPr>
          <w:rFonts w:hint="eastAsia" w:ascii="宋体" w:hAnsi="宋体" w:eastAsia="宋体" w:cs="宋体"/>
          <w:color w:val="000000"/>
          <w:spacing w:val="-23"/>
          <w:w w:val="98"/>
          <w:sz w:val="24"/>
          <w:szCs w:val="24"/>
          <w:highlight w:val="none"/>
        </w:rPr>
        <w:t>法人代表：</w:t>
      </w:r>
      <w:r>
        <w:rPr>
          <w:rFonts w:hint="eastAsia" w:ascii="宋体" w:hAnsi="宋体" w:eastAsia="宋体" w:cs="宋体"/>
          <w:color w:val="000000"/>
          <w:spacing w:val="3"/>
          <w:sz w:val="24"/>
          <w:szCs w:val="24"/>
          <w:highlight w:val="none"/>
          <w:u w:val="single"/>
        </w:rPr>
        <w:t xml:space="preserve">                  </w:t>
      </w:r>
      <w:r>
        <w:rPr>
          <w:rFonts w:hint="eastAsia" w:ascii="宋体" w:hAnsi="宋体" w:eastAsia="宋体" w:cs="宋体"/>
          <w:color w:val="000000"/>
          <w:spacing w:val="16"/>
          <w:sz w:val="24"/>
          <w:szCs w:val="24"/>
          <w:highlight w:val="none"/>
        </w:rPr>
        <w:t xml:space="preserve"> </w:t>
      </w:r>
    </w:p>
    <w:p>
      <w:pPr>
        <w:spacing w:before="1" w:line="415" w:lineRule="auto"/>
        <w:ind w:left="542" w:leftChars="202" w:right="240" w:hanging="57" w:hangingChars="25"/>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在本项目招投标活动中，我公司（单位）</w:t>
      </w:r>
      <w:r>
        <w:rPr>
          <w:rFonts w:hint="eastAsia" w:ascii="宋体" w:hAnsi="宋体" w:eastAsia="宋体" w:cs="宋体"/>
          <w:color w:val="000000"/>
          <w:spacing w:val="36"/>
          <w:sz w:val="24"/>
          <w:szCs w:val="24"/>
          <w:highlight w:val="none"/>
        </w:rPr>
        <w:t xml:space="preserve"> </w:t>
      </w:r>
      <w:r>
        <w:rPr>
          <w:rFonts w:hint="eastAsia" w:ascii="宋体" w:hAnsi="宋体" w:eastAsia="宋体" w:cs="宋体"/>
          <w:color w:val="000000"/>
          <w:spacing w:val="-5"/>
          <w:sz w:val="24"/>
          <w:szCs w:val="24"/>
          <w:highlight w:val="none"/>
        </w:rPr>
        <w:t>自愿作出以下投标信用承诺：</w:t>
      </w:r>
    </w:p>
    <w:p>
      <w:pPr>
        <w:spacing w:line="204" w:lineRule="auto"/>
        <w:ind w:firstLine="486"/>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（一）</w:t>
      </w:r>
      <w:r>
        <w:rPr>
          <w:rFonts w:hint="eastAsia" w:ascii="宋体" w:hAnsi="宋体" w:eastAsia="宋体" w:cs="宋体"/>
          <w:color w:val="000000"/>
          <w:spacing w:val="25"/>
          <w:sz w:val="24"/>
          <w:szCs w:val="24"/>
          <w:highlight w:val="none"/>
        </w:rPr>
        <w:t xml:space="preserve"> </w:t>
      </w:r>
      <w:r>
        <w:rPr>
          <w:rFonts w:hint="eastAsia" w:ascii="宋体" w:hAnsi="宋体" w:eastAsia="宋体" w:cs="宋体"/>
          <w:color w:val="000000"/>
          <w:spacing w:val="-7"/>
          <w:sz w:val="24"/>
          <w:szCs w:val="24"/>
          <w:highlight w:val="none"/>
        </w:rPr>
        <w:t>能严格遵守法律法规、职业道德和行业规范。</w:t>
      </w:r>
    </w:p>
    <w:p>
      <w:pPr>
        <w:spacing w:before="277" w:line="415" w:lineRule="auto"/>
        <w:ind w:firstLine="486"/>
        <w:rPr>
          <w:rFonts w:hint="eastAsia" w:ascii="宋体" w:hAnsi="宋体" w:eastAsia="宋体" w:cs="宋体"/>
          <w:color w:val="000000"/>
          <w:sz w:val="24"/>
          <w:szCs w:val="24"/>
          <w:highlight w:val="none"/>
        </w:rPr>
      </w:pPr>
      <w:r>
        <w:rPr>
          <w:rFonts w:hint="eastAsia" w:ascii="宋体" w:hAnsi="宋体" w:eastAsia="宋体" w:cs="宋体"/>
          <w:color w:val="000000"/>
          <w:spacing w:val="-14"/>
          <w:sz w:val="24"/>
          <w:szCs w:val="24"/>
          <w:highlight w:val="none"/>
        </w:rPr>
        <w:t>（二）</w:t>
      </w:r>
      <w:r>
        <w:rPr>
          <w:rFonts w:hint="eastAsia" w:ascii="宋体" w:hAnsi="宋体" w:eastAsia="宋体" w:cs="宋体"/>
          <w:color w:val="000000"/>
          <w:spacing w:val="16"/>
          <w:sz w:val="24"/>
          <w:szCs w:val="24"/>
          <w:highlight w:val="none"/>
        </w:rPr>
        <w:t xml:space="preserve"> </w:t>
      </w:r>
      <w:r>
        <w:rPr>
          <w:rFonts w:hint="eastAsia" w:ascii="宋体" w:hAnsi="宋体" w:eastAsia="宋体" w:cs="宋体"/>
          <w:color w:val="000000"/>
          <w:spacing w:val="-14"/>
          <w:sz w:val="24"/>
          <w:szCs w:val="24"/>
          <w:highlight w:val="none"/>
        </w:rPr>
        <w:t>不得有以下违法违规行为：1.围标串标；以他人名义或者其他方式弄虚作假投</w:t>
      </w:r>
      <w:r>
        <w:rPr>
          <w:rFonts w:hint="eastAsia" w:ascii="宋体" w:hAnsi="宋体" w:eastAsia="宋体" w:cs="宋体"/>
          <w:color w:val="000000"/>
          <w:spacing w:val="-15"/>
          <w:sz w:val="24"/>
          <w:szCs w:val="24"/>
          <w:highlight w:val="none"/>
        </w:rPr>
        <w:t>标；出让出租资格、资质证书供他人投标；恶意竞标、强揽工程；以暴力、威胁、利诱等</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1"/>
          <w:sz w:val="24"/>
          <w:szCs w:val="24"/>
          <w:highlight w:val="none"/>
        </w:rPr>
        <w:t>手段阻止或者控制其他潜在投标人参与招投标活动。2.向招投标监督部门、交易中心、招标人、招标代理机构、评审委员会及其成员等当事主体赠送财物。3.投标截止后至中标人</w:t>
      </w:r>
      <w:r>
        <w:rPr>
          <w:rFonts w:hint="eastAsia" w:ascii="宋体" w:hAnsi="宋体" w:eastAsia="宋体" w:cs="宋体"/>
          <w:color w:val="000000"/>
          <w:spacing w:val="30"/>
          <w:sz w:val="24"/>
          <w:szCs w:val="24"/>
          <w:highlight w:val="none"/>
        </w:rPr>
        <w:t xml:space="preserve"> </w:t>
      </w:r>
      <w:r>
        <w:rPr>
          <w:rFonts w:hint="eastAsia" w:ascii="宋体" w:hAnsi="宋体" w:eastAsia="宋体" w:cs="宋体"/>
          <w:color w:val="000000"/>
          <w:spacing w:val="-5"/>
          <w:sz w:val="24"/>
          <w:szCs w:val="24"/>
          <w:highlight w:val="none"/>
        </w:rPr>
        <w:t>确定前，修改或者撤销投标文件。4.在被确定为中标人后无正当理由：不按照招标文件和</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5"/>
          <w:sz w:val="24"/>
          <w:szCs w:val="24"/>
          <w:highlight w:val="none"/>
        </w:rPr>
        <w:t>投标文件与招标人签订合同；在签订合同时向招标人提出附加条件、或者改变投标文件的</w:t>
      </w:r>
      <w:r>
        <w:rPr>
          <w:rFonts w:hint="eastAsia" w:ascii="宋体" w:hAnsi="宋体" w:eastAsia="宋体" w:cs="宋体"/>
          <w:color w:val="000000"/>
          <w:spacing w:val="-10"/>
          <w:sz w:val="24"/>
          <w:szCs w:val="24"/>
          <w:highlight w:val="none"/>
        </w:rPr>
        <w:t>实质性内容；放弃中标；不按照招标文件的规定提交履约保证金。5.招投标法规定的其它</w:t>
      </w:r>
      <w:r>
        <w:rPr>
          <w:rFonts w:hint="eastAsia" w:ascii="宋体" w:hAnsi="宋体" w:eastAsia="宋体" w:cs="宋体"/>
          <w:color w:val="000000"/>
          <w:spacing w:val="-2"/>
          <w:sz w:val="24"/>
          <w:szCs w:val="24"/>
          <w:highlight w:val="none"/>
        </w:rPr>
        <w:t>违法违规行为。</w:t>
      </w:r>
    </w:p>
    <w:p>
      <w:pPr>
        <w:spacing w:before="276" w:line="415" w:lineRule="auto"/>
        <w:ind w:left="1" w:firstLine="484"/>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（三）若我公司（单位）</w:t>
      </w:r>
      <w:r>
        <w:rPr>
          <w:rFonts w:hint="eastAsia" w:ascii="宋体" w:hAnsi="宋体" w:eastAsia="宋体" w:cs="宋体"/>
          <w:color w:val="000000"/>
          <w:spacing w:val="-10"/>
          <w:sz w:val="24"/>
          <w:szCs w:val="24"/>
          <w:highlight w:val="none"/>
        </w:rPr>
        <w:t xml:space="preserve"> </w:t>
      </w:r>
      <w:r>
        <w:rPr>
          <w:rFonts w:hint="eastAsia" w:ascii="宋体" w:hAnsi="宋体" w:eastAsia="宋体" w:cs="宋体"/>
          <w:color w:val="000000"/>
          <w:spacing w:val="-7"/>
          <w:sz w:val="24"/>
          <w:szCs w:val="24"/>
          <w:highlight w:val="none"/>
        </w:rPr>
        <w:t>及相关参与人员违背以上承诺事项，即被视为失信企业（法</w:t>
      </w:r>
      <w:r>
        <w:rPr>
          <w:rFonts w:hint="eastAsia" w:ascii="宋体" w:hAnsi="宋体" w:eastAsia="宋体" w:cs="宋体"/>
          <w:color w:val="000000"/>
          <w:spacing w:val="-4"/>
          <w:sz w:val="24"/>
          <w:szCs w:val="24"/>
          <w:highlight w:val="none"/>
        </w:rPr>
        <w:t>人</w:t>
      </w:r>
      <w:r>
        <w:rPr>
          <w:rFonts w:hint="eastAsia" w:ascii="宋体" w:hAnsi="宋体" w:eastAsia="宋体" w:cs="宋体"/>
          <w:color w:val="000000"/>
          <w:spacing w:val="-62"/>
          <w:sz w:val="24"/>
          <w:szCs w:val="24"/>
          <w:highlight w:val="none"/>
        </w:rPr>
        <w:t>）</w:t>
      </w:r>
      <w:r>
        <w:rPr>
          <w:rFonts w:hint="eastAsia" w:ascii="宋体" w:hAnsi="宋体" w:eastAsia="宋体" w:cs="宋体"/>
          <w:color w:val="000000"/>
          <w:spacing w:val="34"/>
          <w:sz w:val="24"/>
          <w:szCs w:val="24"/>
          <w:highlight w:val="none"/>
        </w:rPr>
        <w:t xml:space="preserve"> </w:t>
      </w:r>
      <w:r>
        <w:rPr>
          <w:rFonts w:hint="eastAsia" w:ascii="宋体" w:hAnsi="宋体" w:eastAsia="宋体" w:cs="宋体"/>
          <w:color w:val="000000"/>
          <w:spacing w:val="-62"/>
          <w:sz w:val="24"/>
          <w:szCs w:val="24"/>
          <w:highlight w:val="none"/>
        </w:rPr>
        <w:t>，</w:t>
      </w:r>
      <w:r>
        <w:rPr>
          <w:rFonts w:hint="eastAsia" w:ascii="宋体" w:hAnsi="宋体" w:eastAsia="宋体" w:cs="宋体"/>
          <w:color w:val="000000"/>
          <w:spacing w:val="-4"/>
          <w:sz w:val="24"/>
          <w:szCs w:val="24"/>
          <w:highlight w:val="none"/>
        </w:rPr>
        <w:t>依据《关于对公共资源交易领域严重失信主体开展联合惩戒的备忘录》（发改法规</w:t>
      </w:r>
      <w:r>
        <w:rPr>
          <w:rFonts w:hint="eastAsia" w:ascii="宋体" w:hAnsi="宋体" w:eastAsia="宋体" w:cs="宋体"/>
          <w:color w:val="000000"/>
          <w:spacing w:val="-5"/>
          <w:sz w:val="24"/>
          <w:szCs w:val="24"/>
          <w:highlight w:val="none"/>
        </w:rPr>
        <w:t>[2018]457</w:t>
      </w:r>
      <w:r>
        <w:rPr>
          <w:rFonts w:hint="eastAsia" w:ascii="宋体" w:hAnsi="宋体" w:eastAsia="宋体" w:cs="宋体"/>
          <w:color w:val="000000"/>
          <w:spacing w:val="-45"/>
          <w:sz w:val="24"/>
          <w:szCs w:val="24"/>
          <w:highlight w:val="none"/>
        </w:rPr>
        <w:t xml:space="preserve"> </w:t>
      </w:r>
      <w:r>
        <w:rPr>
          <w:rFonts w:hint="eastAsia" w:ascii="宋体" w:hAnsi="宋体" w:eastAsia="宋体" w:cs="宋体"/>
          <w:color w:val="000000"/>
          <w:spacing w:val="-5"/>
          <w:sz w:val="24"/>
          <w:szCs w:val="24"/>
          <w:highlight w:val="none"/>
        </w:rPr>
        <w:t>号</w:t>
      </w:r>
      <w:r>
        <w:rPr>
          <w:rFonts w:hint="eastAsia" w:ascii="宋体" w:hAnsi="宋体" w:eastAsia="宋体" w:cs="宋体"/>
          <w:color w:val="000000"/>
          <w:spacing w:val="-82"/>
          <w:sz w:val="24"/>
          <w:szCs w:val="24"/>
          <w:highlight w:val="none"/>
        </w:rPr>
        <w:t>）</w:t>
      </w:r>
      <w:r>
        <w:rPr>
          <w:rFonts w:hint="eastAsia" w:ascii="宋体" w:hAnsi="宋体" w:eastAsia="宋体" w:cs="宋体"/>
          <w:color w:val="000000"/>
          <w:spacing w:val="30"/>
          <w:sz w:val="24"/>
          <w:szCs w:val="24"/>
          <w:highlight w:val="none"/>
        </w:rPr>
        <w:t xml:space="preserve"> </w:t>
      </w:r>
      <w:r>
        <w:rPr>
          <w:rFonts w:hint="eastAsia" w:ascii="宋体" w:hAnsi="宋体" w:eastAsia="宋体" w:cs="宋体"/>
          <w:color w:val="000000"/>
          <w:spacing w:val="-82"/>
          <w:sz w:val="24"/>
          <w:szCs w:val="24"/>
          <w:highlight w:val="none"/>
        </w:rPr>
        <w:t>，</w:t>
      </w:r>
      <w:r>
        <w:rPr>
          <w:rFonts w:hint="eastAsia" w:ascii="宋体" w:hAnsi="宋体" w:eastAsia="宋体" w:cs="宋体"/>
          <w:color w:val="000000"/>
          <w:spacing w:val="-71"/>
          <w:sz w:val="24"/>
          <w:szCs w:val="24"/>
          <w:highlight w:val="none"/>
        </w:rPr>
        <w:t xml:space="preserve"> </w:t>
      </w:r>
      <w:r>
        <w:rPr>
          <w:rFonts w:hint="eastAsia" w:ascii="宋体" w:hAnsi="宋体" w:eastAsia="宋体" w:cs="宋体"/>
          <w:color w:val="000000"/>
          <w:spacing w:val="-5"/>
          <w:sz w:val="24"/>
          <w:szCs w:val="24"/>
          <w:highlight w:val="none"/>
        </w:rPr>
        <w:t>自愿接受</w:t>
      </w:r>
      <w:r>
        <w:rPr>
          <w:rFonts w:hint="eastAsia" w:ascii="宋体" w:hAnsi="宋体" w:eastAsia="宋体" w:cs="宋体"/>
          <w:color w:val="000000"/>
          <w:spacing w:val="-33"/>
          <w:sz w:val="24"/>
          <w:szCs w:val="24"/>
          <w:highlight w:val="none"/>
        </w:rPr>
        <w:t xml:space="preserve"> </w:t>
      </w:r>
      <w:r>
        <w:rPr>
          <w:rFonts w:hint="eastAsia" w:ascii="宋体" w:hAnsi="宋体" w:eastAsia="宋体" w:cs="宋体"/>
          <w:color w:val="000000"/>
          <w:spacing w:val="-5"/>
          <w:sz w:val="24"/>
          <w:szCs w:val="24"/>
          <w:highlight w:val="none"/>
        </w:rPr>
        <w:t>1</w:t>
      </w:r>
      <w:r>
        <w:rPr>
          <w:rFonts w:hint="eastAsia" w:ascii="宋体" w:hAnsi="宋体" w:eastAsia="宋体" w:cs="宋体"/>
          <w:color w:val="000000"/>
          <w:spacing w:val="-49"/>
          <w:sz w:val="24"/>
          <w:szCs w:val="24"/>
          <w:highlight w:val="none"/>
        </w:rPr>
        <w:t xml:space="preserve"> </w:t>
      </w:r>
      <w:r>
        <w:rPr>
          <w:rFonts w:hint="eastAsia" w:ascii="宋体" w:hAnsi="宋体" w:eastAsia="宋体" w:cs="宋体"/>
          <w:color w:val="000000"/>
          <w:spacing w:val="-5"/>
          <w:sz w:val="24"/>
          <w:szCs w:val="24"/>
          <w:highlight w:val="none"/>
        </w:rPr>
        <w:t>至</w:t>
      </w:r>
      <w:r>
        <w:rPr>
          <w:rFonts w:hint="eastAsia" w:ascii="宋体" w:hAnsi="宋体" w:eastAsia="宋体" w:cs="宋体"/>
          <w:color w:val="000000"/>
          <w:spacing w:val="-46"/>
          <w:sz w:val="24"/>
          <w:szCs w:val="24"/>
          <w:highlight w:val="none"/>
        </w:rPr>
        <w:t xml:space="preserve"> </w:t>
      </w:r>
      <w:r>
        <w:rPr>
          <w:rFonts w:hint="eastAsia" w:ascii="宋体" w:hAnsi="宋体" w:eastAsia="宋体" w:cs="宋体"/>
          <w:color w:val="000000"/>
          <w:spacing w:val="-5"/>
          <w:sz w:val="24"/>
          <w:szCs w:val="24"/>
          <w:highlight w:val="none"/>
        </w:rPr>
        <w:t>3</w:t>
      </w:r>
      <w:r>
        <w:rPr>
          <w:rFonts w:hint="eastAsia" w:ascii="宋体" w:hAnsi="宋体" w:eastAsia="宋体" w:cs="宋体"/>
          <w:color w:val="000000"/>
          <w:spacing w:val="-49"/>
          <w:sz w:val="24"/>
          <w:szCs w:val="24"/>
          <w:highlight w:val="none"/>
        </w:rPr>
        <w:t xml:space="preserve"> </w:t>
      </w:r>
      <w:r>
        <w:rPr>
          <w:rFonts w:hint="eastAsia" w:ascii="宋体" w:hAnsi="宋体" w:eastAsia="宋体" w:cs="宋体"/>
          <w:color w:val="000000"/>
          <w:spacing w:val="-5"/>
          <w:sz w:val="24"/>
          <w:szCs w:val="24"/>
          <w:highlight w:val="none"/>
        </w:rPr>
        <w:t>年内限制参与公共资源交易活动。</w:t>
      </w:r>
    </w:p>
    <w:p>
      <w:pPr>
        <w:spacing w:line="352" w:lineRule="auto"/>
        <w:rPr>
          <w:rFonts w:hint="eastAsia" w:ascii="宋体" w:hAnsi="宋体" w:eastAsia="宋体" w:cs="宋体"/>
          <w:color w:val="000000"/>
          <w:highlight w:val="none"/>
        </w:rPr>
      </w:pPr>
    </w:p>
    <w:p>
      <w:pPr>
        <w:spacing w:line="352" w:lineRule="auto"/>
        <w:rPr>
          <w:rFonts w:hint="eastAsia" w:ascii="宋体" w:hAnsi="宋体" w:eastAsia="宋体" w:cs="宋体"/>
          <w:color w:val="000000"/>
          <w:highlight w:val="none"/>
        </w:rPr>
      </w:pPr>
    </w:p>
    <w:p>
      <w:pPr>
        <w:spacing w:before="78" w:line="184"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法定代表人（</w:t>
      </w:r>
      <w:r>
        <w:rPr>
          <w:rFonts w:hint="eastAsia" w:ascii="宋体" w:hAnsi="宋体" w:eastAsia="宋体" w:cs="宋体"/>
          <w:color w:val="000000"/>
          <w:spacing w:val="3"/>
          <w:sz w:val="24"/>
          <w:szCs w:val="24"/>
          <w:highlight w:val="none"/>
          <w:lang w:eastAsia="zh-CN"/>
        </w:rPr>
        <w:t>签字或盖章</w:t>
      </w:r>
      <w:r>
        <w:rPr>
          <w:rFonts w:hint="eastAsia" w:ascii="宋体" w:hAnsi="宋体" w:eastAsia="宋体" w:cs="宋体"/>
          <w:color w:val="000000"/>
          <w:spacing w:val="-75"/>
          <w:sz w:val="24"/>
          <w:szCs w:val="24"/>
          <w:highlight w:val="none"/>
        </w:rPr>
        <w:t>）</w:t>
      </w:r>
      <w:r>
        <w:rPr>
          <w:rFonts w:hint="eastAsia" w:ascii="宋体" w:hAnsi="宋体" w:eastAsia="宋体" w:cs="宋体"/>
          <w:color w:val="000000"/>
          <w:spacing w:val="14"/>
          <w:sz w:val="24"/>
          <w:szCs w:val="24"/>
          <w:highlight w:val="none"/>
        </w:rPr>
        <w:t xml:space="preserve"> </w:t>
      </w:r>
      <w:r>
        <w:rPr>
          <w:rFonts w:hint="eastAsia" w:ascii="宋体" w:hAnsi="宋体" w:eastAsia="宋体" w:cs="宋体"/>
          <w:color w:val="000000"/>
          <w:spacing w:val="-75"/>
          <w:sz w:val="24"/>
          <w:szCs w:val="24"/>
          <w:highlight w:val="none"/>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3"/>
          <w:sz w:val="24"/>
          <w:szCs w:val="24"/>
          <w:highlight w:val="none"/>
        </w:rPr>
        <w:t>投标人（盖章</w:t>
      </w:r>
      <w:r>
        <w:rPr>
          <w:rFonts w:hint="eastAsia" w:ascii="宋体" w:hAnsi="宋体" w:eastAsia="宋体" w:cs="宋体"/>
          <w:color w:val="000000"/>
          <w:spacing w:val="-75"/>
          <w:sz w:val="24"/>
          <w:szCs w:val="24"/>
          <w:highlight w:val="none"/>
        </w:rPr>
        <w:t>）</w:t>
      </w:r>
      <w:r>
        <w:rPr>
          <w:rFonts w:hint="eastAsia" w:ascii="宋体" w:hAnsi="宋体" w:eastAsia="宋体" w:cs="宋体"/>
          <w:color w:val="000000"/>
          <w:spacing w:val="-7"/>
          <w:sz w:val="24"/>
          <w:szCs w:val="24"/>
          <w:highlight w:val="none"/>
        </w:rPr>
        <w:t xml:space="preserve"> </w:t>
      </w:r>
      <w:r>
        <w:rPr>
          <w:rFonts w:hint="eastAsia" w:ascii="宋体" w:hAnsi="宋体" w:eastAsia="宋体" w:cs="宋体"/>
          <w:color w:val="000000"/>
          <w:spacing w:val="-75"/>
          <w:sz w:val="24"/>
          <w:szCs w:val="24"/>
          <w:highlight w:val="none"/>
        </w:rPr>
        <w:t>：</w:t>
      </w:r>
    </w:p>
    <w:p>
      <w:pPr>
        <w:spacing w:line="339" w:lineRule="auto"/>
        <w:rPr>
          <w:rFonts w:hint="eastAsia" w:ascii="宋体" w:hAnsi="宋体" w:eastAsia="宋体" w:cs="宋体"/>
          <w:color w:val="000000"/>
          <w:highlight w:val="none"/>
        </w:rPr>
      </w:pPr>
    </w:p>
    <w:p>
      <w:pPr>
        <w:spacing w:line="340" w:lineRule="auto"/>
        <w:rPr>
          <w:rFonts w:hint="eastAsia" w:ascii="宋体" w:hAnsi="宋体" w:eastAsia="宋体" w:cs="宋体"/>
          <w:color w:val="000000"/>
          <w:highlight w:val="none"/>
        </w:rPr>
      </w:pPr>
    </w:p>
    <w:p>
      <w:pPr>
        <w:spacing w:before="78" w:line="184" w:lineRule="auto"/>
        <w:ind w:firstLine="4439"/>
        <w:rPr>
          <w:rFonts w:hint="eastAsia" w:ascii="宋体" w:hAnsi="宋体" w:eastAsia="宋体" w:cs="宋体"/>
          <w:color w:val="000000"/>
          <w:sz w:val="24"/>
          <w:szCs w:val="24"/>
          <w:highlight w:val="none"/>
        </w:rPr>
      </w:pPr>
      <w:r>
        <w:rPr>
          <w:rFonts w:hint="eastAsia" w:ascii="宋体" w:hAnsi="宋体" w:eastAsia="宋体" w:cs="宋体"/>
          <w:color w:val="000000"/>
          <w:spacing w:val="-23"/>
          <w:w w:val="99"/>
          <w:sz w:val="24"/>
          <w:szCs w:val="24"/>
          <w:highlight w:val="none"/>
        </w:rPr>
        <w:t>承诺时间：</w:t>
      </w:r>
      <w:r>
        <w:rPr>
          <w:rFonts w:hint="eastAsia" w:ascii="宋体" w:hAnsi="宋体" w:eastAsia="宋体" w:cs="宋体"/>
          <w:color w:val="000000"/>
          <w:spacing w:val="7"/>
          <w:sz w:val="24"/>
          <w:szCs w:val="24"/>
          <w:highlight w:val="none"/>
          <w:u w:val="single"/>
        </w:rPr>
        <w:t xml:space="preserve">        </w:t>
      </w:r>
      <w:r>
        <w:rPr>
          <w:rFonts w:hint="eastAsia" w:ascii="宋体" w:hAnsi="宋体" w:eastAsia="宋体" w:cs="宋体"/>
          <w:color w:val="000000"/>
          <w:spacing w:val="-23"/>
          <w:w w:val="99"/>
          <w:sz w:val="24"/>
          <w:szCs w:val="24"/>
          <w:highlight w:val="none"/>
        </w:rPr>
        <w:t>年</w:t>
      </w:r>
      <w:r>
        <w:rPr>
          <w:rFonts w:hint="eastAsia" w:ascii="宋体" w:hAnsi="宋体" w:eastAsia="宋体" w:cs="宋体"/>
          <w:color w:val="000000"/>
          <w:spacing w:val="3"/>
          <w:sz w:val="24"/>
          <w:szCs w:val="24"/>
          <w:highlight w:val="none"/>
          <w:u w:val="single"/>
        </w:rPr>
        <w:t xml:space="preserve">     </w:t>
      </w:r>
      <w:r>
        <w:rPr>
          <w:rFonts w:hint="eastAsia" w:ascii="宋体" w:hAnsi="宋体" w:eastAsia="宋体" w:cs="宋体"/>
          <w:color w:val="000000"/>
          <w:spacing w:val="-23"/>
          <w:w w:val="99"/>
          <w:sz w:val="24"/>
          <w:szCs w:val="24"/>
          <w:highlight w:val="none"/>
        </w:rPr>
        <w:t>月</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23"/>
          <w:w w:val="99"/>
          <w:sz w:val="24"/>
          <w:szCs w:val="24"/>
          <w:highlight w:val="none"/>
        </w:rPr>
        <w:t>日</w:t>
      </w:r>
    </w:p>
    <w:p>
      <w:pPr>
        <w:spacing w:line="314" w:lineRule="auto"/>
        <w:rPr>
          <w:rFonts w:hint="eastAsia" w:ascii="宋体" w:hAnsi="宋体" w:eastAsia="宋体" w:cs="宋体"/>
          <w:color w:val="000000"/>
          <w:highlight w:val="none"/>
        </w:rPr>
      </w:pPr>
    </w:p>
    <w:p>
      <w:pPr>
        <w:spacing w:line="315" w:lineRule="auto"/>
        <w:rPr>
          <w:rFonts w:hint="eastAsia" w:ascii="宋体" w:hAnsi="宋体" w:eastAsia="宋体" w:cs="宋体"/>
          <w:color w:val="000000"/>
          <w:highlight w:val="none"/>
        </w:rPr>
      </w:pPr>
    </w:p>
    <w:p>
      <w:pPr>
        <w:spacing w:before="79" w:line="184" w:lineRule="auto"/>
        <w:ind w:firstLine="2"/>
        <w:rPr>
          <w:rFonts w:hint="eastAsia" w:ascii="宋体" w:hAnsi="宋体" w:eastAsia="宋体" w:cs="宋体"/>
          <w:color w:val="000000"/>
          <w:highlight w:val="none"/>
        </w:rPr>
        <w:sectPr>
          <w:headerReference r:id="rId11" w:type="default"/>
          <w:footerReference r:id="rId12" w:type="default"/>
          <w:pgSz w:w="11906" w:h="16838"/>
          <w:pgMar w:top="1440" w:right="1800" w:bottom="1440" w:left="1800" w:header="850" w:footer="998" w:gutter="0"/>
          <w:pgNumType w:fmt="decimal"/>
          <w:cols w:space="720" w:num="1"/>
        </w:sectPr>
      </w:pPr>
      <w:r>
        <w:rPr>
          <w:rFonts w:hint="eastAsia" w:ascii="宋体" w:hAnsi="宋体" w:eastAsia="宋体" w:cs="宋体"/>
          <w:color w:val="000000"/>
          <w:spacing w:val="-5"/>
          <w:sz w:val="24"/>
          <w:szCs w:val="24"/>
          <w:highlight w:val="none"/>
        </w:rPr>
        <w:t>说明：</w:t>
      </w:r>
      <w:r>
        <w:rPr>
          <w:rFonts w:hint="eastAsia" w:ascii="宋体" w:hAnsi="宋体" w:eastAsia="宋体" w:cs="宋体"/>
          <w:color w:val="000000"/>
          <w:spacing w:val="61"/>
          <w:sz w:val="24"/>
          <w:szCs w:val="24"/>
          <w:highlight w:val="none"/>
        </w:rPr>
        <w:t xml:space="preserve"> </w:t>
      </w:r>
      <w:r>
        <w:rPr>
          <w:rFonts w:hint="eastAsia" w:ascii="宋体" w:hAnsi="宋体" w:eastAsia="宋体" w:cs="宋体"/>
          <w:color w:val="000000"/>
          <w:spacing w:val="-5"/>
          <w:sz w:val="24"/>
          <w:szCs w:val="24"/>
          <w:highlight w:val="none"/>
        </w:rPr>
        <w:t>本承诺书效力和作用等同投标保证金，其有效期与投标有效期一致</w:t>
      </w: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投标人信用承诺书</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color w:val="auto"/>
          <w:u w:val="single"/>
        </w:rPr>
      </w:pPr>
      <w:r>
        <w:rPr>
          <w:rFonts w:hint="eastAsia" w:ascii="宋体" w:hAnsi="宋体" w:eastAsia="宋体" w:cs="宋体"/>
          <w:color w:val="auto"/>
        </w:rPr>
        <w:t>投标人：</w:t>
      </w:r>
      <w:r>
        <w:rPr>
          <w:rFonts w:hint="eastAsia" w:ascii="宋体" w:hAnsi="宋体" w:eastAsia="宋体" w:cs="宋体"/>
          <w:color w:val="auto"/>
          <w:u w:val="single"/>
        </w:rPr>
        <w:t xml:space="preserve">                                           </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color w:val="auto"/>
          <w:u w:val="single"/>
        </w:rPr>
      </w:pPr>
      <w:r>
        <w:rPr>
          <w:rFonts w:hint="eastAsia" w:ascii="宋体" w:hAnsi="宋体" w:eastAsia="宋体" w:cs="宋体"/>
          <w:color w:val="auto"/>
        </w:rPr>
        <w:t>统一社会信用代码：</w:t>
      </w:r>
      <w:r>
        <w:rPr>
          <w:rFonts w:hint="eastAsia" w:ascii="宋体" w:hAnsi="宋体" w:eastAsia="宋体" w:cs="宋体"/>
          <w:color w:val="auto"/>
          <w:u w:val="single"/>
        </w:rPr>
        <w:t xml:space="preserve">                             </w:t>
      </w:r>
      <w:r>
        <w:rPr>
          <w:rFonts w:hint="eastAsia" w:ascii="宋体" w:hAnsi="宋体" w:eastAsia="宋体" w:cs="宋体"/>
          <w:color w:val="auto"/>
        </w:rPr>
        <w:t>法人代表：</w:t>
      </w:r>
      <w:r>
        <w:rPr>
          <w:rFonts w:hint="eastAsia" w:ascii="宋体" w:hAnsi="宋体" w:eastAsia="宋体" w:cs="宋体"/>
          <w:color w:val="auto"/>
          <w:u w:val="single"/>
        </w:rPr>
        <w:t xml:space="preserve">                  </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color w:val="auto"/>
          <w:u w:val="single"/>
        </w:rPr>
      </w:pPr>
      <w:r>
        <w:rPr>
          <w:rFonts w:hint="eastAsia" w:ascii="宋体" w:hAnsi="宋体" w:eastAsia="宋体" w:cs="宋体"/>
          <w:color w:val="auto"/>
        </w:rPr>
        <w:t>承诺有效期限：</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在</w:t>
      </w:r>
      <w:r>
        <w:rPr>
          <w:rFonts w:hint="eastAsia" w:ascii="宋体" w:hAnsi="宋体" w:eastAsia="宋体" w:cs="宋体"/>
          <w:color w:val="auto"/>
          <w:u w:val="single"/>
        </w:rPr>
        <w:t xml:space="preserve">            </w:t>
      </w:r>
      <w:r>
        <w:rPr>
          <w:rFonts w:hint="eastAsia" w:ascii="宋体" w:hAnsi="宋体" w:eastAsia="宋体" w:cs="宋体"/>
          <w:color w:val="auto"/>
        </w:rPr>
        <w:t>项目招投标活动中，我公司</w:t>
      </w:r>
      <w:r>
        <w:rPr>
          <w:rFonts w:hint="eastAsia" w:ascii="宋体" w:hAnsi="宋体" w:eastAsia="宋体" w:cs="宋体"/>
          <w:color w:val="auto"/>
          <w:u w:val="single"/>
        </w:rPr>
        <w:t xml:space="preserve">      </w:t>
      </w:r>
      <w:r>
        <w:rPr>
          <w:rFonts w:hint="eastAsia" w:ascii="宋体" w:hAnsi="宋体" w:eastAsia="宋体" w:cs="宋体"/>
          <w:color w:val="auto"/>
        </w:rPr>
        <w:t>（单位名称）郑重作出以下信用承诺：</w:t>
      </w:r>
    </w:p>
    <w:p>
      <w:pPr>
        <w:keepNext w:val="0"/>
        <w:keepLines w:val="0"/>
        <w:pageBreakBefore w:val="0"/>
        <w:widowControl/>
        <w:kinsoku/>
        <w:wordWrap/>
        <w:overflowPunct/>
        <w:topLinePunct w:val="0"/>
        <w:autoSpaceDE/>
        <w:autoSpaceDN/>
        <w:bidi w:val="0"/>
        <w:adjustRightInd w:val="0"/>
        <w:snapToGrid w:val="0"/>
        <w:spacing w:line="42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keepNext w:val="0"/>
        <w:keepLines w:val="0"/>
        <w:pageBreakBefore w:val="0"/>
        <w:widowControl/>
        <w:kinsoku/>
        <w:wordWrap/>
        <w:overflowPunct/>
        <w:topLinePunct w:val="0"/>
        <w:autoSpaceDE/>
        <w:autoSpaceDN/>
        <w:bidi w:val="0"/>
        <w:adjustRightInd w:val="0"/>
        <w:snapToGrid w:val="0"/>
        <w:spacing w:line="42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42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（三）自愿接受招投标监督部门和有关行政监督部门的依法检查。</w:t>
      </w:r>
    </w:p>
    <w:p>
      <w:pPr>
        <w:keepNext w:val="0"/>
        <w:keepLines w:val="0"/>
        <w:pageBreakBefore w:val="0"/>
        <w:widowControl/>
        <w:kinsoku/>
        <w:wordWrap/>
        <w:overflowPunct/>
        <w:topLinePunct w:val="0"/>
        <w:autoSpaceDE/>
        <w:autoSpaceDN/>
        <w:bidi w:val="0"/>
        <w:adjustRightInd w:val="0"/>
        <w:snapToGrid w:val="0"/>
        <w:spacing w:line="42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（四）同意将此信用承诺纳入陕西省公共信用信息平台和榆林市公共信用信息共享平台，并上网公示，接受社会监督。</w:t>
      </w:r>
    </w:p>
    <w:p>
      <w:pPr>
        <w:keepNext w:val="0"/>
        <w:keepLines w:val="0"/>
        <w:pageBreakBefore w:val="0"/>
        <w:widowControl/>
        <w:kinsoku/>
        <w:wordWrap/>
        <w:overflowPunct/>
        <w:topLinePunct w:val="0"/>
        <w:autoSpaceDE/>
        <w:autoSpaceDN/>
        <w:bidi w:val="0"/>
        <w:adjustRightInd w:val="0"/>
        <w:snapToGrid w:val="0"/>
        <w:spacing w:line="420" w:lineRule="exact"/>
        <w:ind w:firstLine="480"/>
        <w:jc w:val="left"/>
        <w:textAlignment w:val="auto"/>
        <w:rPr>
          <w:rFonts w:hint="eastAsia" w:ascii="宋体" w:hAnsi="宋体" w:eastAsia="宋体" w:cs="宋体"/>
          <w:color w:val="auto"/>
        </w:rPr>
      </w:pPr>
      <w:r>
        <w:rPr>
          <w:rFonts w:hint="eastAsia" w:ascii="宋体" w:hAnsi="宋体" w:eastAsia="宋体" w:cs="宋体"/>
          <w:color w:val="auto"/>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keepNext w:val="0"/>
        <w:keepLines w:val="0"/>
        <w:pageBreakBefore w:val="0"/>
        <w:widowControl/>
        <w:tabs>
          <w:tab w:val="left" w:pos="4395"/>
        </w:tabs>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color w:val="auto"/>
        </w:rPr>
      </w:pPr>
      <w:r>
        <w:rPr>
          <w:rFonts w:hint="eastAsia" w:ascii="宋体" w:hAnsi="宋体" w:cs="宋体"/>
          <w:color w:val="auto"/>
          <w:lang w:eastAsia="zh-CN"/>
        </w:rPr>
        <w:t>供应商</w:t>
      </w:r>
      <w:r>
        <w:rPr>
          <w:rFonts w:hint="eastAsia" w:ascii="宋体" w:hAnsi="宋体" w:eastAsia="宋体" w:cs="宋体"/>
          <w:color w:val="auto"/>
        </w:rPr>
        <w:t>（盖章）：</w:t>
      </w:r>
      <w:r>
        <w:rPr>
          <w:rFonts w:hint="eastAsia" w:ascii="宋体" w:hAnsi="宋体" w:eastAsia="宋体" w:cs="宋体"/>
          <w:color w:val="auto"/>
          <w:u w:val="single"/>
        </w:rPr>
        <w:t xml:space="preserve">                    </w:t>
      </w:r>
    </w:p>
    <w:p>
      <w:pPr>
        <w:keepNext w:val="0"/>
        <w:keepLines w:val="0"/>
        <w:pageBreakBefore w:val="0"/>
        <w:widowControl/>
        <w:tabs>
          <w:tab w:val="left" w:pos="4395"/>
        </w:tabs>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color w:val="auto"/>
        </w:rPr>
      </w:pPr>
      <w:r>
        <w:rPr>
          <w:rFonts w:hint="eastAsia" w:ascii="宋体" w:hAnsi="宋体" w:eastAsia="宋体" w:cs="宋体"/>
          <w:color w:val="auto"/>
        </w:rPr>
        <w:t>法定代表人（签章）：</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pStyle w:val="25"/>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承诺时间：       年     月     日</w:t>
      </w:r>
    </w:p>
    <w:p>
      <w:pPr>
        <w:pStyle w:val="18"/>
        <w:spacing w:line="360" w:lineRule="auto"/>
        <w:ind w:firstLine="184"/>
        <w:rPr>
          <w:rFonts w:hint="eastAsia" w:ascii="宋体" w:hAnsi="宋体" w:eastAsia="宋体" w:cs="宋体"/>
          <w:b/>
          <w:bCs/>
          <w:color w:val="auto"/>
          <w:lang w:val="en-US" w:eastAsia="zh-CN"/>
        </w:rPr>
      </w:pPr>
      <w:r>
        <w:rPr>
          <w:rFonts w:hint="eastAsia" w:ascii="宋体" w:hAnsi="宋体" w:eastAsia="宋体" w:cs="宋体"/>
          <w:b/>
          <w:bCs/>
          <w:color w:val="auto"/>
        </w:rPr>
        <w:t>备注：1.投标有效期为一年。2.需在信用中国(陕西榆林)”网站申报。</w:t>
      </w:r>
      <w:r>
        <w:rPr>
          <w:rFonts w:hint="eastAsia" w:ascii="宋体" w:hAnsi="宋体" w:eastAsia="宋体" w:cs="宋体"/>
          <w:b/>
          <w:bCs/>
          <w:color w:val="auto"/>
          <w:lang w:val="en-US" w:eastAsia="zh-CN"/>
        </w:rPr>
        <w:t>(详见后附政府政策扫描件）</w:t>
      </w:r>
    </w:p>
    <w:p>
      <w:pPr>
        <w:pStyle w:val="2"/>
        <w:spacing w:line="360" w:lineRule="auto"/>
        <w:rPr>
          <w:rFonts w:hint="eastAsia" w:ascii="宋体" w:hAnsi="宋体" w:eastAsia="宋体" w:cs="宋体"/>
          <w:b/>
          <w:bCs/>
          <w:color w:val="auto"/>
          <w:sz w:val="18"/>
          <w:szCs w:val="18"/>
          <w:lang w:val="en-US" w:eastAsia="zh-CN"/>
        </w:rPr>
      </w:pPr>
    </w:p>
    <w:p>
      <w:pPr>
        <w:spacing w:line="360" w:lineRule="auto"/>
        <w:rPr>
          <w:rFonts w:hint="eastAsia" w:ascii="宋体" w:hAnsi="宋体" w:eastAsia="宋体" w:cs="宋体"/>
          <w:b/>
          <w:bCs/>
          <w:color w:val="auto"/>
          <w:sz w:val="18"/>
          <w:szCs w:val="18"/>
          <w:lang w:val="en-US" w:eastAsia="zh-CN"/>
        </w:rPr>
      </w:pP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投标人委托代理人员信用承诺书</w:t>
      </w:r>
    </w:p>
    <w:p>
      <w:pPr>
        <w:widowControl/>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在</w:t>
      </w:r>
      <w:r>
        <w:rPr>
          <w:rFonts w:hint="eastAsia" w:ascii="宋体" w:hAnsi="宋体" w:eastAsia="宋体" w:cs="宋体"/>
          <w:color w:val="auto"/>
          <w:u w:val="single"/>
        </w:rPr>
        <w:t xml:space="preserve">                                   </w:t>
      </w:r>
      <w:r>
        <w:rPr>
          <w:rFonts w:hint="eastAsia" w:ascii="宋体" w:hAnsi="宋体" w:eastAsia="宋体" w:cs="宋体"/>
          <w:color w:val="auto"/>
        </w:rPr>
        <w:t>项目招投标活动中，我个人郑重作出以下信用承诺：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（三）自愿接受招投标监督部门和有关行政监督部门的依法检查。</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60" w:lineRule="auto"/>
        <w:ind w:firstLine="482"/>
        <w:jc w:val="left"/>
        <w:rPr>
          <w:rFonts w:hint="eastAsia" w:ascii="宋体" w:hAnsi="宋体" w:eastAsia="宋体" w:cs="宋体"/>
          <w:color w:val="auto"/>
        </w:rPr>
      </w:pPr>
      <w:r>
        <w:rPr>
          <w:rFonts w:hint="eastAsia" w:ascii="宋体" w:hAnsi="宋体" w:eastAsia="宋体" w:cs="宋体"/>
          <w:color w:val="auto"/>
        </w:rPr>
        <w:t>承诺有效期限：</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widowControl/>
        <w:spacing w:line="360" w:lineRule="auto"/>
        <w:ind w:firstLine="482"/>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 xml:space="preserve">                                                        </w:t>
      </w:r>
    </w:p>
    <w:p>
      <w:pPr>
        <w:widowControl/>
        <w:spacing w:line="360" w:lineRule="auto"/>
        <w:ind w:firstLine="482"/>
        <w:jc w:val="left"/>
        <w:rPr>
          <w:rFonts w:hint="eastAsia" w:ascii="宋体" w:hAnsi="宋体" w:eastAsia="宋体" w:cs="宋体"/>
          <w:color w:val="auto"/>
          <w:u w:val="single"/>
        </w:rPr>
      </w:pPr>
      <w:r>
        <w:rPr>
          <w:rFonts w:hint="eastAsia" w:ascii="宋体" w:hAnsi="宋体" w:eastAsia="宋体" w:cs="宋体"/>
          <w:color w:val="auto"/>
        </w:rPr>
        <w:t>承诺人（签字）：</w:t>
      </w:r>
      <w:r>
        <w:rPr>
          <w:rFonts w:hint="eastAsia" w:ascii="宋体" w:hAnsi="宋体" w:eastAsia="宋体" w:cs="宋体"/>
          <w:color w:val="auto"/>
          <w:u w:val="single"/>
        </w:rPr>
        <w:t xml:space="preserve">                 </w:t>
      </w:r>
    </w:p>
    <w:p>
      <w:pPr>
        <w:widowControl/>
        <w:spacing w:line="360" w:lineRule="auto"/>
        <w:ind w:firstLine="482"/>
        <w:jc w:val="left"/>
        <w:rPr>
          <w:rFonts w:hint="eastAsia" w:ascii="宋体" w:hAnsi="宋体" w:eastAsia="宋体" w:cs="宋体"/>
          <w:color w:val="auto"/>
          <w:szCs w:val="22"/>
        </w:rPr>
      </w:pPr>
      <w:r>
        <w:rPr>
          <w:rFonts w:hint="eastAsia" w:ascii="宋体" w:hAnsi="宋体" w:eastAsia="宋体" w:cs="宋体"/>
          <w:color w:val="auto"/>
          <w:szCs w:val="22"/>
        </w:rPr>
        <w:t xml:space="preserve">承诺时间：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年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月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日</w:t>
      </w:r>
      <w:bookmarkEnd w:id="89"/>
      <w:bookmarkEnd w:id="90"/>
      <w:bookmarkEnd w:id="91"/>
      <w:bookmarkEnd w:id="92"/>
      <w:bookmarkEnd w:id="93"/>
    </w:p>
    <w:p>
      <w:pPr>
        <w:pStyle w:val="18"/>
        <w:spacing w:line="360" w:lineRule="auto"/>
        <w:ind w:firstLine="183"/>
        <w:rPr>
          <w:rFonts w:hint="eastAsia" w:ascii="宋体" w:hAnsi="宋体" w:eastAsia="宋体" w:cs="宋体"/>
          <w:color w:val="auto"/>
        </w:rPr>
      </w:pPr>
    </w:p>
    <w:p>
      <w:pPr>
        <w:pStyle w:val="18"/>
        <w:spacing w:line="360" w:lineRule="auto"/>
        <w:ind w:firstLine="184"/>
        <w:rPr>
          <w:rFonts w:hint="eastAsia" w:ascii="宋体" w:hAnsi="宋体" w:eastAsia="宋体" w:cs="宋体"/>
          <w:b/>
          <w:bCs/>
          <w:color w:val="auto"/>
        </w:rPr>
      </w:pPr>
      <w:r>
        <w:rPr>
          <w:rFonts w:hint="eastAsia" w:ascii="宋体" w:hAnsi="宋体" w:eastAsia="宋体" w:cs="宋体"/>
          <w:b/>
          <w:bCs/>
          <w:color w:val="auto"/>
        </w:rPr>
        <w:t>备注：1.投标有效期为一年。2.需在信用中国(陕西榆林)”网站申报。(详见后附政府政策扫描件）</w:t>
      </w:r>
    </w:p>
    <w:p>
      <w:pPr>
        <w:spacing w:line="360" w:lineRule="auto"/>
        <w:jc w:val="center"/>
        <w:outlineLvl w:val="0"/>
        <w:rPr>
          <w:rFonts w:hint="eastAsia" w:ascii="宋体" w:hAnsi="宋体" w:eastAsia="宋体" w:cs="宋体"/>
          <w:b/>
          <w:kern w:val="0"/>
          <w:sz w:val="28"/>
          <w:szCs w:val="28"/>
          <w:shd w:val="clear" w:color="auto" w:fill="FFFFFF"/>
          <w:lang w:val="en-US" w:eastAsia="zh-CN" w:bidi="ar-SA"/>
        </w:rPr>
      </w:pPr>
      <w:r>
        <w:rPr>
          <w:rFonts w:hint="eastAsia" w:ascii="宋体" w:hAnsi="宋体" w:eastAsia="宋体" w:cs="宋体"/>
          <w:b/>
          <w:bCs/>
          <w:color w:val="auto"/>
        </w:rPr>
        <w:br w:type="page"/>
      </w:r>
      <w:bookmarkStart w:id="94" w:name="_Toc31105"/>
      <w:bookmarkStart w:id="95" w:name="_Toc21069"/>
      <w:r>
        <w:rPr>
          <w:rFonts w:hint="eastAsia" w:ascii="宋体" w:hAnsi="宋体" w:cs="宋体"/>
          <w:b/>
          <w:kern w:val="0"/>
          <w:sz w:val="28"/>
          <w:szCs w:val="28"/>
          <w:shd w:val="clear" w:color="auto" w:fill="FFFFFF"/>
          <w:lang w:val="en-US" w:eastAsia="zh-CN" w:bidi="ar-SA"/>
        </w:rPr>
        <w:t>四</w:t>
      </w:r>
      <w:r>
        <w:rPr>
          <w:rFonts w:hint="eastAsia" w:ascii="宋体" w:hAnsi="宋体" w:eastAsia="宋体" w:cs="宋体"/>
          <w:b/>
          <w:kern w:val="0"/>
          <w:sz w:val="28"/>
          <w:szCs w:val="28"/>
          <w:shd w:val="clear" w:color="auto" w:fill="FFFFFF"/>
          <w:lang w:val="en-US" w:eastAsia="zh-CN" w:bidi="ar-SA"/>
        </w:rPr>
        <w:t>、</w:t>
      </w:r>
      <w:bookmarkEnd w:id="94"/>
      <w:r>
        <w:rPr>
          <w:rFonts w:hint="eastAsia" w:ascii="宋体" w:hAnsi="宋体" w:eastAsia="宋体" w:cs="宋体"/>
          <w:b/>
          <w:kern w:val="0"/>
          <w:sz w:val="28"/>
          <w:szCs w:val="28"/>
          <w:shd w:val="clear" w:color="auto" w:fill="FFFFFF"/>
          <w:lang w:val="en-US" w:eastAsia="zh-CN" w:bidi="ar-SA"/>
        </w:rPr>
        <w:t>技术参数偏差表</w:t>
      </w:r>
      <w:bookmarkEnd w:id="95"/>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采购项目编号：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bl>
      <w:tblPr>
        <w:tblStyle w:val="20"/>
        <w:tblW w:w="96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2100"/>
        <w:gridCol w:w="2645"/>
        <w:gridCol w:w="1559"/>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95" w:hRule="exact"/>
          <w:jc w:val="center"/>
        </w:trPr>
        <w:tc>
          <w:tcPr>
            <w:tcW w:w="1953" w:type="dxa"/>
            <w:noWrap w:val="0"/>
            <w:vAlign w:val="top"/>
          </w:tcPr>
          <w:p>
            <w:pPr>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color w:val="auto"/>
                <w:sz w:val="24"/>
              </w:rPr>
              <w:t>序号</w:t>
            </w:r>
          </w:p>
        </w:tc>
        <w:tc>
          <w:tcPr>
            <w:tcW w:w="2100" w:type="dxa"/>
            <w:noWrap w:val="0"/>
            <w:vAlign w:val="top"/>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color w:val="auto"/>
                <w:sz w:val="24"/>
                <w:lang w:eastAsia="zh-CN"/>
              </w:rPr>
              <w:t>磋商文件</w:t>
            </w:r>
            <w:r>
              <w:rPr>
                <w:rFonts w:hint="eastAsia" w:ascii="宋体" w:hAnsi="宋体" w:cs="宋体"/>
                <w:b/>
                <w:color w:val="auto"/>
                <w:sz w:val="24"/>
                <w:lang w:eastAsia="zh-CN"/>
              </w:rPr>
              <w:t>技术</w:t>
            </w:r>
            <w:r>
              <w:rPr>
                <w:rFonts w:hint="eastAsia" w:ascii="宋体" w:hAnsi="宋体" w:eastAsia="宋体" w:cs="宋体"/>
                <w:b/>
                <w:color w:val="auto"/>
                <w:sz w:val="24"/>
              </w:rPr>
              <w:t>要求</w:t>
            </w:r>
          </w:p>
        </w:tc>
        <w:tc>
          <w:tcPr>
            <w:tcW w:w="2645" w:type="dxa"/>
            <w:noWrap w:val="0"/>
            <w:vAlign w:val="top"/>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color w:val="auto"/>
                <w:sz w:val="24"/>
                <w:lang w:eastAsia="zh-CN"/>
              </w:rPr>
              <w:t>磋商响应文件</w:t>
            </w:r>
            <w:r>
              <w:rPr>
                <w:rFonts w:hint="eastAsia" w:ascii="宋体" w:hAnsi="宋体" w:eastAsia="宋体" w:cs="宋体"/>
                <w:b/>
                <w:color w:val="auto"/>
                <w:sz w:val="24"/>
              </w:rPr>
              <w:t>商务响应</w:t>
            </w:r>
          </w:p>
        </w:tc>
        <w:tc>
          <w:tcPr>
            <w:tcW w:w="1559" w:type="dxa"/>
            <w:noWrap w:val="0"/>
            <w:vAlign w:val="top"/>
          </w:tcPr>
          <w:p>
            <w:pPr>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color w:val="auto"/>
                <w:sz w:val="24"/>
              </w:rPr>
              <w:t>偏离</w:t>
            </w:r>
          </w:p>
        </w:tc>
        <w:tc>
          <w:tcPr>
            <w:tcW w:w="1417" w:type="dxa"/>
            <w:noWrap w:val="0"/>
            <w:vAlign w:val="top"/>
          </w:tcPr>
          <w:p>
            <w:pPr>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color w:val="auto"/>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1953" w:type="dxa"/>
            <w:noWrap w:val="0"/>
            <w:vAlign w:val="center"/>
          </w:tcPr>
          <w:p>
            <w:pPr>
              <w:spacing w:line="360" w:lineRule="auto"/>
              <w:jc w:val="center"/>
              <w:rPr>
                <w:rFonts w:hint="eastAsia" w:ascii="宋体" w:hAnsi="宋体" w:eastAsia="宋体" w:cs="宋体"/>
                <w:color w:val="auto"/>
                <w:sz w:val="24"/>
                <w:szCs w:val="24"/>
              </w:rPr>
            </w:pPr>
          </w:p>
        </w:tc>
        <w:tc>
          <w:tcPr>
            <w:tcW w:w="2100" w:type="dxa"/>
            <w:noWrap w:val="0"/>
            <w:vAlign w:val="center"/>
          </w:tcPr>
          <w:p>
            <w:pPr>
              <w:spacing w:line="360" w:lineRule="auto"/>
              <w:jc w:val="center"/>
              <w:rPr>
                <w:rFonts w:hint="eastAsia" w:ascii="宋体" w:hAnsi="宋体" w:eastAsia="宋体" w:cs="宋体"/>
                <w:color w:val="auto"/>
                <w:sz w:val="24"/>
                <w:szCs w:val="24"/>
              </w:rPr>
            </w:pPr>
          </w:p>
        </w:tc>
        <w:tc>
          <w:tcPr>
            <w:tcW w:w="2645"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bl>
    <w:p>
      <w:pPr>
        <w:pStyle w:val="10"/>
        <w:spacing w:line="360" w:lineRule="auto"/>
        <w:rPr>
          <w:rFonts w:hint="eastAsia" w:ascii="宋体" w:hAnsi="宋体" w:eastAsia="宋体" w:cs="宋体"/>
          <w:color w:val="auto"/>
        </w:rPr>
      </w:pPr>
      <w:r>
        <w:rPr>
          <w:rFonts w:hint="eastAsia" w:ascii="宋体" w:hAnsi="宋体" w:eastAsia="宋体" w:cs="宋体"/>
          <w:color w:val="auto"/>
        </w:rPr>
        <w:t>说明：</w:t>
      </w:r>
    </w:p>
    <w:p>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1、请按项目的实际技术参数，逐条对应</w:t>
      </w:r>
      <w:r>
        <w:rPr>
          <w:rFonts w:hint="eastAsia" w:ascii="宋体" w:hAnsi="宋体" w:eastAsia="宋体" w:cs="宋体"/>
          <w:color w:val="auto"/>
          <w:sz w:val="24"/>
          <w:lang w:eastAsia="zh-CN"/>
        </w:rPr>
        <w:t>磋商文件</w:t>
      </w:r>
      <w:r>
        <w:rPr>
          <w:rFonts w:hint="eastAsia" w:ascii="宋体" w:hAnsi="宋体" w:eastAsia="宋体" w:cs="宋体"/>
          <w:color w:val="auto"/>
          <w:sz w:val="24"/>
        </w:rPr>
        <w:t>的“采购内容及要求”，认真填写本表。偏离情况填写：优于、等于或低于，偏离说明对偏离情况做出详细说明。</w:t>
      </w:r>
    </w:p>
    <w:p>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供应商</w:t>
      </w:r>
      <w:r>
        <w:rPr>
          <w:rFonts w:hint="eastAsia" w:ascii="宋体" w:hAnsi="宋体" w:eastAsia="宋体" w:cs="宋体"/>
          <w:color w:val="auto"/>
          <w:sz w:val="24"/>
        </w:rPr>
        <w:t>应按实际情况填写。</w:t>
      </w:r>
    </w:p>
    <w:p>
      <w:pPr>
        <w:spacing w:line="360" w:lineRule="auto"/>
        <w:ind w:right="-161" w:firstLine="2640" w:firstLineChars="1100"/>
        <w:rPr>
          <w:rFonts w:hint="eastAsia" w:ascii="宋体" w:hAnsi="宋体" w:eastAsia="宋体" w:cs="宋体"/>
          <w:color w:val="auto"/>
          <w:sz w:val="24"/>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widowControl/>
        <w:spacing w:line="360" w:lineRule="auto"/>
        <w:jc w:val="center"/>
        <w:rPr>
          <w:rFonts w:hint="eastAsia" w:ascii="宋体" w:hAnsi="宋体" w:eastAsia="宋体" w:cs="宋体"/>
          <w:color w:val="auto"/>
        </w:rPr>
      </w:pPr>
      <w:r>
        <w:rPr>
          <w:rFonts w:hint="eastAsia" w:ascii="宋体" w:hAnsi="宋体" w:cs="宋体"/>
          <w:color w:val="auto"/>
          <w:sz w:val="24"/>
          <w:szCs w:val="24"/>
          <w:lang w:eastAsia="zh-CN"/>
        </w:rPr>
        <w:t>供</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before="185" w:line="360" w:lineRule="auto"/>
        <w:ind w:firstLine="1440" w:firstLineChars="600"/>
        <w:outlineLvl w:val="1"/>
        <w:rPr>
          <w:rFonts w:hint="eastAsia" w:ascii="宋体" w:hAnsi="宋体" w:eastAsia="宋体" w:cs="宋体"/>
          <w:color w:val="auto"/>
          <w:sz w:val="23"/>
          <w:szCs w:val="23"/>
          <w:u w:val="single" w:color="auto"/>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b w:val="0"/>
          <w:color w:val="auto"/>
          <w:sz w:val="24"/>
          <w:szCs w:val="24"/>
          <w:u w:val="single"/>
        </w:rPr>
        <w:br w:type="page"/>
      </w:r>
    </w:p>
    <w:p>
      <w:pPr>
        <w:pStyle w:val="4"/>
        <w:spacing w:line="360" w:lineRule="auto"/>
        <w:jc w:val="center"/>
        <w:rPr>
          <w:rFonts w:hint="eastAsia" w:ascii="宋体" w:hAnsi="宋体" w:eastAsia="宋体" w:cs="宋体"/>
          <w:b/>
          <w:bCs w:val="0"/>
          <w:kern w:val="0"/>
          <w:sz w:val="28"/>
          <w:szCs w:val="28"/>
          <w:shd w:val="clear" w:color="auto" w:fill="FFFFFF"/>
          <w:lang w:val="en-US" w:eastAsia="zh-CN" w:bidi="ar-SA"/>
        </w:rPr>
      </w:pPr>
      <w:r>
        <w:rPr>
          <w:rFonts w:hint="eastAsia" w:ascii="宋体" w:hAnsi="宋体" w:cs="宋体"/>
          <w:b/>
          <w:bCs w:val="0"/>
          <w:kern w:val="0"/>
          <w:sz w:val="28"/>
          <w:szCs w:val="28"/>
          <w:shd w:val="clear" w:color="auto" w:fill="FFFFFF"/>
          <w:lang w:val="en-US" w:eastAsia="zh-CN" w:bidi="ar-SA"/>
        </w:rPr>
        <w:t>五</w:t>
      </w:r>
      <w:r>
        <w:rPr>
          <w:rFonts w:hint="eastAsia" w:ascii="宋体" w:hAnsi="宋体" w:eastAsia="宋体" w:cs="宋体"/>
          <w:b/>
          <w:bCs w:val="0"/>
          <w:kern w:val="0"/>
          <w:sz w:val="28"/>
          <w:szCs w:val="28"/>
          <w:shd w:val="clear" w:color="auto" w:fill="FFFFFF"/>
          <w:lang w:val="en-US" w:eastAsia="zh-CN" w:bidi="ar-SA"/>
        </w:rPr>
        <w:t>、商务响应说明书</w:t>
      </w:r>
    </w:p>
    <w:p>
      <w:pPr>
        <w:spacing w:line="360" w:lineRule="auto"/>
        <w:rPr>
          <w:rFonts w:hint="eastAsia" w:ascii="宋体" w:hAnsi="宋体" w:eastAsia="宋体" w:cs="宋体"/>
          <w:color w:val="auto"/>
        </w:rPr>
      </w:pPr>
      <w:r>
        <w:rPr>
          <w:rFonts w:hint="eastAsia" w:ascii="宋体" w:hAnsi="宋体" w:eastAsia="宋体" w:cs="宋体"/>
          <w:color w:val="auto"/>
          <w:sz w:val="24"/>
          <w:szCs w:val="22"/>
        </w:rPr>
        <w:t>采购项目</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tbl>
      <w:tblPr>
        <w:tblStyle w:val="20"/>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21"/>
        <w:gridCol w:w="2264"/>
        <w:gridCol w:w="2603"/>
        <w:gridCol w:w="864"/>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621" w:type="dxa"/>
            <w:noWrap w:val="0"/>
            <w:vAlign w:val="top"/>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64" w:type="dxa"/>
            <w:noWrap w:val="0"/>
            <w:vAlign w:val="top"/>
          </w:tcPr>
          <w:p>
            <w:pPr>
              <w:spacing w:line="360" w:lineRule="auto"/>
              <w:ind w:left="0" w:leftChars="0" w:firstLine="0" w:firstLineChars="0"/>
              <w:jc w:val="both"/>
              <w:rPr>
                <w:rFonts w:hint="eastAsia" w:ascii="宋体" w:hAnsi="宋体" w:eastAsia="宋体" w:cs="宋体"/>
                <w:b/>
                <w:color w:val="auto"/>
                <w:sz w:val="24"/>
              </w:rPr>
            </w:pPr>
            <w:r>
              <w:rPr>
                <w:rFonts w:hint="eastAsia" w:ascii="宋体" w:hAnsi="宋体" w:eastAsia="宋体" w:cs="宋体"/>
                <w:b/>
                <w:color w:val="auto"/>
                <w:sz w:val="24"/>
                <w:lang w:eastAsia="zh-CN"/>
              </w:rPr>
              <w:t>磋商文件</w:t>
            </w:r>
            <w:r>
              <w:rPr>
                <w:rFonts w:hint="eastAsia" w:ascii="宋体" w:hAnsi="宋体" w:eastAsia="宋体" w:cs="宋体"/>
                <w:b/>
                <w:color w:val="auto"/>
                <w:sz w:val="24"/>
              </w:rPr>
              <w:t>商务要求</w:t>
            </w:r>
          </w:p>
        </w:tc>
        <w:tc>
          <w:tcPr>
            <w:tcW w:w="2603" w:type="dxa"/>
            <w:noWrap w:val="0"/>
            <w:vAlign w:val="top"/>
          </w:tcPr>
          <w:p>
            <w:pPr>
              <w:spacing w:line="360" w:lineRule="auto"/>
              <w:ind w:left="0" w:leftChars="0" w:firstLine="0" w:firstLineChars="0"/>
              <w:jc w:val="both"/>
              <w:rPr>
                <w:rFonts w:hint="eastAsia" w:ascii="宋体" w:hAnsi="宋体" w:eastAsia="宋体" w:cs="宋体"/>
                <w:b/>
                <w:color w:val="auto"/>
                <w:sz w:val="24"/>
              </w:rPr>
            </w:pPr>
            <w:r>
              <w:rPr>
                <w:rFonts w:hint="eastAsia" w:ascii="宋体" w:hAnsi="宋体" w:eastAsia="宋体" w:cs="宋体"/>
                <w:b/>
                <w:color w:val="auto"/>
                <w:sz w:val="24"/>
                <w:lang w:eastAsia="zh-CN"/>
              </w:rPr>
              <w:t>磋商响应文件</w:t>
            </w:r>
            <w:r>
              <w:rPr>
                <w:rFonts w:hint="eastAsia" w:ascii="宋体" w:hAnsi="宋体" w:eastAsia="宋体" w:cs="宋体"/>
                <w:b/>
                <w:color w:val="auto"/>
                <w:sz w:val="24"/>
              </w:rPr>
              <w:t>商务响应</w:t>
            </w:r>
          </w:p>
        </w:tc>
        <w:tc>
          <w:tcPr>
            <w:tcW w:w="864" w:type="dxa"/>
            <w:noWrap w:val="0"/>
            <w:vAlign w:val="top"/>
          </w:tcPr>
          <w:p>
            <w:pPr>
              <w:spacing w:line="360" w:lineRule="auto"/>
              <w:ind w:left="0" w:leftChars="0" w:firstLine="0" w:firstLineChars="0"/>
              <w:jc w:val="both"/>
              <w:rPr>
                <w:rFonts w:hint="eastAsia" w:ascii="宋体" w:hAnsi="宋体" w:eastAsia="宋体" w:cs="宋体"/>
                <w:b/>
                <w:color w:val="auto"/>
                <w:sz w:val="24"/>
              </w:rPr>
            </w:pPr>
            <w:r>
              <w:rPr>
                <w:rFonts w:hint="eastAsia" w:ascii="宋体" w:hAnsi="宋体" w:eastAsia="宋体" w:cs="宋体"/>
                <w:b/>
                <w:color w:val="auto"/>
                <w:sz w:val="24"/>
              </w:rPr>
              <w:t>偏离</w:t>
            </w:r>
          </w:p>
        </w:tc>
        <w:tc>
          <w:tcPr>
            <w:tcW w:w="1440" w:type="dxa"/>
            <w:noWrap w:val="0"/>
            <w:vAlign w:val="top"/>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603" w:type="dxa"/>
            <w:noWrap w:val="0"/>
            <w:vAlign w:val="top"/>
          </w:tcPr>
          <w:p>
            <w:pPr>
              <w:spacing w:line="360" w:lineRule="auto"/>
              <w:jc w:val="center"/>
              <w:rPr>
                <w:rFonts w:hint="eastAsia" w:ascii="宋体" w:hAnsi="宋体" w:eastAsia="宋体" w:cs="宋体"/>
                <w:color w:val="auto"/>
                <w:sz w:val="24"/>
              </w:rPr>
            </w:pPr>
          </w:p>
        </w:tc>
        <w:tc>
          <w:tcPr>
            <w:tcW w:w="864"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3"/>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声明：1、供应商如有商务偏离，在表中逐项列明。除本商务偏离表中所列的偏离项目外，其它所有商务均完全响应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中的要求。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2、如供应商全部</w:t>
      </w:r>
      <w:r>
        <w:rPr>
          <w:rFonts w:hint="eastAsia" w:ascii="宋体" w:hAnsi="宋体" w:eastAsia="宋体" w:cs="宋体"/>
          <w:color w:val="auto"/>
          <w:sz w:val="24"/>
          <w:szCs w:val="24"/>
          <w:lang w:eastAsia="zh-CN"/>
        </w:rPr>
        <w:t>响应磋商文件</w:t>
      </w:r>
      <w:r>
        <w:rPr>
          <w:rFonts w:hint="eastAsia" w:ascii="宋体" w:hAnsi="宋体" w:eastAsia="宋体" w:cs="宋体"/>
          <w:color w:val="auto"/>
          <w:sz w:val="24"/>
          <w:szCs w:val="24"/>
        </w:rPr>
        <w:t>商务要求，在“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商务要求”及“</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商务要求”栏中填写“全部”字样，在“偏离”栏填入“无偏离”字样。</w:t>
      </w:r>
    </w:p>
    <w:p>
      <w:pPr>
        <w:spacing w:line="360" w:lineRule="auto"/>
        <w:rPr>
          <w:rFonts w:hint="eastAsia" w:ascii="宋体" w:hAnsi="宋体" w:eastAsia="宋体" w:cs="宋体"/>
          <w:color w:val="auto"/>
          <w:sz w:val="23"/>
        </w:rPr>
      </w:pPr>
    </w:p>
    <w:p>
      <w:pPr>
        <w:widowControl/>
        <w:spacing w:line="360" w:lineRule="auto"/>
        <w:jc w:val="both"/>
        <w:rPr>
          <w:rFonts w:hint="eastAsia" w:ascii="宋体" w:hAnsi="宋体" w:eastAsia="宋体" w:cs="宋体"/>
          <w:color w:val="auto"/>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widowControl/>
        <w:spacing w:line="360" w:lineRule="auto"/>
        <w:jc w:val="both"/>
        <w:rPr>
          <w:rFonts w:hint="eastAsia" w:ascii="宋体" w:hAnsi="宋体" w:eastAsia="宋体" w:cs="宋体"/>
          <w:color w:val="auto"/>
        </w:rPr>
      </w:pPr>
      <w:r>
        <w:rPr>
          <w:rFonts w:hint="eastAsia" w:ascii="宋体" w:hAnsi="宋体" w:cs="宋体"/>
          <w:color w:val="auto"/>
          <w:sz w:val="24"/>
          <w:szCs w:val="24"/>
          <w:lang w:eastAsia="zh-CN"/>
        </w:rPr>
        <w:t>供</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pStyle w:val="2"/>
        <w:spacing w:line="360" w:lineRule="auto"/>
        <w:rPr>
          <w:rFonts w:hint="eastAsia" w:ascii="宋体" w:hAnsi="宋体" w:eastAsia="宋体" w:cs="宋体"/>
          <w:color w:val="auto"/>
          <w:sz w:val="23"/>
          <w:szCs w:val="23"/>
          <w:u w:val="single" w:color="auto"/>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b w:val="0"/>
          <w:color w:val="auto"/>
          <w:sz w:val="24"/>
          <w:szCs w:val="24"/>
          <w:u w:val="single"/>
        </w:rPr>
        <w:br w:type="page"/>
      </w:r>
    </w:p>
    <w:bookmarkEnd w:id="75"/>
    <w:bookmarkEnd w:id="76"/>
    <w:bookmarkEnd w:id="77"/>
    <w:bookmarkEnd w:id="78"/>
    <w:bookmarkEnd w:id="79"/>
    <w:bookmarkEnd w:id="80"/>
    <w:bookmarkEnd w:id="88"/>
    <w:p>
      <w:pPr>
        <w:spacing w:before="187" w:line="360" w:lineRule="auto"/>
        <w:ind w:firstLine="1832" w:firstLineChars="400"/>
        <w:outlineLvl w:val="1"/>
        <w:rPr>
          <w:rFonts w:hint="eastAsia" w:ascii="宋体" w:hAnsi="宋体" w:eastAsia="宋体" w:cs="宋体"/>
          <w:color w:val="auto"/>
          <w:sz w:val="43"/>
          <w:szCs w:val="43"/>
        </w:rPr>
      </w:pPr>
      <w:bookmarkStart w:id="96" w:name="_Toc4511"/>
      <w:r>
        <w:rPr>
          <w:rFonts w:hint="eastAsia" w:ascii="宋体" w:hAnsi="宋体" w:eastAsia="宋体" w:cs="宋体"/>
          <w:color w:val="auto"/>
          <w:spacing w:val="14"/>
          <w:position w:val="26"/>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8"/>
          <w:position w:val="26"/>
          <w:sz w:val="43"/>
          <w:szCs w:val="43"/>
          <w14:textOutline w14:w="7972" w14:cap="sq" w14:cmpd="sng">
            <w14:solidFill>
              <w14:srgbClr w14:val="000000"/>
            </w14:solidFill>
            <w14:prstDash w14:val="solid"/>
            <w14:bevel/>
          </w14:textOutline>
        </w:rPr>
        <w:t>三部分</w:t>
      </w:r>
      <w:r>
        <w:rPr>
          <w:rFonts w:hint="eastAsia" w:ascii="宋体" w:hAnsi="宋体" w:eastAsia="宋体" w:cs="宋体"/>
          <w:color w:val="auto"/>
          <w:spacing w:val="8"/>
          <w:position w:val="26"/>
          <w:sz w:val="43"/>
          <w:szCs w:val="43"/>
        </w:rPr>
        <w:t xml:space="preserve"> </w:t>
      </w:r>
      <w:r>
        <w:rPr>
          <w:rFonts w:hint="eastAsia" w:ascii="宋体" w:hAnsi="宋体" w:eastAsia="宋体" w:cs="宋体"/>
          <w:color w:val="auto"/>
          <w:spacing w:val="8"/>
          <w:position w:val="26"/>
          <w:sz w:val="43"/>
          <w:szCs w:val="43"/>
          <w14:textOutline w14:w="7972" w14:cap="sq" w14:cmpd="sng">
            <w14:solidFill>
              <w14:srgbClr w14:val="000000"/>
            </w14:solidFill>
            <w14:prstDash w14:val="solid"/>
            <w14:bevel/>
          </w14:textOutline>
        </w:rPr>
        <w:t>响应方案</w:t>
      </w:r>
      <w:bookmarkEnd w:id="96"/>
    </w:p>
    <w:p>
      <w:pPr>
        <w:keepNext w:val="0"/>
        <w:keepLines w:val="0"/>
        <w:widowControl/>
        <w:suppressLineNumbers w:val="0"/>
        <w:jc w:val="left"/>
      </w:pPr>
      <w:bookmarkStart w:id="97" w:name="_Toc2336"/>
      <w:r>
        <w:rPr>
          <w:rFonts w:hint="eastAsia" w:ascii="宋体" w:hAnsi="宋体" w:eastAsia="宋体" w:cs="宋体"/>
          <w:color w:val="000000"/>
          <w:kern w:val="0"/>
          <w:sz w:val="24"/>
          <w:szCs w:val="24"/>
          <w:lang w:val="en-US" w:eastAsia="zh-CN" w:bidi="ar"/>
        </w:rPr>
        <w:t xml:space="preserve">(一)供应商基本信息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如设立时间、隶属关系、经营范围、资质等级及单位人员情况。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(二)供应商性质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监狱企业投标时，应当提供由省级以上监狱管理局、戒毒管理局(含新疆生产建设兵团)出具的属于监狱企业的证明文件(格式不做要求)。未提供证明文件的不能享受招标文件规定的价格扣除，但不影响投标文件的有效性。 招标文件允许联合体投标的，联合体成员应分别提供上述声明函或证明文件，此外，还须按下文给定格式提供联合体协议书。投标联合体未提供联合体协议书的，其响应文件无效。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特别提醒：供应商性质(声明函或证明文件)将随成交公告一同公布。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(三)其他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如：经营状况、相关产品、用户评价等</w:t>
      </w:r>
    </w:p>
    <w:p>
      <w:pPr>
        <w:spacing w:line="360" w:lineRule="auto"/>
        <w:ind w:firstLine="2811" w:firstLineChars="1000"/>
        <w:outlineLvl w:val="2"/>
        <w:rPr>
          <w:rFonts w:hint="eastAsia" w:ascii="宋体" w:hAnsi="宋体" w:eastAsia="宋体" w:cs="宋体"/>
          <w:b/>
          <w:bCs w:val="0"/>
          <w:kern w:val="0"/>
          <w:sz w:val="28"/>
          <w:szCs w:val="28"/>
          <w:shd w:val="clear" w:color="auto" w:fill="FFFFFF"/>
          <w:lang w:val="en-US" w:eastAsia="zh-CN" w:bidi="ar-SA"/>
        </w:rPr>
      </w:pPr>
    </w:p>
    <w:p>
      <w:pPr>
        <w:spacing w:line="360" w:lineRule="auto"/>
        <w:ind w:firstLine="2811" w:firstLineChars="1000"/>
        <w:outlineLvl w:val="2"/>
        <w:rPr>
          <w:rFonts w:hint="eastAsia" w:ascii="宋体" w:hAnsi="宋体" w:eastAsia="宋体" w:cs="宋体"/>
          <w:b/>
          <w:bCs w:val="0"/>
          <w:kern w:val="0"/>
          <w:sz w:val="28"/>
          <w:szCs w:val="28"/>
          <w:shd w:val="clear" w:color="auto" w:fill="FFFFFF"/>
          <w:lang w:val="en-US" w:eastAsia="zh-CN" w:bidi="ar-SA"/>
        </w:rPr>
      </w:pPr>
    </w:p>
    <w:p>
      <w:pPr>
        <w:spacing w:line="360" w:lineRule="auto"/>
        <w:ind w:firstLine="2811" w:firstLineChars="1000"/>
        <w:outlineLvl w:val="2"/>
        <w:rPr>
          <w:rFonts w:hint="eastAsia" w:ascii="宋体" w:hAnsi="宋体" w:eastAsia="宋体" w:cs="宋体"/>
          <w:b/>
          <w:bCs w:val="0"/>
          <w:kern w:val="0"/>
          <w:sz w:val="28"/>
          <w:szCs w:val="28"/>
          <w:shd w:val="clear" w:color="auto" w:fill="FFFFFF"/>
          <w:lang w:val="en-US" w:eastAsia="zh-CN" w:bidi="ar-SA"/>
        </w:rPr>
      </w:pPr>
    </w:p>
    <w:p>
      <w:pPr>
        <w:pStyle w:val="2"/>
        <w:rPr>
          <w:rFonts w:hint="eastAsia" w:ascii="宋体" w:hAnsi="宋体" w:eastAsia="宋体" w:cs="宋体"/>
          <w:b/>
          <w:bCs w:val="0"/>
          <w:kern w:val="0"/>
          <w:sz w:val="28"/>
          <w:szCs w:val="28"/>
          <w:shd w:val="clear" w:color="auto" w:fill="FFFFFF"/>
          <w:lang w:val="en-US" w:eastAsia="zh-CN" w:bidi="ar-SA"/>
        </w:rPr>
      </w:pPr>
    </w:p>
    <w:p>
      <w:pPr>
        <w:rPr>
          <w:rFonts w:hint="eastAsia" w:ascii="宋体" w:hAnsi="宋体" w:eastAsia="宋体" w:cs="宋体"/>
          <w:b/>
          <w:bCs w:val="0"/>
          <w:kern w:val="0"/>
          <w:sz w:val="28"/>
          <w:szCs w:val="28"/>
          <w:shd w:val="clear" w:color="auto" w:fill="FFFFFF"/>
          <w:lang w:val="en-US" w:eastAsia="zh-CN" w:bidi="ar-SA"/>
        </w:rPr>
      </w:pPr>
    </w:p>
    <w:p>
      <w:pPr>
        <w:pStyle w:val="2"/>
        <w:rPr>
          <w:rFonts w:hint="eastAsia" w:ascii="宋体" w:hAnsi="宋体" w:eastAsia="宋体" w:cs="宋体"/>
          <w:b/>
          <w:bCs w:val="0"/>
          <w:kern w:val="0"/>
          <w:sz w:val="28"/>
          <w:szCs w:val="28"/>
          <w:shd w:val="clear" w:color="auto" w:fill="FFFFFF"/>
          <w:lang w:val="en-US" w:eastAsia="zh-CN" w:bidi="ar-SA"/>
        </w:rPr>
      </w:pPr>
    </w:p>
    <w:p>
      <w:pPr>
        <w:rPr>
          <w:rFonts w:hint="eastAsia" w:ascii="宋体" w:hAnsi="宋体" w:eastAsia="宋体" w:cs="宋体"/>
          <w:b/>
          <w:bCs w:val="0"/>
          <w:kern w:val="0"/>
          <w:sz w:val="28"/>
          <w:szCs w:val="28"/>
          <w:shd w:val="clear" w:color="auto" w:fill="FFFFFF"/>
          <w:lang w:val="en-US" w:eastAsia="zh-CN" w:bidi="ar-SA"/>
        </w:rPr>
      </w:pPr>
    </w:p>
    <w:p>
      <w:pPr>
        <w:pStyle w:val="2"/>
        <w:rPr>
          <w:rFonts w:hint="eastAsia" w:ascii="宋体" w:hAnsi="宋体" w:eastAsia="宋体" w:cs="宋体"/>
          <w:b/>
          <w:bCs w:val="0"/>
          <w:kern w:val="0"/>
          <w:sz w:val="28"/>
          <w:szCs w:val="28"/>
          <w:shd w:val="clear" w:color="auto" w:fill="FFFFFF"/>
          <w:lang w:val="en-US" w:eastAsia="zh-CN" w:bidi="ar-SA"/>
        </w:rPr>
      </w:pPr>
    </w:p>
    <w:p>
      <w:pPr>
        <w:rPr>
          <w:rFonts w:hint="eastAsia" w:ascii="宋体" w:hAnsi="宋体" w:eastAsia="宋体" w:cs="宋体"/>
          <w:b/>
          <w:bCs w:val="0"/>
          <w:kern w:val="0"/>
          <w:sz w:val="28"/>
          <w:szCs w:val="28"/>
          <w:shd w:val="clear" w:color="auto" w:fill="FFFFFF"/>
          <w:lang w:val="en-US" w:eastAsia="zh-CN" w:bidi="ar-SA"/>
        </w:rPr>
      </w:pPr>
    </w:p>
    <w:p>
      <w:pPr>
        <w:pStyle w:val="2"/>
        <w:rPr>
          <w:rFonts w:hint="eastAsia" w:ascii="宋体" w:hAnsi="宋体" w:eastAsia="宋体" w:cs="宋体"/>
          <w:b/>
          <w:bCs w:val="0"/>
          <w:kern w:val="0"/>
          <w:sz w:val="28"/>
          <w:szCs w:val="28"/>
          <w:shd w:val="clear" w:color="auto" w:fill="FFFFFF"/>
          <w:lang w:val="en-US" w:eastAsia="zh-CN" w:bidi="ar-SA"/>
        </w:rPr>
      </w:pPr>
    </w:p>
    <w:p>
      <w:pPr>
        <w:spacing w:line="360" w:lineRule="auto"/>
        <w:ind w:firstLine="2811" w:firstLineChars="1000"/>
        <w:outlineLvl w:val="2"/>
        <w:rPr>
          <w:rFonts w:hint="eastAsia" w:ascii="宋体" w:hAnsi="宋体" w:eastAsia="宋体" w:cs="宋体"/>
          <w:b/>
          <w:bCs w:val="0"/>
          <w:kern w:val="0"/>
          <w:sz w:val="28"/>
          <w:szCs w:val="28"/>
          <w:shd w:val="clear" w:color="auto" w:fill="FFFFFF"/>
          <w:lang w:val="en-US" w:eastAsia="zh-CN" w:bidi="ar-SA"/>
        </w:rPr>
      </w:pPr>
      <w:r>
        <w:rPr>
          <w:rFonts w:hint="eastAsia" w:ascii="宋体" w:hAnsi="宋体" w:eastAsia="宋体" w:cs="宋体"/>
          <w:b/>
          <w:bCs w:val="0"/>
          <w:kern w:val="0"/>
          <w:sz w:val="28"/>
          <w:szCs w:val="28"/>
          <w:shd w:val="clear" w:color="auto" w:fill="FFFFFF"/>
          <w:lang w:val="en-US" w:eastAsia="zh-CN" w:bidi="ar-SA"/>
        </w:rPr>
        <w:t>六、供应商性质</w:t>
      </w:r>
      <w:bookmarkEnd w:id="97"/>
    </w:p>
    <w:p>
      <w:pPr>
        <w:spacing w:before="75" w:line="360" w:lineRule="auto"/>
        <w:ind w:left="22" w:right="128" w:firstLine="487"/>
        <w:rPr>
          <w:rFonts w:hint="eastAsia" w:ascii="宋体" w:hAnsi="宋体" w:eastAsia="宋体" w:cs="宋体"/>
          <w:color w:val="auto"/>
          <w:sz w:val="23"/>
          <w:szCs w:val="23"/>
        </w:rPr>
      </w:pPr>
      <w:r>
        <w:rPr>
          <w:rFonts w:hint="eastAsia" w:ascii="宋体" w:hAnsi="宋体" w:eastAsia="宋体" w:cs="宋体"/>
          <w:color w:val="auto"/>
          <w:spacing w:val="8"/>
          <w:sz w:val="23"/>
          <w:szCs w:val="23"/>
        </w:rPr>
        <w:t>小微企业、残疾人福利性单位投标时，应提供声明函(按下文给定格式)</w:t>
      </w:r>
      <w:r>
        <w:rPr>
          <w:rFonts w:hint="eastAsia" w:ascii="宋体" w:hAnsi="宋体" w:eastAsia="宋体" w:cs="宋体"/>
          <w:color w:val="auto"/>
          <w:spacing w:val="3"/>
          <w:sz w:val="23"/>
          <w:szCs w:val="23"/>
        </w:rPr>
        <w:t>。</w:t>
      </w:r>
      <w:r>
        <w:rPr>
          <w:rFonts w:hint="eastAsia" w:ascii="宋体" w:hAnsi="宋体" w:eastAsia="宋体" w:cs="宋体"/>
          <w:color w:val="auto"/>
          <w:spacing w:val="9"/>
          <w:sz w:val="23"/>
          <w:szCs w:val="23"/>
        </w:rPr>
        <w:t>未</w:t>
      </w:r>
      <w:r>
        <w:rPr>
          <w:rFonts w:hint="eastAsia" w:ascii="宋体" w:hAnsi="宋体" w:eastAsia="宋体" w:cs="宋体"/>
          <w:color w:val="auto"/>
          <w:spacing w:val="7"/>
          <w:sz w:val="23"/>
          <w:szCs w:val="23"/>
        </w:rPr>
        <w:t>提供或未按给定格式提供</w:t>
      </w:r>
      <w:r>
        <w:rPr>
          <w:rFonts w:hint="eastAsia" w:ascii="宋体" w:hAnsi="宋体" w:eastAsia="宋体" w:cs="宋体"/>
          <w:color w:val="auto"/>
          <w:spacing w:val="7"/>
          <w:sz w:val="23"/>
          <w:szCs w:val="23"/>
          <w14:textOutline w14:w="4358" w14:cap="sq" w14:cmpd="sng">
            <w14:solidFill>
              <w14:srgbClr w14:val="000000"/>
            </w14:solidFill>
            <w14:prstDash w14:val="solid"/>
            <w14:bevel/>
          </w14:textOutline>
        </w:rPr>
        <w:t>声明函</w:t>
      </w:r>
      <w:r>
        <w:rPr>
          <w:rFonts w:hint="eastAsia" w:ascii="宋体" w:hAnsi="宋体" w:eastAsia="宋体" w:cs="宋体"/>
          <w:color w:val="auto"/>
          <w:spacing w:val="7"/>
          <w:sz w:val="23"/>
          <w:szCs w:val="23"/>
        </w:rPr>
        <w:t>的，其投标产品中的小型、微型企业产品、残</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疾</w:t>
      </w:r>
      <w:r>
        <w:rPr>
          <w:rFonts w:hint="eastAsia" w:ascii="宋体" w:hAnsi="宋体" w:eastAsia="宋体" w:cs="宋体"/>
          <w:color w:val="auto"/>
          <w:spacing w:val="7"/>
          <w:sz w:val="23"/>
          <w:szCs w:val="23"/>
        </w:rPr>
        <w:t>人福利性单位生产的产品将不能享受</w:t>
      </w:r>
      <w:r>
        <w:rPr>
          <w:rFonts w:hint="eastAsia" w:ascii="宋体" w:hAnsi="宋体" w:eastAsia="宋体" w:cs="宋体"/>
          <w:color w:val="auto"/>
          <w:spacing w:val="7"/>
          <w:sz w:val="23"/>
          <w:szCs w:val="23"/>
          <w:lang w:eastAsia="zh-CN"/>
        </w:rPr>
        <w:t>磋商文件</w:t>
      </w:r>
      <w:r>
        <w:rPr>
          <w:rFonts w:hint="eastAsia" w:ascii="宋体" w:hAnsi="宋体" w:eastAsia="宋体" w:cs="宋体"/>
          <w:color w:val="auto"/>
          <w:spacing w:val="7"/>
          <w:sz w:val="23"/>
          <w:szCs w:val="23"/>
        </w:rPr>
        <w:t>规定的价格扣除，但不影响响应</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文</w:t>
      </w:r>
      <w:r>
        <w:rPr>
          <w:rFonts w:hint="eastAsia" w:ascii="宋体" w:hAnsi="宋体" w:eastAsia="宋体" w:cs="宋体"/>
          <w:color w:val="auto"/>
          <w:spacing w:val="7"/>
          <w:sz w:val="23"/>
          <w:szCs w:val="23"/>
        </w:rPr>
        <w:t>件的有效性。</w:t>
      </w:r>
    </w:p>
    <w:p>
      <w:pPr>
        <w:spacing w:before="2" w:line="360" w:lineRule="auto"/>
        <w:ind w:left="22" w:right="183" w:firstLine="481"/>
        <w:rPr>
          <w:rFonts w:hint="eastAsia" w:ascii="宋体" w:hAnsi="宋体" w:eastAsia="宋体" w:cs="宋体"/>
          <w:color w:val="auto"/>
          <w:sz w:val="23"/>
          <w:szCs w:val="23"/>
        </w:rPr>
      </w:pPr>
      <w:r>
        <w:rPr>
          <w:rFonts w:hint="eastAsia" w:ascii="宋体" w:hAnsi="宋体" w:eastAsia="宋体" w:cs="宋体"/>
          <w:color w:val="auto"/>
          <w:spacing w:val="12"/>
          <w:sz w:val="23"/>
          <w:szCs w:val="23"/>
        </w:rPr>
        <w:t>监狱企</w:t>
      </w:r>
      <w:r>
        <w:rPr>
          <w:rFonts w:hint="eastAsia" w:ascii="宋体" w:hAnsi="宋体" w:eastAsia="宋体" w:cs="宋体"/>
          <w:color w:val="auto"/>
          <w:spacing w:val="10"/>
          <w:sz w:val="23"/>
          <w:szCs w:val="23"/>
        </w:rPr>
        <w:t>业</w:t>
      </w:r>
      <w:r>
        <w:rPr>
          <w:rFonts w:hint="eastAsia" w:ascii="宋体" w:hAnsi="宋体" w:eastAsia="宋体" w:cs="宋体"/>
          <w:color w:val="auto"/>
          <w:spacing w:val="6"/>
          <w:sz w:val="23"/>
          <w:szCs w:val="23"/>
        </w:rPr>
        <w:t>投标时，应当提供由省级以上监狱管理局、戒毒管理局 (含新疆生</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产建设</w:t>
      </w:r>
      <w:r>
        <w:rPr>
          <w:rFonts w:hint="eastAsia" w:ascii="宋体" w:hAnsi="宋体" w:eastAsia="宋体" w:cs="宋体"/>
          <w:color w:val="auto"/>
          <w:spacing w:val="7"/>
          <w:sz w:val="23"/>
          <w:szCs w:val="23"/>
        </w:rPr>
        <w:t>兵</w:t>
      </w:r>
      <w:r>
        <w:rPr>
          <w:rFonts w:hint="eastAsia" w:ascii="宋体" w:hAnsi="宋体" w:eastAsia="宋体" w:cs="宋体"/>
          <w:color w:val="auto"/>
          <w:spacing w:val="6"/>
          <w:sz w:val="23"/>
          <w:szCs w:val="23"/>
        </w:rPr>
        <w:t>团) 出具的属于监狱企业的</w:t>
      </w: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证明文件</w:t>
      </w:r>
      <w:r>
        <w:rPr>
          <w:rFonts w:hint="eastAsia" w:ascii="宋体" w:hAnsi="宋体" w:eastAsia="宋体" w:cs="宋体"/>
          <w:color w:val="auto"/>
          <w:spacing w:val="6"/>
          <w:sz w:val="23"/>
          <w:szCs w:val="23"/>
        </w:rPr>
        <w:t xml:space="preserve"> (格式不做要求) 。未提供证明文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件</w:t>
      </w:r>
      <w:r>
        <w:rPr>
          <w:rFonts w:hint="eastAsia" w:ascii="宋体" w:hAnsi="宋体" w:eastAsia="宋体" w:cs="宋体"/>
          <w:color w:val="auto"/>
          <w:spacing w:val="12"/>
          <w:sz w:val="23"/>
          <w:szCs w:val="23"/>
        </w:rPr>
        <w:t>的</w:t>
      </w:r>
      <w:r>
        <w:rPr>
          <w:rFonts w:hint="eastAsia" w:ascii="宋体" w:hAnsi="宋体" w:eastAsia="宋体" w:cs="宋体"/>
          <w:color w:val="auto"/>
          <w:spacing w:val="9"/>
          <w:sz w:val="23"/>
          <w:szCs w:val="23"/>
        </w:rPr>
        <w:t>不能享受</w:t>
      </w:r>
      <w:r>
        <w:rPr>
          <w:rFonts w:hint="eastAsia" w:ascii="宋体" w:hAnsi="宋体" w:eastAsia="宋体" w:cs="宋体"/>
          <w:color w:val="auto"/>
          <w:spacing w:val="9"/>
          <w:sz w:val="23"/>
          <w:szCs w:val="23"/>
          <w:lang w:eastAsia="zh-CN"/>
        </w:rPr>
        <w:t>磋商文件</w:t>
      </w:r>
      <w:r>
        <w:rPr>
          <w:rFonts w:hint="eastAsia" w:ascii="宋体" w:hAnsi="宋体" w:eastAsia="宋体" w:cs="宋体"/>
          <w:color w:val="auto"/>
          <w:spacing w:val="9"/>
          <w:sz w:val="23"/>
          <w:szCs w:val="23"/>
        </w:rPr>
        <w:t>规定的价格扣除，但不影响响应文件的有效性。</w:t>
      </w:r>
    </w:p>
    <w:p>
      <w:pPr>
        <w:spacing w:before="2" w:line="360" w:lineRule="auto"/>
        <w:ind w:left="24" w:firstLine="478"/>
        <w:rPr>
          <w:rFonts w:hint="eastAsia" w:ascii="宋体" w:hAnsi="宋体" w:eastAsia="宋体" w:cs="宋体"/>
          <w:color w:val="auto"/>
          <w:sz w:val="23"/>
          <w:szCs w:val="23"/>
        </w:rPr>
      </w:pPr>
      <w:r>
        <w:rPr>
          <w:rFonts w:hint="eastAsia" w:ascii="宋体" w:hAnsi="宋体" w:eastAsia="宋体" w:cs="宋体"/>
          <w:color w:val="auto"/>
          <w:spacing w:val="10"/>
          <w:sz w:val="23"/>
          <w:szCs w:val="23"/>
          <w:lang w:eastAsia="zh-CN"/>
        </w:rPr>
        <w:t>磋商文件</w:t>
      </w:r>
      <w:r>
        <w:rPr>
          <w:rFonts w:hint="eastAsia" w:ascii="宋体" w:hAnsi="宋体" w:eastAsia="宋体" w:cs="宋体"/>
          <w:color w:val="auto"/>
          <w:spacing w:val="5"/>
          <w:sz w:val="23"/>
          <w:szCs w:val="23"/>
        </w:rPr>
        <w:t>允许联合体投标的，联合体成员应分别提供上述声明函或证明文件，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此</w:t>
      </w:r>
      <w:r>
        <w:rPr>
          <w:rFonts w:hint="eastAsia" w:ascii="宋体" w:hAnsi="宋体" w:eastAsia="宋体" w:cs="宋体"/>
          <w:color w:val="auto"/>
          <w:spacing w:val="7"/>
          <w:sz w:val="23"/>
          <w:szCs w:val="23"/>
        </w:rPr>
        <w:t>外，还须按下文给定格式提供联合体协议书。投标联合体未提供联合体协议书</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的，其响应文件无效</w:t>
      </w:r>
      <w:r>
        <w:rPr>
          <w:rFonts w:hint="eastAsia" w:ascii="宋体" w:hAnsi="宋体" w:eastAsia="宋体" w:cs="宋体"/>
          <w:color w:val="auto"/>
          <w:spacing w:val="7"/>
          <w:sz w:val="23"/>
          <w:szCs w:val="23"/>
        </w:rPr>
        <w:t>。</w:t>
      </w:r>
    </w:p>
    <w:p>
      <w:pPr>
        <w:spacing w:before="2" w:line="360" w:lineRule="auto"/>
        <w:ind w:left="24" w:right="183" w:firstLine="482"/>
        <w:rPr>
          <w:rFonts w:hint="eastAsia" w:ascii="宋体" w:hAnsi="宋体" w:eastAsia="宋体" w:cs="宋体"/>
          <w:color w:val="auto"/>
          <w:sz w:val="23"/>
          <w:szCs w:val="23"/>
        </w:rPr>
      </w:pPr>
      <w:r>
        <w:rPr>
          <w:rFonts w:hint="eastAsia" w:ascii="宋体" w:hAnsi="宋体" w:eastAsia="宋体" w:cs="宋体"/>
          <w:color w:val="auto"/>
          <w:spacing w:val="12"/>
          <w:sz w:val="23"/>
          <w:szCs w:val="23"/>
        </w:rPr>
        <w:t>非小微企</w:t>
      </w:r>
      <w:r>
        <w:rPr>
          <w:rFonts w:hint="eastAsia" w:ascii="宋体" w:hAnsi="宋体" w:eastAsia="宋体" w:cs="宋体"/>
          <w:color w:val="auto"/>
          <w:spacing w:val="7"/>
          <w:sz w:val="23"/>
          <w:szCs w:val="23"/>
        </w:rPr>
        <w:t>业</w:t>
      </w:r>
      <w:r>
        <w:rPr>
          <w:rFonts w:hint="eastAsia" w:ascii="宋体" w:hAnsi="宋体" w:eastAsia="宋体" w:cs="宋体"/>
          <w:color w:val="auto"/>
          <w:spacing w:val="6"/>
          <w:sz w:val="23"/>
          <w:szCs w:val="23"/>
        </w:rPr>
        <w:t>、残疾人福利性单位、监狱企业，也无联合体情况的，可不提供</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此项内容</w:t>
      </w:r>
      <w:r>
        <w:rPr>
          <w:rFonts w:hint="eastAsia" w:ascii="宋体" w:hAnsi="宋体" w:eastAsia="宋体" w:cs="宋体"/>
          <w:color w:val="auto"/>
          <w:spacing w:val="5"/>
          <w:sz w:val="23"/>
          <w:szCs w:val="23"/>
        </w:rPr>
        <w:t>。</w:t>
      </w:r>
    </w:p>
    <w:p>
      <w:pPr>
        <w:spacing w:line="360" w:lineRule="auto"/>
        <w:rPr>
          <w:rFonts w:hint="eastAsia" w:ascii="宋体" w:hAnsi="宋体" w:eastAsia="宋体" w:cs="宋体"/>
          <w:color w:val="auto"/>
        </w:rPr>
        <w:sectPr>
          <w:footerReference r:id="rId13" w:type="default"/>
          <w:pgSz w:w="11906" w:h="16839"/>
          <w:pgMar w:top="1431" w:right="1616" w:bottom="1166" w:left="1785" w:header="850" w:footer="992" w:gutter="0"/>
          <w:pgNumType w:fmt="decimal"/>
          <w:cols w:space="720" w:num="1"/>
        </w:sectPr>
      </w:pPr>
    </w:p>
    <w:p>
      <w:pPr>
        <w:spacing w:before="324" w:line="360" w:lineRule="auto"/>
        <w:ind w:firstLine="3068" w:firstLineChars="1300"/>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5103" w14:cap="sq" w14:cmpd="sng">
            <w14:solidFill>
              <w14:srgbClr w14:val="000000"/>
            </w14:solidFill>
            <w14:prstDash w14:val="solid"/>
            <w14:bevel/>
          </w14:textOutline>
        </w:rPr>
        <w:t>小微企业</w:t>
      </w:r>
      <w:r>
        <w:rPr>
          <w:rFonts w:hint="eastAsia" w:ascii="宋体" w:hAnsi="宋体" w:eastAsia="宋体" w:cs="宋体"/>
          <w:color w:val="auto"/>
          <w:spacing w:val="-1"/>
          <w:sz w:val="24"/>
          <w:szCs w:val="24"/>
          <w14:textOutline w14:w="5103" w14:cap="sq" w14:cmpd="sng">
            <w14:solidFill>
              <w14:srgbClr w14:val="000000"/>
            </w14:solidFill>
            <w14:prstDash w14:val="solid"/>
            <w14:bevel/>
          </w14:textOutline>
        </w:rPr>
        <w:t>声明函</w:t>
      </w:r>
    </w:p>
    <w:p>
      <w:pPr>
        <w:tabs>
          <w:tab w:val="left" w:pos="148"/>
        </w:tabs>
        <w:spacing w:before="200" w:line="360" w:lineRule="auto"/>
        <w:ind w:left="24" w:firstLine="480"/>
        <w:rPr>
          <w:rFonts w:hint="eastAsia" w:ascii="宋体" w:hAnsi="宋体" w:eastAsia="宋体" w:cs="宋体"/>
          <w:color w:val="auto"/>
          <w:sz w:val="23"/>
          <w:szCs w:val="23"/>
        </w:rPr>
      </w:pPr>
      <w:r>
        <w:rPr>
          <w:rFonts w:hint="eastAsia" w:ascii="宋体" w:hAnsi="宋体" w:eastAsia="宋体" w:cs="宋体"/>
          <w:color w:val="auto"/>
          <w:spacing w:val="16"/>
          <w:sz w:val="23"/>
          <w:szCs w:val="23"/>
        </w:rPr>
        <w:t>本公司</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8"/>
          <w:sz w:val="23"/>
          <w:szCs w:val="23"/>
        </w:rPr>
        <w:t>(联合体) 郑重声明，根据《政府采购促进中小企业发展管理办法》</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rPr>
        <w:tab/>
      </w:r>
      <w:r>
        <w:rPr>
          <w:rFonts w:hint="eastAsia" w:ascii="宋体" w:hAnsi="宋体" w:eastAsia="宋体" w:cs="宋体"/>
          <w:color w:val="auto"/>
          <w:spacing w:val="-4"/>
          <w:sz w:val="23"/>
          <w:szCs w:val="23"/>
        </w:rPr>
        <w:t>(财库﹝2</w:t>
      </w:r>
      <w:r>
        <w:rPr>
          <w:rFonts w:hint="eastAsia" w:ascii="宋体" w:hAnsi="宋体" w:eastAsia="宋体" w:cs="宋体"/>
          <w:color w:val="auto"/>
          <w:spacing w:val="-3"/>
          <w:sz w:val="23"/>
          <w:szCs w:val="23"/>
        </w:rPr>
        <w:t>0</w:t>
      </w:r>
      <w:r>
        <w:rPr>
          <w:rFonts w:hint="eastAsia" w:ascii="宋体" w:hAnsi="宋体" w:eastAsia="宋体" w:cs="宋体"/>
          <w:color w:val="auto"/>
          <w:spacing w:val="-2"/>
          <w:sz w:val="23"/>
          <w:szCs w:val="23"/>
        </w:rPr>
        <w:t>20﹞46号) 的规定，本公司 (联合体) 参加</w:t>
      </w:r>
      <w:r>
        <w:rPr>
          <w:rFonts w:hint="eastAsia" w:ascii="宋体" w:hAnsi="宋体" w:eastAsia="宋体" w:cs="宋体"/>
          <w:color w:val="auto"/>
          <w:spacing w:val="-2"/>
          <w:sz w:val="23"/>
          <w:szCs w:val="23"/>
          <w:u w:val="single" w:color="auto"/>
        </w:rPr>
        <w:t xml:space="preserve"> (单位名称) </w:t>
      </w:r>
      <w:r>
        <w:rPr>
          <w:rFonts w:hint="eastAsia" w:ascii="宋体" w:hAnsi="宋体" w:eastAsia="宋体" w:cs="宋体"/>
          <w:color w:val="auto"/>
          <w:spacing w:val="-2"/>
          <w:sz w:val="23"/>
          <w:szCs w:val="23"/>
        </w:rPr>
        <w:t>的</w:t>
      </w:r>
      <w:r>
        <w:rPr>
          <w:rFonts w:hint="eastAsia" w:ascii="宋体" w:hAnsi="宋体" w:eastAsia="宋体" w:cs="宋体"/>
          <w:color w:val="auto"/>
          <w:spacing w:val="-2"/>
          <w:sz w:val="23"/>
          <w:szCs w:val="23"/>
          <w:u w:val="single" w:color="auto"/>
        </w:rPr>
        <w:t xml:space="preserve"> (项目</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u w:val="single" w:color="auto"/>
        </w:rPr>
        <w:t>名称)</w:t>
      </w:r>
      <w:r>
        <w:rPr>
          <w:rFonts w:hint="eastAsia" w:ascii="宋体" w:hAnsi="宋体" w:eastAsia="宋体" w:cs="宋体"/>
          <w:color w:val="auto"/>
          <w:spacing w:val="7"/>
          <w:sz w:val="23"/>
          <w:szCs w:val="23"/>
        </w:rPr>
        <w:t>采购活动，提供的货物全部由符合政策要求的小微企业制造。相关企业(</w:t>
      </w:r>
      <w:r>
        <w:rPr>
          <w:rFonts w:hint="eastAsia" w:ascii="宋体" w:hAnsi="宋体" w:eastAsia="宋体" w:cs="宋体"/>
          <w:color w:val="auto"/>
          <w:spacing w:val="1"/>
          <w:sz w:val="23"/>
          <w:szCs w:val="23"/>
        </w:rPr>
        <w:t>含</w:t>
      </w:r>
      <w:r>
        <w:rPr>
          <w:rFonts w:hint="eastAsia" w:ascii="宋体" w:hAnsi="宋体" w:eastAsia="宋体" w:cs="宋体"/>
          <w:color w:val="auto"/>
          <w:sz w:val="23"/>
          <w:szCs w:val="23"/>
        </w:rPr>
        <w:t xml:space="preserve"> </w:t>
      </w:r>
      <w:r>
        <w:rPr>
          <w:rFonts w:hint="eastAsia" w:ascii="宋体" w:hAnsi="宋体" w:eastAsia="宋体" w:cs="宋体"/>
          <w:color w:val="auto"/>
          <w:spacing w:val="11"/>
          <w:sz w:val="23"/>
          <w:szCs w:val="23"/>
        </w:rPr>
        <w:t>联</w:t>
      </w:r>
      <w:r>
        <w:rPr>
          <w:rFonts w:hint="eastAsia" w:ascii="宋体" w:hAnsi="宋体" w:eastAsia="宋体" w:cs="宋体"/>
          <w:color w:val="auto"/>
          <w:spacing w:val="9"/>
          <w:sz w:val="23"/>
          <w:szCs w:val="23"/>
        </w:rPr>
        <w:t>合体中的小微企业、签订分包意向协议的小微企业) 的具体情况如下：</w:t>
      </w:r>
    </w:p>
    <w:p>
      <w:pPr>
        <w:tabs>
          <w:tab w:val="left" w:pos="148"/>
        </w:tabs>
        <w:spacing w:before="1" w:line="360" w:lineRule="auto"/>
        <w:ind w:left="14" w:right="79" w:firstLine="507"/>
        <w:rPr>
          <w:rFonts w:hint="eastAsia" w:ascii="宋体" w:hAnsi="宋体" w:eastAsia="宋体" w:cs="宋体"/>
          <w:color w:val="auto"/>
          <w:sz w:val="23"/>
          <w:szCs w:val="23"/>
        </w:rPr>
      </w:pPr>
      <w:r>
        <w:rPr>
          <w:rFonts w:hint="eastAsia" w:ascii="宋体" w:hAnsi="宋体" w:eastAsia="宋体" w:cs="宋体"/>
          <w:color w:val="auto"/>
          <w:spacing w:val="-6"/>
          <w:sz w:val="23"/>
          <w:szCs w:val="23"/>
        </w:rPr>
        <w:t xml:space="preserve">1. </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pacing w:val="-3"/>
          <w:sz w:val="23"/>
          <w:szCs w:val="23"/>
          <w:u w:val="single" w:color="auto"/>
        </w:rPr>
        <w:t xml:space="preserve">(标的名称) </w:t>
      </w:r>
      <w:r>
        <w:rPr>
          <w:rFonts w:hint="eastAsia" w:ascii="宋体" w:hAnsi="宋体" w:eastAsia="宋体" w:cs="宋体"/>
          <w:color w:val="auto"/>
          <w:spacing w:val="-3"/>
          <w:sz w:val="23"/>
          <w:szCs w:val="23"/>
        </w:rPr>
        <w:t xml:space="preserve"> ，属于</w:t>
      </w:r>
      <w:r>
        <w:rPr>
          <w:rFonts w:hint="eastAsia" w:ascii="宋体" w:hAnsi="宋体" w:eastAsia="宋体" w:cs="宋体"/>
          <w:color w:val="auto"/>
          <w:spacing w:val="-3"/>
          <w:sz w:val="23"/>
          <w:szCs w:val="23"/>
          <w:u w:val="single" w:color="auto"/>
        </w:rPr>
        <w:t xml:space="preserve"> (采购文件中明确的所属行业) </w:t>
      </w:r>
      <w:r>
        <w:rPr>
          <w:rFonts w:hint="eastAsia" w:ascii="宋体" w:hAnsi="宋体" w:eastAsia="宋体" w:cs="宋体"/>
          <w:color w:val="auto"/>
          <w:spacing w:val="-3"/>
          <w:sz w:val="23"/>
          <w:szCs w:val="23"/>
        </w:rPr>
        <w:t>行业；制造商为</w:t>
      </w:r>
      <w:r>
        <w:rPr>
          <w:rFonts w:hint="eastAsia" w:ascii="宋体" w:hAnsi="宋体" w:eastAsia="宋体" w:cs="宋体"/>
          <w:color w:val="auto"/>
          <w:spacing w:val="-3"/>
          <w:sz w:val="23"/>
          <w:szCs w:val="23"/>
          <w:u w:val="single" w:color="auto"/>
        </w:rPr>
        <w:t xml:space="preserve"> ( 企</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u w:val="single" w:color="auto"/>
        </w:rPr>
        <w:t>业</w:t>
      </w:r>
      <w:r>
        <w:rPr>
          <w:rFonts w:hint="eastAsia" w:ascii="宋体" w:hAnsi="宋体" w:eastAsia="宋体" w:cs="宋体"/>
          <w:color w:val="auto"/>
          <w:spacing w:val="6"/>
          <w:sz w:val="23"/>
          <w:szCs w:val="23"/>
          <w:u w:val="single" w:color="auto"/>
        </w:rPr>
        <w:t xml:space="preserve">名称) </w:t>
      </w:r>
      <w:r>
        <w:rPr>
          <w:rFonts w:hint="eastAsia" w:ascii="宋体" w:hAnsi="宋体" w:eastAsia="宋体" w:cs="宋体"/>
          <w:color w:val="auto"/>
          <w:spacing w:val="6"/>
          <w:sz w:val="23"/>
          <w:szCs w:val="23"/>
        </w:rPr>
        <w:t>，从业人员</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 xml:space="preserve"> 人，营业收入为</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万元，资产总额为</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万元，属于</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u w:val="single" w:color="auto"/>
        </w:rPr>
        <w:tab/>
      </w:r>
      <w:r>
        <w:rPr>
          <w:rFonts w:hint="eastAsia" w:ascii="宋体" w:hAnsi="宋体" w:eastAsia="宋体" w:cs="宋体"/>
          <w:color w:val="auto"/>
          <w:spacing w:val="7"/>
          <w:sz w:val="23"/>
          <w:szCs w:val="23"/>
          <w:u w:val="single" w:color="auto"/>
        </w:rPr>
        <w:t xml:space="preserve">(小型企业、微型企业) </w:t>
      </w:r>
      <w:r>
        <w:rPr>
          <w:rFonts w:hint="eastAsia" w:ascii="宋体" w:hAnsi="宋体" w:eastAsia="宋体" w:cs="宋体"/>
          <w:color w:val="auto"/>
          <w:spacing w:val="7"/>
          <w:sz w:val="23"/>
          <w:szCs w:val="23"/>
        </w:rPr>
        <w:t>；</w:t>
      </w:r>
    </w:p>
    <w:p>
      <w:pPr>
        <w:spacing w:before="1" w:line="360" w:lineRule="auto"/>
        <w:ind w:left="22" w:right="79" w:firstLine="483"/>
        <w:rPr>
          <w:rFonts w:hint="eastAsia" w:ascii="宋体" w:hAnsi="宋体" w:eastAsia="宋体" w:cs="宋体"/>
          <w:color w:val="auto"/>
          <w:sz w:val="23"/>
          <w:szCs w:val="23"/>
        </w:rPr>
      </w:pPr>
      <w:r>
        <w:rPr>
          <w:rFonts w:hint="eastAsia" w:ascii="宋体" w:hAnsi="宋体" w:eastAsia="宋体" w:cs="宋体"/>
          <w:color w:val="auto"/>
          <w:spacing w:val="-1"/>
          <w:sz w:val="23"/>
          <w:szCs w:val="23"/>
        </w:rPr>
        <w:t xml:space="preserve">2. </w:t>
      </w:r>
      <w:r>
        <w:rPr>
          <w:rFonts w:hint="eastAsia" w:ascii="宋体" w:hAnsi="宋体" w:eastAsia="宋体" w:cs="宋体"/>
          <w:color w:val="auto"/>
          <w:spacing w:val="-1"/>
          <w:sz w:val="23"/>
          <w:szCs w:val="23"/>
          <w:u w:val="single" w:color="auto"/>
        </w:rPr>
        <w:t xml:space="preserve"> (标</w:t>
      </w:r>
      <w:r>
        <w:rPr>
          <w:rFonts w:hint="eastAsia" w:ascii="宋体" w:hAnsi="宋体" w:eastAsia="宋体" w:cs="宋体"/>
          <w:color w:val="auto"/>
          <w:sz w:val="23"/>
          <w:szCs w:val="23"/>
          <w:u w:val="single" w:color="auto"/>
        </w:rPr>
        <w:t xml:space="preserve">的名称) </w:t>
      </w:r>
      <w:r>
        <w:rPr>
          <w:rFonts w:hint="eastAsia" w:ascii="宋体" w:hAnsi="宋体" w:eastAsia="宋体" w:cs="宋体"/>
          <w:color w:val="auto"/>
          <w:sz w:val="23"/>
          <w:szCs w:val="23"/>
        </w:rPr>
        <w:t>，属于</w:t>
      </w:r>
      <w:r>
        <w:rPr>
          <w:rFonts w:hint="eastAsia" w:ascii="宋体" w:hAnsi="宋体" w:eastAsia="宋体" w:cs="宋体"/>
          <w:color w:val="auto"/>
          <w:sz w:val="23"/>
          <w:szCs w:val="23"/>
          <w:u w:val="single" w:color="auto"/>
        </w:rPr>
        <w:t xml:space="preserve"> (采购文件中明确的所属行业) </w:t>
      </w:r>
      <w:r>
        <w:rPr>
          <w:rFonts w:hint="eastAsia" w:ascii="宋体" w:hAnsi="宋体" w:eastAsia="宋体" w:cs="宋体"/>
          <w:color w:val="auto"/>
          <w:sz w:val="23"/>
          <w:szCs w:val="23"/>
        </w:rPr>
        <w:t>行业；制造商为</w:t>
      </w:r>
      <w:r>
        <w:rPr>
          <w:rFonts w:hint="eastAsia" w:ascii="宋体" w:hAnsi="宋体" w:eastAsia="宋体" w:cs="宋体"/>
          <w:color w:val="auto"/>
          <w:sz w:val="23"/>
          <w:szCs w:val="23"/>
          <w:u w:val="single" w:color="auto"/>
        </w:rPr>
        <w:t xml:space="preserve"> ( 企</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u w:val="single" w:color="auto"/>
        </w:rPr>
        <w:t>业名</w:t>
      </w:r>
      <w:r>
        <w:rPr>
          <w:rFonts w:hint="eastAsia" w:ascii="宋体" w:hAnsi="宋体" w:eastAsia="宋体" w:cs="宋体"/>
          <w:color w:val="auto"/>
          <w:spacing w:val="3"/>
          <w:sz w:val="23"/>
          <w:szCs w:val="23"/>
          <w:u w:val="single" w:color="auto"/>
        </w:rPr>
        <w:t xml:space="preserve">称) </w:t>
      </w:r>
      <w:r>
        <w:rPr>
          <w:rFonts w:hint="eastAsia" w:ascii="宋体" w:hAnsi="宋体" w:eastAsia="宋体" w:cs="宋体"/>
          <w:color w:val="auto"/>
          <w:spacing w:val="3"/>
          <w:sz w:val="23"/>
          <w:szCs w:val="23"/>
        </w:rPr>
        <w:t>，从业人员</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人，营业收入为</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万元，资产总额为</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万元，属于</w:t>
      </w:r>
      <w:r>
        <w:rPr>
          <w:rFonts w:hint="eastAsia" w:ascii="宋体" w:hAnsi="宋体" w:eastAsia="宋体" w:cs="宋体"/>
          <w:color w:val="auto"/>
          <w:spacing w:val="3"/>
          <w:sz w:val="23"/>
          <w:szCs w:val="23"/>
          <w:u w:val="single" w:color="auto"/>
        </w:rPr>
        <w:t xml:space="preserve"> (小</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u w:val="single" w:color="auto"/>
        </w:rPr>
        <w:t>型</w:t>
      </w:r>
      <w:r>
        <w:rPr>
          <w:rFonts w:hint="eastAsia" w:ascii="宋体" w:hAnsi="宋体" w:eastAsia="宋体" w:cs="宋体"/>
          <w:color w:val="auto"/>
          <w:spacing w:val="7"/>
          <w:sz w:val="23"/>
          <w:szCs w:val="23"/>
          <w:u w:val="single" w:color="auto"/>
        </w:rPr>
        <w:t xml:space="preserve">企业、微型企业) </w:t>
      </w:r>
      <w:r>
        <w:rPr>
          <w:rFonts w:hint="eastAsia" w:ascii="宋体" w:hAnsi="宋体" w:eastAsia="宋体" w:cs="宋体"/>
          <w:color w:val="auto"/>
          <w:spacing w:val="7"/>
          <w:sz w:val="23"/>
          <w:szCs w:val="23"/>
        </w:rPr>
        <w:t>；</w:t>
      </w:r>
    </w:p>
    <w:p>
      <w:pPr>
        <w:spacing w:line="360" w:lineRule="auto"/>
        <w:ind w:left="518"/>
        <w:rPr>
          <w:rFonts w:hint="eastAsia" w:ascii="宋体" w:hAnsi="宋体" w:eastAsia="宋体" w:cs="宋体"/>
          <w:color w:val="auto"/>
          <w:sz w:val="23"/>
          <w:szCs w:val="23"/>
        </w:rPr>
      </w:pPr>
      <w:r>
        <w:rPr>
          <w:rFonts w:hint="eastAsia" w:ascii="宋体" w:hAnsi="宋体" w:eastAsia="宋体" w:cs="宋体"/>
          <w:color w:val="auto"/>
          <w:spacing w:val="5"/>
          <w:position w:val="3"/>
          <w:sz w:val="23"/>
          <w:szCs w:val="23"/>
        </w:rPr>
        <w:t>……</w:t>
      </w:r>
    </w:p>
    <w:p>
      <w:pPr>
        <w:spacing w:before="129" w:line="360" w:lineRule="auto"/>
        <w:ind w:left="27" w:right="79" w:firstLine="503"/>
        <w:rPr>
          <w:rFonts w:hint="eastAsia" w:ascii="宋体" w:hAnsi="宋体" w:eastAsia="宋体" w:cs="宋体"/>
          <w:color w:val="auto"/>
          <w:sz w:val="23"/>
          <w:szCs w:val="23"/>
        </w:rPr>
      </w:pPr>
      <w:r>
        <w:rPr>
          <w:rFonts w:hint="eastAsia" w:ascii="宋体" w:hAnsi="宋体" w:eastAsia="宋体" w:cs="宋体"/>
          <w:color w:val="auto"/>
          <w:spacing w:val="7"/>
          <w:sz w:val="23"/>
          <w:szCs w:val="23"/>
        </w:rPr>
        <w:t>以</w:t>
      </w:r>
      <w:r>
        <w:rPr>
          <w:rFonts w:hint="eastAsia" w:ascii="宋体" w:hAnsi="宋体" w:eastAsia="宋体" w:cs="宋体"/>
          <w:color w:val="auto"/>
          <w:spacing w:val="6"/>
          <w:sz w:val="23"/>
          <w:szCs w:val="23"/>
        </w:rPr>
        <w:t>上企业，不属于大企业的分支机构，不存在控股股东为大企业的情形，也</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不</w:t>
      </w:r>
      <w:r>
        <w:rPr>
          <w:rFonts w:hint="eastAsia" w:ascii="宋体" w:hAnsi="宋体" w:eastAsia="宋体" w:cs="宋体"/>
          <w:color w:val="auto"/>
          <w:spacing w:val="14"/>
          <w:sz w:val="23"/>
          <w:szCs w:val="23"/>
        </w:rPr>
        <w:t>存</w:t>
      </w:r>
      <w:r>
        <w:rPr>
          <w:rFonts w:hint="eastAsia" w:ascii="宋体" w:hAnsi="宋体" w:eastAsia="宋体" w:cs="宋体"/>
          <w:color w:val="auto"/>
          <w:spacing w:val="8"/>
          <w:sz w:val="23"/>
          <w:szCs w:val="23"/>
        </w:rPr>
        <w:t>在与大企业的负责人为同一人的情形。</w:t>
      </w:r>
    </w:p>
    <w:p>
      <w:pPr>
        <w:spacing w:before="1" w:line="360" w:lineRule="auto"/>
        <w:ind w:left="504"/>
        <w:rPr>
          <w:rFonts w:hint="eastAsia" w:ascii="宋体" w:hAnsi="宋体" w:eastAsia="宋体" w:cs="宋体"/>
          <w:color w:val="auto"/>
          <w:sz w:val="23"/>
          <w:szCs w:val="23"/>
        </w:rPr>
      </w:pPr>
      <w:r>
        <w:rPr>
          <w:rFonts w:hint="eastAsia" w:ascii="宋体" w:hAnsi="宋体" w:eastAsia="宋体" w:cs="宋体"/>
          <w:color w:val="auto"/>
          <w:spacing w:val="18"/>
          <w:sz w:val="23"/>
          <w:szCs w:val="23"/>
        </w:rPr>
        <w:t>本</w:t>
      </w:r>
      <w:r>
        <w:rPr>
          <w:rFonts w:hint="eastAsia" w:ascii="宋体" w:hAnsi="宋体" w:eastAsia="宋体" w:cs="宋体"/>
          <w:color w:val="auto"/>
          <w:spacing w:val="11"/>
          <w:sz w:val="23"/>
          <w:szCs w:val="23"/>
        </w:rPr>
        <w:t>企</w:t>
      </w:r>
      <w:r>
        <w:rPr>
          <w:rFonts w:hint="eastAsia" w:ascii="宋体" w:hAnsi="宋体" w:eastAsia="宋体" w:cs="宋体"/>
          <w:color w:val="auto"/>
          <w:spacing w:val="9"/>
          <w:sz w:val="23"/>
          <w:szCs w:val="23"/>
        </w:rPr>
        <w:t>业对上述声明内容的真实性负责。如有虚假，将依法承担相应责任。</w:t>
      </w:r>
    </w:p>
    <w:p>
      <w:pPr>
        <w:spacing w:before="222" w:line="360" w:lineRule="auto"/>
        <w:ind w:left="3987"/>
        <w:rPr>
          <w:rFonts w:hint="eastAsia" w:ascii="宋体" w:hAnsi="宋体" w:eastAsia="宋体" w:cs="宋体"/>
          <w:color w:val="auto"/>
          <w:sz w:val="23"/>
          <w:szCs w:val="23"/>
        </w:rPr>
      </w:pPr>
      <w:r>
        <w:rPr>
          <w:rFonts w:hint="eastAsia" w:ascii="宋体" w:hAnsi="宋体" w:eastAsia="宋体" w:cs="宋体"/>
          <w:color w:val="auto"/>
          <w:spacing w:val="8"/>
          <w:position w:val="20"/>
          <w:sz w:val="23"/>
          <w:szCs w:val="23"/>
        </w:rPr>
        <w:t>企</w:t>
      </w:r>
      <w:r>
        <w:rPr>
          <w:rFonts w:hint="eastAsia" w:ascii="宋体" w:hAnsi="宋体" w:eastAsia="宋体" w:cs="宋体"/>
          <w:color w:val="auto"/>
          <w:spacing w:val="6"/>
          <w:position w:val="20"/>
          <w:sz w:val="23"/>
          <w:szCs w:val="23"/>
        </w:rPr>
        <w:t>业名称 (盖章) ：</w:t>
      </w:r>
    </w:p>
    <w:p>
      <w:pPr>
        <w:spacing w:before="1" w:line="360" w:lineRule="auto"/>
        <w:ind w:left="4024"/>
        <w:rPr>
          <w:rFonts w:hint="eastAsia" w:ascii="宋体" w:hAnsi="宋体" w:eastAsia="宋体" w:cs="宋体"/>
          <w:color w:val="auto"/>
          <w:sz w:val="23"/>
          <w:szCs w:val="23"/>
        </w:rPr>
      </w:pPr>
      <w:r>
        <w:rPr>
          <w:rFonts w:hint="eastAsia" w:ascii="宋体" w:hAnsi="宋体" w:eastAsia="宋体" w:cs="宋体"/>
          <w:color w:val="auto"/>
          <w:spacing w:val="-11"/>
          <w:sz w:val="23"/>
          <w:szCs w:val="23"/>
        </w:rPr>
        <w:t>日</w:t>
      </w:r>
      <w:r>
        <w:rPr>
          <w:rFonts w:hint="eastAsia" w:ascii="宋体" w:hAnsi="宋体" w:eastAsia="宋体" w:cs="宋体"/>
          <w:color w:val="auto"/>
          <w:spacing w:val="-10"/>
          <w:sz w:val="23"/>
          <w:szCs w:val="23"/>
        </w:rPr>
        <w:t>期：</w:t>
      </w:r>
    </w:p>
    <w:p>
      <w:pPr>
        <w:spacing w:before="213" w:line="360" w:lineRule="auto"/>
        <w:ind w:left="25" w:right="81" w:firstLine="480"/>
        <w:rPr>
          <w:rFonts w:hint="eastAsia" w:ascii="宋体" w:hAnsi="宋体" w:eastAsia="宋体" w:cs="宋体"/>
          <w:color w:val="auto"/>
          <w:sz w:val="23"/>
          <w:szCs w:val="23"/>
        </w:rPr>
      </w:pPr>
      <w:r>
        <w:rPr>
          <w:rFonts w:hint="eastAsia" w:ascii="宋体" w:hAnsi="宋体" w:eastAsia="宋体" w:cs="宋体"/>
          <w:color w:val="auto"/>
          <w:spacing w:val="16"/>
          <w:sz w:val="23"/>
          <w:szCs w:val="23"/>
        </w:rPr>
        <w:t>备</w:t>
      </w:r>
      <w:r>
        <w:rPr>
          <w:rFonts w:hint="eastAsia" w:ascii="宋体" w:hAnsi="宋体" w:eastAsia="宋体" w:cs="宋体"/>
          <w:color w:val="auto"/>
          <w:spacing w:val="10"/>
          <w:sz w:val="23"/>
          <w:szCs w:val="23"/>
        </w:rPr>
        <w:t>注：1、从业人员、营业收入、资产总额填报上一年度数据，无上一年度</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数</w:t>
      </w:r>
      <w:r>
        <w:rPr>
          <w:rFonts w:hint="eastAsia" w:ascii="宋体" w:hAnsi="宋体" w:eastAsia="宋体" w:cs="宋体"/>
          <w:color w:val="auto"/>
          <w:spacing w:val="8"/>
          <w:sz w:val="23"/>
          <w:szCs w:val="23"/>
        </w:rPr>
        <w:t>据的新成立企业可不填报。</w:t>
      </w:r>
    </w:p>
    <w:p>
      <w:pPr>
        <w:spacing w:line="360" w:lineRule="auto"/>
        <w:ind w:left="1094"/>
        <w:rPr>
          <w:rFonts w:hint="eastAsia" w:ascii="宋体" w:hAnsi="宋体" w:eastAsia="宋体" w:cs="宋体"/>
          <w:color w:val="auto"/>
          <w:sz w:val="23"/>
          <w:szCs w:val="23"/>
        </w:rPr>
      </w:pPr>
      <w:r>
        <w:rPr>
          <w:rFonts w:hint="eastAsia" w:ascii="宋体" w:hAnsi="宋体" w:eastAsia="宋体" w:cs="宋体"/>
          <w:color w:val="auto"/>
          <w:spacing w:val="10"/>
          <w:position w:val="1"/>
          <w:sz w:val="23"/>
          <w:szCs w:val="23"/>
        </w:rPr>
        <w:t>2</w:t>
      </w:r>
      <w:r>
        <w:rPr>
          <w:rFonts w:hint="eastAsia" w:ascii="宋体" w:hAnsi="宋体" w:eastAsia="宋体" w:cs="宋体"/>
          <w:color w:val="auto"/>
          <w:spacing w:val="8"/>
          <w:position w:val="1"/>
          <w:sz w:val="23"/>
          <w:szCs w:val="23"/>
        </w:rPr>
        <w:t>、项目不分标段的，第___标段空白处填写“/”。</w:t>
      </w:r>
    </w:p>
    <w:p>
      <w:pPr>
        <w:spacing w:line="360" w:lineRule="auto"/>
        <w:rPr>
          <w:rFonts w:hint="eastAsia" w:ascii="宋体" w:hAnsi="宋体" w:eastAsia="宋体" w:cs="宋体"/>
          <w:color w:val="auto"/>
        </w:rPr>
        <w:sectPr>
          <w:footerReference r:id="rId14" w:type="default"/>
          <w:pgSz w:w="11906" w:h="16839"/>
          <w:pgMar w:top="1431" w:right="1720" w:bottom="1166" w:left="1785" w:header="850" w:footer="992" w:gutter="0"/>
          <w:pgNumType w:fmt="decimal"/>
          <w:cols w:space="720" w:num="1"/>
        </w:sectPr>
      </w:pPr>
    </w:p>
    <w:p>
      <w:pPr>
        <w:spacing w:before="168" w:line="360" w:lineRule="auto"/>
        <w:ind w:firstLine="2400" w:firstLineChars="1000"/>
        <w:outlineLvl w:val="2"/>
        <w:rPr>
          <w:rFonts w:hint="eastAsia" w:ascii="宋体" w:hAnsi="宋体" w:eastAsia="宋体" w:cs="宋体"/>
          <w:color w:val="auto"/>
          <w:sz w:val="24"/>
          <w:szCs w:val="24"/>
        </w:rPr>
      </w:pPr>
      <w:bookmarkStart w:id="98" w:name="_Toc2670"/>
      <w:r>
        <w:rPr>
          <w:rFonts w:hint="eastAsia" w:ascii="宋体" w:hAnsi="宋体" w:eastAsia="宋体" w:cs="宋体"/>
          <w:color w:val="auto"/>
          <w:sz w:val="24"/>
          <w:szCs w:val="24"/>
          <w14:textOutline w14:w="5103" w14:cap="sq" w14:cmpd="sng">
            <w14:solidFill>
              <w14:srgbClr w14:val="000000"/>
            </w14:solidFill>
            <w14:prstDash w14:val="solid"/>
            <w14:bevel/>
          </w14:textOutline>
        </w:rPr>
        <w:t>残疾人福利性单位声明函</w:t>
      </w:r>
      <w:bookmarkEnd w:id="98"/>
    </w:p>
    <w:p>
      <w:pPr>
        <w:spacing w:before="200" w:line="360" w:lineRule="auto"/>
        <w:ind w:left="21" w:right="80" w:firstLine="482"/>
        <w:rPr>
          <w:rFonts w:hint="eastAsia" w:ascii="宋体" w:hAnsi="宋体" w:eastAsia="宋体" w:cs="宋体"/>
          <w:color w:val="auto"/>
          <w:sz w:val="23"/>
          <w:szCs w:val="23"/>
        </w:rPr>
      </w:pPr>
      <w:r>
        <w:rPr>
          <w:rFonts w:hint="eastAsia" w:ascii="宋体" w:hAnsi="宋体" w:eastAsia="宋体" w:cs="宋体"/>
          <w:color w:val="auto"/>
          <w:spacing w:val="12"/>
          <w:sz w:val="23"/>
          <w:szCs w:val="23"/>
        </w:rPr>
        <w:t>本单位</w:t>
      </w:r>
      <w:r>
        <w:rPr>
          <w:rFonts w:hint="eastAsia" w:ascii="宋体" w:hAnsi="宋体" w:eastAsia="宋体" w:cs="宋体"/>
          <w:color w:val="auto"/>
          <w:spacing w:val="10"/>
          <w:sz w:val="23"/>
          <w:szCs w:val="23"/>
        </w:rPr>
        <w:t>郑</w:t>
      </w:r>
      <w:r>
        <w:rPr>
          <w:rFonts w:hint="eastAsia" w:ascii="宋体" w:hAnsi="宋体" w:eastAsia="宋体" w:cs="宋体"/>
          <w:color w:val="auto"/>
          <w:spacing w:val="6"/>
          <w:sz w:val="23"/>
          <w:szCs w:val="23"/>
        </w:rPr>
        <w:t>重声明，根据《财政部 民政部 中国残疾人联合会关于促进残疾人</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就业</w:t>
      </w:r>
      <w:r>
        <w:rPr>
          <w:rFonts w:hint="eastAsia" w:ascii="宋体" w:hAnsi="宋体" w:eastAsia="宋体" w:cs="宋体"/>
          <w:color w:val="auto"/>
          <w:spacing w:val="4"/>
          <w:sz w:val="23"/>
          <w:szCs w:val="23"/>
        </w:rPr>
        <w:t>政</w:t>
      </w:r>
      <w:r>
        <w:rPr>
          <w:rFonts w:hint="eastAsia" w:ascii="宋体" w:hAnsi="宋体" w:eastAsia="宋体" w:cs="宋体"/>
          <w:color w:val="auto"/>
          <w:spacing w:val="3"/>
          <w:sz w:val="23"/>
          <w:szCs w:val="23"/>
        </w:rPr>
        <w:t>府采购政策的通知》  (财库〔2017〕141 号) 的规定，本单位为符合条件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的</w:t>
      </w:r>
      <w:r>
        <w:rPr>
          <w:rFonts w:hint="eastAsia" w:ascii="宋体" w:hAnsi="宋体" w:eastAsia="宋体" w:cs="宋体"/>
          <w:color w:val="auto"/>
          <w:spacing w:val="6"/>
          <w:sz w:val="23"/>
          <w:szCs w:val="23"/>
        </w:rPr>
        <w:t>残疾人福利性单位，且本单位参加</w:t>
      </w:r>
      <w:r>
        <w:rPr>
          <w:rFonts w:hint="eastAsia" w:ascii="宋体" w:hAnsi="宋体" w:eastAsia="宋体" w:cs="宋体"/>
          <w:color w:val="auto"/>
          <w:spacing w:val="6"/>
          <w:sz w:val="23"/>
          <w:szCs w:val="23"/>
          <w:u w:val="single" w:color="auto"/>
        </w:rPr>
        <w:t xml:space="preserve">   项目名称  </w:t>
      </w:r>
      <w:r>
        <w:rPr>
          <w:rFonts w:hint="eastAsia" w:ascii="宋体" w:hAnsi="宋体" w:eastAsia="宋体" w:cs="宋体"/>
          <w:color w:val="auto"/>
          <w:spacing w:val="6"/>
          <w:sz w:val="23"/>
          <w:szCs w:val="23"/>
        </w:rPr>
        <w:t xml:space="preserve"> (项目编号：) 第___标段采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购</w:t>
      </w:r>
      <w:r>
        <w:rPr>
          <w:rFonts w:hint="eastAsia" w:ascii="宋体" w:hAnsi="宋体" w:eastAsia="宋体" w:cs="宋体"/>
          <w:color w:val="auto"/>
          <w:spacing w:val="14"/>
          <w:sz w:val="23"/>
          <w:szCs w:val="23"/>
        </w:rPr>
        <w:t>活</w:t>
      </w:r>
      <w:r>
        <w:rPr>
          <w:rFonts w:hint="eastAsia" w:ascii="宋体" w:hAnsi="宋体" w:eastAsia="宋体" w:cs="宋体"/>
          <w:color w:val="auto"/>
          <w:spacing w:val="9"/>
          <w:sz w:val="23"/>
          <w:szCs w:val="23"/>
        </w:rPr>
        <w:t>动由本单位提供服务，或者提供其他残疾人福利性单位提供的服务。</w:t>
      </w:r>
    </w:p>
    <w:p>
      <w:pPr>
        <w:spacing w:line="360" w:lineRule="auto"/>
        <w:ind w:left="504"/>
        <w:rPr>
          <w:rFonts w:hint="eastAsia" w:ascii="宋体" w:hAnsi="宋体" w:eastAsia="宋体" w:cs="宋体"/>
          <w:color w:val="auto"/>
          <w:sz w:val="23"/>
          <w:szCs w:val="23"/>
        </w:rPr>
      </w:pPr>
      <w:r>
        <w:rPr>
          <w:rFonts w:hint="eastAsia" w:ascii="宋体" w:hAnsi="宋体" w:eastAsia="宋体" w:cs="宋体"/>
          <w:color w:val="auto"/>
          <w:spacing w:val="18"/>
          <w:sz w:val="23"/>
          <w:szCs w:val="23"/>
        </w:rPr>
        <w:t>本</w:t>
      </w:r>
      <w:r>
        <w:rPr>
          <w:rFonts w:hint="eastAsia" w:ascii="宋体" w:hAnsi="宋体" w:eastAsia="宋体" w:cs="宋体"/>
          <w:color w:val="auto"/>
          <w:spacing w:val="9"/>
          <w:sz w:val="23"/>
          <w:szCs w:val="23"/>
        </w:rPr>
        <w:t>单位对上述声明的真实性负责。如有虚假，将依法承担相应责任。</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right="1447"/>
        <w:rPr>
          <w:rFonts w:hint="eastAsia" w:ascii="宋体" w:hAnsi="宋体" w:eastAsia="宋体" w:cs="宋体"/>
          <w:color w:val="auto"/>
          <w:spacing w:val="6"/>
          <w:sz w:val="23"/>
          <w:szCs w:val="23"/>
        </w:rPr>
      </w:pPr>
      <w:r>
        <w:rPr>
          <w:rFonts w:hint="eastAsia" w:ascii="宋体" w:hAnsi="宋体" w:eastAsia="宋体" w:cs="宋体"/>
          <w:color w:val="auto"/>
          <w:spacing w:val="12"/>
          <w:sz w:val="23"/>
          <w:szCs w:val="23"/>
          <w:u w:val="single" w:color="auto"/>
        </w:rPr>
        <w:t>供</w:t>
      </w:r>
      <w:r>
        <w:rPr>
          <w:rFonts w:hint="eastAsia" w:ascii="宋体" w:hAnsi="宋体" w:eastAsia="宋体" w:cs="宋体"/>
          <w:color w:val="auto"/>
          <w:spacing w:val="7"/>
          <w:sz w:val="23"/>
          <w:szCs w:val="23"/>
          <w:u w:val="single" w:color="auto"/>
        </w:rPr>
        <w:t>应</w:t>
      </w:r>
      <w:r>
        <w:rPr>
          <w:rFonts w:hint="eastAsia" w:ascii="宋体" w:hAnsi="宋体" w:eastAsia="宋体" w:cs="宋体"/>
          <w:color w:val="auto"/>
          <w:spacing w:val="6"/>
          <w:sz w:val="23"/>
          <w:szCs w:val="23"/>
          <w:u w:val="single" w:color="auto"/>
        </w:rPr>
        <w:t>商名称</w:t>
      </w:r>
      <w:r>
        <w:rPr>
          <w:rFonts w:hint="eastAsia" w:ascii="宋体" w:hAnsi="宋体" w:eastAsia="宋体" w:cs="宋体"/>
          <w:color w:val="auto"/>
          <w:spacing w:val="6"/>
          <w:sz w:val="23"/>
          <w:szCs w:val="23"/>
        </w:rPr>
        <w:t xml:space="preserve"> (加盖公章)</w:t>
      </w:r>
    </w:p>
    <w:p>
      <w:pPr>
        <w:spacing w:before="75" w:line="360" w:lineRule="auto"/>
        <w:ind w:right="1447"/>
        <w:rPr>
          <w:rFonts w:hint="eastAsia" w:ascii="宋体" w:hAnsi="宋体" w:eastAsia="宋体" w:cs="宋体"/>
          <w:color w:val="auto"/>
          <w:sz w:val="23"/>
          <w:szCs w:val="23"/>
        </w:rPr>
      </w:pP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年</w:t>
      </w:r>
      <w:r>
        <w:rPr>
          <w:rFonts w:hint="eastAsia" w:ascii="宋体" w:hAnsi="宋体" w:eastAsia="宋体" w:cs="宋体"/>
          <w:color w:val="auto"/>
          <w:spacing w:val="11"/>
          <w:sz w:val="23"/>
          <w:szCs w:val="23"/>
        </w:rPr>
        <w:t xml:space="preserve">  月  日</w:t>
      </w:r>
    </w:p>
    <w:p>
      <w:pPr>
        <w:spacing w:line="360" w:lineRule="auto"/>
        <w:rPr>
          <w:rFonts w:hint="eastAsia" w:ascii="宋体" w:hAnsi="宋体" w:eastAsia="宋体" w:cs="宋体"/>
          <w:color w:val="auto"/>
          <w:sz w:val="21"/>
        </w:rPr>
      </w:pPr>
    </w:p>
    <w:p>
      <w:pPr>
        <w:spacing w:before="75" w:line="360" w:lineRule="auto"/>
        <w:ind w:left="592"/>
        <w:rPr>
          <w:rFonts w:hint="eastAsia" w:ascii="宋体" w:hAnsi="宋体" w:eastAsia="宋体" w:cs="宋体"/>
          <w:color w:val="auto"/>
          <w:sz w:val="23"/>
          <w:szCs w:val="23"/>
        </w:rPr>
      </w:pPr>
      <w:r>
        <w:rPr>
          <w:rFonts w:hint="eastAsia" w:ascii="宋体" w:hAnsi="宋体" w:eastAsia="宋体" w:cs="宋体"/>
          <w:color w:val="auto"/>
          <w:spacing w:val="16"/>
          <w:sz w:val="23"/>
          <w:szCs w:val="23"/>
          <w14:textOutline w14:w="4358" w14:cap="sq" w14:cmpd="sng">
            <w14:solidFill>
              <w14:srgbClr w14:val="000000"/>
            </w14:solidFill>
            <w14:prstDash w14:val="solid"/>
            <w14:bevel/>
          </w14:textOutline>
        </w:rPr>
        <w:t>备</w:t>
      </w: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注</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8"/>
          <w:sz w:val="23"/>
          <w:szCs w:val="23"/>
        </w:rPr>
        <w:t>项目不分标段的，第___标段空白处填写“/”。</w:t>
      </w:r>
    </w:p>
    <w:p>
      <w:pPr>
        <w:spacing w:before="29" w:line="360" w:lineRule="auto"/>
        <w:ind w:left="25" w:right="82" w:firstLine="564"/>
        <w:rPr>
          <w:rFonts w:hint="eastAsia" w:ascii="宋体" w:hAnsi="宋体" w:eastAsia="宋体" w:cs="宋体"/>
          <w:color w:val="auto"/>
          <w:sz w:val="23"/>
          <w:szCs w:val="23"/>
        </w:rPr>
      </w:pPr>
      <w:r>
        <w:rPr>
          <w:rFonts w:hint="eastAsia" w:ascii="宋体" w:hAnsi="宋体" w:eastAsia="宋体" w:cs="宋体"/>
          <w:color w:val="auto"/>
          <w:spacing w:val="16"/>
          <w:sz w:val="23"/>
          <w:szCs w:val="23"/>
        </w:rPr>
        <w:t>根</w:t>
      </w:r>
      <w:r>
        <w:rPr>
          <w:rFonts w:hint="eastAsia" w:ascii="宋体" w:hAnsi="宋体" w:eastAsia="宋体" w:cs="宋体"/>
          <w:color w:val="auto"/>
          <w:spacing w:val="11"/>
          <w:sz w:val="23"/>
          <w:szCs w:val="23"/>
        </w:rPr>
        <w:t>据《财政部 民政部 中国残疾人联合会关于促进残疾人就业政府采购政</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策的通</w:t>
      </w:r>
      <w:r>
        <w:rPr>
          <w:rFonts w:hint="eastAsia" w:ascii="宋体" w:hAnsi="宋体" w:eastAsia="宋体" w:cs="宋体"/>
          <w:color w:val="auto"/>
          <w:sz w:val="23"/>
          <w:szCs w:val="23"/>
        </w:rPr>
        <w:t>知》  (财库〔2017〕141 号) 的规定：</w:t>
      </w:r>
    </w:p>
    <w:p>
      <w:pPr>
        <w:spacing w:line="360" w:lineRule="auto"/>
        <w:rPr>
          <w:rFonts w:hint="eastAsia" w:ascii="宋体" w:hAnsi="宋体" w:eastAsia="宋体" w:cs="宋体"/>
          <w:color w:val="auto"/>
          <w:sz w:val="23"/>
          <w:szCs w:val="23"/>
        </w:rPr>
      </w:pPr>
      <w:r>
        <w:rPr>
          <w:rFonts w:hint="eastAsia" w:ascii="宋体" w:hAnsi="宋体" w:eastAsia="宋体" w:cs="宋体"/>
          <w:color w:val="auto"/>
          <w:spacing w:val="17"/>
          <w:sz w:val="23"/>
          <w:szCs w:val="23"/>
        </w:rPr>
        <w:t>一</w:t>
      </w:r>
      <w:r>
        <w:rPr>
          <w:rFonts w:hint="eastAsia" w:ascii="宋体" w:hAnsi="宋体" w:eastAsia="宋体" w:cs="宋体"/>
          <w:color w:val="auto"/>
          <w:spacing w:val="9"/>
          <w:sz w:val="23"/>
          <w:szCs w:val="23"/>
        </w:rPr>
        <w:t>、享受政府采购支持政策的残疾人福利性单位应当同时满足以下条件：</w:t>
      </w:r>
    </w:p>
    <w:p>
      <w:pPr>
        <w:spacing w:before="1" w:line="360" w:lineRule="auto"/>
        <w:ind w:left="29" w:right="76" w:firstLine="572"/>
        <w:rPr>
          <w:rFonts w:hint="eastAsia" w:ascii="宋体" w:hAnsi="宋体" w:eastAsia="宋体" w:cs="宋体"/>
          <w:color w:val="auto"/>
          <w:sz w:val="23"/>
          <w:szCs w:val="23"/>
        </w:rPr>
      </w:pPr>
      <w:r>
        <w:rPr>
          <w:rFonts w:hint="eastAsia" w:ascii="宋体" w:hAnsi="宋体" w:eastAsia="宋体" w:cs="宋体"/>
          <w:color w:val="auto"/>
          <w:spacing w:val="6"/>
          <w:sz w:val="23"/>
          <w:szCs w:val="23"/>
        </w:rPr>
        <w:t>( 一</w:t>
      </w:r>
      <w:r>
        <w:rPr>
          <w:rFonts w:hint="eastAsia" w:ascii="宋体" w:hAnsi="宋体" w:eastAsia="宋体" w:cs="宋体"/>
          <w:color w:val="auto"/>
          <w:spacing w:val="3"/>
          <w:sz w:val="23"/>
          <w:szCs w:val="23"/>
        </w:rPr>
        <w:t>) 安置的残疾人占本单位在职职工人数的比例不低于 25% (含 25%) ，</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rPr>
        <w:t>并且安置的</w:t>
      </w:r>
      <w:r>
        <w:rPr>
          <w:rFonts w:hint="eastAsia" w:ascii="宋体" w:hAnsi="宋体" w:eastAsia="宋体" w:cs="宋体"/>
          <w:color w:val="auto"/>
          <w:spacing w:val="-1"/>
          <w:sz w:val="23"/>
          <w:szCs w:val="23"/>
        </w:rPr>
        <w:t>残疾人人数不少于 10 人 (含 10 人) ；</w:t>
      </w:r>
    </w:p>
    <w:p>
      <w:pPr>
        <w:spacing w:before="1" w:line="360" w:lineRule="auto"/>
        <w:ind w:left="23" w:right="80" w:firstLine="577"/>
        <w:rPr>
          <w:rFonts w:hint="eastAsia" w:ascii="宋体" w:hAnsi="宋体" w:eastAsia="宋体" w:cs="宋体"/>
          <w:color w:val="auto"/>
          <w:sz w:val="23"/>
          <w:szCs w:val="23"/>
        </w:rPr>
      </w:pPr>
      <w:r>
        <w:rPr>
          <w:rFonts w:hint="eastAsia" w:ascii="宋体" w:hAnsi="宋体" w:eastAsia="宋体" w:cs="宋体"/>
          <w:color w:val="auto"/>
          <w:spacing w:val="26"/>
          <w:sz w:val="23"/>
          <w:szCs w:val="23"/>
        </w:rPr>
        <w:t>(</w:t>
      </w:r>
      <w:r>
        <w:rPr>
          <w:rFonts w:hint="eastAsia" w:ascii="宋体" w:hAnsi="宋体" w:eastAsia="宋体" w:cs="宋体"/>
          <w:color w:val="auto"/>
          <w:spacing w:val="18"/>
          <w:sz w:val="23"/>
          <w:szCs w:val="23"/>
        </w:rPr>
        <w:t>二</w:t>
      </w:r>
      <w:r>
        <w:rPr>
          <w:rFonts w:hint="eastAsia" w:ascii="宋体" w:hAnsi="宋体" w:eastAsia="宋体" w:cs="宋体"/>
          <w:color w:val="auto"/>
          <w:spacing w:val="13"/>
          <w:sz w:val="23"/>
          <w:szCs w:val="23"/>
        </w:rPr>
        <w:t>) 依法与安置的每位残疾人签订了一年以上 (含一年) 的劳动合同或</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服务协议；</w:t>
      </w:r>
    </w:p>
    <w:p>
      <w:pPr>
        <w:spacing w:before="1" w:line="360" w:lineRule="auto"/>
        <w:ind w:left="29" w:firstLine="572"/>
        <w:rPr>
          <w:rFonts w:hint="eastAsia" w:ascii="宋体" w:hAnsi="宋体" w:eastAsia="宋体" w:cs="宋体"/>
          <w:color w:val="auto"/>
          <w:sz w:val="23"/>
          <w:szCs w:val="23"/>
        </w:rPr>
      </w:pPr>
      <w:r>
        <w:rPr>
          <w:rFonts w:hint="eastAsia" w:ascii="宋体" w:hAnsi="宋体" w:eastAsia="宋体" w:cs="宋体"/>
          <w:color w:val="auto"/>
          <w:spacing w:val="18"/>
          <w:sz w:val="23"/>
          <w:szCs w:val="23"/>
        </w:rPr>
        <w:t>(三</w:t>
      </w:r>
      <w:r>
        <w:rPr>
          <w:rFonts w:hint="eastAsia" w:ascii="宋体" w:hAnsi="宋体" w:eastAsia="宋体" w:cs="宋体"/>
          <w:color w:val="auto"/>
          <w:spacing w:val="9"/>
          <w:sz w:val="23"/>
          <w:szCs w:val="23"/>
        </w:rPr>
        <w:t>) 为安置的每位残疾人按月足额缴纳了基本养老保险、基本医疗保险、</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失业保险、工伤保险和生育保险等社会保险费</w:t>
      </w:r>
      <w:r>
        <w:rPr>
          <w:rFonts w:hint="eastAsia" w:ascii="宋体" w:hAnsi="宋体" w:eastAsia="宋体" w:cs="宋体"/>
          <w:color w:val="auto"/>
          <w:spacing w:val="4"/>
          <w:sz w:val="23"/>
          <w:szCs w:val="23"/>
        </w:rPr>
        <w:t>；</w:t>
      </w:r>
    </w:p>
    <w:p>
      <w:pPr>
        <w:spacing w:before="1" w:line="360" w:lineRule="auto"/>
        <w:ind w:left="23" w:right="80" w:firstLine="577"/>
        <w:rPr>
          <w:rFonts w:hint="eastAsia" w:ascii="宋体" w:hAnsi="宋体" w:eastAsia="宋体" w:cs="宋体"/>
          <w:color w:val="auto"/>
          <w:sz w:val="23"/>
          <w:szCs w:val="23"/>
        </w:rPr>
      </w:pPr>
      <w:r>
        <w:rPr>
          <w:rFonts w:hint="eastAsia" w:ascii="宋体" w:hAnsi="宋体" w:eastAsia="宋体" w:cs="宋体"/>
          <w:color w:val="auto"/>
          <w:spacing w:val="25"/>
          <w:sz w:val="23"/>
          <w:szCs w:val="23"/>
        </w:rPr>
        <w:t>(</w:t>
      </w:r>
      <w:r>
        <w:rPr>
          <w:rFonts w:hint="eastAsia" w:ascii="宋体" w:hAnsi="宋体" w:eastAsia="宋体" w:cs="宋体"/>
          <w:color w:val="auto"/>
          <w:spacing w:val="14"/>
          <w:sz w:val="23"/>
          <w:szCs w:val="23"/>
        </w:rPr>
        <w:t>四) 通过银行等金融机构向安置的每位残疾人，按月支付了不低于单位</w:t>
      </w:r>
      <w:r>
        <w:rPr>
          <w:rFonts w:hint="eastAsia" w:ascii="宋体" w:hAnsi="宋体" w:eastAsia="宋体" w:cs="宋体"/>
          <w:color w:val="auto"/>
          <w:sz w:val="23"/>
          <w:szCs w:val="23"/>
        </w:rPr>
        <w:t xml:space="preserve"> </w:t>
      </w:r>
      <w:r>
        <w:rPr>
          <w:rFonts w:hint="eastAsia" w:ascii="宋体" w:hAnsi="宋体" w:eastAsia="宋体" w:cs="宋体"/>
          <w:color w:val="auto"/>
          <w:spacing w:val="17"/>
          <w:sz w:val="23"/>
          <w:szCs w:val="23"/>
        </w:rPr>
        <w:t>所</w:t>
      </w:r>
      <w:r>
        <w:rPr>
          <w:rFonts w:hint="eastAsia" w:ascii="宋体" w:hAnsi="宋体" w:eastAsia="宋体" w:cs="宋体"/>
          <w:color w:val="auto"/>
          <w:spacing w:val="9"/>
          <w:sz w:val="23"/>
          <w:szCs w:val="23"/>
        </w:rPr>
        <w:t>在区县适用的经省级人民政府批准的月最低工资标准的工资；</w:t>
      </w:r>
    </w:p>
    <w:p>
      <w:pPr>
        <w:spacing w:before="2" w:line="360" w:lineRule="auto"/>
        <w:ind w:left="24" w:right="80" w:firstLine="576"/>
        <w:rPr>
          <w:rFonts w:hint="eastAsia" w:ascii="宋体" w:hAnsi="宋体" w:eastAsia="宋体" w:cs="宋体"/>
          <w:color w:val="auto"/>
          <w:sz w:val="23"/>
          <w:szCs w:val="23"/>
        </w:rPr>
      </w:pPr>
      <w:r>
        <w:rPr>
          <w:rFonts w:hint="eastAsia" w:ascii="宋体" w:hAnsi="宋体" w:eastAsia="宋体" w:cs="宋体"/>
          <w:color w:val="auto"/>
          <w:spacing w:val="26"/>
          <w:sz w:val="23"/>
          <w:szCs w:val="23"/>
        </w:rPr>
        <w:t>(</w:t>
      </w:r>
      <w:r>
        <w:rPr>
          <w:rFonts w:hint="eastAsia" w:ascii="宋体" w:hAnsi="宋体" w:eastAsia="宋体" w:cs="宋体"/>
          <w:color w:val="auto"/>
          <w:spacing w:val="18"/>
          <w:sz w:val="23"/>
          <w:szCs w:val="23"/>
        </w:rPr>
        <w:t>五</w:t>
      </w:r>
      <w:r>
        <w:rPr>
          <w:rFonts w:hint="eastAsia" w:ascii="宋体" w:hAnsi="宋体" w:eastAsia="宋体" w:cs="宋体"/>
          <w:color w:val="auto"/>
          <w:spacing w:val="13"/>
          <w:sz w:val="23"/>
          <w:szCs w:val="23"/>
        </w:rPr>
        <w:t>) 提供本单位承担的服务 (以下简称产品) ，或者提供其他残疾人福</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利</w:t>
      </w:r>
      <w:r>
        <w:rPr>
          <w:rFonts w:hint="eastAsia" w:ascii="宋体" w:hAnsi="宋体" w:eastAsia="宋体" w:cs="宋体"/>
          <w:color w:val="auto"/>
          <w:spacing w:val="7"/>
          <w:sz w:val="23"/>
          <w:szCs w:val="23"/>
        </w:rPr>
        <w:t>性单位提供的服。</w:t>
      </w:r>
    </w:p>
    <w:p>
      <w:pPr>
        <w:spacing w:before="2" w:line="360" w:lineRule="auto"/>
        <w:ind w:left="24" w:right="80" w:firstLine="569"/>
        <w:rPr>
          <w:rFonts w:hint="eastAsia" w:ascii="宋体" w:hAnsi="宋体" w:eastAsia="宋体" w:cs="宋体"/>
          <w:color w:val="auto"/>
          <w:sz w:val="23"/>
          <w:szCs w:val="23"/>
        </w:rPr>
      </w:pPr>
      <w:r>
        <w:rPr>
          <w:rFonts w:hint="eastAsia" w:ascii="宋体" w:hAnsi="宋体" w:eastAsia="宋体" w:cs="宋体"/>
          <w:color w:val="auto"/>
          <w:spacing w:val="11"/>
          <w:sz w:val="23"/>
          <w:szCs w:val="23"/>
        </w:rPr>
        <w:t>前款所称残疾人是指法定劳动年龄内，持有《中华人民共和国残疾人证》</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或者</w:t>
      </w:r>
      <w:r>
        <w:rPr>
          <w:rFonts w:hint="eastAsia" w:ascii="宋体" w:hAnsi="宋体" w:eastAsia="宋体" w:cs="宋体"/>
          <w:color w:val="auto"/>
          <w:spacing w:val="6"/>
          <w:sz w:val="23"/>
          <w:szCs w:val="23"/>
        </w:rPr>
        <w:t>《中华人民共和国残疾军人证 (1至 8 级) 》的自然人，包括具有劳动条件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和</w:t>
      </w:r>
      <w:r>
        <w:rPr>
          <w:rFonts w:hint="eastAsia" w:ascii="宋体" w:hAnsi="宋体" w:eastAsia="宋体" w:cs="宋体"/>
          <w:color w:val="auto"/>
          <w:spacing w:val="7"/>
          <w:sz w:val="23"/>
          <w:szCs w:val="23"/>
        </w:rPr>
        <w:t>劳动意愿的精神残疾人。在职职工人数是指与残疾人福利性单位建立劳动关系</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并依法签订劳动合同或者服务协议的雇员人数。</w:t>
      </w:r>
    </w:p>
    <w:p>
      <w:pPr>
        <w:spacing w:before="3" w:line="360" w:lineRule="auto"/>
        <w:ind w:left="22" w:right="80" w:firstLine="484"/>
        <w:rPr>
          <w:rFonts w:hint="eastAsia" w:ascii="宋体" w:hAnsi="宋体" w:eastAsia="宋体" w:cs="宋体"/>
          <w:color w:val="auto"/>
          <w:sz w:val="23"/>
          <w:szCs w:val="23"/>
        </w:rPr>
      </w:pPr>
      <w:r>
        <w:rPr>
          <w:rFonts w:hint="eastAsia" w:ascii="宋体" w:hAnsi="宋体" w:eastAsia="宋体" w:cs="宋体"/>
          <w:color w:val="auto"/>
          <w:spacing w:val="12"/>
          <w:sz w:val="23"/>
          <w:szCs w:val="23"/>
        </w:rPr>
        <w:t>二、中标</w:t>
      </w:r>
      <w:r>
        <w:rPr>
          <w:rFonts w:hint="eastAsia" w:ascii="宋体" w:hAnsi="宋体" w:eastAsia="宋体" w:cs="宋体"/>
          <w:color w:val="auto"/>
          <w:spacing w:val="7"/>
          <w:sz w:val="23"/>
          <w:szCs w:val="23"/>
        </w:rPr>
        <w:t>、</w:t>
      </w:r>
      <w:r>
        <w:rPr>
          <w:rFonts w:hint="eastAsia" w:ascii="宋体" w:hAnsi="宋体" w:eastAsia="宋体" w:cs="宋体"/>
          <w:color w:val="auto"/>
          <w:spacing w:val="6"/>
          <w:sz w:val="23"/>
          <w:szCs w:val="23"/>
        </w:rPr>
        <w:t>成交供应商为残疾人福利性单位的，采购人或者其委托的采购代</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理</w:t>
      </w:r>
      <w:r>
        <w:rPr>
          <w:rFonts w:hint="eastAsia" w:ascii="宋体" w:hAnsi="宋体" w:eastAsia="宋体" w:cs="宋体"/>
          <w:color w:val="auto"/>
          <w:spacing w:val="7"/>
          <w:sz w:val="23"/>
          <w:szCs w:val="23"/>
        </w:rPr>
        <w:t>机构应当随中标、成交结果同时公告其《残疾人福利性单位声明函》，接受社</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会</w:t>
      </w:r>
      <w:r>
        <w:rPr>
          <w:rFonts w:hint="eastAsia" w:ascii="宋体" w:hAnsi="宋体" w:eastAsia="宋体" w:cs="宋体"/>
          <w:color w:val="auto"/>
          <w:spacing w:val="5"/>
          <w:sz w:val="23"/>
          <w:szCs w:val="23"/>
        </w:rPr>
        <w:t>监督。</w:t>
      </w:r>
    </w:p>
    <w:p>
      <w:pPr>
        <w:spacing w:line="360" w:lineRule="auto"/>
        <w:rPr>
          <w:rFonts w:hint="eastAsia" w:ascii="宋体" w:hAnsi="宋体" w:eastAsia="宋体" w:cs="宋体"/>
          <w:color w:val="auto"/>
        </w:rPr>
        <w:sectPr>
          <w:footerReference r:id="rId15" w:type="default"/>
          <w:pgSz w:w="11906" w:h="16839"/>
          <w:pgMar w:top="1431" w:right="1719" w:bottom="1166" w:left="1785" w:header="850" w:footer="992" w:gutter="0"/>
          <w:pgNumType w:fmt="decimal"/>
          <w:cols w:space="720" w:num="1"/>
        </w:sectPr>
      </w:pPr>
    </w:p>
    <w:p>
      <w:pPr>
        <w:spacing w:before="180" w:line="360" w:lineRule="auto"/>
        <w:ind w:firstLine="3094" w:firstLineChars="130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5103" w14:cap="sq" w14:cmpd="sng">
            <w14:solidFill>
              <w14:srgbClr w14:val="000000"/>
            </w14:solidFill>
            <w14:prstDash w14:val="solid"/>
            <w14:bevel/>
          </w14:textOutline>
        </w:rPr>
        <w:t>监狱企业</w:t>
      </w:r>
      <w:r>
        <w:rPr>
          <w:rFonts w:hint="eastAsia" w:ascii="宋体" w:hAnsi="宋体" w:eastAsia="宋体" w:cs="宋体"/>
          <w:color w:val="auto"/>
          <w:sz w:val="24"/>
          <w:szCs w:val="24"/>
          <w14:textOutline w14:w="5103" w14:cap="sq" w14:cmpd="sng">
            <w14:solidFill>
              <w14:srgbClr w14:val="000000"/>
            </w14:solidFill>
            <w14:prstDash w14:val="solid"/>
            <w14:bevel/>
          </w14:textOutline>
        </w:rPr>
        <w:t>证明函</w:t>
      </w:r>
    </w:p>
    <w:p>
      <w:pPr>
        <w:spacing w:before="229" w:line="360" w:lineRule="auto"/>
        <w:ind w:left="25" w:right="53" w:firstLine="479"/>
        <w:rPr>
          <w:rFonts w:hint="eastAsia" w:ascii="宋体" w:hAnsi="宋体" w:eastAsia="宋体" w:cs="宋体"/>
          <w:color w:val="auto"/>
          <w:sz w:val="23"/>
          <w:szCs w:val="23"/>
        </w:rPr>
      </w:pPr>
      <w:r>
        <w:rPr>
          <w:rFonts w:hint="eastAsia" w:ascii="宋体" w:hAnsi="宋体" w:eastAsia="宋体" w:cs="宋体"/>
          <w:color w:val="auto"/>
          <w:spacing w:val="7"/>
          <w:sz w:val="23"/>
          <w:szCs w:val="23"/>
        </w:rPr>
        <w:t>监狱企业参加政府采购活动，要求享受相关优惠政策的，应当提供由省级</w:t>
      </w:r>
      <w:r>
        <w:rPr>
          <w:rFonts w:hint="eastAsia" w:ascii="宋体" w:hAnsi="宋体" w:eastAsia="宋体" w:cs="宋体"/>
          <w:color w:val="auto"/>
          <w:spacing w:val="2"/>
          <w:sz w:val="23"/>
          <w:szCs w:val="23"/>
        </w:rPr>
        <w:t>以</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上监狱</w:t>
      </w:r>
      <w:r>
        <w:rPr>
          <w:rFonts w:hint="eastAsia" w:ascii="宋体" w:hAnsi="宋体" w:eastAsia="宋体" w:cs="宋体"/>
          <w:color w:val="auto"/>
          <w:spacing w:val="11"/>
          <w:sz w:val="23"/>
          <w:szCs w:val="23"/>
        </w:rPr>
        <w:t>管</w:t>
      </w:r>
      <w:r>
        <w:rPr>
          <w:rFonts w:hint="eastAsia" w:ascii="宋体" w:hAnsi="宋体" w:eastAsia="宋体" w:cs="宋体"/>
          <w:color w:val="auto"/>
          <w:spacing w:val="6"/>
          <w:sz w:val="23"/>
          <w:szCs w:val="23"/>
        </w:rPr>
        <w:t>理局、戒毒管理局 (含新疆生产建设兵团) 出具的属于监狱企业的证明</w:t>
      </w:r>
      <w:r>
        <w:rPr>
          <w:rFonts w:hint="eastAsia" w:ascii="宋体" w:hAnsi="宋体" w:eastAsia="宋体" w:cs="宋体"/>
          <w:color w:val="auto"/>
          <w:sz w:val="23"/>
          <w:szCs w:val="23"/>
        </w:rPr>
        <w:t xml:space="preserve"> </w:t>
      </w:r>
      <w:r>
        <w:rPr>
          <w:rFonts w:hint="eastAsia" w:ascii="宋体" w:hAnsi="宋体" w:eastAsia="宋体" w:cs="宋体"/>
          <w:color w:val="auto"/>
          <w:spacing w:val="3"/>
          <w:sz w:val="23"/>
          <w:szCs w:val="23"/>
        </w:rPr>
        <w:t>文件</w:t>
      </w:r>
      <w:r>
        <w:rPr>
          <w:rFonts w:hint="eastAsia" w:ascii="宋体" w:hAnsi="宋体" w:eastAsia="宋体" w:cs="宋体"/>
          <w:color w:val="auto"/>
          <w:spacing w:val="2"/>
          <w:sz w:val="23"/>
          <w:szCs w:val="23"/>
        </w:rPr>
        <w:t>。</w:t>
      </w:r>
    </w:p>
    <w:p>
      <w:pPr>
        <w:tabs>
          <w:tab w:val="left" w:pos="148"/>
        </w:tabs>
        <w:spacing w:before="3" w:line="360" w:lineRule="auto"/>
        <w:ind w:left="24" w:firstLine="481"/>
        <w:rPr>
          <w:rFonts w:hint="eastAsia" w:ascii="宋体" w:hAnsi="宋体" w:eastAsia="宋体" w:cs="宋体"/>
          <w:color w:val="auto"/>
          <w:spacing w:val="7"/>
          <w:sz w:val="23"/>
          <w:szCs w:val="23"/>
        </w:rPr>
      </w:pPr>
      <w:r>
        <w:rPr>
          <w:rFonts w:hint="eastAsia" w:ascii="宋体" w:hAnsi="宋体" w:eastAsia="宋体" w:cs="宋体"/>
          <w:color w:val="auto"/>
          <w:spacing w:val="18"/>
          <w:sz w:val="23"/>
          <w:szCs w:val="23"/>
        </w:rPr>
        <w:t>备注</w:t>
      </w:r>
      <w:r>
        <w:rPr>
          <w:rFonts w:hint="eastAsia" w:ascii="宋体" w:hAnsi="宋体" w:eastAsia="宋体" w:cs="宋体"/>
          <w:color w:val="auto"/>
          <w:spacing w:val="16"/>
          <w:sz w:val="23"/>
          <w:szCs w:val="23"/>
        </w:rPr>
        <w:t>：</w:t>
      </w:r>
      <w:r>
        <w:rPr>
          <w:rFonts w:hint="eastAsia" w:ascii="宋体" w:hAnsi="宋体" w:eastAsia="宋体" w:cs="宋体"/>
          <w:color w:val="auto"/>
          <w:spacing w:val="9"/>
          <w:sz w:val="23"/>
          <w:szCs w:val="23"/>
        </w:rPr>
        <w:t>财政部 司法部《关于政府采购支持监狱企业发展有关问题的通知》</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rPr>
        <w:tab/>
      </w:r>
      <w:r>
        <w:rPr>
          <w:rFonts w:hint="eastAsia" w:ascii="宋体" w:hAnsi="宋体" w:eastAsia="宋体" w:cs="宋体"/>
          <w:color w:val="auto"/>
          <w:spacing w:val="9"/>
          <w:sz w:val="23"/>
          <w:szCs w:val="23"/>
        </w:rPr>
        <w:t>(财库〔2014〕68 号) 规定，监狱企业是指由司法部认定的为罪犯、戒毒人</w:t>
      </w:r>
      <w:r>
        <w:rPr>
          <w:rFonts w:hint="eastAsia" w:ascii="宋体" w:hAnsi="宋体" w:eastAsia="宋体" w:cs="宋体"/>
          <w:color w:val="auto"/>
          <w:spacing w:val="6"/>
          <w:sz w:val="23"/>
          <w:szCs w:val="23"/>
        </w:rPr>
        <w:t>员</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提</w:t>
      </w:r>
      <w:r>
        <w:rPr>
          <w:rFonts w:hint="eastAsia" w:ascii="宋体" w:hAnsi="宋体" w:eastAsia="宋体" w:cs="宋体"/>
          <w:color w:val="auto"/>
          <w:spacing w:val="7"/>
          <w:sz w:val="23"/>
          <w:szCs w:val="23"/>
        </w:rPr>
        <w:t>供生产项目和劳动对象，且全部产权属于司法部监狱管理局、戒毒管理局、直</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rPr>
        <w:t>属煤矿管理局，各省、自治区、直辖市监狱管理局、戒毒管理局，各地 (设区</w:t>
      </w:r>
      <w:r>
        <w:rPr>
          <w:rFonts w:hint="eastAsia" w:ascii="宋体" w:hAnsi="宋体" w:eastAsia="宋体" w:cs="宋体"/>
          <w:color w:val="auto"/>
          <w:spacing w:val="1"/>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市</w:t>
      </w:r>
      <w:r>
        <w:rPr>
          <w:rFonts w:hint="eastAsia" w:ascii="宋体" w:hAnsi="宋体" w:eastAsia="宋体" w:cs="宋体"/>
          <w:color w:val="auto"/>
          <w:spacing w:val="11"/>
          <w:sz w:val="23"/>
          <w:szCs w:val="23"/>
        </w:rPr>
        <w:t>)</w:t>
      </w:r>
      <w:r>
        <w:rPr>
          <w:rFonts w:hint="eastAsia" w:ascii="宋体" w:hAnsi="宋体" w:eastAsia="宋体" w:cs="宋体"/>
          <w:color w:val="auto"/>
          <w:spacing w:val="8"/>
          <w:sz w:val="23"/>
          <w:szCs w:val="23"/>
        </w:rPr>
        <w:t xml:space="preserve"> 监狱、强制隔离戒毒所、戒毒康复所，以及新疆生产建设兵团监狱管理局、</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戒</w:t>
      </w:r>
      <w:r>
        <w:rPr>
          <w:rFonts w:hint="eastAsia" w:ascii="宋体" w:hAnsi="宋体" w:eastAsia="宋体" w:cs="宋体"/>
          <w:color w:val="auto"/>
          <w:spacing w:val="7"/>
          <w:sz w:val="23"/>
          <w:szCs w:val="23"/>
        </w:rPr>
        <w:t>毒管理局的企业。</w:t>
      </w:r>
    </w:p>
    <w:p>
      <w:pPr>
        <w:pStyle w:val="2"/>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sectPr>
          <w:footerReference r:id="rId16" w:type="default"/>
          <w:pgSz w:w="11906" w:h="16839"/>
          <w:pgMar w:top="1431" w:right="1745" w:bottom="1166" w:left="1785" w:header="850" w:footer="992" w:gutter="0"/>
          <w:pgNumType w:fmt="decimal"/>
          <w:cols w:space="720" w:num="1"/>
        </w:sectPr>
      </w:pPr>
    </w:p>
    <w:p>
      <w:pPr>
        <w:spacing w:line="360" w:lineRule="auto"/>
        <w:ind w:firstLine="3373" w:firstLineChars="1200"/>
        <w:outlineLvl w:val="2"/>
        <w:rPr>
          <w:rFonts w:hint="eastAsia" w:ascii="宋体" w:hAnsi="宋体" w:eastAsia="宋体" w:cs="宋体"/>
          <w:b/>
          <w:bCs w:val="0"/>
          <w:kern w:val="0"/>
          <w:sz w:val="28"/>
          <w:szCs w:val="28"/>
          <w:shd w:val="clear" w:color="auto" w:fill="FFFFFF"/>
          <w:lang w:val="en-US" w:eastAsia="zh-CN" w:bidi="ar-SA"/>
        </w:rPr>
      </w:pPr>
      <w:bookmarkStart w:id="99" w:name="_Toc13892"/>
      <w:r>
        <w:rPr>
          <w:rFonts w:hint="eastAsia" w:ascii="宋体" w:hAnsi="宋体" w:eastAsia="宋体" w:cs="宋体"/>
          <w:b/>
          <w:bCs w:val="0"/>
          <w:kern w:val="0"/>
          <w:sz w:val="28"/>
          <w:szCs w:val="28"/>
          <w:shd w:val="clear" w:color="auto" w:fill="FFFFFF"/>
          <w:lang w:val="en-US" w:eastAsia="zh-CN" w:bidi="ar-SA"/>
        </w:rPr>
        <w:t>七、服务方案</w:t>
      </w:r>
      <w:bookmarkEnd w:id="99"/>
    </w:p>
    <w:p>
      <w:pPr>
        <w:kinsoku w:val="0"/>
        <w:spacing w:line="360" w:lineRule="auto"/>
        <w:ind w:firstLine="480" w:firstLineChars="200"/>
        <w:jc w:val="left"/>
        <w:rPr>
          <w:rFonts w:ascii="宋体" w:hAnsi="宋体" w:cs="Times New Roman"/>
          <w:szCs w:val="24"/>
        </w:rPr>
      </w:pPr>
      <w:r>
        <w:rPr>
          <w:rFonts w:hint="eastAsia" w:ascii="宋体" w:hAnsi="宋体" w:cs="Times New Roman"/>
          <w:szCs w:val="24"/>
        </w:rPr>
        <w:t>按照磋商文件的要求编制的响应方案说明书，参照磋商文件《</w:t>
      </w:r>
      <w:r>
        <w:rPr>
          <w:rFonts w:hint="eastAsia" w:ascii="宋体" w:hAnsi="宋体" w:cs="Times New Roman"/>
          <w:szCs w:val="24"/>
          <w:lang w:eastAsia="zh-CN"/>
        </w:rPr>
        <w:t>评审</w:t>
      </w:r>
      <w:r>
        <w:rPr>
          <w:rFonts w:hint="eastAsia" w:ascii="宋体" w:hAnsi="宋体" w:cs="Times New Roman"/>
          <w:szCs w:val="24"/>
        </w:rPr>
        <w:t>方法》各条款的要求，结合采购内容及要求编制磋商响应方案。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ascii="宋体" w:hAnsi="宋体"/>
          <w:b/>
          <w:bCs/>
          <w:color w:val="auto"/>
          <w:sz w:val="28"/>
          <w:highlight w:val="none"/>
        </w:rPr>
      </w:pPr>
      <w:bookmarkStart w:id="100" w:name="_Toc6384"/>
      <w:r>
        <w:rPr>
          <w:rFonts w:hint="eastAsia" w:ascii="宋体" w:hAnsi="宋体"/>
          <w:b/>
          <w:bCs/>
          <w:color w:val="auto"/>
          <w:highlight w:val="none"/>
        </w:rPr>
        <w:t>注：供应商根据本项目实际情况编写，后附格式参照，其余格式自拟。</w:t>
      </w:r>
      <w:bookmarkEnd w:id="100"/>
    </w:p>
    <w:p>
      <w:pPr>
        <w:spacing w:line="360" w:lineRule="auto"/>
        <w:jc w:val="center"/>
        <w:outlineLvl w:val="1"/>
        <w:rPr>
          <w:rFonts w:ascii="宋体" w:hAnsi="宋体" w:cs="Times New Roman"/>
          <w:b/>
          <w:bCs/>
        </w:rPr>
      </w:pPr>
    </w:p>
    <w:p>
      <w:pPr>
        <w:kinsoku w:val="0"/>
        <w:spacing w:line="360" w:lineRule="auto"/>
        <w:jc w:val="both"/>
        <w:rPr>
          <w:rFonts w:hint="eastAsia" w:ascii="宋体" w:hAnsi="宋体" w:eastAsia="宋体" w:cs="宋体"/>
          <w:b/>
          <w:color w:val="auto"/>
          <w:sz w:val="24"/>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rPr>
          <w:rFonts w:hint="eastAsia" w:ascii="宋体" w:hAnsi="宋体" w:eastAsia="宋体" w:cs="宋体"/>
          <w:color w:val="auto"/>
          <w:sz w:val="21"/>
        </w:rPr>
      </w:pPr>
      <w:r>
        <w:rPr>
          <w:rFonts w:hint="eastAsia" w:ascii="宋体" w:hAnsi="宋体" w:eastAsia="宋体" w:cs="宋体"/>
          <w:color w:val="auto"/>
          <w:sz w:val="21"/>
        </w:rPr>
        <w:br w:type="page"/>
      </w:r>
    </w:p>
    <w:p>
      <w:pPr>
        <w:pStyle w:val="5"/>
        <w:bidi w:val="0"/>
        <w:spacing w:line="240" w:lineRule="auto"/>
        <w:rPr>
          <w:rFonts w:hint="eastAsia" w:ascii="宋体" w:hAnsi="宋体" w:eastAsia="宋体" w:cs="宋体"/>
          <w:sz w:val="24"/>
          <w:szCs w:val="18"/>
          <w:lang w:val="en-US" w:eastAsia="zh-CN"/>
        </w:rPr>
      </w:pPr>
      <w:bookmarkStart w:id="101" w:name="_Toc28816"/>
      <w:r>
        <w:rPr>
          <w:rFonts w:hint="eastAsia" w:ascii="宋体" w:hAnsi="宋体" w:eastAsia="宋体" w:cs="宋体"/>
          <w:sz w:val="24"/>
          <w:szCs w:val="18"/>
          <w:lang w:val="en-US" w:eastAsia="zh-CN"/>
        </w:rPr>
        <w:t>附件1：</w:t>
      </w:r>
      <w:bookmarkStart w:id="102" w:name="_Toc5731"/>
      <w:r>
        <w:rPr>
          <w:rFonts w:hint="eastAsia" w:ascii="宋体" w:hAnsi="宋体" w:eastAsia="宋体" w:cs="宋体"/>
          <w:sz w:val="24"/>
          <w:szCs w:val="18"/>
          <w:lang w:val="en-US" w:eastAsia="zh-CN"/>
        </w:rPr>
        <w:t>拟投入本项目人员汇总表</w:t>
      </w:r>
      <w:bookmarkEnd w:id="101"/>
      <w:bookmarkEnd w:id="102"/>
    </w:p>
    <w:p>
      <w:pPr>
        <w:shd w:val="clear"/>
        <w:spacing w:line="360" w:lineRule="auto"/>
        <w:ind w:firstLine="63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采购项目名称： </w:t>
      </w:r>
      <w:r>
        <w:rPr>
          <w:rFonts w:hint="eastAsia" w:asciiTheme="minorEastAsia" w:hAnsiTheme="minorEastAsia" w:eastAsiaTheme="minorEastAsia" w:cstheme="minorEastAsia"/>
          <w:color w:val="auto"/>
          <w:highlight w:val="none"/>
          <w:u w:val="single"/>
        </w:rPr>
        <w:t xml:space="preserve">                            </w:t>
      </w:r>
    </w:p>
    <w:p>
      <w:pPr>
        <w:shd w:val="clear"/>
        <w:spacing w:line="360" w:lineRule="auto"/>
        <w:ind w:firstLine="63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采购项目编号： </w:t>
      </w:r>
      <w:r>
        <w:rPr>
          <w:rFonts w:hint="eastAsia" w:asciiTheme="minorEastAsia" w:hAnsiTheme="minorEastAsia" w:eastAsiaTheme="minorEastAsia" w:cstheme="minorEastAsia"/>
          <w:color w:val="auto"/>
          <w:highlight w:val="none"/>
          <w:u w:val="single"/>
        </w:rPr>
        <w:t xml:space="preserve">                            </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440"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   名</w:t>
            </w:r>
          </w:p>
        </w:tc>
        <w:tc>
          <w:tcPr>
            <w:tcW w:w="720"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年龄</w:t>
            </w:r>
          </w:p>
        </w:tc>
        <w:tc>
          <w:tcPr>
            <w:tcW w:w="816"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984"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 历</w:t>
            </w:r>
          </w:p>
        </w:tc>
        <w:tc>
          <w:tcPr>
            <w:tcW w:w="816"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w:t>
            </w:r>
          </w:p>
        </w:tc>
        <w:tc>
          <w:tcPr>
            <w:tcW w:w="882"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2275" w:type="dxa"/>
          </w:tcPr>
          <w:p>
            <w:pPr>
              <w:shd w:val="clear"/>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hd w:val="clear"/>
              <w:spacing w:line="360" w:lineRule="auto"/>
              <w:jc w:val="center"/>
              <w:rPr>
                <w:rFonts w:ascii="宋体" w:hAnsi="Times New Roman" w:cs="宋体"/>
                <w:color w:val="auto"/>
                <w:highlight w:val="none"/>
              </w:rPr>
            </w:pPr>
          </w:p>
        </w:tc>
        <w:tc>
          <w:tcPr>
            <w:tcW w:w="1440" w:type="dxa"/>
          </w:tcPr>
          <w:p>
            <w:pPr>
              <w:shd w:val="clear"/>
              <w:spacing w:line="360" w:lineRule="auto"/>
              <w:jc w:val="center"/>
              <w:rPr>
                <w:rFonts w:ascii="宋体" w:hAnsi="Times New Roman" w:cs="宋体"/>
                <w:color w:val="auto"/>
                <w:highlight w:val="none"/>
              </w:rPr>
            </w:pPr>
          </w:p>
        </w:tc>
        <w:tc>
          <w:tcPr>
            <w:tcW w:w="720"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984" w:type="dxa"/>
          </w:tcPr>
          <w:p>
            <w:pPr>
              <w:shd w:val="clear"/>
              <w:spacing w:line="360" w:lineRule="auto"/>
              <w:jc w:val="center"/>
              <w:rPr>
                <w:rFonts w:ascii="宋体" w:hAnsi="Times New Roman" w:cs="宋体"/>
                <w:color w:val="auto"/>
                <w:highlight w:val="none"/>
              </w:rPr>
            </w:pPr>
          </w:p>
        </w:tc>
        <w:tc>
          <w:tcPr>
            <w:tcW w:w="816" w:type="dxa"/>
          </w:tcPr>
          <w:p>
            <w:pPr>
              <w:shd w:val="clear"/>
              <w:spacing w:line="360" w:lineRule="auto"/>
              <w:jc w:val="center"/>
              <w:rPr>
                <w:rFonts w:ascii="宋体" w:hAnsi="Times New Roman" w:cs="宋体"/>
                <w:color w:val="auto"/>
                <w:highlight w:val="none"/>
              </w:rPr>
            </w:pPr>
          </w:p>
        </w:tc>
        <w:tc>
          <w:tcPr>
            <w:tcW w:w="882" w:type="dxa"/>
          </w:tcPr>
          <w:p>
            <w:pPr>
              <w:shd w:val="clear"/>
              <w:spacing w:line="360" w:lineRule="auto"/>
              <w:jc w:val="center"/>
              <w:rPr>
                <w:rFonts w:ascii="宋体" w:hAnsi="Times New Roman" w:cs="宋体"/>
                <w:color w:val="auto"/>
                <w:highlight w:val="none"/>
              </w:rPr>
            </w:pPr>
          </w:p>
        </w:tc>
        <w:tc>
          <w:tcPr>
            <w:tcW w:w="2275" w:type="dxa"/>
          </w:tcPr>
          <w:p>
            <w:pPr>
              <w:shd w:val="clear"/>
              <w:spacing w:line="360" w:lineRule="auto"/>
              <w:jc w:val="center"/>
              <w:rPr>
                <w:rFonts w:ascii="宋体" w:hAnsi="Times New Roman" w:cs="宋体"/>
                <w:color w:val="auto"/>
                <w:highlight w:val="none"/>
              </w:rPr>
            </w:pPr>
          </w:p>
        </w:tc>
      </w:tr>
    </w:tbl>
    <w:p>
      <w:pPr>
        <w:widowControl w:val="0"/>
        <w:shd w:val="clear"/>
        <w:spacing w:line="360" w:lineRule="auto"/>
        <w:ind w:firstLine="470" w:firstLineChars="196"/>
        <w:jc w:val="left"/>
        <w:rPr>
          <w:rFonts w:cs="Times New Roman" w:asciiTheme="minorEastAsia" w:hAnsiTheme="minorEastAsia" w:eastAsiaTheme="minorEastAsia"/>
          <w:color w:val="auto"/>
          <w:kern w:val="2"/>
          <w:sz w:val="24"/>
          <w:szCs w:val="24"/>
          <w:highlight w:val="none"/>
          <w:lang w:val="en-US" w:eastAsia="zh-CN" w:bidi="ar-SA"/>
        </w:rPr>
      </w:pPr>
      <w:r>
        <w:rPr>
          <w:rFonts w:hint="eastAsia" w:ascii="宋体" w:hAnsi="Times New Roman" w:eastAsia="宋体" w:cs="宋体"/>
          <w:color w:val="auto"/>
          <w:kern w:val="2"/>
          <w:sz w:val="24"/>
          <w:szCs w:val="22"/>
          <w:highlight w:val="none"/>
          <w:lang w:val="en-US" w:eastAsia="zh-CN" w:bidi="ar-SA"/>
        </w:rPr>
        <w:t>注：</w:t>
      </w:r>
      <w:r>
        <w:rPr>
          <w:rFonts w:hint="eastAsia" w:ascii="宋体" w:cs="宋体"/>
          <w:color w:val="auto"/>
          <w:kern w:val="2"/>
          <w:sz w:val="24"/>
          <w:szCs w:val="22"/>
          <w:highlight w:val="none"/>
          <w:lang w:val="en-US" w:eastAsia="zh-CN" w:bidi="ar-SA"/>
        </w:rPr>
        <w:t>投标单位须提供所有</w:t>
      </w:r>
      <w:r>
        <w:rPr>
          <w:rFonts w:hint="eastAsia" w:cs="Times New Roman" w:asciiTheme="minorEastAsia" w:hAnsiTheme="minorEastAsia" w:eastAsiaTheme="minorEastAsia"/>
          <w:color w:val="auto"/>
          <w:kern w:val="2"/>
          <w:sz w:val="24"/>
          <w:szCs w:val="24"/>
          <w:highlight w:val="none"/>
          <w:lang w:val="en-US" w:eastAsia="zh-CN" w:bidi="ar-SA"/>
        </w:rPr>
        <w:t>人员的身份证、毕业证、执业资格证（如有）和职称证（如有）。</w:t>
      </w:r>
    </w:p>
    <w:p>
      <w:pPr>
        <w:shd w:val="clear"/>
        <w:spacing w:line="360" w:lineRule="auto"/>
        <w:ind w:firstLine="480"/>
        <w:rPr>
          <w:rFonts w:ascii="宋体" w:hAnsi="宋体" w:cs="宋体"/>
          <w:color w:val="auto"/>
          <w:highlight w:val="none"/>
        </w:rPr>
      </w:pPr>
    </w:p>
    <w:p>
      <w:pPr>
        <w:shd w:val="clear"/>
        <w:spacing w:line="480" w:lineRule="exact"/>
        <w:ind w:left="240" w:leftChars="100" w:firstLine="2400" w:firstLineChars="1000"/>
        <w:rPr>
          <w:rFonts w:ascii="宋体" w:hAnsi="宋体" w:cs="Times New Roman"/>
          <w:color w:val="auto"/>
          <w:szCs w:val="24"/>
          <w:highlight w:val="none"/>
          <w:u w:val="single"/>
        </w:rPr>
      </w:pPr>
      <w:bookmarkStart w:id="103" w:name="_Toc19329"/>
      <w:bookmarkStart w:id="104" w:name="_Toc25376"/>
      <w:bookmarkStart w:id="105" w:name="_Toc7322"/>
      <w:r>
        <w:rPr>
          <w:rFonts w:hint="eastAsia" w:ascii="宋体" w:hAnsi="宋体" w:cs="Times New Roman"/>
          <w:color w:val="auto"/>
          <w:szCs w:val="24"/>
          <w:highlight w:val="none"/>
          <w:lang w:val="zh-CN"/>
        </w:rPr>
        <w:t>法定代表人或被授权人（签字或盖章）</w:t>
      </w:r>
      <w:r>
        <w:rPr>
          <w:rFonts w:ascii="宋体" w:hAnsi="宋体" w:cs="Times New Roman"/>
          <w:color w:val="auto"/>
          <w:szCs w:val="24"/>
          <w:highlight w:val="none"/>
        </w:rPr>
        <w:t>：</w:t>
      </w:r>
      <w:r>
        <w:rPr>
          <w:rFonts w:ascii="宋体" w:hAnsi="宋体" w:cs="Times New Roman"/>
          <w:color w:val="auto"/>
          <w:szCs w:val="24"/>
          <w:highlight w:val="none"/>
          <w:u w:val="single"/>
        </w:rPr>
        <w:t xml:space="preserve">  </w:t>
      </w:r>
      <w:r>
        <w:rPr>
          <w:rFonts w:hint="eastAsia" w:ascii="宋体" w:hAnsi="宋体" w:cs="Times New Roman"/>
          <w:color w:val="auto"/>
          <w:szCs w:val="24"/>
          <w:highlight w:val="none"/>
          <w:u w:val="single"/>
          <w:lang w:val="en-US" w:eastAsia="zh-CN"/>
        </w:rPr>
        <w:t xml:space="preserve">   </w:t>
      </w:r>
      <w:r>
        <w:rPr>
          <w:rFonts w:ascii="宋体" w:hAnsi="宋体" w:cs="Times New Roman"/>
          <w:color w:val="auto"/>
          <w:szCs w:val="24"/>
          <w:highlight w:val="none"/>
          <w:u w:val="single"/>
        </w:rPr>
        <w:t xml:space="preserve">    </w:t>
      </w:r>
    </w:p>
    <w:p>
      <w:pPr>
        <w:shd w:val="clear"/>
        <w:spacing w:line="480" w:lineRule="exact"/>
        <w:ind w:left="240" w:leftChars="100" w:firstLine="2400" w:firstLineChars="1000"/>
        <w:rPr>
          <w:rFonts w:ascii="宋体" w:hAnsi="宋体" w:cs="Times New Roman"/>
          <w:color w:val="auto"/>
          <w:szCs w:val="24"/>
          <w:highlight w:val="none"/>
        </w:rPr>
      </w:pPr>
      <w:r>
        <w:rPr>
          <w:rFonts w:hint="eastAsia" w:ascii="宋体" w:hAnsi="宋体" w:cs="Times New Roman"/>
          <w:color w:val="auto"/>
          <w:sz w:val="24"/>
          <w:szCs w:val="24"/>
          <w:highlight w:val="none"/>
          <w:lang w:eastAsia="zh-CN"/>
        </w:rPr>
        <w:t>供应商名称（</w:t>
      </w:r>
      <w:r>
        <w:rPr>
          <w:rFonts w:hint="eastAsia" w:ascii="宋体" w:hAnsi="宋体" w:cs="Times New Roman"/>
          <w:color w:val="auto"/>
          <w:sz w:val="24"/>
          <w:szCs w:val="24"/>
          <w:highlight w:val="none"/>
        </w:rPr>
        <w:t>公章</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w:t>
      </w:r>
      <w:r>
        <w:rPr>
          <w:rFonts w:hint="eastAsia" w:ascii="宋体" w:hAnsi="宋体" w:eastAsia="宋体" w:cs="宋体"/>
          <w:color w:val="auto"/>
          <w:sz w:val="24"/>
          <w:highlight w:val="none"/>
          <w:u w:val="single"/>
        </w:rPr>
        <w:t>        </w:t>
      </w:r>
      <w:r>
        <w:rPr>
          <w:rFonts w:ascii="宋体" w:hAnsi="宋体" w:cs="Times New Roman"/>
          <w:color w:val="auto"/>
          <w:szCs w:val="24"/>
          <w:highlight w:val="none"/>
        </w:rPr>
        <w:t xml:space="preserve">  </w:t>
      </w:r>
    </w:p>
    <w:p>
      <w:pPr>
        <w:shd w:val="clear"/>
        <w:spacing w:line="480" w:lineRule="exact"/>
        <w:ind w:left="240" w:leftChars="100" w:firstLine="2400" w:firstLineChars="1000"/>
        <w:rPr>
          <w:rFonts w:ascii="宋体" w:hAnsi="宋体" w:cs="Times New Roman"/>
          <w:color w:val="auto"/>
          <w:highlight w:val="none"/>
          <w:u w:val="single"/>
        </w:rPr>
      </w:pPr>
      <w:r>
        <w:rPr>
          <w:rFonts w:ascii="宋体" w:hAnsi="宋体" w:cs="Times New Roman"/>
          <w:color w:val="auto"/>
          <w:szCs w:val="24"/>
          <w:highlight w:val="none"/>
        </w:rPr>
        <w:t>日 期：</w:t>
      </w:r>
      <w:r>
        <w:rPr>
          <w:rFonts w:ascii="宋体" w:hAnsi="宋体" w:cs="Times New Roman"/>
          <w:color w:val="auto"/>
          <w:highlight w:val="none"/>
          <w:u w:val="single"/>
        </w:rPr>
        <w:t xml:space="preserve">            </w:t>
      </w:r>
    </w:p>
    <w:p>
      <w:pPr>
        <w:rPr>
          <w:rFonts w:hint="eastAsia" w:ascii="宋体" w:hAnsi="宋体" w:eastAsia="宋体" w:cs="宋体"/>
          <w:b/>
          <w:kern w:val="2"/>
          <w:sz w:val="24"/>
          <w:szCs w:val="18"/>
          <w:lang w:val="en-US" w:eastAsia="zh-CN" w:bidi="ar-SA"/>
        </w:rPr>
      </w:pPr>
      <w:bookmarkStart w:id="106" w:name="_Toc311"/>
      <w:bookmarkStart w:id="107" w:name="_Toc11343"/>
      <w:bookmarkStart w:id="108" w:name="_Toc5724"/>
      <w:r>
        <w:rPr>
          <w:rFonts w:hint="eastAsia" w:ascii="宋体" w:hAnsi="宋体" w:eastAsia="宋体" w:cs="宋体"/>
          <w:b/>
          <w:kern w:val="2"/>
          <w:sz w:val="24"/>
          <w:szCs w:val="18"/>
          <w:lang w:val="en-US" w:eastAsia="zh-CN" w:bidi="ar-SA"/>
        </w:rPr>
        <w:br w:type="page"/>
      </w:r>
    </w:p>
    <w:p>
      <w:pPr>
        <w:pStyle w:val="5"/>
        <w:bidi w:val="0"/>
        <w:spacing w:line="240" w:lineRule="auto"/>
        <w:rPr>
          <w:rFonts w:hint="eastAsia" w:ascii="宋体" w:hAnsi="宋体" w:eastAsia="宋体" w:cs="宋体"/>
          <w:sz w:val="24"/>
          <w:szCs w:val="18"/>
          <w:lang w:val="en-US" w:eastAsia="zh-CN"/>
        </w:rPr>
      </w:pPr>
      <w:bookmarkStart w:id="109" w:name="_Toc21538"/>
      <w:r>
        <w:rPr>
          <w:rFonts w:hint="eastAsia" w:ascii="宋体" w:hAnsi="宋体" w:eastAsia="宋体" w:cs="宋体"/>
          <w:sz w:val="24"/>
          <w:szCs w:val="18"/>
          <w:lang w:val="en-US" w:eastAsia="zh-CN"/>
        </w:rPr>
        <w:t>附件2：拟投入本项目</w:t>
      </w:r>
      <w:bookmarkStart w:id="110" w:name="_Toc225412172"/>
      <w:bookmarkStart w:id="111" w:name="_Toc225415660"/>
      <w:bookmarkStart w:id="112" w:name="_Toc225415861"/>
      <w:bookmarkStart w:id="113" w:name="_Toc225409966"/>
      <w:bookmarkStart w:id="114" w:name="_Toc225410808"/>
      <w:bookmarkStart w:id="115" w:name="_Toc341541376"/>
      <w:bookmarkStart w:id="116" w:name="_Toc225416062"/>
      <w:bookmarkStart w:id="117" w:name="_Toc21036"/>
      <w:bookmarkStart w:id="118" w:name="_Toc225567482"/>
      <w:bookmarkStart w:id="119" w:name="_Toc4691"/>
      <w:bookmarkStart w:id="120" w:name="_Toc225412374"/>
      <w:bookmarkStart w:id="121" w:name="_Toc225566883"/>
      <w:bookmarkStart w:id="122" w:name="_Toc403077653"/>
      <w:bookmarkStart w:id="123" w:name="_Toc10862"/>
      <w:bookmarkStart w:id="124" w:name="_Toc396304715"/>
      <w:bookmarkStart w:id="125" w:name="_Toc225566702"/>
      <w:bookmarkStart w:id="126" w:name="_Toc225410182"/>
      <w:r>
        <w:rPr>
          <w:rFonts w:hint="eastAsia" w:ascii="宋体" w:hAnsi="宋体" w:eastAsia="宋体" w:cs="宋体"/>
          <w:sz w:val="24"/>
          <w:szCs w:val="18"/>
          <w:lang w:val="en-US" w:eastAsia="zh-CN"/>
        </w:rPr>
        <w:t>主要人员简历表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bl>
      <w:tblPr>
        <w:tblStyle w:val="20"/>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姓  名</w:t>
            </w:r>
          </w:p>
        </w:tc>
        <w:tc>
          <w:tcPr>
            <w:tcW w:w="1577"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525"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性 别</w:t>
            </w:r>
          </w:p>
        </w:tc>
        <w:tc>
          <w:tcPr>
            <w:tcW w:w="1331" w:type="dxa"/>
            <w:gridSpan w:val="2"/>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709"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年 龄</w:t>
            </w:r>
          </w:p>
        </w:tc>
        <w:tc>
          <w:tcPr>
            <w:tcW w:w="1139" w:type="dxa"/>
            <w:gridSpan w:val="2"/>
            <w:vAlign w:val="center"/>
          </w:tcPr>
          <w:p>
            <w:pPr>
              <w:widowControl w:val="0"/>
              <w:shd w:val="clear"/>
              <w:adjustRightInd w:val="0"/>
              <w:snapToGrid w:val="0"/>
              <w:spacing w:line="400" w:lineRule="exact"/>
              <w:ind w:left="0" w:leftChars="0" w:firstLine="480" w:firstLineChars="20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职  称</w:t>
            </w:r>
          </w:p>
        </w:tc>
        <w:tc>
          <w:tcPr>
            <w:tcW w:w="1577"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525"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身份证号</w:t>
            </w:r>
          </w:p>
        </w:tc>
        <w:tc>
          <w:tcPr>
            <w:tcW w:w="1331" w:type="dxa"/>
            <w:gridSpan w:val="2"/>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709"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专业/年限</w:t>
            </w:r>
          </w:p>
        </w:tc>
        <w:tc>
          <w:tcPr>
            <w:tcW w:w="1139" w:type="dxa"/>
            <w:gridSpan w:val="2"/>
            <w:vAlign w:val="center"/>
          </w:tcPr>
          <w:p>
            <w:pPr>
              <w:widowControl w:val="0"/>
              <w:shd w:val="clear"/>
              <w:adjustRightInd w:val="0"/>
              <w:snapToGrid w:val="0"/>
              <w:spacing w:line="400" w:lineRule="exact"/>
              <w:ind w:left="0" w:leftChars="0" w:firstLine="480" w:firstLineChars="20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毕业时间</w:t>
            </w:r>
          </w:p>
        </w:tc>
        <w:tc>
          <w:tcPr>
            <w:tcW w:w="1577"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525"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毕业学校</w:t>
            </w:r>
          </w:p>
        </w:tc>
        <w:tc>
          <w:tcPr>
            <w:tcW w:w="1331" w:type="dxa"/>
            <w:gridSpan w:val="2"/>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709"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学历/专业</w:t>
            </w:r>
          </w:p>
        </w:tc>
        <w:tc>
          <w:tcPr>
            <w:tcW w:w="1139" w:type="dxa"/>
            <w:gridSpan w:val="2"/>
            <w:vAlign w:val="center"/>
          </w:tcPr>
          <w:p>
            <w:pPr>
              <w:widowControl w:val="0"/>
              <w:shd w:val="clear"/>
              <w:adjustRightInd w:val="0"/>
              <w:snapToGrid w:val="0"/>
              <w:spacing w:line="400" w:lineRule="exact"/>
              <w:ind w:left="0" w:leftChars="0" w:firstLine="480" w:firstLineChars="20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资格证书</w:t>
            </w:r>
          </w:p>
        </w:tc>
        <w:tc>
          <w:tcPr>
            <w:tcW w:w="1577"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525" w:type="dxa"/>
            <w:vAlign w:val="center"/>
          </w:tcPr>
          <w:p>
            <w:pPr>
              <w:widowControl w:val="0"/>
              <w:shd w:val="clear"/>
              <w:adjustRightInd w:val="0"/>
              <w:snapToGrid w:val="0"/>
              <w:spacing w:line="400" w:lineRule="exact"/>
              <w:ind w:left="0" w:leftChars="0" w:firstLine="0" w:firstLine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注册时间</w:t>
            </w:r>
          </w:p>
        </w:tc>
        <w:tc>
          <w:tcPr>
            <w:tcW w:w="1331" w:type="dxa"/>
            <w:gridSpan w:val="2"/>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1709" w:type="dxa"/>
            <w:vAlign w:val="center"/>
          </w:tcPr>
          <w:p>
            <w:pPr>
              <w:widowControl w:val="0"/>
              <w:shd w:val="clear"/>
              <w:adjustRightInd w:val="0"/>
              <w:snapToGrid w:val="0"/>
              <w:spacing w:line="400" w:lineRule="exact"/>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从业时间</w:t>
            </w:r>
          </w:p>
        </w:tc>
        <w:tc>
          <w:tcPr>
            <w:tcW w:w="1139" w:type="dxa"/>
            <w:gridSpan w:val="2"/>
            <w:vAlign w:val="center"/>
          </w:tcPr>
          <w:p>
            <w:pPr>
              <w:widowControl w:val="0"/>
              <w:shd w:val="clear"/>
              <w:adjustRightInd w:val="0"/>
              <w:snapToGrid w:val="0"/>
              <w:spacing w:line="400" w:lineRule="exact"/>
              <w:ind w:left="0" w:leftChars="0" w:firstLine="480" w:firstLineChars="20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是否属供应商固定雇员</w:t>
            </w:r>
          </w:p>
        </w:tc>
        <w:tc>
          <w:tcPr>
            <w:tcW w:w="1525"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c>
          <w:tcPr>
            <w:tcW w:w="3040" w:type="dxa"/>
            <w:gridSpan w:val="3"/>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为供应商服务时间</w:t>
            </w:r>
          </w:p>
        </w:tc>
        <w:tc>
          <w:tcPr>
            <w:tcW w:w="1139" w:type="dxa"/>
            <w:gridSpan w:val="2"/>
            <w:vAlign w:val="center"/>
          </w:tcPr>
          <w:p>
            <w:pPr>
              <w:widowControl w:val="0"/>
              <w:shd w:val="clear"/>
              <w:adjustRightInd w:val="0"/>
              <w:snapToGrid w:val="0"/>
              <w:spacing w:line="400" w:lineRule="exact"/>
              <w:ind w:left="0" w:leftChars="0" w:firstLine="480" w:firstLineChars="20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拟在本项目担任职务</w:t>
            </w:r>
          </w:p>
        </w:tc>
        <w:tc>
          <w:tcPr>
            <w:tcW w:w="5704" w:type="dxa"/>
            <w:gridSpan w:val="6"/>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时  间</w:t>
            </w:r>
          </w:p>
        </w:tc>
        <w:tc>
          <w:tcPr>
            <w:tcW w:w="3374" w:type="dxa"/>
            <w:gridSpan w:val="3"/>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参加过的项目名称</w:t>
            </w:r>
          </w:p>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及当时所在单位</w:t>
            </w:r>
          </w:p>
        </w:tc>
        <w:tc>
          <w:tcPr>
            <w:tcW w:w="1286"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担任何职</w:t>
            </w:r>
          </w:p>
        </w:tc>
        <w:tc>
          <w:tcPr>
            <w:tcW w:w="1761" w:type="dxa"/>
            <w:gridSpan w:val="3"/>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主要工作内容</w:t>
            </w:r>
          </w:p>
        </w:tc>
        <w:tc>
          <w:tcPr>
            <w:tcW w:w="1132" w:type="dxa"/>
            <w:vAlign w:val="center"/>
          </w:tcPr>
          <w:p>
            <w:pPr>
              <w:widowControl w:val="0"/>
              <w:shd w:val="clear"/>
              <w:adjustRightInd w:val="0"/>
              <w:snapToGrid w:val="0"/>
              <w:spacing w:line="400" w:lineRule="exact"/>
              <w:ind w:left="0" w:left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3374" w:type="dxa"/>
            <w:gridSpan w:val="3"/>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286"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761" w:type="dxa"/>
            <w:gridSpan w:val="3"/>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c>
          <w:tcPr>
            <w:tcW w:w="1132" w:type="dxa"/>
            <w:vAlign w:val="center"/>
          </w:tcPr>
          <w:p>
            <w:pPr>
              <w:widowControl w:val="0"/>
              <w:shd w:val="clear"/>
              <w:adjustRightInd w:val="0"/>
              <w:snapToGrid w:val="0"/>
              <w:spacing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p>
        </w:tc>
      </w:tr>
    </w:tbl>
    <w:p>
      <w:pPr>
        <w:widowControl w:val="0"/>
        <w:shd w:val="clear"/>
        <w:tabs>
          <w:tab w:val="left" w:pos="2040"/>
        </w:tabs>
        <w:adjustRightInd w:val="0"/>
        <w:snapToGrid w:val="0"/>
        <w:spacing w:beforeLines="0" w:line="400" w:lineRule="exact"/>
        <w:ind w:left="0" w:firstLine="480" w:firstLineChars="20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1"/>
          <w:highlight w:val="none"/>
          <w:lang w:val="en-US" w:eastAsia="zh-CN" w:bidi="ar-SA"/>
        </w:rPr>
        <w:t>注：</w:t>
      </w:r>
      <w:r>
        <w:rPr>
          <w:rFonts w:hint="eastAsia" w:asciiTheme="minorEastAsia" w:hAnsiTheme="minorEastAsia" w:eastAsiaTheme="minorEastAsia" w:cstheme="minorEastAsia"/>
          <w:bCs/>
          <w:color w:val="auto"/>
          <w:kern w:val="2"/>
          <w:sz w:val="24"/>
          <w:szCs w:val="24"/>
          <w:highlight w:val="none"/>
          <w:lang w:val="en-US" w:eastAsia="zh-CN" w:bidi="ar-SA"/>
        </w:rPr>
        <w:t>1.表后须附身份证、毕业证、职称证等相关资料复印件。</w:t>
      </w:r>
    </w:p>
    <w:p>
      <w:pPr>
        <w:widowControl/>
        <w:shd w:val="clear"/>
        <w:jc w:val="center"/>
        <w:rPr>
          <w:rFonts w:hint="eastAsia" w:asciiTheme="minorEastAsia" w:hAnsiTheme="minorEastAsia" w:eastAsiaTheme="minorEastAsia" w:cstheme="minorEastAsia"/>
          <w:b/>
          <w:bCs/>
          <w:color w:val="auto"/>
          <w:sz w:val="28"/>
          <w:highlight w:val="none"/>
        </w:rPr>
      </w:pPr>
    </w:p>
    <w:p>
      <w:pPr>
        <w:widowControl w:val="0"/>
        <w:shd w:val="clear"/>
        <w:snapToGrid w:val="0"/>
        <w:jc w:val="left"/>
        <w:rPr>
          <w:rFonts w:hint="eastAsia" w:asciiTheme="minorEastAsia" w:hAnsiTheme="minorEastAsia" w:eastAsiaTheme="minorEastAsia" w:cstheme="minorEastAsia"/>
          <w:b/>
          <w:bCs/>
          <w:color w:val="auto"/>
          <w:kern w:val="2"/>
          <w:sz w:val="28"/>
          <w:szCs w:val="18"/>
          <w:highlight w:val="none"/>
          <w:lang w:val="en-US" w:eastAsia="zh-CN" w:bidi="ar-SA"/>
        </w:rPr>
      </w:pPr>
    </w:p>
    <w:p>
      <w:pPr>
        <w:widowControl w:val="0"/>
        <w:shd w:val="clear"/>
        <w:snapToGrid w:val="0"/>
        <w:jc w:val="left"/>
        <w:rPr>
          <w:rFonts w:hint="eastAsia" w:asciiTheme="minorEastAsia" w:hAnsiTheme="minorEastAsia" w:eastAsiaTheme="minorEastAsia" w:cstheme="minorEastAsia"/>
          <w:b/>
          <w:bCs/>
          <w:color w:val="auto"/>
          <w:kern w:val="2"/>
          <w:sz w:val="28"/>
          <w:szCs w:val="18"/>
          <w:highlight w:val="none"/>
          <w:lang w:val="en-US" w:eastAsia="zh-CN" w:bidi="ar-SA"/>
        </w:rPr>
      </w:pPr>
    </w:p>
    <w:p>
      <w:pPr>
        <w:widowControl w:val="0"/>
        <w:shd w:val="clear"/>
        <w:snapToGrid w:val="0"/>
        <w:jc w:val="left"/>
        <w:rPr>
          <w:rFonts w:hint="eastAsia" w:asciiTheme="minorEastAsia" w:hAnsiTheme="minorEastAsia" w:eastAsiaTheme="minorEastAsia" w:cstheme="minorEastAsia"/>
          <w:b/>
          <w:bCs/>
          <w:color w:val="auto"/>
          <w:kern w:val="2"/>
          <w:sz w:val="28"/>
          <w:szCs w:val="18"/>
          <w:highlight w:val="none"/>
          <w:lang w:val="en-US" w:eastAsia="zh-CN" w:bidi="ar-SA"/>
        </w:rPr>
      </w:pPr>
    </w:p>
    <w:p>
      <w:pPr>
        <w:shd w:val="clea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br w:type="page"/>
      </w:r>
    </w:p>
    <w:p>
      <w:pPr>
        <w:pStyle w:val="5"/>
        <w:bidi w:val="0"/>
        <w:spacing w:line="240" w:lineRule="auto"/>
        <w:rPr>
          <w:rFonts w:hint="eastAsia" w:ascii="宋体" w:hAnsi="宋体" w:eastAsia="宋体" w:cs="宋体"/>
          <w:sz w:val="24"/>
          <w:szCs w:val="18"/>
          <w:lang w:val="en-US" w:eastAsia="zh-CN"/>
        </w:rPr>
      </w:pPr>
      <w:bookmarkStart w:id="127" w:name="_Toc12190"/>
      <w:r>
        <w:rPr>
          <w:rFonts w:hint="eastAsia" w:ascii="宋体" w:hAnsi="宋体" w:eastAsia="宋体" w:cs="宋体"/>
          <w:sz w:val="24"/>
          <w:szCs w:val="18"/>
          <w:lang w:val="en-US" w:eastAsia="zh-CN"/>
        </w:rPr>
        <w:t>附件3：类似项目业绩</w:t>
      </w:r>
      <w:bookmarkEnd w:id="127"/>
    </w:p>
    <w:p>
      <w:pPr>
        <w:shd w:val="clear"/>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采购项目名称： </w:t>
      </w:r>
      <w:r>
        <w:rPr>
          <w:rFonts w:hint="eastAsia" w:asciiTheme="minorEastAsia" w:hAnsiTheme="minorEastAsia" w:eastAsiaTheme="minorEastAsia" w:cstheme="minorEastAsia"/>
          <w:color w:val="auto"/>
          <w:highlight w:val="none"/>
          <w:u w:val="single"/>
        </w:rPr>
        <w:t xml:space="preserve">                            </w:t>
      </w:r>
    </w:p>
    <w:p>
      <w:pPr>
        <w:shd w:val="clear"/>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采购项目编号： </w:t>
      </w:r>
      <w:r>
        <w:rPr>
          <w:rFonts w:hint="eastAsia" w:asciiTheme="minorEastAsia" w:hAnsiTheme="minorEastAsia" w:eastAsiaTheme="minorEastAsia" w:cstheme="minorEastAsia"/>
          <w:color w:val="auto"/>
          <w:highlight w:val="none"/>
          <w:u w:val="single"/>
        </w:rPr>
        <w:t xml:space="preserve">                            </w:t>
      </w: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065" w:type="dxa"/>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414" w:type="dxa"/>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项目内容</w:t>
            </w:r>
          </w:p>
        </w:tc>
        <w:tc>
          <w:tcPr>
            <w:tcW w:w="1619" w:type="dxa"/>
            <w:tcBorders>
              <w:left w:val="single" w:color="auto" w:sz="4" w:space="0"/>
              <w:right w:val="single" w:color="auto" w:sz="4" w:space="0"/>
            </w:tcBorders>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金额</w:t>
            </w:r>
          </w:p>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（万元）</w:t>
            </w:r>
          </w:p>
        </w:tc>
        <w:tc>
          <w:tcPr>
            <w:tcW w:w="1441" w:type="dxa"/>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完成日期</w:t>
            </w:r>
          </w:p>
        </w:tc>
        <w:tc>
          <w:tcPr>
            <w:tcW w:w="2700" w:type="dxa"/>
            <w:vAlign w:val="center"/>
          </w:tcPr>
          <w:p>
            <w:pPr>
              <w:shd w:val="clear"/>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服务单位名称、联系人及电话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120"/>
              <w:jc w:val="center"/>
              <w:rPr>
                <w:rFonts w:ascii="宋体" w:hAnsi="宋体" w:cs="宋体"/>
                <w:color w:val="auto"/>
                <w:highlight w:val="none"/>
              </w:rPr>
            </w:pPr>
            <w:r>
              <w:rPr>
                <w:rFonts w:hint="eastAsia" w:ascii="宋体" w:hAnsi="宋体" w:cs="宋体"/>
                <w:color w:val="auto"/>
                <w:highlight w:val="none"/>
              </w:rPr>
              <w:t>1</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120"/>
              <w:jc w:val="center"/>
              <w:rPr>
                <w:rFonts w:ascii="宋体" w:hAnsi="宋体" w:cs="宋体"/>
                <w:color w:val="auto"/>
                <w:highlight w:val="none"/>
              </w:rPr>
            </w:pPr>
            <w:r>
              <w:rPr>
                <w:rFonts w:hint="eastAsia" w:ascii="宋体" w:hAnsi="宋体" w:cs="宋体"/>
                <w:color w:val="auto"/>
                <w:highlight w:val="none"/>
              </w:rPr>
              <w:t>2</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120"/>
              <w:jc w:val="center"/>
              <w:rPr>
                <w:rFonts w:ascii="宋体" w:hAnsi="宋体" w:cs="宋体"/>
                <w:color w:val="auto"/>
                <w:highlight w:val="none"/>
              </w:rPr>
            </w:pPr>
            <w:r>
              <w:rPr>
                <w:rFonts w:hint="eastAsia" w:ascii="宋体" w:hAnsi="宋体" w:cs="宋体"/>
                <w:color w:val="auto"/>
                <w:highlight w:val="none"/>
              </w:rPr>
              <w:t>3</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120"/>
              <w:jc w:val="center"/>
              <w:rPr>
                <w:rFonts w:ascii="宋体" w:hAnsi="宋体" w:cs="宋体"/>
                <w:color w:val="auto"/>
                <w:highlight w:val="none"/>
              </w:rPr>
            </w:pPr>
            <w:r>
              <w:rPr>
                <w:rFonts w:hint="eastAsia" w:ascii="宋体" w:hAnsi="宋体" w:cs="宋体"/>
                <w:color w:val="auto"/>
                <w:highlight w:val="none"/>
              </w:rPr>
              <w:t>4</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ind w:left="120"/>
              <w:jc w:val="center"/>
              <w:rPr>
                <w:rFonts w:ascii="宋体" w:hAnsi="宋体" w:cs="宋体"/>
                <w:color w:val="auto"/>
                <w:highlight w:val="none"/>
              </w:rPr>
            </w:pPr>
            <w:r>
              <w:rPr>
                <w:rFonts w:hint="eastAsia" w:ascii="宋体" w:hAnsi="宋体" w:cs="宋体"/>
                <w:color w:val="auto"/>
                <w:highlight w:val="none"/>
              </w:rPr>
              <w:t>5</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jc w:val="center"/>
              <w:rPr>
                <w:rFonts w:ascii="宋体" w:hAnsi="宋体" w:cs="宋体"/>
                <w:color w:val="auto"/>
                <w:highlight w:val="none"/>
              </w:rPr>
            </w:pPr>
            <w:r>
              <w:rPr>
                <w:rFonts w:hint="eastAsia" w:ascii="宋体" w:hAnsi="宋体" w:cs="宋体"/>
                <w:color w:val="auto"/>
                <w:highlight w:val="none"/>
              </w:rPr>
              <w:t>…</w:t>
            </w: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shd w:val="clear"/>
              <w:jc w:val="center"/>
              <w:rPr>
                <w:rFonts w:ascii="宋体" w:hAnsi="宋体" w:cs="宋体"/>
                <w:b/>
                <w:color w:val="auto"/>
                <w:highlight w:val="none"/>
              </w:rPr>
            </w:pPr>
          </w:p>
        </w:tc>
        <w:tc>
          <w:tcPr>
            <w:tcW w:w="1065" w:type="dxa"/>
            <w:vAlign w:val="center"/>
          </w:tcPr>
          <w:p>
            <w:pPr>
              <w:shd w:val="clear"/>
              <w:jc w:val="center"/>
              <w:rPr>
                <w:rFonts w:ascii="宋体" w:hAnsi="宋体" w:cs="宋体"/>
                <w:color w:val="auto"/>
                <w:highlight w:val="none"/>
              </w:rPr>
            </w:pPr>
          </w:p>
        </w:tc>
        <w:tc>
          <w:tcPr>
            <w:tcW w:w="1414" w:type="dxa"/>
            <w:vAlign w:val="center"/>
          </w:tcPr>
          <w:p>
            <w:pPr>
              <w:shd w:val="clear"/>
              <w:jc w:val="center"/>
              <w:rPr>
                <w:rFonts w:ascii="宋体" w:hAnsi="宋体" w:cs="宋体"/>
                <w:color w:val="auto"/>
                <w:highlight w:val="none"/>
              </w:rPr>
            </w:pPr>
          </w:p>
        </w:tc>
        <w:tc>
          <w:tcPr>
            <w:tcW w:w="1619" w:type="dxa"/>
            <w:tcBorders>
              <w:left w:val="single" w:color="auto" w:sz="4" w:space="0"/>
              <w:right w:val="single" w:color="auto" w:sz="4" w:space="0"/>
            </w:tcBorders>
            <w:vAlign w:val="center"/>
          </w:tcPr>
          <w:p>
            <w:pPr>
              <w:shd w:val="clear"/>
              <w:jc w:val="center"/>
              <w:rPr>
                <w:rFonts w:ascii="宋体" w:hAnsi="宋体" w:cs="宋体"/>
                <w:color w:val="auto"/>
                <w:highlight w:val="none"/>
              </w:rPr>
            </w:pPr>
          </w:p>
        </w:tc>
        <w:tc>
          <w:tcPr>
            <w:tcW w:w="1441" w:type="dxa"/>
            <w:vAlign w:val="center"/>
          </w:tcPr>
          <w:p>
            <w:pPr>
              <w:shd w:val="clear"/>
              <w:jc w:val="center"/>
              <w:rPr>
                <w:rFonts w:ascii="宋体" w:hAnsi="宋体" w:cs="宋体"/>
                <w:color w:val="auto"/>
                <w:highlight w:val="none"/>
              </w:rPr>
            </w:pPr>
          </w:p>
        </w:tc>
        <w:tc>
          <w:tcPr>
            <w:tcW w:w="2700" w:type="dxa"/>
          </w:tcPr>
          <w:p>
            <w:pPr>
              <w:shd w:val="clear"/>
              <w:jc w:val="center"/>
              <w:rPr>
                <w:rFonts w:ascii="宋体" w:hAnsi="宋体" w:cs="宋体"/>
                <w:color w:val="auto"/>
                <w:highlight w:val="none"/>
              </w:rPr>
            </w:pPr>
          </w:p>
        </w:tc>
      </w:tr>
    </w:tbl>
    <w:p>
      <w:pPr>
        <w:shd w:val="clear"/>
        <w:snapToGrid w:val="0"/>
        <w:spacing w:before="120"/>
        <w:ind w:left="518" w:leftChars="50" w:right="357" w:hanging="398" w:hangingChars="166"/>
        <w:rPr>
          <w:rFonts w:ascii="宋体" w:hAnsi="宋体" w:cs="宋体"/>
          <w:color w:val="auto"/>
          <w:highlight w:val="none"/>
        </w:rPr>
      </w:pPr>
    </w:p>
    <w:p>
      <w:pPr>
        <w:shd w:val="clear"/>
        <w:tabs>
          <w:tab w:val="left" w:pos="8782"/>
        </w:tabs>
        <w:snapToGrid w:val="0"/>
        <w:spacing w:before="120"/>
        <w:ind w:left="518" w:leftChars="50" w:right="-38" w:hanging="398" w:hangingChars="166"/>
        <w:rPr>
          <w:rFonts w:ascii="宋体" w:hAnsi="宋体" w:cs="宋体"/>
          <w:color w:val="auto"/>
          <w:highlight w:val="none"/>
        </w:rPr>
      </w:pPr>
      <w:r>
        <w:rPr>
          <w:rFonts w:hint="eastAsia" w:ascii="宋体" w:hAnsi="宋体" w:cs="宋体"/>
          <w:color w:val="auto"/>
          <w:highlight w:val="none"/>
        </w:rPr>
        <w:t xml:space="preserve">注：1. </w:t>
      </w:r>
      <w:r>
        <w:rPr>
          <w:rFonts w:hint="eastAsia" w:ascii="宋体" w:hAnsi="宋体" w:cs="宋体"/>
          <w:color w:val="auto"/>
          <w:highlight w:val="none"/>
          <w:lang w:eastAsia="zh-CN"/>
        </w:rPr>
        <w:t>供应商</w:t>
      </w:r>
      <w:r>
        <w:rPr>
          <w:rFonts w:hint="eastAsia" w:ascii="宋体" w:hAnsi="宋体" w:cs="宋体"/>
          <w:color w:val="auto"/>
          <w:highlight w:val="none"/>
        </w:rPr>
        <w:t>应如实列出以上情况，如有隐瞒，一经查实将导致其报价申请被拒绝。</w:t>
      </w:r>
    </w:p>
    <w:p>
      <w:pPr>
        <w:shd w:val="clear"/>
        <w:snapToGrid w:val="0"/>
        <w:spacing w:before="120"/>
        <w:ind w:left="478" w:leftChars="199" w:right="357" w:firstLine="120" w:firstLineChars="50"/>
        <w:rPr>
          <w:rFonts w:ascii="宋体" w:hAnsi="宋体" w:cs="宋体"/>
          <w:color w:val="auto"/>
          <w:highlight w:val="none"/>
        </w:rPr>
      </w:pPr>
      <w:r>
        <w:rPr>
          <w:rFonts w:hint="eastAsia" w:ascii="宋体" w:hAnsi="宋体" w:cs="宋体"/>
          <w:color w:val="auto"/>
          <w:highlight w:val="none"/>
        </w:rPr>
        <w:t xml:space="preserve">2.供应商应提供证明材料（复印件加盖公章装订在响应文件中）。 </w:t>
      </w:r>
    </w:p>
    <w:p>
      <w:pPr>
        <w:shd w:val="clear"/>
        <w:ind w:left="1256" w:hanging="836"/>
        <w:rPr>
          <w:rFonts w:ascii="宋体" w:hAnsi="宋体" w:cs="宋体"/>
          <w:color w:val="auto"/>
          <w:sz w:val="22"/>
          <w:highlight w:val="none"/>
        </w:rPr>
      </w:pPr>
    </w:p>
    <w:p>
      <w:pPr>
        <w:shd w:val="clear"/>
        <w:tabs>
          <w:tab w:val="left" w:pos="1680"/>
        </w:tabs>
        <w:rPr>
          <w:rFonts w:ascii="宋体" w:hAnsi="宋体" w:cs="宋体"/>
          <w:color w:val="auto"/>
          <w:highlight w:val="none"/>
        </w:rPr>
      </w:pPr>
    </w:p>
    <w:p>
      <w:pPr>
        <w:shd w:val="clear"/>
        <w:spacing w:line="480" w:lineRule="auto"/>
        <w:ind w:right="-161" w:firstLine="2640" w:firstLineChars="1100"/>
        <w:rPr>
          <w:rFonts w:ascii="宋体" w:hAnsi="宋体" w:cs="宋体"/>
          <w:color w:val="auto"/>
          <w:highlight w:val="none"/>
        </w:rPr>
      </w:pPr>
    </w:p>
    <w:p>
      <w:pPr>
        <w:shd w:val="clear"/>
        <w:spacing w:line="480" w:lineRule="auto"/>
        <w:ind w:right="-161" w:firstLine="2640" w:firstLineChars="1100"/>
        <w:rPr>
          <w:rFonts w:ascii="宋体" w:hAnsi="宋体" w:cs="宋体"/>
          <w:color w:val="auto"/>
          <w:highlight w:val="none"/>
        </w:rPr>
      </w:pPr>
    </w:p>
    <w:p>
      <w:pPr>
        <w:shd w:val="clear"/>
        <w:spacing w:line="480" w:lineRule="exact"/>
        <w:ind w:left="240" w:leftChars="100" w:firstLine="2160" w:firstLineChars="900"/>
        <w:rPr>
          <w:rFonts w:ascii="宋体" w:hAnsi="宋体" w:cs="Times New Roman"/>
          <w:color w:val="auto"/>
          <w:szCs w:val="24"/>
          <w:highlight w:val="none"/>
          <w:u w:val="single"/>
        </w:rPr>
      </w:pPr>
      <w:r>
        <w:rPr>
          <w:rFonts w:hint="eastAsia" w:ascii="宋体" w:hAnsi="宋体" w:cs="Times New Roman"/>
          <w:color w:val="auto"/>
          <w:szCs w:val="24"/>
          <w:highlight w:val="none"/>
          <w:lang w:val="zh-CN"/>
        </w:rPr>
        <w:t>法定代表人或被授权人（签字或盖章）</w:t>
      </w:r>
      <w:r>
        <w:rPr>
          <w:rFonts w:ascii="宋体" w:hAnsi="宋体" w:cs="Times New Roman"/>
          <w:color w:val="auto"/>
          <w:szCs w:val="24"/>
          <w:highlight w:val="none"/>
        </w:rPr>
        <w:t>：</w:t>
      </w:r>
      <w:r>
        <w:rPr>
          <w:rFonts w:ascii="宋体" w:hAnsi="宋体" w:cs="Times New Roman"/>
          <w:color w:val="auto"/>
          <w:szCs w:val="24"/>
          <w:highlight w:val="none"/>
          <w:u w:val="single"/>
        </w:rPr>
        <w:t xml:space="preserve">      </w:t>
      </w:r>
    </w:p>
    <w:p>
      <w:pPr>
        <w:shd w:val="clear"/>
        <w:spacing w:line="480" w:lineRule="exact"/>
        <w:ind w:left="240" w:leftChars="100" w:firstLine="2160" w:firstLineChars="900"/>
        <w:rPr>
          <w:rFonts w:ascii="宋体" w:hAnsi="宋体" w:cs="Times New Roman"/>
          <w:color w:val="auto"/>
          <w:szCs w:val="24"/>
          <w:highlight w:val="none"/>
        </w:rPr>
      </w:pPr>
      <w:r>
        <w:rPr>
          <w:rFonts w:hint="eastAsia" w:ascii="宋体" w:hAnsi="宋体" w:cs="Times New Roman"/>
          <w:color w:val="auto"/>
          <w:sz w:val="24"/>
          <w:szCs w:val="24"/>
          <w:highlight w:val="none"/>
          <w:lang w:eastAsia="zh-CN"/>
        </w:rPr>
        <w:t>供应商名称（</w:t>
      </w:r>
      <w:r>
        <w:rPr>
          <w:rFonts w:hint="eastAsia" w:ascii="宋体" w:hAnsi="宋体" w:cs="Times New Roman"/>
          <w:color w:val="auto"/>
          <w:sz w:val="24"/>
          <w:szCs w:val="24"/>
          <w:highlight w:val="none"/>
        </w:rPr>
        <w:t>公章</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w:t>
      </w:r>
      <w:r>
        <w:rPr>
          <w:rFonts w:hint="eastAsia" w:ascii="宋体" w:hAnsi="宋体" w:eastAsia="宋体" w:cs="宋体"/>
          <w:color w:val="auto"/>
          <w:sz w:val="24"/>
          <w:highlight w:val="none"/>
          <w:u w:val="single"/>
        </w:rPr>
        <w:t>        </w:t>
      </w:r>
      <w:r>
        <w:rPr>
          <w:rFonts w:ascii="宋体" w:hAnsi="宋体" w:cs="Times New Roman"/>
          <w:color w:val="auto"/>
          <w:szCs w:val="24"/>
          <w:highlight w:val="none"/>
        </w:rPr>
        <w:t xml:space="preserve">  </w:t>
      </w:r>
    </w:p>
    <w:p>
      <w:pPr>
        <w:shd w:val="clear"/>
        <w:spacing w:line="480" w:lineRule="exact"/>
        <w:ind w:left="240" w:leftChars="100" w:firstLine="2160" w:firstLineChars="900"/>
        <w:rPr>
          <w:rFonts w:ascii="宋体" w:hAnsi="宋体" w:cs="Times New Roman"/>
          <w:color w:val="auto"/>
          <w:highlight w:val="none"/>
          <w:u w:val="single"/>
        </w:rPr>
      </w:pPr>
      <w:r>
        <w:rPr>
          <w:rFonts w:ascii="宋体" w:hAnsi="宋体" w:cs="Times New Roman"/>
          <w:color w:val="auto"/>
          <w:szCs w:val="24"/>
          <w:highlight w:val="none"/>
        </w:rPr>
        <w:t>日 期：</w:t>
      </w:r>
      <w:r>
        <w:rPr>
          <w:rFonts w:ascii="宋体" w:hAnsi="宋体" w:cs="Times New Roman"/>
          <w:color w:val="auto"/>
          <w:highlight w:val="none"/>
          <w:u w:val="single"/>
        </w:rPr>
        <w:t xml:space="preserve">            </w:t>
      </w:r>
    </w:p>
    <w:p>
      <w:pPr>
        <w:widowControl w:val="0"/>
        <w:shd w:val="clear"/>
        <w:snapToGrid w:val="0"/>
        <w:jc w:val="left"/>
        <w:rPr>
          <w:rFonts w:ascii="宋体" w:hAnsi="宋体" w:eastAsia="宋体" w:cs="Times New Roman"/>
          <w:b/>
          <w:bCs/>
          <w:color w:val="auto"/>
          <w:kern w:val="2"/>
          <w:sz w:val="28"/>
          <w:szCs w:val="18"/>
          <w:highlight w:val="none"/>
          <w:lang w:val="en-US" w:eastAsia="zh-CN" w:bidi="ar-SA"/>
        </w:rPr>
      </w:pPr>
    </w:p>
    <w:p>
      <w:pPr>
        <w:pStyle w:val="2"/>
        <w:rPr>
          <w:rFonts w:hint="eastAsia"/>
        </w:rPr>
      </w:pPr>
    </w:p>
    <w:p>
      <w:pPr>
        <w:spacing w:before="10" w:line="360" w:lineRule="auto"/>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465445" cy="7658735"/>
            <wp:effectExtent l="0" t="0" r="1905" b="18415"/>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30"/>
                    <a:stretch>
                      <a:fillRect/>
                    </a:stretch>
                  </pic:blipFill>
                  <pic:spPr>
                    <a:xfrm>
                      <a:off x="0" y="0"/>
                      <a:ext cx="5465774" cy="7658748"/>
                    </a:xfrm>
                    <a:prstGeom prst="rect">
                      <a:avLst/>
                    </a:prstGeom>
                  </pic:spPr>
                </pic:pic>
              </a:graphicData>
            </a:graphic>
          </wp:inline>
        </w:drawing>
      </w:r>
    </w:p>
    <w:p>
      <w:pPr>
        <w:spacing w:line="360" w:lineRule="auto"/>
        <w:rPr>
          <w:rFonts w:hint="eastAsia" w:ascii="宋体" w:hAnsi="宋体" w:eastAsia="宋体" w:cs="宋体"/>
          <w:color w:val="auto"/>
        </w:rPr>
        <w:sectPr>
          <w:footerReference r:id="rId17" w:type="default"/>
          <w:pgSz w:w="11906" w:h="16839"/>
          <w:pgMar w:top="1431" w:right="1581" w:bottom="1158" w:left="1717"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1"/>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18" w:type="default"/>
          <w:pgSz w:w="11906" w:h="16839"/>
          <w:pgMar w:top="1431" w:right="1581" w:bottom="1293" w:left="1785" w:header="850" w:footer="992" w:gutter="0"/>
          <w:pgNumType w:fmt="decimal"/>
          <w:cols w:space="720" w:num="1"/>
        </w:sect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2"/>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19" w:type="default"/>
          <w:pgSz w:w="11906" w:h="16839"/>
          <w:pgMar w:top="1431" w:right="1581" w:bottom="1293" w:left="1785" w:header="850" w:footer="992" w:gutter="0"/>
          <w:pgNumType w:fmt="decimal"/>
          <w:cols w:space="720" w:num="1"/>
        </w:sect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3"/>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0" w:type="default"/>
          <w:pgSz w:w="11906" w:h="16839"/>
          <w:pgMar w:top="1431" w:right="1581" w:bottom="1293" w:left="1785"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4"/>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1" w:type="default"/>
          <w:pgSz w:w="11906" w:h="16839"/>
          <w:pgMar w:top="1431" w:right="1581" w:bottom="1293" w:left="1785"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2" w:type="default"/>
          <w:pgSz w:w="11906" w:h="16839"/>
          <w:pgMar w:top="1431" w:right="1581" w:bottom="1293" w:left="1785"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6"/>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3" w:type="default"/>
          <w:pgSz w:w="11906" w:h="16839"/>
          <w:pgMar w:top="1431" w:right="1581" w:bottom="1293" w:left="1785" w:header="850" w:footer="992" w:gutter="0"/>
          <w:pgNumType w:fmt="decimal"/>
          <w:cols w:space="720" w:num="1"/>
        </w:sectPr>
      </w:pPr>
    </w:p>
    <w:p>
      <w:pPr>
        <w:spacing w:before="66"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7"/>
                    <a:stretch>
                      <a:fillRect/>
                    </a:stretch>
                  </pic:blipFill>
                  <pic:spPr>
                    <a:xfrm>
                      <a:off x="0" y="0"/>
                      <a:ext cx="5152644" cy="7382256"/>
                    </a:xfrm>
                    <a:prstGeom prst="rect">
                      <a:avLst/>
                    </a:prstGeom>
                  </pic:spPr>
                </pic:pic>
              </a:graphicData>
            </a:graphic>
          </wp:inline>
        </w:drawing>
      </w:r>
    </w:p>
    <w:p>
      <w:pPr>
        <w:spacing w:line="360" w:lineRule="auto"/>
        <w:rPr>
          <w:rFonts w:hint="eastAsia" w:ascii="宋体" w:hAnsi="宋体" w:eastAsia="宋体" w:cs="宋体"/>
          <w:color w:val="auto"/>
        </w:rPr>
        <w:sectPr>
          <w:footerReference r:id="rId24" w:type="default"/>
          <w:pgSz w:w="11906" w:h="16839"/>
          <w:pgMar w:top="1431" w:right="1686" w:bottom="1293" w:left="1785"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8"/>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5" w:type="default"/>
          <w:pgSz w:w="11906" w:h="16839"/>
          <w:pgMar w:top="1431" w:right="1581" w:bottom="1293" w:left="1785" w:header="850" w:footer="992" w:gutter="0"/>
          <w:pgNumType w:fmt="decimal"/>
          <w:cols w:space="720" w:num="1"/>
        </w:sect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9"/>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6" w:type="default"/>
          <w:pgSz w:w="11906" w:h="16839"/>
          <w:pgMar w:top="1431" w:right="1581" w:bottom="1293" w:left="1785" w:header="850" w:footer="992" w:gutter="0"/>
          <w:pgNumType w:fmt="decimal"/>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0"/>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7" w:type="default"/>
          <w:pgSz w:w="11906" w:h="16839"/>
          <w:pgMar w:top="1431" w:right="1581" w:bottom="1293" w:left="1785" w:header="850" w:footer="992" w:gutter="0"/>
          <w:pgNumType w:fmt="decimal"/>
          <w:cols w:space="720" w:num="1"/>
        </w:sectPr>
      </w:pPr>
    </w:p>
    <w:p>
      <w:pPr>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7"/>
                    <a:stretch>
                      <a:fillRect/>
                    </a:stretch>
                  </pic:blipFill>
                  <pic:spPr>
                    <a:xfrm>
                      <a:off x="0" y="0"/>
                      <a:ext cx="5152644" cy="7382256"/>
                    </a:xfrm>
                    <a:prstGeom prst="rect">
                      <a:avLst/>
                    </a:prstGeom>
                  </pic:spPr>
                </pic:pic>
              </a:graphicData>
            </a:graphic>
          </wp:inline>
        </w:drawing>
      </w:r>
    </w:p>
    <w:p/>
    <w:p/>
    <w:sectPr>
      <w:footerReference r:id="rId28" w:type="default"/>
      <w:pgSz w:w="11906" w:h="16838"/>
      <w:pgMar w:top="1344" w:right="1344" w:bottom="1344" w:left="1344" w:header="850" w:footer="99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GYXIQ+Frutiger-Cn">
    <w:altName w:val="宋体"/>
    <w:panose1 w:val="00000000000000000000"/>
    <w:charset w:val="86"/>
    <w:family w:val="swiss"/>
    <w:pitch w:val="default"/>
    <w:sig w:usb0="00000000" w:usb1="00000000" w:usb2="00000010" w:usb3="00000000" w:csb0="00040000" w:csb1="00000000"/>
  </w:font>
  <w:font w:name="思源宋体 CN">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榆林市恒易达工程项目管理有限公司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rPr>
        <w:rFonts w:hint="eastAsia"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1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91"/>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left="0" w:leftChars="0" w:firstLine="0" w:firstLineChars="0"/>
      <w:jc w:val="both"/>
      <w:rPr>
        <w:sz w:val="20"/>
        <w:u w:val="double"/>
      </w:rPr>
    </w:pPr>
    <w:r>
      <w:rPr>
        <w:rFonts w:hint="eastAsia"/>
        <w:u w:val="double"/>
        <w:lang w:val="en-US" w:eastAsia="zh-CN"/>
      </w:rPr>
      <w:t>店塔镇生活垃圾填埋场运营管理项目</w:t>
    </w:r>
    <w:r>
      <w:rPr>
        <w:rFonts w:hint="eastAsia"/>
        <w:sz w:val="20"/>
        <w:u w:val="double"/>
        <w:lang w:val="en-US" w:eastAsia="zh-CN"/>
      </w:rPr>
      <w:t xml:space="preserve">                    </w:t>
    </w:r>
    <w:r>
      <w:rPr>
        <w:rFonts w:hint="eastAsia"/>
        <w:sz w:val="20"/>
        <w:u w:val="double"/>
        <w:lang w:eastAsia="zh-CN"/>
      </w:rPr>
      <w:t>竞争性</w:t>
    </w:r>
    <w:r>
      <w:rPr>
        <w:rFonts w:hint="eastAsia"/>
        <w:sz w:val="20"/>
        <w:u w:val="double"/>
        <w:lang w:val="en-US" w:eastAsia="zh-CN"/>
      </w:rPr>
      <w:t>磋商</w:t>
    </w:r>
    <w:r>
      <w:rPr>
        <w:rFonts w:hint="eastAsia"/>
        <w:sz w:val="20"/>
        <w:u w:val="doub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pBdr>
        <w:bottom w:val="none" w:color="auto" w:sz="0" w:space="1"/>
      </w:pBdr>
      <w:kinsoku/>
      <w:wordWrap/>
      <w:overflowPunct/>
      <w:topLinePunct w:val="0"/>
      <w:autoSpaceDE/>
      <w:autoSpaceDN/>
      <w:bidi w:val="0"/>
      <w:adjustRightInd w:val="0"/>
      <w:snapToGrid w:val="0"/>
      <w:ind w:firstLine="0" w:firstLineChars="0"/>
      <w:jc w:val="left"/>
      <w:textAlignment w:val="auto"/>
      <w:rPr>
        <w:sz w:val="20"/>
        <w:u w:val="doub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605"/>
      <w:rPr>
        <w:rFonts w:ascii="宋体" w:hAnsi="宋体" w:eastAsia="宋体" w:cs="宋体"/>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F4456"/>
    <w:multiLevelType w:val="singleLevel"/>
    <w:tmpl w:val="54BF445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YzBlM2FjZGFhYTEwNjljZjcyYzQ4Y2NlYzg1M2YifQ=="/>
  </w:docVars>
  <w:rsids>
    <w:rsidRoot w:val="0E4B3766"/>
    <w:rsid w:val="0A3463D4"/>
    <w:rsid w:val="0E4B3766"/>
    <w:rsid w:val="17010345"/>
    <w:rsid w:val="30A518B9"/>
    <w:rsid w:val="42CA78CB"/>
    <w:rsid w:val="4A4D5D9C"/>
    <w:rsid w:val="55D2110B"/>
    <w:rsid w:val="5CBC4ED7"/>
    <w:rsid w:val="642832BA"/>
    <w:rsid w:val="71146EFD"/>
    <w:rsid w:val="749649DF"/>
    <w:rsid w:val="74C4148C"/>
    <w:rsid w:val="77471893"/>
    <w:rsid w:val="78267E28"/>
    <w:rsid w:val="7F97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18" w:firstLineChars="20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paragraph" w:styleId="4">
    <w:name w:val="heading 2"/>
    <w:basedOn w:val="1"/>
    <w:next w:val="1"/>
    <w:qFormat/>
    <w:uiPriority w:val="0"/>
    <w:pPr>
      <w:keepNext/>
      <w:keepLines/>
      <w:widowControl/>
      <w:spacing w:before="40" w:after="40" w:line="360" w:lineRule="auto"/>
      <w:ind w:left="283" w:firstLine="0" w:firstLineChars="0"/>
      <w:jc w:val="center"/>
      <w:outlineLvl w:val="1"/>
    </w:pPr>
    <w:rPr>
      <w:rFonts w:ascii="Arial" w:hAnsi="Arial"/>
      <w:b/>
      <w:bCs/>
      <w:kern w:val="0"/>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qFormat/>
    <w:uiPriority w:val="0"/>
    <w:pPr>
      <w:spacing w:line="300" w:lineRule="auto"/>
      <w:ind w:firstLine="420" w:firstLineChars="200"/>
    </w:pPr>
    <w:rPr>
      <w:szCs w:val="24"/>
    </w:rPr>
  </w:style>
  <w:style w:type="paragraph" w:styleId="9">
    <w:name w:val="Body Text Indent"/>
    <w:basedOn w:val="1"/>
    <w:next w:val="1"/>
    <w:qFormat/>
    <w:uiPriority w:val="0"/>
    <w:pPr>
      <w:widowControl/>
      <w:ind w:firstLine="652" w:firstLineChars="233"/>
    </w:pPr>
    <w:rPr>
      <w:kern w:val="0"/>
      <w:sz w:val="28"/>
    </w:rPr>
  </w:style>
  <w:style w:type="paragraph" w:styleId="10">
    <w:name w:val="Plain Text"/>
    <w:basedOn w:val="1"/>
    <w:next w:val="1"/>
    <w:qFormat/>
    <w:uiPriority w:val="0"/>
    <w:rPr>
      <w:rFonts w:ascii="宋体" w:hAnsi="Courier New"/>
    </w:rPr>
  </w:style>
  <w:style w:type="paragraph" w:styleId="11">
    <w:name w:val="Balloon Text"/>
    <w:basedOn w:val="1"/>
    <w:qFormat/>
    <w:uiPriority w:val="0"/>
    <w:rPr>
      <w:sz w:val="18"/>
      <w:szCs w:val="18"/>
    </w:rPr>
  </w:style>
  <w:style w:type="paragraph" w:styleId="12">
    <w:name w:val="footer"/>
    <w:basedOn w:val="1"/>
    <w:next w:val="2"/>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0"/>
    <w:rPr>
      <w:rFonts w:ascii="楷体_GB2312" w:hAnsi="Copperplate Gothic Bold" w:eastAsia="楷体_GB2312"/>
      <w:sz w:val="28"/>
    </w:rPr>
  </w:style>
  <w:style w:type="paragraph" w:styleId="17">
    <w:name w:val="Normal (Web)"/>
    <w:basedOn w:val="1"/>
    <w:next w:val="12"/>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w:basedOn w:val="2"/>
    <w:qFormat/>
    <w:uiPriority w:val="0"/>
    <w:pPr>
      <w:adjustRightInd w:val="0"/>
      <w:ind w:firstLine="567"/>
    </w:pPr>
  </w:style>
  <w:style w:type="paragraph" w:styleId="19">
    <w:name w:val="Body Text First Indent 2"/>
    <w:basedOn w:val="9"/>
    <w:qFormat/>
    <w:uiPriority w:val="0"/>
    <w:pPr>
      <w:ind w:firstLine="420"/>
    </w:pPr>
  </w:style>
  <w:style w:type="character" w:styleId="22">
    <w:name w:val="Strong"/>
    <w:basedOn w:val="21"/>
    <w:qFormat/>
    <w:uiPriority w:val="0"/>
    <w:rPr>
      <w:b/>
    </w:r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1.jpeg"/><Relationship Id="rId4" Type="http://schemas.openxmlformats.org/officeDocument/2006/relationships/endnotes" Target="endnotes.xml"/><Relationship Id="rId39" Type="http://schemas.openxmlformats.org/officeDocument/2006/relationships/image" Target="media/image10.jpeg"/><Relationship Id="rId38" Type="http://schemas.openxmlformats.org/officeDocument/2006/relationships/image" Target="media/image9.jpeg"/><Relationship Id="rId37" Type="http://schemas.openxmlformats.org/officeDocument/2006/relationships/image" Target="media/image8.jpeg"/><Relationship Id="rId36" Type="http://schemas.openxmlformats.org/officeDocument/2006/relationships/image" Target="media/image7.jpeg"/><Relationship Id="rId35" Type="http://schemas.openxmlformats.org/officeDocument/2006/relationships/image" Target="media/image6.jpeg"/><Relationship Id="rId34" Type="http://schemas.openxmlformats.org/officeDocument/2006/relationships/image" Target="media/image5.jpeg"/><Relationship Id="rId33" Type="http://schemas.openxmlformats.org/officeDocument/2006/relationships/image" Target="media/image4.jpe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2023-06-30T08:44:00Z</dcterms:created>
  <dc:creator>马涛</dc:creator>
  <cp:lastModifiedBy>马涛</cp:lastModifiedBy>
  <dcterms:modified xsi:type="dcterms:W3CDTF">2023-07-27T07:28:24Z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02A24E1E3D5840E9BD7EF8833D81F3C2_11</vt:lpwstr>
  </property>
</Properties>
</file>