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 xml:space="preserve"> 府谷镇西山寨村绿化工程</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府谷镇西山寨村绿化工程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2023年4月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 xml:space="preserve">府谷镇西山寨村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本项目按作业设计要求，栽植H≥1.5m，G≥0.8m，保留轮层≥4 层,带21*26cm钵油松4135株；H≥1.5m，G≥0.35m，21×26cm土球侧柏3320株；二年生爬山虎1000株。</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预审后总造价为</w:t>
      </w:r>
      <w:bookmarkStart w:id="6" w:name="_GoBack"/>
      <w:r>
        <w:rPr>
          <w:rFonts w:hint="eastAsia" w:ascii="宋体" w:hAnsi="宋体" w:eastAsia="宋体" w:cs="宋体"/>
          <w:sz w:val="28"/>
          <w:szCs w:val="28"/>
          <w:lang w:val="en-US" w:eastAsia="zh-CN"/>
        </w:rPr>
        <w:t>341903.00</w:t>
      </w:r>
      <w:bookmarkEnd w:id="6"/>
      <w:r>
        <w:rPr>
          <w:rFonts w:hint="eastAsia" w:ascii="宋体" w:hAnsi="宋体" w:eastAsia="宋体" w:cs="宋体"/>
          <w:sz w:val="28"/>
          <w:szCs w:val="28"/>
          <w:lang w:val="en-US" w:eastAsia="zh-CN"/>
        </w:rPr>
        <w:t xml:space="preserve">元。工期：60天。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 xml:space="preserve"> 府谷镇西山寨村绿化工程</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2、绿化工程验收合格，资金分三次兑付，第一次兑付工程款的40%,第二次兑付工程款的30%,第三次兑付工程款的30%,具体兑付时间由甲方安排。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签订时间：          年    月    日</w:t>
      </w:r>
    </w:p>
    <w:p>
      <w:pPr>
        <w:keepNext w:val="0"/>
        <w:keepLines w:val="0"/>
        <w:pageBreakBefore w:val="0"/>
        <w:widowControl w:val="0"/>
        <w:kinsoku/>
        <w:wordWrap/>
        <w:overflowPunct/>
        <w:topLinePunct w:val="0"/>
        <w:autoSpaceDE/>
        <w:bidi w:val="0"/>
        <w:adjustRightInd w:val="0"/>
        <w:snapToGrid w:val="0"/>
        <w:spacing w:line="560" w:lineRule="exact"/>
        <w:ind w:firstLine="560" w:firstLineChars="200"/>
        <w:textAlignment w:val="auto"/>
        <w:rPr>
          <w:rFonts w:hint="eastAsia" w:ascii="宋体" w:hAnsi="宋体" w:eastAsia="宋体" w:cs="宋体"/>
          <w:color w:val="auto"/>
          <w:sz w:val="28"/>
          <w:szCs w:val="28"/>
        </w:rPr>
      </w:pP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 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bookmarkStart w:id="2" w:name="_Toc56066559"/>
      <w:bookmarkStart w:id="3" w:name="_Toc16156"/>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56066560"/>
      <w:bookmarkStart w:id="5" w:name="_Toc3031"/>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lang w:val="en-US" w:eastAsia="zh-CN"/>
        </w:rPr>
        <w:t>绿化工程验收合格，资金分三次兑付，第一次兑付工程款的40%,第二次兑付工程款的30%,第三次兑付工程款的30%,具体兑付时间由甲方安排。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spacing w:line="360" w:lineRule="auto"/>
        <w:ind w:firstLine="480" w:firstLineChars="200"/>
        <w:rPr>
          <w:rFonts w:hint="default" w:ascii="宋体" w:hAnsi="宋体"/>
          <w:sz w:val="24"/>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r>
        <w:drawing>
          <wp:anchor distT="0" distB="0" distL="0" distR="0" simplePos="0" relativeHeight="251659264" behindDoc="1" locked="0" layoutInCell="1" allowOverlap="1">
            <wp:simplePos x="0" y="0"/>
            <wp:positionH relativeFrom="column">
              <wp:posOffset>3790950</wp:posOffset>
            </wp:positionH>
            <wp:positionV relativeFrom="paragraph">
              <wp:posOffset>3175</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p>
    <w:p>
      <w:pPr>
        <w:pStyle w:val="15"/>
        <w:rPr>
          <w:rFonts w:hint="default" w:ascii="宋体" w:hAnsi="宋体" w:eastAsia="宋体" w:cs="宋体"/>
          <w:lang w:val="en-US" w:eastAsia="zh-CN"/>
        </w:rPr>
      </w:pPr>
    </w:p>
    <w:p>
      <w:pPr>
        <w:pStyle w:val="6"/>
        <w:jc w:val="center"/>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                                       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2023年3月28日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DU4ODM3MTY2MzBiZjE5NTgxMzIwNzA0MmM3OTUifQ=="/>
  </w:docVars>
  <w:rsids>
    <w:rsidRoot w:val="00000000"/>
    <w:rsid w:val="036B1D8C"/>
    <w:rsid w:val="059B79B2"/>
    <w:rsid w:val="07CD206E"/>
    <w:rsid w:val="0929166A"/>
    <w:rsid w:val="0A656ED5"/>
    <w:rsid w:val="0AA13B17"/>
    <w:rsid w:val="0CA13FCC"/>
    <w:rsid w:val="120A7E48"/>
    <w:rsid w:val="130F350E"/>
    <w:rsid w:val="15466530"/>
    <w:rsid w:val="16B922C0"/>
    <w:rsid w:val="1821330F"/>
    <w:rsid w:val="1C6714C6"/>
    <w:rsid w:val="20D63C52"/>
    <w:rsid w:val="22E2743E"/>
    <w:rsid w:val="267C4F33"/>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4D56E74"/>
    <w:rsid w:val="554630B8"/>
    <w:rsid w:val="5594722F"/>
    <w:rsid w:val="594D1384"/>
    <w:rsid w:val="5F9B6228"/>
    <w:rsid w:val="60466A34"/>
    <w:rsid w:val="60DD5FF3"/>
    <w:rsid w:val="6102585C"/>
    <w:rsid w:val="611D6D37"/>
    <w:rsid w:val="62544820"/>
    <w:rsid w:val="6353259C"/>
    <w:rsid w:val="642F32A1"/>
    <w:rsid w:val="6BF11CF6"/>
    <w:rsid w:val="6C4B6506"/>
    <w:rsid w:val="6CFC7956"/>
    <w:rsid w:val="6D322341"/>
    <w:rsid w:val="6E91041D"/>
    <w:rsid w:val="6EB00FFC"/>
    <w:rsid w:val="70BC22A2"/>
    <w:rsid w:val="718A4164"/>
    <w:rsid w:val="72541F51"/>
    <w:rsid w:val="74E27BC7"/>
    <w:rsid w:val="750C5B34"/>
    <w:rsid w:val="752C43DA"/>
    <w:rsid w:val="75933204"/>
    <w:rsid w:val="769765ED"/>
    <w:rsid w:val="76C84BF7"/>
    <w:rsid w:val="77154273"/>
    <w:rsid w:val="793D367B"/>
    <w:rsid w:val="7A765BE4"/>
    <w:rsid w:val="7CD84546"/>
    <w:rsid w:val="7ED110EC"/>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3518</Words>
  <Characters>3637</Characters>
  <Lines>0</Lines>
  <Paragraphs>0</Paragraphs>
  <TotalTime>5</TotalTime>
  <ScaleCrop>false</ScaleCrop>
  <LinksUpToDate>false</LinksUpToDate>
  <CharactersWithSpaces>3907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2023-03-31T01:42:50Z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88B9E40E66DB4D16960943D841403EBC</vt:lpwstr>
  </property>
</Properties>
</file>