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府谷县文庙古建筑彩画及七十二贤人造像彩塑工程竞争性谈判公告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ascii="微软雅黑" w:hAnsi="微软雅黑" w:eastAsia="微软雅黑" w:cs="微软雅黑"/>
          <w:i w:val="0"/>
          <w:iCs w:val="0"/>
          <w:caps w:val="0"/>
          <w:color w:val="auto"/>
          <w:spacing w:val="0"/>
          <w:sz w:val="21"/>
          <w:szCs w:val="21"/>
          <w:shd w:val="clear" w:fill="FFFFFF"/>
        </w:rPr>
      </w:pPr>
      <w:r>
        <w:rPr>
          <w:rFonts w:ascii="微软雅黑" w:hAnsi="微软雅黑" w:eastAsia="微软雅黑" w:cs="微软雅黑"/>
          <w:i w:val="0"/>
          <w:iCs w:val="0"/>
          <w:caps w:val="0"/>
          <w:color w:val="auto"/>
          <w:spacing w:val="0"/>
          <w:sz w:val="21"/>
          <w:szCs w:val="21"/>
          <w:bdr w:val="none" w:color="auto" w:sz="0" w:space="0"/>
          <w:shd w:val="clear" w:fill="FFFFFF"/>
        </w:rPr>
        <w:t>府谷县文庙古建筑彩画及七十二贤人造像彩塑工程</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2023年05月18日 15时00分</w:t>
      </w:r>
      <w:r>
        <w:rPr>
          <w:rFonts w:hint="eastAsia" w:ascii="微软雅黑" w:hAnsi="微软雅黑" w:eastAsia="微软雅黑" w:cs="微软雅黑"/>
          <w:i w:val="0"/>
          <w:iCs w:val="0"/>
          <w:caps w:val="0"/>
          <w:color w:val="auto"/>
          <w:spacing w:val="0"/>
          <w:sz w:val="21"/>
          <w:szCs w:val="21"/>
          <w:shd w:val="clear" w:fill="FFFFFF"/>
        </w:rPr>
        <w:t> （北京时间）前提交响应文件。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项目编号：FGSXHX-2023-008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项目名称：府谷县文庙古建筑彩画及七十二贤人造像彩塑工程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预算金额：1,265,920.46元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合同包1(府谷县文庙古建筑彩画及七十二贤人造像彩塑工程):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合同包预算金额：1,265,920.46元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合同包最高限价：1,265,920.46元</w:t>
      </w:r>
    </w:p>
    <w:tbl>
      <w:tblPr>
        <w:tblW w:w="98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5"/>
        <w:gridCol w:w="1988"/>
        <w:gridCol w:w="1988"/>
        <w:gridCol w:w="825"/>
        <w:gridCol w:w="1440"/>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69" w:hRule="atLeast"/>
          <w:tblHeader/>
        </w:trPr>
        <w:tc>
          <w:tcPr>
            <w:tcW w:w="6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1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1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文物保护建筑修缮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1,265,920.46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1,265,920.46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合同履行期限：120日历天（具体以签订合同时间为准）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1.满</w:t>
      </w:r>
      <w:r>
        <w:rPr>
          <w:rFonts w:hint="eastAsia" w:ascii="微软雅黑" w:hAnsi="微软雅黑" w:eastAsia="微软雅黑" w:cs="微软雅黑"/>
          <w:i w:val="0"/>
          <w:iCs w:val="0"/>
          <w:caps w:val="0"/>
          <w:color w:val="333333"/>
          <w:spacing w:val="0"/>
          <w:sz w:val="21"/>
          <w:szCs w:val="21"/>
          <w:shd w:val="clear" w:fill="FFFFFF"/>
        </w:rPr>
        <w:t>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合同包1(府谷县文庙古建筑彩画及七十二贤人造像彩塑工程)落实政府采购政策需满足的资格要求如下: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合同包1(府谷县文庙古建筑彩画及七十二贤人造像彩塑工程)特定资格要求如下: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2021年或2022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2、投标人需具备文物保护工程施工一级资质的独立企业法人，具备有效的安全生产许可证；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往本项目的项目负责人需具备文物保护工程责任工程师证书及身份证复印件，并提供社保经办机构出具的2023年3月、4月或5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2019年—2021年或2020年-2022年度财务审计报告（公司成立不足三年的需提供已出年份的审计报告，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5、税收缴纳证明：提供2022年6月至今已缴纳的至少一个月的纳税证明（银行缴费凭证）或完税证明，依法免税的单位应提供相关证明材料；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2022年6月至今已缴纳的至少一个月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投标人在中国政府采购网（www.ccgp.gov.cn）中未被列入政府采购严重违法失信行为记录名单；投标人、法定代表人及其项目负责人在“信用中国”网站（https://www.creditchina.gov.cn/）中未被列入失信被执行人名单，投标人提供企业完整信用报告，投标人、法定代表人及项目负责人提供网页查询截图加盖企业原色印章（截图及报告生成时间段为谈判公告发出至递交响应文件截止时间内,投标人未被列入失信被执行人名单截图可在其“中国执行信息公开网”网站（http://zxgk.court.gov.cn）中全国范围内查询）。</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8、提供榆林市政府采购工程类项目供应商信用承诺书、投标人信用承诺书、投标人委托代理人员信用承诺书及在“信用中国（陕西榆林）”网站上传附件后的网页截图；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12、本项目不接受联合体投标，单位负责人为同一人或者存在直接控股、管理关系的不同供应商，不得同时参加本项目投标活动，提供《供应商企业关系关联承诺书》。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w:t>
      </w:r>
      <w:r>
        <w:rPr>
          <w:rFonts w:hint="eastAsia" w:ascii="微软雅黑" w:hAnsi="微软雅黑" w:eastAsia="微软雅黑" w:cs="微软雅黑"/>
          <w:i w:val="0"/>
          <w:iCs w:val="0"/>
          <w:caps w:val="0"/>
          <w:color w:val="333333"/>
          <w:spacing w:val="0"/>
          <w:sz w:val="21"/>
          <w:szCs w:val="21"/>
          <w:shd w:val="clear" w:fill="FFFFFF"/>
        </w:rPr>
        <w:t>、福利性企业参加政府采购活动时，视同小微企业。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时间： 2023年05月11日 至 2023年05月15日 ，每天上午 08:00:00 至 12:00:00 ，下午 14:30:00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途径：登录全国公共资源交易中心平台（陕西省）使用CA锁报名后自行下载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售价：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截止时间： 2023年05月18日 15时00分00秒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地点：陕西省榆林市府谷县三忻路张家塔办公楼2019室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时间： 2023年05月18日 15时00分00秒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333333"/>
          <w:spacing w:val="0"/>
          <w:sz w:val="21"/>
          <w:szCs w:val="21"/>
          <w:shd w:val="clear" w:fill="FFFFFF"/>
        </w:rPr>
        <w:t>：陕西省榆林市府谷县三忻路张家塔办公楼2019室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线上与线下需同时投标确认，二者缺一不可，否则视为投标确认无效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1、供应商可登录全国公共资源交易中心平台（陕西省） （http://www.sxggzyjy.cn/）,选择“电子交易平台-政府采购交易系统-企业端进行登录，登录后选择“交易乙方”身份进入供应商界面进行报名并免费下载招标文件。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线上投标确认与线下投标确认需同时进行，线上投标确认成功后请携带网上投标确认回执单、单位介绍信原件、经办人身份证原件、复印件及社保经办机构出具的2023年03月、2023年04月、2023年5月份至少一个月的社保经办机构出具的本企业社保缴纳证明材料（五险一金其中一项即可，应可查询）复印件加盖公章到陕西和谐招标造价咨询有限公司(陕西省榆林市府谷县三忻路张家塔办公楼2019室）进行线下投标确认，线上与线下投标确认信息须一致，否则视为投标确认无效。本工程所属行业为建筑业，投标确认时间：2023年05月11日至2023年05月15日上午08:00-12:00,下午14：30-17：30（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3、 办理CA锁方式（仅供参考）：榆林市市民大厦四楼窗口,电话：0912-3515031。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4、请供应商按照陕西省财政厅关于政府采购供应商注册登记有关事项的通知中的要求，通过陕西省政府采购网（http://www.ccgp-shaanxi.gov.cn/）注册登记加入陕西省政府采购供应商库。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名称：府谷县文化和旅游文物广电局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地址：陕西省榆林市府谷县烟草巷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联系方式：15309127976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名称：陕西和谐招标造价咨询有限公司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地址：陕西省榆林市府谷县三忻路张家塔办公楼2019室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联系方式：0912-8806877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项目联系人：杨瑞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电话：18329850408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410" w:firstLineChars="2100"/>
        <w:jc w:val="both"/>
        <w:rPr>
          <w:rFonts w:hint="eastAsia" w:ascii="微软雅黑" w:hAnsi="微软雅黑" w:eastAsia="微软雅黑" w:cs="微软雅黑"/>
          <w:i w:val="0"/>
          <w:iCs w:val="0"/>
          <w:caps w:val="0"/>
          <w:color w:val="333333"/>
          <w:spacing w:val="0"/>
          <w:sz w:val="21"/>
          <w:szCs w:val="21"/>
          <w:shd w:val="clear" w:fill="FFFFFF"/>
        </w:rPr>
      </w:pP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陕西和谐招标造价咨询有限公司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DczMzM3ZDIxY2FiMDgwMWNmZWQyMjA3Y2ExMzgifQ=="/>
  </w:docVars>
  <w:rsids>
    <w:rsidRoot w:val="47B479C9"/>
    <w:rsid w:val="47B4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2023-05-10T07:38:00Z</dcterms:created>
  <dc:creator>NTKO</dc:creator>
  <cp:lastModifiedBy>NTKO</cp:lastModifiedBy>
  <dcterms:modified xsi:type="dcterms:W3CDTF">2023-05-10T07:39:59Z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AC37DDDB70AF44A9B6E499AB3EB3DDFA_11</vt:lpwstr>
  </property>
</Properties>
</file>