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府谷县黄甫镇经济联合社1.5万吨每年生物质颗粒生产项目竞争性谈判公告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1"/>
          <w:szCs w:val="21"/>
        </w:rPr>
      </w:pPr>
      <w:r>
        <w:rPr>
          <w:rStyle w:val="12"/>
          <w:rFonts w:hint="eastAsia" w:ascii="宋体" w:hAnsi="宋体" w:eastAsia="宋体" w:cs="宋体"/>
          <w:b/>
          <w:bCs/>
          <w:i w:val="0"/>
          <w:iCs w:val="0"/>
          <w:caps w:val="0"/>
          <w:color w:val="333333"/>
          <w:spacing w:val="0"/>
          <w:sz w:val="21"/>
          <w:szCs w:val="21"/>
          <w:bdr w:val="none" w:color="auto" w:sz="0" w:space="0"/>
          <w:shd w:val="clear" w:fill="FFFFFF"/>
        </w:rPr>
        <w:t>项目概况</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府谷县黄甫镇经济联合社1.5万吨每年生物质颗粒生产项目</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登录全国公共资源交易中心平台（陕西省）使用CA锁报名后自行下载获取采购文件，并于 2023年05月24日 15时00分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12"/>
          <w:rFonts w:hint="eastAsia" w:ascii="宋体" w:hAnsi="宋体" w:eastAsia="宋体" w:cs="宋体"/>
          <w:b/>
          <w:bCs/>
          <w:i w:val="0"/>
          <w:iCs w:val="0"/>
          <w:caps w:val="0"/>
          <w:color w:val="333333"/>
          <w:spacing w:val="0"/>
          <w:sz w:val="21"/>
          <w:szCs w:val="21"/>
          <w:bdr w:val="none" w:color="auto" w:sz="0" w:space="0"/>
          <w:shd w:val="clear" w:fill="FFFFFF"/>
        </w:rPr>
        <w:t>一、项目基本情况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项目编号：FGSXHX-2023-009</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项目名称：府谷县黄甫镇经济联合社1.5万吨每年生物质颗粒生产项目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采购方式：竞争性谈判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预算金额：1,587,361.47元</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合同包1(府谷县黄甫镇经济联合社1.5万吨每年生物质颗粒生产项目):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合同包预算金额：1,587,361.47元</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合同包最高限价：1,587,361.47元</w:t>
      </w:r>
    </w:p>
    <w:tbl>
      <w:tblPr>
        <w:tblW w:w="97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8"/>
        <w:gridCol w:w="1322"/>
        <w:gridCol w:w="3088"/>
        <w:gridCol w:w="714"/>
        <w:gridCol w:w="1083"/>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42" w:hRule="atLeast"/>
          <w:tblHeader/>
        </w:trPr>
        <w:tc>
          <w:tcPr>
            <w:tcW w:w="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21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2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7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14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府谷县黄甫镇经济联合社1.5万吨每年生物质颗粒生产项目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1,587,361.47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1,587,361.47</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合同履行期限：60日历天（具体以签订合同时间为准）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12"/>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合同包1(府谷县黄甫镇经济联合社1.5万吨每年生物质颗粒生产项目)落实政府采购政策需满足的资格要求如下: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①、《政府采购促进中小企业发展管理办法》（财库〔2020〕46号）；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⑤、《环境标志产品政府采购实施的意见》（财库[2006]90号）；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⑥、《节能产品政府采购实施意见》（财库[2004]185号）；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⑩、 落实其它相关政策。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合同包1(府谷县黄甫镇经济联合社1.5万吨每年生物质颗粒生产项目)特定资格要求如下: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2021年或2022年企业年度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2、投标供应商应具有建筑工程施工总承包三级及以上资质的独立企业法人，具备有效的安全生产许可证；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项目负责人需具备建筑工程专业二级及其以上注册建造师注册证书和有效的安全生产考核合格证书（建安B证）及身份证复印件，并提供社保经办机构出具的2023年3月、4月或5月份至少一个月的本企业社保缴纳证明材料（五险一金其中一项即可，应可查询），且未担任其他在建工程的项目负责人；</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财务状况良好，提供2019年—2021年或2020年-2022年度财务审计报告（公司成立不足三年的需提供已出年份的审计报告，不足一年的需提供银行出具的资信证明及基本账号开户许可证或开户银行出具的基本存款账户信息表）；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5、税收缴纳证明：提供2022年6月至今已缴纳的至少三个月的纳税证明（银行缴费凭证）或完税证明，依法免税的单位应提供相关证明材料；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提供2022年6月至今已缴纳的至少三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8、提供榆林市政府采购工程类项目供应商信用承诺书、投标人信用承诺书、投标人委托代理人员信用承诺书及在“信用中国（陕西榆林）”网站上传附件后的网页截图；</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10、本项目采用投标信用承诺书代替投标保证金的形式，供应商需提供投标信用承诺书及在“信用中国（陕西榆林）”网站上传附件后的网页截图；</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11、供应商需提供具有履行合同所必需的设备和专业技术能力的承诺函；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12、本项目不接受联合体投标，单位负责人为同一人或者存在直接控股、管理关系的不同供应商，不得同时参加本项目投标活动，提供《供应商企业关系关联承诺书》。</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12"/>
          <w:rFonts w:hint="eastAsia" w:ascii="宋体" w:hAnsi="宋体" w:eastAsia="宋体" w:cs="宋体"/>
          <w:b/>
          <w:bCs/>
          <w:i w:val="0"/>
          <w:iCs w:val="0"/>
          <w:caps w:val="0"/>
          <w:color w:val="333333"/>
          <w:spacing w:val="0"/>
          <w:sz w:val="21"/>
          <w:szCs w:val="21"/>
          <w:bdr w:val="none" w:color="auto" w:sz="0" w:space="0"/>
          <w:shd w:val="clear" w:fill="FFFFFF"/>
        </w:rPr>
        <w:t>三、获取采购文件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 2023年05月17日 至 2023年05月19日 ，每天上午 08:00:00 至 12:00:00 ，下午 14:30:00 至 17:30:00 （北京时间）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途径：登录全国公共资源交易中心平台（陕西省）使用CA锁报名后自行下载</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方式：在线获取</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1"/>
          <w:szCs w:val="21"/>
        </w:rPr>
      </w:pPr>
      <w:r>
        <w:rPr>
          <w:rStyle w:val="12"/>
          <w:rFonts w:hint="eastAsia" w:ascii="宋体" w:hAnsi="宋体" w:eastAsia="宋体" w:cs="宋体"/>
          <w:b/>
          <w:bCs/>
          <w:i w:val="0"/>
          <w:iCs w:val="0"/>
          <w:caps w:val="0"/>
          <w:color w:val="333333"/>
          <w:spacing w:val="0"/>
          <w:sz w:val="21"/>
          <w:szCs w:val="21"/>
          <w:bdr w:val="none" w:color="auto" w:sz="0" w:space="0"/>
          <w:shd w:val="clear" w:fill="FFFFFF"/>
        </w:rPr>
        <w:t>四、响应文件提交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2023年05月24日 15时00分00秒 （北京时间）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地点：陕西省榆林市府谷县三忻路张家塔办公楼2019室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 2023年05月24日 15时00分00秒 （北京时间）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地点：陕西省榆林市府谷县三忻路张家塔办公楼2019室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线上与线下需同时投标确认，二者缺一不可，否则视为投标确认无效</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（http://www.sxggzyjy.cn/）,选择“电子交易平台-政府采购交易系统-企业端进行登录，登录后选择“交易乙方”身份进入供应商界面进行投标确认并免费下载竞争性谈判文件。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2、线上投标确认与线下投标确认需同时进行，线上投标确认成功后请携带网上投标确认回执单、单位介绍信原件、经办人身份证原件、复印件及社保经办机构出具的2023年03月、2023年04月、2023年05月份至少一个月的社保经办机构出具的本企业社保缴纳证明材料（五险一金其中一项即可，应可查询）复印件加盖公章到陕西和谐招标造价咨询有限公司(陕西省榆林市府谷县三忻路张家塔办公楼2019室）进行线下投标确认，线上与线下投标确认信息须一致，否则视为投标确认无效。本工程所属行业为建筑业，投标确认时间：2023年05月17日至2023年05月19日上午08:00-12:00,下午14：30-17：30（谢绝邮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 办理CA锁方式（仅供参考）：榆林市市民大厦四楼窗口,电话：0912-3515031。</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名称：府谷县黄甫镇人民政府</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地址：府谷县黄甫镇</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联系方式：13909126092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名称：陕西和谐招标造价咨询有限公司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地址：陕西省榆林市府谷县三忻路张家塔办公楼2019室</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联系方式：0912-8806877</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项目联系人：杨瑞</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电话：18329850408</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陕西和谐招标造价咨询有限公司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6F7C5C23"/>
    <w:rsid w:val="07397B77"/>
    <w:rsid w:val="0CCE2B10"/>
    <w:rsid w:val="24523BCF"/>
    <w:rsid w:val="2C862581"/>
    <w:rsid w:val="335039CF"/>
    <w:rsid w:val="4416031D"/>
    <w:rsid w:val="55D41DE6"/>
    <w:rsid w:val="6F7C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styleId="3">
    <w:name w:val="Body Text Indent"/>
    <w:basedOn w:val="1"/>
    <w:qFormat/>
    <w:uiPriority w:val="0"/>
    <w:pPr>
      <w:spacing w:line="600" w:lineRule="exact"/>
      <w:ind w:firstLine="560" w:firstLineChars="200"/>
    </w:pPr>
    <w:rPr>
      <w:sz w:val="28"/>
      <w:szCs w:val="20"/>
    </w:rPr>
  </w:style>
  <w:style w:type="paragraph" w:styleId="4">
    <w:name w:val="Body Text First Indent"/>
    <w:basedOn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pPr>
      <w:spacing w:after="120"/>
    </w:pPr>
  </w:style>
  <w:style w:type="paragraph" w:styleId="8">
    <w:name w:val="envelope return"/>
    <w:basedOn w:val="1"/>
    <w:qFormat/>
    <w:uiPriority w:val="0"/>
    <w:pPr>
      <w:snapToGrid w:val="0"/>
    </w:pPr>
    <w:rPr>
      <w:rFonts w:ascii="Arial" w:hAnsi="Arial"/>
    </w:rPr>
  </w:style>
  <w:style w:type="paragraph" w:styleId="9">
    <w:name w:val="Normal (Web)"/>
    <w:basedOn w:val="1"/>
    <w:next w:val="8"/>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2785</Words>
  <Characters>3196</Characters>
  <Lines>0</Lines>
  <Paragraphs>0</Paragraphs>
  <TotalTime>0</TotalTime>
  <ScaleCrop>false</ScaleCrop>
  <LinksUpToDate>false</LinksUpToDate>
  <CharactersWithSpaces>3228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2023-05-16T08:35:00Z</dcterms:created>
  <dc:creator>NTKO</dc:creator>
  <cp:lastModifiedBy>NTKO</cp:lastModifiedBy>
  <dcterms:modified xsi:type="dcterms:W3CDTF">2023-05-16T08:45:23Z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7F00D09922084F508CA36172E715164E_11</vt:lpwstr>
  </property>
</Properties>
</file>