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ind w:left="0" w:firstLine="0"/>
        <w:jc w:val="center"/>
        <w:textAlignment w:val="auto"/>
        <w:rPr>
          <w:b/>
          <w:bCs/>
          <w:color w:val="auto"/>
          <w:sz w:val="36"/>
          <w:szCs w:val="36"/>
        </w:rPr>
      </w:pPr>
      <w:r>
        <w:rPr>
          <w:rFonts w:ascii="宋体" w:hAnsi="宋体" w:eastAsia="宋体" w:cs="宋体"/>
          <w:b/>
          <w:bCs/>
          <w:color w:val="auto"/>
          <w:kern w:val="0"/>
          <w:sz w:val="36"/>
          <w:szCs w:val="36"/>
          <w:bdr w:val="none" w:color="auto" w:sz="0" w:space="0"/>
          <w:lang w:val="en-US" w:eastAsia="zh-CN" w:bidi="ar"/>
        </w:rPr>
        <w:t>2023年度三道沟镇新庙村集体经济联合社玉米种植基地配套项目竞争性谈判公告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2023年度三道沟镇新庙村集体经济联合社玉米种植基地配套项目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在登录全国公共资源交易中心平台（陕西省）使用CA锁报名后自行下载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2023年05月29日 15时30分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项目编号：ZCSP-府谷县-2023-00377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项目名称：2023年度三道沟镇新庙村集体经济联合社玉米种植基地配套项目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预算金额：1,353,642.00元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合同包1(2023年度三道沟镇新庙村集体经济联合社玉米种植基地配套项目):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合同包预算金额：1,353,642.00元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合同包最高限价：1,353,642.00元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15"/>
        <w:gridCol w:w="4043"/>
        <w:gridCol w:w="5527"/>
        <w:gridCol w:w="1405"/>
        <w:gridCol w:w="2736"/>
        <w:gridCol w:w="1767"/>
        <w:gridCol w:w="17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2023年度三道沟镇新庙村集体经济联合社玉米种植基地配套项目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1,353,642.00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1,353,642.00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合同履行期限：30日历天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合同包1(2023年度三道沟镇新庙村集体经济联合社玉米种植基地配套项目)落实政府采购政策需满足的资格要求如下: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合同包1(2023年度三道沟镇新庙村集体经济联合社玉米种植基地配套项目)特定资格要求如下: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2021年或2022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2、投标供应商具有市政公用工程施工总承包三级及以上资质的独立企业法人，具备有效的安全生产许可证，并在人员、设备、资金等方面具有相应的施工能力；</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项目负责人需具备市政公用工程专业二级（含）以上注册建造师证书及安全B证、社保经办机构出具的2023年03月、04月或05月份至少一个月的社保经办机构出具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报告：财务状况良好，提供2020年—2022年度财务审计报告（公司成立不足三年的需提供已出年份的审计报告，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5、税收缴纳证明：提供至投标截止时间已缴纳的至少三个月的纳税证明（银行缴费凭证）或完税证明，依法免税的单位应提供相关证明材料；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提供至投标截止时间已缴纳的至少三个月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信誉要求：投标人在中国政府采购网（www.ccgp.gov.cn）中未被列入政府采购严重违法失信行为记录名单；投标人、法定代表人及其项目负责人在“信用中国”网站（https://www.creditchina.gov.cn/）中未被列入失信被执行人名单，投标人提供企业完整信用报告，投标人、法定代表人及项目负责人提供网页查询截图加盖企业原色印章（投标人未被列入失信被执行人名单截图可在其“中国执行信息公开网”网站（http://zxgk.court.gov.cn）中全国范围内查询）。</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8、提供榆林市政府采购工程类项目供应商信用承诺书（还需提供“信用中国（陕西榆林）”信用承诺网页截图）；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11、投标信用承诺书代替投标保证金，提供投标信用承诺书；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12、本项目不接受联合体投标，单位负责人为同一人或者存在直接控股、管理关系的不同供应商，不得同时参加本项目投标活动，提供《供应商企业关系关联承诺书》。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本项目专门面向中小企业采购。不满足中小企业政策规定的，将被拒绝参与本项目政府采购投标活动。本项目采购标的对应的中小企业划分标准所属行业为建筑业。满足要求的中小企业须提供管理办法规定的《中小企业声明函》；满足要求的监狱企业、福利性企业参加政府采购活动时，视同小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2023年05月22日 至 2023年05月24日 ，每天上午 09:00:00 至 12:00:00 ，下午 14:30:00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在登录全国公共资源交易中心平台（陕西省）使用CA锁报名后自行下载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2023年05月29日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2023年05月29日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线上与线下需同时报名，二者缺一不可，否则视为报名无效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线上报名与线下报名需同时进行，线上报名成功后请携带网上报名回执单、管理办法规定的《中小企业声明函》、单位介绍信原件、经办人身份证原件、复印件及社保经办机构出具的2023年03月、04月或05月份至少一个月的社保经办机构出具的本企业社保缴纳证明材料（五险一金其中一项即可，应可查询）复印件加盖公章到陕西众鼎互联项目管理有限公司(陕西省榆林市府谷县经济适用房一期2号楼西商铺）进行线下报名，线上与线下报名信息须一致，否则视为报名无效。本工程所属行业</w:t>
      </w:r>
      <w:r>
        <w:rPr>
          <w:rFonts w:hint="eastAsia" w:ascii="宋体" w:hAnsi="宋体" w:eastAsia="宋体" w:cs="宋体"/>
          <w:i w:val="0"/>
          <w:iCs w:val="0"/>
          <w:caps w:val="0"/>
          <w:color w:val="auto"/>
          <w:spacing w:val="0"/>
          <w:sz w:val="21"/>
          <w:szCs w:val="21"/>
          <w:bdr w:val="none" w:color="auto" w:sz="0" w:space="0"/>
          <w:shd w:val="clear" w:fill="FFFFFF"/>
        </w:rPr>
        <w:t>为</w:t>
      </w:r>
      <w:r>
        <w:rPr>
          <w:rFonts w:hint="eastAsia" w:ascii="宋体" w:hAnsi="宋体" w:eastAsia="宋体" w:cs="宋体"/>
          <w:i w:val="0"/>
          <w:iCs w:val="0"/>
          <w:caps w:val="0"/>
          <w:color w:val="auto"/>
          <w:spacing w:val="0"/>
          <w:sz w:val="21"/>
          <w:szCs w:val="21"/>
          <w:bdr w:val="none" w:color="auto" w:sz="0" w:space="0"/>
          <w:shd w:val="clear" w:fill="FFFFFF"/>
        </w:rPr>
        <w:t>建筑业</w:t>
      </w:r>
      <w:r>
        <w:rPr>
          <w:rFonts w:hint="eastAsia" w:ascii="宋体" w:hAnsi="宋体" w:eastAsia="宋体" w:cs="宋体"/>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报名时间：2023年05月22日至2023年05月24日上午09:00-12:00,下午14：30-17：30（谢绝邮寄）。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 办理CA锁方式（仅供参考）：榆林市市民大厦四楼窗口,电话：0912-3515031。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府谷县三道沟镇人民政府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府谷县三道沟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13992272860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陕西众鼎互联项目管理有限公司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18710414863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韩工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18710414863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陕西众鼎互联项目管理有限公司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2023年5月19日</w:t>
      </w:r>
    </w:p>
    <w:p>
      <w:pPr>
        <w:keepNext w:val="0"/>
        <w:keepLines w:val="0"/>
        <w:pageBreakBefore w:val="0"/>
        <w:widowControl/>
        <w:suppressLineNumbers w:val="0"/>
        <w:kinsoku/>
        <w:wordWrap w:val="0"/>
        <w:overflowPunct/>
        <w:topLinePunct w:val="0"/>
        <w:autoSpaceDE/>
        <w:autoSpaceDN/>
        <w:bidi w:val="0"/>
        <w:adjustRightInd/>
        <w:snapToGrid/>
        <w:spacing w:line="440" w:lineRule="exact"/>
        <w:ind w:left="0" w:firstLine="0"/>
        <w:jc w:val="both"/>
        <w:textAlignment w:val="auto"/>
        <w:rPr>
          <w:rFonts w:hint="eastAsia" w:ascii="微软雅黑" w:hAnsi="微软雅黑" w:eastAsia="微软雅黑" w:cs="微软雅黑"/>
          <w:color w:val="auto"/>
          <w:sz w:val="21"/>
          <w:szCs w:val="21"/>
        </w:rPr>
      </w:pPr>
    </w:p>
    <w:p>
      <w:pPr>
        <w:keepNext w:val="0"/>
        <w:keepLines w:val="0"/>
        <w:pageBreakBefore w:val="0"/>
        <w:kinsoku/>
        <w:overflowPunct/>
        <w:topLinePunct w:val="0"/>
        <w:autoSpaceDE/>
        <w:autoSpaceDN/>
        <w:bidi w:val="0"/>
        <w:adjustRightInd/>
        <w:snapToGrid/>
        <w:spacing w:line="440" w:lineRule="exact"/>
        <w:ind w:left="0" w:firstLine="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03BD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2023-05-19T08:20:16Z</dcterms:created>
  <dc:creator>Administrator</dc:creator>
  <cp:lastModifiedBy>暖暖</cp:lastModifiedBy>
  <dcterms:modified xsi:type="dcterms:W3CDTF">2023-05-19T08:21:19Z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1C1EE097E73449D6A634E5EA869CF864_12</vt:lpwstr>
  </property>
</Properties>
</file>