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eastAsia" w:ascii="宋体" w:hAnsi="宋体" w:cs="宋体"/>
          <w:b/>
          <w:bCs/>
          <w:color w:val="auto"/>
          <w:sz w:val="36"/>
          <w:szCs w:val="44"/>
          <w:lang w:val="en-US" w:eastAsia="zh-CN"/>
        </w:rPr>
      </w:pPr>
      <w:r>
        <w:rPr>
          <w:rFonts w:hint="eastAsia" w:ascii="宋体" w:hAnsi="宋体" w:cs="宋体"/>
          <w:b/>
          <w:bCs/>
          <w:color w:val="auto"/>
          <w:sz w:val="36"/>
          <w:szCs w:val="44"/>
          <w:lang w:val="en-US" w:eastAsia="zh-CN"/>
        </w:rPr>
        <w:t>城区地质灾害治理工程（四处）</w:t>
      </w:r>
    </w:p>
    <w:p>
      <w:pPr>
        <w:numPr>
          <w:ilvl w:val="0"/>
          <w:numId w:val="0"/>
        </w:numPr>
        <w:jc w:val="center"/>
        <w:rPr>
          <w:rFonts w:hint="eastAsia" w:ascii="宋体" w:hAnsi="宋体" w:eastAsia="宋体" w:cs="宋体"/>
          <w:color w:val="auto"/>
          <w:sz w:val="18"/>
          <w:szCs w:val="21"/>
        </w:rPr>
      </w:pPr>
      <w:r>
        <w:rPr>
          <w:rFonts w:hint="eastAsia" w:ascii="宋体" w:hAnsi="宋体" w:eastAsia="宋体" w:cs="宋体"/>
          <w:b/>
          <w:bCs/>
          <w:color w:val="auto"/>
          <w:sz w:val="36"/>
          <w:szCs w:val="44"/>
        </w:rPr>
        <w:t>采购</w:t>
      </w:r>
      <w:r>
        <w:rPr>
          <w:rFonts w:hint="eastAsia" w:ascii="宋体" w:hAnsi="宋体" w:eastAsia="宋体" w:cs="宋体"/>
          <w:b/>
          <w:bCs/>
          <w:color w:val="auto"/>
          <w:sz w:val="36"/>
          <w:szCs w:val="44"/>
          <w:lang w:val="en-US" w:eastAsia="zh-CN"/>
        </w:rPr>
        <w:t>计划文件</w:t>
      </w:r>
    </w:p>
    <w:p>
      <w:pPr>
        <w:numPr>
          <w:ilvl w:val="0"/>
          <w:numId w:val="1"/>
        </w:numPr>
        <w:spacing w:line="360" w:lineRule="auto"/>
        <w:rPr>
          <w:rFonts w:hint="eastAsia" w:ascii="宋体" w:hAnsi="宋体" w:eastAsia="宋体" w:cs="宋体"/>
          <w:b/>
          <w:bCs/>
          <w:color w:val="auto"/>
          <w:sz w:val="28"/>
          <w:szCs w:val="36"/>
        </w:rPr>
      </w:pPr>
      <w:r>
        <w:rPr>
          <w:rFonts w:hint="eastAsia" w:ascii="宋体" w:hAnsi="宋体" w:eastAsia="宋体" w:cs="宋体"/>
          <w:b/>
          <w:bCs/>
          <w:color w:val="auto"/>
          <w:sz w:val="28"/>
          <w:szCs w:val="36"/>
        </w:rPr>
        <w:t>采购项目名称</w:t>
      </w:r>
    </w:p>
    <w:p>
      <w:pPr>
        <w:numPr>
          <w:ilvl w:val="0"/>
          <w:numId w:val="0"/>
        </w:numPr>
        <w:spacing w:line="360" w:lineRule="auto"/>
        <w:rPr>
          <w:rFonts w:hint="default" w:ascii="宋体" w:hAnsi="宋体" w:cs="宋体"/>
          <w:b w:val="0"/>
          <w:bCs w:val="0"/>
          <w:color w:val="auto"/>
          <w:sz w:val="28"/>
          <w:szCs w:val="36"/>
          <w:lang w:val="en-US" w:eastAsia="zh-CN"/>
        </w:rPr>
      </w:pPr>
      <w:r>
        <w:rPr>
          <w:rFonts w:hint="eastAsia" w:ascii="宋体" w:hAnsi="宋体" w:cs="宋体"/>
          <w:b w:val="0"/>
          <w:bCs w:val="0"/>
          <w:color w:val="auto"/>
          <w:sz w:val="28"/>
          <w:szCs w:val="36"/>
          <w:lang w:val="en-US" w:eastAsia="zh-CN"/>
        </w:rPr>
        <w:t>城区地质灾害治理工程（四处）</w:t>
      </w:r>
    </w:p>
    <w:p>
      <w:pPr>
        <w:numPr>
          <w:ilvl w:val="0"/>
          <w:numId w:val="0"/>
        </w:numPr>
        <w:spacing w:line="360" w:lineRule="auto"/>
        <w:rPr>
          <w:rFonts w:hint="eastAsia" w:ascii="宋体" w:hAnsi="宋体" w:eastAsia="宋体" w:cs="宋体"/>
          <w:b/>
          <w:bCs/>
          <w:color w:val="auto"/>
          <w:sz w:val="28"/>
          <w:szCs w:val="36"/>
        </w:rPr>
      </w:pPr>
      <w:r>
        <w:rPr>
          <w:rFonts w:hint="eastAsia" w:ascii="宋体" w:hAnsi="宋体" w:cs="宋体"/>
          <w:b/>
          <w:bCs/>
          <w:color w:val="auto"/>
          <w:sz w:val="28"/>
          <w:szCs w:val="36"/>
          <w:lang w:val="en-US" w:eastAsia="zh-CN"/>
        </w:rPr>
        <w:t>二、</w:t>
      </w:r>
      <w:r>
        <w:rPr>
          <w:rFonts w:hint="eastAsia" w:ascii="宋体" w:hAnsi="宋体" w:eastAsia="宋体" w:cs="宋体"/>
          <w:b/>
          <w:bCs/>
          <w:color w:val="auto"/>
          <w:sz w:val="28"/>
          <w:szCs w:val="36"/>
        </w:rPr>
        <w:t>采购项目预算、资金构成和采购方式</w:t>
      </w:r>
    </w:p>
    <w:p>
      <w:pPr>
        <w:numPr>
          <w:ilvl w:val="0"/>
          <w:numId w:val="0"/>
        </w:numPr>
        <w:spacing w:line="360" w:lineRule="auto"/>
        <w:rPr>
          <w:rFonts w:hint="default" w:ascii="宋体" w:hAnsi="宋体" w:eastAsia="宋体" w:cs="宋体"/>
          <w:color w:val="auto"/>
          <w:sz w:val="28"/>
          <w:szCs w:val="36"/>
          <w:lang w:val="en-US"/>
        </w:rPr>
      </w:pPr>
      <w:r>
        <w:rPr>
          <w:rFonts w:hint="eastAsia" w:ascii="宋体" w:hAnsi="宋体" w:cs="宋体"/>
          <w:color w:val="auto"/>
          <w:kern w:val="2"/>
          <w:sz w:val="28"/>
          <w:szCs w:val="36"/>
          <w:lang w:val="en-US" w:eastAsia="zh-CN" w:bidi="ar-SA"/>
        </w:rPr>
        <w:t>1</w:t>
      </w:r>
      <w:r>
        <w:rPr>
          <w:rFonts w:hint="eastAsia" w:ascii="宋体" w:hAnsi="宋体" w:eastAsia="宋体" w:cs="宋体"/>
          <w:color w:val="auto"/>
          <w:kern w:val="2"/>
          <w:sz w:val="28"/>
          <w:szCs w:val="36"/>
          <w:lang w:val="en-US" w:eastAsia="zh-CN" w:bidi="ar-SA"/>
        </w:rPr>
        <w:t>、</w:t>
      </w:r>
      <w:r>
        <w:rPr>
          <w:rFonts w:hint="eastAsia" w:ascii="宋体" w:hAnsi="宋体" w:eastAsia="宋体" w:cs="宋体"/>
          <w:color w:val="auto"/>
          <w:sz w:val="28"/>
          <w:szCs w:val="36"/>
        </w:rPr>
        <w:t>采购项目预算：</w:t>
      </w:r>
      <w:r>
        <w:rPr>
          <w:rFonts w:hint="eastAsia" w:ascii="宋体" w:hAnsi="宋体" w:cs="宋体"/>
          <w:color w:val="auto"/>
          <w:sz w:val="28"/>
          <w:szCs w:val="36"/>
          <w:lang w:val="en-US" w:eastAsia="zh-CN"/>
        </w:rPr>
        <w:t>3179800.00</w:t>
      </w:r>
      <w:r>
        <w:rPr>
          <w:rFonts w:hint="eastAsia" w:ascii="宋体" w:hAnsi="宋体" w:eastAsia="宋体" w:cs="宋体"/>
          <w:color w:val="auto"/>
          <w:sz w:val="28"/>
          <w:szCs w:val="36"/>
          <w:lang w:val="en-US" w:eastAsia="zh-CN"/>
        </w:rPr>
        <w:t>元</w:t>
      </w:r>
      <w:r>
        <w:rPr>
          <w:rFonts w:hint="eastAsia" w:ascii="宋体" w:hAnsi="宋体" w:cs="宋体"/>
          <w:color w:val="auto"/>
          <w:sz w:val="28"/>
          <w:szCs w:val="36"/>
          <w:lang w:val="en-US" w:eastAsia="zh-CN"/>
        </w:rPr>
        <w:t>，其中N1标段：739500.00元；N2标段：610600.00元；N3标段：950100.00元；N4标段：879600.00元</w:t>
      </w:r>
    </w:p>
    <w:p>
      <w:pPr>
        <w:numPr>
          <w:ilvl w:val="0"/>
          <w:numId w:val="0"/>
        </w:numPr>
        <w:spacing w:line="360" w:lineRule="auto"/>
        <w:rPr>
          <w:rFonts w:hint="eastAsia" w:ascii="宋体" w:hAnsi="宋体" w:eastAsia="宋体" w:cs="宋体"/>
          <w:color w:val="auto"/>
          <w:sz w:val="28"/>
          <w:szCs w:val="36"/>
        </w:rPr>
      </w:pPr>
      <w:r>
        <w:rPr>
          <w:rFonts w:hint="eastAsia" w:ascii="宋体" w:hAnsi="宋体" w:cs="宋体"/>
          <w:color w:val="auto"/>
          <w:kern w:val="2"/>
          <w:sz w:val="28"/>
          <w:szCs w:val="36"/>
          <w:lang w:val="en-US" w:eastAsia="zh-CN" w:bidi="ar-SA"/>
        </w:rPr>
        <w:t>2</w:t>
      </w:r>
      <w:r>
        <w:rPr>
          <w:rFonts w:hint="eastAsia" w:ascii="宋体" w:hAnsi="宋体" w:eastAsia="宋体" w:cs="宋体"/>
          <w:color w:val="auto"/>
          <w:kern w:val="2"/>
          <w:sz w:val="28"/>
          <w:szCs w:val="36"/>
          <w:lang w:val="en-US" w:eastAsia="zh-CN" w:bidi="ar-SA"/>
        </w:rPr>
        <w:t>、</w:t>
      </w:r>
      <w:r>
        <w:rPr>
          <w:rFonts w:hint="eastAsia" w:ascii="宋体" w:hAnsi="宋体" w:eastAsia="宋体" w:cs="宋体"/>
          <w:color w:val="auto"/>
          <w:sz w:val="28"/>
          <w:szCs w:val="36"/>
        </w:rPr>
        <w:t>资金来源：</w:t>
      </w:r>
      <w:r>
        <w:rPr>
          <w:rFonts w:hint="eastAsia" w:ascii="宋体" w:hAnsi="宋体" w:eastAsia="宋体" w:cs="宋体"/>
          <w:color w:val="auto"/>
          <w:sz w:val="28"/>
          <w:szCs w:val="36"/>
          <w:lang w:val="en-US" w:eastAsia="zh-CN"/>
        </w:rPr>
        <w:t>财政资金</w:t>
      </w:r>
      <w:r>
        <w:rPr>
          <w:rFonts w:hint="eastAsia" w:ascii="宋体" w:hAnsi="宋体" w:eastAsia="宋体" w:cs="宋体"/>
          <w:color w:val="auto"/>
          <w:sz w:val="28"/>
          <w:szCs w:val="36"/>
        </w:rPr>
        <w:t xml:space="preserve"> </w:t>
      </w:r>
    </w:p>
    <w:p>
      <w:pPr>
        <w:numPr>
          <w:ilvl w:val="0"/>
          <w:numId w:val="0"/>
        </w:numPr>
        <w:spacing w:line="360" w:lineRule="auto"/>
        <w:ind w:left="0" w:leftChars="0" w:firstLine="0" w:firstLineChars="0"/>
        <w:rPr>
          <w:rFonts w:hint="default" w:ascii="宋体" w:hAnsi="宋体" w:eastAsia="宋体" w:cs="宋体"/>
          <w:color w:val="auto"/>
          <w:sz w:val="28"/>
          <w:szCs w:val="36"/>
          <w:lang w:val="en-US"/>
        </w:rPr>
      </w:pPr>
      <w:r>
        <w:rPr>
          <w:rFonts w:hint="eastAsia" w:ascii="宋体" w:hAnsi="宋体" w:cs="宋体"/>
          <w:color w:val="auto"/>
          <w:kern w:val="2"/>
          <w:sz w:val="28"/>
          <w:szCs w:val="36"/>
          <w:lang w:val="en-US" w:eastAsia="zh-CN" w:bidi="ar-SA"/>
        </w:rPr>
        <w:t>3</w:t>
      </w:r>
      <w:r>
        <w:rPr>
          <w:rFonts w:hint="eastAsia" w:ascii="宋体" w:hAnsi="宋体" w:eastAsia="宋体" w:cs="宋体"/>
          <w:color w:val="auto"/>
          <w:kern w:val="2"/>
          <w:sz w:val="28"/>
          <w:szCs w:val="36"/>
          <w:lang w:val="en-US" w:eastAsia="zh-CN" w:bidi="ar-SA"/>
        </w:rPr>
        <w:t>、</w:t>
      </w:r>
      <w:r>
        <w:rPr>
          <w:rFonts w:hint="eastAsia" w:ascii="宋体" w:hAnsi="宋体" w:eastAsia="宋体" w:cs="宋体"/>
          <w:color w:val="auto"/>
          <w:sz w:val="28"/>
          <w:szCs w:val="36"/>
        </w:rPr>
        <w:t>采购方式：</w:t>
      </w:r>
      <w:r>
        <w:rPr>
          <w:rFonts w:hint="eastAsia" w:ascii="宋体" w:hAnsi="宋体" w:eastAsia="宋体" w:cs="宋体"/>
          <w:color w:val="auto"/>
          <w:sz w:val="28"/>
          <w:szCs w:val="36"/>
          <w:lang w:val="en-US" w:eastAsia="zh-CN"/>
        </w:rPr>
        <w:t>竞争性</w:t>
      </w:r>
      <w:r>
        <w:rPr>
          <w:rFonts w:hint="eastAsia" w:ascii="宋体" w:hAnsi="宋体" w:cs="宋体"/>
          <w:color w:val="auto"/>
          <w:sz w:val="28"/>
          <w:szCs w:val="36"/>
          <w:lang w:val="en-US" w:eastAsia="zh-CN"/>
        </w:rPr>
        <w:t>谈判</w:t>
      </w:r>
    </w:p>
    <w:p>
      <w:pPr>
        <w:numPr>
          <w:ilvl w:val="0"/>
          <w:numId w:val="1"/>
        </w:numPr>
        <w:spacing w:line="360" w:lineRule="auto"/>
        <w:ind w:left="0" w:leftChars="0" w:firstLine="0" w:firstLineChars="0"/>
        <w:rPr>
          <w:rFonts w:hint="eastAsia" w:ascii="宋体" w:hAnsi="宋体" w:eastAsia="宋体" w:cs="宋体"/>
          <w:color w:val="auto"/>
          <w:sz w:val="28"/>
          <w:szCs w:val="36"/>
        </w:rPr>
      </w:pPr>
      <w:r>
        <w:rPr>
          <w:rFonts w:hint="eastAsia" w:ascii="宋体" w:hAnsi="宋体" w:eastAsia="宋体" w:cs="宋体"/>
          <w:b/>
          <w:bCs/>
          <w:color w:val="auto"/>
          <w:sz w:val="28"/>
          <w:szCs w:val="36"/>
        </w:rPr>
        <w:t>具体采购需求</w:t>
      </w:r>
      <w:r>
        <w:rPr>
          <w:rFonts w:hint="eastAsia" w:ascii="宋体" w:hAnsi="宋体" w:eastAsia="宋体" w:cs="宋体"/>
          <w:color w:val="auto"/>
          <w:sz w:val="28"/>
          <w:szCs w:val="36"/>
        </w:rPr>
        <w:t xml:space="preserve">  </w:t>
      </w:r>
    </w:p>
    <w:p>
      <w:pPr>
        <w:numPr>
          <w:ilvl w:val="0"/>
          <w:numId w:val="2"/>
        </w:numPr>
        <w:shd w:val="clear"/>
        <w:spacing w:line="360" w:lineRule="auto"/>
        <w:rPr>
          <w:rFonts w:hint="eastAsia" w:ascii="宋体" w:hAnsi="宋体" w:eastAsia="宋体" w:cs="宋体"/>
          <w:color w:val="auto"/>
          <w:sz w:val="28"/>
          <w:szCs w:val="36"/>
          <w:highlight w:val="none"/>
          <w:lang w:val="en-US" w:eastAsia="zh-CN"/>
        </w:rPr>
      </w:pPr>
      <w:r>
        <w:rPr>
          <w:rFonts w:hint="eastAsia" w:ascii="宋体" w:hAnsi="宋体" w:eastAsia="宋体" w:cs="宋体"/>
          <w:color w:val="auto"/>
          <w:sz w:val="28"/>
          <w:szCs w:val="36"/>
          <w:highlight w:val="none"/>
          <w:lang w:val="en-US" w:eastAsia="zh-CN"/>
        </w:rPr>
        <w:t>服务期限：</w:t>
      </w:r>
      <w:r>
        <w:rPr>
          <w:rFonts w:hint="eastAsia" w:ascii="宋体" w:hAnsi="宋体" w:cs="宋体"/>
          <w:color w:val="auto"/>
          <w:sz w:val="28"/>
          <w:szCs w:val="36"/>
          <w:highlight w:val="none"/>
          <w:lang w:val="en-US" w:eastAsia="zh-CN"/>
        </w:rPr>
        <w:t>各标段均为45天</w:t>
      </w:r>
      <w:r>
        <w:rPr>
          <w:rFonts w:hint="eastAsia" w:ascii="宋体" w:hAnsi="宋体" w:eastAsia="宋体" w:cs="宋体"/>
          <w:color w:val="auto"/>
          <w:sz w:val="28"/>
          <w:szCs w:val="36"/>
          <w:highlight w:val="none"/>
          <w:lang w:val="en-US" w:eastAsia="zh-CN"/>
        </w:rPr>
        <w:t>。</w:t>
      </w:r>
    </w:p>
    <w:p>
      <w:pPr>
        <w:numPr>
          <w:ilvl w:val="0"/>
          <w:numId w:val="0"/>
        </w:numPr>
        <w:spacing w:line="360" w:lineRule="auto"/>
        <w:rPr>
          <w:rFonts w:hint="eastAsia" w:ascii="宋体" w:hAnsi="宋体" w:eastAsia="宋体" w:cs="宋体"/>
          <w:color w:val="auto"/>
          <w:sz w:val="28"/>
          <w:szCs w:val="36"/>
          <w:lang w:val="en-US"/>
        </w:rPr>
      </w:pPr>
      <w:r>
        <w:rPr>
          <w:rFonts w:hint="eastAsia" w:ascii="宋体" w:hAnsi="宋体" w:eastAsia="宋体" w:cs="宋体"/>
          <w:color w:val="auto"/>
          <w:sz w:val="28"/>
          <w:szCs w:val="36"/>
          <w:lang w:val="en-US" w:eastAsia="zh-CN"/>
        </w:rPr>
        <w:t>2、服务地点</w:t>
      </w:r>
      <w:r>
        <w:rPr>
          <w:rFonts w:hint="eastAsia" w:ascii="宋体" w:hAnsi="宋体" w:eastAsia="宋体" w:cs="宋体"/>
          <w:color w:val="auto"/>
          <w:sz w:val="28"/>
          <w:szCs w:val="36"/>
        </w:rPr>
        <w:t>：</w:t>
      </w:r>
      <w:r>
        <w:rPr>
          <w:rFonts w:hint="eastAsia" w:ascii="宋体" w:hAnsi="宋体" w:cs="宋体"/>
          <w:color w:val="auto"/>
          <w:sz w:val="28"/>
          <w:szCs w:val="36"/>
          <w:lang w:val="en-US" w:eastAsia="zh-CN"/>
        </w:rPr>
        <w:t>府谷县高石崖、石条沟、念沟湾山景家园、关帝庙北侧等4处</w:t>
      </w:r>
      <w:r>
        <w:rPr>
          <w:rFonts w:hint="eastAsia" w:ascii="宋体" w:hAnsi="宋体" w:eastAsia="宋体" w:cs="宋体"/>
          <w:color w:val="auto"/>
          <w:sz w:val="28"/>
          <w:szCs w:val="36"/>
          <w:lang w:val="en-US" w:eastAsia="zh-CN"/>
        </w:rPr>
        <w:t>。</w:t>
      </w:r>
    </w:p>
    <w:p>
      <w:pPr>
        <w:numPr>
          <w:ilvl w:val="0"/>
          <w:numId w:val="0"/>
        </w:numPr>
        <w:spacing w:line="360" w:lineRule="auto"/>
        <w:ind w:leftChars="0"/>
        <w:rPr>
          <w:rFonts w:hint="eastAsia" w:ascii="宋体" w:hAnsi="宋体" w:eastAsia="宋体" w:cs="宋体"/>
          <w:color w:val="auto"/>
          <w:sz w:val="28"/>
          <w:szCs w:val="36"/>
          <w:lang w:val="en-US" w:eastAsia="zh-CN"/>
        </w:rPr>
      </w:pPr>
      <w:r>
        <w:rPr>
          <w:rFonts w:hint="eastAsia" w:ascii="宋体" w:hAnsi="宋体" w:eastAsia="宋体" w:cs="宋体"/>
          <w:color w:val="auto"/>
          <w:sz w:val="28"/>
          <w:szCs w:val="36"/>
          <w:lang w:val="en-US" w:eastAsia="zh-CN"/>
        </w:rPr>
        <w:t>3、采购需求</w:t>
      </w:r>
      <w:r>
        <w:rPr>
          <w:rFonts w:hint="eastAsia" w:ascii="宋体" w:hAnsi="宋体" w:eastAsia="宋体" w:cs="宋体"/>
          <w:color w:val="auto"/>
          <w:sz w:val="28"/>
          <w:szCs w:val="36"/>
        </w:rPr>
        <w:t>：</w:t>
      </w:r>
    </w:p>
    <w:p>
      <w:pPr>
        <w:numPr>
          <w:ilvl w:val="0"/>
          <w:numId w:val="0"/>
        </w:numPr>
        <w:spacing w:line="360" w:lineRule="auto"/>
        <w:ind w:leftChars="0" w:firstLine="560" w:firstLineChars="200"/>
        <w:rPr>
          <w:rFonts w:hint="default" w:ascii="宋体" w:hAnsi="宋体" w:eastAsia="宋体" w:cs="宋体"/>
          <w:color w:val="auto"/>
          <w:sz w:val="28"/>
          <w:szCs w:val="36"/>
          <w:lang w:val="en-US" w:eastAsia="zh-CN"/>
        </w:rPr>
      </w:pPr>
      <w:r>
        <w:rPr>
          <w:rFonts w:hint="eastAsia" w:ascii="宋体" w:hAnsi="宋体" w:cs="宋体"/>
          <w:color w:val="auto"/>
          <w:sz w:val="28"/>
          <w:szCs w:val="36"/>
          <w:lang w:val="en-US" w:eastAsia="zh-CN"/>
        </w:rPr>
        <w:t>本项目共划分为4个标段。N1标段为地质灾害治理工程（念沟湾山景家园），N2标段为地质灾害治理工程（关帝庙北侧）,N3标段为地质灾害治理工程（高石崖）,N4标段为地质灾害治理工程（石条沟）。主要施工内容危岩体清除、危岩体锚固、浆砌块石支顶墙、主动防护网和截排水的治理等。</w:t>
      </w:r>
    </w:p>
    <w:p>
      <w:pPr>
        <w:numPr>
          <w:ilvl w:val="0"/>
          <w:numId w:val="1"/>
        </w:numPr>
        <w:spacing w:line="360" w:lineRule="auto"/>
        <w:ind w:left="0" w:leftChars="0" w:firstLine="0" w:firstLineChars="0"/>
        <w:rPr>
          <w:rFonts w:hint="eastAsia" w:ascii="宋体" w:hAnsi="宋体" w:eastAsia="宋体" w:cs="宋体"/>
          <w:b/>
          <w:bCs/>
          <w:color w:val="auto"/>
          <w:sz w:val="28"/>
          <w:szCs w:val="36"/>
          <w:lang w:val="en-US" w:eastAsia="zh-CN"/>
        </w:rPr>
      </w:pPr>
      <w:r>
        <w:rPr>
          <w:rFonts w:hint="eastAsia" w:ascii="宋体" w:hAnsi="宋体" w:eastAsia="宋体" w:cs="宋体"/>
          <w:b/>
          <w:bCs/>
          <w:color w:val="auto"/>
          <w:sz w:val="28"/>
          <w:szCs w:val="36"/>
          <w:lang w:val="en-US" w:eastAsia="zh-CN"/>
        </w:rPr>
        <w:t>合同模板：</w:t>
      </w:r>
    </w:p>
    <w:p>
      <w:pPr>
        <w:pStyle w:val="7"/>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合同格式（参考）</w:t>
      </w:r>
    </w:p>
    <w:p>
      <w:pPr>
        <w:rPr>
          <w:rFonts w:hint="eastAsia" w:ascii="宋体" w:hAnsi="宋体" w:eastAsia="宋体" w:cs="宋体"/>
          <w:sz w:val="52"/>
          <w:szCs w:val="52"/>
        </w:rPr>
      </w:pPr>
      <w:r>
        <w:rPr>
          <w:rFonts w:hint="eastAsia" w:ascii="宋体" w:hAnsi="宋体" w:eastAsia="宋体" w:cs="宋体"/>
          <w:sz w:val="52"/>
          <w:szCs w:val="52"/>
        </w:rPr>
        <w:br w:type="page"/>
      </w:r>
    </w:p>
    <w:p>
      <w:pPr>
        <w:spacing w:line="360" w:lineRule="auto"/>
        <w:jc w:val="center"/>
        <w:rPr>
          <w:rFonts w:hint="eastAsia" w:ascii="宋体" w:hAnsi="宋体" w:eastAsia="宋体" w:cs="宋体"/>
          <w:color w:val="auto"/>
          <w:sz w:val="28"/>
          <w:szCs w:val="28"/>
        </w:rPr>
      </w:pPr>
      <w:r>
        <w:rPr>
          <w:rFonts w:hint="eastAsia" w:hAnsi="宋体" w:cs="宋体"/>
          <w:b/>
          <w:bCs/>
          <w:color w:val="auto"/>
          <w:sz w:val="28"/>
          <w:szCs w:val="28"/>
          <w:lang w:val="en-US" w:eastAsia="zh-CN"/>
        </w:rPr>
        <w:t>城区地质灾害治理工程（四处）</w:t>
      </w:r>
      <w:r>
        <w:rPr>
          <w:rFonts w:hint="eastAsia" w:ascii="宋体" w:hAnsi="宋体" w:eastAsia="宋体" w:cs="宋体"/>
          <w:b/>
          <w:bCs/>
          <w:color w:val="auto"/>
          <w:sz w:val="28"/>
          <w:szCs w:val="28"/>
          <w:lang w:val="en-US" w:eastAsia="zh-CN"/>
        </w:rPr>
        <w:t>采购</w:t>
      </w:r>
      <w:r>
        <w:rPr>
          <w:rFonts w:hint="eastAsia" w:ascii="宋体" w:hAnsi="宋体" w:eastAsia="宋体" w:cs="宋体"/>
          <w:b/>
          <w:bCs/>
          <w:color w:val="auto"/>
          <w:sz w:val="28"/>
          <w:szCs w:val="28"/>
        </w:rPr>
        <w:t>合同</w:t>
      </w:r>
    </w:p>
    <w:p>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甲方（</w:t>
      </w:r>
      <w:r>
        <w:rPr>
          <w:rFonts w:hint="eastAsia" w:ascii="宋体" w:hAnsi="宋体" w:eastAsia="宋体" w:cs="宋体"/>
          <w:snapToGrid w:val="0"/>
          <w:color w:val="auto"/>
          <w:kern w:val="0"/>
          <w:sz w:val="28"/>
          <w:szCs w:val="28"/>
        </w:rPr>
        <w:t>采购人</w:t>
      </w:r>
      <w:r>
        <w:rPr>
          <w:rFonts w:hint="eastAsia" w:ascii="宋体" w:hAnsi="宋体" w:eastAsia="宋体" w:cs="宋体"/>
          <w:snapToGrid w:val="0"/>
          <w:color w:val="auto"/>
          <w:kern w:val="0"/>
          <w:sz w:val="28"/>
          <w:szCs w:val="28"/>
          <w:lang w:eastAsia="zh-Hans"/>
        </w:rPr>
        <w:t>）：</w:t>
      </w:r>
    </w:p>
    <w:p>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乙方（</w:t>
      </w:r>
      <w:r>
        <w:rPr>
          <w:rFonts w:hint="eastAsia" w:ascii="宋体" w:hAnsi="宋体" w:eastAsia="宋体" w:cs="宋体"/>
          <w:snapToGrid w:val="0"/>
          <w:color w:val="auto"/>
          <w:kern w:val="0"/>
          <w:sz w:val="28"/>
          <w:szCs w:val="28"/>
        </w:rPr>
        <w:t>中标人</w:t>
      </w:r>
      <w:r>
        <w:rPr>
          <w:rFonts w:hint="eastAsia" w:ascii="宋体" w:hAnsi="宋体" w:eastAsia="宋体" w:cs="宋体"/>
          <w:snapToGrid w:val="0"/>
          <w:color w:val="auto"/>
          <w:kern w:val="0"/>
          <w:sz w:val="28"/>
          <w:szCs w:val="28"/>
          <w:lang w:eastAsia="zh-Hans"/>
        </w:rPr>
        <w:t>）：</w:t>
      </w:r>
    </w:p>
    <w:p>
      <w:pPr>
        <w:autoSpaceDN w:val="0"/>
        <w:adjustRightInd w:val="0"/>
        <w:snapToGrid w:val="0"/>
        <w:spacing w:line="360" w:lineRule="auto"/>
        <w:ind w:firstLine="560" w:firstLineChars="200"/>
        <w:jc w:val="left"/>
        <w:rPr>
          <w:rFonts w:hint="eastAsia" w:ascii="宋体" w:hAnsi="宋体" w:eastAsia="宋体" w:cs="宋体"/>
          <w:b/>
          <w:snapToGrid w:val="0"/>
          <w:color w:val="auto"/>
          <w:kern w:val="0"/>
          <w:sz w:val="28"/>
          <w:szCs w:val="28"/>
        </w:rPr>
      </w:pPr>
      <w:r>
        <w:rPr>
          <w:rFonts w:hint="eastAsia" w:ascii="宋体" w:hAnsi="宋体" w:eastAsia="宋体" w:cs="宋体"/>
          <w:snapToGrid w:val="0"/>
          <w:color w:val="auto"/>
          <w:kern w:val="0"/>
          <w:sz w:val="28"/>
          <w:szCs w:val="28"/>
        </w:rPr>
        <w:t>根据《中华人民共和国政府采购法》、《中华人民共和国合同法》等相关法律，甲、乙双方经平等协商一致，就“</w:t>
      </w:r>
      <w:r>
        <w:rPr>
          <w:rFonts w:hint="eastAsia" w:hAnsi="宋体" w:cs="宋体"/>
          <w:snapToGrid w:val="0"/>
          <w:color w:val="auto"/>
          <w:kern w:val="0"/>
          <w:sz w:val="28"/>
          <w:szCs w:val="28"/>
          <w:lang w:val="en-US" w:eastAsia="zh-CN"/>
        </w:rPr>
        <w:t>城区地质灾害治理工程（四处）</w:t>
      </w:r>
      <w:r>
        <w:rPr>
          <w:rFonts w:hint="eastAsia" w:ascii="宋体" w:hAnsi="宋体" w:eastAsia="宋体" w:cs="宋体"/>
          <w:snapToGrid w:val="0"/>
          <w:color w:val="auto"/>
          <w:kern w:val="0"/>
          <w:sz w:val="28"/>
          <w:szCs w:val="28"/>
        </w:rPr>
        <w:t>”承办达成合同如下：</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一、合同文件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本合同所附下列文件是构成本合同不可分割的部分，组成合同的各项文件应互相解释，互为说明，解释合同文件的优先顺序如下：</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1.合同条款</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2.中标通知书</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3.中标人在评标过程中做出的有关澄清、说明、承诺或者补正文件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4.招标文件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5.中标人的投标文件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6.本合同附件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同一层次的合同文件规定有矛盾的以较后时间制定的为准。</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二、合同的范围和条件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本合同的范围和条件应与上述合同文件的规定相一致。</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三、</w:t>
      </w:r>
      <w:r>
        <w:rPr>
          <w:rFonts w:hint="eastAsia" w:ascii="宋体" w:hAnsi="宋体" w:cs="宋体"/>
          <w:b/>
          <w:color w:val="auto"/>
          <w:sz w:val="28"/>
          <w:szCs w:val="28"/>
          <w:lang w:eastAsia="zh-CN"/>
        </w:rPr>
        <w:t>工程</w:t>
      </w:r>
      <w:r>
        <w:rPr>
          <w:rFonts w:hint="eastAsia" w:ascii="宋体" w:hAnsi="宋体" w:eastAsia="宋体" w:cs="宋体"/>
          <w:b/>
          <w:color w:val="auto"/>
          <w:sz w:val="28"/>
          <w:szCs w:val="28"/>
        </w:rPr>
        <w:t>项目</w:t>
      </w:r>
    </w:p>
    <w:p>
      <w:pPr>
        <w:adjustRightInd w:val="0"/>
        <w:snapToGrid w:val="0"/>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rPr>
        <w:t>本合同所提供的</w:t>
      </w:r>
      <w:r>
        <w:rPr>
          <w:rFonts w:hint="eastAsia" w:ascii="宋体" w:hAnsi="宋体" w:cs="宋体"/>
          <w:color w:val="auto"/>
          <w:sz w:val="28"/>
          <w:szCs w:val="28"/>
          <w:lang w:eastAsia="zh-CN"/>
        </w:rPr>
        <w:t>工程</w:t>
      </w:r>
      <w:r>
        <w:rPr>
          <w:rFonts w:hint="eastAsia" w:ascii="宋体" w:hAnsi="宋体" w:eastAsia="宋体" w:cs="宋体"/>
          <w:color w:val="auto"/>
          <w:sz w:val="28"/>
          <w:szCs w:val="28"/>
        </w:rPr>
        <w:t>项目内容：（与报价文件中</w:t>
      </w:r>
      <w:r>
        <w:rPr>
          <w:rFonts w:hint="eastAsia" w:ascii="宋体" w:hAnsi="宋体" w:cs="宋体"/>
          <w:color w:val="auto"/>
          <w:sz w:val="28"/>
          <w:szCs w:val="28"/>
          <w:lang w:eastAsia="zh-CN"/>
        </w:rPr>
        <w:t>工程</w:t>
      </w:r>
      <w:r>
        <w:rPr>
          <w:rFonts w:hint="eastAsia" w:ascii="宋体" w:hAnsi="宋体" w:eastAsia="宋体" w:cs="宋体"/>
          <w:color w:val="auto"/>
          <w:sz w:val="28"/>
          <w:szCs w:val="28"/>
        </w:rPr>
        <w:t>明细表一致）。</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四、合同金额</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合同金额为人民币大写</w:t>
      </w:r>
      <w:r>
        <w:rPr>
          <w:rFonts w:hint="eastAsia" w:hAnsi="宋体" w:cs="宋体"/>
          <w:color w:val="auto"/>
          <w:sz w:val="28"/>
          <w:szCs w:val="28"/>
          <w:u w:val="single"/>
          <w:lang w:val="en-US" w:eastAsia="zh-CN"/>
        </w:rPr>
        <w:t xml:space="preserve">       </w:t>
      </w:r>
      <w:r>
        <w:rPr>
          <w:rFonts w:hint="eastAsia" w:ascii="宋体" w:hAnsi="宋体" w:eastAsia="宋体" w:cs="宋体"/>
          <w:color w:val="auto"/>
          <w:sz w:val="28"/>
          <w:szCs w:val="28"/>
        </w:rPr>
        <w:t>元，(￥</w:t>
      </w:r>
      <w:r>
        <w:rPr>
          <w:rFonts w:hint="eastAsia" w:hAnsi="宋体" w:cs="宋体"/>
          <w:color w:val="auto"/>
          <w:sz w:val="28"/>
          <w:szCs w:val="28"/>
          <w:u w:val="single"/>
          <w:lang w:val="en-US" w:eastAsia="zh-CN"/>
        </w:rPr>
        <w:t xml:space="preserve">       </w:t>
      </w:r>
      <w:r>
        <w:rPr>
          <w:rFonts w:hint="eastAsia" w:ascii="宋体" w:hAnsi="宋体" w:eastAsia="宋体" w:cs="宋体"/>
          <w:color w:val="auto"/>
          <w:sz w:val="28"/>
          <w:szCs w:val="28"/>
        </w:rPr>
        <w:t>)</w:t>
      </w:r>
    </w:p>
    <w:p>
      <w:pPr>
        <w:adjustRightInd w:val="0"/>
        <w:snapToGrid w:val="0"/>
        <w:spacing w:line="360" w:lineRule="auto"/>
        <w:ind w:firstLine="562" w:firstLineChars="200"/>
        <w:rPr>
          <w:rFonts w:hint="eastAsia" w:ascii="宋体" w:hAnsi="宋体" w:eastAsia="宋体" w:cs="宋体"/>
          <w:color w:val="auto"/>
          <w:sz w:val="28"/>
          <w:szCs w:val="28"/>
        </w:rPr>
      </w:pPr>
      <w:r>
        <w:rPr>
          <w:rFonts w:hint="eastAsia" w:ascii="宋体" w:hAnsi="宋体" w:eastAsia="宋体" w:cs="宋体"/>
          <w:b/>
          <w:color w:val="auto"/>
          <w:sz w:val="28"/>
          <w:szCs w:val="28"/>
        </w:rPr>
        <w:t>五、付款途径</w:t>
      </w:r>
      <w:r>
        <w:rPr>
          <w:rFonts w:hint="eastAsia" w:ascii="宋体" w:hAnsi="宋体" w:eastAsia="宋体" w:cs="宋体"/>
          <w:color w:val="auto"/>
          <w:sz w:val="28"/>
          <w:szCs w:val="28"/>
        </w:rPr>
        <w:t>：</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rPr>
        <w:t>。</w:t>
      </w:r>
    </w:p>
    <w:p>
      <w:pPr>
        <w:shd w:val="clear"/>
        <w:adjustRightInd w:val="0"/>
        <w:snapToGrid w:val="0"/>
        <w:spacing w:line="360" w:lineRule="auto"/>
        <w:ind w:firstLine="562" w:firstLineChars="200"/>
        <w:rPr>
          <w:rFonts w:hint="eastAsia" w:ascii="宋体" w:hAnsi="宋体" w:eastAsia="宋体" w:cs="宋体"/>
          <w:color w:val="auto"/>
          <w:sz w:val="28"/>
          <w:szCs w:val="28"/>
          <w:lang w:val="en-US" w:eastAsia="zh-CN"/>
        </w:rPr>
      </w:pPr>
      <w:r>
        <w:rPr>
          <w:rFonts w:hint="eastAsia" w:ascii="宋体" w:hAnsi="宋体" w:eastAsia="宋体" w:cs="宋体"/>
          <w:b/>
          <w:color w:val="auto"/>
          <w:sz w:val="28"/>
          <w:szCs w:val="28"/>
          <w:shd w:val="clear"/>
        </w:rPr>
        <w:t>六、付款方式</w:t>
      </w:r>
      <w:r>
        <w:rPr>
          <w:rFonts w:hint="eastAsia" w:ascii="宋体" w:hAnsi="宋体" w:eastAsia="宋体" w:cs="宋体"/>
          <w:color w:val="auto"/>
          <w:sz w:val="28"/>
          <w:szCs w:val="28"/>
          <w:shd w:val="clear"/>
        </w:rPr>
        <w:t>：</w:t>
      </w:r>
      <w:r>
        <w:rPr>
          <w:rFonts w:hint="eastAsia" w:hAnsi="宋体" w:cs="宋体"/>
          <w:color w:val="auto"/>
          <w:sz w:val="28"/>
          <w:szCs w:val="28"/>
          <w:shd w:val="clear"/>
          <w:lang w:val="en-US" w:eastAsia="zh-CN"/>
        </w:rPr>
        <w:t>甲方按照乙方完成的实际工程量进行决算，根据工程进度给予拨付总工程量的80%工程款，待工程竣工验收合格，审</w:t>
      </w:r>
      <w:r>
        <w:rPr>
          <w:rFonts w:hint="eastAsia" w:hAnsi="宋体" w:cs="宋体"/>
          <w:color w:val="auto"/>
          <w:sz w:val="28"/>
          <w:szCs w:val="28"/>
          <w:lang w:val="en-US" w:eastAsia="zh-CN"/>
        </w:rPr>
        <w:t>计完成后拨付剩余工程款。</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七、知识产权</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乙方应保证甲方所使用的服务成果免受第三方提出的侵犯其知识产权的诉讼。</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0" w:name="_Toc223404485"/>
      <w:r>
        <w:rPr>
          <w:rFonts w:hint="eastAsia" w:ascii="宋体" w:hAnsi="宋体" w:eastAsia="宋体" w:cs="宋体"/>
          <w:b/>
          <w:bCs/>
          <w:color w:val="auto"/>
          <w:sz w:val="28"/>
          <w:szCs w:val="28"/>
        </w:rPr>
        <w:t>八、违约条款</w:t>
      </w:r>
      <w:bookmarkEnd w:id="0"/>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1.一方不按期履行合同，并经另一方提示后日内仍不履行合同的，守约方有权解除合同，违约方要承担相应的法律责任。</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2.如因一方违约，双方未能就赔偿损失达成协议，引起诉讼或仲裁时，违约方除应赔偿对方经济损失外，还应承担因诉讼或仲裁所支付的律师代理费等相关费用。</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3.其它应承担的违约责任，以《中华人民共和国合同法》和其它有关法律、法规规定为准，无相关规定的，双方协商解决。</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4.按照本合同规定应该偿付的违约金、赔偿金等，应当在明确责任后7日内，按银行规定或双方商定的结算办法付清，否则按逾期付款处理。</w:t>
      </w:r>
    </w:p>
    <w:p>
      <w:pPr>
        <w:pStyle w:val="3"/>
        <w:spacing w:line="500" w:lineRule="exact"/>
        <w:ind w:left="0" w:leftChars="0" w:firstLine="562" w:firstLineChars="200"/>
        <w:rPr>
          <w:rFonts w:hint="eastAsia" w:ascii="宋体" w:hAnsi="宋体" w:eastAsia="宋体" w:cs="宋体"/>
          <w:b/>
          <w:bCs/>
          <w:color w:val="auto"/>
          <w:kern w:val="2"/>
          <w:sz w:val="28"/>
          <w:szCs w:val="28"/>
          <w:lang w:val="en-US" w:eastAsia="zh-CN" w:bidi="ar-SA"/>
        </w:rPr>
      </w:pPr>
      <w:bookmarkStart w:id="1" w:name="_Toc56066561"/>
      <w:bookmarkStart w:id="2" w:name="_Toc31057"/>
      <w:r>
        <w:rPr>
          <w:rFonts w:hint="eastAsia" w:ascii="宋体" w:hAnsi="宋体" w:eastAsia="宋体" w:cs="宋体"/>
          <w:b/>
          <w:bCs/>
          <w:color w:val="auto"/>
          <w:kern w:val="2"/>
          <w:sz w:val="28"/>
          <w:szCs w:val="28"/>
          <w:lang w:val="en-US" w:eastAsia="zh-CN" w:bidi="ar-SA"/>
        </w:rPr>
        <w:t>九、履约验收</w:t>
      </w:r>
      <w:bookmarkEnd w:id="1"/>
      <w:bookmarkEnd w:id="2"/>
      <w:r>
        <w:rPr>
          <w:rFonts w:hint="eastAsia" w:ascii="宋体" w:hAnsi="宋体" w:eastAsia="宋体" w:cs="宋体"/>
          <w:b/>
          <w:bCs/>
          <w:color w:val="auto"/>
          <w:kern w:val="2"/>
          <w:sz w:val="28"/>
          <w:szCs w:val="28"/>
          <w:lang w:val="en-US" w:eastAsia="zh-CN" w:bidi="ar-SA"/>
        </w:rPr>
        <w:t>标准和方式</w:t>
      </w:r>
    </w:p>
    <w:p>
      <w:pPr>
        <w:adjustRightInd w:val="0"/>
        <w:snapToGrid w:val="0"/>
        <w:spacing w:line="360" w:lineRule="auto"/>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1.履约验收时间：</w:t>
      </w:r>
      <w:r>
        <w:rPr>
          <w:rFonts w:hint="eastAsia" w:ascii="宋体" w:hAnsi="宋体" w:eastAsia="宋体" w:cs="宋体"/>
          <w:color w:val="auto"/>
          <w:sz w:val="28"/>
          <w:szCs w:val="28"/>
          <w:u w:val="single"/>
          <w:lang w:val="en-US" w:eastAsia="zh-CN"/>
        </w:rPr>
        <w:t>服务期结束后15个工作日内。</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2.履约验收主体及内容：</w:t>
      </w:r>
      <w:r>
        <w:rPr>
          <w:rFonts w:hint="eastAsia" w:ascii="宋体" w:hAnsi="宋体" w:eastAsia="宋体" w:cs="宋体"/>
          <w:color w:val="auto"/>
          <w:sz w:val="28"/>
          <w:szCs w:val="28"/>
          <w:u w:val="single"/>
          <w:lang w:val="en-US" w:eastAsia="zh-CN"/>
        </w:rPr>
        <w:t>由采购人根据合同要求，进行验收。</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3.验收标准：</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4.验收方式：</w:t>
      </w:r>
      <w:r>
        <w:rPr>
          <w:rFonts w:hint="eastAsia" w:ascii="宋体" w:hAnsi="宋体" w:eastAsia="宋体" w:cs="宋体"/>
          <w:color w:val="auto"/>
          <w:sz w:val="28"/>
          <w:szCs w:val="28"/>
          <w:u w:val="single"/>
          <w:lang w:val="en-US" w:eastAsia="zh-CN"/>
        </w:rPr>
        <w:t>由采购单位技术人员按照相关验收标准进行验收。</w:t>
      </w:r>
    </w:p>
    <w:p>
      <w:pPr>
        <w:adjustRightInd w:val="0"/>
        <w:snapToGrid w:val="0"/>
        <w:spacing w:line="360" w:lineRule="auto"/>
        <w:ind w:firstLine="560" w:firstLineChars="200"/>
        <w:rPr>
          <w:rFonts w:hint="eastAsia" w:ascii="宋体" w:hAnsi="宋体" w:eastAsia="宋体" w:cs="宋体"/>
          <w:sz w:val="28"/>
          <w:szCs w:val="28"/>
          <w:lang w:val="en-US"/>
        </w:rPr>
      </w:pPr>
      <w:r>
        <w:rPr>
          <w:rFonts w:hint="eastAsia" w:ascii="宋体" w:hAnsi="宋体" w:eastAsia="宋体" w:cs="宋体"/>
          <w:color w:val="auto"/>
          <w:sz w:val="28"/>
          <w:szCs w:val="28"/>
          <w:lang w:val="en-US" w:eastAsia="zh-CN"/>
        </w:rPr>
        <w:t>5.验收依据：</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3" w:name="_Toc223404486"/>
      <w:r>
        <w:rPr>
          <w:rFonts w:hint="eastAsia" w:ascii="宋体" w:hAnsi="宋体" w:eastAsia="宋体" w:cs="宋体"/>
          <w:b/>
          <w:bCs/>
          <w:color w:val="auto"/>
          <w:sz w:val="28"/>
          <w:szCs w:val="28"/>
          <w:lang w:eastAsia="zh-CN"/>
        </w:rPr>
        <w:t>十</w:t>
      </w:r>
      <w:r>
        <w:rPr>
          <w:rFonts w:hint="eastAsia" w:ascii="宋体" w:hAnsi="宋体" w:eastAsia="宋体" w:cs="宋体"/>
          <w:b/>
          <w:bCs/>
          <w:color w:val="auto"/>
          <w:sz w:val="28"/>
          <w:szCs w:val="28"/>
        </w:rPr>
        <w:t>、不可抗力条款</w:t>
      </w:r>
      <w:bookmarkEnd w:id="3"/>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因不可抗力致使一方不能及时或完全履行合同的，应及时通知采购代理机构及另一方，双方互不承担责任，并在15天内提供有关不可抗力的相应证明。合同未履行部分是否继续履行、如何履行等问题，可由双方协商解决。</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4" w:name="_Toc223404487"/>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一</w:t>
      </w:r>
      <w:r>
        <w:rPr>
          <w:rFonts w:hint="eastAsia" w:ascii="宋体" w:hAnsi="宋体" w:eastAsia="宋体" w:cs="宋体"/>
          <w:b/>
          <w:bCs/>
          <w:color w:val="auto"/>
          <w:sz w:val="28"/>
          <w:szCs w:val="28"/>
        </w:rPr>
        <w:t>、争议的解决方式</w:t>
      </w:r>
      <w:bookmarkEnd w:id="4"/>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本合同执行过程中如发生争议，应本着友好的原则协商解决。协商不成产生的诉讼，由甲方所在地人民法院管辖</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5" w:name="_Toc223404488"/>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二</w:t>
      </w:r>
      <w:r>
        <w:rPr>
          <w:rFonts w:hint="eastAsia" w:ascii="宋体" w:hAnsi="宋体" w:eastAsia="宋体" w:cs="宋体"/>
          <w:b/>
          <w:bCs/>
          <w:color w:val="auto"/>
          <w:sz w:val="28"/>
          <w:szCs w:val="28"/>
        </w:rPr>
        <w:t>、补充协议</w:t>
      </w:r>
      <w:bookmarkEnd w:id="5"/>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合同未尽事宜，经双方协商可签订补充协议，所签订的补充协议与本合同具有同等的法律效力，补充协议的生效应符合本合同的有关规定。</w:t>
      </w:r>
    </w:p>
    <w:p>
      <w:pPr>
        <w:spacing w:line="240" w:lineRule="auto"/>
        <w:ind w:firstLine="843" w:firstLineChars="300"/>
        <w:rPr>
          <w:rFonts w:hint="eastAsia" w:ascii="宋体" w:hAnsi="宋体" w:eastAsia="宋体" w:cs="宋体"/>
          <w:color w:val="auto"/>
          <w:sz w:val="28"/>
          <w:szCs w:val="28"/>
        </w:rPr>
      </w:pPr>
      <w:r>
        <w:rPr>
          <w:rFonts w:hint="eastAsia" w:ascii="宋体" w:hAnsi="宋体" w:eastAsia="宋体" w:cs="宋体"/>
          <w:b/>
          <w:bCs/>
          <w:color w:val="auto"/>
          <w:sz w:val="28"/>
          <w:szCs w:val="28"/>
        </w:rPr>
        <w:t>十三、本合同一式</w:t>
      </w:r>
      <w:r>
        <w:rPr>
          <w:rFonts w:hint="eastAsia" w:ascii="宋体" w:hAnsi="宋体" w:eastAsia="宋体" w:cs="宋体"/>
          <w:b/>
          <w:bCs/>
          <w:color w:val="auto"/>
          <w:sz w:val="28"/>
          <w:szCs w:val="28"/>
          <w:lang w:eastAsia="zh-CN"/>
        </w:rPr>
        <w:t>四份</w:t>
      </w:r>
      <w:r>
        <w:rPr>
          <w:rFonts w:hint="eastAsia" w:ascii="宋体" w:hAnsi="宋体" w:eastAsia="宋体" w:cs="宋体"/>
          <w:b/>
          <w:bCs/>
          <w:color w:val="auto"/>
          <w:sz w:val="28"/>
          <w:szCs w:val="28"/>
        </w:rPr>
        <w:t>，甲方执</w:t>
      </w:r>
      <w:r>
        <w:rPr>
          <w:rFonts w:hint="eastAsia" w:ascii="宋体" w:hAnsi="宋体" w:eastAsia="宋体" w:cs="宋体"/>
          <w:b/>
          <w:bCs/>
          <w:color w:val="auto"/>
          <w:sz w:val="28"/>
          <w:szCs w:val="28"/>
          <w:lang w:eastAsia="zh-CN"/>
        </w:rPr>
        <w:t>两</w:t>
      </w:r>
      <w:r>
        <w:rPr>
          <w:rFonts w:hint="eastAsia" w:ascii="宋体" w:hAnsi="宋体" w:eastAsia="宋体" w:cs="宋体"/>
          <w:b/>
          <w:bCs/>
          <w:color w:val="auto"/>
          <w:sz w:val="28"/>
          <w:szCs w:val="28"/>
        </w:rPr>
        <w:t>份，乙方执</w:t>
      </w:r>
      <w:r>
        <w:rPr>
          <w:rFonts w:hint="eastAsia" w:ascii="宋体" w:hAnsi="宋体" w:eastAsia="宋体" w:cs="宋体"/>
          <w:b/>
          <w:bCs/>
          <w:color w:val="auto"/>
          <w:sz w:val="28"/>
          <w:szCs w:val="28"/>
          <w:lang w:eastAsia="zh-CN"/>
        </w:rPr>
        <w:t>两</w:t>
      </w:r>
      <w:r>
        <w:rPr>
          <w:rFonts w:hint="eastAsia" w:ascii="宋体" w:hAnsi="宋体" w:eastAsia="宋体" w:cs="宋体"/>
          <w:b/>
          <w:bCs/>
          <w:color w:val="auto"/>
          <w:sz w:val="28"/>
          <w:szCs w:val="28"/>
        </w:rPr>
        <w:t>份。本合同自双方签订之日起生效。</w:t>
      </w:r>
    </w:p>
    <w:p>
      <w:pPr>
        <w:spacing w:line="360" w:lineRule="auto"/>
        <w:ind w:firstLine="240" w:firstLineChars="100"/>
        <w:rPr>
          <w:rFonts w:hint="eastAsia" w:ascii="宋体" w:hAnsi="宋体" w:eastAsia="宋体" w:cs="宋体"/>
          <w:color w:val="auto"/>
          <w:sz w:val="24"/>
          <w:szCs w:val="24"/>
        </w:rPr>
      </w:pPr>
    </w:p>
    <w:p>
      <w:pPr>
        <w:adjustRightInd w:val="0"/>
        <w:snapToGrid w:val="0"/>
        <w:spacing w:line="360" w:lineRule="auto"/>
        <w:ind w:firstLine="560" w:firstLineChars="200"/>
        <w:rPr>
          <w:rFonts w:hint="eastAsia" w:ascii="宋体" w:hAnsi="宋体" w:eastAsia="宋体" w:cs="宋体"/>
          <w:color w:val="auto"/>
          <w:sz w:val="28"/>
          <w:szCs w:val="28"/>
        </w:rPr>
      </w:pP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建设单位(甲方)：</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法定代表人：（签章）</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经办人：</w:t>
      </w:r>
    </w:p>
    <w:p>
      <w:pPr>
        <w:pStyle w:val="5"/>
        <w:rPr>
          <w:rFonts w:hint="eastAsia"/>
        </w:rPr>
      </w:pP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施工单位(乙方)：</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法定代表人：（签章）</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开户银行：</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账号：</w:t>
      </w:r>
    </w:p>
    <w:p>
      <w:pPr>
        <w:spacing w:line="360" w:lineRule="auto"/>
        <w:ind w:firstLine="3360" w:firstLineChars="1400"/>
        <w:rPr>
          <w:rFonts w:hint="eastAsia" w:ascii="宋体" w:hAnsi="宋体" w:eastAsia="宋体" w:cs="宋体"/>
          <w:color w:val="auto"/>
          <w:sz w:val="24"/>
          <w:szCs w:val="24"/>
        </w:rPr>
      </w:pPr>
    </w:p>
    <w:p>
      <w:pPr>
        <w:spacing w:line="360" w:lineRule="auto"/>
        <w:ind w:firstLine="5520" w:firstLineChars="2300"/>
        <w:rPr>
          <w:rFonts w:hint="eastAsia" w:ascii="宋体" w:hAnsi="宋体" w:eastAsia="宋体" w:cs="宋体"/>
          <w:color w:val="auto"/>
          <w:sz w:val="24"/>
          <w:szCs w:val="24"/>
        </w:rPr>
      </w:pPr>
      <w:r>
        <w:rPr>
          <w:rFonts w:hint="eastAsia" w:ascii="宋体" w:hAnsi="宋体" w:eastAsia="宋体" w:cs="宋体"/>
          <w:color w:val="auto"/>
          <w:sz w:val="24"/>
          <w:szCs w:val="24"/>
        </w:rPr>
        <w:t>签订日期：年月日</w:t>
      </w:r>
    </w:p>
    <w:p>
      <w:pPr>
        <w:spacing w:line="360" w:lineRule="auto"/>
        <w:ind w:firstLine="3840" w:firstLineChars="1600"/>
        <w:rPr>
          <w:rFonts w:hint="eastAsia" w:ascii="宋体" w:hAnsi="宋体" w:eastAsia="宋体" w:cs="宋体"/>
          <w:color w:val="auto"/>
          <w:sz w:val="24"/>
          <w:szCs w:val="24"/>
        </w:rPr>
      </w:pPr>
    </w:p>
    <w:p>
      <w:pPr>
        <w:pStyle w:val="4"/>
        <w:rPr>
          <w:rFonts w:hint="eastAsia" w:ascii="宋体" w:hAnsi="宋体" w:eastAsia="宋体" w:cs="宋体"/>
          <w:color w:val="auto"/>
        </w:rPr>
      </w:pPr>
    </w:p>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-------以下无正文------</w:t>
      </w:r>
    </w:p>
    <w:p>
      <w:pPr>
        <w:spacing w:line="360" w:lineRule="auto"/>
        <w:ind w:firstLine="560" w:firstLineChars="200"/>
        <w:rPr>
          <w:rFonts w:hint="eastAsia" w:ascii="宋体" w:hAnsi="宋体" w:eastAsia="宋体" w:cs="宋体"/>
          <w:color w:val="auto"/>
          <w:sz w:val="28"/>
          <w:szCs w:val="28"/>
        </w:rPr>
      </w:pPr>
    </w:p>
    <w:p>
      <w:pPr>
        <w:spacing w:line="360" w:lineRule="auto"/>
        <w:ind w:firstLine="480" w:firstLineChars="200"/>
        <w:rPr>
          <w:rFonts w:hint="eastAsia" w:ascii="宋体" w:hAnsi="宋体" w:eastAsia="宋体" w:cs="宋体"/>
          <w:color w:val="auto"/>
          <w:sz w:val="24"/>
        </w:rPr>
      </w:pPr>
    </w:p>
    <w:p>
      <w:pPr>
        <w:spacing w:line="360" w:lineRule="auto"/>
        <w:rPr>
          <w:rFonts w:hint="eastAsia" w:ascii="宋体" w:hAnsi="宋体" w:eastAsia="宋体" w:cs="宋体"/>
          <w:color w:val="auto"/>
          <w:sz w:val="28"/>
          <w:szCs w:val="40"/>
        </w:rPr>
      </w:pPr>
      <w:r>
        <w:rPr>
          <w:rFonts w:hint="eastAsia" w:ascii="宋体" w:hAnsi="宋体" w:eastAsia="宋体" w:cs="宋体"/>
          <w:b/>
          <w:color w:val="auto"/>
          <w:sz w:val="24"/>
        </w:rPr>
        <w:t>注：本合同为简易版本</w:t>
      </w:r>
      <w:r>
        <w:rPr>
          <w:rFonts w:hint="eastAsia" w:ascii="宋体" w:hAnsi="宋体" w:eastAsia="宋体" w:cs="宋体"/>
          <w:b/>
          <w:color w:val="auto"/>
          <w:sz w:val="24"/>
          <w:lang w:eastAsia="zh-CN"/>
        </w:rPr>
        <w:t>，仅供参考</w:t>
      </w:r>
      <w:r>
        <w:rPr>
          <w:rFonts w:hint="eastAsia" w:ascii="宋体" w:hAnsi="宋体" w:eastAsia="宋体" w:cs="宋体"/>
          <w:b/>
          <w:color w:val="auto"/>
          <w:sz w:val="24"/>
        </w:rPr>
        <w:t>，使用过程中，请结合具体项目，充实细化。</w:t>
      </w:r>
    </w:p>
    <w:p>
      <w:pPr>
        <w:keepNext w:val="0"/>
        <w:keepLines w:val="0"/>
        <w:pageBreakBefore w:val="0"/>
        <w:widowControl w:val="0"/>
        <w:wordWrap/>
        <w:overflowPunct/>
        <w:topLinePunct w:val="0"/>
        <w:autoSpaceDE/>
        <w:autoSpaceDN/>
        <w:bidi w:val="0"/>
        <w:adjustRightInd w:val="0"/>
        <w:snapToGrid w:val="0"/>
        <w:spacing w:line="336" w:lineRule="auto"/>
        <w:ind w:left="0" w:leftChars="0" w:firstLine="415" w:firstLineChars="198"/>
        <w:textAlignment w:val="auto"/>
        <w:outlineLvl w:val="9"/>
        <w:rPr>
          <w:rFonts w:ascii="宋体" w:hAnsi="宋体"/>
          <w:color w:val="auto"/>
          <w:sz w:val="21"/>
          <w:szCs w:val="21"/>
          <w:u w:val="single"/>
        </w:rPr>
      </w:pPr>
    </w:p>
    <w:p>
      <w:pPr>
        <w:rPr>
          <w:rFonts w:hint="eastAsia" w:ascii="宋体" w:hAnsi="宋体" w:eastAsia="宋体" w:cs="宋体"/>
          <w:b/>
          <w:bCs/>
          <w:sz w:val="32"/>
          <w:szCs w:val="40"/>
          <w:lang w:val="en-US" w:eastAsia="zh-CN"/>
        </w:rPr>
      </w:pPr>
      <w:r>
        <w:rPr>
          <w:rFonts w:hint="eastAsia" w:ascii="宋体" w:hAnsi="宋体" w:eastAsia="宋体" w:cs="宋体"/>
          <w:b/>
          <w:bCs/>
          <w:sz w:val="32"/>
          <w:szCs w:val="40"/>
          <w:lang w:val="en-US" w:eastAsia="zh-CN"/>
        </w:rPr>
        <w:br w:type="page"/>
      </w:r>
    </w:p>
    <w:p>
      <w:pPr>
        <w:spacing w:line="360" w:lineRule="auto"/>
        <w:rPr>
          <w:rFonts w:hint="eastAsia" w:ascii="宋体" w:hAnsi="宋体" w:eastAsia="宋体" w:cs="宋体"/>
          <w:b/>
          <w:bCs/>
          <w:sz w:val="28"/>
          <w:szCs w:val="28"/>
        </w:rPr>
      </w:pPr>
      <w:r>
        <w:rPr>
          <w:rFonts w:hint="eastAsia" w:ascii="宋体" w:hAnsi="宋体" w:eastAsia="宋体" w:cs="宋体"/>
          <w:b/>
          <w:bCs/>
          <w:sz w:val="28"/>
          <w:szCs w:val="28"/>
          <w:lang w:val="en-US" w:eastAsia="zh-CN"/>
        </w:rPr>
        <w:t>五、</w:t>
      </w:r>
      <w:r>
        <w:rPr>
          <w:rFonts w:hint="eastAsia" w:ascii="宋体" w:hAnsi="宋体" w:eastAsia="宋体" w:cs="宋体"/>
          <w:b/>
          <w:bCs/>
          <w:sz w:val="28"/>
          <w:szCs w:val="28"/>
        </w:rPr>
        <w:t>履约验收标准和方法</w:t>
      </w:r>
    </w:p>
    <w:p>
      <w:pPr>
        <w:pStyle w:val="2"/>
        <w:spacing w:line="360" w:lineRule="auto"/>
        <w:rPr>
          <w:rFonts w:hint="eastAsia" w:ascii="宋体" w:hAnsi="宋体" w:eastAsia="宋体" w:cs="宋体"/>
          <w:sz w:val="28"/>
          <w:szCs w:val="28"/>
          <w:u w:val="single"/>
          <w:lang w:val="en-US" w:eastAsia="zh-CN"/>
        </w:rPr>
      </w:pPr>
      <w:r>
        <w:rPr>
          <w:rFonts w:hint="eastAsia" w:ascii="宋体" w:hAnsi="宋体" w:eastAsia="宋体" w:cs="宋体"/>
          <w:sz w:val="28"/>
          <w:szCs w:val="28"/>
          <w:lang w:val="en-US" w:eastAsia="zh-CN"/>
        </w:rPr>
        <w:t>（一）履约验收时间：</w:t>
      </w:r>
      <w:r>
        <w:rPr>
          <w:rFonts w:hint="eastAsia" w:ascii="宋体" w:hAnsi="宋体" w:eastAsia="宋体" w:cs="宋体"/>
          <w:sz w:val="28"/>
          <w:szCs w:val="28"/>
          <w:u w:val="single"/>
          <w:lang w:val="en-US" w:eastAsia="zh-CN"/>
        </w:rPr>
        <w:t>服务期结束后15个工作日内。</w:t>
      </w:r>
    </w:p>
    <w:p>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（二）履约验收主体及内容：</w:t>
      </w:r>
    </w:p>
    <w:p>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验收主体：府谷县住房和城乡建设局 </w:t>
      </w:r>
    </w:p>
    <w:p>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验收内容：采购人根据合同要求，对项目所包含的审查内容进行验收。</w:t>
      </w:r>
    </w:p>
    <w:p>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（三）验收依据：</w:t>
      </w:r>
    </w:p>
    <w:p>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1.招标文件、投标文件、澄清表（函）；</w:t>
      </w:r>
    </w:p>
    <w:p>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2.验收合格证、质检报告；</w:t>
      </w:r>
    </w:p>
    <w:p>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3.合同及附件文本；</w:t>
      </w:r>
    </w:p>
    <w:p>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4.同签订时国家及行业现行的标准和技术规范。</w:t>
      </w:r>
    </w:p>
    <w:p>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（四）验收标准：</w:t>
      </w:r>
    </w:p>
    <w:p>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1.编制的服务方案应符合国家、省、市现行有关标准、规范的规定，并对检测成果承担相应的法津责任；</w:t>
      </w:r>
    </w:p>
    <w:p>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（五）验收方法：</w:t>
      </w:r>
    </w:p>
    <w:p>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采购人组织验收人员，按照相关验收标准对采购项目的履约结果进行验收。</w:t>
      </w:r>
    </w:p>
    <w:p>
      <w:pPr>
        <w:spacing w:line="360" w:lineRule="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六、支付方式：</w:t>
      </w:r>
    </w:p>
    <w:p>
      <w:pPr>
        <w:shd w:val="clear"/>
        <w:spacing w:line="360" w:lineRule="auto"/>
        <w:ind w:firstLine="560" w:firstLineChars="200"/>
        <w:rPr>
          <w:rFonts w:hint="eastAsia" w:ascii="宋体" w:hAnsi="宋体" w:eastAsia="宋体" w:cs="宋体"/>
          <w:color w:val="auto"/>
          <w:kern w:val="2"/>
          <w:sz w:val="28"/>
          <w:szCs w:val="28"/>
          <w:shd w:val="clear" w:fill="FF0000"/>
          <w:lang w:val="en-US" w:eastAsia="zh-CN" w:bidi="ar-SA"/>
        </w:rPr>
      </w:pPr>
      <w:r>
        <w:rPr>
          <w:rFonts w:hint="eastAsia" w:ascii="宋体" w:hAnsi="宋体" w:eastAsia="宋体" w:cs="宋体"/>
          <w:color w:val="auto"/>
          <w:kern w:val="2"/>
          <w:sz w:val="28"/>
          <w:szCs w:val="28"/>
          <w:lang w:val="en-US" w:eastAsia="zh-CN" w:bidi="ar-SA"/>
        </w:rPr>
        <w:t>付款方式：甲方按照乙方完成的实际工程量进行决算，根据工程进度给予拨付总工程量的80%工程款，待工程竣工验收合格，审计完成后拨付剩余工程款。</w:t>
      </w:r>
    </w:p>
    <w:p>
      <w:pPr>
        <w:spacing w:line="360" w:lineRule="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七、采购单位、采购单位地址、项目联系人及联系电话</w:t>
      </w:r>
    </w:p>
    <w:p>
      <w:pPr>
        <w:pStyle w:val="2"/>
        <w:keepNext w:val="0"/>
        <w:keepLines w:val="0"/>
        <w:pageBreakBefore w:val="0"/>
        <w:widowControl w:val="0"/>
        <w:kinsoku/>
        <w:wordWrap/>
        <w:overflowPunct/>
        <w:topLinePunct w:val="0"/>
        <w:autoSpaceDE/>
        <w:bidi w:val="0"/>
        <w:spacing w:line="360" w:lineRule="auto"/>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1、采购单位：府谷县住房和城乡建设局</w:t>
      </w:r>
      <w:bookmarkStart w:id="6" w:name="_GoBack"/>
      <w:bookmarkEnd w:id="6"/>
    </w:p>
    <w:p>
      <w:pPr>
        <w:pStyle w:val="2"/>
        <w:keepNext w:val="0"/>
        <w:keepLines w:val="0"/>
        <w:pageBreakBefore w:val="0"/>
        <w:widowControl w:val="0"/>
        <w:kinsoku/>
        <w:wordWrap/>
        <w:overflowPunct/>
        <w:topLinePunct w:val="0"/>
        <w:autoSpaceDE/>
        <w:bidi w:val="0"/>
        <w:spacing w:line="360" w:lineRule="auto"/>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2、采购单位地址：陕西省榆林市府谷县金世纪大楼东辅楼B座</w:t>
      </w:r>
    </w:p>
    <w:p>
      <w:pPr>
        <w:pStyle w:val="2"/>
        <w:keepNext w:val="0"/>
        <w:keepLines w:val="0"/>
        <w:pageBreakBefore w:val="0"/>
        <w:widowControl w:val="0"/>
        <w:kinsoku/>
        <w:wordWrap/>
        <w:overflowPunct/>
        <w:topLinePunct w:val="0"/>
        <w:autoSpaceDE/>
        <w:bidi w:val="0"/>
        <w:spacing w:line="360" w:lineRule="auto"/>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3、项目联系人：朱</w:t>
      </w:r>
      <w:r>
        <w:rPr>
          <w:rFonts w:hint="eastAsia" w:ascii="宋体" w:hAnsi="宋体" w:cs="宋体"/>
          <w:kern w:val="2"/>
          <w:sz w:val="28"/>
          <w:szCs w:val="28"/>
          <w:lang w:val="en-US" w:eastAsia="zh-CN" w:bidi="ar-SA"/>
        </w:rPr>
        <w:t>工</w:t>
      </w:r>
      <w:r>
        <w:rPr>
          <w:rFonts w:hint="eastAsia" w:ascii="宋体" w:hAnsi="宋体" w:eastAsia="宋体" w:cs="宋体"/>
          <w:kern w:val="2"/>
          <w:sz w:val="28"/>
          <w:szCs w:val="28"/>
          <w:lang w:val="en-US" w:eastAsia="zh-CN" w:bidi="ar-SA"/>
        </w:rPr>
        <w:t xml:space="preserve">  </w:t>
      </w:r>
      <w:r>
        <w:rPr>
          <w:rFonts w:hint="eastAsia" w:ascii="宋体" w:hAnsi="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t>联系电话：0912-8720328</w:t>
      </w:r>
    </w:p>
    <w:p>
      <w:pPr>
        <w:pStyle w:val="2"/>
        <w:keepNext w:val="0"/>
        <w:keepLines w:val="0"/>
        <w:pageBreakBefore w:val="0"/>
        <w:widowControl w:val="0"/>
        <w:kinsoku/>
        <w:wordWrap/>
        <w:overflowPunct/>
        <w:topLinePunct w:val="0"/>
        <w:autoSpaceDE/>
        <w:bidi w:val="0"/>
        <w:spacing w:line="360" w:lineRule="auto"/>
        <w:textAlignment w:val="auto"/>
        <w:rPr>
          <w:rFonts w:hint="eastAsia" w:ascii="宋体" w:hAnsi="宋体" w:eastAsia="宋体" w:cs="宋体"/>
          <w:kern w:val="2"/>
          <w:sz w:val="28"/>
          <w:szCs w:val="28"/>
          <w:lang w:val="en-US" w:eastAsia="zh-CN" w:bidi="ar-SA"/>
        </w:rPr>
      </w:pPr>
    </w:p>
    <w:p>
      <w:pPr>
        <w:pStyle w:val="2"/>
        <w:keepNext w:val="0"/>
        <w:keepLines w:val="0"/>
        <w:pageBreakBefore w:val="0"/>
        <w:widowControl w:val="0"/>
        <w:kinsoku/>
        <w:wordWrap/>
        <w:overflowPunct/>
        <w:topLinePunct w:val="0"/>
        <w:autoSpaceDE/>
        <w:bidi w:val="0"/>
        <w:spacing w:line="360" w:lineRule="auto"/>
        <w:ind w:left="0" w:leftChars="0" w:firstLine="0" w:firstLineChars="0"/>
        <w:textAlignment w:val="auto"/>
        <w:rPr>
          <w:rFonts w:hint="eastAsia" w:ascii="宋体" w:hAnsi="宋体" w:eastAsia="宋体" w:cs="宋体"/>
          <w:kern w:val="2"/>
          <w:sz w:val="28"/>
          <w:szCs w:val="28"/>
          <w:lang w:val="en-US" w:eastAsia="zh-CN" w:bidi="ar-SA"/>
        </w:rPr>
      </w:pPr>
    </w:p>
    <w:p>
      <w:pPr>
        <w:keepNext w:val="0"/>
        <w:keepLines w:val="0"/>
        <w:pageBreakBefore w:val="0"/>
        <w:widowControl w:val="0"/>
        <w:tabs>
          <w:tab w:val="left" w:pos="756"/>
        </w:tabs>
        <w:kinsoku/>
        <w:wordWrap/>
        <w:overflowPunct/>
        <w:topLinePunct w:val="0"/>
        <w:autoSpaceDE/>
        <w:bidi w:val="0"/>
        <w:spacing w:line="360" w:lineRule="auto"/>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府谷县住房和城乡建设局</w:t>
      </w:r>
    </w:p>
    <w:p>
      <w:pPr>
        <w:tabs>
          <w:tab w:val="left" w:pos="756"/>
        </w:tabs>
        <w:jc w:val="center"/>
        <w:rPr>
          <w:rFonts w:hint="eastAsia" w:ascii="宋体" w:hAnsi="宋体" w:eastAsia="宋体" w:cs="宋体"/>
          <w:sz w:val="28"/>
          <w:szCs w:val="28"/>
        </w:rPr>
      </w:pPr>
      <w:r>
        <w:rPr>
          <w:rFonts w:hint="eastAsia" w:ascii="宋体" w:hAnsi="宋体" w:eastAsia="宋体" w:cs="宋体"/>
          <w:kern w:val="2"/>
          <w:sz w:val="28"/>
          <w:szCs w:val="28"/>
          <w:lang w:val="en-US" w:eastAsia="zh-CN" w:bidi="ar-SA"/>
        </w:rPr>
        <w:t xml:space="preserve">                                2023年</w:t>
      </w:r>
      <w:r>
        <w:rPr>
          <w:rFonts w:hint="eastAsia" w:ascii="宋体" w:hAnsi="宋体" w:cs="宋体"/>
          <w:kern w:val="2"/>
          <w:sz w:val="28"/>
          <w:szCs w:val="28"/>
          <w:lang w:val="en-US" w:eastAsia="zh-CN" w:bidi="ar-SA"/>
        </w:rPr>
        <w:t>06</w:t>
      </w:r>
      <w:r>
        <w:rPr>
          <w:rFonts w:hint="eastAsia" w:ascii="宋体" w:hAnsi="宋体" w:eastAsia="宋体" w:cs="宋体"/>
          <w:kern w:val="2"/>
          <w:sz w:val="28"/>
          <w:szCs w:val="28"/>
          <w:lang w:val="en-US" w:eastAsia="zh-CN" w:bidi="ar-SA"/>
        </w:rPr>
        <w:t>月</w:t>
      </w:r>
      <w:r>
        <w:rPr>
          <w:rFonts w:hint="eastAsia" w:ascii="宋体" w:hAnsi="宋体" w:cs="宋体"/>
          <w:kern w:val="2"/>
          <w:sz w:val="28"/>
          <w:szCs w:val="28"/>
          <w:lang w:val="en-US" w:eastAsia="zh-CN" w:bidi="ar-SA"/>
        </w:rPr>
        <w:t>06</w:t>
      </w:r>
      <w:r>
        <w:rPr>
          <w:rFonts w:hint="eastAsia" w:ascii="宋体" w:hAnsi="宋体" w:eastAsia="宋体" w:cs="宋体"/>
          <w:kern w:val="2"/>
          <w:sz w:val="28"/>
          <w:szCs w:val="28"/>
          <w:lang w:val="en-US" w:eastAsia="zh-CN" w:bidi="ar-SA"/>
        </w:rPr>
        <w:t>日</w:t>
      </w:r>
    </w:p>
    <w:p>
      <w:pPr>
        <w:rPr>
          <w:rFonts w:hint="eastAsia" w:ascii="宋体" w:hAnsi="宋体" w:eastAsia="宋体" w:cs="宋体"/>
        </w:rPr>
      </w:pPr>
    </w:p>
    <w:p/>
    <w:p/>
    <w:p/>
    <w:sectPr>
      <w:pgSz w:w="11906" w:h="16838"/>
      <w:pgMar w:top="1440" w:right="1689" w:bottom="1440" w:left="163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3C632D"/>
    <w:multiLevelType w:val="singleLevel"/>
    <w:tmpl w:val="F13C632D"/>
    <w:lvl w:ilvl="0" w:tentative="0">
      <w:start w:val="1"/>
      <w:numFmt w:val="decimal"/>
      <w:suff w:val="nothing"/>
      <w:lvlText w:val="%1、"/>
      <w:lvlJc w:val="left"/>
    </w:lvl>
  </w:abstractNum>
  <w:abstractNum w:abstractNumId="1">
    <w:nsid w:val="F1A1CAE9"/>
    <w:multiLevelType w:val="singleLevel"/>
    <w:tmpl w:val="F1A1CAE9"/>
    <w:lvl w:ilvl="0" w:tentative="0">
      <w:start w:val="1"/>
      <w:numFmt w:val="chineseCounting"/>
      <w:suff w:val="space"/>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2YTQ3YTc3ZDE3OWQ0ZDUyMjc1OTRmMDI0ZWNkMWIifQ=="/>
  </w:docVars>
  <w:rsids>
    <w:rsidRoot w:val="68A50CD3"/>
    <w:rsid w:val="09E36A17"/>
    <w:rsid w:val="187F5CB7"/>
    <w:rsid w:val="26F70A5D"/>
    <w:rsid w:val="3ADC590C"/>
    <w:rsid w:val="59C562A9"/>
    <w:rsid w:val="68A50C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9"/>
    <w:pPr>
      <w:keepNext/>
      <w:keepLines/>
      <w:spacing w:line="240" w:lineRule="auto"/>
      <w:outlineLvl w:val="1"/>
    </w:pPr>
    <w:rPr>
      <w:rFonts w:ascii="Cambria" w:hAnsi="Cambria" w:eastAsia="宋体" w:cs="Times New Roman"/>
      <w:b/>
      <w:bCs/>
      <w:sz w:val="32"/>
      <w:szCs w:val="32"/>
    </w:rPr>
  </w:style>
  <w:style w:type="paragraph" w:styleId="4">
    <w:name w:val="heading 4"/>
    <w:basedOn w:val="1"/>
    <w:next w:val="1"/>
    <w:qFormat/>
    <w:uiPriority w:val="0"/>
    <w:pPr>
      <w:keepNext/>
      <w:keepLines/>
      <w:spacing w:line="360" w:lineRule="auto"/>
      <w:outlineLvl w:val="3"/>
    </w:pPr>
    <w:rPr>
      <w:rFonts w:ascii="Arial" w:hAnsi="Arial"/>
      <w:b/>
      <w:bCs/>
      <w:szCs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5">
    <w:name w:val="Normal Indent"/>
    <w:basedOn w:val="1"/>
    <w:next w:val="6"/>
    <w:qFormat/>
    <w:uiPriority w:val="0"/>
    <w:pPr>
      <w:ind w:firstLine="420"/>
    </w:pPr>
    <w:rPr>
      <w:szCs w:val="20"/>
    </w:rPr>
  </w:style>
  <w:style w:type="paragraph" w:styleId="6">
    <w:name w:val="toc 4"/>
    <w:basedOn w:val="1"/>
    <w:next w:val="1"/>
    <w:unhideWhenUsed/>
    <w:qFormat/>
    <w:uiPriority w:val="39"/>
    <w:pPr>
      <w:ind w:left="1260" w:leftChars="600"/>
    </w:pPr>
  </w:style>
  <w:style w:type="paragraph" w:styleId="7">
    <w:name w:val="Normal (Web)"/>
    <w:basedOn w:val="1"/>
    <w:qFormat/>
    <w:uiPriority w:val="99"/>
    <w:pPr>
      <w:widowControl/>
      <w:spacing w:before="100" w:beforeLines="0" w:beforeAutospacing="1" w:after="100" w:afterLines="0" w:afterAutospacing="1"/>
      <w:jc w:val="left"/>
    </w:pPr>
    <w:rPr>
      <w:rFonts w:ascii="宋体" w:hAnsi="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2023-06-06T01:26:00Z</dcterms:created>
  <dc:creator>二十二少年</dc:creator>
  <cp:lastModifiedBy>二十二少年</cp:lastModifiedBy>
  <dcterms:modified xsi:type="dcterms:W3CDTF">2023-06-06T06:32:10Z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E48933093A8D489FB9052748B9564FBD_11</vt:lpwstr>
  </property>
</Properties>
</file>