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60" w:lineRule="exact"/>
        <w:jc w:val="center"/>
        <w:textAlignment w:val="auto"/>
        <w:rPr>
          <w:b/>
          <w:bCs/>
          <w:color w:val="auto"/>
          <w:sz w:val="36"/>
          <w:szCs w:val="36"/>
        </w:rPr>
      </w:pPr>
      <w:r>
        <w:rPr>
          <w:rFonts w:ascii="宋体" w:hAnsi="宋体" w:eastAsia="宋体" w:cs="宋体"/>
          <w:b/>
          <w:bCs/>
          <w:color w:val="auto"/>
          <w:kern w:val="0"/>
          <w:sz w:val="36"/>
          <w:szCs w:val="36"/>
          <w:bdr w:val="none" w:color="auto" w:sz="0" w:space="0"/>
          <w:lang w:val="en-US" w:eastAsia="zh-CN" w:bidi="ar"/>
        </w:rPr>
        <w:t>2023年新民镇桃峁村道路硬化项目竞争性谈判公告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6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2023年新民镇桃峁村道路硬化项目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2023年06月19日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项目编号：ZCSP-府谷县-2023-00364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项目名称：2023年新民镇桃峁村道路硬化项目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预算金额：1,521,920.00元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合同包1(2023年新民镇桃峁村道路硬化项目):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合同包预算金额：1,521,920.00元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合同包最高限价：1,521,920.00元</w:t>
      </w:r>
    </w:p>
    <w:tbl>
      <w:tblPr>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6"/>
        <w:gridCol w:w="1680"/>
        <w:gridCol w:w="2377"/>
        <w:gridCol w:w="744"/>
        <w:gridCol w:w="125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tblHeader/>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3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2023年新民镇桃峁村道路硬化项目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1,521,920.00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1,521,920.00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合同包1(2023年新民镇桃峁村道路硬化项目)落实政府采购政策需满足的资格要求如下: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合同包1(2023年新民镇桃峁村道路硬化项目)特定资格要求如下: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2021年或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2、供应商需具备公路工程施工总承包三级（含三级）及其以上资质的独立企业法人，具备有效的安全生产许可证，并在人员、设备、资金等方面具有相应的施工能力；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需具备公路工程二级及其以上注册建造师注册证书和有效的安全生产考核合格证书（交安B证），以及2023年4月、5月或6月份至少一个月的社保经办机构出具的本企业社保缴纳证明材料（必须为养老保险，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4、财务状况报告：财务状况良好，提供2020年—2022年度财务审计报告（公司成立不足三年的需提供已出年份的审计报告，不足一年的需提供开标时间前六个月内其基本存款账户开户银行出具的资信证明）；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5、税收缴纳证明：提供2023年1月至今已缴存的至少一个月的纳税证明（银行缴费凭证）或完税证明，依法免税的单位应提供相关证明材料；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2023年1月至今已缴存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信誉要求：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8、提供榆林市政府采购工程类项目供应商信用承诺书（还需提供“信用中国（陕西榆林）”信用承诺网页截图）；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10、拟投入项目管理人员情况应配备合理，包括但不限于：质量员、材料员、施工员、资料员、安全员（具备交安C证）。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1）质量员、材料员、施工员、资料员应持有岗位证书；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2）安全员应持有安全考核合格证书交安C证；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3）以上人员均需提供社保经办机构出具的2023年4月、5月或6月份至少一个月的本企业社保缴纳证明材料（必须为养老保险，应可查询）。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11、投标信用承诺书代替投标保证金，提供投标信用承诺书；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本项目专门面向中小企业采购。非中小企业单位（监狱企业、残疾人福利单位除外）不得参与投标,本项目所属建筑行业。满足要求的中小企业须提供管理办法规定的《中小企业声明函》；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2023年06月12日 至 2023年06月14日 ，每天上午 08:30:00 至 11:30:00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2023年06月19日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2023年06月19日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管理办法规定的《中小企业声明函》、单位介绍信原件、经办人身份证原件、复印件及社保经办机构出具的2023年04月、05月或06月份至少一个月的社保经办机构出具的本企业社保缴纳证明材料（必须为养老保险，应可查询）复印件加盖公章到陕西众鼎互联项目管理有限公司(陕西省榆林市府谷县经济适用房一期2号楼西商铺）进行线下报名，线上与线下报名信息须一致，否则视为报名无效。本工程所属行业为建筑业，报名时间：2023年06月12日至2023年06月14日上午08:30-11:30,下午14：30-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府谷县扶贫开发办公室本级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府谷县氮肥厂路恒昌大楼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15909127662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0912-8808176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2023年06月11日</w:t>
      </w:r>
    </w:p>
    <w:p>
      <w:pPr>
        <w:keepNext w:val="0"/>
        <w:keepLines w:val="0"/>
        <w:pageBreakBefore w:val="0"/>
        <w:widowControl/>
        <w:suppressLineNumbers w:val="0"/>
        <w:kinsoku/>
        <w:wordWrap w:val="0"/>
        <w:overflowPunct/>
        <w:topLinePunct w:val="0"/>
        <w:autoSpaceDE/>
        <w:autoSpaceDN/>
        <w:bidi w:val="0"/>
        <w:adjustRightInd/>
        <w:snapToGrid/>
        <w:spacing w:line="460" w:lineRule="exact"/>
        <w:jc w:val="both"/>
        <w:textAlignment w:val="auto"/>
        <w:rPr>
          <w:rFonts w:hint="eastAsia" w:ascii="微软雅黑" w:hAnsi="微软雅黑" w:eastAsia="微软雅黑" w:cs="微软雅黑"/>
          <w:color w:val="auto"/>
          <w:sz w:val="21"/>
          <w:szCs w:val="21"/>
        </w:rPr>
      </w:pPr>
    </w:p>
    <w:p>
      <w:pPr>
        <w:keepNext w:val="0"/>
        <w:keepLines w:val="0"/>
        <w:pageBreakBefore w:val="0"/>
        <w:kinsoku/>
        <w:overflowPunct/>
        <w:topLinePunct w:val="0"/>
        <w:autoSpaceDE/>
        <w:autoSpaceDN/>
        <w:bidi w:val="0"/>
        <w:adjustRightInd/>
        <w:snapToGrid/>
        <w:spacing w:line="4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41D6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2023-06-09T01:51:47Z</dcterms:created>
  <dc:creator>Administrator</dc:creator>
  <cp:lastModifiedBy>Sunny</cp:lastModifiedBy>
  <dcterms:modified xsi:type="dcterms:W3CDTF">2023-06-09T01:54:31Z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2DF5CEFB17A34AF09537B2CB6096F97E_12</vt:lpwstr>
  </property>
</Properties>
</file>