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eastAsia="zh-CN"/>
        </w:rPr>
        <w:t>府谷县新府山雾森系统项目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府谷县新府山雾森系统项目</w:t>
      </w:r>
      <w:bookmarkStart w:id="6" w:name="_GoBack"/>
      <w:bookmarkEnd w:id="6"/>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 1074106.23</w:t>
      </w:r>
      <w:r>
        <w:rPr>
          <w:rFonts w:hint="eastAsia" w:ascii="宋体" w:hAnsi="宋体" w:eastAsia="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cs="宋体"/>
          <w:color w:val="auto"/>
          <w:sz w:val="28"/>
          <w:szCs w:val="36"/>
          <w:lang w:val="en-US" w:eastAsia="zh-CN"/>
        </w:rPr>
        <w:t>县级财政资金</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1"/>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30日历天</w:t>
      </w:r>
      <w:r>
        <w:rPr>
          <w:rFonts w:hint="eastAsia" w:ascii="宋体" w:hAnsi="宋体" w:eastAsia="宋体" w:cs="宋体"/>
          <w:color w:val="auto"/>
          <w:sz w:val="28"/>
          <w:szCs w:val="36"/>
          <w:highlight w:val="none"/>
          <w:lang w:val="en-US" w:eastAsia="zh-CN"/>
        </w:rPr>
        <w:t>。</w:t>
      </w:r>
    </w:p>
    <w:p>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rPr>
        <w:t>2、服务地点</w:t>
      </w:r>
      <w:r>
        <w:rPr>
          <w:rFonts w:hint="eastAsia" w:ascii="宋体" w:hAnsi="宋体" w:eastAsia="宋体" w:cs="宋体"/>
          <w:color w:val="auto"/>
          <w:sz w:val="28"/>
          <w:szCs w:val="36"/>
        </w:rPr>
        <w:t>：政通路北侧、政通路南侧、复康路、人和路</w:t>
      </w:r>
      <w:r>
        <w:rPr>
          <w:rFonts w:hint="eastAsia" w:ascii="宋体" w:hAnsi="宋体" w:eastAsia="宋体" w:cs="宋体"/>
          <w:color w:val="auto"/>
          <w:sz w:val="28"/>
          <w:szCs w:val="36"/>
          <w:lang w:val="en-US" w:eastAsia="zh-CN"/>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pPr>
        <w:spacing w:line="360" w:lineRule="auto"/>
        <w:ind w:left="0" w:leftChars="0" w:firstLine="420" w:firstLineChars="150"/>
        <w:rPr>
          <w:rFonts w:hint="eastAsia"/>
          <w:sz w:val="28"/>
          <w:szCs w:val="36"/>
        </w:rPr>
      </w:pPr>
      <w:r>
        <w:rPr>
          <w:rFonts w:hint="eastAsia"/>
          <w:sz w:val="28"/>
          <w:szCs w:val="36"/>
          <w:lang w:val="en-US" w:eastAsia="zh-CN"/>
        </w:rPr>
        <w:t>项目具体内容</w:t>
      </w:r>
      <w:r>
        <w:rPr>
          <w:rFonts w:hint="eastAsia"/>
          <w:sz w:val="28"/>
          <w:szCs w:val="36"/>
        </w:rPr>
        <w:t>为安装共计四条路（政通路北侧、政通路南侧、复康路、人和路）全长3922m，安装喷淋系统。</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府谷县新府山雾森系统项目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府谷县新府山雾森系统项目</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工程</w:t>
      </w:r>
      <w:r>
        <w:rPr>
          <w:rFonts w:hint="eastAsia" w:ascii="宋体" w:hAnsi="宋体" w:eastAsia="宋体" w:cs="宋体"/>
          <w:color w:val="auto"/>
          <w:sz w:val="28"/>
          <w:szCs w:val="28"/>
          <w:u w:val="single"/>
          <w:lang w:val="en-US" w:eastAsia="zh-CN"/>
        </w:rPr>
        <w:t>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07</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19</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519D0824"/>
    <w:rsid w:val="09E36A17"/>
    <w:rsid w:val="1E751E8C"/>
    <w:rsid w:val="2298179E"/>
    <w:rsid w:val="3A5924F8"/>
    <w:rsid w:val="519D0824"/>
    <w:rsid w:val="59C562A9"/>
    <w:rsid w:val="66BD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1863</Words>
  <Characters>1936</Characters>
  <Lines>0</Lines>
  <Paragraphs>0</Paragraphs>
  <TotalTime>5</TotalTime>
  <ScaleCrop>false</ScaleCrop>
  <LinksUpToDate>false</LinksUpToDate>
  <CharactersWithSpaces>2045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2023-06-25T03:30:00Z</dcterms:created>
  <dc:creator>从何说起</dc:creator>
  <cp:lastModifiedBy>暖暖</cp:lastModifiedBy>
  <dcterms:modified xsi:type="dcterms:W3CDTF">2023-07-19T02:14:43Z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B81E2B3DED93449585D84F982BBD4E1A_13</vt:lpwstr>
  </property>
</Properties>
</file>