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bidi w:val="0"/>
        <w:spacing w:line="560" w:lineRule="exact"/>
        <w:jc w:val="center"/>
        <w:textAlignment w:val="auto"/>
        <w:rPr>
          <w:rFonts w:hint="eastAsia" w:ascii="宋体" w:hAnsi="宋体" w:eastAsia="宋体" w:cs="宋体"/>
          <w:b/>
          <w:bCs/>
          <w:color w:val="333333"/>
          <w:kern w:val="44"/>
          <w:sz w:val="36"/>
          <w:szCs w:val="36"/>
          <w:lang w:val="en-US" w:eastAsia="zh-CN"/>
        </w:rPr>
      </w:pPr>
    </w:p>
    <w:p>
      <w:pPr>
        <w:pageBreakBefore w:val="0"/>
        <w:widowControl w:val="0"/>
        <w:kinsoku/>
        <w:wordWrap/>
        <w:overflowPunct/>
        <w:topLinePunct w:val="0"/>
        <w:autoSpaceDE/>
        <w:bidi w:val="0"/>
        <w:spacing w:line="560" w:lineRule="exact"/>
        <w:jc w:val="center"/>
        <w:textAlignment w:val="auto"/>
        <w:rPr>
          <w:rFonts w:hint="eastAsia" w:ascii="方正小标宋简体" w:hAnsi="方正小标宋简体" w:eastAsia="方正小标宋简体" w:cs="方正小标宋简体"/>
          <w:b/>
          <w:bCs/>
          <w:color w:val="333333"/>
          <w:kern w:val="44"/>
          <w:sz w:val="44"/>
          <w:szCs w:val="44"/>
          <w:lang w:val="en-US" w:eastAsia="zh-CN"/>
        </w:rPr>
      </w:pPr>
      <w:r>
        <w:rPr>
          <w:rFonts w:hint="eastAsia" w:ascii="宋体" w:hAnsi="宋体" w:eastAsia="宋体" w:cs="宋体"/>
          <w:b/>
          <w:bCs/>
          <w:color w:val="333333"/>
          <w:kern w:val="44"/>
          <w:sz w:val="36"/>
          <w:szCs w:val="36"/>
          <w:lang w:val="en-US" w:eastAsia="zh-CN"/>
        </w:rPr>
        <w:t xml:space="preserve"> </w:t>
      </w:r>
      <w:r>
        <w:rPr>
          <w:rFonts w:hint="eastAsia" w:ascii="方正小标宋简体" w:hAnsi="方正小标宋简体" w:eastAsia="方正小标宋简体" w:cs="方正小标宋简体"/>
          <w:b/>
          <w:bCs/>
          <w:color w:val="333333"/>
          <w:kern w:val="44"/>
          <w:sz w:val="44"/>
          <w:szCs w:val="44"/>
          <w:lang w:val="en-US" w:eastAsia="zh-CN"/>
        </w:rPr>
        <w:t>府谷县郝家寨村等8个村农村高标准公厕</w:t>
      </w:r>
    </w:p>
    <w:p>
      <w:pPr>
        <w:pageBreakBefore w:val="0"/>
        <w:widowControl w:val="0"/>
        <w:kinsoku/>
        <w:wordWrap/>
        <w:overflowPunct/>
        <w:topLinePunct w:val="0"/>
        <w:autoSpaceDE/>
        <w:bidi w:val="0"/>
        <w:spacing w:line="560" w:lineRule="exact"/>
        <w:jc w:val="center"/>
        <w:textAlignment w:val="auto"/>
        <w:rPr>
          <w:rFonts w:hint="eastAsia" w:ascii="仿宋_GB2312" w:hAnsi="仿宋_GB2312" w:eastAsia="仿宋_GB2312" w:cs="仿宋_GB2312"/>
          <w:b/>
          <w:bCs/>
          <w:color w:val="333333"/>
          <w:kern w:val="44"/>
          <w:sz w:val="32"/>
          <w:szCs w:val="32"/>
          <w:lang w:val="en-US" w:eastAsia="zh-CN"/>
        </w:rPr>
      </w:pPr>
      <w:r>
        <w:rPr>
          <w:rFonts w:hint="eastAsia" w:ascii="方正小标宋简体" w:hAnsi="方正小标宋简体" w:eastAsia="方正小标宋简体" w:cs="方正小标宋简体"/>
          <w:b/>
          <w:bCs/>
          <w:color w:val="333333"/>
          <w:kern w:val="44"/>
          <w:sz w:val="44"/>
          <w:szCs w:val="44"/>
          <w:lang w:val="en-US" w:eastAsia="zh-CN"/>
        </w:rPr>
        <w:t>建设项目</w:t>
      </w:r>
      <w:r>
        <w:rPr>
          <w:rFonts w:hint="eastAsia" w:ascii="方正小标宋简体" w:hAnsi="方正小标宋简体" w:eastAsia="方正小标宋简体" w:cs="方正小标宋简体"/>
          <w:b/>
          <w:bCs/>
          <w:color w:val="333333"/>
          <w:kern w:val="44"/>
          <w:sz w:val="44"/>
          <w:szCs w:val="44"/>
          <w:lang w:eastAsia="zh-CN"/>
        </w:rPr>
        <w:t>采购</w:t>
      </w:r>
      <w:r>
        <w:rPr>
          <w:rFonts w:hint="eastAsia" w:ascii="方正小标宋简体" w:hAnsi="方正小标宋简体" w:eastAsia="方正小标宋简体" w:cs="方正小标宋简体"/>
          <w:b/>
          <w:bCs/>
          <w:color w:val="333333"/>
          <w:kern w:val="44"/>
          <w:sz w:val="44"/>
          <w:szCs w:val="44"/>
          <w:lang w:val="en-US" w:eastAsia="zh-CN"/>
        </w:rPr>
        <w:t>需求</w:t>
      </w:r>
      <w:r>
        <w:rPr>
          <w:rFonts w:hint="eastAsia" w:ascii="方正小标宋简体" w:hAnsi="方正小标宋简体" w:eastAsia="方正小标宋简体" w:cs="方正小标宋简体"/>
          <w:b/>
          <w:bCs/>
          <w:color w:val="333333"/>
          <w:kern w:val="44"/>
          <w:sz w:val="44"/>
          <w:szCs w:val="44"/>
          <w:lang w:eastAsia="zh-CN"/>
        </w:rPr>
        <w:t>计划</w:t>
      </w:r>
    </w:p>
    <w:p>
      <w:pPr>
        <w:pageBreakBefore w:val="0"/>
        <w:widowControl w:val="0"/>
        <w:kinsoku/>
        <w:wordWrap/>
        <w:overflowPunct/>
        <w:topLinePunct w:val="0"/>
        <w:autoSpaceDE/>
        <w:bidi w:val="0"/>
        <w:spacing w:line="560" w:lineRule="exact"/>
        <w:textAlignment w:val="auto"/>
        <w:rPr>
          <w:rFonts w:hint="eastAsia" w:ascii="仿宋_GB2312" w:hAnsi="仿宋_GB2312" w:eastAsia="仿宋_GB2312" w:cs="仿宋_GB2312"/>
          <w:b/>
          <w:bCs/>
          <w:sz w:val="32"/>
          <w:szCs w:val="32"/>
          <w:lang w:val="en-US" w:eastAsia="zh-CN"/>
        </w:rPr>
      </w:pPr>
    </w:p>
    <w:p>
      <w:pPr>
        <w:pageBreakBefore w:val="0"/>
        <w:widowControl w:val="0"/>
        <w:numPr>
          <w:numId w:val="0"/>
        </w:numPr>
        <w:kinsoku/>
        <w:wordWrap/>
        <w:overflowPunct/>
        <w:topLinePunct w:val="0"/>
        <w:autoSpaceDE/>
        <w:bidi w:val="0"/>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一、项目名称：</w:t>
      </w:r>
      <w:r>
        <w:rPr>
          <w:rFonts w:hint="eastAsia" w:ascii="仿宋_GB2312" w:hAnsi="仿宋_GB2312" w:eastAsia="仿宋_GB2312" w:cs="仿宋_GB2312"/>
          <w:b w:val="0"/>
          <w:bCs w:val="0"/>
          <w:sz w:val="32"/>
          <w:szCs w:val="32"/>
          <w:lang w:val="en-US" w:eastAsia="zh-CN"/>
        </w:rPr>
        <w:t xml:space="preserve"> 府谷县郝家寨村等8个村农村高标准公厕建设项目</w:t>
      </w:r>
    </w:p>
    <w:p>
      <w:pPr>
        <w:pageBreakBefore w:val="0"/>
        <w:widowControl w:val="0"/>
        <w:numPr>
          <w:numId w:val="0"/>
        </w:numPr>
        <w:kinsoku/>
        <w:wordWrap/>
        <w:overflowPunct/>
        <w:topLinePunct w:val="0"/>
        <w:autoSpaceDE/>
        <w:bidi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二、项目明细、资金构成和采购方式：</w:t>
      </w:r>
    </w:p>
    <w:p>
      <w:pPr>
        <w:pageBreakBefore w:val="0"/>
        <w:widowControl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1、采购项目明细：见上传审批附件清单</w:t>
      </w:r>
    </w:p>
    <w:p>
      <w:pPr>
        <w:pageBreakBefore w:val="0"/>
        <w:widowControl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2、资金来源：财政拨款</w:t>
      </w:r>
    </w:p>
    <w:p>
      <w:pPr>
        <w:pageBreakBefore w:val="0"/>
        <w:widowControl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3、采购方</w:t>
      </w:r>
      <w:r>
        <w:rPr>
          <w:rFonts w:hint="eastAsia" w:ascii="仿宋_GB2312" w:hAnsi="仿宋_GB2312" w:eastAsia="仿宋_GB2312" w:cs="仿宋_GB2312"/>
          <w:sz w:val="32"/>
          <w:szCs w:val="32"/>
          <w:lang w:val="en-US" w:eastAsia="zh-CN"/>
        </w:rPr>
        <w:t>式：竞争性磋商</w:t>
      </w:r>
    </w:p>
    <w:p>
      <w:pPr>
        <w:pageBreakBefore w:val="0"/>
        <w:widowControl w:val="0"/>
        <w:kinsoku/>
        <w:wordWrap/>
        <w:overflowPunct/>
        <w:topLinePunct w:val="0"/>
        <w:autoSpaceDE/>
        <w:bidi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三、项目实施时间、地点、工程概况、履行期限及方式</w:t>
      </w:r>
    </w:p>
    <w:p>
      <w:pPr>
        <w:pageBreakBefore w:val="0"/>
        <w:widowControl w:val="0"/>
        <w:kinsoku/>
        <w:wordWrap/>
        <w:overflowPunct/>
        <w:topLinePunct w:val="0"/>
        <w:autoSpaceDE/>
        <w:bidi w:val="0"/>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1、项目实施时间：</w:t>
      </w:r>
      <w:r>
        <w:rPr>
          <w:rFonts w:hint="eastAsia" w:ascii="仿宋_GB2312" w:hAnsi="仿宋_GB2312" w:eastAsia="仿宋_GB2312" w:cs="仿宋_GB2312"/>
          <w:b w:val="0"/>
          <w:bCs w:val="0"/>
          <w:color w:val="auto"/>
          <w:sz w:val="32"/>
          <w:szCs w:val="32"/>
          <w:lang w:val="en-US" w:eastAsia="zh-CN"/>
        </w:rPr>
        <w:t>2023年7月</w:t>
      </w:r>
      <w:r>
        <w:rPr>
          <w:rFonts w:hint="eastAsia" w:ascii="仿宋_GB2312" w:hAnsi="仿宋_GB2312" w:eastAsia="仿宋_GB2312" w:cs="仿宋_GB2312"/>
          <w:color w:val="auto"/>
          <w:sz w:val="32"/>
          <w:szCs w:val="32"/>
          <w:lang w:val="en-US" w:eastAsia="zh-CN"/>
        </w:rPr>
        <w:t xml:space="preserve"> </w:t>
      </w:r>
    </w:p>
    <w:p>
      <w:pPr>
        <w:pageBreakBefore w:val="0"/>
        <w:widowControl w:val="0"/>
        <w:kinsoku/>
        <w:wordWrap/>
        <w:overflowPunct/>
        <w:topLinePunct w:val="0"/>
        <w:autoSpaceDE/>
        <w:bidi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2、项目实施地点：</w:t>
      </w:r>
      <w:r>
        <w:rPr>
          <w:rFonts w:hint="eastAsia" w:ascii="仿宋_GB2312" w:hAnsi="仿宋_GB2312" w:eastAsia="仿宋_GB2312" w:cs="仿宋_GB2312"/>
          <w:b w:val="0"/>
          <w:bCs w:val="0"/>
          <w:sz w:val="32"/>
          <w:szCs w:val="32"/>
          <w:lang w:val="en-US" w:eastAsia="zh-CN"/>
        </w:rPr>
        <w:t>郝家寨村等8个村</w:t>
      </w:r>
    </w:p>
    <w:p>
      <w:pPr>
        <w:pageBreakBefore w:val="0"/>
        <w:widowControl w:val="0"/>
        <w:numPr>
          <w:ilvl w:val="0"/>
          <w:numId w:val="0"/>
        </w:numPr>
        <w:kinsoku/>
        <w:wordWrap/>
        <w:overflowPunct/>
        <w:topLinePunct w:val="0"/>
        <w:autoSpaceDE/>
        <w:bidi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3、项目概况：</w:t>
      </w:r>
    </w:p>
    <w:p>
      <w:pPr>
        <w:pageBreakBefore w:val="0"/>
        <w:widowControl w:val="0"/>
        <w:kinsoku/>
        <w:wordWrap/>
        <w:overflowPunct/>
        <w:topLinePunct w:val="0"/>
        <w:autoSpaceDE/>
        <w:bidi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主要内容包括</w:t>
      </w:r>
      <w:r>
        <w:rPr>
          <w:rFonts w:hint="eastAsia" w:ascii="仿宋_GB2312" w:hAnsi="仿宋_GB2312" w:eastAsia="仿宋_GB2312" w:cs="仿宋_GB2312"/>
          <w:sz w:val="32"/>
          <w:szCs w:val="32"/>
          <w:lang w:val="en-US" w:eastAsia="zh-CN"/>
        </w:rPr>
        <w:t>：本项目主要内容是在府谷县郝家寨村、海则庙村、长房梁村、麻镇村等8个村</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lang w:val="en-US" w:eastAsia="zh-CN"/>
        </w:rPr>
        <w:t xml:space="preserve">农村高标准公厕。 </w:t>
      </w:r>
    </w:p>
    <w:p>
      <w:pPr>
        <w:pageBreakBefore w:val="0"/>
        <w:widowControl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本项目工期为</w:t>
      </w:r>
      <w:r>
        <w:rPr>
          <w:rFonts w:hint="eastAsia" w:ascii="仿宋_GB2312" w:hAnsi="仿宋_GB2312" w:eastAsia="仿宋_GB2312" w:cs="仿宋_GB2312"/>
          <w:color w:val="auto"/>
          <w:sz w:val="32"/>
          <w:szCs w:val="32"/>
          <w:lang w:val="en-US" w:eastAsia="zh-CN"/>
        </w:rPr>
        <w:t>60日历天</w:t>
      </w:r>
      <w:r>
        <w:rPr>
          <w:rFonts w:hint="eastAsia" w:ascii="仿宋_GB2312" w:hAnsi="仿宋_GB2312" w:eastAsia="仿宋_GB2312" w:cs="仿宋_GB2312"/>
          <w:sz w:val="32"/>
          <w:szCs w:val="32"/>
          <w:lang w:val="en-US" w:eastAsia="zh-CN"/>
        </w:rPr>
        <w:t>。项目总投资：1590204.12元。</w:t>
      </w:r>
    </w:p>
    <w:p>
      <w:pPr>
        <w:pageBreakBefore w:val="0"/>
        <w:widowControl w:val="0"/>
        <w:numPr>
          <w:numId w:val="0"/>
        </w:numPr>
        <w:kinsoku/>
        <w:wordWrap/>
        <w:overflowPunct/>
        <w:topLinePunct w:val="0"/>
        <w:autoSpaceDE/>
        <w:bidi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4、履行期限及方式：</w:t>
      </w:r>
      <w:r>
        <w:rPr>
          <w:rFonts w:hint="eastAsia" w:ascii="仿宋_GB2312" w:hAnsi="仿宋_GB2312" w:eastAsia="仿宋_GB2312" w:cs="仿宋_GB2312"/>
          <w:sz w:val="32"/>
          <w:szCs w:val="32"/>
          <w:lang w:val="en-US" w:eastAsia="zh-CN"/>
        </w:rPr>
        <w:t>严格执行政府采购程序，审批结束后开始实施，9月30日前完成项目建设任务。</w:t>
      </w:r>
    </w:p>
    <w:p>
      <w:pPr>
        <w:pageBreakBefore w:val="0"/>
        <w:widowControl w:val="0"/>
        <w:numPr>
          <w:ilvl w:val="0"/>
          <w:numId w:val="0"/>
        </w:numPr>
        <w:kinsoku/>
        <w:wordWrap/>
        <w:overflowPunct/>
        <w:topLinePunct w:val="0"/>
        <w:autoSpaceDE/>
        <w:bidi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四、履约验收标准和方法</w:t>
      </w:r>
    </w:p>
    <w:p>
      <w:pPr>
        <w:pageBreakBefore w:val="0"/>
        <w:widowControl w:val="0"/>
        <w:numPr>
          <w:ilvl w:val="0"/>
          <w:numId w:val="0"/>
        </w:numPr>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1、履约验收时间：甲方指定时间</w:t>
      </w:r>
    </w:p>
    <w:p>
      <w:pPr>
        <w:pageBreakBefore w:val="0"/>
        <w:widowControl w:val="0"/>
        <w:numPr>
          <w:ilvl w:val="0"/>
          <w:numId w:val="0"/>
        </w:numPr>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2、履约验收主体及内容：由采购人根据合同要求，对农村高标准公厕建设项目进行验收。</w:t>
      </w:r>
    </w:p>
    <w:p>
      <w:pPr>
        <w:pageBreakBefore w:val="0"/>
        <w:widowControl w:val="0"/>
        <w:numPr>
          <w:ilvl w:val="0"/>
          <w:numId w:val="0"/>
        </w:numPr>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验收程序：供应商应当严格按合同约定的内容提供工程服务。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4、履约验收标准：供应商出具的合格等级各项资料，符合国家相关施工验收规范；并达到合格标准。</w:t>
      </w:r>
    </w:p>
    <w:p>
      <w:pPr>
        <w:pageBreakBefore w:val="0"/>
        <w:widowControl w:val="0"/>
        <w:numPr>
          <w:ilvl w:val="0"/>
          <w:numId w:val="0"/>
        </w:numPr>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bidi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五、对供应商的要求</w:t>
      </w:r>
    </w:p>
    <w:p>
      <w:pPr>
        <w:pageBreakBefore w:val="0"/>
        <w:widowControl w:val="0"/>
        <w:kinsoku/>
        <w:wordWrap/>
        <w:overflowPunct/>
        <w:topLinePunct w:val="0"/>
        <w:autoSpaceDE/>
        <w:bidi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1、在中华人民共和国境内注册的，应具备行政主管部门颁发的独立企业法人；</w:t>
      </w:r>
    </w:p>
    <w:p>
      <w:pPr>
        <w:pageBreakBefore w:val="0"/>
        <w:widowControl w:val="0"/>
        <w:kinsoku/>
        <w:wordWrap/>
        <w:overflowPunct/>
        <w:topLinePunct w:val="0"/>
        <w:autoSpaceDE/>
        <w:bidi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2、具有良好的商业信誉和健全的财务会计制度；</w:t>
      </w:r>
    </w:p>
    <w:p>
      <w:pPr>
        <w:pageBreakBefore w:val="0"/>
        <w:widowControl w:val="0"/>
        <w:kinsoku/>
        <w:wordWrap/>
        <w:overflowPunct/>
        <w:topLinePunct w:val="0"/>
        <w:autoSpaceDE/>
        <w:bidi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3、具有履行合同所必须的设备和专业技术能力；</w:t>
      </w:r>
    </w:p>
    <w:p>
      <w:pPr>
        <w:pageBreakBefore w:val="0"/>
        <w:widowControl w:val="0"/>
        <w:kinsoku/>
        <w:wordWrap/>
        <w:overflowPunct/>
        <w:topLinePunct w:val="0"/>
        <w:autoSpaceDE/>
        <w:bidi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4、有依法缴纳税收和社会保障资金的良好记录；</w:t>
      </w:r>
    </w:p>
    <w:p>
      <w:pPr>
        <w:pageBreakBefore w:val="0"/>
        <w:widowControl w:val="0"/>
        <w:kinsoku/>
        <w:wordWrap/>
        <w:overflowPunct/>
        <w:topLinePunct w:val="0"/>
        <w:autoSpaceDE/>
        <w:bidi w:val="0"/>
        <w:spacing w:line="560" w:lineRule="exact"/>
        <w:ind w:firstLine="640"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kern w:val="2"/>
          <w:sz w:val="32"/>
          <w:szCs w:val="32"/>
          <w:lang w:val="en-US" w:eastAsia="zh-CN" w:bidi="ar-SA"/>
        </w:rPr>
        <w:t>5、参加本项政府采购活动前三年内，在经营活动中没有重大违法记录。（具体要求详见招标公告）</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b/>
          <w:bCs/>
          <w:color w:val="auto"/>
          <w:sz w:val="32"/>
          <w:szCs w:val="32"/>
          <w:lang w:val="en-US" w:eastAsia="zh-CN"/>
        </w:rPr>
        <w:t>六、合同模板：</w:t>
      </w:r>
    </w:p>
    <w:p>
      <w:pPr>
        <w:pageBreakBefore w:val="0"/>
        <w:widowControl w:val="0"/>
        <w:kinsoku/>
        <w:wordWrap/>
        <w:overflowPunct/>
        <w:topLinePunct w:val="0"/>
        <w:autoSpaceDE/>
        <w:bidi w:val="0"/>
        <w:spacing w:line="5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府谷县郝家寨村等8个村农村高标准公厕建设项目施工</w:t>
      </w:r>
      <w:r>
        <w:rPr>
          <w:rFonts w:hint="eastAsia" w:ascii="仿宋_GB2312" w:hAnsi="仿宋_GB2312" w:eastAsia="仿宋_GB2312" w:cs="仿宋_GB2312"/>
          <w:b/>
          <w:bCs/>
          <w:color w:val="auto"/>
          <w:sz w:val="32"/>
          <w:szCs w:val="32"/>
        </w:rPr>
        <w:t>合同</w:t>
      </w:r>
    </w:p>
    <w:p>
      <w:pPr>
        <w:pStyle w:val="16"/>
        <w:pageBreakBefore w:val="0"/>
        <w:widowControl w:val="0"/>
        <w:kinsoku/>
        <w:wordWrap/>
        <w:overflowPunct/>
        <w:topLinePunct w:val="0"/>
        <w:autoSpaceDE/>
        <w:bidi w:val="0"/>
        <w:spacing w:line="560" w:lineRule="exac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snapToGrid w:val="0"/>
          <w:color w:val="auto"/>
          <w:kern w:val="0"/>
          <w:sz w:val="32"/>
          <w:szCs w:val="32"/>
          <w:lang w:eastAsia="zh-Hans"/>
        </w:rPr>
      </w:pPr>
      <w:r>
        <w:rPr>
          <w:rFonts w:hint="eastAsia" w:ascii="仿宋_GB2312" w:hAnsi="仿宋_GB2312" w:eastAsia="仿宋_GB2312" w:cs="仿宋_GB2312"/>
          <w:snapToGrid w:val="0"/>
          <w:color w:val="auto"/>
          <w:kern w:val="0"/>
          <w:sz w:val="32"/>
          <w:szCs w:val="32"/>
          <w:lang w:eastAsia="zh-Hans"/>
        </w:rPr>
        <w:t>甲方（</w:t>
      </w:r>
      <w:r>
        <w:rPr>
          <w:rFonts w:hint="eastAsia" w:ascii="仿宋_GB2312" w:hAnsi="仿宋_GB2312" w:eastAsia="仿宋_GB2312" w:cs="仿宋_GB2312"/>
          <w:snapToGrid w:val="0"/>
          <w:color w:val="auto"/>
          <w:kern w:val="0"/>
          <w:sz w:val="32"/>
          <w:szCs w:val="32"/>
        </w:rPr>
        <w:t>采购人</w:t>
      </w:r>
      <w:r>
        <w:rPr>
          <w:rFonts w:hint="eastAsia" w:ascii="仿宋_GB2312" w:hAnsi="仿宋_GB2312" w:eastAsia="仿宋_GB2312" w:cs="仿宋_GB2312"/>
          <w:snapToGrid w:val="0"/>
          <w:color w:val="auto"/>
          <w:kern w:val="0"/>
          <w:sz w:val="32"/>
          <w:szCs w:val="32"/>
          <w:lang w:eastAsia="zh-Hans"/>
        </w:rPr>
        <w:t>）：</w:t>
      </w:r>
      <w:r>
        <w:rPr>
          <w:rFonts w:hint="eastAsia" w:ascii="仿宋_GB2312" w:hAnsi="仿宋_GB2312" w:eastAsia="仿宋_GB2312" w:cs="仿宋_GB2312"/>
          <w:snapToGrid w:val="0"/>
          <w:color w:val="auto"/>
          <w:kern w:val="0"/>
          <w:sz w:val="32"/>
          <w:szCs w:val="32"/>
        </w:rPr>
        <w:t xml:space="preserve">                                      </w:t>
      </w:r>
    </w:p>
    <w:p>
      <w:pPr>
        <w:pageBreakBefore w:val="0"/>
        <w:widowControl w:val="0"/>
        <w:kinsoku/>
        <w:wordWrap/>
        <w:overflowPunct/>
        <w:topLinePunct w:val="0"/>
        <w:autoSpaceDE/>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snapToGrid w:val="0"/>
          <w:color w:val="auto"/>
          <w:kern w:val="0"/>
          <w:sz w:val="32"/>
          <w:szCs w:val="32"/>
          <w:lang w:eastAsia="zh-Hans"/>
        </w:rPr>
      </w:pPr>
      <w:r>
        <w:rPr>
          <w:rFonts w:hint="eastAsia" w:ascii="仿宋_GB2312" w:hAnsi="仿宋_GB2312" w:eastAsia="仿宋_GB2312" w:cs="仿宋_GB2312"/>
          <w:snapToGrid w:val="0"/>
          <w:color w:val="auto"/>
          <w:kern w:val="0"/>
          <w:sz w:val="32"/>
          <w:szCs w:val="32"/>
          <w:lang w:eastAsia="zh-Hans"/>
        </w:rPr>
        <w:t>乙方（</w:t>
      </w:r>
      <w:r>
        <w:rPr>
          <w:rFonts w:hint="eastAsia" w:ascii="仿宋_GB2312" w:hAnsi="仿宋_GB2312" w:eastAsia="仿宋_GB2312" w:cs="仿宋_GB2312"/>
          <w:snapToGrid w:val="0"/>
          <w:color w:val="auto"/>
          <w:kern w:val="0"/>
          <w:sz w:val="32"/>
          <w:szCs w:val="32"/>
        </w:rPr>
        <w:t>中标人</w:t>
      </w:r>
      <w:r>
        <w:rPr>
          <w:rFonts w:hint="eastAsia" w:ascii="仿宋_GB2312" w:hAnsi="仿宋_GB2312" w:eastAsia="仿宋_GB2312" w:cs="仿宋_GB2312"/>
          <w:snapToGrid w:val="0"/>
          <w:color w:val="auto"/>
          <w:kern w:val="0"/>
          <w:sz w:val="32"/>
          <w:szCs w:val="32"/>
          <w:lang w:eastAsia="zh-Hans"/>
        </w:rPr>
        <w:t>）：</w:t>
      </w:r>
      <w:r>
        <w:rPr>
          <w:rFonts w:hint="eastAsia" w:ascii="仿宋_GB2312" w:hAnsi="仿宋_GB2312" w:eastAsia="仿宋_GB2312" w:cs="仿宋_GB2312"/>
          <w:snapToGrid w:val="0"/>
          <w:color w:val="auto"/>
          <w:kern w:val="0"/>
          <w:sz w:val="32"/>
          <w:szCs w:val="32"/>
        </w:rPr>
        <w:t xml:space="preserve"> </w:t>
      </w:r>
      <w:r>
        <w:rPr>
          <w:rFonts w:hint="eastAsia" w:ascii="仿宋_GB2312" w:hAnsi="仿宋_GB2312" w:eastAsia="仿宋_GB2312" w:cs="仿宋_GB2312"/>
          <w:snapToGrid w:val="0"/>
          <w:color w:val="auto"/>
          <w:kern w:val="0"/>
          <w:sz w:val="32"/>
          <w:szCs w:val="32"/>
          <w:lang w:eastAsia="zh-Hans"/>
        </w:rPr>
        <w:t xml:space="preserve">             </w:t>
      </w:r>
      <w:r>
        <w:rPr>
          <w:rFonts w:hint="eastAsia" w:ascii="仿宋_GB2312" w:hAnsi="仿宋_GB2312" w:eastAsia="仿宋_GB2312" w:cs="仿宋_GB2312"/>
          <w:snapToGrid w:val="0"/>
          <w:color w:val="auto"/>
          <w:kern w:val="0"/>
          <w:sz w:val="32"/>
          <w:szCs w:val="32"/>
        </w:rPr>
        <w:t xml:space="preserve">                        </w:t>
      </w:r>
    </w:p>
    <w:p>
      <w:pPr>
        <w:pageBreakBefore w:val="0"/>
        <w:widowControl w:val="0"/>
        <w:kinsoku/>
        <w:wordWrap/>
        <w:overflowPunct/>
        <w:topLinePunct w:val="0"/>
        <w:autoSpaceDE/>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b/>
          <w:snapToGrid w:val="0"/>
          <w:color w:val="auto"/>
          <w:kern w:val="0"/>
          <w:sz w:val="32"/>
          <w:szCs w:val="32"/>
        </w:rPr>
      </w:pPr>
      <w:r>
        <w:rPr>
          <w:rFonts w:hint="eastAsia" w:ascii="仿宋_GB2312" w:hAnsi="仿宋_GB2312" w:eastAsia="仿宋_GB2312" w:cs="仿宋_GB2312"/>
          <w:snapToGrid w:val="0"/>
          <w:color w:val="auto"/>
          <w:kern w:val="0"/>
          <w:sz w:val="32"/>
          <w:szCs w:val="32"/>
        </w:rPr>
        <w:t>根据《中华人民共和国政府采购法》、《中华人民共和国合同法》等相关法律，甲、乙双方经平等协商一致，就“</w:t>
      </w:r>
      <w:r>
        <w:rPr>
          <w:rFonts w:hint="eastAsia" w:ascii="仿宋_GB2312" w:hAnsi="仿宋_GB2312" w:eastAsia="仿宋_GB2312" w:cs="仿宋_GB2312"/>
          <w:snapToGrid w:val="0"/>
          <w:color w:val="auto"/>
          <w:kern w:val="0"/>
          <w:sz w:val="32"/>
          <w:szCs w:val="32"/>
          <w:lang w:val="en-US" w:eastAsia="zh-CN"/>
        </w:rPr>
        <w:t>府谷县郝家寨村等8个村农村高标准公厕建设项目</w:t>
      </w:r>
      <w:r>
        <w:rPr>
          <w:rFonts w:hint="eastAsia" w:ascii="仿宋_GB2312" w:hAnsi="仿宋_GB2312" w:eastAsia="仿宋_GB2312" w:cs="仿宋_GB2312"/>
          <w:snapToGrid w:val="0"/>
          <w:color w:val="auto"/>
          <w:kern w:val="0"/>
          <w:sz w:val="32"/>
          <w:szCs w:val="32"/>
        </w:rPr>
        <w:t xml:space="preserve">”承办达成合同如下：                       </w:t>
      </w:r>
    </w:p>
    <w:p>
      <w:pPr>
        <w:pageBreakBefore w:val="0"/>
        <w:widowControl w:val="0"/>
        <w:kinsoku/>
        <w:wordWrap/>
        <w:overflowPunct/>
        <w:topLinePunct w:val="0"/>
        <w:autoSpaceDE/>
        <w:bidi w:val="0"/>
        <w:adjustRightInd w:val="0"/>
        <w:snapToGrid w:val="0"/>
        <w:spacing w:line="56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一、合同文件</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本合同所附下列文件是构成本合同不可分割的部分，组成合同的各项文件应互相解释，互为说明，解释合同文件的优先顺序如下：</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合同条款</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 中标通知书</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 中标人在评标过程中做出的有关澄清、说明、承诺或者补正文件</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 招标文件</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 中标人的投标文件</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 本合同附件</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同一层次的合同文件规定有矛盾的以较后时间制定的为准。</w:t>
      </w:r>
    </w:p>
    <w:p>
      <w:pPr>
        <w:pageBreakBefore w:val="0"/>
        <w:widowControl w:val="0"/>
        <w:kinsoku/>
        <w:wordWrap/>
        <w:overflowPunct/>
        <w:topLinePunct w:val="0"/>
        <w:autoSpaceDE/>
        <w:bidi w:val="0"/>
        <w:adjustRightInd w:val="0"/>
        <w:snapToGrid w:val="0"/>
        <w:spacing w:line="56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二、合同的范围和条件</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本合同的范围和条件应与上述合同文件的规定相一致。</w:t>
      </w:r>
    </w:p>
    <w:p>
      <w:pPr>
        <w:pageBreakBefore w:val="0"/>
        <w:widowControl w:val="0"/>
        <w:kinsoku/>
        <w:wordWrap/>
        <w:overflowPunct/>
        <w:topLinePunct w:val="0"/>
        <w:autoSpaceDE/>
        <w:bidi w:val="0"/>
        <w:adjustRightInd w:val="0"/>
        <w:snapToGrid w:val="0"/>
        <w:spacing w:line="56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三、</w:t>
      </w:r>
      <w:r>
        <w:rPr>
          <w:rFonts w:hint="eastAsia" w:ascii="仿宋_GB2312" w:hAnsi="仿宋_GB2312" w:eastAsia="仿宋_GB2312" w:cs="仿宋_GB2312"/>
          <w:b/>
          <w:color w:val="auto"/>
          <w:sz w:val="32"/>
          <w:szCs w:val="32"/>
          <w:lang w:val="en-US" w:eastAsia="zh-CN"/>
        </w:rPr>
        <w:t>工程</w:t>
      </w:r>
      <w:r>
        <w:rPr>
          <w:rFonts w:hint="eastAsia" w:ascii="仿宋_GB2312" w:hAnsi="仿宋_GB2312" w:eastAsia="仿宋_GB2312" w:cs="仿宋_GB2312"/>
          <w:b/>
          <w:color w:val="auto"/>
          <w:sz w:val="32"/>
          <w:szCs w:val="32"/>
        </w:rPr>
        <w:t>项目</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本合同所提供的服务项目内容：（与报价文件中</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rPr>
        <w:t>明细表一致）。</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rPr>
        <w:t xml:space="preserve">                                                        </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rPr>
        <w:t xml:space="preserve">                                                        </w:t>
      </w:r>
    </w:p>
    <w:p>
      <w:pPr>
        <w:pageBreakBefore w:val="0"/>
        <w:widowControl w:val="0"/>
        <w:kinsoku/>
        <w:wordWrap/>
        <w:overflowPunct/>
        <w:topLinePunct w:val="0"/>
        <w:autoSpaceDE/>
        <w:bidi w:val="0"/>
        <w:adjustRightInd w:val="0"/>
        <w:snapToGrid w:val="0"/>
        <w:spacing w:line="56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四、合同金额</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合同金额为人民币大写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pageBreakBefore w:val="0"/>
        <w:widowControl w:val="0"/>
        <w:kinsoku/>
        <w:wordWrap/>
        <w:overflowPunct/>
        <w:topLinePunct w:val="0"/>
        <w:autoSpaceDE/>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五、付款途径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pageBreakBefore w:val="0"/>
        <w:widowControl w:val="0"/>
        <w:kinsoku/>
        <w:wordWrap/>
        <w:overflowPunct/>
        <w:topLinePunct w:val="0"/>
        <w:autoSpaceDE/>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b/>
          <w:color w:val="auto"/>
          <w:sz w:val="32"/>
          <w:szCs w:val="32"/>
        </w:rPr>
        <w:t>六、付款方式：</w:t>
      </w:r>
      <w:r>
        <w:rPr>
          <w:rFonts w:hint="eastAsia" w:ascii="仿宋_GB2312" w:hAnsi="仿宋_GB2312" w:eastAsia="仿宋_GB2312" w:cs="仿宋_GB2312"/>
          <w:color w:val="auto"/>
          <w:sz w:val="32"/>
          <w:szCs w:val="32"/>
          <w:u w:val="single"/>
          <w:lang w:val="en-US" w:eastAsia="zh-CN"/>
        </w:rPr>
        <w:t>双方签订合同后，预付工程款40%，工程验收后付</w:t>
      </w:r>
      <w:bookmarkStart w:id="0" w:name="_GoBack"/>
      <w:bookmarkEnd w:id="0"/>
      <w:r>
        <w:rPr>
          <w:rFonts w:hint="eastAsia" w:ascii="仿宋_GB2312" w:hAnsi="仿宋_GB2312" w:eastAsia="仿宋_GB2312" w:cs="仿宋_GB2312"/>
          <w:color w:val="auto"/>
          <w:sz w:val="32"/>
          <w:szCs w:val="32"/>
          <w:u w:val="single"/>
          <w:lang w:val="en-US" w:eastAsia="zh-CN"/>
        </w:rPr>
        <w:t>40%，审计后按审计价全额付清剩余工程款。</w:t>
      </w:r>
    </w:p>
    <w:p>
      <w:pPr>
        <w:pageBreakBefore w:val="0"/>
        <w:widowControl w:val="0"/>
        <w:kinsoku/>
        <w:wordWrap/>
        <w:overflowPunct/>
        <w:topLinePunct w:val="0"/>
        <w:autoSpaceDE/>
        <w:bidi w:val="0"/>
        <w:adjustRightInd w:val="0"/>
        <w:snapToGrid w:val="0"/>
        <w:spacing w:line="56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七、知识产权</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乙方应保证甲方所使用的服务成果免受第三方提出的侵犯其知识产权的诉讼。</w:t>
      </w:r>
    </w:p>
    <w:p>
      <w:pPr>
        <w:pageBreakBefore w:val="0"/>
        <w:widowControl w:val="0"/>
        <w:kinsoku/>
        <w:wordWrap/>
        <w:overflowPunct/>
        <w:topLinePunct w:val="0"/>
        <w:autoSpaceDE/>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八、违约条款</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一方不按期履行合同，并经另一方提示后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日内仍不履行合同的，守约方有权解除合同，违约方要承担相应的法律责任。</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 如因一方违约，双方未能就赔偿损失达成协议，引起诉讼或仲裁时，违约方除应赔偿对方经济损失外，还应承担因诉讼或仲裁所支付的律师代理费等相关费用。</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 其它应承担的违约责任，以《中华人民共和国合同法》和其它有关法律、法规规定为准，无相关规定的，双方协商解决。</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 按照本合同规定应该偿付的违约金、赔偿金等，应当在明确责任后 7 日内，按银行规定或双方商定的结算办法付清，否则按逾期付款处理。</w:t>
      </w:r>
    </w:p>
    <w:p>
      <w:pPr>
        <w:pStyle w:val="4"/>
        <w:pageBreakBefore w:val="0"/>
        <w:widowControl w:val="0"/>
        <w:kinsoku/>
        <w:wordWrap/>
        <w:overflowPunct/>
        <w:topLinePunct w:val="0"/>
        <w:autoSpaceDE/>
        <w:bidi w:val="0"/>
        <w:spacing w:line="560" w:lineRule="exact"/>
        <w:ind w:left="0" w:leftChars="0" w:firstLine="643"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九、履约验收标准和方式</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1.履约验收时间：</w:t>
      </w:r>
      <w:r>
        <w:rPr>
          <w:rFonts w:hint="eastAsia" w:ascii="仿宋_GB2312" w:hAnsi="仿宋_GB2312" w:eastAsia="仿宋_GB2312" w:cs="仿宋_GB2312"/>
          <w:color w:val="auto"/>
          <w:sz w:val="32"/>
          <w:szCs w:val="32"/>
          <w:u w:val="single"/>
          <w:lang w:val="en-US" w:eastAsia="zh-CN"/>
        </w:rPr>
        <w:t>甲方指定时间</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2.履约验收主体及内容：</w:t>
      </w:r>
      <w:r>
        <w:rPr>
          <w:rFonts w:hint="eastAsia" w:ascii="仿宋_GB2312" w:hAnsi="仿宋_GB2312" w:eastAsia="仿宋_GB2312" w:cs="仿宋_GB2312"/>
          <w:color w:val="auto"/>
          <w:sz w:val="32"/>
          <w:szCs w:val="32"/>
          <w:u w:val="single"/>
          <w:lang w:val="en-US" w:eastAsia="zh-CN"/>
        </w:rPr>
        <w:t>由采购人根据合同要求，进行验收。</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3.验收标准：</w:t>
      </w:r>
      <w:r>
        <w:rPr>
          <w:rFonts w:hint="eastAsia" w:ascii="仿宋_GB2312" w:hAnsi="仿宋_GB2312" w:eastAsia="仿宋_GB2312" w:cs="仿宋_GB2312"/>
          <w:color w:val="auto"/>
          <w:sz w:val="32"/>
          <w:szCs w:val="32"/>
          <w:u w:val="single"/>
          <w:lang w:val="en-US" w:eastAsia="zh-CN"/>
        </w:rPr>
        <w:t xml:space="preserve">  符合国家相关施工验收规范；并达到合格标准。 </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4.验收方式：</w:t>
      </w:r>
      <w:r>
        <w:rPr>
          <w:rFonts w:hint="eastAsia" w:ascii="仿宋_GB2312" w:hAnsi="仿宋_GB2312" w:eastAsia="仿宋_GB2312" w:cs="仿宋_GB2312"/>
          <w:color w:val="auto"/>
          <w:sz w:val="32"/>
          <w:szCs w:val="32"/>
          <w:u w:val="single"/>
          <w:lang w:val="en-US" w:eastAsia="zh-CN"/>
        </w:rPr>
        <w:t>由采购单位技术人员按照相关验收标准进行验收。</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5.验收依据：</w:t>
      </w:r>
      <w:r>
        <w:rPr>
          <w:rFonts w:hint="eastAsia" w:ascii="仿宋_GB2312" w:hAnsi="仿宋_GB2312" w:eastAsia="仿宋_GB2312" w:cs="仿宋_GB2312"/>
          <w:color w:val="auto"/>
          <w:sz w:val="32"/>
          <w:szCs w:val="32"/>
          <w:u w:val="single"/>
          <w:lang w:val="en-US" w:eastAsia="zh-CN"/>
        </w:rPr>
        <w:t xml:space="preserve">  符合国家相关施工标准   </w:t>
      </w:r>
    </w:p>
    <w:p>
      <w:pPr>
        <w:pStyle w:val="9"/>
        <w:pageBreakBefore w:val="0"/>
        <w:widowControl w:val="0"/>
        <w:kinsoku/>
        <w:wordWrap/>
        <w:overflowPunct/>
        <w:topLinePunct w:val="0"/>
        <w:autoSpaceDE/>
        <w:bidi w:val="0"/>
        <w:spacing w:line="560" w:lineRule="exact"/>
        <w:textAlignment w:val="auto"/>
        <w:rPr>
          <w:rFonts w:hint="eastAsia" w:ascii="仿宋_GB2312" w:hAnsi="仿宋_GB2312" w:eastAsia="仿宋_GB2312" w:cs="仿宋_GB2312"/>
          <w:sz w:val="32"/>
          <w:szCs w:val="32"/>
          <w:lang w:val="en-US"/>
        </w:rPr>
      </w:pPr>
    </w:p>
    <w:p>
      <w:pPr>
        <w:pageBreakBefore w:val="0"/>
        <w:widowControl w:val="0"/>
        <w:kinsoku/>
        <w:wordWrap/>
        <w:overflowPunct/>
        <w:topLinePunct w:val="0"/>
        <w:autoSpaceDE/>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十</w:t>
      </w:r>
      <w:r>
        <w:rPr>
          <w:rFonts w:hint="eastAsia" w:ascii="仿宋_GB2312" w:hAnsi="仿宋_GB2312" w:eastAsia="仿宋_GB2312" w:cs="仿宋_GB2312"/>
          <w:b/>
          <w:bCs/>
          <w:color w:val="auto"/>
          <w:sz w:val="32"/>
          <w:szCs w:val="32"/>
        </w:rPr>
        <w:t>、不可抗力条款</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pageBreakBefore w:val="0"/>
        <w:widowControl w:val="0"/>
        <w:kinsoku/>
        <w:wordWrap/>
        <w:overflowPunct/>
        <w:topLinePunct w:val="0"/>
        <w:autoSpaceDE/>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、争议的解决方式</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本合同执行过程中如发生争议，应本着友好的原则协商解决。协商不成产生的诉讼，由甲方所在地人民法院管辖</w:t>
      </w:r>
    </w:p>
    <w:p>
      <w:pPr>
        <w:pageBreakBefore w:val="0"/>
        <w:widowControl w:val="0"/>
        <w:kinsoku/>
        <w:wordWrap/>
        <w:overflowPunct/>
        <w:topLinePunct w:val="0"/>
        <w:autoSpaceDE/>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、补充协议</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合同未尽事宜，经双方协商可签订补充协议，所签订的补充协议与本合同具有同等的法律效力，补充协议的生效应符合本合同的有关规定。</w:t>
      </w:r>
    </w:p>
    <w:p>
      <w:pPr>
        <w:pageBreakBefore w:val="0"/>
        <w:widowControl w:val="0"/>
        <w:kinsoku/>
        <w:wordWrap/>
        <w:overflowPunct/>
        <w:topLinePunct w:val="0"/>
        <w:autoSpaceDE/>
        <w:bidi w:val="0"/>
        <w:adjustRightInd w:val="0"/>
        <w:snapToGrid w:val="0"/>
        <w:spacing w:line="56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十</w:t>
      </w:r>
      <w:r>
        <w:rPr>
          <w:rFonts w:hint="eastAsia" w:ascii="仿宋_GB2312" w:hAnsi="仿宋_GB2312" w:eastAsia="仿宋_GB2312" w:cs="仿宋_GB2312"/>
          <w:b/>
          <w:color w:val="auto"/>
          <w:sz w:val="32"/>
          <w:szCs w:val="32"/>
          <w:lang w:eastAsia="zh-CN"/>
        </w:rPr>
        <w:t>三</w:t>
      </w:r>
      <w:r>
        <w:rPr>
          <w:rFonts w:hint="eastAsia" w:ascii="仿宋_GB2312" w:hAnsi="仿宋_GB2312" w:eastAsia="仿宋_GB2312" w:cs="仿宋_GB2312"/>
          <w:b/>
          <w:color w:val="auto"/>
          <w:sz w:val="32"/>
          <w:szCs w:val="32"/>
        </w:rPr>
        <w:t>、合同生效</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合同双方签订后生效。</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 本合同一式六份，甲、乙双方各执两份，采购代理机构、监管机构各一份。</w:t>
      </w:r>
    </w:p>
    <w:p>
      <w:pPr>
        <w:pageBreakBefore w:val="0"/>
        <w:widowControl w:val="0"/>
        <w:kinsoku/>
        <w:wordWrap/>
        <w:overflowPunct/>
        <w:topLinePunct w:val="0"/>
        <w:autoSpaceDE/>
        <w:bidi w:val="0"/>
        <w:adjustRightInd w:val="0"/>
        <w:snapToGrid w:val="0"/>
        <w:spacing w:line="56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eastAsia="zh-CN"/>
        </w:rPr>
        <w:t>十四</w:t>
      </w:r>
      <w:r>
        <w:rPr>
          <w:rFonts w:hint="eastAsia" w:ascii="仿宋_GB2312" w:hAnsi="仿宋_GB2312" w:eastAsia="仿宋_GB2312" w:cs="仿宋_GB2312"/>
          <w:b/>
          <w:color w:val="auto"/>
          <w:sz w:val="32"/>
          <w:szCs w:val="32"/>
        </w:rPr>
        <w:t>、采购单位、采购单位地址、项目联系人及联系电话</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1、采购单位：</w:t>
      </w:r>
      <w:r>
        <w:rPr>
          <w:rFonts w:hint="eastAsia" w:ascii="仿宋_GB2312" w:hAnsi="仿宋_GB2312" w:eastAsia="仿宋_GB2312" w:cs="仿宋_GB2312"/>
          <w:color w:val="auto"/>
          <w:sz w:val="32"/>
          <w:szCs w:val="32"/>
          <w:lang w:val="en-US" w:eastAsia="zh-CN"/>
        </w:rPr>
        <w:t xml:space="preserve"> 府谷县农业农村局</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2、采购单位地址：陕西省榆林市府谷县河滨路农业大楼</w:t>
      </w:r>
    </w:p>
    <w:p>
      <w:pPr>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3、项目联系人：</w:t>
      </w:r>
      <w:r>
        <w:rPr>
          <w:rFonts w:hint="eastAsia" w:ascii="仿宋_GB2312" w:hAnsi="仿宋_GB2312" w:eastAsia="仿宋_GB2312" w:cs="仿宋_GB2312"/>
          <w:color w:val="auto"/>
          <w:sz w:val="32"/>
          <w:szCs w:val="32"/>
          <w:lang w:val="en-US" w:eastAsia="zh-CN"/>
        </w:rPr>
        <w:t xml:space="preserve">张鹏   </w:t>
      </w:r>
      <w:r>
        <w:rPr>
          <w:rFonts w:hint="eastAsia" w:ascii="仿宋_GB2312" w:hAnsi="仿宋_GB2312" w:eastAsia="仿宋_GB2312" w:cs="仿宋_GB2312"/>
          <w:sz w:val="32"/>
          <w:szCs w:val="32"/>
          <w:lang w:val="en-US" w:eastAsia="zh-CN"/>
        </w:rPr>
        <w:t xml:space="preserve">  联系电话：18191295398</w:t>
      </w:r>
    </w:p>
    <w:p>
      <w:pPr>
        <w:pStyle w:val="16"/>
        <w:pageBreakBefore w:val="0"/>
        <w:widowControl w:val="0"/>
        <w:kinsoku/>
        <w:wordWrap/>
        <w:overflowPunct/>
        <w:topLinePunct w:val="0"/>
        <w:autoSpaceDE/>
        <w:bidi w:val="0"/>
        <w:spacing w:line="560" w:lineRule="exact"/>
        <w:textAlignment w:val="auto"/>
        <w:rPr>
          <w:rFonts w:hint="eastAsia" w:ascii="仿宋_GB2312" w:hAnsi="仿宋_GB2312" w:eastAsia="仿宋_GB2312" w:cs="仿宋_GB2312"/>
          <w:color w:val="auto"/>
          <w:sz w:val="32"/>
          <w:szCs w:val="32"/>
        </w:rPr>
      </w:pPr>
    </w:p>
    <w:p>
      <w:pPr>
        <w:pageBreakBefore w:val="0"/>
        <w:widowControl w:val="0"/>
        <w:tabs>
          <w:tab w:val="left" w:pos="756"/>
        </w:tabs>
        <w:kinsoku/>
        <w:wordWrap/>
        <w:overflowPunct/>
        <w:topLinePunct w:val="0"/>
        <w:autoSpaceDE/>
        <w:bidi w:val="0"/>
        <w:spacing w:line="560" w:lineRule="exact"/>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府谷县农业农村局</w:t>
      </w:r>
    </w:p>
    <w:p>
      <w:pPr>
        <w:pageBreakBefore w:val="0"/>
        <w:widowControl w:val="0"/>
        <w:tabs>
          <w:tab w:val="left" w:pos="756"/>
        </w:tabs>
        <w:kinsoku/>
        <w:wordWrap/>
        <w:overflowPunct/>
        <w:topLinePunct w:val="0"/>
        <w:autoSpaceDE/>
        <w:bidi w:val="0"/>
        <w:spacing w:line="56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p>
      <w:pPr>
        <w:pStyle w:val="9"/>
        <w:rPr>
          <w:rFonts w:hint="eastAsia"/>
          <w:lang w:val="en-US" w:eastAsia="zh-CN"/>
        </w:rPr>
      </w:pPr>
    </w:p>
    <w:p>
      <w:pPr>
        <w:pStyle w:val="5"/>
        <w:ind w:left="0" w:leftChars="0" w:firstLine="0" w:firstLineChars="0"/>
        <w:rPr>
          <w:rFonts w:hint="default"/>
          <w:lang w:val="en-US" w:eastAsia="zh-CN"/>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yYmU4ZjdhNjVmNmEwN2Y3ZTQ1YzQ5NzZhNzFjNDEifQ=="/>
  </w:docVars>
  <w:rsids>
    <w:rsidRoot w:val="00000000"/>
    <w:rsid w:val="03585AD2"/>
    <w:rsid w:val="1199035B"/>
    <w:rsid w:val="13DD577A"/>
    <w:rsid w:val="16EF2672"/>
    <w:rsid w:val="17382A37"/>
    <w:rsid w:val="179F66B0"/>
    <w:rsid w:val="1A305C02"/>
    <w:rsid w:val="1A363508"/>
    <w:rsid w:val="1B567B98"/>
    <w:rsid w:val="1BF74D53"/>
    <w:rsid w:val="1D0A37C7"/>
    <w:rsid w:val="20567911"/>
    <w:rsid w:val="24EA44CD"/>
    <w:rsid w:val="36A579BC"/>
    <w:rsid w:val="3AEE2345"/>
    <w:rsid w:val="41935ACA"/>
    <w:rsid w:val="453D5029"/>
    <w:rsid w:val="463C4B8F"/>
    <w:rsid w:val="47DF019E"/>
    <w:rsid w:val="4BCD603A"/>
    <w:rsid w:val="4E086E6A"/>
    <w:rsid w:val="555E469B"/>
    <w:rsid w:val="579B6102"/>
    <w:rsid w:val="58680A38"/>
    <w:rsid w:val="5D06055D"/>
    <w:rsid w:val="5D697BBD"/>
    <w:rsid w:val="60773A12"/>
    <w:rsid w:val="614900BB"/>
    <w:rsid w:val="682E529D"/>
    <w:rsid w:val="6A275166"/>
    <w:rsid w:val="6B1D5F87"/>
    <w:rsid w:val="6BAD7357"/>
    <w:rsid w:val="6DF96B24"/>
    <w:rsid w:val="7A302F01"/>
    <w:rsid w:val="7AD46984"/>
    <w:rsid w:val="7F7A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9"/>
    <w:pPr>
      <w:keepNext/>
      <w:keepLines/>
      <w:spacing w:line="240" w:lineRule="auto"/>
      <w:jc w:val="center"/>
      <w:outlineLvl w:val="0"/>
    </w:pPr>
    <w:rPr>
      <w:rFonts w:ascii="Times New Roman" w:hAnsi="Times New Roman" w:eastAsia="宋体"/>
      <w:b/>
      <w:bCs/>
      <w:kern w:val="44"/>
      <w:sz w:val="36"/>
      <w:szCs w:val="44"/>
    </w:rPr>
  </w:style>
  <w:style w:type="paragraph" w:styleId="4">
    <w:name w:val="heading 2"/>
    <w:basedOn w:val="1"/>
    <w:next w:val="5"/>
    <w:qFormat/>
    <w:uiPriority w:val="9"/>
    <w:pPr>
      <w:keepNext/>
      <w:keepLines/>
      <w:spacing w:line="240" w:lineRule="auto"/>
      <w:outlineLvl w:val="1"/>
    </w:pPr>
    <w:rPr>
      <w:rFonts w:ascii="Calibri" w:hAnsi="Calibri"/>
      <w:b/>
      <w:bCs/>
      <w:kern w:val="0"/>
      <w:sz w:val="32"/>
      <w:szCs w:val="32"/>
    </w:rPr>
  </w:style>
  <w:style w:type="paragraph" w:styleId="2">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ind w:firstLine="420"/>
    </w:pPr>
  </w:style>
  <w:style w:type="paragraph" w:styleId="6">
    <w:name w:val="Body Text"/>
    <w:basedOn w:val="1"/>
    <w:next w:val="7"/>
    <w:qFormat/>
    <w:uiPriority w:val="0"/>
    <w:pPr>
      <w:spacing w:afterLines="50" w:line="360" w:lineRule="auto"/>
    </w:pPr>
    <w:rPr>
      <w:rFonts w:ascii="宋体" w:hAnsi="宋体"/>
      <w:color w:val="000000"/>
      <w:sz w:val="24"/>
    </w:rPr>
  </w:style>
  <w:style w:type="paragraph" w:styleId="7">
    <w:name w:val="Body Text 2"/>
    <w:basedOn w:val="1"/>
    <w:qFormat/>
    <w:uiPriority w:val="0"/>
    <w:pPr>
      <w:spacing w:line="360" w:lineRule="auto"/>
    </w:pPr>
    <w:rPr>
      <w:rFonts w:ascii="幼圆" w:eastAsia="幼圆"/>
      <w:sz w:val="24"/>
      <w:u w:val="single"/>
    </w:rPr>
  </w:style>
  <w:style w:type="paragraph" w:styleId="8">
    <w:name w:val="Body Text Indent"/>
    <w:basedOn w:val="1"/>
    <w:qFormat/>
    <w:uiPriority w:val="0"/>
    <w:pPr>
      <w:ind w:left="1083" w:leftChars="30" w:hanging="1020" w:hangingChars="425"/>
    </w:pPr>
    <w:rPr>
      <w:rFonts w:ascii="宋体" w:hAnsi="宋体"/>
      <w:sz w:val="24"/>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2">
    <w:name w:val="Body Text First Indent"/>
    <w:basedOn w:val="6"/>
    <w:qFormat/>
    <w:uiPriority w:val="0"/>
    <w:pPr>
      <w:adjustRightInd w:val="0"/>
      <w:ind w:firstLine="420"/>
      <w:jc w:val="left"/>
      <w:textAlignment w:val="baseline"/>
    </w:pPr>
    <w:rPr>
      <w:kern w:val="0"/>
      <w:sz w:val="21"/>
    </w:rPr>
  </w:style>
  <w:style w:type="paragraph" w:styleId="13">
    <w:name w:val="Body Text First Indent 2"/>
    <w:basedOn w:val="8"/>
    <w:next w:val="12"/>
    <w:unhideWhenUsed/>
    <w:qFormat/>
    <w:uiPriority w:val="99"/>
    <w:pPr>
      <w:ind w:firstLine="420" w:firstLineChars="200"/>
    </w:pPr>
  </w:style>
  <w:style w:type="paragraph" w:customStyle="1" w:styleId="16">
    <w:name w:val="正文缩进1"/>
    <w:basedOn w:val="1"/>
    <w:qFormat/>
    <w:uiPriority w:val="0"/>
    <w:pPr>
      <w:ind w:firstLine="420" w:firstLineChars="200"/>
    </w:pPr>
  </w:style>
  <w:style w:type="character" w:customStyle="1" w:styleId="17">
    <w:name w:val="font101"/>
    <w:basedOn w:val="15"/>
    <w:qFormat/>
    <w:uiPriority w:val="0"/>
    <w:rPr>
      <w:rFonts w:hint="default" w:ascii="Times New Roman" w:hAnsi="Times New Roman" w:cs="Times New Roman"/>
      <w:color w:val="000000"/>
      <w:sz w:val="22"/>
      <w:szCs w:val="22"/>
      <w:u w:val="none"/>
    </w:rPr>
  </w:style>
  <w:style w:type="character" w:customStyle="1" w:styleId="18">
    <w:name w:val="font81"/>
    <w:basedOn w:val="15"/>
    <w:qFormat/>
    <w:uiPriority w:val="0"/>
    <w:rPr>
      <w:rFonts w:hint="eastAsia" w:ascii="宋体" w:hAnsi="宋体" w:eastAsia="宋体" w:cs="宋体"/>
      <w:color w:val="000000"/>
      <w:sz w:val="22"/>
      <w:szCs w:val="22"/>
      <w:u w:val="none"/>
    </w:rPr>
  </w:style>
  <w:style w:type="character" w:customStyle="1" w:styleId="19">
    <w:name w:val="标题 1 Char"/>
    <w:link w:val="3"/>
    <w:qFormat/>
    <w:uiPriority w:val="9"/>
    <w:rPr>
      <w:rFonts w:ascii="Times New Roman" w:hAnsi="Times New Roman" w:eastAsia="宋体"/>
      <w:b/>
      <w:bCs/>
      <w:kern w:val="44"/>
      <w:sz w:val="36"/>
      <w:szCs w:val="44"/>
    </w:rPr>
  </w:style>
  <w:style w:type="paragraph" w:customStyle="1" w:styleId="20">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1965</Words>
  <Characters>2015</Characters>
  <Lines>0</Lines>
  <Paragraphs>0</Paragraphs>
  <TotalTime>7</TotalTime>
  <ScaleCrop>false</ScaleCrop>
  <LinksUpToDate>false</LinksUpToDate>
  <CharactersWithSpaces>2295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12229</dc:creator>
  <cp:lastModifiedBy>第七感</cp:lastModifiedBy>
  <cp:lastPrinted>2023-03-13T02:51:00Z</cp:lastPrinted>
  <dcterms:modified xsi:type="dcterms:W3CDTF">2023-06-30T07:11:48Z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CF868B5A6F95432BAEBE641B9621C61E_13</vt:lpwstr>
  </property>
</Properties>
</file>