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rPr>
      </w:pPr>
    </w:p>
    <w:p>
      <w:pPr>
        <w:jc w:val="center"/>
        <w:rPr>
          <w:rFonts w:hint="eastAsia" w:ascii="宋体" w:hAnsi="宋体" w:eastAsia="宋体" w:cs="宋体"/>
          <w:b/>
          <w:color w:val="auto"/>
          <w:sz w:val="36"/>
          <w:szCs w:val="16"/>
          <w:lang w:val="en-US" w:eastAsia="zh-CN"/>
        </w:rPr>
      </w:pPr>
      <w:r>
        <w:rPr>
          <w:rFonts w:hint="eastAsia" w:ascii="宋体" w:hAnsi="宋体" w:eastAsia="宋体" w:cs="宋体"/>
          <w:b/>
          <w:color w:val="auto"/>
          <w:sz w:val="36"/>
          <w:szCs w:val="16"/>
          <w:lang w:val="en-US" w:eastAsia="zh-CN"/>
        </w:rPr>
        <w:t>府谷县城区环卫市场化(二期)项目</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需求</w:t>
      </w:r>
      <w:r>
        <w:rPr>
          <w:rFonts w:hint="eastAsia" w:ascii="宋体" w:hAnsi="宋体" w:eastAsia="宋体" w:cs="宋体"/>
          <w:b/>
          <w:bCs/>
          <w:color w:val="auto"/>
          <w:sz w:val="36"/>
          <w:szCs w:val="36"/>
          <w:lang w:eastAsia="zh-CN"/>
        </w:rPr>
        <w:t>书</w:t>
      </w:r>
      <w:bookmarkStart w:id="6" w:name="_GoBack"/>
      <w:bookmarkEnd w:id="6"/>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一、采购项目名称：</w:t>
      </w:r>
      <w:r>
        <w:rPr>
          <w:rFonts w:hint="eastAsia" w:ascii="宋体" w:hAnsi="宋体" w:eastAsia="宋体" w:cs="宋体"/>
          <w:b/>
          <w:bCs/>
          <w:color w:val="auto"/>
          <w:sz w:val="24"/>
          <w:szCs w:val="24"/>
          <w:lang w:val="en-US" w:eastAsia="zh-CN"/>
        </w:rPr>
        <w:t>府谷县城区环卫市场化(二期)项目</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二、采购项目预算、资金构成和采购方式：</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1、采购项目预算：</w:t>
      </w:r>
      <w:r>
        <w:rPr>
          <w:rFonts w:hint="eastAsia" w:ascii="宋体" w:hAnsi="宋体" w:eastAsia="宋体" w:cs="宋体"/>
          <w:color w:val="auto"/>
          <w:sz w:val="24"/>
          <w:szCs w:val="24"/>
          <w:lang w:val="en-US" w:eastAsia="zh-CN"/>
        </w:rPr>
        <w:t>17193578.28</w:t>
      </w:r>
      <w:r>
        <w:rPr>
          <w:rFonts w:hint="eastAsia" w:ascii="宋体" w:hAnsi="宋体" w:eastAsia="宋体" w:cs="宋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2、最高限价：</w:t>
      </w:r>
      <w:r>
        <w:rPr>
          <w:rFonts w:hint="eastAsia" w:ascii="宋体" w:hAnsi="宋体" w:eastAsia="宋体" w:cs="宋体"/>
          <w:color w:val="auto"/>
          <w:sz w:val="24"/>
          <w:szCs w:val="24"/>
          <w:lang w:val="en-US" w:eastAsia="zh-CN"/>
        </w:rPr>
        <w:t>17193578.28</w:t>
      </w:r>
      <w:r>
        <w:rPr>
          <w:rFonts w:hint="eastAsia" w:ascii="宋体" w:hAnsi="宋体" w:eastAsia="宋体" w:cs="宋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3、资金来源：</w:t>
      </w:r>
      <w:r>
        <w:rPr>
          <w:rFonts w:hint="eastAsia" w:ascii="宋体" w:hAnsi="宋体" w:eastAsia="宋体" w:cs="宋体"/>
          <w:color w:val="auto"/>
          <w:sz w:val="24"/>
          <w:szCs w:val="24"/>
          <w:lang w:val="en-US" w:eastAsia="zh-CN"/>
        </w:rPr>
        <w:t>县财政资金</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、采购方式：</w:t>
      </w:r>
      <w:r>
        <w:rPr>
          <w:rFonts w:hint="eastAsia" w:ascii="宋体" w:hAnsi="宋体" w:eastAsia="宋体" w:cs="宋体"/>
          <w:color w:val="auto"/>
          <w:sz w:val="24"/>
          <w:szCs w:val="24"/>
          <w:lang w:val="en-US" w:eastAsia="zh-CN"/>
        </w:rPr>
        <w:t>公开招标</w:t>
      </w:r>
    </w:p>
    <w:p>
      <w:pPr>
        <w:pStyle w:val="7"/>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三、采购需求</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 xml:space="preserve">、项目基本情况： </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为了巩固国家卫生城市和文明城市创建成果，加强府谷县道路清扫的规范管理，使之制度化、规范化、标准化，更好的为市民提供更加便捷优质的服务，根据国家相关行业标准，结合府谷县实际情况，制定本服务标准。 </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府谷县城区环卫市场化(二期)项目，包括清扫保洁区域面积共计1595662.6平方米，其中城区道路面积：499451.93平方米(三级道路面积为499451.93m²),广场、公园面积：369290.61平方米，孤山川河道两侧面积：436940.95平方米，孤山川主河槽水域面积289979.11平方米。另有公共卫生间45座，主次干道及巷道野广告清理，公交站、宣传栏清洗，主次干道增加高频次机械化清扫、洒水、抑尘。</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、作业内容</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1、县城区道路清扫和保洁。</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2、县城区垃圾点的垃圾清运及运营管理。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3、垃圾的定时收集、运输。</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座公</w:t>
      </w:r>
      <w:r>
        <w:rPr>
          <w:rFonts w:hint="eastAsia" w:ascii="宋体" w:hAnsi="宋体" w:eastAsia="宋体" w:cs="宋体"/>
          <w:color w:val="auto"/>
          <w:sz w:val="24"/>
          <w:szCs w:val="24"/>
          <w:lang w:eastAsia="zh-CN"/>
        </w:rPr>
        <w:t>厕</w:t>
      </w:r>
      <w:r>
        <w:rPr>
          <w:rFonts w:hint="eastAsia" w:ascii="宋体" w:hAnsi="宋体" w:eastAsia="宋体" w:cs="宋体"/>
          <w:color w:val="auto"/>
          <w:sz w:val="24"/>
          <w:szCs w:val="24"/>
        </w:rPr>
        <w:t>的清扫保洁、日常管理、平常维护、</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和化粪池清理。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6、主次干道及巷道野广告清理。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7、果皮箱的清掏、保洁维护、维修等。</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8、对公交站牌、公共座椅、果皮箱、电线杆、隔离栏杆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宣传栏</w:t>
      </w:r>
      <w:r>
        <w:rPr>
          <w:rFonts w:hint="eastAsia" w:ascii="宋体" w:hAnsi="宋体" w:eastAsia="宋体" w:cs="宋体"/>
          <w:color w:val="auto"/>
          <w:sz w:val="24"/>
          <w:szCs w:val="24"/>
        </w:rPr>
        <w:t>等进行适时清洗。</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、按照大气污染防治及环保部门的相关作业要求，对城区道路进行洒水降尘。</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、做好环卫运输车、垃圾车、清扫车等作业车辆的维修、保养，同时要对上述作业车辆适时进行清洗。</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、最终将生活垃圾全部运送到生活垃圾填埋场，建筑垃圾运送到建筑垃圾场。</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、各种恶劣天气造成的突发应急事项的处理。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、雨季应及时清理路面及人行道淤泥、杂物。</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、冬季道路除雪工作，扫雪车、融雪剂、清雪设备、工具等由乙方自行购置，确保及时融雪、消雪、清雪。</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、各种重大活动、临时布置的各项迎检、创建工作及重大节假日的重点保障工作。</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、参与政府组织的突发事件和自然灾害等的清理、保障工作。</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、全面配合启动垃圾分类工作。</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、作业质量宏观标准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实施市场化运作的所有道路，按照道路分级标准进行作业，着力打造靓丽府谷最洁净城市，争取比过去质量拔高档次，上一个台阶。</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2、环境卫生整洁，加强加大机械化清扫，道路清扫保洁率100％。</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3、垃圾定点收集、密闭化运输，做到随产即清，设备完好率100％。</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4、餐厨废弃物由餐厨垃圾专用车单独定时上门收集，收集率达85％以上。</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5、公共卫生间专人管理，全天候开放，水、电、暖供应齐全，设施完好率100%.</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6、城区道路全线无垃圾暴露。</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7、使用高压洒水车、抑尘车全天进行喷雾洒水降尘，力保大气监测数据达标。</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8、按相关行业标准，合理配备环卫设备、设施，设备完好率90％。</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（四）作业质量具体标准</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1、道路清扫保洁</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工清扫保洁：①道路日常清扫保洁,实行“一日两普扫、全天候保洁”的作业方式，并根据路面情况增加大扫次数。主干道路、城中村和城乡结合部,全天候保洁，适合两班制的安排两班制作业，适合一班制的安排一班制作业，清扫保洁作业时间根据季节灵活调整，夏季延时。夏秋季7:00之前完成第一次人工普扫、14:30之前完成第二次人工普扫；冬春季7:30之前完成第一次人工普扫、14:00之前完成第二次人工普扫，其它时间进行巡回保洁，确保路段全天干净整洁。②普扫：普扫作业时，应用大扫把清扫，清扫顺序：一扫人行便道、二扫隔离带、三扫快车道、自行车道、四扫路牙沟底、五清理垃圾，清掏、擦洗果皮箱。普扫宽敞路面时，可采取两种方式：一是沿马路横向直线清扫，每扫一把清扫宽度约2-3米，长度视情况灵活掌握。在风小的条件下，可往复清扫，也可始终选择同一个方向清扫，把垃圾扫到路牙再沿着路牙进行清扫；二是聚集式清扫，即从马路四周向路牙某点聚集清扫。普扫小街小巷时，可采取纵向清扫、横向清扫、聚集式清扫等方式，实际中可根据人、车流量，路面情况等因素灵活掌握。在风大的情况下，普扫要顺着风向清扫，同时应压低扫把高度，清扫的垃圾要及时清理，以免刮跑影响工效和质量。普扫时要做到“四不五要”:“四不”指不焚烧垃圾、不乱倒垃圾、清扫不产生大的扬尘、不往下水口、河道绿地内扫垃圾；“五要”指要按规定时间操作，作业时着装要整洁，要注意安全，要及时清理垃圾，要文明作业。保洁：保洁应使用小扫把、垃圾斗等工具，在作业区范围内来回走动，对发现的零散废弃物可随手拾掉，对成片的不洁处要及时清扫、清理。③在清扫保洁时间内确保路段“五无六净”(即无堆积垃圾、无烟头果皮纸屑、无建筑余土废渣、无污泥积水、无死角和白色垃圾；路面净、边角净、下水口净、树坑净、环卫设施净、人行道净）。④确保路段果皮箱、垃圾箱摆放整齐，外观清洁且果皮箱、垃圾箱随产随清无积压，并按季节喷洒灭蚊蝇药剂，特殊时期要进行定期消毒。⑤沿街出现的袋装垃圾、散落垃圾，要及时清理、收集，一般保证2米以下的公交站牌、公共座椅、果皮箱、电线杆、隔离杆等公共设施进行擦洗。⑥保持地下通道、人行天桥、高架桥无暴露垃圾，楼梯扶手定时清洗擦拭，地面保持干净。⑦凡遇下雨、下雪天气，应及时处理道路泥土、积水、积雪，要求主路段泥土、积雪须在24小时内处理完毕，保证道路畅通，路面见原色。⑧如有渣土污染严重时，应先以人工方式铲除泥土，再用清洗车喷水浸泡和清洗路面污染，最后由吸扫车或洗扫车将污水污物收扫、吸干、运走。</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机械化作业：①县城区主要街路实行全天候清扫保洁，重点突出机械化作业效能，机扫后，路面、路牙整洁，无污水、无浮土、无废弃物，达到质量标准要求。作业完成后，到指定站点卸土并清洗车辆后，停放入位。②机械化冲洗、洗扫，道路机械化作业率达到 85 %，实行每天“扫路车、吸尘车、洗扫车”三车联动模式作业，主次干道、机动车道以机械作业为主，采用机扫车以湿式作业进行清扫保洁，也可视路面尘土情况进行一次普洒水增湿作业，以防止后续清扫扬尘，须保证每天上下午各一次洗扫，期间不间断进行冲洗、保洁。非机动车道、人行道（路牙至墙根）根据道路情况，每周至少用水枪冲洗一次，作业过程中不扬尘、不漏垃圾。清扫后，路沿面无积存泥沙，地面干净整洁无污物。③按“主路大车、支路中车、重要路段洗扫车、油污地面路面养护车、快道吸尘车加清洗车”的模式制定作业方案，夏季，洒水车全天洒水、抑尘车全天出动，按照不同机械严格划定作业线路、灵活安排作业频次，避开上下班高峰期。尤其对过境车道一天不低于12小时喷雾抑尘作业，特别要加强金信广场、快速通道、政务大厅等重要路段抑尘，保证周边空气质量达标。④隔离栏杆不定时用护栏清洗车进行清洗，夏季一个月不低于8次，确保隔离带干净、靓丽。⑤早上6:30之前全面完成普扫，中午和下午安排不同车辆错时作业，夏秋季作业以“强化冲洗、洗扫为主、喷雾配合、错峰作业”，冬春季作业以“提速度、强化干扫、吸尘、划段包干以净为标”的作业规范，达到增湿、降尘的目的。⑥做到全天洒水降尘，遇重大污染天气或重要活动期间，按照环保部门的要求随时增大洒水频次。⑦遇有雾霾或扬尘天气，应立即进行喷雾压尘作业，抑尘车向空中喷雾状水或抑尘剂，高压冲洗车、洗扫车应将前后喷嘴提高进行雾状喷洒作业。⑧雾洒压尘作业时，水要喷洒成雾状，喷洒作业达到路面见干见湿、见潮不见水流的效果。⑨雨天可根据雨量大小进行道路清洗“借雨”作业，节约用水，提高清洗作业效果和质量。</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达到机械清扫与人工保洁无缝衔接、深度清洁目标，结合实际，借鉴“以克论净”的做法，转变环卫工作模式，将河滨路、人民路、新区经济适用房、政务大厅路段做为试点路段，纳入创新工作，力争打造精品示范路，尘土重量每平米不超过25克，地表垃圾停留时间不超过15分钟。后期，从试点路段向其余道路推广，使城区深度保洁覆盖率达到85%以上。</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2、垃圾收集、运输</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（1）县城区内生活垃圾需做到统一管理、收集，尽量天亮之前密闭运输至生活垃圾填埋场，禁止抛、撒、漏，平时避开车辆上下班高峰期，错峰作业。</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（2）生活垃圾收集点、垃圾箱（桶）应随产即清、不遗漏，无积压、无满溢，不腐烂发臭，保证主干道不出现垃圾乱堆现象。作业车辆、环卫设备定时清洗，作业车辆外观整洁、无污物、无抛撒、车走场地净。</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（3）垃圾收集容器应无残缺、不破损、密闭性好，垃圾清除后及时关闭垃圾箱（桶）门、盖，垃圾箱（桶）须及时放回原处，放置点周围整洁，无散落、无存留垃圾和污水，垃圾箱平时应保留一个投放口。</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（4）垃圾收集容器及垃圾中转站要及时擦洗、冲洗，周围3米内应整洁无存留垃圾和污水，周围无明显异味，全天保持整洁美观。</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（5）蚊、蝇滋生季节，垃圾容器及垃圾中转站（点）应定时消毒，喷洒灭蚊、蝇药剂。</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（6）沿街门店垃圾实行袋装后等待车辆收集，做到主街道不设置垃圾箱、垃圾桶（人民路、天化路逐步推进到二道街、河滨路）。</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（7）生活垃圾应密闭收集运输，收集作业完成后，应及时清理场地，将垃圾容器复位，保持车走地净。在运输过程中，无垃圾扬、撒、拖、挂和污水滴漏。</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（8）垃圾装运量应以车辆的额定荷载和有效容积为限，不得超重、超高运输。 </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（9）沿街垃圾收集运输车应按规定路线和时间进行收集，不得甩点、漏收，收集时垃圾不得落地、收集后地面不得有垃圾和污水，保持干净。</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（10）倾卸垃圾时应符合作业要求，不得乱倒、乱卸、乱抛垃圾。</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（11）垃圾应运送到指定地点处置，不得自行乱倒，最终将生活垃圾全部运送到生活垃圾填埋场场，建筑垃圾运送到建筑垃圾场。</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（12）做好垃圾收集容器的日常维护工作，做到损坏即修，确保垃圾容器的完好率。</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3、餐厨废弃物的收集、运输</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（1）实行单独定时上门收集制度，由餐厨垃圾专用车，每天在规定时间点进行收集餐厨垃圾，收集率达85%以上。</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（2）餐厨垃圾专用车要符合国家规定，保持干净整洁，做到日收日清，餐厨废弃物要及时转运生活垃圾处理场。</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4、公共卫生间管理维护和清扫保洁</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(1)、公共卫生间实行专人管理，在规定时段内应有专人进行保洁与服务，文明作业、热情服务，全天24小时开放。</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(2)、公共卫生间内采光、照明、通风良好，无明显异味。</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(3)、每天对各类卫生设施进行冲刷、擦洗、消毒，保持夏无蚊蝇、冬天全天供暖，提倡栽花植绿，进行点缀。所有供水和供电设施正常启用，完好运行；化粪池定期清掏运输，保障功能正常运行。</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公共卫生间须每天至少上午、下午各彻底清洁一次，每天循环不间断保洁。清洁时，须用卫生间专用清洁工具（如毛刷、去污剂、扫帚、拖把、消毒液等）对洗手池、墙面、地面、便池进行清洁，并用清水冲洗，用抹布或拖布擦拭干净。</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(5)、保持公共卫生间的清洁，地面不应有明显的污迹和积水，如有应立即清除。</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地面：无积水、无杂物、无烟头；墙面：无污垢、污迹，无灰尘；下水管道：无堵塞、无漏水；便器及纸篓：干净，无污渍、无黄垢迹，纸篓及时清理；面盆洁具：清洁明亮、无污垢；天花板：无积灰、无蜘蛛网。</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(7)、定时喷洒灭蚊蝇药物，有效控制蝇蛆滋生，每年4月份至10月份做好病媒生物防制。</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(8)、粪便收集设备保持整洁，密闭性能良好，倒粪口、取粪口清洁，地面无粪迹、垃圾和污水，车辆完好整洁，车体无粪迹污物。</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(9)、化粪池周围场地保持整洁，无垃圾、粪迹、污水、不得有恶臭、蝇蛆，化粪池不得满溢。</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(10)、公共卫生间周边环境整洁有序，周边无垃圾、粪便、污水、杂草、废土、乱堆乱挂杂物，无卫生死角。</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(11)、公共卫生间管理房不应挪作他用，室内保持整洁。</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(12)、当遇到恶劣天气、停水停电、管道堵塞、人流量剧增等突发事件时，应采取应急服务保障措施，确保公共卫生间服务连续、正常。</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(13)、应设置公共卫生间管理牌，公示公共卫生间的名称、编号、开放时间、管理类别、管理单位、管理电话、管理要求、服务电话、监督电话等信息。</w:t>
      </w:r>
    </w:p>
    <w:p>
      <w:pPr>
        <w:pStyle w:val="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、商务要求</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w:t>
      </w:r>
      <w:r>
        <w:rPr>
          <w:rFonts w:hint="eastAsia" w:ascii="宋体" w:hAnsi="宋体" w:eastAsia="宋体" w:cs="宋体"/>
          <w:b/>
          <w:bCs/>
          <w:color w:val="auto"/>
          <w:sz w:val="24"/>
          <w:szCs w:val="24"/>
          <w:lang w:val="en-US" w:eastAsia="zh-CN"/>
        </w:rPr>
        <w:t>计划服务期</w:t>
      </w:r>
      <w:r>
        <w:rPr>
          <w:rFonts w:hint="eastAsia" w:ascii="宋体" w:hAnsi="宋体" w:eastAsia="宋体" w:cs="宋体"/>
          <w:b/>
          <w:bCs/>
          <w:color w:val="auto"/>
          <w:sz w:val="24"/>
          <w:szCs w:val="24"/>
        </w:rPr>
        <w:t>：</w:t>
      </w:r>
      <w:r>
        <w:rPr>
          <w:rFonts w:hint="eastAsia" w:ascii="宋体" w:hAnsi="宋体" w:eastAsia="宋体" w:cs="宋体"/>
          <w:color w:val="auto"/>
          <w:kern w:val="2"/>
          <w:sz w:val="24"/>
          <w:szCs w:val="24"/>
          <w:lang w:val="en-US" w:eastAsia="zh-CN" w:bidi="ar-SA"/>
        </w:rPr>
        <w:t>1+2年（实行考核淘汰制，中标企业先签订1年合同作为试运行期，在试运行期内（1年）如运行良好，可续签2年；如果环卫考核1个季度内连续2个月不达标或者试运行期内（1年）累计三个月不达标，招标人有权废除合同并重新进行招标。）</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2）项目实施地点：</w:t>
      </w:r>
      <w:r>
        <w:rPr>
          <w:rFonts w:hint="eastAsia" w:ascii="宋体" w:hAnsi="宋体" w:eastAsia="宋体" w:cs="宋体"/>
          <w:color w:val="auto"/>
          <w:sz w:val="24"/>
          <w:szCs w:val="24"/>
          <w:lang w:val="en-US" w:eastAsia="zh-CN"/>
        </w:rPr>
        <w:t>府谷县城区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、合同模板：</w:t>
      </w:r>
    </w:p>
    <w:p>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府谷县城区环卫市场化(二期)项目采购</w:t>
      </w:r>
      <w:r>
        <w:rPr>
          <w:rFonts w:hint="eastAsia" w:ascii="宋体" w:hAnsi="宋体" w:eastAsia="宋体" w:cs="宋体"/>
          <w:b/>
          <w:bCs/>
          <w:color w:val="auto"/>
          <w:sz w:val="24"/>
          <w:szCs w:val="24"/>
        </w:rPr>
        <w:t>合同</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根据《中华人民共和国政府采购法》、《中华人民共和国合同法》等相关法律，甲、乙双方经平等协商一致，就“</w:t>
      </w:r>
      <w:r>
        <w:rPr>
          <w:rFonts w:hint="eastAsia" w:ascii="宋体" w:hAnsi="宋体" w:eastAsia="宋体" w:cs="宋体"/>
          <w:color w:val="auto"/>
          <w:sz w:val="24"/>
          <w:szCs w:val="24"/>
          <w:lang w:val="en-US" w:eastAsia="zh-CN"/>
        </w:rPr>
        <w:t>府谷县城区环卫市场化(二期)项目</w:t>
      </w:r>
      <w:r>
        <w:rPr>
          <w:rFonts w:hint="eastAsia" w:ascii="宋体" w:hAnsi="宋体" w:eastAsia="宋体" w:cs="宋体"/>
          <w:snapToGrid w:val="0"/>
          <w:color w:val="auto"/>
          <w:kern w:val="0"/>
          <w:sz w:val="24"/>
          <w:szCs w:val="24"/>
        </w:rPr>
        <w:t>”承办达成合同如下：</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ind w:firstLine="482" w:firstLineChars="200"/>
        <w:rPr>
          <w:rFonts w:hint="eastAsia" w:ascii="宋体" w:hAnsi="宋体" w:eastAsia="宋体" w:cs="宋体"/>
          <w:color w:val="auto"/>
          <w:sz w:val="24"/>
          <w:szCs w:val="24"/>
          <w:u w:val="single"/>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eastAsia="zh-CN"/>
        </w:rPr>
        <w:t>项目实施期</w:t>
      </w:r>
      <w:r>
        <w:rPr>
          <w:rFonts w:hint="eastAsia" w:ascii="宋体" w:hAnsi="宋体" w:cs="宋体"/>
          <w:color w:val="auto"/>
          <w:sz w:val="24"/>
          <w:szCs w:val="24"/>
          <w:u w:val="single"/>
        </w:rPr>
        <w:t>，由相关部门等对项目进行</w:t>
      </w:r>
      <w:r>
        <w:rPr>
          <w:rFonts w:hint="eastAsia" w:ascii="宋体" w:hAnsi="宋体" w:cs="宋体"/>
          <w:color w:val="auto"/>
          <w:sz w:val="24"/>
          <w:szCs w:val="24"/>
          <w:u w:val="single"/>
          <w:lang w:eastAsia="zh-CN"/>
        </w:rPr>
        <w:t>季度</w:t>
      </w:r>
      <w:r>
        <w:rPr>
          <w:rFonts w:hint="eastAsia" w:ascii="宋体" w:hAnsi="宋体" w:cs="宋体"/>
          <w:color w:val="auto"/>
          <w:sz w:val="24"/>
          <w:szCs w:val="24"/>
          <w:u w:val="single"/>
        </w:rPr>
        <w:t>服务质量验收，验收合格后出具《验收报告单》，并支付当</w:t>
      </w:r>
      <w:r>
        <w:rPr>
          <w:rFonts w:hint="eastAsia" w:ascii="宋体" w:hAnsi="宋体" w:cs="宋体"/>
          <w:color w:val="auto"/>
          <w:sz w:val="24"/>
          <w:szCs w:val="24"/>
          <w:u w:val="single"/>
          <w:lang w:eastAsia="zh-CN"/>
        </w:rPr>
        <w:t>季度</w:t>
      </w:r>
      <w:r>
        <w:rPr>
          <w:rFonts w:hint="eastAsia" w:ascii="宋体" w:hAnsi="宋体" w:cs="宋体"/>
          <w:color w:val="auto"/>
          <w:sz w:val="24"/>
          <w:szCs w:val="24"/>
          <w:u w:val="single"/>
        </w:rPr>
        <w:t>全额合同款项。</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七、知识产权</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日内仍不履行合同的，守约方有权解除合同，违约方要承担相应的法律责任。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其它应承担的违约责任，以《中华人民共和国合同法》和其它有关法律、法规规定为准，无相关规定的，双方协商解决。</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pPr>
        <w:pStyle w:val="3"/>
        <w:spacing w:line="500" w:lineRule="exact"/>
        <w:ind w:left="0" w:leftChars="0" w:firstLine="482" w:firstLineChars="200"/>
        <w:rPr>
          <w:rFonts w:hint="eastAsia" w:ascii="宋体" w:hAnsi="宋体" w:eastAsia="宋体" w:cs="宋体"/>
          <w:b/>
          <w:bCs/>
          <w:color w:val="auto"/>
          <w:kern w:val="2"/>
          <w:sz w:val="24"/>
          <w:szCs w:val="24"/>
          <w:lang w:val="en-US" w:eastAsia="zh-CN" w:bidi="ar-SA"/>
        </w:rPr>
      </w:pPr>
      <w:bookmarkStart w:id="1" w:name="_Toc31057"/>
      <w:bookmarkStart w:id="2" w:name="_Toc56066561"/>
      <w:r>
        <w:rPr>
          <w:rFonts w:hint="eastAsia" w:ascii="宋体" w:hAnsi="宋体" w:eastAsia="宋体" w:cs="宋体"/>
          <w:b/>
          <w:bCs/>
          <w:color w:val="auto"/>
          <w:kern w:val="2"/>
          <w:sz w:val="24"/>
          <w:szCs w:val="24"/>
          <w:lang w:val="en-US" w:eastAsia="zh-CN" w:bidi="ar-SA"/>
        </w:rPr>
        <w:t>九、履约验收</w:t>
      </w:r>
      <w:bookmarkEnd w:id="1"/>
      <w:bookmarkEnd w:id="2"/>
      <w:r>
        <w:rPr>
          <w:rFonts w:hint="eastAsia" w:ascii="宋体" w:hAnsi="宋体" w:eastAsia="宋体" w:cs="宋体"/>
          <w:b/>
          <w:bCs/>
          <w:color w:val="auto"/>
          <w:kern w:val="2"/>
          <w:sz w:val="24"/>
          <w:szCs w:val="24"/>
          <w:lang w:val="en-US" w:eastAsia="zh-CN" w:bidi="ar-SA"/>
        </w:rPr>
        <w:t>标准和方式</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1.履约验收时间：</w:t>
      </w:r>
      <w:r>
        <w:rPr>
          <w:rFonts w:hint="eastAsia" w:ascii="宋体" w:hAnsi="宋体" w:eastAsia="宋体" w:cs="宋体"/>
          <w:color w:val="auto"/>
          <w:sz w:val="24"/>
          <w:szCs w:val="24"/>
          <w:u w:val="single"/>
          <w:lang w:val="en-US" w:eastAsia="zh-CN"/>
        </w:rPr>
        <w:t>甲方指定时间</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 xml:space="preserve">                         </w:t>
      </w:r>
    </w:p>
    <w:p>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由采购单位技术人员按照相关验收标准进行验收。</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 xml:space="preserve">                </w:t>
      </w:r>
    </w:p>
    <w:p>
      <w:pPr>
        <w:pStyle w:val="2"/>
        <w:rPr>
          <w:rFonts w:hint="default"/>
          <w:lang w:val="en-US"/>
        </w:rPr>
      </w:pPr>
    </w:p>
    <w:p>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lang w:eastAsia="zh-CN"/>
        </w:rPr>
      </w:pPr>
    </w:p>
    <w:p>
      <w:pPr>
        <w:pStyle w:val="2"/>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lang w:val="en-US" w:eastAsia="zh-CN"/>
        </w:rPr>
        <w:t>(公章)                             乙方：（公章）</w:t>
      </w: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法定代表人或其委托代理人：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法定代表人或其委托代理人：</w:t>
      </w:r>
    </w:p>
    <w:p>
      <w:pPr>
        <w:pStyle w:val="2"/>
        <w:rPr>
          <w:rFonts w:hint="eastAsia" w:eastAsia="宋体"/>
          <w:lang w:eastAsia="zh-CN"/>
        </w:rPr>
      </w:pP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pStyle w:val="2"/>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ind w:firstLine="720" w:firstLineChars="300"/>
        <w:rPr>
          <w:rFonts w:hint="eastAsia"/>
        </w:rPr>
      </w:pPr>
      <w:r>
        <w:rPr>
          <w:rFonts w:hint="eastAsia" w:ascii="宋体" w:hAnsi="宋体" w:eastAsia="宋体" w:cs="宋体"/>
          <w:color w:val="auto"/>
          <w:sz w:val="24"/>
          <w:szCs w:val="24"/>
          <w:lang w:val="en-US" w:eastAsia="zh-CN"/>
        </w:rPr>
        <w:t>年      月     日                         年      月     日</w:t>
      </w:r>
    </w:p>
    <w:p>
      <w:pPr>
        <w:ind w:firstLine="630" w:firstLineChars="300"/>
        <w:rPr>
          <w:rFonts w:hint="default"/>
          <w:lang w:val="en-US"/>
        </w:rPr>
      </w:pPr>
    </w:p>
    <w:p>
      <w:pPr>
        <w:pStyle w:val="2"/>
        <w:rPr>
          <w:rFonts w:hint="default" w:eastAsia="宋体"/>
          <w:lang w:val="en-US" w:eastAsia="zh-CN"/>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仿宋" w:hAnsi="仿宋" w:eastAsia="仿宋" w:cs="仿宋"/>
          <w:color w:val="auto"/>
          <w:sz w:val="24"/>
          <w:szCs w:val="24"/>
        </w:rPr>
        <w:t>1</w:t>
      </w:r>
      <w:r>
        <w:rPr>
          <w:rFonts w:hint="eastAsia" w:ascii="宋体" w:hAnsi="宋体" w:eastAsia="宋体" w:cs="宋体"/>
          <w:color w:val="auto"/>
          <w:sz w:val="24"/>
          <w:szCs w:val="24"/>
        </w:rPr>
        <w:t>、采购单位：</w:t>
      </w:r>
      <w:r>
        <w:rPr>
          <w:rFonts w:hint="eastAsia" w:ascii="宋体" w:hAnsi="宋体" w:eastAsia="宋体" w:cs="宋体"/>
          <w:color w:val="auto"/>
          <w:sz w:val="24"/>
          <w:szCs w:val="24"/>
          <w:lang w:val="en-US" w:eastAsia="zh-CN"/>
        </w:rPr>
        <w:t>府谷县住房和城乡建设局</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2、采购单位地址：府谷县</w:t>
      </w:r>
      <w:r>
        <w:rPr>
          <w:rFonts w:hint="eastAsia" w:ascii="宋体" w:hAnsi="宋体" w:eastAsia="宋体" w:cs="宋体"/>
          <w:color w:val="auto"/>
          <w:sz w:val="24"/>
          <w:szCs w:val="24"/>
          <w:lang w:eastAsia="zh-CN"/>
        </w:rPr>
        <w:t>政府大楼后排东辅楼</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朱亮</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17709121698</w:t>
      </w:r>
    </w:p>
    <w:p>
      <w:pPr>
        <w:pStyle w:val="7"/>
        <w:rPr>
          <w:rFonts w:hint="eastAsia" w:ascii="宋体" w:hAnsi="宋体" w:eastAsia="宋体" w:cs="宋体"/>
          <w:color w:val="auto"/>
        </w:rPr>
      </w:pPr>
    </w:p>
    <w:p>
      <w:pPr>
        <w:pStyle w:val="7"/>
        <w:rPr>
          <w:rFonts w:hint="eastAsia" w:ascii="宋体" w:hAnsi="宋体" w:eastAsia="宋体" w:cs="宋体"/>
          <w:color w:val="auto"/>
        </w:rPr>
      </w:pPr>
    </w:p>
    <w:p>
      <w:pPr>
        <w:tabs>
          <w:tab w:val="left" w:pos="756"/>
        </w:tabs>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府谷县住房和城乡建设局</w:t>
      </w:r>
    </w:p>
    <w:p>
      <w:pPr>
        <w:tabs>
          <w:tab w:val="left" w:pos="756"/>
        </w:tabs>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08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rPr>
        <w:t>日</w:t>
      </w: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04246466"/>
    <w:rsid w:val="04246466"/>
    <w:rsid w:val="09E36A17"/>
    <w:rsid w:val="59C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heme="minorBidi"/>
      <w:kern w:val="2"/>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unhideWhenUsed/>
    <w:qFormat/>
    <w:uiPriority w:val="99"/>
    <w:pPr>
      <w:ind w:firstLine="420"/>
    </w:p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2023-08-09T03:26:00Z</dcterms:created>
  <dc:creator>二十二少年</dc:creator>
  <cp:lastModifiedBy>二十二少年</cp:lastModifiedBy>
  <dcterms:modified xsi:type="dcterms:W3CDTF">2023-08-09T03:42:40Z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FED91945000A49BE808C96F05AF5AEE4_11</vt:lpwstr>
  </property>
</Properties>
</file>