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color w:val="auto"/>
          <w:sz w:val="32"/>
          <w:szCs w:val="32"/>
        </w:rPr>
      </w:pPr>
      <w:r>
        <w:rPr>
          <w:rFonts w:hint="eastAsia" w:ascii="宋体" w:hAnsi="宋体" w:cs="宋体"/>
          <w:b/>
          <w:bCs/>
          <w:color w:val="auto"/>
          <w:sz w:val="32"/>
          <w:szCs w:val="32"/>
        </w:rPr>
        <w:t>政府采购项目</w:t>
      </w:r>
    </w:p>
    <w:p>
      <w:pPr>
        <w:rPr>
          <w:rFonts w:hint="eastAsia" w:ascii="宋体" w:hAnsi="宋体" w:cs="宋体"/>
          <w:b/>
          <w:bCs/>
          <w:color w:val="auto"/>
          <w:sz w:val="30"/>
          <w:szCs w:val="30"/>
        </w:rPr>
      </w:pPr>
    </w:p>
    <w:p>
      <w:pPr>
        <w:spacing w:line="840" w:lineRule="exact"/>
        <w:jc w:val="center"/>
        <w:rPr>
          <w:rFonts w:hint="eastAsia" w:ascii="宋体" w:hAnsi="宋体" w:cs="宋体"/>
          <w:b/>
          <w:color w:val="auto"/>
          <w:sz w:val="52"/>
          <w:szCs w:val="52"/>
        </w:rPr>
      </w:pPr>
    </w:p>
    <w:p>
      <w:pPr>
        <w:jc w:val="center"/>
        <w:rPr>
          <w:rFonts w:hint="eastAsia" w:ascii="宋体" w:hAnsi="宋体" w:cs="宋体"/>
          <w:b/>
          <w:bCs/>
          <w:color w:val="auto"/>
          <w:sz w:val="40"/>
          <w:szCs w:val="40"/>
          <w:lang w:eastAsia="zh-CN"/>
        </w:rPr>
      </w:pPr>
      <w:r>
        <w:rPr>
          <w:rFonts w:hint="eastAsia" w:ascii="宋体" w:hAnsi="宋体" w:cs="宋体"/>
          <w:b/>
          <w:bCs/>
          <w:color w:val="auto"/>
          <w:sz w:val="40"/>
          <w:szCs w:val="40"/>
          <w:lang w:eastAsia="zh-CN"/>
        </w:rPr>
        <w:t>榆林市横山区无定河流域生态环境综合治理建设项目（一期）施工图设计</w:t>
      </w:r>
    </w:p>
    <w:p>
      <w:pPr>
        <w:pStyle w:val="11"/>
        <w:rPr>
          <w:rFonts w:hint="eastAsia" w:ascii="宋体" w:hAnsi="宋体" w:cs="宋体"/>
          <w:b/>
          <w:bCs/>
          <w:color w:val="auto"/>
          <w:sz w:val="40"/>
          <w:szCs w:val="40"/>
          <w:lang w:eastAsia="zh-CN"/>
        </w:rPr>
      </w:pPr>
    </w:p>
    <w:p>
      <w:pPr>
        <w:rPr>
          <w:rFonts w:hint="eastAsia"/>
          <w:color w:val="auto"/>
        </w:rPr>
      </w:pPr>
    </w:p>
    <w:p>
      <w:pPr>
        <w:spacing w:before="156" w:beforeLines="50" w:line="360" w:lineRule="auto"/>
        <w:jc w:val="center"/>
        <w:rPr>
          <w:rFonts w:hint="eastAsia" w:ascii="宋体" w:hAnsi="宋体" w:cs="宋体"/>
          <w:b/>
          <w:bCs/>
          <w:color w:val="auto"/>
          <w:sz w:val="114"/>
          <w:szCs w:val="100"/>
        </w:rPr>
      </w:pPr>
      <w:r>
        <w:rPr>
          <w:rFonts w:hint="eastAsia" w:ascii="宋体" w:hAnsi="宋体" w:cs="宋体"/>
          <w:b/>
          <w:bCs/>
          <w:color w:val="auto"/>
          <w:sz w:val="96"/>
          <w:szCs w:val="96"/>
        </w:rPr>
        <w:t>竞争性谈判文件</w:t>
      </w:r>
    </w:p>
    <w:p>
      <w:pPr>
        <w:ind w:firstLine="135" w:firstLineChars="56"/>
        <w:jc w:val="center"/>
        <w:outlineLvl w:val="0"/>
        <w:rPr>
          <w:rFonts w:hint="eastAsia" w:ascii="宋体" w:hAnsi="宋体" w:cs="宋体"/>
          <w:b/>
          <w:color w:val="auto"/>
          <w:sz w:val="24"/>
        </w:rPr>
      </w:pPr>
    </w:p>
    <w:p>
      <w:pPr>
        <w:ind w:firstLine="2249" w:firstLineChars="700"/>
        <w:jc w:val="both"/>
        <w:rPr>
          <w:rFonts w:hint="eastAsia" w:ascii="宋体" w:hAnsi="宋体" w:cs="宋体"/>
          <w:b/>
          <w:color w:val="auto"/>
          <w:sz w:val="32"/>
          <w:szCs w:val="32"/>
          <w:lang w:val="en-US" w:eastAsia="zh-CN"/>
        </w:rPr>
      </w:pPr>
    </w:p>
    <w:p>
      <w:pPr>
        <w:ind w:firstLine="2249" w:firstLineChars="700"/>
        <w:jc w:val="both"/>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项目</w:t>
      </w:r>
      <w:r>
        <w:rPr>
          <w:rFonts w:hint="eastAsia" w:ascii="宋体" w:hAnsi="宋体" w:cs="宋体"/>
          <w:b/>
          <w:color w:val="auto"/>
          <w:sz w:val="32"/>
          <w:szCs w:val="32"/>
        </w:rPr>
        <w:t>编号</w:t>
      </w:r>
      <w:r>
        <w:rPr>
          <w:rFonts w:hint="eastAsia" w:ascii="宋体" w:hAnsi="宋体" w:eastAsia="宋体" w:cs="宋体"/>
          <w:b/>
          <w:color w:val="auto"/>
          <w:sz w:val="32"/>
          <w:szCs w:val="32"/>
          <w:lang w:val="en-US" w:eastAsia="zh-CN"/>
        </w:rPr>
        <w:t>：</w:t>
      </w:r>
      <w:r>
        <w:rPr>
          <w:rFonts w:hint="eastAsia" w:ascii="宋体" w:hAnsi="宋体" w:cs="宋体"/>
          <w:b/>
          <w:color w:val="auto"/>
          <w:sz w:val="32"/>
          <w:szCs w:val="32"/>
          <w:lang w:val="en-US" w:eastAsia="zh-CN"/>
        </w:rPr>
        <w:t>HRCZB20230071</w:t>
      </w:r>
    </w:p>
    <w:p>
      <w:pPr>
        <w:rPr>
          <w:rFonts w:ascii="宋体" w:hAnsi="宋体" w:cs="宋体"/>
          <w:b/>
          <w:color w:val="auto"/>
          <w:sz w:val="32"/>
          <w:szCs w:val="32"/>
        </w:rPr>
      </w:pPr>
    </w:p>
    <w:p>
      <w:pPr>
        <w:rPr>
          <w:rFonts w:hint="eastAsia" w:ascii="宋体" w:hAnsi="宋体" w:cs="宋体"/>
          <w:b/>
          <w:color w:val="auto"/>
          <w:sz w:val="32"/>
          <w:szCs w:val="32"/>
        </w:rPr>
      </w:pPr>
    </w:p>
    <w:p>
      <w:pPr>
        <w:rPr>
          <w:rFonts w:hint="eastAsia" w:ascii="宋体" w:hAnsi="宋体" w:cs="宋体"/>
          <w:b/>
          <w:color w:val="auto"/>
          <w:sz w:val="32"/>
          <w:szCs w:val="32"/>
        </w:rPr>
      </w:pPr>
    </w:p>
    <w:p>
      <w:pPr>
        <w:rPr>
          <w:rFonts w:hint="eastAsia" w:ascii="宋体" w:hAnsi="宋体" w:cs="宋体"/>
          <w:b/>
          <w:color w:val="auto"/>
          <w:sz w:val="32"/>
          <w:szCs w:val="32"/>
        </w:rPr>
      </w:pPr>
    </w:p>
    <w:p>
      <w:pPr>
        <w:tabs>
          <w:tab w:val="left" w:pos="2520"/>
        </w:tabs>
        <w:spacing w:line="720" w:lineRule="auto"/>
        <w:rPr>
          <w:rFonts w:hint="eastAsia" w:ascii="宋体" w:hAnsi="宋体" w:eastAsia="宋体" w:cs="宋体"/>
          <w:b/>
          <w:color w:val="auto"/>
          <w:sz w:val="32"/>
          <w:szCs w:val="32"/>
        </w:rPr>
      </w:pPr>
      <w:r>
        <w:rPr>
          <w:rFonts w:hint="eastAsia" w:ascii="宋体" w:hAnsi="宋体" w:cs="宋体"/>
          <w:b/>
          <w:color w:val="auto"/>
          <w:sz w:val="32"/>
          <w:szCs w:val="32"/>
        </w:rPr>
        <w:t>采购单位：</w:t>
      </w:r>
      <w:r>
        <w:rPr>
          <w:rFonts w:hint="eastAsia" w:ascii="宋体" w:hAnsi="宋体" w:cs="宋体"/>
          <w:b/>
          <w:color w:val="auto"/>
          <w:sz w:val="32"/>
          <w:szCs w:val="32"/>
          <w:lang w:val="en-US" w:eastAsia="zh-CN"/>
        </w:rPr>
        <w:t>榆林市横山区发展改革和科技局</w:t>
      </w:r>
    </w:p>
    <w:p>
      <w:pPr>
        <w:spacing w:line="720" w:lineRule="auto"/>
        <w:rPr>
          <w:rFonts w:hint="eastAsia" w:ascii="宋体" w:hAnsi="宋体" w:cs="宋体"/>
          <w:b/>
          <w:color w:val="auto"/>
          <w:sz w:val="32"/>
          <w:szCs w:val="32"/>
        </w:rPr>
      </w:pPr>
      <w:r>
        <w:rPr>
          <w:rFonts w:hint="eastAsia" w:ascii="宋体" w:hAnsi="宋体" w:cs="宋体"/>
          <w:b/>
          <w:color w:val="auto"/>
          <w:sz w:val="32"/>
          <w:szCs w:val="32"/>
        </w:rPr>
        <w:t>代理机构：华睿诚项目管理有限公司</w:t>
      </w:r>
    </w:p>
    <w:p>
      <w:pPr>
        <w:spacing w:line="720" w:lineRule="auto"/>
        <w:rPr>
          <w:rFonts w:hint="eastAsia" w:ascii="宋体" w:hAnsi="宋体" w:cs="宋体"/>
          <w:b/>
          <w:color w:val="auto"/>
          <w:sz w:val="30"/>
          <w:szCs w:val="30"/>
        </w:rPr>
      </w:pPr>
      <w:r>
        <w:rPr>
          <w:rFonts w:hint="eastAsia" w:ascii="宋体" w:hAnsi="宋体" w:cs="宋体"/>
          <w:b/>
          <w:color w:val="auto"/>
          <w:sz w:val="30"/>
          <w:szCs w:val="30"/>
        </w:rPr>
        <w:t>时    间：二零二</w:t>
      </w:r>
      <w:r>
        <w:rPr>
          <w:rFonts w:hint="eastAsia" w:ascii="宋体" w:hAnsi="宋体" w:cs="宋体"/>
          <w:b/>
          <w:color w:val="auto"/>
          <w:sz w:val="30"/>
          <w:szCs w:val="30"/>
          <w:lang w:val="en-US" w:eastAsia="zh-CN"/>
        </w:rPr>
        <w:t>三</w:t>
      </w:r>
      <w:r>
        <w:rPr>
          <w:rFonts w:hint="eastAsia" w:ascii="宋体" w:hAnsi="宋体" w:cs="宋体"/>
          <w:b/>
          <w:color w:val="auto"/>
          <w:sz w:val="30"/>
          <w:szCs w:val="30"/>
        </w:rPr>
        <w:t>年</w:t>
      </w:r>
      <w:r>
        <w:rPr>
          <w:rFonts w:hint="eastAsia" w:ascii="宋体" w:hAnsi="宋体" w:cs="宋体"/>
          <w:b/>
          <w:color w:val="auto"/>
          <w:sz w:val="30"/>
          <w:szCs w:val="30"/>
          <w:lang w:val="en-US" w:eastAsia="zh-CN"/>
        </w:rPr>
        <w:t>二</w:t>
      </w:r>
      <w:r>
        <w:rPr>
          <w:rFonts w:hint="eastAsia" w:ascii="宋体" w:hAnsi="宋体" w:cs="宋体"/>
          <w:b/>
          <w:color w:val="auto"/>
          <w:sz w:val="30"/>
          <w:szCs w:val="30"/>
        </w:rPr>
        <w:t>月</w:t>
      </w:r>
    </w:p>
    <w:p>
      <w:pPr>
        <w:spacing w:line="720" w:lineRule="auto"/>
        <w:rPr>
          <w:rFonts w:hint="eastAsia" w:ascii="宋体" w:hAnsi="宋体" w:cs="宋体"/>
          <w:b/>
          <w:color w:val="auto"/>
          <w:sz w:val="30"/>
          <w:szCs w:val="30"/>
        </w:rPr>
      </w:pPr>
    </w:p>
    <w:p>
      <w:pPr>
        <w:spacing w:line="380" w:lineRule="exact"/>
        <w:jc w:val="center"/>
        <w:rPr>
          <w:rFonts w:hint="eastAsia" w:ascii="宋体" w:hAnsi="宋体" w:cs="宋体"/>
          <w:b/>
          <w:bCs/>
          <w:color w:val="auto"/>
          <w:sz w:val="32"/>
          <w:szCs w:val="32"/>
        </w:rPr>
        <w:sectPr>
          <w:footerReference r:id="rId3" w:type="even"/>
          <w:pgSz w:w="11906" w:h="16838"/>
          <w:pgMar w:top="1440" w:right="1800" w:bottom="1440" w:left="1800" w:header="851" w:footer="992" w:gutter="0"/>
          <w:pgNumType w:start="1"/>
          <w:cols w:space="720" w:num="1"/>
          <w:docGrid w:type="lines" w:linePitch="312" w:charSpace="0"/>
        </w:sectPr>
      </w:pPr>
    </w:p>
    <w:p>
      <w:pPr>
        <w:spacing w:line="380" w:lineRule="exact"/>
        <w:jc w:val="center"/>
        <w:rPr>
          <w:rFonts w:hint="eastAsia" w:ascii="宋体" w:hAnsi="宋体" w:cs="宋体"/>
          <w:b/>
          <w:bCs/>
          <w:color w:val="auto"/>
          <w:sz w:val="32"/>
          <w:szCs w:val="32"/>
        </w:rPr>
      </w:pPr>
      <w:r>
        <w:rPr>
          <w:rFonts w:hint="eastAsia" w:ascii="宋体" w:hAnsi="宋体" w:cs="宋体"/>
          <w:b/>
          <w:bCs/>
          <w:color w:val="auto"/>
          <w:sz w:val="32"/>
          <w:szCs w:val="32"/>
        </w:rPr>
        <w:t>目 录</w:t>
      </w:r>
    </w:p>
    <w:p>
      <w:pPr>
        <w:spacing w:line="380" w:lineRule="exact"/>
        <w:jc w:val="center"/>
        <w:rPr>
          <w:rFonts w:hint="eastAsia" w:ascii="宋体" w:hAnsi="宋体" w:cs="宋体"/>
          <w:b/>
          <w:bCs/>
          <w:color w:val="auto"/>
          <w:sz w:val="32"/>
          <w:szCs w:val="32"/>
        </w:rPr>
      </w:pPr>
    </w:p>
    <w:p>
      <w:pPr>
        <w:pStyle w:val="13"/>
        <w:tabs>
          <w:tab w:val="right" w:leader="dot" w:pos="8306"/>
        </w:tabs>
        <w:rPr>
          <w:color w:val="auto"/>
        </w:rPr>
      </w:pPr>
      <w:bookmarkStart w:id="0" w:name="_Toc294650189"/>
      <w:bookmarkStart w:id="1" w:name="_Toc294650329"/>
      <w:bookmarkStart w:id="2" w:name="_Toc294689026"/>
      <w:bookmarkStart w:id="3" w:name="_Toc294650431"/>
      <w:bookmarkStart w:id="4" w:name="_Toc294649605"/>
      <w:bookmarkStart w:id="5" w:name="_Toc314237608"/>
      <w:bookmarkStart w:id="6" w:name="_Toc313106323"/>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TOC \o "1-3" \h \u </w:instrText>
      </w:r>
      <w:r>
        <w:rPr>
          <w:rFonts w:hint="eastAsia" w:ascii="宋体" w:hAnsi="宋体" w:cs="宋体"/>
          <w:color w:val="auto"/>
          <w:sz w:val="24"/>
          <w:szCs w:val="24"/>
        </w:rPr>
        <w:fldChar w:fldCharType="separate"/>
      </w:r>
      <w:r>
        <w:rPr>
          <w:rFonts w:hint="eastAsia" w:ascii="宋体" w:hAnsi="宋体" w:cs="宋体"/>
          <w:color w:val="auto"/>
          <w:szCs w:val="24"/>
        </w:rPr>
        <w:fldChar w:fldCharType="begin"/>
      </w:r>
      <w:r>
        <w:rPr>
          <w:rFonts w:hint="eastAsia" w:ascii="宋体" w:hAnsi="宋体" w:cs="宋体"/>
          <w:color w:val="auto"/>
          <w:szCs w:val="24"/>
        </w:rPr>
        <w:instrText xml:space="preserve"> HYPERLINK \l _Toc16987 </w:instrText>
      </w:r>
      <w:r>
        <w:rPr>
          <w:rFonts w:hint="eastAsia" w:ascii="宋体" w:hAnsi="宋体" w:cs="宋体"/>
          <w:color w:val="auto"/>
          <w:szCs w:val="24"/>
        </w:rPr>
        <w:fldChar w:fldCharType="separate"/>
      </w:r>
      <w:r>
        <w:rPr>
          <w:rFonts w:hint="eastAsia" w:ascii="宋体" w:hAnsi="宋体" w:cs="宋体"/>
          <w:color w:val="auto"/>
          <w:szCs w:val="32"/>
        </w:rPr>
        <w:t>第一部分  竞争性谈判公告</w:t>
      </w:r>
      <w:r>
        <w:rPr>
          <w:color w:val="auto"/>
        </w:rPr>
        <w:tab/>
      </w:r>
      <w:r>
        <w:rPr>
          <w:color w:val="auto"/>
        </w:rPr>
        <w:fldChar w:fldCharType="begin"/>
      </w:r>
      <w:r>
        <w:rPr>
          <w:color w:val="auto"/>
        </w:rPr>
        <w:instrText xml:space="preserve"> PAGEREF _Toc16987 \h </w:instrText>
      </w:r>
      <w:r>
        <w:rPr>
          <w:color w:val="auto"/>
        </w:rPr>
        <w:fldChar w:fldCharType="separate"/>
      </w:r>
      <w:r>
        <w:rPr>
          <w:color w:val="auto"/>
        </w:rPr>
        <w:t>6</w:t>
      </w:r>
      <w:r>
        <w:rPr>
          <w:color w:val="auto"/>
        </w:rPr>
        <w:fldChar w:fldCharType="end"/>
      </w:r>
      <w:r>
        <w:rPr>
          <w:rFonts w:hint="eastAsia" w:ascii="宋体" w:hAnsi="宋体" w:cs="宋体"/>
          <w:color w:val="auto"/>
          <w:szCs w:val="24"/>
        </w:rPr>
        <w:fldChar w:fldCharType="end"/>
      </w:r>
    </w:p>
    <w:p>
      <w:pPr>
        <w:pStyle w:val="13"/>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_Toc11520 </w:instrText>
      </w:r>
      <w:r>
        <w:rPr>
          <w:rFonts w:hint="eastAsia" w:ascii="宋体" w:hAnsi="宋体" w:cs="宋体"/>
          <w:bCs w:val="0"/>
          <w:color w:val="auto"/>
          <w:szCs w:val="24"/>
        </w:rPr>
        <w:fldChar w:fldCharType="separate"/>
      </w:r>
      <w:r>
        <w:rPr>
          <w:rFonts w:hint="eastAsia" w:ascii="宋体" w:hAnsi="宋体" w:cs="宋体"/>
          <w:color w:val="auto"/>
          <w:szCs w:val="32"/>
        </w:rPr>
        <w:t>第二部分  供应商须知</w:t>
      </w:r>
      <w:r>
        <w:rPr>
          <w:color w:val="auto"/>
        </w:rPr>
        <w:tab/>
      </w:r>
      <w:r>
        <w:rPr>
          <w:color w:val="auto"/>
        </w:rPr>
        <w:fldChar w:fldCharType="begin"/>
      </w:r>
      <w:r>
        <w:rPr>
          <w:color w:val="auto"/>
        </w:rPr>
        <w:instrText xml:space="preserve"> PAGEREF _Toc11520 \h </w:instrText>
      </w:r>
      <w:r>
        <w:rPr>
          <w:color w:val="auto"/>
        </w:rPr>
        <w:fldChar w:fldCharType="separate"/>
      </w:r>
      <w:r>
        <w:rPr>
          <w:color w:val="auto"/>
        </w:rPr>
        <w:t>11</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_Toc14243 </w:instrText>
      </w:r>
      <w:r>
        <w:rPr>
          <w:rFonts w:hint="eastAsia" w:ascii="宋体" w:hAnsi="宋体" w:cs="宋体"/>
          <w:bCs w:val="0"/>
          <w:color w:val="auto"/>
          <w:szCs w:val="24"/>
        </w:rPr>
        <w:fldChar w:fldCharType="separate"/>
      </w:r>
      <w:r>
        <w:rPr>
          <w:rFonts w:hint="eastAsia" w:ascii="宋体" w:hAnsi="宋体" w:eastAsia="宋体" w:cs="宋体"/>
          <w:bCs/>
          <w:color w:val="auto"/>
        </w:rPr>
        <w:t>一、名词解释</w:t>
      </w:r>
      <w:r>
        <w:rPr>
          <w:color w:val="auto"/>
        </w:rPr>
        <w:tab/>
      </w:r>
      <w:r>
        <w:rPr>
          <w:color w:val="auto"/>
        </w:rPr>
        <w:fldChar w:fldCharType="begin"/>
      </w:r>
      <w:r>
        <w:rPr>
          <w:color w:val="auto"/>
        </w:rPr>
        <w:instrText xml:space="preserve"> PAGEREF _Toc14243 \h </w:instrText>
      </w:r>
      <w:r>
        <w:rPr>
          <w:color w:val="auto"/>
        </w:rPr>
        <w:fldChar w:fldCharType="separate"/>
      </w:r>
      <w:r>
        <w:rPr>
          <w:color w:val="auto"/>
        </w:rPr>
        <w:t>14</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_Toc29429 </w:instrText>
      </w:r>
      <w:r>
        <w:rPr>
          <w:rFonts w:hint="eastAsia" w:ascii="宋体" w:hAnsi="宋体" w:cs="宋体"/>
          <w:bCs w:val="0"/>
          <w:color w:val="auto"/>
          <w:szCs w:val="24"/>
        </w:rPr>
        <w:fldChar w:fldCharType="separate"/>
      </w:r>
      <w:r>
        <w:rPr>
          <w:rFonts w:hint="eastAsia" w:ascii="宋体" w:hAnsi="宋体" w:eastAsia="宋体" w:cs="宋体"/>
          <w:bCs/>
          <w:color w:val="auto"/>
        </w:rPr>
        <w:t>二、谈判文件</w:t>
      </w:r>
      <w:r>
        <w:rPr>
          <w:color w:val="auto"/>
        </w:rPr>
        <w:tab/>
      </w:r>
      <w:r>
        <w:rPr>
          <w:color w:val="auto"/>
        </w:rPr>
        <w:fldChar w:fldCharType="begin"/>
      </w:r>
      <w:r>
        <w:rPr>
          <w:color w:val="auto"/>
        </w:rPr>
        <w:instrText xml:space="preserve"> PAGEREF _Toc29429 \h </w:instrText>
      </w:r>
      <w:r>
        <w:rPr>
          <w:color w:val="auto"/>
        </w:rPr>
        <w:fldChar w:fldCharType="separate"/>
      </w:r>
      <w:r>
        <w:rPr>
          <w:color w:val="auto"/>
        </w:rPr>
        <w:t>14</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_Toc16000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四、谈判响应文件</w:t>
      </w:r>
      <w:r>
        <w:rPr>
          <w:color w:val="auto"/>
        </w:rPr>
        <w:tab/>
      </w:r>
      <w:r>
        <w:rPr>
          <w:color w:val="auto"/>
        </w:rPr>
        <w:fldChar w:fldCharType="begin"/>
      </w:r>
      <w:r>
        <w:rPr>
          <w:color w:val="auto"/>
        </w:rPr>
        <w:instrText xml:space="preserve"> PAGEREF _Toc16000 \h </w:instrText>
      </w:r>
      <w:r>
        <w:rPr>
          <w:color w:val="auto"/>
        </w:rPr>
        <w:fldChar w:fldCharType="separate"/>
      </w:r>
      <w:r>
        <w:rPr>
          <w:color w:val="auto"/>
        </w:rPr>
        <w:t>16</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_Toc30154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五、谈判响应文件的递交</w:t>
      </w:r>
      <w:r>
        <w:rPr>
          <w:color w:val="auto"/>
        </w:rPr>
        <w:tab/>
      </w:r>
      <w:r>
        <w:rPr>
          <w:color w:val="auto"/>
        </w:rPr>
        <w:fldChar w:fldCharType="begin"/>
      </w:r>
      <w:r>
        <w:rPr>
          <w:color w:val="auto"/>
        </w:rPr>
        <w:instrText xml:space="preserve"> PAGEREF _Toc30154 \h </w:instrText>
      </w:r>
      <w:r>
        <w:rPr>
          <w:color w:val="auto"/>
        </w:rPr>
        <w:fldChar w:fldCharType="separate"/>
      </w:r>
      <w:r>
        <w:rPr>
          <w:color w:val="auto"/>
        </w:rPr>
        <w:t>17</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_Toc2780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六、谈判、评审</w:t>
      </w:r>
      <w:r>
        <w:rPr>
          <w:color w:val="auto"/>
        </w:rPr>
        <w:tab/>
      </w:r>
      <w:r>
        <w:rPr>
          <w:color w:val="auto"/>
        </w:rPr>
        <w:fldChar w:fldCharType="begin"/>
      </w:r>
      <w:r>
        <w:rPr>
          <w:color w:val="auto"/>
        </w:rPr>
        <w:instrText xml:space="preserve"> PAGEREF _Toc2780 \h </w:instrText>
      </w:r>
      <w:r>
        <w:rPr>
          <w:color w:val="auto"/>
        </w:rPr>
        <w:fldChar w:fldCharType="separate"/>
      </w:r>
      <w:r>
        <w:rPr>
          <w:color w:val="auto"/>
        </w:rPr>
        <w:t>17</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_Toc16579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七、评审办法及内容</w:t>
      </w:r>
      <w:r>
        <w:rPr>
          <w:color w:val="auto"/>
        </w:rPr>
        <w:tab/>
      </w:r>
      <w:r>
        <w:rPr>
          <w:color w:val="auto"/>
        </w:rPr>
        <w:fldChar w:fldCharType="begin"/>
      </w:r>
      <w:r>
        <w:rPr>
          <w:color w:val="auto"/>
        </w:rPr>
        <w:instrText xml:space="preserve"> PAGEREF _Toc16579 \h </w:instrText>
      </w:r>
      <w:r>
        <w:rPr>
          <w:color w:val="auto"/>
        </w:rPr>
        <w:fldChar w:fldCharType="separate"/>
      </w:r>
      <w:r>
        <w:rPr>
          <w:color w:val="auto"/>
        </w:rPr>
        <w:t>17</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_Toc3557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八、确定</w:t>
      </w:r>
      <w:r>
        <w:rPr>
          <w:rFonts w:hint="eastAsia" w:ascii="宋体" w:hAnsi="宋体" w:eastAsia="宋体" w:cs="宋体"/>
          <w:bCs/>
          <w:color w:val="auto"/>
          <w:szCs w:val="24"/>
          <w:highlight w:val="none"/>
        </w:rPr>
        <w:t>成交</w:t>
      </w:r>
      <w:r>
        <w:rPr>
          <w:rFonts w:hint="eastAsia" w:ascii="宋体" w:hAnsi="宋体" w:eastAsia="宋体" w:cs="宋体"/>
          <w:bCs/>
          <w:color w:val="auto"/>
          <w:szCs w:val="24"/>
        </w:rPr>
        <w:t>供应商</w:t>
      </w:r>
      <w:r>
        <w:rPr>
          <w:color w:val="auto"/>
        </w:rPr>
        <w:tab/>
      </w:r>
      <w:r>
        <w:rPr>
          <w:color w:val="auto"/>
        </w:rPr>
        <w:fldChar w:fldCharType="begin"/>
      </w:r>
      <w:r>
        <w:rPr>
          <w:color w:val="auto"/>
        </w:rPr>
        <w:instrText xml:space="preserve"> PAGEREF _Toc3557 \h </w:instrText>
      </w:r>
      <w:r>
        <w:rPr>
          <w:color w:val="auto"/>
        </w:rPr>
        <w:fldChar w:fldCharType="separate"/>
      </w:r>
      <w:r>
        <w:rPr>
          <w:color w:val="auto"/>
        </w:rPr>
        <w:t>20</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_Toc28606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九、经济合同</w:t>
      </w:r>
      <w:r>
        <w:rPr>
          <w:color w:val="auto"/>
        </w:rPr>
        <w:tab/>
      </w:r>
      <w:r>
        <w:rPr>
          <w:color w:val="auto"/>
        </w:rPr>
        <w:fldChar w:fldCharType="begin"/>
      </w:r>
      <w:r>
        <w:rPr>
          <w:color w:val="auto"/>
        </w:rPr>
        <w:instrText xml:space="preserve"> PAGEREF _Toc28606 \h </w:instrText>
      </w:r>
      <w:r>
        <w:rPr>
          <w:color w:val="auto"/>
        </w:rPr>
        <w:fldChar w:fldCharType="separate"/>
      </w:r>
      <w:r>
        <w:rPr>
          <w:color w:val="auto"/>
        </w:rPr>
        <w:t>20</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_Toc16634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十、</w:t>
      </w:r>
      <w:r>
        <w:rPr>
          <w:rFonts w:hint="eastAsia" w:ascii="宋体" w:hAnsi="宋体" w:eastAsia="宋体" w:cs="宋体"/>
          <w:bCs/>
          <w:color w:val="auto"/>
          <w:szCs w:val="24"/>
          <w:lang w:val="zh-CN"/>
        </w:rPr>
        <w:t>中标服务费</w:t>
      </w:r>
      <w:r>
        <w:rPr>
          <w:color w:val="auto"/>
        </w:rPr>
        <w:tab/>
      </w:r>
      <w:r>
        <w:rPr>
          <w:color w:val="auto"/>
        </w:rPr>
        <w:fldChar w:fldCharType="begin"/>
      </w:r>
      <w:r>
        <w:rPr>
          <w:color w:val="auto"/>
        </w:rPr>
        <w:instrText xml:space="preserve"> PAGEREF _Toc16634 \h </w:instrText>
      </w:r>
      <w:r>
        <w:rPr>
          <w:color w:val="auto"/>
        </w:rPr>
        <w:fldChar w:fldCharType="separate"/>
      </w:r>
      <w:r>
        <w:rPr>
          <w:color w:val="auto"/>
        </w:rPr>
        <w:t>21</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_Toc21487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十一、其它</w:t>
      </w:r>
      <w:r>
        <w:rPr>
          <w:color w:val="auto"/>
        </w:rPr>
        <w:tab/>
      </w:r>
      <w:r>
        <w:rPr>
          <w:color w:val="auto"/>
        </w:rPr>
        <w:fldChar w:fldCharType="begin"/>
      </w:r>
      <w:r>
        <w:rPr>
          <w:color w:val="auto"/>
        </w:rPr>
        <w:instrText xml:space="preserve"> PAGEREF _Toc21487 \h </w:instrText>
      </w:r>
      <w:r>
        <w:rPr>
          <w:color w:val="auto"/>
        </w:rPr>
        <w:fldChar w:fldCharType="separate"/>
      </w:r>
      <w:r>
        <w:rPr>
          <w:color w:val="auto"/>
        </w:rPr>
        <w:t>21</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_Toc3977 </w:instrText>
      </w:r>
      <w:r>
        <w:rPr>
          <w:rFonts w:hint="eastAsia" w:ascii="宋体" w:hAnsi="宋体" w:cs="宋体"/>
          <w:bCs w:val="0"/>
          <w:color w:val="auto"/>
          <w:szCs w:val="24"/>
        </w:rPr>
        <w:fldChar w:fldCharType="separate"/>
      </w:r>
      <w:r>
        <w:rPr>
          <w:rFonts w:hint="eastAsia" w:ascii="宋体" w:hAnsi="宋体" w:eastAsia="宋体" w:cs="宋体"/>
          <w:bCs/>
          <w:color w:val="auto"/>
          <w:szCs w:val="24"/>
        </w:rPr>
        <w:t>十二、质疑提出与答复</w:t>
      </w:r>
      <w:r>
        <w:rPr>
          <w:color w:val="auto"/>
        </w:rPr>
        <w:tab/>
      </w:r>
      <w:r>
        <w:rPr>
          <w:color w:val="auto"/>
        </w:rPr>
        <w:fldChar w:fldCharType="begin"/>
      </w:r>
      <w:r>
        <w:rPr>
          <w:color w:val="auto"/>
        </w:rPr>
        <w:instrText xml:space="preserve"> PAGEREF _Toc3977 \h </w:instrText>
      </w:r>
      <w:r>
        <w:rPr>
          <w:color w:val="auto"/>
        </w:rPr>
        <w:fldChar w:fldCharType="separate"/>
      </w:r>
      <w:r>
        <w:rPr>
          <w:color w:val="auto"/>
        </w:rPr>
        <w:t>22</w:t>
      </w:r>
      <w:r>
        <w:rPr>
          <w:color w:val="auto"/>
        </w:rPr>
        <w:fldChar w:fldCharType="end"/>
      </w:r>
      <w:r>
        <w:rPr>
          <w:rFonts w:hint="eastAsia" w:ascii="宋体" w:hAnsi="宋体" w:cs="宋体"/>
          <w:bCs w:val="0"/>
          <w:color w:val="auto"/>
          <w:szCs w:val="24"/>
        </w:rPr>
        <w:fldChar w:fldCharType="end"/>
      </w:r>
    </w:p>
    <w:p>
      <w:pPr>
        <w:pStyle w:val="13"/>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_Toc21198 </w:instrText>
      </w:r>
      <w:r>
        <w:rPr>
          <w:rFonts w:hint="eastAsia" w:ascii="宋体" w:hAnsi="宋体" w:cs="宋体"/>
          <w:bCs w:val="0"/>
          <w:color w:val="auto"/>
          <w:szCs w:val="24"/>
        </w:rPr>
        <w:fldChar w:fldCharType="separate"/>
      </w:r>
      <w:r>
        <w:rPr>
          <w:rFonts w:hint="eastAsia" w:ascii="宋体" w:hAnsi="宋体" w:cs="宋体"/>
          <w:color w:val="auto"/>
        </w:rPr>
        <w:t xml:space="preserve">第三部分 </w:t>
      </w:r>
      <w:r>
        <w:rPr>
          <w:rFonts w:hint="eastAsia" w:ascii="宋体" w:hAnsi="宋体" w:cs="宋体"/>
          <w:color w:val="auto"/>
          <w:lang w:val="en-US" w:eastAsia="zh-CN"/>
        </w:rPr>
        <w:t>采购内容及技术要求</w:t>
      </w:r>
      <w:r>
        <w:rPr>
          <w:color w:val="auto"/>
        </w:rPr>
        <w:tab/>
      </w:r>
      <w:r>
        <w:rPr>
          <w:color w:val="auto"/>
        </w:rPr>
        <w:fldChar w:fldCharType="begin"/>
      </w:r>
      <w:r>
        <w:rPr>
          <w:color w:val="auto"/>
        </w:rPr>
        <w:instrText xml:space="preserve"> PAGEREF _Toc21198 \h </w:instrText>
      </w:r>
      <w:r>
        <w:rPr>
          <w:color w:val="auto"/>
        </w:rPr>
        <w:fldChar w:fldCharType="separate"/>
      </w:r>
      <w:r>
        <w:rPr>
          <w:color w:val="auto"/>
        </w:rPr>
        <w:t>25</w:t>
      </w:r>
      <w:r>
        <w:rPr>
          <w:color w:val="auto"/>
        </w:rPr>
        <w:fldChar w:fldCharType="end"/>
      </w:r>
      <w:r>
        <w:rPr>
          <w:rFonts w:hint="eastAsia" w:ascii="宋体" w:hAnsi="宋体" w:cs="宋体"/>
          <w:bCs w:val="0"/>
          <w:color w:val="auto"/>
          <w:szCs w:val="24"/>
        </w:rPr>
        <w:fldChar w:fldCharType="end"/>
      </w:r>
    </w:p>
    <w:p>
      <w:pPr>
        <w:pStyle w:val="13"/>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_Toc22540 </w:instrText>
      </w:r>
      <w:r>
        <w:rPr>
          <w:rFonts w:hint="eastAsia" w:ascii="宋体" w:hAnsi="宋体" w:cs="宋体"/>
          <w:bCs w:val="0"/>
          <w:color w:val="auto"/>
          <w:szCs w:val="24"/>
        </w:rPr>
        <w:fldChar w:fldCharType="separate"/>
      </w:r>
      <w:r>
        <w:rPr>
          <w:color w:val="auto"/>
        </w:rPr>
        <w:tab/>
      </w:r>
      <w:r>
        <w:rPr>
          <w:color w:val="auto"/>
        </w:rPr>
        <w:fldChar w:fldCharType="begin"/>
      </w:r>
      <w:r>
        <w:rPr>
          <w:color w:val="auto"/>
        </w:rPr>
        <w:instrText xml:space="preserve"> PAGEREF _Toc22540 \h </w:instrText>
      </w:r>
      <w:r>
        <w:rPr>
          <w:color w:val="auto"/>
        </w:rPr>
        <w:fldChar w:fldCharType="separate"/>
      </w:r>
      <w:r>
        <w:rPr>
          <w:color w:val="auto"/>
        </w:rPr>
        <w:t>25</w:t>
      </w:r>
      <w:r>
        <w:rPr>
          <w:color w:val="auto"/>
        </w:rPr>
        <w:fldChar w:fldCharType="end"/>
      </w:r>
      <w:r>
        <w:rPr>
          <w:rFonts w:hint="eastAsia" w:ascii="宋体" w:hAnsi="宋体" w:cs="宋体"/>
          <w:bCs w:val="0"/>
          <w:color w:val="auto"/>
          <w:szCs w:val="24"/>
        </w:rPr>
        <w:fldChar w:fldCharType="end"/>
      </w:r>
    </w:p>
    <w:p>
      <w:pPr>
        <w:pStyle w:val="13"/>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_Toc20644 </w:instrText>
      </w:r>
      <w:r>
        <w:rPr>
          <w:rFonts w:hint="eastAsia" w:ascii="宋体" w:hAnsi="宋体" w:cs="宋体"/>
          <w:bCs w:val="0"/>
          <w:color w:val="auto"/>
          <w:szCs w:val="24"/>
        </w:rPr>
        <w:fldChar w:fldCharType="separate"/>
      </w:r>
      <w:r>
        <w:rPr>
          <w:rFonts w:hint="eastAsia" w:ascii="宋体" w:hAnsi="宋体" w:cs="宋体"/>
          <w:color w:val="auto"/>
        </w:rPr>
        <w:t>第四部分 商务条款</w:t>
      </w:r>
      <w:r>
        <w:rPr>
          <w:color w:val="auto"/>
        </w:rPr>
        <w:tab/>
      </w:r>
      <w:r>
        <w:rPr>
          <w:color w:val="auto"/>
        </w:rPr>
        <w:fldChar w:fldCharType="begin"/>
      </w:r>
      <w:r>
        <w:rPr>
          <w:color w:val="auto"/>
        </w:rPr>
        <w:instrText xml:space="preserve"> PAGEREF _Toc20644 \h </w:instrText>
      </w:r>
      <w:r>
        <w:rPr>
          <w:color w:val="auto"/>
        </w:rPr>
        <w:fldChar w:fldCharType="separate"/>
      </w:r>
      <w:r>
        <w:rPr>
          <w:color w:val="auto"/>
        </w:rPr>
        <w:t>28</w:t>
      </w:r>
      <w:r>
        <w:rPr>
          <w:color w:val="auto"/>
        </w:rPr>
        <w:fldChar w:fldCharType="end"/>
      </w:r>
      <w:r>
        <w:rPr>
          <w:rFonts w:hint="eastAsia" w:ascii="宋体" w:hAnsi="宋体" w:cs="宋体"/>
          <w:bCs w:val="0"/>
          <w:color w:val="auto"/>
          <w:szCs w:val="24"/>
        </w:rPr>
        <w:fldChar w:fldCharType="end"/>
      </w:r>
    </w:p>
    <w:p>
      <w:pPr>
        <w:pStyle w:val="13"/>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_Toc2963 </w:instrText>
      </w:r>
      <w:r>
        <w:rPr>
          <w:rFonts w:hint="eastAsia" w:ascii="宋体" w:hAnsi="宋体" w:cs="宋体"/>
          <w:bCs w:val="0"/>
          <w:color w:val="auto"/>
          <w:szCs w:val="24"/>
        </w:rPr>
        <w:fldChar w:fldCharType="separate"/>
      </w:r>
      <w:r>
        <w:rPr>
          <w:rFonts w:hint="eastAsia" w:ascii="宋体" w:hAnsi="宋体" w:cs="宋体"/>
          <w:bCs/>
          <w:color w:val="auto"/>
          <w:szCs w:val="32"/>
        </w:rPr>
        <w:t xml:space="preserve">第五部分   </w:t>
      </w:r>
      <w:r>
        <w:rPr>
          <w:rFonts w:hint="eastAsia" w:ascii="宋体" w:hAnsi="宋体" w:eastAsia="宋体" w:cs="宋体"/>
          <w:bCs/>
          <w:color w:val="auto"/>
          <w:szCs w:val="30"/>
          <w:highlight w:val="none"/>
        </w:rPr>
        <w:t>合同格式及主要条款</w:t>
      </w:r>
      <w:r>
        <w:rPr>
          <w:color w:val="auto"/>
        </w:rPr>
        <w:tab/>
      </w:r>
      <w:r>
        <w:rPr>
          <w:color w:val="auto"/>
        </w:rPr>
        <w:fldChar w:fldCharType="begin"/>
      </w:r>
      <w:r>
        <w:rPr>
          <w:color w:val="auto"/>
        </w:rPr>
        <w:instrText xml:space="preserve"> PAGEREF _Toc2963 \h </w:instrText>
      </w:r>
      <w:r>
        <w:rPr>
          <w:color w:val="auto"/>
        </w:rPr>
        <w:fldChar w:fldCharType="separate"/>
      </w:r>
      <w:r>
        <w:rPr>
          <w:color w:val="auto"/>
        </w:rPr>
        <w:t>29</w:t>
      </w:r>
      <w:r>
        <w:rPr>
          <w:color w:val="auto"/>
        </w:rPr>
        <w:fldChar w:fldCharType="end"/>
      </w:r>
      <w:r>
        <w:rPr>
          <w:rFonts w:hint="eastAsia" w:ascii="宋体" w:hAnsi="宋体" w:cs="宋体"/>
          <w:bCs w:val="0"/>
          <w:color w:val="auto"/>
          <w:szCs w:val="24"/>
        </w:rPr>
        <w:fldChar w:fldCharType="end"/>
      </w:r>
    </w:p>
    <w:p>
      <w:pPr>
        <w:pStyle w:val="13"/>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_Toc7240 </w:instrText>
      </w:r>
      <w:r>
        <w:rPr>
          <w:rFonts w:hint="eastAsia" w:ascii="宋体" w:hAnsi="宋体" w:cs="宋体"/>
          <w:bCs w:val="0"/>
          <w:color w:val="auto"/>
          <w:szCs w:val="24"/>
        </w:rPr>
        <w:fldChar w:fldCharType="separate"/>
      </w:r>
      <w:r>
        <w:rPr>
          <w:rFonts w:hint="eastAsia" w:ascii="宋体" w:hAnsi="宋体" w:cs="宋体"/>
          <w:color w:val="auto"/>
          <w:szCs w:val="32"/>
        </w:rPr>
        <w:t>附：竞争性谈判响应文件格式</w:t>
      </w:r>
      <w:r>
        <w:rPr>
          <w:color w:val="auto"/>
        </w:rPr>
        <w:tab/>
      </w:r>
      <w:r>
        <w:rPr>
          <w:color w:val="auto"/>
        </w:rPr>
        <w:fldChar w:fldCharType="begin"/>
      </w:r>
      <w:r>
        <w:rPr>
          <w:color w:val="auto"/>
        </w:rPr>
        <w:instrText xml:space="preserve"> PAGEREF _Toc7240 \h </w:instrText>
      </w:r>
      <w:r>
        <w:rPr>
          <w:color w:val="auto"/>
        </w:rPr>
        <w:fldChar w:fldCharType="separate"/>
      </w:r>
      <w:r>
        <w:rPr>
          <w:color w:val="auto"/>
        </w:rPr>
        <w:t>33</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_Toc15982 </w:instrText>
      </w:r>
      <w:r>
        <w:rPr>
          <w:rFonts w:hint="eastAsia" w:ascii="宋体" w:hAnsi="宋体" w:cs="宋体"/>
          <w:bCs w:val="0"/>
          <w:color w:val="auto"/>
          <w:szCs w:val="24"/>
        </w:rPr>
        <w:fldChar w:fldCharType="separate"/>
      </w:r>
      <w:r>
        <w:rPr>
          <w:rFonts w:hint="eastAsia" w:ascii="宋体" w:hAnsi="宋体" w:eastAsia="宋体" w:cs="宋体"/>
          <w:color w:val="auto"/>
          <w:szCs w:val="32"/>
        </w:rPr>
        <w:t xml:space="preserve">第一部分   </w:t>
      </w:r>
      <w:r>
        <w:rPr>
          <w:rFonts w:hint="eastAsia" w:ascii="宋体" w:hAnsi="宋体" w:eastAsia="宋体" w:cs="宋体"/>
          <w:color w:val="auto"/>
          <w:szCs w:val="32"/>
          <w:lang w:val="en-US" w:eastAsia="zh-CN"/>
        </w:rPr>
        <w:t>响应</w:t>
      </w:r>
      <w:r>
        <w:rPr>
          <w:rFonts w:hint="eastAsia" w:ascii="宋体" w:hAnsi="宋体" w:eastAsia="宋体" w:cs="宋体"/>
          <w:color w:val="auto"/>
          <w:szCs w:val="32"/>
        </w:rPr>
        <w:t>函</w:t>
      </w:r>
      <w:r>
        <w:rPr>
          <w:color w:val="auto"/>
        </w:rPr>
        <w:tab/>
      </w:r>
      <w:r>
        <w:rPr>
          <w:color w:val="auto"/>
        </w:rPr>
        <w:fldChar w:fldCharType="begin"/>
      </w:r>
      <w:r>
        <w:rPr>
          <w:color w:val="auto"/>
        </w:rPr>
        <w:instrText xml:space="preserve"> PAGEREF _Toc15982 \h </w:instrText>
      </w:r>
      <w:r>
        <w:rPr>
          <w:color w:val="auto"/>
        </w:rPr>
        <w:fldChar w:fldCharType="separate"/>
      </w:r>
      <w:r>
        <w:rPr>
          <w:color w:val="auto"/>
        </w:rPr>
        <w:t>35</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_Toc2047 </w:instrText>
      </w:r>
      <w:r>
        <w:rPr>
          <w:rFonts w:hint="eastAsia" w:ascii="宋体" w:hAnsi="宋体" w:cs="宋体"/>
          <w:bCs w:val="0"/>
          <w:color w:val="auto"/>
          <w:szCs w:val="24"/>
        </w:rPr>
        <w:fldChar w:fldCharType="separate"/>
      </w:r>
      <w:r>
        <w:rPr>
          <w:rFonts w:hint="eastAsia" w:ascii="宋体" w:hAnsi="宋体" w:eastAsia="宋体" w:cs="宋体"/>
          <w:color w:val="auto"/>
          <w:szCs w:val="32"/>
        </w:rPr>
        <w:t xml:space="preserve">第二部分   </w:t>
      </w:r>
      <w:r>
        <w:rPr>
          <w:rFonts w:hint="eastAsia" w:ascii="宋体" w:hAnsi="宋体" w:eastAsia="宋体" w:cs="宋体"/>
          <w:color w:val="auto"/>
          <w:szCs w:val="32"/>
          <w:lang w:val="en-US" w:eastAsia="zh-CN"/>
        </w:rPr>
        <w:t>第一次</w:t>
      </w:r>
      <w:r>
        <w:rPr>
          <w:rFonts w:hint="eastAsia" w:ascii="宋体" w:hAnsi="宋体" w:eastAsia="宋体" w:cs="宋体"/>
          <w:color w:val="auto"/>
          <w:szCs w:val="32"/>
        </w:rPr>
        <w:t>谈判报价表</w:t>
      </w:r>
      <w:r>
        <w:rPr>
          <w:color w:val="auto"/>
        </w:rPr>
        <w:tab/>
      </w:r>
      <w:r>
        <w:rPr>
          <w:color w:val="auto"/>
        </w:rPr>
        <w:fldChar w:fldCharType="begin"/>
      </w:r>
      <w:r>
        <w:rPr>
          <w:color w:val="auto"/>
        </w:rPr>
        <w:instrText xml:space="preserve"> PAGEREF _Toc2047 \h </w:instrText>
      </w:r>
      <w:r>
        <w:rPr>
          <w:color w:val="auto"/>
        </w:rPr>
        <w:fldChar w:fldCharType="separate"/>
      </w:r>
      <w:r>
        <w:rPr>
          <w:color w:val="auto"/>
        </w:rPr>
        <w:t>36</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_Toc19761 </w:instrText>
      </w:r>
      <w:r>
        <w:rPr>
          <w:rFonts w:hint="eastAsia" w:ascii="宋体" w:hAnsi="宋体" w:cs="宋体"/>
          <w:bCs w:val="0"/>
          <w:color w:val="auto"/>
          <w:szCs w:val="24"/>
        </w:rPr>
        <w:fldChar w:fldCharType="separate"/>
      </w:r>
      <w:r>
        <w:rPr>
          <w:rFonts w:hint="eastAsia" w:ascii="宋体" w:hAnsi="宋体" w:eastAsia="宋体" w:cs="宋体"/>
          <w:color w:val="auto"/>
          <w:kern w:val="2"/>
          <w:szCs w:val="32"/>
          <w:lang w:val="en-US" w:eastAsia="zh-CN" w:bidi="ar-SA"/>
        </w:rPr>
        <w:t>分项报价表</w:t>
      </w:r>
      <w:r>
        <w:rPr>
          <w:color w:val="auto"/>
        </w:rPr>
        <w:tab/>
      </w:r>
      <w:r>
        <w:rPr>
          <w:color w:val="auto"/>
        </w:rPr>
        <w:fldChar w:fldCharType="begin"/>
      </w:r>
      <w:r>
        <w:rPr>
          <w:color w:val="auto"/>
        </w:rPr>
        <w:instrText xml:space="preserve"> PAGEREF _Toc19761 \h </w:instrText>
      </w:r>
      <w:r>
        <w:rPr>
          <w:color w:val="auto"/>
        </w:rPr>
        <w:fldChar w:fldCharType="separate"/>
      </w:r>
      <w:r>
        <w:rPr>
          <w:color w:val="auto"/>
        </w:rPr>
        <w:t>37</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_Toc16923 </w:instrText>
      </w:r>
      <w:r>
        <w:rPr>
          <w:rFonts w:hint="eastAsia" w:ascii="宋体" w:hAnsi="宋体" w:cs="宋体"/>
          <w:bCs w:val="0"/>
          <w:color w:val="auto"/>
          <w:szCs w:val="24"/>
        </w:rPr>
        <w:fldChar w:fldCharType="separate"/>
      </w:r>
      <w:r>
        <w:rPr>
          <w:rFonts w:hint="eastAsia" w:ascii="宋体" w:hAnsi="宋体" w:eastAsia="宋体" w:cs="宋体"/>
          <w:color w:val="auto"/>
          <w:kern w:val="2"/>
          <w:szCs w:val="32"/>
          <w:lang w:val="en-US" w:eastAsia="zh-CN" w:bidi="ar-SA"/>
        </w:rPr>
        <w:t>第三部分</w:t>
      </w:r>
      <w:r>
        <w:rPr>
          <w:rFonts w:hint="eastAsia" w:ascii="宋体" w:hAnsi="宋体" w:cs="宋体"/>
          <w:color w:val="auto"/>
          <w:szCs w:val="28"/>
          <w:lang w:val="en-US" w:eastAsia="zh-CN"/>
        </w:rPr>
        <w:t xml:space="preserve">  </w:t>
      </w:r>
      <w:r>
        <w:rPr>
          <w:rFonts w:hint="eastAsia" w:ascii="宋体" w:hAnsi="宋体" w:eastAsia="宋体" w:cs="宋体"/>
          <w:color w:val="auto"/>
          <w:kern w:val="2"/>
          <w:szCs w:val="32"/>
          <w:lang w:val="en-US" w:eastAsia="zh-CN" w:bidi="ar-SA"/>
        </w:rPr>
        <w:t>商务要求响应/偏离表</w:t>
      </w:r>
      <w:r>
        <w:rPr>
          <w:color w:val="auto"/>
        </w:rPr>
        <w:tab/>
      </w:r>
      <w:r>
        <w:rPr>
          <w:color w:val="auto"/>
        </w:rPr>
        <w:fldChar w:fldCharType="begin"/>
      </w:r>
      <w:r>
        <w:rPr>
          <w:color w:val="auto"/>
        </w:rPr>
        <w:instrText xml:space="preserve"> PAGEREF _Toc16923 \h </w:instrText>
      </w:r>
      <w:r>
        <w:rPr>
          <w:color w:val="auto"/>
        </w:rPr>
        <w:fldChar w:fldCharType="separate"/>
      </w:r>
      <w:r>
        <w:rPr>
          <w:color w:val="auto"/>
        </w:rPr>
        <w:t>38</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_Toc22345 </w:instrText>
      </w:r>
      <w:r>
        <w:rPr>
          <w:rFonts w:hint="eastAsia" w:ascii="宋体" w:hAnsi="宋体" w:cs="宋体"/>
          <w:bCs w:val="0"/>
          <w:color w:val="auto"/>
          <w:szCs w:val="24"/>
        </w:rPr>
        <w:fldChar w:fldCharType="separate"/>
      </w:r>
      <w:r>
        <w:rPr>
          <w:rFonts w:hint="eastAsia" w:ascii="宋体" w:hAnsi="宋体" w:eastAsia="宋体" w:cs="宋体"/>
          <w:bCs w:val="0"/>
          <w:color w:val="auto"/>
          <w:kern w:val="2"/>
          <w:szCs w:val="32"/>
          <w:lang w:val="en-US" w:eastAsia="zh-CN" w:bidi="ar-SA"/>
        </w:rPr>
        <w:t>第四部分  技术参数偏离表</w:t>
      </w:r>
      <w:r>
        <w:rPr>
          <w:color w:val="auto"/>
        </w:rPr>
        <w:tab/>
      </w:r>
      <w:r>
        <w:rPr>
          <w:color w:val="auto"/>
        </w:rPr>
        <w:fldChar w:fldCharType="begin"/>
      </w:r>
      <w:r>
        <w:rPr>
          <w:color w:val="auto"/>
        </w:rPr>
        <w:instrText xml:space="preserve"> PAGEREF _Toc22345 \h </w:instrText>
      </w:r>
      <w:r>
        <w:rPr>
          <w:color w:val="auto"/>
        </w:rPr>
        <w:fldChar w:fldCharType="separate"/>
      </w:r>
      <w:r>
        <w:rPr>
          <w:color w:val="auto"/>
        </w:rPr>
        <w:t>39</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_Toc14254 </w:instrText>
      </w:r>
      <w:r>
        <w:rPr>
          <w:rFonts w:hint="eastAsia" w:ascii="宋体" w:hAnsi="宋体" w:cs="宋体"/>
          <w:bCs w:val="0"/>
          <w:color w:val="auto"/>
          <w:szCs w:val="24"/>
        </w:rPr>
        <w:fldChar w:fldCharType="separate"/>
      </w:r>
      <w:r>
        <w:rPr>
          <w:rFonts w:hint="eastAsia" w:ascii="宋体" w:hAnsi="宋体" w:eastAsia="宋体" w:cs="宋体"/>
          <w:bCs/>
          <w:color w:val="auto"/>
          <w:szCs w:val="32"/>
        </w:rPr>
        <w:t>第</w:t>
      </w:r>
      <w:r>
        <w:rPr>
          <w:rFonts w:hint="eastAsia" w:ascii="宋体" w:hAnsi="宋体" w:eastAsia="宋体" w:cs="宋体"/>
          <w:bCs/>
          <w:color w:val="auto"/>
          <w:szCs w:val="32"/>
          <w:lang w:val="en-US" w:eastAsia="zh-CN"/>
        </w:rPr>
        <w:t>五</w:t>
      </w:r>
      <w:r>
        <w:rPr>
          <w:rFonts w:hint="eastAsia" w:ascii="宋体" w:hAnsi="宋体" w:eastAsia="宋体" w:cs="宋体"/>
          <w:bCs/>
          <w:color w:val="auto"/>
          <w:szCs w:val="32"/>
        </w:rPr>
        <w:t xml:space="preserve">部分   </w:t>
      </w:r>
      <w:r>
        <w:rPr>
          <w:rFonts w:hint="eastAsia" w:ascii="宋体" w:hAnsi="宋体" w:eastAsia="宋体" w:cs="宋体"/>
          <w:bCs/>
          <w:color w:val="auto"/>
          <w:szCs w:val="32"/>
          <w:lang w:val="en-US" w:eastAsia="zh-CN"/>
        </w:rPr>
        <w:t>供应商</w:t>
      </w:r>
      <w:r>
        <w:rPr>
          <w:rFonts w:hint="eastAsia" w:ascii="宋体" w:hAnsi="宋体" w:eastAsia="宋体" w:cs="宋体"/>
          <w:bCs/>
          <w:color w:val="auto"/>
          <w:szCs w:val="32"/>
        </w:rPr>
        <w:t>资格证明文件</w:t>
      </w:r>
      <w:r>
        <w:rPr>
          <w:color w:val="auto"/>
        </w:rPr>
        <w:tab/>
      </w:r>
      <w:r>
        <w:rPr>
          <w:color w:val="auto"/>
        </w:rPr>
        <w:fldChar w:fldCharType="begin"/>
      </w:r>
      <w:r>
        <w:rPr>
          <w:color w:val="auto"/>
        </w:rPr>
        <w:instrText xml:space="preserve"> PAGEREF _Toc14254 \h </w:instrText>
      </w:r>
      <w:r>
        <w:rPr>
          <w:color w:val="auto"/>
        </w:rPr>
        <w:fldChar w:fldCharType="separate"/>
      </w:r>
      <w:r>
        <w:rPr>
          <w:color w:val="auto"/>
        </w:rPr>
        <w:t>40</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_Toc931 </w:instrText>
      </w:r>
      <w:r>
        <w:rPr>
          <w:rFonts w:hint="eastAsia" w:ascii="宋体" w:hAnsi="宋体" w:cs="宋体"/>
          <w:bCs w:val="0"/>
          <w:color w:val="auto"/>
          <w:szCs w:val="24"/>
        </w:rPr>
        <w:fldChar w:fldCharType="separate"/>
      </w:r>
      <w:r>
        <w:rPr>
          <w:rFonts w:hint="eastAsia" w:ascii="宋体" w:hAnsi="宋体" w:cs="宋体"/>
          <w:bCs/>
          <w:color w:val="auto"/>
          <w:szCs w:val="32"/>
        </w:rPr>
        <w:t>第</w:t>
      </w:r>
      <w:r>
        <w:rPr>
          <w:rFonts w:hint="eastAsia" w:ascii="宋体" w:hAnsi="宋体" w:cs="宋体"/>
          <w:bCs/>
          <w:color w:val="auto"/>
          <w:szCs w:val="32"/>
          <w:lang w:val="en-US" w:eastAsia="zh-CN"/>
        </w:rPr>
        <w:t>六</w:t>
      </w:r>
      <w:r>
        <w:rPr>
          <w:rFonts w:hint="eastAsia" w:ascii="宋体" w:hAnsi="宋体" w:cs="宋体"/>
          <w:bCs/>
          <w:color w:val="auto"/>
          <w:szCs w:val="32"/>
        </w:rPr>
        <w:t>部分   法定代表人证明书及法定代表人授权书</w:t>
      </w:r>
      <w:r>
        <w:rPr>
          <w:color w:val="auto"/>
        </w:rPr>
        <w:tab/>
      </w:r>
      <w:r>
        <w:rPr>
          <w:color w:val="auto"/>
        </w:rPr>
        <w:fldChar w:fldCharType="begin"/>
      </w:r>
      <w:r>
        <w:rPr>
          <w:color w:val="auto"/>
        </w:rPr>
        <w:instrText xml:space="preserve"> PAGEREF _Toc931 \h </w:instrText>
      </w:r>
      <w:r>
        <w:rPr>
          <w:color w:val="auto"/>
        </w:rPr>
        <w:fldChar w:fldCharType="separate"/>
      </w:r>
      <w:r>
        <w:rPr>
          <w:color w:val="auto"/>
        </w:rPr>
        <w:t>41</w:t>
      </w:r>
      <w:r>
        <w:rPr>
          <w:color w:val="auto"/>
        </w:rPr>
        <w:fldChar w:fldCharType="end"/>
      </w:r>
      <w:r>
        <w:rPr>
          <w:rFonts w:hint="eastAsia" w:ascii="宋体" w:hAnsi="宋体" w:cs="宋体"/>
          <w:bCs w:val="0"/>
          <w:color w:val="auto"/>
          <w:szCs w:val="24"/>
        </w:rPr>
        <w:fldChar w:fldCharType="end"/>
      </w:r>
    </w:p>
    <w:p>
      <w:pPr>
        <w:pStyle w:val="10"/>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_Toc12677 </w:instrText>
      </w:r>
      <w:r>
        <w:rPr>
          <w:rFonts w:hint="eastAsia" w:ascii="宋体" w:hAnsi="宋体" w:cs="宋体"/>
          <w:bCs w:val="0"/>
          <w:color w:val="auto"/>
          <w:szCs w:val="24"/>
        </w:rPr>
        <w:fldChar w:fldCharType="separate"/>
      </w:r>
      <w:r>
        <w:rPr>
          <w:rFonts w:hint="eastAsia" w:ascii="宋体" w:hAnsi="宋体" w:cs="宋体"/>
          <w:bCs/>
          <w:color w:val="auto"/>
          <w:lang w:val="en-US" w:eastAsia="zh-CN"/>
        </w:rPr>
        <w:t>6</w:t>
      </w:r>
      <w:r>
        <w:rPr>
          <w:rFonts w:hint="eastAsia" w:ascii="宋体" w:hAnsi="宋体" w:cs="宋体"/>
          <w:bCs/>
          <w:color w:val="auto"/>
        </w:rPr>
        <w:t>-1、法定代表人证明书</w:t>
      </w:r>
      <w:r>
        <w:rPr>
          <w:color w:val="auto"/>
        </w:rPr>
        <w:tab/>
      </w:r>
      <w:r>
        <w:rPr>
          <w:color w:val="auto"/>
        </w:rPr>
        <w:fldChar w:fldCharType="begin"/>
      </w:r>
      <w:r>
        <w:rPr>
          <w:color w:val="auto"/>
        </w:rPr>
        <w:instrText xml:space="preserve"> PAGEREF _Toc12677 \h </w:instrText>
      </w:r>
      <w:r>
        <w:rPr>
          <w:color w:val="auto"/>
        </w:rPr>
        <w:fldChar w:fldCharType="separate"/>
      </w:r>
      <w:r>
        <w:rPr>
          <w:color w:val="auto"/>
        </w:rPr>
        <w:t>41</w:t>
      </w:r>
      <w:r>
        <w:rPr>
          <w:color w:val="auto"/>
        </w:rPr>
        <w:fldChar w:fldCharType="end"/>
      </w:r>
      <w:r>
        <w:rPr>
          <w:rFonts w:hint="eastAsia" w:ascii="宋体" w:hAnsi="宋体" w:cs="宋体"/>
          <w:bCs w:val="0"/>
          <w:color w:val="auto"/>
          <w:szCs w:val="24"/>
        </w:rPr>
        <w:fldChar w:fldCharType="end"/>
      </w:r>
    </w:p>
    <w:p>
      <w:pPr>
        <w:pStyle w:val="10"/>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_Toc9992 </w:instrText>
      </w:r>
      <w:r>
        <w:rPr>
          <w:rFonts w:hint="eastAsia" w:ascii="宋体" w:hAnsi="宋体" w:cs="宋体"/>
          <w:bCs w:val="0"/>
          <w:color w:val="auto"/>
          <w:szCs w:val="24"/>
        </w:rPr>
        <w:fldChar w:fldCharType="separate"/>
      </w:r>
      <w:r>
        <w:rPr>
          <w:rFonts w:hint="eastAsia" w:ascii="宋体" w:hAnsi="宋体" w:cs="宋体"/>
          <w:bCs/>
          <w:color w:val="auto"/>
          <w:lang w:val="en-US" w:eastAsia="zh-CN"/>
        </w:rPr>
        <w:t>6</w:t>
      </w:r>
      <w:r>
        <w:rPr>
          <w:rFonts w:hint="eastAsia" w:ascii="宋体" w:hAnsi="宋体" w:cs="宋体"/>
          <w:bCs/>
          <w:color w:val="auto"/>
        </w:rPr>
        <w:t>-2、法定代表人授权书</w:t>
      </w:r>
      <w:r>
        <w:rPr>
          <w:color w:val="auto"/>
        </w:rPr>
        <w:tab/>
      </w:r>
      <w:r>
        <w:rPr>
          <w:color w:val="auto"/>
        </w:rPr>
        <w:fldChar w:fldCharType="begin"/>
      </w:r>
      <w:r>
        <w:rPr>
          <w:color w:val="auto"/>
        </w:rPr>
        <w:instrText xml:space="preserve"> PAGEREF _Toc9992 \h </w:instrText>
      </w:r>
      <w:r>
        <w:rPr>
          <w:color w:val="auto"/>
        </w:rPr>
        <w:fldChar w:fldCharType="separate"/>
      </w:r>
      <w:r>
        <w:rPr>
          <w:color w:val="auto"/>
        </w:rPr>
        <w:t>42</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_Toc27573 </w:instrText>
      </w:r>
      <w:r>
        <w:rPr>
          <w:rFonts w:hint="eastAsia" w:ascii="宋体" w:hAnsi="宋体" w:cs="宋体"/>
          <w:bCs w:val="0"/>
          <w:color w:val="auto"/>
          <w:szCs w:val="24"/>
        </w:rPr>
        <w:fldChar w:fldCharType="separate"/>
      </w:r>
      <w:r>
        <w:rPr>
          <w:rFonts w:hint="eastAsia" w:ascii="宋体" w:hAnsi="宋体" w:eastAsia="宋体" w:cs="宋体"/>
          <w:bCs/>
          <w:color w:val="auto"/>
          <w:kern w:val="2"/>
          <w:szCs w:val="32"/>
          <w:lang w:val="en-US" w:eastAsia="zh-CN" w:bidi="ar-SA"/>
        </w:rPr>
        <w:t>第七部分  谈判响应方案</w:t>
      </w:r>
      <w:r>
        <w:rPr>
          <w:color w:val="auto"/>
        </w:rPr>
        <w:tab/>
      </w:r>
      <w:r>
        <w:rPr>
          <w:color w:val="auto"/>
        </w:rPr>
        <w:fldChar w:fldCharType="begin"/>
      </w:r>
      <w:r>
        <w:rPr>
          <w:color w:val="auto"/>
        </w:rPr>
        <w:instrText xml:space="preserve"> PAGEREF _Toc27573 \h </w:instrText>
      </w:r>
      <w:r>
        <w:rPr>
          <w:color w:val="auto"/>
        </w:rPr>
        <w:fldChar w:fldCharType="separate"/>
      </w:r>
      <w:r>
        <w:rPr>
          <w:color w:val="auto"/>
        </w:rPr>
        <w:t>43</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_Toc1536 </w:instrText>
      </w:r>
      <w:r>
        <w:rPr>
          <w:rFonts w:hint="eastAsia" w:ascii="宋体" w:hAnsi="宋体" w:cs="宋体"/>
          <w:bCs w:val="0"/>
          <w:color w:val="auto"/>
          <w:szCs w:val="24"/>
        </w:rPr>
        <w:fldChar w:fldCharType="separate"/>
      </w:r>
      <w:r>
        <w:rPr>
          <w:rFonts w:hint="eastAsia" w:ascii="宋体" w:hAnsi="宋体" w:eastAsia="宋体" w:cs="宋体"/>
          <w:bCs/>
          <w:color w:val="auto"/>
          <w:szCs w:val="32"/>
        </w:rPr>
        <w:t>第</w:t>
      </w:r>
      <w:r>
        <w:rPr>
          <w:rFonts w:hint="eastAsia" w:ascii="宋体" w:hAnsi="宋体" w:eastAsia="宋体" w:cs="宋体"/>
          <w:bCs/>
          <w:color w:val="auto"/>
          <w:szCs w:val="32"/>
          <w:lang w:val="en-US" w:eastAsia="zh-CN"/>
        </w:rPr>
        <w:t>八</w:t>
      </w:r>
      <w:r>
        <w:rPr>
          <w:rFonts w:hint="eastAsia" w:ascii="宋体" w:hAnsi="宋体" w:eastAsia="宋体" w:cs="宋体"/>
          <w:bCs/>
          <w:color w:val="auto"/>
          <w:szCs w:val="32"/>
        </w:rPr>
        <w:t xml:space="preserve">部分  </w:t>
      </w:r>
      <w:r>
        <w:rPr>
          <w:rFonts w:hint="eastAsia" w:ascii="宋体" w:hAnsi="宋体" w:eastAsia="宋体" w:cs="宋体"/>
          <w:color w:val="auto"/>
          <w:szCs w:val="32"/>
        </w:rPr>
        <w:t xml:space="preserve">  供应商拒绝政府采购领域商业贿赂承诺书</w:t>
      </w:r>
      <w:r>
        <w:rPr>
          <w:color w:val="auto"/>
        </w:rPr>
        <w:tab/>
      </w:r>
      <w:r>
        <w:rPr>
          <w:color w:val="auto"/>
        </w:rPr>
        <w:fldChar w:fldCharType="begin"/>
      </w:r>
      <w:r>
        <w:rPr>
          <w:color w:val="auto"/>
        </w:rPr>
        <w:instrText xml:space="preserve"> PAGEREF _Toc1536 \h </w:instrText>
      </w:r>
      <w:r>
        <w:rPr>
          <w:color w:val="auto"/>
        </w:rPr>
        <w:fldChar w:fldCharType="separate"/>
      </w:r>
      <w:r>
        <w:rPr>
          <w:color w:val="auto"/>
        </w:rPr>
        <w:t>44</w:t>
      </w:r>
      <w:r>
        <w:rPr>
          <w:color w:val="auto"/>
        </w:rPr>
        <w:fldChar w:fldCharType="end"/>
      </w:r>
      <w:r>
        <w:rPr>
          <w:rFonts w:hint="eastAsia" w:ascii="宋体" w:hAnsi="宋体" w:cs="宋体"/>
          <w:bCs w:val="0"/>
          <w:color w:val="auto"/>
          <w:szCs w:val="24"/>
        </w:rPr>
        <w:fldChar w:fldCharType="end"/>
      </w:r>
    </w:p>
    <w:p>
      <w:pPr>
        <w:pStyle w:val="14"/>
        <w:tabs>
          <w:tab w:val="right" w:leader="dot" w:pos="8306"/>
          <w:tab w:val="clear" w:pos="829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_Toc13917 </w:instrText>
      </w:r>
      <w:r>
        <w:rPr>
          <w:rFonts w:hint="eastAsia" w:ascii="宋体" w:hAnsi="宋体" w:cs="宋体"/>
          <w:bCs w:val="0"/>
          <w:color w:val="auto"/>
          <w:szCs w:val="24"/>
        </w:rPr>
        <w:fldChar w:fldCharType="separate"/>
      </w:r>
      <w:r>
        <w:rPr>
          <w:rFonts w:hint="eastAsia" w:ascii="宋体" w:hAnsi="宋体" w:cs="宋体"/>
          <w:color w:val="auto"/>
          <w:szCs w:val="32"/>
        </w:rPr>
        <w:t>第</w:t>
      </w:r>
      <w:r>
        <w:rPr>
          <w:rFonts w:hint="eastAsia" w:ascii="宋体" w:hAnsi="宋体" w:cs="宋体"/>
          <w:color w:val="auto"/>
          <w:szCs w:val="32"/>
          <w:lang w:val="en-US" w:eastAsia="zh-CN"/>
        </w:rPr>
        <w:t>九</w:t>
      </w:r>
      <w:r>
        <w:rPr>
          <w:rFonts w:hint="eastAsia" w:ascii="宋体" w:hAnsi="宋体" w:cs="宋体"/>
          <w:color w:val="auto"/>
          <w:szCs w:val="32"/>
        </w:rPr>
        <w:t xml:space="preserve">部分 </w:t>
      </w:r>
      <w:r>
        <w:rPr>
          <w:rFonts w:hint="eastAsia" w:ascii="宋体" w:hAnsi="宋体" w:cs="宋体"/>
          <w:color w:val="auto"/>
          <w:szCs w:val="32"/>
          <w:lang w:val="en-US" w:eastAsia="zh-CN"/>
        </w:rPr>
        <w:t>中小</w:t>
      </w:r>
      <w:r>
        <w:rPr>
          <w:rFonts w:hint="eastAsia" w:ascii="宋体" w:hAnsi="宋体" w:cs="宋体"/>
          <w:color w:val="auto"/>
          <w:szCs w:val="32"/>
        </w:rPr>
        <w:t>企业、监狱企业、残疾人福利单位声明函或证明</w:t>
      </w:r>
      <w:r>
        <w:rPr>
          <w:color w:val="auto"/>
        </w:rPr>
        <w:tab/>
      </w:r>
      <w:r>
        <w:rPr>
          <w:color w:val="auto"/>
        </w:rPr>
        <w:fldChar w:fldCharType="begin"/>
      </w:r>
      <w:r>
        <w:rPr>
          <w:color w:val="auto"/>
        </w:rPr>
        <w:instrText xml:space="preserve"> PAGEREF _Toc13917 \h </w:instrText>
      </w:r>
      <w:r>
        <w:rPr>
          <w:color w:val="auto"/>
        </w:rPr>
        <w:fldChar w:fldCharType="separate"/>
      </w:r>
      <w:r>
        <w:rPr>
          <w:color w:val="auto"/>
        </w:rPr>
        <w:t>49</w:t>
      </w:r>
      <w:r>
        <w:rPr>
          <w:color w:val="auto"/>
        </w:rPr>
        <w:fldChar w:fldCharType="end"/>
      </w:r>
      <w:r>
        <w:rPr>
          <w:rFonts w:hint="eastAsia" w:ascii="宋体" w:hAnsi="宋体" w:cs="宋体"/>
          <w:bCs w:val="0"/>
          <w:color w:val="auto"/>
          <w:szCs w:val="24"/>
        </w:rPr>
        <w:fldChar w:fldCharType="end"/>
      </w:r>
    </w:p>
    <w:p>
      <w:pPr>
        <w:pStyle w:val="10"/>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_Toc16119 </w:instrText>
      </w:r>
      <w:r>
        <w:rPr>
          <w:rFonts w:hint="eastAsia" w:ascii="宋体" w:hAnsi="宋体" w:cs="宋体"/>
          <w:bCs w:val="0"/>
          <w:color w:val="auto"/>
          <w:szCs w:val="24"/>
        </w:rPr>
        <w:fldChar w:fldCharType="separate"/>
      </w:r>
      <w:r>
        <w:rPr>
          <w:rFonts w:hint="eastAsia" w:ascii="宋体" w:hAnsi="宋体" w:eastAsia="宋体" w:cs="宋体"/>
          <w:color w:val="auto"/>
          <w:spacing w:val="6"/>
          <w:szCs w:val="28"/>
        </w:rPr>
        <w:t>1.</w:t>
      </w:r>
      <w:r>
        <w:rPr>
          <w:rFonts w:hint="eastAsia" w:ascii="宋体" w:hAnsi="宋体" w:eastAsia="宋体" w:cs="宋体"/>
          <w:color w:val="auto"/>
          <w:spacing w:val="6"/>
          <w:szCs w:val="28"/>
          <w:lang w:val="en-US" w:eastAsia="zh-CN"/>
        </w:rPr>
        <w:t>中小</w:t>
      </w:r>
      <w:r>
        <w:rPr>
          <w:rFonts w:hint="eastAsia" w:ascii="宋体" w:hAnsi="宋体" w:eastAsia="宋体" w:cs="宋体"/>
          <w:color w:val="auto"/>
          <w:spacing w:val="6"/>
          <w:szCs w:val="28"/>
        </w:rPr>
        <w:t>企业声明函</w:t>
      </w:r>
      <w:r>
        <w:rPr>
          <w:color w:val="auto"/>
        </w:rPr>
        <w:tab/>
      </w:r>
      <w:r>
        <w:rPr>
          <w:color w:val="auto"/>
        </w:rPr>
        <w:fldChar w:fldCharType="begin"/>
      </w:r>
      <w:r>
        <w:rPr>
          <w:color w:val="auto"/>
        </w:rPr>
        <w:instrText xml:space="preserve"> PAGEREF _Toc16119 \h </w:instrText>
      </w:r>
      <w:r>
        <w:rPr>
          <w:color w:val="auto"/>
        </w:rPr>
        <w:fldChar w:fldCharType="separate"/>
      </w:r>
      <w:r>
        <w:rPr>
          <w:color w:val="auto"/>
        </w:rPr>
        <w:t>49</w:t>
      </w:r>
      <w:r>
        <w:rPr>
          <w:color w:val="auto"/>
        </w:rPr>
        <w:fldChar w:fldCharType="end"/>
      </w:r>
      <w:r>
        <w:rPr>
          <w:rFonts w:hint="eastAsia" w:ascii="宋体" w:hAnsi="宋体" w:cs="宋体"/>
          <w:bCs w:val="0"/>
          <w:color w:val="auto"/>
          <w:szCs w:val="24"/>
        </w:rPr>
        <w:fldChar w:fldCharType="end"/>
      </w:r>
    </w:p>
    <w:p>
      <w:pPr>
        <w:pStyle w:val="10"/>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_Toc20930 </w:instrText>
      </w:r>
      <w:r>
        <w:rPr>
          <w:rFonts w:hint="eastAsia" w:ascii="宋体" w:hAnsi="宋体" w:cs="宋体"/>
          <w:bCs w:val="0"/>
          <w:color w:val="auto"/>
          <w:szCs w:val="24"/>
        </w:rPr>
        <w:fldChar w:fldCharType="separate"/>
      </w:r>
      <w:r>
        <w:rPr>
          <w:rFonts w:hint="eastAsia" w:ascii="宋体" w:hAnsi="宋体" w:cs="宋体"/>
          <w:color w:val="auto"/>
          <w:spacing w:val="6"/>
          <w:szCs w:val="28"/>
        </w:rPr>
        <w:t>2.残疾人福利性单位声明函</w:t>
      </w:r>
      <w:r>
        <w:rPr>
          <w:color w:val="auto"/>
        </w:rPr>
        <w:tab/>
      </w:r>
      <w:r>
        <w:rPr>
          <w:color w:val="auto"/>
        </w:rPr>
        <w:fldChar w:fldCharType="begin"/>
      </w:r>
      <w:r>
        <w:rPr>
          <w:color w:val="auto"/>
        </w:rPr>
        <w:instrText xml:space="preserve"> PAGEREF _Toc20930 \h </w:instrText>
      </w:r>
      <w:r>
        <w:rPr>
          <w:color w:val="auto"/>
        </w:rPr>
        <w:fldChar w:fldCharType="separate"/>
      </w:r>
      <w:r>
        <w:rPr>
          <w:color w:val="auto"/>
        </w:rPr>
        <w:t>50</w:t>
      </w:r>
      <w:r>
        <w:rPr>
          <w:color w:val="auto"/>
        </w:rPr>
        <w:fldChar w:fldCharType="end"/>
      </w:r>
      <w:r>
        <w:rPr>
          <w:rFonts w:hint="eastAsia" w:ascii="宋体" w:hAnsi="宋体" w:cs="宋体"/>
          <w:bCs w:val="0"/>
          <w:color w:val="auto"/>
          <w:szCs w:val="24"/>
        </w:rPr>
        <w:fldChar w:fldCharType="end"/>
      </w:r>
    </w:p>
    <w:p>
      <w:pPr>
        <w:pStyle w:val="10"/>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_Toc26251 </w:instrText>
      </w:r>
      <w:r>
        <w:rPr>
          <w:rFonts w:hint="eastAsia" w:ascii="宋体" w:hAnsi="宋体" w:cs="宋体"/>
          <w:bCs w:val="0"/>
          <w:color w:val="auto"/>
          <w:szCs w:val="24"/>
        </w:rPr>
        <w:fldChar w:fldCharType="separate"/>
      </w:r>
      <w:r>
        <w:rPr>
          <w:rFonts w:hint="eastAsia" w:ascii="宋体" w:hAnsi="宋体" w:cs="宋体"/>
          <w:bCs/>
          <w:color w:val="auto"/>
          <w:szCs w:val="28"/>
        </w:rPr>
        <w:t>3.</w:t>
      </w:r>
      <w:r>
        <w:rPr>
          <w:rFonts w:hint="eastAsia" w:ascii="宋体" w:hAnsi="宋体" w:cs="宋体"/>
          <w:color w:val="auto"/>
          <w:spacing w:val="6"/>
          <w:szCs w:val="28"/>
        </w:rPr>
        <w:t>监狱企业证明函</w:t>
      </w:r>
      <w:r>
        <w:rPr>
          <w:color w:val="auto"/>
        </w:rPr>
        <w:tab/>
      </w:r>
      <w:r>
        <w:rPr>
          <w:color w:val="auto"/>
        </w:rPr>
        <w:fldChar w:fldCharType="begin"/>
      </w:r>
      <w:r>
        <w:rPr>
          <w:color w:val="auto"/>
        </w:rPr>
        <w:instrText xml:space="preserve"> PAGEREF _Toc26251 \h </w:instrText>
      </w:r>
      <w:r>
        <w:rPr>
          <w:color w:val="auto"/>
        </w:rPr>
        <w:fldChar w:fldCharType="separate"/>
      </w:r>
      <w:r>
        <w:rPr>
          <w:color w:val="auto"/>
        </w:rPr>
        <w:t>51</w:t>
      </w:r>
      <w:r>
        <w:rPr>
          <w:color w:val="auto"/>
        </w:rPr>
        <w:fldChar w:fldCharType="end"/>
      </w:r>
      <w:r>
        <w:rPr>
          <w:rFonts w:hint="eastAsia" w:ascii="宋体" w:hAnsi="宋体" w:cs="宋体"/>
          <w:bCs w:val="0"/>
          <w:color w:val="auto"/>
          <w:szCs w:val="24"/>
        </w:rPr>
        <w:fldChar w:fldCharType="end"/>
      </w:r>
    </w:p>
    <w:p>
      <w:pPr>
        <w:pStyle w:val="13"/>
        <w:tabs>
          <w:tab w:val="right" w:leader="dot" w:pos="8306"/>
        </w:tabs>
        <w:rPr>
          <w:color w:val="auto"/>
        </w:rPr>
      </w:pPr>
      <w:r>
        <w:rPr>
          <w:rFonts w:hint="eastAsia" w:ascii="宋体" w:hAnsi="宋体" w:cs="宋体"/>
          <w:bCs w:val="0"/>
          <w:color w:val="auto"/>
          <w:szCs w:val="24"/>
        </w:rPr>
        <w:fldChar w:fldCharType="begin"/>
      </w:r>
      <w:r>
        <w:rPr>
          <w:rFonts w:hint="eastAsia" w:ascii="宋体" w:hAnsi="宋体" w:cs="宋体"/>
          <w:bCs w:val="0"/>
          <w:color w:val="auto"/>
          <w:szCs w:val="24"/>
        </w:rPr>
        <w:instrText xml:space="preserve"> HYPERLINK \l _Toc2023 </w:instrText>
      </w:r>
      <w:r>
        <w:rPr>
          <w:rFonts w:hint="eastAsia" w:ascii="宋体" w:hAnsi="宋体" w:cs="宋体"/>
          <w:bCs w:val="0"/>
          <w:color w:val="auto"/>
          <w:szCs w:val="24"/>
        </w:rPr>
        <w:fldChar w:fldCharType="separate"/>
      </w:r>
      <w:r>
        <w:rPr>
          <w:rFonts w:hint="eastAsia" w:ascii="宋体" w:hAnsi="宋体" w:cs="宋体"/>
          <w:bCs/>
          <w:color w:val="auto"/>
          <w:szCs w:val="32"/>
        </w:rPr>
        <w:t>榆林市公共资源交易平台全流程电子化政府采购项目内容</w:t>
      </w:r>
      <w:r>
        <w:rPr>
          <w:color w:val="auto"/>
        </w:rPr>
        <w:tab/>
      </w:r>
      <w:r>
        <w:rPr>
          <w:color w:val="auto"/>
        </w:rPr>
        <w:fldChar w:fldCharType="begin"/>
      </w:r>
      <w:r>
        <w:rPr>
          <w:color w:val="auto"/>
        </w:rPr>
        <w:instrText xml:space="preserve"> PAGEREF _Toc2023 \h </w:instrText>
      </w:r>
      <w:r>
        <w:rPr>
          <w:color w:val="auto"/>
        </w:rPr>
        <w:fldChar w:fldCharType="separate"/>
      </w:r>
      <w:r>
        <w:rPr>
          <w:color w:val="auto"/>
        </w:rPr>
        <w:t>52</w:t>
      </w:r>
      <w:r>
        <w:rPr>
          <w:color w:val="auto"/>
        </w:rPr>
        <w:fldChar w:fldCharType="end"/>
      </w:r>
      <w:r>
        <w:rPr>
          <w:rFonts w:hint="eastAsia" w:ascii="宋体" w:hAnsi="宋体" w:cs="宋体"/>
          <w:bCs w:val="0"/>
          <w:color w:val="auto"/>
          <w:szCs w:val="24"/>
        </w:rPr>
        <w:fldChar w:fldCharType="end"/>
      </w:r>
    </w:p>
    <w:p>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cs="宋体"/>
          <w:bCs w:val="0"/>
          <w:color w:val="auto"/>
          <w:szCs w:val="24"/>
        </w:rPr>
        <w:fldChar w:fldCharType="end"/>
      </w:r>
    </w:p>
    <w:bookmarkEnd w:id="0"/>
    <w:bookmarkEnd w:id="1"/>
    <w:bookmarkEnd w:id="2"/>
    <w:bookmarkEnd w:id="3"/>
    <w:bookmarkEnd w:id="4"/>
    <w:p>
      <w:pPr>
        <w:pStyle w:val="3"/>
        <w:spacing w:before="0" w:after="0" w:line="360" w:lineRule="auto"/>
        <w:jc w:val="center"/>
        <w:rPr>
          <w:rFonts w:hint="eastAsia" w:ascii="宋体" w:hAnsi="宋体" w:cs="宋体"/>
          <w:color w:val="auto"/>
          <w:sz w:val="32"/>
          <w:szCs w:val="32"/>
        </w:rPr>
      </w:pPr>
      <w:bookmarkStart w:id="7" w:name="_Toc7079"/>
      <w:bookmarkStart w:id="8" w:name="_Toc16987"/>
      <w:bookmarkStart w:id="9" w:name="_Toc13302"/>
      <w:r>
        <w:rPr>
          <w:rFonts w:hint="eastAsia" w:ascii="宋体" w:hAnsi="宋体" w:cs="宋体"/>
          <w:color w:val="auto"/>
          <w:sz w:val="32"/>
          <w:szCs w:val="32"/>
        </w:rPr>
        <w:t>第一部分  竞争性谈判公告</w:t>
      </w:r>
      <w:bookmarkEnd w:id="5"/>
      <w:bookmarkEnd w:id="6"/>
      <w:bookmarkEnd w:id="7"/>
      <w:bookmarkEnd w:id="8"/>
      <w:bookmarkEnd w:id="9"/>
      <w:bookmarkStart w:id="10" w:name="_Toc31423760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150" w:beforeAutospacing="0" w:after="150" w:afterAutospacing="0" w:line="360" w:lineRule="auto"/>
        <w:ind w:left="0" w:right="0"/>
        <w:jc w:val="left"/>
        <w:rPr>
          <w:rFonts w:hint="eastAsia" w:ascii="宋体" w:hAnsi="宋体" w:eastAsia="宋体" w:cs="宋体"/>
          <w:b w:val="0"/>
          <w:bCs w:val="0"/>
          <w:color w:val="auto"/>
          <w:sz w:val="24"/>
          <w:szCs w:val="24"/>
        </w:rPr>
      </w:pPr>
      <w:bookmarkStart w:id="11" w:name="_Toc2228"/>
      <w:bookmarkStart w:id="12" w:name="_Toc22769"/>
      <w:r>
        <w:rPr>
          <w:rFonts w:hint="eastAsia" w:ascii="宋体" w:hAnsi="宋体" w:eastAsia="宋体" w:cs="宋体"/>
          <w:b/>
          <w:bCs/>
          <w:i w:val="0"/>
          <w:iCs w:val="0"/>
          <w:caps w:val="0"/>
          <w:color w:val="auto"/>
          <w:spacing w:val="0"/>
          <w:sz w:val="24"/>
          <w:szCs w:val="24"/>
          <w:shd w:val="clear" w:color="auto" w:fill="FFFFFF"/>
        </w:rPr>
        <w:t> </w:t>
      </w:r>
      <w:r>
        <w:rPr>
          <w:rFonts w:hint="eastAsia" w:ascii="宋体" w:hAnsi="宋体" w:eastAsia="宋体" w:cs="宋体"/>
          <w:b/>
          <w:bCs/>
          <w:i w:val="0"/>
          <w:iCs w:val="0"/>
          <w:caps w:val="0"/>
          <w:color w:val="auto"/>
          <w:spacing w:val="0"/>
          <w:sz w:val="24"/>
          <w:szCs w:val="24"/>
          <w:shd w:val="clear" w:color="auto" w:fill="FFFFFF"/>
          <w:lang w:val="en-US" w:eastAsia="zh-CN"/>
        </w:rPr>
        <w:t xml:space="preserve">  </w:t>
      </w:r>
      <w:r>
        <w:rPr>
          <w:rStyle w:val="20"/>
          <w:rFonts w:hint="eastAsia" w:ascii="宋体" w:hAnsi="宋体" w:eastAsia="宋体" w:cs="宋体"/>
          <w:b/>
          <w:bCs/>
          <w:i w:val="0"/>
          <w:iCs w:val="0"/>
          <w:caps w:val="0"/>
          <w:color w:val="auto"/>
          <w:spacing w:val="0"/>
          <w:sz w:val="24"/>
          <w:szCs w:val="24"/>
          <w:shd w:val="clear" w:fill="FFFFFF"/>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榆林市横山区无定河流域生态环境综合治理建设项目（一期）施工图设计采购项目的潜在供应商应在登录全国公共资源交易中心平台（陕西省）使用CA锁报名后自行下载获取采购文件，并于 2023年02月20日 13时30分 （北京时间）前提交响应文件。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项目编号：HRCZB20230071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项目名称：榆林市横山区无定河流域生态环境综合治理建设项目（一期）施工图设计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预算金额：1,980,000.00元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合同包1(榆林市横山区无定河流域生态环境综合治理建设项目（一期）施工图设计):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合同包预算金额：1,980,000.00元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合同包最高限价：1,980,000.00元</w:t>
      </w:r>
    </w:p>
    <w:tbl>
      <w:tblPr>
        <w:tblStyle w:val="18"/>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9"/>
        <w:gridCol w:w="814"/>
        <w:gridCol w:w="2398"/>
        <w:gridCol w:w="962"/>
        <w:gridCol w:w="1451"/>
        <w:gridCol w:w="1702"/>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23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榆林市横山区无定河流域生态环境综合治理建设项目（一期）施工图设计</w:t>
            </w:r>
          </w:p>
        </w:tc>
        <w:tc>
          <w:tcPr>
            <w:tcW w:w="9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1,980,000.00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1,980,000.00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合同包1(榆林市横山区无定河流域生态环境综合治理建设项目（一期）施工图设计)落实政府采购政策需满足的资格要求如下: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合同包1(榆林市横山区无定河流域生态环境综合治理建设项目（一期）施工图设计)特定资格要求如下: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②投标人必须具</w:t>
      </w:r>
      <w:r>
        <w:rPr>
          <w:rFonts w:hint="eastAsia" w:ascii="宋体" w:hAnsi="宋体" w:eastAsia="宋体" w:cs="宋体"/>
          <w:i w:val="0"/>
          <w:iCs w:val="0"/>
          <w:caps w:val="0"/>
          <w:color w:val="auto"/>
          <w:spacing w:val="0"/>
          <w:sz w:val="24"/>
          <w:szCs w:val="24"/>
          <w:shd w:val="clear" w:fill="FFFFFF"/>
          <w:lang w:val="en-US" w:eastAsia="zh-CN"/>
        </w:rPr>
        <w:t>备</w:t>
      </w:r>
      <w:r>
        <w:rPr>
          <w:rFonts w:hint="eastAsia" w:ascii="宋体" w:hAnsi="宋体" w:eastAsia="宋体" w:cs="宋体"/>
          <w:i w:val="0"/>
          <w:iCs w:val="0"/>
          <w:caps w:val="0"/>
          <w:color w:val="auto"/>
          <w:spacing w:val="0"/>
          <w:sz w:val="24"/>
          <w:szCs w:val="24"/>
          <w:shd w:val="clear" w:fill="FFFFFF"/>
        </w:rPr>
        <w:t>市政行业给水、排水工程乙级（含乙级）及以上资质；拟派本项目的项目负责人具备相关专业中级及以上职称，及开标截止时间前六个月至今已缴存的至少三个月的社保经办机构出具的本企业为其缴纳的社会保险缴纳证明（五险一金其中一项即可），且未担任其他项目的项目负责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③税收缴纳证明：提供开标截止时间前六个月至今已缴存的至少三个月的纳税证明（银行缴费凭证）或完税证明，依法免税的单位应提供相关证明材料；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⑤财务状况报告：提供2021年度的财务审计报告；成立时间至提交投标文件递交截止时间不足一年的，投标单位须提供银行资信证明；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供应商应在“信用中国（陕西榆林）”网站进行注册、登录，自主上报信用承诺书（网址：https://www.ylcredit.gov.cn/）；”（注：需提供投标人信用承诺公示、投标人法定代表人/委托代理人员信用承诺公示网页截图。）</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⑩榆林市政府采购服务类项目供应商信用承诺书；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⑪谈判保证金交纳凭证或投标保函。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备注：本项目专门面向中小企业。本项目不接受联合体投标，单位负责人为同一人或者存在直接控股、管理关系的不同投标人，不得参加同一合同项下的政府采购活动。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时间：2023年02月15日至2023年02月17日，每天上午09:00:00至12:00:00 ，下午12:00:00至17:00:00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rPr>
        <w:t>四、响应文件提交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 2023年02月20日 13时30分00秒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地点：网上递交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rPr>
        <w:t>五、开启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2023年02月20日 13时30分00秒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地点：榆林市公共资源交易中心十楼不见面开标6室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rPr>
        <w:t>六、公告期限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rPr>
        <w:t>七、其他补充事宜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注：（1）平台报名：供应商可登录全国公共资源交易中心平台（陕西省）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2）本项目采用电子化招投标的方式，供应商使用数字认证证书（CA 锁）对谈判文件进行签章、加密、递交及开标时解密等相关招投标事宜。（3） 电子响应文件制作软件技术支持热线：400-998-0000 ，CA锁购买：榆林市市民大厦四楼窗口,电话：0912-3515031。 （4）请各供应商获取谈判文件后，按照陕西省财政厅《关于政府采购投标供应商注册登记有关事项的通知》要求，通过陕西省政府采购（http://www.ccgp-shaanxi.gov.cn/）注册登记加入陕西省政府采购投标供应商库。（5）本项目采用“不见面”开标形式，供应商可登录榆林交易平台〖首页〉不见面开标〗在线参与开评标过程，详见招标文件以及交易平台〖首页〉服务指南〉下载专区〗中的《榆林市不见面开标大厅操作手册（投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val="en-US" w:eastAsia="zh-CN"/>
        </w:rPr>
        <w:t>榆林市横山区发展改革和科技局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地址：榆林市横山区北大街9号政府大楼西701室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联系方式：13891217999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名称：华睿诚项目管理有限公司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地址：榆林市榆林大道南段富源大厦6楼综合办公室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联系方式：0912-3623000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项目联系人：刘莉娥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电话：17709127880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p>
    <w:p>
      <w:pPr>
        <w:pStyle w:val="9"/>
        <w:rPr>
          <w:rFonts w:hint="eastAsia" w:ascii="宋体" w:hAnsi="宋体" w:eastAsia="宋体" w:cs="宋体"/>
          <w:i w:val="0"/>
          <w:iCs w:val="0"/>
          <w:caps w:val="0"/>
          <w:color w:val="auto"/>
          <w:spacing w:val="0"/>
          <w:sz w:val="24"/>
          <w:szCs w:val="24"/>
          <w:shd w:val="clear" w:color="auto" w:fill="FFFFFF"/>
        </w:rPr>
      </w:pPr>
    </w:p>
    <w:p>
      <w:pPr>
        <w:pStyle w:val="9"/>
        <w:rPr>
          <w:rFonts w:hint="eastAsia" w:ascii="宋体" w:hAnsi="宋体" w:eastAsia="宋体" w:cs="宋体"/>
          <w:i w:val="0"/>
          <w:iCs w:val="0"/>
          <w:caps w:val="0"/>
          <w:color w:val="auto"/>
          <w:spacing w:val="0"/>
          <w:sz w:val="24"/>
          <w:szCs w:val="24"/>
          <w:shd w:val="clear" w:color="auto" w:fill="FFFFFF"/>
        </w:rPr>
      </w:pPr>
    </w:p>
    <w:p>
      <w:pPr>
        <w:pStyle w:val="3"/>
        <w:spacing w:before="0" w:after="0" w:line="360" w:lineRule="auto"/>
        <w:ind w:firstLine="3213" w:firstLineChars="1000"/>
        <w:jc w:val="both"/>
        <w:rPr>
          <w:rFonts w:hint="eastAsia" w:ascii="宋体" w:hAnsi="宋体" w:cs="宋体"/>
          <w:color w:val="auto"/>
          <w:sz w:val="32"/>
          <w:szCs w:val="32"/>
        </w:rPr>
        <w:sectPr>
          <w:footerReference r:id="rId5" w:type="default"/>
          <w:pgSz w:w="11900" w:h="16838"/>
          <w:pgMar w:top="1429" w:right="1417" w:bottom="1417" w:left="1417" w:header="850" w:footer="850" w:gutter="0"/>
          <w:pgNumType w:fmt="decimal"/>
          <w:cols w:space="720" w:num="1"/>
          <w:docGrid w:linePitch="326" w:charSpace="0"/>
        </w:sectPr>
      </w:pPr>
    </w:p>
    <w:p>
      <w:pPr>
        <w:pStyle w:val="3"/>
        <w:spacing w:before="0" w:after="0" w:line="360" w:lineRule="auto"/>
        <w:ind w:firstLine="3213" w:firstLineChars="1000"/>
        <w:jc w:val="both"/>
        <w:rPr>
          <w:rFonts w:hint="eastAsia" w:ascii="宋体" w:hAnsi="宋体" w:cs="宋体"/>
          <w:color w:val="auto"/>
          <w:sz w:val="32"/>
          <w:szCs w:val="32"/>
        </w:rPr>
      </w:pPr>
      <w:bookmarkStart w:id="13" w:name="_Toc11520"/>
      <w:r>
        <w:rPr>
          <w:rFonts w:hint="eastAsia" w:ascii="宋体" w:hAnsi="宋体" w:cs="宋体"/>
          <w:color w:val="auto"/>
          <w:sz w:val="32"/>
          <w:szCs w:val="32"/>
        </w:rPr>
        <w:t>第二部分  供应商须知</w:t>
      </w:r>
      <w:bookmarkEnd w:id="10"/>
      <w:bookmarkEnd w:id="11"/>
      <w:bookmarkEnd w:id="12"/>
      <w:bookmarkEnd w:id="13"/>
    </w:p>
    <w:p>
      <w:pPr>
        <w:jc w:val="center"/>
        <w:rPr>
          <w:rFonts w:hint="eastAsia" w:ascii="宋体" w:hAnsi="宋体" w:cs="宋体"/>
          <w:b/>
          <w:color w:val="auto"/>
          <w:sz w:val="28"/>
          <w:szCs w:val="28"/>
        </w:rPr>
      </w:pPr>
      <w:r>
        <w:rPr>
          <w:rFonts w:hint="eastAsia" w:ascii="宋体" w:hAnsi="宋体" w:cs="宋体"/>
          <w:b/>
          <w:color w:val="auto"/>
          <w:sz w:val="28"/>
          <w:szCs w:val="28"/>
        </w:rPr>
        <w:t>投标供应商须知前附表</w:t>
      </w:r>
    </w:p>
    <w:tbl>
      <w:tblPr>
        <w:tblStyle w:val="1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pPr>
              <w:spacing w:line="360" w:lineRule="auto"/>
              <w:jc w:val="left"/>
              <w:rPr>
                <w:rFonts w:hint="eastAsia" w:ascii="宋体" w:hAnsi="宋体" w:cs="宋体"/>
                <w:b/>
                <w:color w:val="auto"/>
                <w:sz w:val="24"/>
              </w:rPr>
            </w:pPr>
            <w:r>
              <w:rPr>
                <w:rFonts w:hint="eastAsia" w:ascii="宋体" w:hAnsi="宋体" w:cs="宋体"/>
                <w:b/>
                <w:color w:val="auto"/>
                <w:sz w:val="24"/>
              </w:rPr>
              <w:t>序号</w:t>
            </w:r>
          </w:p>
        </w:tc>
        <w:tc>
          <w:tcPr>
            <w:tcW w:w="8355" w:type="dxa"/>
            <w:noWrap w:val="0"/>
            <w:vAlign w:val="center"/>
          </w:tcPr>
          <w:p>
            <w:pPr>
              <w:spacing w:line="360" w:lineRule="auto"/>
              <w:ind w:firstLine="482" w:firstLineChars="200"/>
              <w:jc w:val="center"/>
              <w:rPr>
                <w:rFonts w:hint="eastAsia" w:ascii="宋体" w:hAnsi="宋体" w:cs="宋体"/>
                <w:b/>
                <w:color w:val="auto"/>
                <w:sz w:val="24"/>
              </w:rPr>
            </w:pPr>
            <w:r>
              <w:rPr>
                <w:rFonts w:hint="eastAsia" w:ascii="宋体" w:hAnsi="宋体" w:cs="宋体"/>
                <w:b/>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8355" w:type="dxa"/>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1.1项目名称：</w:t>
            </w:r>
            <w:r>
              <w:rPr>
                <w:rFonts w:hint="eastAsia" w:ascii="宋体" w:hAnsi="宋体" w:cs="宋体"/>
                <w:color w:val="auto"/>
                <w:sz w:val="24"/>
                <w:lang w:eastAsia="zh-CN"/>
              </w:rPr>
              <w:t>榆林市横山区无定河流域生态环境综合治理建设项目（一期）施工图设计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8355" w:type="dxa"/>
            <w:noWrap w:val="0"/>
            <w:vAlign w:val="center"/>
          </w:tcPr>
          <w:p>
            <w:pPr>
              <w:spacing w:line="600" w:lineRule="exact"/>
              <w:rPr>
                <w:rFonts w:hint="eastAsia" w:ascii="宋体" w:hAnsi="宋体" w:cs="宋体"/>
                <w:color w:val="auto"/>
                <w:sz w:val="24"/>
              </w:rPr>
            </w:pPr>
            <w:r>
              <w:rPr>
                <w:rFonts w:hint="eastAsia" w:ascii="宋体" w:hAnsi="宋体" w:cs="宋体"/>
                <w:color w:val="auto"/>
                <w:sz w:val="24"/>
              </w:rPr>
              <w:t>2.1采购单位：</w:t>
            </w:r>
            <w:r>
              <w:rPr>
                <w:rFonts w:hint="eastAsia" w:ascii="宋体" w:hAnsi="宋体" w:cs="宋体"/>
                <w:color w:val="auto"/>
                <w:sz w:val="24"/>
                <w:lang w:eastAsia="zh-CN"/>
              </w:rPr>
              <w:t>榆林市横山区发展改革和科技局</w:t>
            </w:r>
            <w:r>
              <w:rPr>
                <w:rFonts w:hint="eastAsia"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w:t>
            </w:r>
          </w:p>
        </w:tc>
        <w:tc>
          <w:tcPr>
            <w:tcW w:w="8355" w:type="dxa"/>
            <w:noWrap w:val="0"/>
            <w:vAlign w:val="center"/>
          </w:tcPr>
          <w:p>
            <w:pPr>
              <w:spacing w:line="360" w:lineRule="auto"/>
              <w:rPr>
                <w:rFonts w:hint="eastAsia" w:ascii="宋体" w:hAnsi="宋体" w:cs="宋体"/>
                <w:color w:val="auto"/>
                <w:sz w:val="24"/>
                <w:szCs w:val="32"/>
              </w:rPr>
            </w:pPr>
            <w:r>
              <w:rPr>
                <w:rFonts w:hint="eastAsia" w:ascii="宋体" w:hAnsi="宋体" w:cs="宋体"/>
                <w:color w:val="auto"/>
                <w:sz w:val="24"/>
                <w:szCs w:val="32"/>
              </w:rPr>
              <w:t>3.1资质要求：</w:t>
            </w:r>
          </w:p>
          <w:p>
            <w:pPr>
              <w:spacing w:line="360" w:lineRule="auto"/>
              <w:jc w:val="left"/>
              <w:rPr>
                <w:rFonts w:hint="eastAsia" w:ascii="宋体" w:hAnsi="宋体" w:cs="宋体"/>
                <w:color w:val="auto"/>
                <w:sz w:val="24"/>
              </w:rPr>
            </w:pPr>
            <w:r>
              <w:rPr>
                <w:rFonts w:hint="eastAsia" w:ascii="宋体" w:hAnsi="宋体" w:cs="宋体"/>
                <w:color w:val="auto"/>
                <w:sz w:val="24"/>
              </w:rPr>
              <w:t>（1）基本资格条件：符合《中华人民共和国政府采购法》第二十二条的规定：</w:t>
            </w:r>
          </w:p>
          <w:p>
            <w:pPr>
              <w:tabs>
                <w:tab w:val="left" w:pos="540"/>
                <w:tab w:val="left" w:pos="720"/>
              </w:tabs>
              <w:spacing w:line="360" w:lineRule="auto"/>
              <w:rPr>
                <w:rFonts w:hint="eastAsia" w:ascii="宋体" w:hAnsi="宋体" w:cs="宋体"/>
                <w:color w:val="auto"/>
                <w:sz w:val="24"/>
              </w:rPr>
            </w:pPr>
            <w:r>
              <w:rPr>
                <w:rFonts w:hint="eastAsia"/>
                <w:color w:val="auto"/>
              </w:rPr>
              <w:t>（</w:t>
            </w:r>
            <w:r>
              <w:rPr>
                <w:rFonts w:hint="eastAsia" w:ascii="宋体" w:hAnsi="宋体" w:cs="宋体"/>
                <w:color w:val="auto"/>
                <w:sz w:val="24"/>
              </w:rPr>
              <w:t>2）特定资格条件：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②投标人必须具</w:t>
            </w:r>
            <w:r>
              <w:rPr>
                <w:rFonts w:hint="eastAsia" w:ascii="宋体" w:hAnsi="宋体" w:eastAsia="宋体" w:cs="宋体"/>
                <w:i w:val="0"/>
                <w:iCs w:val="0"/>
                <w:caps w:val="0"/>
                <w:color w:val="auto"/>
                <w:spacing w:val="0"/>
                <w:sz w:val="24"/>
                <w:szCs w:val="24"/>
                <w:shd w:val="clear" w:fill="FFFFFF"/>
                <w:lang w:val="en-US" w:eastAsia="zh-CN"/>
              </w:rPr>
              <w:t>备</w:t>
            </w:r>
            <w:r>
              <w:rPr>
                <w:rFonts w:hint="eastAsia" w:ascii="宋体" w:hAnsi="宋体" w:eastAsia="宋体" w:cs="宋体"/>
                <w:i w:val="0"/>
                <w:iCs w:val="0"/>
                <w:caps w:val="0"/>
                <w:color w:val="auto"/>
                <w:spacing w:val="0"/>
                <w:sz w:val="24"/>
                <w:szCs w:val="24"/>
                <w:shd w:val="clear" w:fill="FFFFFF"/>
              </w:rPr>
              <w:t>市政行业给水、排水工程乙级（含乙级）及以上资质；拟派本项目的项目负责人具备相关专业中级及以上职称，及开标截止时间前六个月至今已缴存的至少三个月的社保经办机构出具的本企业为其缴纳的社会保险缴纳证明（五险一金其中一项即可），且未担任其他项目的项目负责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③税收缴纳证明：提供开标截止时间前六个月至今已缴存的至少三个月的纳税证明（银行缴费凭证）或完税证明，依法免税的单位应提供相关证明材料；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⑤财务状况报告：提供2021年度的财务审计报告；成立时间至提交投标文件递交截止时间不足一年的，投标单位须提供银行资信证明；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供应商应在“信用中国（陕西榆林）”网站进行注册、登录，自主上报信用承诺书（网址：https://www.ylcredit.gov.cn/）；”（注：需提供投标人信用承诺公示、投标人法定代表人/委托代理人员信用承诺公示网页截图。）</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⑩榆林市政府采购服务类项目供应商信用承诺书；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⑪谈判保证金交纳凭证或投标保函。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备注：本项目专门面向中小企业。本项目不接受联合体投标，单位负责人为同一人或者存在直接控股、管理关系的不同投标人，不得参加同一合同项下的政府采购活动。</w:t>
            </w:r>
          </w:p>
          <w:p>
            <w:pPr>
              <w:spacing w:line="360" w:lineRule="auto"/>
              <w:rPr>
                <w:rFonts w:hint="eastAsia" w:ascii="宋体" w:hAnsi="宋体" w:cs="宋体"/>
                <w:b/>
                <w:color w:val="auto"/>
                <w:sz w:val="24"/>
              </w:rPr>
            </w:pPr>
            <w:r>
              <w:rPr>
                <w:rFonts w:hint="eastAsia" w:ascii="宋体" w:hAnsi="宋体" w:cs="宋体"/>
                <w:b/>
                <w:color w:val="auto"/>
                <w:sz w:val="24"/>
              </w:rPr>
              <w:t>有关资质证明文件的特别说明：</w:t>
            </w:r>
          </w:p>
          <w:p>
            <w:pPr>
              <w:spacing w:line="360" w:lineRule="auto"/>
              <w:ind w:firstLine="480" w:firstLineChars="200"/>
              <w:jc w:val="left"/>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1）供应商必须对所提供的资格要求的真实性和有效性负全部法律责任。</w:t>
            </w:r>
          </w:p>
          <w:p>
            <w:pPr>
              <w:spacing w:line="360" w:lineRule="auto"/>
              <w:ind w:firstLine="480" w:firstLineChars="200"/>
              <w:rPr>
                <w:rFonts w:hint="eastAsia" w:ascii="宋体" w:hAnsi="宋体" w:cs="宋体"/>
                <w:color w:val="auto"/>
                <w:sz w:val="24"/>
              </w:rPr>
            </w:pPr>
            <w:r>
              <w:rPr>
                <w:rFonts w:hint="eastAsia" w:ascii="宋体" w:hAnsi="宋体" w:eastAsia="宋体" w:cs="宋体"/>
                <w:i w:val="0"/>
                <w:iCs w:val="0"/>
                <w:caps w:val="0"/>
                <w:color w:val="auto"/>
                <w:spacing w:val="0"/>
                <w:kern w:val="0"/>
                <w:sz w:val="24"/>
                <w:szCs w:val="24"/>
                <w:shd w:val="clear" w:color="auto" w:fill="FFFFFF"/>
                <w:lang w:val="en-US" w:eastAsia="zh-CN" w:bidi="ar-SA"/>
              </w:rPr>
              <w:t>2)以上资格要求均为必备资格条件，投标人应在谈判响应文件规定处附相关证明材料并加盖企业公章，缺项、漏项或者符合性、有效性、真实性审核不合格的，供应商自动放弃采购活动资格，响应文件视为无效。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4</w:t>
            </w:r>
          </w:p>
        </w:tc>
        <w:tc>
          <w:tcPr>
            <w:tcW w:w="8355" w:type="dxa"/>
            <w:noWrap w:val="0"/>
            <w:vAlign w:val="center"/>
          </w:tcPr>
          <w:p>
            <w:pPr>
              <w:spacing w:line="440" w:lineRule="exact"/>
              <w:ind w:firstLine="480" w:firstLineChars="200"/>
              <w:rPr>
                <w:rFonts w:hint="default"/>
                <w:color w:val="auto"/>
                <w:lang w:val="en-US" w:eastAsia="zh-CN"/>
              </w:rPr>
            </w:pPr>
            <w:r>
              <w:rPr>
                <w:rFonts w:hint="eastAsia" w:ascii="宋体" w:hAnsi="宋体" w:cs="宋体"/>
                <w:color w:val="auto"/>
                <w:sz w:val="24"/>
              </w:rPr>
              <w:t>谈判保证金：</w:t>
            </w:r>
            <w:r>
              <w:rPr>
                <w:rFonts w:hint="eastAsia" w:ascii="宋体" w:hAnsi="宋体" w:cs="宋体"/>
                <w:color w:val="auto"/>
                <w:sz w:val="24"/>
                <w:lang w:val="en-US" w:eastAsia="zh-CN"/>
              </w:rPr>
              <w:t>35000.00元</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谈判保证金的缴纳形式：供应商须从基本帐户以支票、汇票、本票或者金融机构、担保机构出具的保函等非现金形式提交</w:t>
            </w:r>
            <w:r>
              <w:rPr>
                <w:rFonts w:hint="eastAsia" w:ascii="宋体" w:hAnsi="宋体" w:cs="宋体"/>
                <w:b/>
                <w:bCs/>
                <w:color w:val="auto"/>
                <w:sz w:val="24"/>
              </w:rPr>
              <w:t>（转账时请注明所投项目编号）</w:t>
            </w:r>
            <w:r>
              <w:rPr>
                <w:rFonts w:hint="eastAsia" w:ascii="宋体" w:hAnsi="宋体" w:cs="宋体"/>
                <w:color w:val="auto"/>
                <w:sz w:val="24"/>
              </w:rPr>
              <w:t>，确保开标时间前到达指定账号。招标结束之后以转账形式退到供应商的账户。</w:t>
            </w:r>
          </w:p>
          <w:p>
            <w:pPr>
              <w:spacing w:line="440" w:lineRule="exact"/>
              <w:ind w:left="479" w:leftChars="228"/>
              <w:rPr>
                <w:rFonts w:hint="eastAsia" w:ascii="宋体" w:hAnsi="宋体" w:cs="宋体"/>
                <w:color w:val="auto"/>
                <w:sz w:val="24"/>
              </w:rPr>
            </w:pPr>
            <w:r>
              <w:rPr>
                <w:rFonts w:hint="eastAsia" w:ascii="宋体" w:hAnsi="宋体" w:cs="宋体"/>
                <w:color w:val="auto"/>
                <w:sz w:val="24"/>
              </w:rPr>
              <w:t xml:space="preserve">采购代理机构开户名称:华睿诚项目管理有限公司 </w:t>
            </w:r>
          </w:p>
          <w:p>
            <w:pPr>
              <w:spacing w:line="440" w:lineRule="exact"/>
              <w:ind w:left="479" w:leftChars="228"/>
              <w:rPr>
                <w:rFonts w:hint="eastAsia" w:ascii="宋体" w:hAnsi="宋体" w:eastAsia="宋体" w:cs="宋体"/>
                <w:color w:val="auto"/>
                <w:sz w:val="24"/>
                <w:lang w:eastAsia="zh-CN"/>
              </w:rPr>
            </w:pPr>
            <w:r>
              <w:rPr>
                <w:rFonts w:hint="eastAsia" w:ascii="宋体" w:hAnsi="宋体" w:cs="宋体"/>
                <w:color w:val="auto"/>
                <w:sz w:val="24"/>
              </w:rPr>
              <w:t>帐号：30205868004653</w:t>
            </w:r>
          </w:p>
          <w:p>
            <w:pPr>
              <w:spacing w:line="440" w:lineRule="exact"/>
              <w:ind w:left="479" w:leftChars="228"/>
              <w:rPr>
                <w:rFonts w:hint="eastAsia" w:ascii="宋体" w:hAnsi="宋体" w:eastAsia="宋体" w:cs="宋体"/>
                <w:color w:val="auto"/>
                <w:sz w:val="24"/>
              </w:rPr>
            </w:pPr>
            <w:r>
              <w:rPr>
                <w:rFonts w:hint="eastAsia" w:ascii="宋体" w:hAnsi="宋体" w:eastAsia="宋体" w:cs="宋体"/>
                <w:color w:val="auto"/>
                <w:sz w:val="24"/>
              </w:rPr>
              <w:t>开户银行：平安银行西安分行营业部/平安银行西安分行</w:t>
            </w:r>
          </w:p>
          <w:p>
            <w:pPr>
              <w:spacing w:line="440" w:lineRule="exact"/>
              <w:ind w:left="479" w:leftChars="228"/>
              <w:rPr>
                <w:rFonts w:hint="eastAsia" w:ascii="宋体" w:hAnsi="宋体" w:eastAsia="宋体" w:cs="宋体"/>
                <w:color w:val="auto"/>
                <w:sz w:val="24"/>
              </w:rPr>
            </w:pPr>
            <w:r>
              <w:rPr>
                <w:rFonts w:hint="eastAsia" w:ascii="宋体" w:hAnsi="宋体" w:eastAsia="宋体" w:cs="宋体"/>
                <w:color w:val="auto"/>
                <w:sz w:val="24"/>
              </w:rPr>
              <w:t>行号：307791041016 </w:t>
            </w:r>
          </w:p>
          <w:p>
            <w:pPr>
              <w:pStyle w:val="2"/>
              <w:spacing w:line="360" w:lineRule="auto"/>
              <w:ind w:firstLine="480" w:firstLineChars="200"/>
              <w:rPr>
                <w:rFonts w:hint="eastAsia"/>
                <w:color w:val="auto"/>
              </w:rPr>
            </w:pPr>
            <w:r>
              <w:rPr>
                <w:rFonts w:hint="eastAsia"/>
                <w:color w:val="auto"/>
                <w:lang w:val="en-US" w:bidi="ar-SA"/>
              </w:rPr>
              <w:t>供应商可根据项目实施地财政部门规定提供政府采购信用担保，供应商以保函形式缴纳投标保证金的，须在投标文件递交截止时间前将担保机构保函原件提交至采购代理机构备案，并将保函正本复印件粘贴于竞争性谈判文件规定处，招标结束之后在规定时间内将保函原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5</w:t>
            </w:r>
          </w:p>
        </w:tc>
        <w:tc>
          <w:tcPr>
            <w:tcW w:w="8355" w:type="dxa"/>
            <w:noWrap w:val="0"/>
            <w:vAlign w:val="center"/>
          </w:tcPr>
          <w:p>
            <w:pPr>
              <w:spacing w:line="360" w:lineRule="auto"/>
              <w:jc w:val="left"/>
              <w:rPr>
                <w:rFonts w:hint="eastAsia" w:ascii="宋体" w:hAnsi="宋体" w:cs="宋体"/>
                <w:color w:val="auto"/>
                <w:sz w:val="24"/>
              </w:rPr>
            </w:pPr>
            <w:r>
              <w:rPr>
                <w:rFonts w:hint="eastAsia" w:ascii="宋体" w:hAnsi="宋体" w:cs="宋体"/>
                <w:color w:val="auto"/>
                <w:sz w:val="24"/>
              </w:rPr>
              <w:t>5.1代理服务费：按照国家标准向成交供应商收取。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6</w:t>
            </w:r>
          </w:p>
        </w:tc>
        <w:tc>
          <w:tcPr>
            <w:tcW w:w="8355" w:type="dxa"/>
            <w:noWrap w:val="0"/>
            <w:vAlign w:val="center"/>
          </w:tcPr>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w:t>
            </w:r>
            <w:r>
              <w:rPr>
                <w:rFonts w:hint="eastAsia" w:ascii="宋体" w:hAnsi="宋体" w:cs="宋体"/>
                <w:color w:val="auto"/>
                <w:kern w:val="2"/>
                <w:sz w:val="24"/>
                <w:szCs w:val="24"/>
                <w:lang w:val="en-US" w:eastAsia="zh-CN" w:bidi="ar-SA"/>
              </w:rPr>
              <w:t>服务地点</w:t>
            </w:r>
            <w:r>
              <w:rPr>
                <w:rFonts w:hint="eastAsia" w:ascii="宋体" w:hAnsi="宋体" w:eastAsia="宋体" w:cs="宋体"/>
                <w:color w:val="auto"/>
                <w:kern w:val="2"/>
                <w:sz w:val="24"/>
                <w:szCs w:val="24"/>
                <w:lang w:val="en-US" w:eastAsia="zh-CN" w:bidi="ar-SA"/>
              </w:rPr>
              <w:t>：</w:t>
            </w:r>
            <w:r>
              <w:rPr>
                <w:rFonts w:hint="eastAsia" w:ascii="宋体" w:hAnsi="宋体" w:cs="宋体"/>
                <w:color w:val="auto"/>
                <w:sz w:val="24"/>
                <w:lang w:val="en-US" w:eastAsia="zh-CN"/>
              </w:rPr>
              <w:t>榆林市横山区</w:t>
            </w:r>
            <w:r>
              <w:rPr>
                <w:rFonts w:hint="eastAsia" w:ascii="宋体" w:hAnsi="宋体" w:eastAsia="宋体" w:cs="宋体"/>
                <w:color w:val="auto"/>
                <w:kern w:val="2"/>
                <w:sz w:val="24"/>
                <w:szCs w:val="24"/>
                <w:lang w:val="en-US" w:eastAsia="zh-CN" w:bidi="ar-SA"/>
              </w:rPr>
              <w:t xml:space="preserve">     </w:t>
            </w:r>
          </w:p>
          <w:p>
            <w:pPr>
              <w:spacing w:line="360" w:lineRule="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w:t>
            </w:r>
            <w:r>
              <w:rPr>
                <w:rFonts w:hint="eastAsia" w:ascii="宋体" w:hAnsi="宋体" w:cs="宋体"/>
                <w:color w:val="auto"/>
                <w:kern w:val="2"/>
                <w:sz w:val="24"/>
                <w:szCs w:val="24"/>
                <w:lang w:val="en-US" w:eastAsia="zh-CN" w:bidi="ar-SA"/>
              </w:rPr>
              <w:t>设计周期</w:t>
            </w:r>
            <w:r>
              <w:rPr>
                <w:rFonts w:hint="eastAsia" w:ascii="宋体" w:hAnsi="宋体" w:eastAsia="宋体" w:cs="宋体"/>
                <w:color w:val="auto"/>
                <w:kern w:val="2"/>
                <w:sz w:val="24"/>
                <w:szCs w:val="24"/>
                <w:lang w:val="en-US" w:eastAsia="zh-CN" w:bidi="ar-SA"/>
              </w:rPr>
              <w:t>：</w:t>
            </w:r>
            <w:r>
              <w:rPr>
                <w:rFonts w:hint="eastAsia"/>
                <w:color w:val="auto"/>
                <w:kern w:val="2"/>
                <w:sz w:val="24"/>
                <w:szCs w:val="24"/>
                <w:highlight w:val="none"/>
                <w:lang w:val="en-US" w:eastAsia="zh-CN"/>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7</w:t>
            </w:r>
          </w:p>
        </w:tc>
        <w:tc>
          <w:tcPr>
            <w:tcW w:w="8355" w:type="dxa"/>
            <w:noWrap w:val="0"/>
            <w:vAlign w:val="center"/>
          </w:tcPr>
          <w:p>
            <w:pPr>
              <w:spacing w:line="360" w:lineRule="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w:t>
            </w:r>
            <w:r>
              <w:rPr>
                <w:rFonts w:hint="eastAsia" w:ascii="宋体" w:hAnsi="宋体" w:eastAsia="宋体" w:cs="宋体"/>
                <w:color w:val="auto"/>
                <w:kern w:val="2"/>
                <w:sz w:val="24"/>
                <w:szCs w:val="24"/>
                <w:highlight w:val="none"/>
                <w:lang w:val="en-US" w:eastAsia="zh-CN" w:bidi="ar-SA"/>
              </w:rPr>
              <w:t>付款方式</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2" w:type="dxa"/>
            <w:noWrap w:val="0"/>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8</w:t>
            </w:r>
          </w:p>
        </w:tc>
        <w:tc>
          <w:tcPr>
            <w:tcW w:w="8355" w:type="dxa"/>
            <w:noWrap w:val="0"/>
            <w:vAlign w:val="center"/>
          </w:tcPr>
          <w:p>
            <w:pPr>
              <w:spacing w:line="360" w:lineRule="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本项目</w:t>
            </w:r>
            <w:r>
              <w:rPr>
                <w:rFonts w:hint="eastAsia" w:ascii="宋体" w:hAnsi="宋体" w:eastAsia="宋体" w:cs="宋体"/>
                <w:color w:val="auto"/>
                <w:kern w:val="2"/>
                <w:sz w:val="24"/>
                <w:szCs w:val="24"/>
                <w:lang w:val="en-US" w:eastAsia="zh-CN" w:bidi="ar-SA"/>
              </w:rPr>
              <w:t>所属行业：其他未列明行业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8355"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其他:</w:t>
            </w:r>
          </w:p>
          <w:p>
            <w:pPr>
              <w:numPr>
                <w:ilvl w:val="0"/>
                <w:numId w:val="1"/>
              </w:numPr>
              <w:spacing w:line="360" w:lineRule="auto"/>
              <w:rPr>
                <w:rFonts w:hint="eastAsia" w:ascii="宋体" w:hAnsi="宋体" w:cs="宋体"/>
                <w:color w:val="auto"/>
                <w:sz w:val="24"/>
              </w:rPr>
            </w:pPr>
            <w:r>
              <w:rPr>
                <w:rFonts w:hint="eastAsia" w:ascii="宋体" w:hAnsi="宋体" w:cs="宋体"/>
                <w:color w:val="auto"/>
                <w:sz w:val="24"/>
              </w:rPr>
              <w:t>供应商对谈判文件有异议的，应当在投标截止时间2日前提出。开标后将不在接受对谈判文件的质疑。</w:t>
            </w:r>
          </w:p>
          <w:p>
            <w:pPr>
              <w:numPr>
                <w:ilvl w:val="0"/>
                <w:numId w:val="1"/>
              </w:numPr>
              <w:spacing w:line="360" w:lineRule="auto"/>
              <w:rPr>
                <w:rFonts w:hint="eastAsia" w:ascii="宋体" w:hAnsi="宋体" w:cs="宋体"/>
                <w:color w:val="auto"/>
                <w:sz w:val="24"/>
              </w:rPr>
            </w:pPr>
            <w:r>
              <w:rPr>
                <w:rFonts w:hint="eastAsia" w:ascii="宋体" w:hAnsi="宋体" w:cs="宋体"/>
                <w:color w:val="auto"/>
                <w:sz w:val="24"/>
              </w:rPr>
              <w:t>当谈判响应文件不足三家时按相关文件执行。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2" w:type="dxa"/>
            <w:noWrap w:val="0"/>
            <w:vAlign w:val="center"/>
          </w:tcPr>
          <w:p>
            <w:pPr>
              <w:spacing w:line="360" w:lineRule="auto"/>
              <w:jc w:val="center"/>
              <w:rPr>
                <w:rFonts w:hint="default" w:ascii="宋体" w:hAnsi="宋体" w:eastAsia="宋体" w:cs="宋体"/>
                <w:color w:val="auto"/>
                <w:sz w:val="24"/>
                <w:lang w:val="en-US" w:eastAsia="zh-CN"/>
              </w:rPr>
            </w:pPr>
            <w:bookmarkStart w:id="14" w:name="_Toc317063964"/>
            <w:bookmarkStart w:id="15" w:name="_Toc302465479"/>
            <w:bookmarkStart w:id="16" w:name="_Toc20762"/>
            <w:bookmarkStart w:id="17" w:name="_Toc307319708"/>
            <w:bookmarkStart w:id="18" w:name="_Toc307476822"/>
            <w:bookmarkStart w:id="19" w:name="_Toc313435089"/>
            <w:bookmarkStart w:id="20" w:name="_Toc294650433"/>
            <w:bookmarkStart w:id="21" w:name="_Toc294649607"/>
            <w:bookmarkStart w:id="22" w:name="_Toc294650191"/>
            <w:bookmarkStart w:id="23" w:name="_Toc294650331"/>
            <w:bookmarkStart w:id="24" w:name="_Toc294689028"/>
            <w:r>
              <w:rPr>
                <w:rFonts w:hint="eastAsia" w:ascii="宋体" w:hAnsi="宋体" w:cs="宋体"/>
                <w:color w:val="auto"/>
                <w:sz w:val="24"/>
                <w:lang w:val="en-US" w:eastAsia="zh-CN"/>
              </w:rPr>
              <w:t>10</w:t>
            </w:r>
          </w:p>
        </w:tc>
        <w:tc>
          <w:tcPr>
            <w:tcW w:w="8355" w:type="dxa"/>
            <w:noWrap w:val="0"/>
            <w:vAlign w:val="center"/>
          </w:tcPr>
          <w:p>
            <w:pPr>
              <w:spacing w:line="360" w:lineRule="auto"/>
              <w:rPr>
                <w:rFonts w:hint="eastAsia" w:ascii="宋体" w:hAnsi="宋体" w:cs="宋体"/>
                <w:bCs/>
                <w:color w:val="auto"/>
                <w:sz w:val="24"/>
              </w:rPr>
            </w:pPr>
            <w:r>
              <w:rPr>
                <w:rFonts w:hint="eastAsia" w:ascii="宋体" w:hAnsi="宋体" w:cs="宋体"/>
                <w:bCs/>
                <w:color w:val="auto"/>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cs="宋体"/>
                <w:bCs/>
                <w:color w:val="auto"/>
                <w:sz w:val="24"/>
              </w:rPr>
              <w:drawing>
                <wp:inline distT="0" distB="0" distL="114300" distR="114300">
                  <wp:extent cx="190500" cy="1428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8"/>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Cs/>
                <w:color w:val="auto"/>
                <w:sz w:val="24"/>
              </w:rPr>
              <w:t>http://www.ccgp-shaanxi.gov.cn/zcdservice/zcd/shanxi/）在线申请，依法参加政府采购信用融资活动。</w:t>
            </w:r>
          </w:p>
          <w:p>
            <w:pPr>
              <w:spacing w:line="360" w:lineRule="auto"/>
              <w:rPr>
                <w:rFonts w:hint="eastAsia" w:ascii="宋体" w:hAnsi="宋体" w:cs="宋体"/>
                <w:bCs/>
                <w:color w:val="auto"/>
                <w:sz w:val="24"/>
              </w:rPr>
            </w:pPr>
            <w:r>
              <w:rPr>
                <w:rFonts w:hint="eastAsia" w:ascii="宋体" w:hAnsi="宋体" w:cs="宋体"/>
                <w:bCs/>
                <w:color w:val="auto"/>
                <w:sz w:val="24"/>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2" w:type="dxa"/>
            <w:noWrap w:val="0"/>
            <w:vAlign w:val="center"/>
          </w:tcPr>
          <w:p>
            <w:pPr>
              <w:spacing w:line="360" w:lineRule="auto"/>
              <w:jc w:val="center"/>
              <w:rPr>
                <w:rFonts w:hint="default" w:ascii="宋体" w:hAnsi="宋体" w:cs="宋体"/>
                <w:color w:val="auto"/>
                <w:sz w:val="24"/>
                <w:lang w:val="en-US" w:eastAsia="zh-CN"/>
              </w:rPr>
            </w:pPr>
            <w:r>
              <w:rPr>
                <w:rFonts w:hint="eastAsia" w:ascii="宋体" w:hAnsi="宋体" w:cs="宋体"/>
                <w:color w:val="auto"/>
                <w:sz w:val="24"/>
                <w:lang w:val="en-US" w:eastAsia="zh-CN"/>
              </w:rPr>
              <w:t>11</w:t>
            </w:r>
          </w:p>
        </w:tc>
        <w:tc>
          <w:tcPr>
            <w:tcW w:w="8355" w:type="dxa"/>
            <w:noWrap w:val="0"/>
            <w:vAlign w:val="center"/>
          </w:tcPr>
          <w:p>
            <w:pPr>
              <w:spacing w:line="360" w:lineRule="auto"/>
              <w:rPr>
                <w:rFonts w:hint="eastAsia" w:ascii="宋体" w:hAnsi="宋体" w:cs="宋体"/>
                <w:bCs/>
                <w:color w:val="auto"/>
                <w:sz w:val="24"/>
              </w:rPr>
            </w:pPr>
            <w:r>
              <w:rPr>
                <w:rFonts w:hint="eastAsia" w:ascii="宋体" w:hAnsi="宋体" w:cs="宋体"/>
                <w:bCs/>
                <w:color w:val="auto"/>
                <w:sz w:val="24"/>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spacing w:line="360" w:lineRule="auto"/>
              <w:rPr>
                <w:rFonts w:hint="eastAsia" w:ascii="宋体" w:hAnsi="宋体" w:cs="宋体"/>
                <w:bCs/>
                <w:color w:val="auto"/>
                <w:sz w:val="24"/>
              </w:rPr>
            </w:pPr>
            <w:r>
              <w:rPr>
                <w:rFonts w:hint="eastAsia" w:ascii="宋体" w:hAnsi="宋体" w:cs="宋体"/>
                <w:bCs/>
                <w:color w:val="auto"/>
                <w:sz w:val="24"/>
              </w:rPr>
              <w:t>1、凡进入公共资源交易平台的各投标单位，均应在“信用中国（陕西榆林）”网站进行注册、登陆，自主上报信用承诺书（网址：</w:t>
            </w:r>
            <w:r>
              <w:rPr>
                <w:rFonts w:hint="eastAsia" w:ascii="宋体" w:hAnsi="宋体" w:cs="宋体"/>
                <w:bCs/>
                <w:color w:val="auto"/>
                <w:sz w:val="24"/>
              </w:rPr>
              <w:fldChar w:fldCharType="begin"/>
            </w:r>
            <w:r>
              <w:rPr>
                <w:rFonts w:hint="eastAsia" w:ascii="宋体" w:hAnsi="宋体" w:cs="宋体"/>
                <w:bCs/>
                <w:color w:val="auto"/>
                <w:sz w:val="24"/>
              </w:rPr>
              <w:instrText xml:space="preserve"> HYPERLINK "https://credit.yl.gov.cn/）进行注册、登陆。" </w:instrText>
            </w:r>
            <w:r>
              <w:rPr>
                <w:rFonts w:hint="eastAsia" w:ascii="宋体" w:hAnsi="宋体" w:cs="宋体"/>
                <w:bCs/>
                <w:color w:val="auto"/>
                <w:sz w:val="24"/>
              </w:rPr>
              <w:fldChar w:fldCharType="separate"/>
            </w:r>
            <w:r>
              <w:rPr>
                <w:rFonts w:hint="eastAsia" w:ascii="宋体" w:hAnsi="宋体" w:cs="宋体"/>
                <w:bCs/>
                <w:color w:val="auto"/>
                <w:sz w:val="24"/>
              </w:rPr>
              <w:t>https://credit.yl.gov.cn/）</w:t>
            </w:r>
            <w:r>
              <w:rPr>
                <w:rFonts w:hint="eastAsia" w:ascii="宋体" w:hAnsi="宋体" w:cs="宋体"/>
                <w:bCs/>
                <w:color w:val="auto"/>
                <w:sz w:val="24"/>
              </w:rPr>
              <w:fldChar w:fldCharType="end"/>
            </w:r>
            <w:r>
              <w:rPr>
                <w:rFonts w:hint="eastAsia" w:ascii="宋体" w:hAnsi="宋体" w:cs="宋体"/>
                <w:bCs/>
                <w:color w:val="auto"/>
                <w:sz w:val="24"/>
              </w:rPr>
              <w:t>。</w:t>
            </w:r>
          </w:p>
          <w:p>
            <w:pPr>
              <w:spacing w:line="360" w:lineRule="auto"/>
              <w:rPr>
                <w:rFonts w:hint="eastAsia" w:ascii="宋体" w:hAnsi="宋体" w:cs="宋体"/>
                <w:bCs/>
                <w:color w:val="auto"/>
                <w:sz w:val="24"/>
              </w:rPr>
            </w:pPr>
            <w:r>
              <w:rPr>
                <w:rFonts w:hint="eastAsia" w:ascii="宋体" w:hAnsi="宋体" w:cs="宋体"/>
                <w:bCs/>
                <w:color w:val="auto"/>
                <w:sz w:val="24"/>
              </w:rPr>
              <w:t>2、各相关交易主体注册、登陆后根据承诺事项选择相应的模板填写《信用承诺书》，并载明承诺事由，招投标活动中招标人、招标人委派代表、投标人、投标人委托代理人员、评审专家、投标信用（保证金）的承诺事由为“项目名称及标段”，行政监督部门执法人员、招标代理机构及其工作人员的承诺事由为“公共资源交易平台的所有活动”。</w:t>
            </w:r>
          </w:p>
          <w:p>
            <w:pPr>
              <w:spacing w:line="360" w:lineRule="auto"/>
              <w:rPr>
                <w:rFonts w:hint="eastAsia" w:ascii="宋体" w:hAnsi="宋体" w:cs="宋体"/>
                <w:bCs/>
                <w:color w:val="auto"/>
                <w:sz w:val="24"/>
              </w:rPr>
            </w:pPr>
            <w:r>
              <w:rPr>
                <w:rFonts w:hint="eastAsia" w:ascii="宋体" w:hAnsi="宋体" w:cs="宋体"/>
                <w:bCs/>
                <w:color w:val="auto"/>
                <w:sz w:val="24"/>
              </w:rPr>
              <w:t>如工作不细致、不严谨导致信用承诺公示迟报、漏报的列入不良行为记录。</w:t>
            </w:r>
          </w:p>
        </w:tc>
      </w:tr>
    </w:tbl>
    <w:p>
      <w:pPr>
        <w:pStyle w:val="4"/>
        <w:rPr>
          <w:rFonts w:hint="eastAsia" w:ascii="宋体" w:hAnsi="宋体" w:eastAsia="宋体" w:cs="宋体"/>
          <w:bCs/>
          <w:color w:val="auto"/>
          <w:sz w:val="24"/>
        </w:rPr>
      </w:pPr>
      <w:bookmarkStart w:id="25" w:name="_Toc29290"/>
      <w:bookmarkStart w:id="26" w:name="_Toc14243"/>
      <w:r>
        <w:rPr>
          <w:rFonts w:hint="eastAsia" w:ascii="宋体" w:hAnsi="宋体" w:eastAsia="宋体" w:cs="宋体"/>
          <w:bCs/>
          <w:color w:val="auto"/>
          <w:sz w:val="24"/>
        </w:rPr>
        <w:t>一、名词解释</w:t>
      </w:r>
      <w:bookmarkEnd w:id="14"/>
      <w:bookmarkEnd w:id="15"/>
      <w:bookmarkEnd w:id="16"/>
      <w:bookmarkEnd w:id="17"/>
      <w:bookmarkEnd w:id="18"/>
      <w:bookmarkEnd w:id="19"/>
      <w:bookmarkEnd w:id="25"/>
      <w:bookmarkEnd w:id="26"/>
    </w:p>
    <w:p>
      <w:pPr>
        <w:spacing w:line="360" w:lineRule="auto"/>
        <w:rPr>
          <w:rFonts w:hint="eastAsia" w:ascii="宋体" w:hAnsi="宋体" w:cs="宋体"/>
          <w:color w:val="auto"/>
          <w:sz w:val="24"/>
        </w:rPr>
      </w:pPr>
      <w:r>
        <w:rPr>
          <w:rFonts w:hint="eastAsia" w:ascii="宋体" w:hAnsi="宋体" w:cs="宋体"/>
          <w:color w:val="auto"/>
          <w:sz w:val="24"/>
        </w:rPr>
        <w:t>　　1、采购单位：见“投标供应商须知前附表2.1”；</w:t>
      </w:r>
    </w:p>
    <w:p>
      <w:pPr>
        <w:spacing w:line="360" w:lineRule="auto"/>
        <w:rPr>
          <w:rFonts w:hint="eastAsia" w:ascii="宋体" w:hAnsi="宋体" w:cs="宋体"/>
          <w:color w:val="auto"/>
          <w:sz w:val="24"/>
        </w:rPr>
      </w:pPr>
      <w:r>
        <w:rPr>
          <w:rFonts w:hint="eastAsia" w:ascii="宋体" w:hAnsi="宋体" w:cs="宋体"/>
          <w:color w:val="auto"/>
          <w:sz w:val="24"/>
        </w:rPr>
        <w:t>　　2、采购代理机构：华睿诚项目管理有限公司；</w:t>
      </w:r>
    </w:p>
    <w:p>
      <w:pPr>
        <w:spacing w:line="360" w:lineRule="auto"/>
        <w:ind w:firstLine="480"/>
        <w:rPr>
          <w:rFonts w:hint="eastAsia" w:ascii="宋体" w:hAnsi="宋体" w:cs="宋体"/>
          <w:color w:val="auto"/>
          <w:sz w:val="24"/>
        </w:rPr>
      </w:pPr>
      <w:r>
        <w:rPr>
          <w:rFonts w:hint="eastAsia" w:ascii="宋体" w:hAnsi="宋体" w:cs="宋体"/>
          <w:color w:val="auto"/>
          <w:sz w:val="24"/>
        </w:rPr>
        <w:t>3、监督机构：</w:t>
      </w:r>
      <w:r>
        <w:rPr>
          <w:rFonts w:hint="eastAsia" w:ascii="宋体" w:hAnsi="宋体" w:cs="宋体"/>
          <w:color w:val="auto"/>
          <w:sz w:val="24"/>
          <w:lang w:eastAsia="zh-CN"/>
        </w:rPr>
        <w:t>榆林市横山区财政局</w:t>
      </w:r>
      <w:r>
        <w:rPr>
          <w:rFonts w:hint="eastAsia" w:ascii="宋体" w:hAnsi="宋体" w:cs="宋体"/>
          <w:color w:val="auto"/>
          <w:sz w:val="24"/>
        </w:rPr>
        <w:t>及采购单位；</w:t>
      </w:r>
    </w:p>
    <w:p>
      <w:pPr>
        <w:spacing w:line="360" w:lineRule="auto"/>
        <w:ind w:firstLine="480"/>
        <w:rPr>
          <w:rFonts w:hint="eastAsia" w:ascii="宋体" w:hAnsi="宋体" w:cs="宋体"/>
          <w:color w:val="auto"/>
          <w:sz w:val="24"/>
        </w:rPr>
      </w:pPr>
      <w:r>
        <w:rPr>
          <w:rFonts w:hint="eastAsia" w:ascii="宋体" w:hAnsi="宋体" w:cs="宋体"/>
          <w:color w:val="auto"/>
          <w:sz w:val="24"/>
        </w:rPr>
        <w:t>4、供 应 商：参与本次谈判的供应商。</w:t>
      </w:r>
    </w:p>
    <w:p>
      <w:pPr>
        <w:pStyle w:val="4"/>
        <w:rPr>
          <w:rFonts w:hint="eastAsia" w:ascii="宋体" w:hAnsi="宋体" w:eastAsia="宋体" w:cs="宋体"/>
          <w:bCs/>
          <w:color w:val="auto"/>
          <w:sz w:val="24"/>
        </w:rPr>
      </w:pPr>
      <w:bookmarkStart w:id="27" w:name="_Toc302465480"/>
      <w:bookmarkStart w:id="28" w:name="_Toc307319709"/>
      <w:bookmarkStart w:id="29" w:name="_Toc313435090"/>
      <w:bookmarkStart w:id="30" w:name="_Toc317063965"/>
      <w:bookmarkStart w:id="31" w:name="_Toc2789"/>
      <w:bookmarkStart w:id="32" w:name="_Toc12296"/>
      <w:bookmarkStart w:id="33" w:name="_Toc29429"/>
      <w:bookmarkStart w:id="34" w:name="_Toc307476823"/>
      <w:r>
        <w:rPr>
          <w:rFonts w:hint="eastAsia" w:ascii="宋体" w:hAnsi="宋体" w:eastAsia="宋体" w:cs="宋体"/>
          <w:bCs/>
          <w:color w:val="auto"/>
          <w:sz w:val="24"/>
        </w:rPr>
        <w:t>二、谈判文件</w:t>
      </w:r>
      <w:bookmarkEnd w:id="27"/>
      <w:bookmarkEnd w:id="28"/>
      <w:bookmarkEnd w:id="29"/>
      <w:bookmarkEnd w:id="30"/>
      <w:bookmarkEnd w:id="31"/>
      <w:bookmarkEnd w:id="32"/>
      <w:bookmarkEnd w:id="33"/>
      <w:bookmarkEnd w:id="34"/>
    </w:p>
    <w:p>
      <w:pPr>
        <w:spacing w:line="360" w:lineRule="auto"/>
        <w:rPr>
          <w:rFonts w:hint="eastAsia" w:ascii="宋体" w:hAnsi="宋体" w:cs="宋体"/>
          <w:color w:val="auto"/>
          <w:sz w:val="24"/>
        </w:rPr>
      </w:pPr>
      <w:r>
        <w:rPr>
          <w:rFonts w:hint="eastAsia" w:ascii="宋体" w:hAnsi="宋体" w:cs="宋体"/>
          <w:color w:val="auto"/>
          <w:sz w:val="24"/>
        </w:rPr>
        <w:t>　</w:t>
      </w:r>
      <w:bookmarkEnd w:id="20"/>
      <w:bookmarkEnd w:id="21"/>
      <w:bookmarkEnd w:id="22"/>
      <w:bookmarkEnd w:id="23"/>
      <w:bookmarkEnd w:id="24"/>
      <w:r>
        <w:rPr>
          <w:rFonts w:hint="eastAsia" w:ascii="宋体" w:hAnsi="宋体" w:cs="宋体"/>
          <w:color w:val="auto"/>
          <w:sz w:val="24"/>
        </w:rPr>
        <w:t>　1、谈判文件包括目录中所列的内容，各供应商应仔细阅读谈判文件中所有的事项、格式、条款和规范要求，在谈判响应文件中对谈判文件的各方面都做出实质性的响应，按照谈判文件的要求提交全部资料。</w:t>
      </w:r>
    </w:p>
    <w:p>
      <w:pPr>
        <w:spacing w:line="360" w:lineRule="auto"/>
        <w:rPr>
          <w:rFonts w:hint="eastAsia" w:ascii="宋体" w:hAnsi="宋体" w:cs="宋体"/>
          <w:color w:val="auto"/>
          <w:sz w:val="24"/>
        </w:rPr>
      </w:pPr>
      <w:r>
        <w:rPr>
          <w:rFonts w:hint="eastAsia" w:ascii="宋体" w:hAnsi="宋体" w:cs="宋体"/>
          <w:color w:val="auto"/>
          <w:sz w:val="24"/>
        </w:rPr>
        <w:t>　　2、谈判文件的澄清：各供应商对文件中有难以理解或有疑义或表述不准确的内容需要进行澄清，应在谈判截止期两天前，以书面形式与采购代理机构联系，采购代理机构对谈判截止期两天前收到的澄清内容将选择合适的方式予以答复，否则，因此所带来的一切不利后果由各供应商自负。</w:t>
      </w:r>
    </w:p>
    <w:p>
      <w:pPr>
        <w:spacing w:line="360" w:lineRule="auto"/>
        <w:ind w:firstLine="480"/>
        <w:rPr>
          <w:rFonts w:hint="eastAsia" w:ascii="宋体" w:hAnsi="宋体" w:eastAsia="宋体" w:cs="宋体"/>
          <w:b w:val="0"/>
          <w:color w:val="auto"/>
          <w:sz w:val="24"/>
          <w:szCs w:val="24"/>
        </w:rPr>
      </w:pPr>
      <w:r>
        <w:rPr>
          <w:rFonts w:hint="eastAsia" w:ascii="宋体" w:hAnsi="宋体" w:cs="宋体"/>
          <w:color w:val="auto"/>
          <w:sz w:val="24"/>
        </w:rPr>
        <w:t>3、谈判文件的修改　</w:t>
      </w:r>
      <w:r>
        <w:rPr>
          <w:rFonts w:hint="eastAsia" w:ascii="宋体" w:hAnsi="宋体" w:eastAsia="宋体" w:cs="宋体"/>
          <w:b w:val="0"/>
          <w:color w:val="auto"/>
          <w:sz w:val="24"/>
          <w:szCs w:val="24"/>
        </w:rPr>
        <w:t>　</w:t>
      </w:r>
      <w:bookmarkStart w:id="35" w:name="_Toc19610"/>
      <w:bookmarkStart w:id="36" w:name="_Toc3185"/>
      <w:bookmarkStart w:id="37" w:name="_Toc30309"/>
    </w:p>
    <w:p>
      <w:pPr>
        <w:spacing w:line="360" w:lineRule="auto"/>
        <w:ind w:firstLine="480"/>
        <w:rPr>
          <w:rFonts w:hint="eastAsia" w:ascii="宋体" w:hAnsi="宋体" w:eastAsia="宋体" w:cs="宋体"/>
          <w:b w:val="0"/>
          <w:color w:val="auto"/>
          <w:sz w:val="24"/>
          <w:szCs w:val="24"/>
        </w:rPr>
      </w:pPr>
      <w:r>
        <w:rPr>
          <w:rFonts w:hint="eastAsia" w:ascii="宋体" w:hAnsi="宋体" w:eastAsia="宋体" w:cs="宋体"/>
          <w:b w:val="0"/>
          <w:color w:val="auto"/>
          <w:sz w:val="24"/>
          <w:szCs w:val="24"/>
        </w:rPr>
        <w:t>3.1采购代理机构可以对已发出的谈判文件进行必要的澄清或者修改，但不得改变采购标的和资格条件。澄清或者修改应将在原公告发布媒体上发布澄清公告，其内容为谈判文件的组成部分。</w:t>
      </w:r>
      <w:bookmarkEnd w:id="35"/>
      <w:bookmarkEnd w:id="36"/>
      <w:bookmarkEnd w:id="37"/>
      <w:r>
        <w:rPr>
          <w:rFonts w:hint="eastAsia" w:ascii="宋体" w:hAnsi="宋体" w:eastAsia="宋体" w:cs="宋体"/>
          <w:b w:val="0"/>
          <w:color w:val="auto"/>
          <w:sz w:val="24"/>
          <w:szCs w:val="24"/>
        </w:rPr>
        <w:t xml:space="preserve">   </w:t>
      </w:r>
      <w:bookmarkStart w:id="38" w:name="_Toc21486"/>
      <w:bookmarkStart w:id="39" w:name="_Toc30234"/>
      <w:bookmarkStart w:id="40" w:name="_Toc30540"/>
      <w:bookmarkStart w:id="41" w:name="_Toc10155"/>
      <w:bookmarkStart w:id="42" w:name="_Toc12141"/>
      <w:bookmarkStart w:id="43" w:name="_Toc22313"/>
      <w:bookmarkStart w:id="44" w:name="_Toc13468"/>
    </w:p>
    <w:p>
      <w:pPr>
        <w:spacing w:line="360" w:lineRule="auto"/>
        <w:ind w:firstLine="480"/>
        <w:rPr>
          <w:rFonts w:hint="eastAsia" w:ascii="宋体" w:hAnsi="宋体" w:eastAsia="宋体" w:cs="宋体"/>
          <w:b w:val="0"/>
          <w:color w:val="auto"/>
          <w:sz w:val="24"/>
          <w:szCs w:val="24"/>
        </w:rPr>
      </w:pPr>
      <w:r>
        <w:rPr>
          <w:rFonts w:hint="eastAsia" w:ascii="宋体" w:hAnsi="宋体" w:eastAsia="宋体" w:cs="宋体"/>
          <w:b w:val="0"/>
          <w:color w:val="auto"/>
          <w:sz w:val="24"/>
          <w:szCs w:val="24"/>
        </w:rPr>
        <w:t>3.2澄清或者修改的内容可能影响响应文件编制的，采购代理机构将在提交响应文件截止时间至少3个工作日前，在原公告发布媒体上发布更正公告；不足3个工作日，采购代理机构将顺延提交响应文件的截止时间。</w:t>
      </w:r>
      <w:bookmarkEnd w:id="38"/>
      <w:bookmarkEnd w:id="39"/>
      <w:bookmarkEnd w:id="40"/>
      <w:bookmarkEnd w:id="41"/>
      <w:bookmarkEnd w:id="42"/>
      <w:bookmarkEnd w:id="43"/>
      <w:bookmarkEnd w:id="44"/>
      <w:bookmarkStart w:id="45" w:name="_Toc18974"/>
      <w:bookmarkStart w:id="46" w:name="_Toc7585"/>
      <w:bookmarkStart w:id="47" w:name="_Toc4314"/>
      <w:bookmarkStart w:id="48" w:name="_Toc28071"/>
      <w:bookmarkStart w:id="49" w:name="_Toc5780"/>
      <w:bookmarkStart w:id="50" w:name="_Toc17118"/>
      <w:bookmarkStart w:id="51" w:name="_Toc18301"/>
    </w:p>
    <w:p>
      <w:pPr>
        <w:spacing w:line="360" w:lineRule="auto"/>
        <w:ind w:firstLine="48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rPr>
        <w:t>3.3</w:t>
      </w:r>
      <w:bookmarkEnd w:id="45"/>
      <w:bookmarkStart w:id="52" w:name="_Toc535"/>
      <w:r>
        <w:rPr>
          <w:rFonts w:hint="eastAsia" w:ascii="宋体" w:hAnsi="宋体" w:eastAsia="宋体" w:cs="宋体"/>
          <w:b w:val="0"/>
          <w:color w:val="auto"/>
          <w:sz w:val="24"/>
          <w:szCs w:val="24"/>
          <w:lang w:val="en-US" w:eastAsia="zh-CN"/>
        </w:rPr>
        <w:t>供应商应随时留意可能发布的变更公告，当澄清或修改的内容影响投标文件编制时，将在交易平台上同步发布答疑文件，此时供应商应从“项目流程·〉答疑文件下载”下载最新发布的答疑文件（*.SXSCF 格式），并使用该文件重新编制电子投标文件（*.SXSTF格式），使用旧版电子谈判文件或旧版答疑文件制作的电子投标文件，系统将拒绝接收。</w:t>
      </w:r>
      <w:bookmarkEnd w:id="46"/>
      <w:bookmarkEnd w:id="47"/>
      <w:bookmarkEnd w:id="48"/>
      <w:bookmarkEnd w:id="49"/>
      <w:bookmarkEnd w:id="50"/>
      <w:bookmarkEnd w:id="51"/>
      <w:bookmarkEnd w:id="52"/>
      <w:bookmarkStart w:id="53" w:name="_Toc317063966"/>
      <w:bookmarkStart w:id="54" w:name="_Toc1775"/>
      <w:bookmarkStart w:id="55" w:name="_Toc307319710"/>
      <w:bookmarkStart w:id="56" w:name="_Toc18448"/>
      <w:bookmarkStart w:id="57" w:name="_Toc313435091"/>
      <w:bookmarkStart w:id="58" w:name="_Toc307476824"/>
      <w:bookmarkStart w:id="59" w:name="_Toc302465481"/>
    </w:p>
    <w:p>
      <w:pPr>
        <w:spacing w:line="360" w:lineRule="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三、谈判要求</w:t>
      </w:r>
      <w:bookmarkEnd w:id="53"/>
      <w:bookmarkEnd w:id="54"/>
      <w:bookmarkEnd w:id="55"/>
      <w:bookmarkEnd w:id="56"/>
      <w:bookmarkEnd w:id="57"/>
      <w:bookmarkEnd w:id="58"/>
      <w:bookmarkEnd w:id="59"/>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1、谈判内容：本次谈判内容见“投标人须知前附表1.1”；投标人必须对所投标的全部内容进行响应。不得选投其中的一部分，否则投标无效。</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2、谈判资质：投标人须提交的资格证明文件见“投标人须知前附表3.1”。</w:t>
      </w:r>
    </w:p>
    <w:p>
      <w:pPr>
        <w:spacing w:line="360" w:lineRule="auto"/>
        <w:rPr>
          <w:rFonts w:hint="eastAsia" w:ascii="宋体" w:hAnsi="宋体" w:cs="宋体"/>
          <w:color w:val="auto"/>
          <w:sz w:val="24"/>
        </w:rPr>
      </w:pPr>
      <w:r>
        <w:rPr>
          <w:rFonts w:hint="eastAsia" w:ascii="宋体" w:hAnsi="宋体" w:cs="宋体"/>
          <w:color w:val="auto"/>
          <w:sz w:val="24"/>
        </w:rPr>
        <w:t>　　3、谈判响应文件的编制：</w:t>
      </w:r>
    </w:p>
    <w:p>
      <w:pPr>
        <w:spacing w:line="360" w:lineRule="auto"/>
        <w:rPr>
          <w:rFonts w:hint="eastAsia" w:ascii="宋体" w:hAnsi="宋体" w:cs="宋体"/>
          <w:color w:val="auto"/>
          <w:sz w:val="24"/>
        </w:rPr>
      </w:pPr>
      <w:r>
        <w:rPr>
          <w:rFonts w:hint="eastAsia" w:ascii="宋体" w:hAnsi="宋体" w:cs="宋体"/>
          <w:color w:val="auto"/>
          <w:sz w:val="24"/>
        </w:rPr>
        <w:t>　　3.1谈判响应文件必须根据采购代理机构发售的谈判响应文件格式编写，对谈判文件做出实质性响应。具体内容包括：</w:t>
      </w:r>
    </w:p>
    <w:p>
      <w:pPr>
        <w:spacing w:line="360" w:lineRule="auto"/>
        <w:rPr>
          <w:rFonts w:hint="eastAsia" w:ascii="宋体" w:hAnsi="宋体" w:cs="宋体"/>
          <w:color w:val="auto"/>
          <w:sz w:val="24"/>
        </w:rPr>
      </w:pPr>
      <w:r>
        <w:rPr>
          <w:rFonts w:hint="eastAsia" w:ascii="宋体" w:hAnsi="宋体" w:cs="宋体"/>
          <w:color w:val="auto"/>
          <w:sz w:val="24"/>
        </w:rPr>
        <w:t>　　3.1.1按照要求填写的谈判函格式。</w:t>
      </w:r>
    </w:p>
    <w:p>
      <w:pPr>
        <w:spacing w:line="360" w:lineRule="auto"/>
        <w:rPr>
          <w:rFonts w:hint="eastAsia" w:ascii="宋体" w:hAnsi="宋体" w:cs="宋体"/>
          <w:color w:val="auto"/>
          <w:sz w:val="24"/>
        </w:rPr>
      </w:pPr>
      <w:r>
        <w:rPr>
          <w:rFonts w:hint="eastAsia" w:ascii="宋体" w:hAnsi="宋体" w:cs="宋体"/>
          <w:color w:val="auto"/>
          <w:sz w:val="24"/>
        </w:rPr>
        <w:t>　　3.1.2谈判报价表。</w:t>
      </w:r>
    </w:p>
    <w:p>
      <w:pPr>
        <w:spacing w:line="360" w:lineRule="auto"/>
        <w:rPr>
          <w:rFonts w:hint="eastAsia" w:ascii="宋体" w:hAnsi="宋体" w:cs="宋体"/>
          <w:color w:val="auto"/>
          <w:sz w:val="24"/>
        </w:rPr>
      </w:pPr>
      <w:r>
        <w:rPr>
          <w:rFonts w:hint="eastAsia" w:ascii="宋体" w:hAnsi="宋体" w:cs="宋体"/>
          <w:color w:val="auto"/>
          <w:sz w:val="24"/>
        </w:rPr>
        <w:t>　　3.1.3供应商按要求出具的资格证明文件，证明参加谈判的供应商是合格的，成交后有能力履行合同。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3.1.4各供应商按谈判文件要求，提供为完成本次采购活动编制的方案介绍、服务内容体系等的相关证明。</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3.2谈判报价：</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3.2.1供应商应在谈判响应文件中的谈判报价表上按规定内容标明分类报价、总报价等项，任何有选择的报价采购单位不予接受。</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3.2.2谈判报价表中标明的价格，在第二次报价（最终报价）过程中，只能降低，但不得以任何理由升高。</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3.2.3各投标供应商的第二次报价（最终报价）均不得高于预算金额，否则有效投标供应商不足三家的，将按废标处理。</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3.2.4凡因供应商对谈判文件阅读不深、理解不透、误解、疏漏、或因市场行情了解不清造成的后果和风险均由各供应商自负。</w:t>
      </w:r>
    </w:p>
    <w:p>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3.2.5最低报价不作为成交的唯一条件。</w:t>
      </w:r>
    </w:p>
    <w:p>
      <w:pPr>
        <w:spacing w:line="360" w:lineRule="auto"/>
        <w:rPr>
          <w:rFonts w:hint="eastAsia" w:ascii="宋体" w:hAnsi="宋体" w:cs="宋体"/>
          <w:color w:val="auto"/>
          <w:sz w:val="24"/>
        </w:rPr>
      </w:pPr>
      <w:r>
        <w:rPr>
          <w:rFonts w:hint="eastAsia" w:ascii="宋体" w:hAnsi="宋体" w:cs="宋体"/>
          <w:color w:val="auto"/>
          <w:sz w:val="24"/>
        </w:rPr>
        <w:t>　　3.3报价货币：人民币，单位：元，四舍五入精确到小数点后两位。</w:t>
      </w:r>
    </w:p>
    <w:p>
      <w:pPr>
        <w:spacing w:line="360" w:lineRule="auto"/>
        <w:rPr>
          <w:rFonts w:hint="eastAsia" w:ascii="宋体" w:hAnsi="宋体" w:cs="宋体"/>
          <w:color w:val="auto"/>
          <w:sz w:val="24"/>
        </w:rPr>
      </w:pPr>
      <w:r>
        <w:rPr>
          <w:rFonts w:hint="eastAsia" w:ascii="宋体" w:hAnsi="宋体" w:cs="宋体"/>
          <w:color w:val="auto"/>
          <w:sz w:val="24"/>
        </w:rPr>
        <w:t>　　4、本次投标所发生的费用各供应商自行承担。</w:t>
      </w:r>
    </w:p>
    <w:p>
      <w:pPr>
        <w:spacing w:line="360" w:lineRule="auto"/>
        <w:rPr>
          <w:rFonts w:hint="eastAsia" w:ascii="宋体" w:hAnsi="宋体" w:cs="宋体"/>
          <w:color w:val="auto"/>
          <w:sz w:val="24"/>
        </w:rPr>
      </w:pPr>
      <w:r>
        <w:rPr>
          <w:rFonts w:hint="eastAsia" w:ascii="宋体" w:hAnsi="宋体" w:cs="宋体"/>
          <w:color w:val="auto"/>
          <w:sz w:val="24"/>
        </w:rPr>
        <w:t>　　5、谈判响应文件有效期为自谈判之日起九十天。</w:t>
      </w:r>
    </w:p>
    <w:p>
      <w:pPr>
        <w:spacing w:line="360" w:lineRule="auto"/>
        <w:rPr>
          <w:rFonts w:hint="eastAsia" w:ascii="宋体" w:hAnsi="宋体" w:cs="宋体"/>
          <w:color w:val="auto"/>
          <w:sz w:val="24"/>
        </w:rPr>
      </w:pPr>
      <w:r>
        <w:rPr>
          <w:rFonts w:hint="eastAsia" w:ascii="宋体" w:hAnsi="宋体" w:cs="宋体"/>
          <w:color w:val="auto"/>
          <w:sz w:val="24"/>
        </w:rPr>
        <w:t>　　6、保证金：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6.1供应商在谈判时应向华睿诚项目管理有限公司提交“须知前附表”规定数额的谈判保证金,并作为其谈判的一部分。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6.2谈判保证金是为了保护竞争性谈判采购单位（包括华睿诚项目管理有限公司及采购人）免遭因供应商的行为而蒙受损失。竞争性谈判采购单位在因供应商的行为受到损害时可根据本须知的规定没收供应商的谈判保证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6.3谈判保证金可采取转账或电汇的非现金形式缴纳（具体要求见须知前附表）。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6.4谈判保证金必须按照谈判文件“供应商须知前附表”中规定的缴纳金额及方式办理。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6.5谈判后经审查，未提交谈判保证金、按规定时间提交谈判保证金、谈判保证金金额不足或谈判保证金缴纳凭证复印件未附在谈判响应文件内的谈判将按无效谈判处理。</w:t>
      </w:r>
    </w:p>
    <w:p>
      <w:pPr>
        <w:spacing w:line="360" w:lineRule="auto"/>
        <w:ind w:firstLine="480" w:firstLineChars="200"/>
        <w:rPr>
          <w:rFonts w:hint="eastAsia" w:ascii="宋体" w:hAnsi="宋体" w:cs="宋体"/>
          <w:b/>
          <w:bCs/>
          <w:color w:val="auto"/>
          <w:sz w:val="24"/>
        </w:rPr>
      </w:pPr>
      <w:r>
        <w:rPr>
          <w:rFonts w:hint="eastAsia" w:ascii="宋体" w:hAnsi="宋体" w:cs="宋体"/>
          <w:color w:val="auto"/>
          <w:sz w:val="24"/>
        </w:rPr>
        <w:t>6.6保证金的退还：未成交供应商的保证金，在《成交通知书》发出后五个工作日内退还；成交供应商的保证金，在成交供应商与采购人签订成交合同后，五个工作日内退还；退还的保证金均不计利息。</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6.7下列任何情况发生时，视为谈判人违约，其谈判保证金将被没收：</w:t>
      </w:r>
    </w:p>
    <w:p>
      <w:pPr>
        <w:spacing w:line="360" w:lineRule="auto"/>
        <w:rPr>
          <w:rFonts w:hint="eastAsia" w:ascii="宋体" w:hAnsi="宋体" w:cs="宋体"/>
          <w:color w:val="auto"/>
          <w:sz w:val="24"/>
        </w:rPr>
      </w:pPr>
      <w:r>
        <w:rPr>
          <w:rFonts w:hint="eastAsia" w:ascii="宋体" w:hAnsi="宋体" w:cs="宋体"/>
          <w:color w:val="auto"/>
          <w:sz w:val="24"/>
        </w:rPr>
        <w:t>　　6.7.1各供应商在规定的有效期内撤回谈判响应文件。</w:t>
      </w:r>
    </w:p>
    <w:p>
      <w:pPr>
        <w:spacing w:line="360" w:lineRule="auto"/>
        <w:rPr>
          <w:rFonts w:hint="eastAsia" w:ascii="宋体" w:hAnsi="宋体" w:cs="宋体"/>
          <w:color w:val="auto"/>
          <w:sz w:val="24"/>
        </w:rPr>
      </w:pPr>
      <w:r>
        <w:rPr>
          <w:rFonts w:hint="eastAsia" w:ascii="宋体" w:hAnsi="宋体" w:cs="宋体"/>
          <w:color w:val="auto"/>
          <w:sz w:val="24"/>
        </w:rPr>
        <w:t>　　6.7.2成交供应商在规定的时间内未能签订合同或不按投标承诺签约。</w:t>
      </w:r>
    </w:p>
    <w:p>
      <w:pPr>
        <w:spacing w:line="360" w:lineRule="auto"/>
        <w:rPr>
          <w:rFonts w:hint="eastAsia" w:ascii="宋体" w:hAnsi="宋体" w:cs="宋体"/>
          <w:color w:val="auto"/>
          <w:sz w:val="24"/>
        </w:rPr>
      </w:pPr>
      <w:r>
        <w:rPr>
          <w:rFonts w:hint="eastAsia" w:ascii="宋体" w:hAnsi="宋体" w:cs="宋体"/>
          <w:color w:val="auto"/>
          <w:sz w:val="24"/>
        </w:rPr>
        <w:t>　　6.7.3投标供应商提供虚假授权与资质。</w:t>
      </w:r>
    </w:p>
    <w:p>
      <w:pPr>
        <w:spacing w:line="360" w:lineRule="auto"/>
        <w:rPr>
          <w:rFonts w:hint="eastAsia" w:ascii="宋体" w:hAnsi="宋体" w:cs="宋体"/>
          <w:color w:val="auto"/>
          <w:sz w:val="24"/>
        </w:rPr>
      </w:pPr>
      <w:r>
        <w:rPr>
          <w:rFonts w:hint="eastAsia" w:ascii="宋体" w:hAnsi="宋体" w:cs="宋体"/>
          <w:color w:val="auto"/>
          <w:sz w:val="24"/>
        </w:rPr>
        <w:t>　　6.7.4投标供应商交纳投标保证金后，无故不参加投标活动。</w:t>
      </w:r>
    </w:p>
    <w:p>
      <w:pPr>
        <w:spacing w:line="360" w:lineRule="auto"/>
        <w:rPr>
          <w:rFonts w:hint="eastAsia" w:ascii="宋体" w:hAnsi="宋体" w:cs="宋体"/>
          <w:color w:val="auto"/>
          <w:sz w:val="24"/>
        </w:rPr>
      </w:pPr>
      <w:r>
        <w:rPr>
          <w:rFonts w:hint="eastAsia" w:ascii="宋体" w:hAnsi="宋体" w:cs="宋体"/>
          <w:color w:val="auto"/>
          <w:sz w:val="24"/>
        </w:rPr>
        <w:t>　　6.7.5投标供应商在投标过程中有违法、违规、违纪行为。</w:t>
      </w:r>
    </w:p>
    <w:p>
      <w:pPr>
        <w:pStyle w:val="4"/>
        <w:rPr>
          <w:rFonts w:hint="eastAsia" w:ascii="宋体" w:hAnsi="宋体" w:eastAsia="宋体" w:cs="宋体"/>
          <w:bCs/>
          <w:color w:val="auto"/>
          <w:sz w:val="24"/>
          <w:szCs w:val="24"/>
        </w:rPr>
      </w:pPr>
      <w:bookmarkStart w:id="60" w:name="_Toc302465482"/>
      <w:bookmarkStart w:id="61" w:name="_Toc317063967"/>
      <w:bookmarkStart w:id="62" w:name="_Toc307476825"/>
      <w:bookmarkStart w:id="63" w:name="_Toc307319711"/>
      <w:bookmarkStart w:id="64" w:name="_Toc16000"/>
      <w:bookmarkStart w:id="65" w:name="_Toc2387"/>
      <w:bookmarkStart w:id="66" w:name="_Toc313435092"/>
      <w:bookmarkStart w:id="67" w:name="_Toc9827"/>
      <w:r>
        <w:rPr>
          <w:rFonts w:hint="eastAsia" w:ascii="宋体" w:hAnsi="宋体" w:eastAsia="宋体" w:cs="宋体"/>
          <w:bCs/>
          <w:color w:val="auto"/>
          <w:sz w:val="24"/>
          <w:szCs w:val="24"/>
        </w:rPr>
        <w:t>四、谈判响应文件</w:t>
      </w:r>
      <w:bookmarkEnd w:id="60"/>
      <w:bookmarkEnd w:id="61"/>
      <w:bookmarkEnd w:id="62"/>
      <w:bookmarkEnd w:id="63"/>
      <w:bookmarkEnd w:id="64"/>
      <w:bookmarkEnd w:id="65"/>
      <w:bookmarkEnd w:id="66"/>
      <w:bookmarkEnd w:id="67"/>
    </w:p>
    <w:p>
      <w:pPr>
        <w:spacing w:line="360" w:lineRule="auto"/>
        <w:rPr>
          <w:rFonts w:hint="eastAsia" w:ascii="宋体" w:hAnsi="宋体" w:eastAsia="宋体" w:cs="宋体"/>
          <w:color w:val="auto"/>
          <w:sz w:val="24"/>
        </w:rPr>
      </w:pPr>
      <w:r>
        <w:rPr>
          <w:rFonts w:hint="eastAsia" w:ascii="宋体" w:hAnsi="宋体" w:cs="宋体"/>
          <w:color w:val="auto"/>
          <w:sz w:val="24"/>
        </w:rPr>
        <w:t>　　1、</w:t>
      </w:r>
      <w:r>
        <w:rPr>
          <w:rFonts w:hint="eastAsia" w:ascii="宋体" w:hAnsi="宋体" w:eastAsia="宋体" w:cs="宋体"/>
          <w:color w:val="auto"/>
          <w:sz w:val="24"/>
        </w:rPr>
        <w:t>投标供应商无需提交纸质</w:t>
      </w:r>
      <w:r>
        <w:rPr>
          <w:rFonts w:hint="eastAsia" w:ascii="宋体" w:hAnsi="宋体" w:eastAsia="宋体" w:cs="宋体"/>
          <w:color w:val="auto"/>
          <w:sz w:val="24"/>
          <w:lang w:eastAsia="zh-CN"/>
        </w:rPr>
        <w:t>响应</w:t>
      </w:r>
      <w:r>
        <w:rPr>
          <w:rFonts w:hint="eastAsia" w:ascii="宋体" w:hAnsi="宋体" w:eastAsia="宋体" w:cs="宋体"/>
          <w:color w:val="auto"/>
          <w:sz w:val="24"/>
        </w:rPr>
        <w:t>文件，待采购结果公告后，由</w:t>
      </w:r>
      <w:r>
        <w:rPr>
          <w:rFonts w:hint="eastAsia" w:ascii="宋体" w:hAnsi="宋体" w:eastAsia="宋体" w:cs="宋体"/>
          <w:color w:val="auto"/>
          <w:sz w:val="24"/>
          <w:lang w:eastAsia="zh-CN"/>
        </w:rPr>
        <w:t>成交</w:t>
      </w:r>
      <w:r>
        <w:rPr>
          <w:rFonts w:hint="eastAsia" w:ascii="宋体" w:hAnsi="宋体" w:eastAsia="宋体" w:cs="宋体"/>
          <w:color w:val="auto"/>
          <w:sz w:val="24"/>
        </w:rPr>
        <w:t>供应商补交</w:t>
      </w:r>
      <w:r>
        <w:rPr>
          <w:rFonts w:hint="eastAsia" w:ascii="宋体" w:hAnsi="宋体" w:eastAsia="宋体" w:cs="宋体"/>
          <w:color w:val="auto"/>
          <w:sz w:val="24"/>
          <w:lang w:eastAsia="zh-CN"/>
        </w:rPr>
        <w:t>一正</w:t>
      </w:r>
      <w:r>
        <w:rPr>
          <w:rFonts w:hint="eastAsia" w:ascii="宋体" w:hAnsi="宋体" w:eastAsia="宋体" w:cs="宋体"/>
          <w:color w:val="auto"/>
          <w:sz w:val="24"/>
          <w:lang w:val="en-US" w:eastAsia="zh-CN"/>
        </w:rPr>
        <w:t>三</w:t>
      </w:r>
      <w:r>
        <w:rPr>
          <w:rFonts w:hint="eastAsia" w:ascii="宋体" w:hAnsi="宋体" w:eastAsia="宋体" w:cs="宋体"/>
          <w:color w:val="auto"/>
          <w:sz w:val="24"/>
          <w:lang w:eastAsia="zh-CN"/>
        </w:rPr>
        <w:t>副</w:t>
      </w:r>
      <w:r>
        <w:rPr>
          <w:rFonts w:hint="eastAsia" w:ascii="宋体" w:hAnsi="宋体" w:eastAsia="宋体" w:cs="宋体"/>
          <w:color w:val="auto"/>
          <w:sz w:val="24"/>
        </w:rPr>
        <w:t>纸质</w:t>
      </w:r>
      <w:r>
        <w:rPr>
          <w:rFonts w:hint="eastAsia" w:ascii="宋体" w:hAnsi="宋体" w:eastAsia="宋体" w:cs="宋体"/>
          <w:color w:val="auto"/>
          <w:sz w:val="24"/>
          <w:lang w:eastAsia="zh-CN"/>
        </w:rPr>
        <w:t>响应</w:t>
      </w:r>
      <w:r>
        <w:rPr>
          <w:rFonts w:hint="eastAsia" w:ascii="宋体" w:hAnsi="宋体" w:eastAsia="宋体" w:cs="宋体"/>
          <w:color w:val="auto"/>
          <w:sz w:val="24"/>
        </w:rPr>
        <w:t>文件</w:t>
      </w:r>
      <w:r>
        <w:rPr>
          <w:rFonts w:hint="eastAsia" w:ascii="宋体" w:hAnsi="宋体" w:eastAsia="宋体" w:cs="宋体"/>
          <w:color w:val="auto"/>
          <w:sz w:val="24"/>
          <w:lang w:eastAsia="zh-CN"/>
        </w:rPr>
        <w:t>及电子版</w:t>
      </w:r>
      <w:r>
        <w:rPr>
          <w:rFonts w:hint="eastAsia" w:ascii="宋体" w:hAnsi="宋体" w:eastAsia="宋体" w:cs="宋体"/>
          <w:color w:val="auto"/>
          <w:sz w:val="24"/>
        </w:rPr>
        <w:t>（光盘或 U 盘</w:t>
      </w:r>
      <w:r>
        <w:rPr>
          <w:rFonts w:hint="eastAsia" w:ascii="宋体" w:hAnsi="宋体" w:eastAsia="宋体" w:cs="宋体"/>
          <w:color w:val="auto"/>
          <w:sz w:val="24"/>
          <w:lang w:eastAsia="zh-CN"/>
        </w:rPr>
        <w:t>，包含可编辑 word 版，签字盖章后的扫描件 1 份</w:t>
      </w:r>
      <w:r>
        <w:rPr>
          <w:rFonts w:hint="eastAsia" w:ascii="宋体" w:hAnsi="宋体" w:eastAsia="宋体" w:cs="宋体"/>
          <w:color w:val="auto"/>
          <w:sz w:val="24"/>
        </w:rPr>
        <w:t>）</w:t>
      </w:r>
      <w:r>
        <w:rPr>
          <w:rFonts w:hint="eastAsia" w:ascii="宋体" w:hAnsi="宋体" w:eastAsia="宋体" w:cs="宋体"/>
          <w:color w:val="auto"/>
          <w:sz w:val="24"/>
          <w:lang w:eastAsia="zh-CN"/>
        </w:rPr>
        <w:t>响应文件一份</w:t>
      </w:r>
      <w:r>
        <w:rPr>
          <w:rFonts w:hint="eastAsia" w:ascii="宋体" w:hAnsi="宋体" w:eastAsia="宋体" w:cs="宋体"/>
          <w:color w:val="auto"/>
          <w:sz w:val="24"/>
        </w:rPr>
        <w:t>（备案用）</w:t>
      </w:r>
    </w:p>
    <w:p>
      <w:pPr>
        <w:numPr>
          <w:ilvl w:val="0"/>
          <w:numId w:val="2"/>
        </w:numPr>
        <w:spacing w:line="360" w:lineRule="auto"/>
        <w:ind w:firstLine="480" w:firstLineChars="200"/>
        <w:rPr>
          <w:rFonts w:hint="eastAsia" w:ascii="宋体" w:hAnsi="宋体" w:cs="宋体"/>
          <w:color w:val="auto"/>
          <w:sz w:val="24"/>
        </w:rPr>
      </w:pPr>
      <w:r>
        <w:rPr>
          <w:rFonts w:hint="eastAsia" w:ascii="宋体" w:hAnsi="宋体" w:cs="宋体"/>
          <w:color w:val="auto"/>
          <w:sz w:val="24"/>
        </w:rPr>
        <w:t>谈判响应文件的正本和所有副本均须打印或用不褪色蓝（黑）墨水（汁）书写，统一装订、标码。谈判响应文件应由投标人法定代表人或经法定代表人正式授权的投标人授权代表在“谈判文件”要求的地方签字并加盖印章。谈判响应文件正本须逐页加盖投标人公章。所有投标文件正本和副本须按谈判文件规定的顺序编排、并应编制目录、逐页标注连续页码，并分别胶装成册。</w:t>
      </w:r>
    </w:p>
    <w:p>
      <w:pPr>
        <w:spacing w:line="360" w:lineRule="auto"/>
        <w:rPr>
          <w:rFonts w:hint="eastAsia" w:ascii="宋体" w:hAnsi="宋体" w:cs="宋体"/>
          <w:color w:val="auto"/>
          <w:sz w:val="24"/>
        </w:rPr>
      </w:pPr>
      <w:r>
        <w:rPr>
          <w:rFonts w:hint="eastAsia" w:ascii="宋体" w:hAnsi="宋体" w:cs="宋体"/>
          <w:color w:val="auto"/>
          <w:sz w:val="24"/>
        </w:rPr>
        <w:t>　　3、谈判响应文件除各供应商对错处做必要修改外，不得行间插字、涂改和增删，如有修改错漏处，必须由各供应商法定代表人或其授权人代表签字和加盖供应商公章。</w:t>
      </w:r>
    </w:p>
    <w:p>
      <w:pPr>
        <w:pStyle w:val="4"/>
        <w:rPr>
          <w:rFonts w:hint="eastAsia" w:ascii="宋体" w:hAnsi="宋体" w:eastAsia="宋体" w:cs="宋体"/>
          <w:bCs/>
          <w:color w:val="auto"/>
          <w:sz w:val="24"/>
          <w:szCs w:val="24"/>
        </w:rPr>
      </w:pPr>
      <w:bookmarkStart w:id="68" w:name="_Toc317063968"/>
      <w:bookmarkStart w:id="69" w:name="_Toc302465483"/>
      <w:bookmarkStart w:id="70" w:name="_Toc1614"/>
      <w:bookmarkStart w:id="71" w:name="_Toc307476826"/>
      <w:bookmarkStart w:id="72" w:name="_Toc307319712"/>
      <w:bookmarkStart w:id="73" w:name="_Toc313435093"/>
      <w:bookmarkStart w:id="74" w:name="_Toc3295"/>
      <w:bookmarkStart w:id="75" w:name="_Toc30154"/>
      <w:r>
        <w:rPr>
          <w:rFonts w:hint="eastAsia" w:ascii="宋体" w:hAnsi="宋体" w:eastAsia="宋体" w:cs="宋体"/>
          <w:bCs/>
          <w:color w:val="auto"/>
          <w:sz w:val="24"/>
          <w:szCs w:val="24"/>
        </w:rPr>
        <w:t>五、</w:t>
      </w:r>
      <w:bookmarkEnd w:id="68"/>
      <w:bookmarkEnd w:id="69"/>
      <w:bookmarkEnd w:id="70"/>
      <w:bookmarkEnd w:id="71"/>
      <w:bookmarkEnd w:id="72"/>
      <w:bookmarkEnd w:id="73"/>
      <w:r>
        <w:rPr>
          <w:rFonts w:hint="eastAsia" w:ascii="宋体" w:hAnsi="宋体" w:eastAsia="宋体" w:cs="宋体"/>
          <w:bCs/>
          <w:color w:val="auto"/>
          <w:sz w:val="24"/>
          <w:szCs w:val="24"/>
        </w:rPr>
        <w:t>谈判响应文件的递交</w:t>
      </w:r>
      <w:bookmarkEnd w:id="74"/>
      <w:bookmarkEnd w:id="75"/>
    </w:p>
    <w:p>
      <w:pPr>
        <w:adjustRightInd w:val="0"/>
        <w:snapToGrid w:val="0"/>
        <w:spacing w:line="440" w:lineRule="exact"/>
        <w:ind w:firstLine="480" w:firstLineChars="200"/>
        <w:rPr>
          <w:rFonts w:hint="eastAsia" w:ascii="宋体" w:hAnsi="宋体" w:cs="宋体"/>
          <w:color w:val="auto"/>
          <w:sz w:val="24"/>
        </w:rPr>
      </w:pPr>
      <w:r>
        <w:rPr>
          <w:rFonts w:hint="eastAsia" w:hAnsi="宋体"/>
          <w:color w:val="auto"/>
          <w:sz w:val="24"/>
          <w:szCs w:val="24"/>
        </w:rPr>
        <w:t>电子</w:t>
      </w:r>
      <w:r>
        <w:rPr>
          <w:rFonts w:hint="eastAsia" w:hAnsi="宋体"/>
          <w:color w:val="auto"/>
          <w:sz w:val="24"/>
          <w:szCs w:val="24"/>
          <w:lang w:eastAsia="zh-CN"/>
        </w:rPr>
        <w:t>谈判响应文件</w:t>
      </w:r>
      <w:r>
        <w:rPr>
          <w:rFonts w:hint="eastAsia" w:hAnsi="宋体"/>
          <w:color w:val="auto"/>
          <w:sz w:val="24"/>
          <w:szCs w:val="24"/>
        </w:rPr>
        <w:t>可于提交</w:t>
      </w:r>
      <w:r>
        <w:rPr>
          <w:rFonts w:hint="eastAsia" w:hAnsi="宋体"/>
          <w:color w:val="auto"/>
          <w:sz w:val="24"/>
          <w:szCs w:val="24"/>
          <w:lang w:eastAsia="zh-CN"/>
        </w:rPr>
        <w:t>谈判响应文件</w:t>
      </w:r>
      <w:r>
        <w:rPr>
          <w:rFonts w:hint="eastAsia" w:hAnsi="宋体"/>
          <w:color w:val="auto"/>
          <w:sz w:val="24"/>
          <w:szCs w:val="24"/>
        </w:rPr>
        <w:t>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w:t>
      </w:r>
      <w:r>
        <w:rPr>
          <w:rFonts w:hint="eastAsia" w:hAnsi="宋体"/>
          <w:color w:val="auto"/>
          <w:sz w:val="24"/>
          <w:szCs w:val="24"/>
          <w:lang w:val="en-US" w:eastAsia="zh-CN"/>
        </w:rPr>
        <w:t>谈判</w:t>
      </w:r>
      <w:r>
        <w:rPr>
          <w:rFonts w:hint="eastAsia" w:hAnsi="宋体"/>
          <w:color w:val="auto"/>
          <w:sz w:val="24"/>
          <w:szCs w:val="24"/>
        </w:rPr>
        <w:t>响应文件（*.SXSTF），上传成功后，电子化平台将予以记录。</w:t>
      </w:r>
    </w:p>
    <w:p>
      <w:pPr>
        <w:pStyle w:val="4"/>
        <w:rPr>
          <w:rFonts w:hint="eastAsia" w:ascii="宋体" w:hAnsi="宋体" w:eastAsia="宋体" w:cs="宋体"/>
          <w:bCs/>
          <w:color w:val="auto"/>
          <w:sz w:val="24"/>
          <w:szCs w:val="24"/>
        </w:rPr>
      </w:pPr>
      <w:bookmarkStart w:id="76" w:name="_Toc30354"/>
      <w:bookmarkStart w:id="77" w:name="_Toc302465484"/>
      <w:bookmarkStart w:id="78" w:name="_Toc307319713"/>
      <w:bookmarkStart w:id="79" w:name="_Toc317063969"/>
      <w:bookmarkStart w:id="80" w:name="_Toc19520"/>
      <w:bookmarkStart w:id="81" w:name="_Toc307476827"/>
      <w:bookmarkStart w:id="82" w:name="_Toc2780"/>
      <w:bookmarkStart w:id="83" w:name="_Toc313435094"/>
      <w:r>
        <w:rPr>
          <w:rFonts w:hint="eastAsia" w:ascii="宋体" w:hAnsi="宋体" w:eastAsia="宋体" w:cs="宋体"/>
          <w:bCs/>
          <w:color w:val="auto"/>
          <w:sz w:val="24"/>
          <w:szCs w:val="24"/>
        </w:rPr>
        <w:t>六、谈判、评审</w:t>
      </w:r>
      <w:bookmarkEnd w:id="76"/>
      <w:bookmarkEnd w:id="77"/>
      <w:bookmarkEnd w:id="78"/>
      <w:bookmarkEnd w:id="79"/>
      <w:bookmarkEnd w:id="80"/>
      <w:bookmarkEnd w:id="81"/>
      <w:bookmarkEnd w:id="82"/>
      <w:bookmarkEnd w:id="83"/>
    </w:p>
    <w:p>
      <w:pPr>
        <w:spacing w:line="360" w:lineRule="auto"/>
        <w:rPr>
          <w:rFonts w:hint="eastAsia" w:ascii="宋体" w:hAnsi="宋体" w:cs="宋体"/>
          <w:color w:val="auto"/>
          <w:sz w:val="24"/>
        </w:rPr>
      </w:pPr>
      <w:r>
        <w:rPr>
          <w:rFonts w:hint="eastAsia" w:ascii="宋体" w:hAnsi="宋体" w:cs="宋体"/>
          <w:color w:val="auto"/>
          <w:sz w:val="24"/>
        </w:rPr>
        <w:t>　　1、采购代理机构组织谈判、评审工作，整个过程接受</w:t>
      </w:r>
      <w:r>
        <w:rPr>
          <w:rFonts w:hint="eastAsia" w:ascii="宋体" w:hAnsi="宋体" w:cs="宋体"/>
          <w:color w:val="auto"/>
          <w:sz w:val="24"/>
          <w:lang w:eastAsia="zh-CN"/>
        </w:rPr>
        <w:t>榆林市横山区财政局</w:t>
      </w:r>
      <w:r>
        <w:rPr>
          <w:rFonts w:hint="eastAsia" w:ascii="宋体" w:hAnsi="宋体" w:cs="宋体"/>
          <w:color w:val="auto"/>
          <w:sz w:val="24"/>
        </w:rPr>
        <w:t>政府及有关部门的监督和指导。</w:t>
      </w:r>
    </w:p>
    <w:p>
      <w:pPr>
        <w:spacing w:line="360" w:lineRule="auto"/>
        <w:rPr>
          <w:rFonts w:hint="eastAsia" w:ascii="宋体" w:hAnsi="宋体" w:cs="宋体"/>
          <w:color w:val="auto"/>
          <w:sz w:val="24"/>
        </w:rPr>
      </w:pPr>
      <w:r>
        <w:rPr>
          <w:rFonts w:hint="eastAsia" w:ascii="宋体" w:hAnsi="宋体" w:cs="宋体"/>
          <w:color w:val="auto"/>
          <w:sz w:val="24"/>
        </w:rPr>
        <w:t>　　2、为确保评审工作公平、公正，依法成立谈判小组。谈判小组由采购人代表及有关专家组成。谈判小组成员应当遵守并履行下列职责义务：</w:t>
      </w:r>
    </w:p>
    <w:p>
      <w:pPr>
        <w:spacing w:line="360" w:lineRule="auto"/>
        <w:rPr>
          <w:rFonts w:hint="eastAsia" w:ascii="宋体" w:hAnsi="宋体" w:cs="宋体"/>
          <w:color w:val="auto"/>
          <w:sz w:val="24"/>
        </w:rPr>
      </w:pPr>
      <w:r>
        <w:rPr>
          <w:rFonts w:hint="eastAsia" w:ascii="宋体" w:hAnsi="宋体" w:cs="宋体"/>
          <w:color w:val="auto"/>
          <w:sz w:val="24"/>
        </w:rPr>
        <w:t>　　2.1遵纪守法，客观、公正、认真负责地履行职责，审查谈判响应文件是否符合谈判文件的要求，并做出评价；</w:t>
      </w:r>
    </w:p>
    <w:p>
      <w:pPr>
        <w:spacing w:line="360" w:lineRule="auto"/>
        <w:rPr>
          <w:rFonts w:hint="eastAsia" w:ascii="宋体" w:hAnsi="宋体" w:cs="宋体"/>
          <w:color w:val="auto"/>
          <w:sz w:val="24"/>
        </w:rPr>
      </w:pPr>
      <w:r>
        <w:rPr>
          <w:rFonts w:hint="eastAsia" w:ascii="宋体" w:hAnsi="宋体" w:cs="宋体"/>
          <w:color w:val="auto"/>
          <w:sz w:val="24"/>
        </w:rPr>
        <w:t>　　2.2要求供应商对谈判响应文件有关事项作出解释或者澄清；</w:t>
      </w:r>
    </w:p>
    <w:p>
      <w:pPr>
        <w:spacing w:line="360" w:lineRule="auto"/>
        <w:rPr>
          <w:rFonts w:hint="eastAsia" w:ascii="宋体" w:hAnsi="宋体" w:cs="宋体"/>
          <w:color w:val="auto"/>
          <w:sz w:val="24"/>
        </w:rPr>
      </w:pPr>
      <w:r>
        <w:rPr>
          <w:rFonts w:hint="eastAsia" w:ascii="宋体" w:hAnsi="宋体" w:cs="宋体"/>
          <w:color w:val="auto"/>
          <w:sz w:val="24"/>
        </w:rPr>
        <w:t>　　2.3按照谈判文件的要求和评审标准进行评审，推荐成交候选供应商名单，对评审意见承担个人责任；</w:t>
      </w:r>
    </w:p>
    <w:p>
      <w:pPr>
        <w:spacing w:line="360" w:lineRule="auto"/>
        <w:rPr>
          <w:rFonts w:hint="eastAsia" w:ascii="宋体" w:hAnsi="宋体" w:cs="宋体"/>
          <w:color w:val="auto"/>
          <w:sz w:val="24"/>
        </w:rPr>
      </w:pPr>
      <w:r>
        <w:rPr>
          <w:rFonts w:hint="eastAsia" w:ascii="宋体" w:hAnsi="宋体" w:cs="宋体"/>
          <w:color w:val="auto"/>
          <w:sz w:val="24"/>
        </w:rPr>
        <w:t>　　2.4对谈判过程和结果以及供应商的商业秘密保密；</w:t>
      </w:r>
    </w:p>
    <w:p>
      <w:pPr>
        <w:spacing w:line="360" w:lineRule="auto"/>
        <w:rPr>
          <w:rFonts w:hint="eastAsia" w:ascii="宋体" w:hAnsi="宋体" w:cs="宋体"/>
          <w:color w:val="auto"/>
          <w:sz w:val="24"/>
        </w:rPr>
      </w:pPr>
      <w:r>
        <w:rPr>
          <w:rFonts w:hint="eastAsia" w:ascii="宋体" w:hAnsi="宋体" w:cs="宋体"/>
          <w:color w:val="auto"/>
          <w:sz w:val="24"/>
        </w:rPr>
        <w:t>　　2.5参与竞争性谈判结果报告的起草；</w:t>
      </w:r>
    </w:p>
    <w:p>
      <w:pPr>
        <w:spacing w:line="360" w:lineRule="auto"/>
        <w:rPr>
          <w:rFonts w:hint="eastAsia" w:ascii="宋体" w:hAnsi="宋体" w:cs="宋体"/>
          <w:color w:val="auto"/>
          <w:sz w:val="24"/>
        </w:rPr>
      </w:pPr>
      <w:r>
        <w:rPr>
          <w:rFonts w:hint="eastAsia" w:ascii="宋体" w:hAnsi="宋体" w:cs="宋体"/>
          <w:color w:val="auto"/>
          <w:sz w:val="24"/>
        </w:rPr>
        <w:t>　　2.6配合采购单位、采购代理机构答复供应商提出的质疑；</w:t>
      </w:r>
    </w:p>
    <w:p>
      <w:pPr>
        <w:spacing w:line="360" w:lineRule="auto"/>
        <w:rPr>
          <w:rFonts w:hint="eastAsia" w:ascii="宋体" w:hAnsi="宋体" w:cs="宋体"/>
          <w:color w:val="auto"/>
          <w:sz w:val="24"/>
        </w:rPr>
      </w:pPr>
      <w:r>
        <w:rPr>
          <w:rFonts w:hint="eastAsia" w:ascii="宋体" w:hAnsi="宋体" w:cs="宋体"/>
          <w:color w:val="auto"/>
          <w:sz w:val="24"/>
        </w:rPr>
        <w:t>　　2.7配合财政部门处理投诉工作；</w:t>
      </w:r>
    </w:p>
    <w:p>
      <w:pPr>
        <w:spacing w:line="360" w:lineRule="auto"/>
        <w:rPr>
          <w:rFonts w:hint="eastAsia" w:ascii="宋体" w:hAnsi="宋体" w:cs="宋体"/>
          <w:color w:val="auto"/>
          <w:sz w:val="24"/>
        </w:rPr>
      </w:pPr>
      <w:r>
        <w:rPr>
          <w:rFonts w:hint="eastAsia" w:ascii="宋体" w:hAnsi="宋体" w:cs="宋体"/>
          <w:color w:val="auto"/>
          <w:sz w:val="24"/>
        </w:rPr>
        <w:t>　　3、采购代理机构在规定的时间和地点组织谈判，供应商须委派代表参加，参加谈判的代表应签名报到以证明其出席。</w:t>
      </w:r>
    </w:p>
    <w:p>
      <w:pPr>
        <w:spacing w:line="360" w:lineRule="auto"/>
        <w:rPr>
          <w:rFonts w:hint="eastAsia" w:ascii="宋体" w:hAnsi="宋体" w:cs="宋体"/>
          <w:color w:val="auto"/>
          <w:sz w:val="24"/>
        </w:rPr>
      </w:pPr>
      <w:r>
        <w:rPr>
          <w:rFonts w:hint="eastAsia" w:ascii="宋体" w:hAnsi="宋体" w:cs="宋体"/>
          <w:color w:val="auto"/>
          <w:sz w:val="24"/>
        </w:rPr>
        <w:t>　　4、谈判大会开始后，采购代理机构依据竞争性谈判响应文件递交顺序，公布递交文件数量的内容。</w:t>
      </w:r>
    </w:p>
    <w:p>
      <w:pPr>
        <w:spacing w:line="360" w:lineRule="auto"/>
        <w:rPr>
          <w:rFonts w:hint="eastAsia" w:ascii="宋体" w:hAnsi="宋体" w:cs="宋体"/>
          <w:color w:val="auto"/>
          <w:sz w:val="24"/>
        </w:rPr>
      </w:pPr>
      <w:r>
        <w:rPr>
          <w:rFonts w:hint="eastAsia" w:ascii="宋体" w:hAnsi="宋体" w:cs="宋体"/>
          <w:color w:val="auto"/>
          <w:sz w:val="24"/>
        </w:rPr>
        <w:t>　　5、谈判开始后，直到向成交的供应商授予合同为止，凡与审查、澄清、评价和比较谈判的有关资料及意见等内容，谈判小组均不得向供应商及与谈判无关的其他人透露。</w:t>
      </w:r>
    </w:p>
    <w:p>
      <w:pPr>
        <w:pStyle w:val="4"/>
        <w:rPr>
          <w:rFonts w:hint="eastAsia" w:ascii="宋体" w:hAnsi="宋体" w:eastAsia="宋体" w:cs="宋体"/>
          <w:bCs/>
          <w:color w:val="auto"/>
          <w:sz w:val="24"/>
          <w:szCs w:val="24"/>
        </w:rPr>
      </w:pPr>
      <w:bookmarkStart w:id="84" w:name="_Toc16579"/>
      <w:bookmarkStart w:id="85" w:name="_Toc307476828"/>
      <w:bookmarkStart w:id="86" w:name="_Toc21785"/>
      <w:bookmarkStart w:id="87" w:name="_Toc307319714"/>
      <w:bookmarkStart w:id="88" w:name="_Toc317063970"/>
      <w:bookmarkStart w:id="89" w:name="_Toc313435095"/>
      <w:bookmarkStart w:id="90" w:name="_Toc4113"/>
      <w:bookmarkStart w:id="91" w:name="_Toc302465485"/>
      <w:r>
        <w:rPr>
          <w:rFonts w:hint="eastAsia" w:ascii="宋体" w:hAnsi="宋体" w:eastAsia="宋体" w:cs="宋体"/>
          <w:bCs/>
          <w:color w:val="auto"/>
          <w:sz w:val="24"/>
          <w:szCs w:val="24"/>
        </w:rPr>
        <w:t>七、评审办法及内容</w:t>
      </w:r>
      <w:bookmarkEnd w:id="84"/>
      <w:bookmarkEnd w:id="85"/>
      <w:bookmarkEnd w:id="86"/>
      <w:bookmarkEnd w:id="87"/>
      <w:bookmarkEnd w:id="88"/>
      <w:bookmarkEnd w:id="89"/>
      <w:bookmarkEnd w:id="90"/>
      <w:bookmarkEnd w:id="91"/>
    </w:p>
    <w:p>
      <w:pPr>
        <w:spacing w:line="360" w:lineRule="auto"/>
        <w:ind w:firstLine="481"/>
        <w:rPr>
          <w:rFonts w:hint="eastAsia" w:ascii="宋体" w:hAnsi="宋体" w:cs="宋体"/>
          <w:color w:val="auto"/>
          <w:sz w:val="24"/>
        </w:rPr>
      </w:pPr>
      <w:r>
        <w:rPr>
          <w:rFonts w:hint="eastAsia" w:ascii="宋体" w:hAnsi="宋体" w:cs="宋体"/>
          <w:color w:val="auto"/>
          <w:sz w:val="24"/>
        </w:rPr>
        <w:t>1、谈判形式：</w:t>
      </w:r>
    </w:p>
    <w:p>
      <w:pPr>
        <w:spacing w:line="360" w:lineRule="auto"/>
        <w:ind w:firstLine="481"/>
        <w:rPr>
          <w:rFonts w:hint="eastAsia" w:ascii="宋体" w:hAnsi="宋体" w:cs="宋体"/>
          <w:color w:val="auto"/>
          <w:sz w:val="24"/>
        </w:rPr>
      </w:pPr>
      <w:r>
        <w:rPr>
          <w:rFonts w:hint="eastAsia" w:ascii="宋体" w:hAnsi="宋体" w:cs="宋体"/>
          <w:color w:val="auto"/>
          <w:sz w:val="24"/>
        </w:rPr>
        <w:t>1.1采取背对背的谈判方式。即谈判小组所有成员集中与各供应商分别进行一对一、面对面的谈判。</w:t>
      </w:r>
    </w:p>
    <w:p>
      <w:pPr>
        <w:spacing w:line="360" w:lineRule="auto"/>
        <w:ind w:firstLine="481"/>
        <w:rPr>
          <w:rFonts w:hint="eastAsia" w:ascii="宋体" w:hAnsi="宋体" w:cs="宋体"/>
          <w:color w:val="auto"/>
          <w:sz w:val="24"/>
        </w:rPr>
      </w:pPr>
      <w:r>
        <w:rPr>
          <w:rFonts w:hint="eastAsia" w:ascii="宋体" w:hAnsi="宋体" w:cs="宋体"/>
          <w:color w:val="auto"/>
          <w:sz w:val="24"/>
        </w:rPr>
        <w:t>1.2竞争性谈判以递交谈判文件的顺序确定谈判顺序，由谈判小组分别与各谈判供应商进行谈判。谈判文件有实质性变动的，谈判小组将以书面形式通知所有进入谈判程序的供应商。</w:t>
      </w:r>
    </w:p>
    <w:p>
      <w:pPr>
        <w:spacing w:line="360" w:lineRule="auto"/>
        <w:rPr>
          <w:rFonts w:hint="eastAsia" w:ascii="宋体" w:hAnsi="宋体" w:cs="宋体"/>
          <w:color w:val="auto"/>
          <w:sz w:val="24"/>
        </w:rPr>
      </w:pPr>
      <w:r>
        <w:rPr>
          <w:rFonts w:hint="eastAsia" w:ascii="宋体" w:hAnsi="宋体" w:cs="宋体"/>
          <w:color w:val="auto"/>
          <w:sz w:val="24"/>
        </w:rPr>
        <w:t>　　2、谈判原则：</w:t>
      </w:r>
    </w:p>
    <w:p>
      <w:pPr>
        <w:spacing w:line="360" w:lineRule="auto"/>
        <w:rPr>
          <w:rFonts w:hint="eastAsia" w:ascii="宋体" w:hAnsi="宋体" w:cs="宋体"/>
          <w:color w:val="auto"/>
          <w:sz w:val="24"/>
        </w:rPr>
      </w:pPr>
      <w:r>
        <w:rPr>
          <w:rFonts w:hint="eastAsia" w:ascii="宋体" w:hAnsi="宋体" w:cs="宋体"/>
          <w:color w:val="auto"/>
          <w:sz w:val="24"/>
        </w:rPr>
        <w:t>　　2.1坚持谈判机会均等，信息公开，公平竞争的原则。</w:t>
      </w:r>
    </w:p>
    <w:p>
      <w:pPr>
        <w:spacing w:line="360" w:lineRule="auto"/>
        <w:rPr>
          <w:rFonts w:hint="eastAsia" w:ascii="宋体" w:hAnsi="宋体" w:cs="宋体"/>
          <w:color w:val="auto"/>
          <w:sz w:val="24"/>
        </w:rPr>
      </w:pPr>
      <w:r>
        <w:rPr>
          <w:rFonts w:hint="eastAsia" w:ascii="宋体" w:hAnsi="宋体" w:cs="宋体"/>
          <w:color w:val="auto"/>
          <w:sz w:val="24"/>
        </w:rPr>
        <w:t>　　2.2支持竞争性、经济实效性和公平性原则。</w:t>
      </w:r>
    </w:p>
    <w:p>
      <w:pPr>
        <w:spacing w:line="360" w:lineRule="auto"/>
        <w:rPr>
          <w:rFonts w:hint="eastAsia" w:ascii="宋体" w:hAnsi="宋体" w:cs="宋体"/>
          <w:color w:val="auto"/>
          <w:sz w:val="24"/>
        </w:rPr>
      </w:pPr>
      <w:r>
        <w:rPr>
          <w:rFonts w:hint="eastAsia" w:ascii="宋体" w:hAnsi="宋体" w:cs="宋体"/>
          <w:color w:val="auto"/>
          <w:sz w:val="24"/>
        </w:rPr>
        <w:t>　　2.3综合评估，择优选择资质齐全、服务有保证的投标供应商。</w:t>
      </w:r>
    </w:p>
    <w:p>
      <w:pPr>
        <w:numPr>
          <w:ilvl w:val="0"/>
          <w:numId w:val="2"/>
        </w:numPr>
        <w:spacing w:line="360" w:lineRule="auto"/>
        <w:ind w:firstLine="480" w:firstLineChars="200"/>
        <w:rPr>
          <w:rFonts w:hint="eastAsia" w:ascii="宋体" w:hAnsi="宋体" w:cs="宋体"/>
          <w:color w:val="auto"/>
          <w:sz w:val="24"/>
        </w:rPr>
      </w:pPr>
      <w:r>
        <w:rPr>
          <w:rFonts w:hint="eastAsia" w:ascii="宋体" w:hAnsi="宋体" w:cs="宋体"/>
          <w:color w:val="auto"/>
          <w:sz w:val="24"/>
        </w:rPr>
        <w:t>谈判程序：</w:t>
      </w:r>
    </w:p>
    <w:p>
      <w:pPr>
        <w:spacing w:line="360" w:lineRule="auto"/>
        <w:rPr>
          <w:rFonts w:hint="eastAsia" w:ascii="宋体" w:hAnsi="宋体" w:cs="宋体"/>
          <w:color w:val="auto"/>
          <w:sz w:val="24"/>
        </w:rPr>
      </w:pPr>
      <w:r>
        <w:rPr>
          <w:rFonts w:hint="eastAsia" w:ascii="宋体" w:hAnsi="宋体" w:cs="宋体"/>
          <w:color w:val="auto"/>
          <w:sz w:val="24"/>
        </w:rPr>
        <w:t xml:space="preserve">    3.1供应商资格审查</w:t>
      </w:r>
    </w:p>
    <w:p>
      <w:pPr>
        <w:spacing w:line="360" w:lineRule="auto"/>
        <w:ind w:firstLine="480"/>
        <w:rPr>
          <w:rFonts w:hint="eastAsia" w:ascii="宋体" w:hAnsi="宋体" w:cs="宋体"/>
          <w:color w:val="auto"/>
          <w:sz w:val="24"/>
        </w:rPr>
      </w:pPr>
      <w:r>
        <w:rPr>
          <w:rFonts w:hint="eastAsia" w:ascii="宋体" w:hAnsi="宋体" w:cs="宋体"/>
          <w:color w:val="auto"/>
          <w:sz w:val="24"/>
          <w:lang w:val="en-US" w:eastAsia="zh-CN"/>
        </w:rPr>
        <w:t>由谈判小组对</w:t>
      </w:r>
      <w:r>
        <w:rPr>
          <w:rFonts w:hint="eastAsia" w:ascii="宋体" w:hAnsi="宋体" w:cs="宋体"/>
          <w:color w:val="auto"/>
          <w:sz w:val="24"/>
        </w:rPr>
        <w:t>本次谈判所要求的必备资质证明文件</w:t>
      </w:r>
      <w:r>
        <w:rPr>
          <w:rFonts w:hint="eastAsia" w:ascii="宋体" w:hAnsi="宋体" w:cs="宋体"/>
          <w:color w:val="auto"/>
          <w:sz w:val="24"/>
          <w:lang w:val="en-US" w:eastAsia="zh-CN"/>
        </w:rPr>
        <w:t>进行审查</w:t>
      </w:r>
      <w:r>
        <w:rPr>
          <w:rFonts w:hint="eastAsia" w:ascii="宋体" w:hAnsi="宋体" w:cs="宋体"/>
          <w:color w:val="auto"/>
          <w:sz w:val="24"/>
        </w:rPr>
        <w:t>，缺其中一项或某项达不到谈判要求，均按无效文件处理。</w:t>
      </w:r>
    </w:p>
    <w:p>
      <w:pPr>
        <w:spacing w:line="360" w:lineRule="auto"/>
        <w:ind w:firstLine="480"/>
        <w:rPr>
          <w:rFonts w:hint="eastAsia" w:ascii="宋体" w:hAnsi="宋体" w:cs="宋体"/>
          <w:color w:val="auto"/>
          <w:sz w:val="24"/>
        </w:rPr>
      </w:pPr>
      <w:r>
        <w:rPr>
          <w:rFonts w:hint="eastAsia" w:ascii="宋体" w:hAnsi="宋体" w:cs="宋体"/>
          <w:color w:val="auto"/>
          <w:sz w:val="24"/>
        </w:rPr>
        <w:t>3.2公布递交文件的数量内容。</w:t>
      </w:r>
    </w:p>
    <w:p>
      <w:pPr>
        <w:spacing w:line="360" w:lineRule="auto"/>
        <w:ind w:firstLine="480"/>
        <w:rPr>
          <w:rFonts w:hint="eastAsia" w:ascii="宋体" w:hAnsi="宋体" w:cs="宋体"/>
          <w:color w:val="auto"/>
          <w:sz w:val="24"/>
        </w:rPr>
      </w:pPr>
      <w:r>
        <w:rPr>
          <w:rFonts w:hint="eastAsia" w:ascii="宋体" w:hAnsi="宋体" w:cs="宋体"/>
          <w:color w:val="auto"/>
          <w:sz w:val="24"/>
        </w:rPr>
        <w:t>3.3符合性评审：主要对各供应商资格以及响应文件进行商务性的审定。</w:t>
      </w:r>
      <w:r>
        <w:rPr>
          <w:rFonts w:hint="eastAsia" w:ascii="宋体" w:hAnsi="宋体" w:cs="宋体"/>
          <w:color w:val="auto"/>
          <w:sz w:val="24"/>
          <w:lang w:eastAsia="zh-CN"/>
        </w:rPr>
        <w:t>不符合</w:t>
      </w:r>
      <w:r>
        <w:rPr>
          <w:rFonts w:hint="eastAsia" w:ascii="宋体" w:hAnsi="宋体" w:cs="宋体"/>
          <w:color w:val="auto"/>
          <w:sz w:val="24"/>
        </w:rPr>
        <w:t>下列情况之一的，其投标将按无效处理：　　</w:t>
      </w:r>
    </w:p>
    <w:p>
      <w:pPr>
        <w:spacing w:line="360" w:lineRule="auto"/>
        <w:ind w:firstLine="480"/>
        <w:rPr>
          <w:rFonts w:hint="eastAsia" w:ascii="宋体" w:hAnsi="宋体" w:cs="宋体"/>
          <w:color w:val="auto"/>
          <w:sz w:val="24"/>
        </w:rPr>
      </w:pPr>
      <w:r>
        <w:rPr>
          <w:rFonts w:hint="eastAsia" w:ascii="宋体" w:hAnsi="宋体" w:cs="宋体"/>
          <w:color w:val="auto"/>
          <w:sz w:val="24"/>
        </w:rPr>
        <w:t>3.3.1</w:t>
      </w:r>
      <w:r>
        <w:rPr>
          <w:rFonts w:ascii="宋体" w:hAnsi="宋体" w:cs="宋体"/>
          <w:color w:val="auto"/>
          <w:sz w:val="24"/>
        </w:rPr>
        <w:t xml:space="preserve"> </w:t>
      </w:r>
      <w:r>
        <w:rPr>
          <w:rFonts w:hint="eastAsia" w:ascii="宋体" w:hAnsi="宋体" w:cs="宋体"/>
          <w:color w:val="auto"/>
          <w:sz w:val="24"/>
        </w:rPr>
        <w:t>响应文件项目名称、项目编号与谈判文件一致；</w:t>
      </w:r>
    </w:p>
    <w:p>
      <w:pPr>
        <w:spacing w:line="360" w:lineRule="auto"/>
        <w:ind w:firstLine="480"/>
        <w:rPr>
          <w:rFonts w:ascii="宋体" w:hAnsi="宋体" w:cs="宋体"/>
          <w:color w:val="auto"/>
          <w:sz w:val="24"/>
        </w:rPr>
      </w:pPr>
      <w:r>
        <w:rPr>
          <w:rFonts w:hint="eastAsia" w:ascii="宋体" w:hAnsi="宋体" w:cs="宋体"/>
          <w:color w:val="auto"/>
          <w:sz w:val="24"/>
        </w:rPr>
        <w:t>3.3.2谈判报价同时满足:谈判报价符合唯一性要求、第一次谈判报价表填写符合要求、报价货币符合谈判文件要求、未超出采购预算或谈判文件规定的最高限价；</w:t>
      </w:r>
    </w:p>
    <w:p>
      <w:pPr>
        <w:spacing w:line="360" w:lineRule="auto"/>
        <w:ind w:firstLine="480"/>
        <w:rPr>
          <w:rFonts w:hint="eastAsia" w:ascii="宋体" w:hAnsi="宋体" w:cs="宋体"/>
          <w:color w:val="auto"/>
          <w:sz w:val="24"/>
        </w:rPr>
      </w:pPr>
      <w:r>
        <w:rPr>
          <w:rFonts w:hint="eastAsia" w:ascii="宋体" w:hAnsi="宋体" w:cs="宋体"/>
          <w:color w:val="auto"/>
          <w:sz w:val="24"/>
        </w:rPr>
        <w:t>3.3.3响应文件签署、盖章符合谈判文件要求，且无遗漏；</w:t>
      </w:r>
    </w:p>
    <w:p>
      <w:pPr>
        <w:spacing w:line="360" w:lineRule="auto"/>
        <w:ind w:left="479" w:leftChars="228"/>
        <w:rPr>
          <w:rFonts w:hint="eastAsia" w:ascii="宋体" w:hAnsi="宋体" w:cs="宋体"/>
          <w:color w:val="auto"/>
          <w:sz w:val="24"/>
        </w:rPr>
      </w:pPr>
      <w:r>
        <w:rPr>
          <w:rFonts w:hint="eastAsia" w:ascii="宋体" w:hAnsi="宋体" w:cs="宋体"/>
          <w:color w:val="auto"/>
          <w:sz w:val="24"/>
        </w:rPr>
        <w:t>3.3.4谈判有效期符合谈判文件要求；</w:t>
      </w:r>
      <w:r>
        <w:rPr>
          <w:rFonts w:hint="eastAsia" w:ascii="宋体" w:hAnsi="宋体" w:cs="宋体"/>
          <w:color w:val="auto"/>
          <w:sz w:val="24"/>
        </w:rPr>
        <w:br w:type="textWrapping"/>
      </w:r>
      <w:r>
        <w:rPr>
          <w:rFonts w:hint="eastAsia" w:ascii="宋体" w:hAnsi="宋体" w:cs="宋体"/>
          <w:color w:val="auto"/>
          <w:sz w:val="24"/>
        </w:rPr>
        <w:t>3.3.5实质性条款完全响应谈判文件要求的各项技术/服务/商务实质性条款；</w:t>
      </w:r>
    </w:p>
    <w:p>
      <w:pPr>
        <w:spacing w:line="360" w:lineRule="auto"/>
        <w:ind w:firstLine="480"/>
        <w:rPr>
          <w:rFonts w:hint="eastAsia" w:ascii="宋体" w:hAnsi="宋体" w:eastAsia="宋体" w:cs="宋体"/>
          <w:color w:val="auto"/>
          <w:sz w:val="24"/>
        </w:rPr>
      </w:pPr>
      <w:r>
        <w:rPr>
          <w:rFonts w:hint="eastAsia" w:ascii="宋体" w:hAnsi="宋体" w:cs="宋体"/>
          <w:color w:val="auto"/>
          <w:sz w:val="24"/>
        </w:rPr>
        <w:t>3.3.6</w:t>
      </w:r>
      <w:r>
        <w:rPr>
          <w:rFonts w:hint="eastAsia" w:ascii="宋体" w:hAnsi="宋体" w:eastAsia="宋体" w:cs="宋体"/>
          <w:color w:val="auto"/>
          <w:sz w:val="24"/>
        </w:rPr>
        <w:t>谈判方案未出现严重漏项，没有造成系统缺陷，未影响到该项目的实施；</w:t>
      </w:r>
    </w:p>
    <w:p>
      <w:pPr>
        <w:spacing w:line="360" w:lineRule="auto"/>
        <w:ind w:firstLine="48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3.3.7满足第</w:t>
      </w:r>
      <w:bookmarkStart w:id="92" w:name="_Toc12306"/>
      <w:r>
        <w:rPr>
          <w:rFonts w:hint="eastAsia" w:ascii="宋体" w:hAnsi="宋体" w:eastAsia="宋体" w:cs="宋体"/>
          <w:color w:val="auto"/>
          <w:sz w:val="24"/>
          <w:lang w:val="en-US" w:eastAsia="zh-CN"/>
        </w:rPr>
        <w:t>三部分采购内容及技术需求</w:t>
      </w:r>
      <w:bookmarkEnd w:id="92"/>
      <w:r>
        <w:rPr>
          <w:rFonts w:hint="eastAsia" w:ascii="宋体" w:hAnsi="宋体" w:eastAsia="宋体" w:cs="宋体"/>
          <w:color w:val="auto"/>
          <w:sz w:val="24"/>
          <w:lang w:val="en-US" w:eastAsia="zh-CN"/>
        </w:rPr>
        <w:t>；</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3.3.</w:t>
      </w:r>
      <w:r>
        <w:rPr>
          <w:rFonts w:hint="eastAsia" w:ascii="宋体" w:hAnsi="宋体" w:eastAsia="宋体" w:cs="宋体"/>
          <w:color w:val="auto"/>
          <w:sz w:val="24"/>
          <w:lang w:val="en-US" w:eastAsia="zh-CN"/>
        </w:rPr>
        <w:t>8</w:t>
      </w:r>
      <w:r>
        <w:rPr>
          <w:rFonts w:hint="eastAsia" w:ascii="宋体" w:hAnsi="宋体" w:eastAsia="宋体" w:cs="宋体"/>
          <w:color w:val="auto"/>
          <w:sz w:val="24"/>
        </w:rPr>
        <w:t>其他情况：谈判文件或法律法规规有关废标或否决投标规定的其他情形。</w:t>
      </w:r>
    </w:p>
    <w:p>
      <w:pPr>
        <w:numPr>
          <w:ilvl w:val="0"/>
          <w:numId w:val="0"/>
        </w:numPr>
        <w:spacing w:line="360" w:lineRule="auto"/>
        <w:ind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3.4</w:t>
      </w:r>
      <w:r>
        <w:rPr>
          <w:rFonts w:hint="eastAsia" w:ascii="宋体" w:hAnsi="宋体" w:eastAsia="宋体" w:cs="宋体"/>
          <w:color w:val="auto"/>
          <w:sz w:val="24"/>
        </w:rPr>
        <w:t>实质性响应评审</w:t>
      </w:r>
    </w:p>
    <w:p>
      <w:pPr>
        <w:spacing w:line="360" w:lineRule="auto"/>
        <w:ind w:firstLine="48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4</w:t>
      </w:r>
      <w:r>
        <w:rPr>
          <w:rFonts w:hint="eastAsia" w:ascii="宋体" w:hAnsi="宋体" w:cs="宋体"/>
          <w:color w:val="auto"/>
          <w:sz w:val="24"/>
        </w:rPr>
        <w:t>.1实质性响应是指谈判响应文件与谈判文件要求的所有条款、条件和规格相符，没有偏离。偏离指不满足、或不响应谈判文件的要求。</w:t>
      </w:r>
    </w:p>
    <w:p>
      <w:pPr>
        <w:spacing w:line="360" w:lineRule="auto"/>
        <w:ind w:firstLine="48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4</w:t>
      </w:r>
      <w:r>
        <w:rPr>
          <w:rFonts w:hint="eastAsia" w:ascii="宋体" w:hAnsi="宋体" w:cs="宋体"/>
          <w:color w:val="auto"/>
          <w:sz w:val="24"/>
        </w:rPr>
        <w:t>.2谈判响应文件是否实质性响应谈判文件要求由谈判小组依据谈判文件规定认定。谈判小组决定谈判响应文件的响应性只根据谈判响应文件本身的真实无误的内容，而不依据外部的证据。</w:t>
      </w:r>
    </w:p>
    <w:p>
      <w:pPr>
        <w:spacing w:line="360" w:lineRule="auto"/>
        <w:ind w:firstLine="480"/>
        <w:rPr>
          <w:rFonts w:hint="eastAsia" w:ascii="宋体" w:hAnsi="宋体" w:cs="宋体"/>
          <w:color w:val="auto"/>
          <w:sz w:val="24"/>
        </w:rPr>
      </w:pPr>
      <w:r>
        <w:rPr>
          <w:rFonts w:hint="eastAsia" w:ascii="宋体" w:hAnsi="宋体" w:cs="宋体"/>
          <w:color w:val="auto"/>
          <w:sz w:val="24"/>
        </w:rPr>
        <w:t>4、谈判过程</w:t>
      </w:r>
    </w:p>
    <w:p>
      <w:pPr>
        <w:spacing w:line="360" w:lineRule="auto"/>
        <w:ind w:firstLine="488"/>
        <w:rPr>
          <w:rFonts w:hint="eastAsia" w:ascii="宋体" w:hAnsi="宋体" w:cs="宋体"/>
          <w:color w:val="auto"/>
          <w:sz w:val="24"/>
        </w:rPr>
      </w:pPr>
      <w:r>
        <w:rPr>
          <w:rFonts w:hint="eastAsia" w:ascii="宋体" w:hAnsi="宋体" w:cs="宋体"/>
          <w:color w:val="auto"/>
          <w:sz w:val="24"/>
        </w:rPr>
        <w:t>谈判小组应在符合性、技术性和实质性评审的基础上对各供应商的谈判响应文件认真阅读，并对采购内容等有关要求进行谈判。</w:t>
      </w:r>
    </w:p>
    <w:p>
      <w:pPr>
        <w:spacing w:line="360" w:lineRule="auto"/>
        <w:ind w:firstLine="488"/>
        <w:rPr>
          <w:rFonts w:hint="eastAsia" w:ascii="宋体" w:hAnsi="宋体" w:cs="宋体"/>
          <w:color w:val="auto"/>
          <w:sz w:val="24"/>
        </w:rPr>
      </w:pPr>
      <w:r>
        <w:rPr>
          <w:rFonts w:hint="eastAsia" w:ascii="宋体" w:hAnsi="宋体" w:cs="宋体"/>
          <w:color w:val="auto"/>
          <w:sz w:val="24"/>
        </w:rPr>
        <w:t>4.1谈判文件能够详细列明采购需求的，谈判结束后，谈判小组应当要求其质量和服务均能满足谈判文件实质性要求的供应商在规定时间内提交最后报价。</w:t>
      </w:r>
    </w:p>
    <w:p>
      <w:pPr>
        <w:spacing w:line="360" w:lineRule="auto"/>
        <w:ind w:firstLine="488"/>
        <w:rPr>
          <w:rFonts w:hint="eastAsia" w:ascii="宋体" w:hAnsi="宋体" w:cs="宋体"/>
          <w:color w:val="auto"/>
          <w:sz w:val="24"/>
        </w:rPr>
      </w:pPr>
      <w:r>
        <w:rPr>
          <w:rFonts w:hint="eastAsia" w:ascii="宋体" w:hAnsi="宋体" w:cs="宋体"/>
          <w:color w:val="auto"/>
          <w:sz w:val="24"/>
        </w:rPr>
        <w:t>4.2谈判文件不能详细列明采购需求的，需经谈判由供应商提供最终解决方案的，谈判结束后，谈判小组应当按照少数服从多数的原则投票推荐3家以上供应商的解决方案，并要求其在规定时间内提交最后报价。</w:t>
      </w:r>
    </w:p>
    <w:p>
      <w:pPr>
        <w:spacing w:line="360" w:lineRule="auto"/>
        <w:ind w:left="479" w:leftChars="228" w:firstLine="76" w:firstLineChars="32"/>
        <w:rPr>
          <w:rFonts w:hint="eastAsia" w:ascii="宋体" w:hAnsi="宋体" w:eastAsia="宋体" w:cs="宋体"/>
          <w:color w:val="auto"/>
          <w:sz w:val="24"/>
        </w:rPr>
      </w:pPr>
      <w:r>
        <w:rPr>
          <w:rFonts w:hint="eastAsia" w:ascii="宋体" w:hAnsi="宋体" w:eastAsia="宋体" w:cs="宋体"/>
          <w:color w:val="auto"/>
          <w:sz w:val="24"/>
        </w:rPr>
        <w:t>4.3第二次报价（最后报价）表，供应商按照谈判小组给定的时间进行最后报</w:t>
      </w:r>
    </w:p>
    <w:p>
      <w:pPr>
        <w:spacing w:line="360" w:lineRule="auto"/>
        <w:ind w:firstLine="488"/>
        <w:rPr>
          <w:rFonts w:hint="eastAsia" w:ascii="宋体" w:hAnsi="宋体" w:eastAsia="宋体" w:cs="宋体"/>
          <w:color w:val="auto"/>
          <w:sz w:val="24"/>
        </w:rPr>
      </w:pPr>
      <w:r>
        <w:rPr>
          <w:rFonts w:hint="eastAsia" w:ascii="宋体" w:hAnsi="宋体" w:eastAsia="宋体" w:cs="宋体"/>
          <w:color w:val="auto"/>
          <w:sz w:val="24"/>
        </w:rPr>
        <w:t>4.4每轮报价现场均不对供应商公布，每轮报价为不可更改报价，最后报价作为谈判小组推荐成交候选人的依据。</w:t>
      </w:r>
    </w:p>
    <w:p>
      <w:pPr>
        <w:spacing w:line="360" w:lineRule="auto"/>
        <w:ind w:firstLine="488"/>
        <w:rPr>
          <w:rFonts w:hint="eastAsia" w:ascii="宋体" w:hAnsi="宋体" w:eastAsia="宋体" w:cs="宋体"/>
          <w:color w:val="auto"/>
          <w:sz w:val="24"/>
        </w:rPr>
      </w:pPr>
      <w:r>
        <w:rPr>
          <w:rFonts w:hint="eastAsia" w:ascii="宋体" w:hAnsi="宋体" w:eastAsia="宋体" w:cs="宋体"/>
          <w:color w:val="auto"/>
          <w:sz w:val="24"/>
        </w:rPr>
        <w:t>5澄清</w:t>
      </w:r>
    </w:p>
    <w:p>
      <w:pPr>
        <w:spacing w:line="360" w:lineRule="auto"/>
        <w:ind w:firstLine="480"/>
        <w:rPr>
          <w:rFonts w:hint="eastAsia" w:ascii="宋体" w:hAnsi="宋体" w:cs="宋体"/>
          <w:color w:val="auto"/>
          <w:sz w:val="24"/>
        </w:rPr>
      </w:pPr>
      <w:r>
        <w:rPr>
          <w:rFonts w:hint="eastAsia" w:ascii="宋体" w:hAnsi="宋体" w:cs="宋体"/>
          <w:color w:val="auto"/>
          <w:sz w:val="24"/>
        </w:rPr>
        <w:t>5.1 谈判小组在对谈判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并加盖供应商公章，供应商的澄清、说明或者更正不得超出谈判文件的范围或者改变谈判响应文件的实质性内容。</w:t>
      </w:r>
    </w:p>
    <w:p>
      <w:pPr>
        <w:spacing w:line="360" w:lineRule="auto"/>
        <w:ind w:firstLine="480"/>
        <w:rPr>
          <w:rFonts w:hint="eastAsia" w:ascii="宋体" w:hAnsi="宋体" w:cs="宋体"/>
          <w:color w:val="auto"/>
          <w:sz w:val="24"/>
        </w:rPr>
      </w:pPr>
      <w:r>
        <w:rPr>
          <w:rFonts w:hint="eastAsia" w:ascii="宋体" w:hAnsi="宋体" w:cs="宋体"/>
          <w:color w:val="auto"/>
          <w:sz w:val="24"/>
        </w:rPr>
        <w:t xml:space="preserve"> 5.2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spacing w:line="360" w:lineRule="auto"/>
        <w:rPr>
          <w:rFonts w:hint="eastAsia" w:ascii="宋体" w:hAnsi="宋体" w:cs="宋体"/>
          <w:color w:val="auto"/>
          <w:sz w:val="24"/>
        </w:rPr>
      </w:pPr>
      <w:r>
        <w:rPr>
          <w:rFonts w:hint="eastAsia" w:ascii="宋体" w:hAnsi="宋体" w:cs="宋体"/>
          <w:color w:val="auto"/>
          <w:sz w:val="24"/>
        </w:rPr>
        <w:t>　　6、</w:t>
      </w:r>
      <w:r>
        <w:rPr>
          <w:rFonts w:hint="eastAsia" w:ascii="宋体" w:hAnsi="宋体" w:cs="宋体"/>
          <w:bCs/>
          <w:color w:val="auto"/>
          <w:sz w:val="24"/>
        </w:rPr>
        <w:t>评审方法</w:t>
      </w:r>
      <w:r>
        <w:rPr>
          <w:rFonts w:hint="eastAsia" w:ascii="宋体" w:hAnsi="宋体" w:cs="宋体"/>
          <w:color w:val="auto"/>
          <w:sz w:val="24"/>
        </w:rPr>
        <w:t>：</w:t>
      </w:r>
    </w:p>
    <w:p>
      <w:pPr>
        <w:spacing w:line="360" w:lineRule="auto"/>
        <w:ind w:firstLine="480"/>
        <w:rPr>
          <w:rFonts w:hint="eastAsia" w:ascii="宋体" w:hAnsi="宋体" w:cs="宋体"/>
          <w:color w:val="auto"/>
          <w:sz w:val="24"/>
        </w:rPr>
      </w:pPr>
      <w:r>
        <w:rPr>
          <w:rFonts w:hint="eastAsia" w:ascii="宋体" w:hAnsi="宋体" w:cs="宋体"/>
          <w:color w:val="auto"/>
          <w:sz w:val="24"/>
        </w:rPr>
        <w:t>谈判结束后，根据符合采购需求、质量和服务相等且报价最低的原则确定成交供应商。</w:t>
      </w:r>
    </w:p>
    <w:p>
      <w:pPr>
        <w:spacing w:line="360" w:lineRule="auto"/>
        <w:ind w:firstLine="480" w:firstLineChars="200"/>
        <w:rPr>
          <w:rFonts w:hint="eastAsia" w:ascii="宋体" w:hAnsi="宋体" w:eastAsia="宋体" w:cs="宋体"/>
          <w:bCs/>
          <w:color w:val="auto"/>
          <w:sz w:val="24"/>
          <w:lang w:eastAsia="zh-CN"/>
        </w:rPr>
      </w:pPr>
      <w:r>
        <w:rPr>
          <w:rFonts w:hint="eastAsia" w:ascii="宋体" w:hAnsi="宋体" w:cs="宋体"/>
          <w:bCs/>
          <w:color w:val="auto"/>
          <w:sz w:val="24"/>
        </w:rPr>
        <w:t>7、</w:t>
      </w:r>
      <w:r>
        <w:rPr>
          <w:rFonts w:hint="eastAsia" w:ascii="宋体" w:hAnsi="宋体" w:eastAsia="宋体" w:cs="宋体"/>
          <w:bCs/>
          <w:color w:val="auto"/>
          <w:sz w:val="24"/>
        </w:rPr>
        <w:t>政府采购政策评分标准</w:t>
      </w:r>
    </w:p>
    <w:p>
      <w:pPr>
        <w:overflowPunct w:val="0"/>
        <w:topLinePunct/>
        <w:adjustRightInd w:val="0"/>
        <w:snapToGrid w:val="0"/>
        <w:spacing w:line="440" w:lineRule="exact"/>
        <w:ind w:firstLine="480" w:firstLineChars="200"/>
        <w:textAlignment w:val="bottom"/>
        <w:rPr>
          <w:rFonts w:hint="eastAsia" w:ascii="宋体" w:hAnsi="宋体"/>
          <w:color w:val="auto"/>
          <w:kern w:val="2"/>
          <w:sz w:val="24"/>
          <w:szCs w:val="24"/>
          <w:highlight w:val="none"/>
          <w:lang w:val="zh-CN"/>
        </w:rPr>
      </w:pPr>
      <w:bookmarkStart w:id="93" w:name="_Toc302465486"/>
      <w:bookmarkStart w:id="94" w:name="_Toc307476829"/>
      <w:bookmarkStart w:id="95" w:name="_Toc307319715"/>
      <w:bookmarkStart w:id="96" w:name="_Toc28529"/>
      <w:bookmarkStart w:id="97" w:name="_Toc313435096"/>
      <w:bookmarkStart w:id="98" w:name="_Toc15548"/>
      <w:bookmarkStart w:id="99" w:name="_Toc317063971"/>
      <w:r>
        <w:rPr>
          <w:rFonts w:hint="eastAsia" w:ascii="宋体" w:hAnsi="宋体"/>
          <w:color w:val="auto"/>
          <w:sz w:val="24"/>
          <w:szCs w:val="24"/>
          <w:highlight w:val="none"/>
          <w:lang w:val="en-US" w:eastAsia="zh-CN"/>
        </w:rPr>
        <w:t>7.1</w:t>
      </w:r>
      <w:r>
        <w:rPr>
          <w:rFonts w:ascii="宋体" w:hAnsi="宋体"/>
          <w:color w:val="auto"/>
          <w:sz w:val="24"/>
          <w:szCs w:val="24"/>
          <w:highlight w:val="none"/>
        </w:rPr>
        <w:t>对参与</w:t>
      </w: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且</w:t>
      </w:r>
      <w:r>
        <w:rPr>
          <w:rFonts w:ascii="宋体" w:hAnsi="宋体"/>
          <w:color w:val="auto"/>
          <w:sz w:val="24"/>
          <w:szCs w:val="24"/>
          <w:highlight w:val="none"/>
        </w:rPr>
        <w:t>符合</w:t>
      </w:r>
      <w:r>
        <w:rPr>
          <w:rFonts w:hint="eastAsia" w:ascii="宋体" w:hAnsi="宋体"/>
          <w:color w:val="auto"/>
          <w:sz w:val="24"/>
          <w:szCs w:val="24"/>
          <w:highlight w:val="none"/>
        </w:rPr>
        <w:t>《政府采购促进中小企业发展管理办法》（财库〔2020〕46号）</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《财政部关于进一步加大政府采购支持中小企业力度的通知》（财库〔202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号）</w:t>
      </w:r>
      <w:r>
        <w:rPr>
          <w:rFonts w:hint="eastAsia" w:ascii="宋体" w:hAnsi="宋体"/>
          <w:color w:val="auto"/>
          <w:sz w:val="24"/>
          <w:szCs w:val="24"/>
          <w:highlight w:val="none"/>
          <w:lang w:eastAsia="zh-CN"/>
        </w:rPr>
        <w:t>、</w:t>
      </w:r>
      <w:r>
        <w:rPr>
          <w:rFonts w:hint="eastAsia" w:ascii="宋体" w:hAnsi="宋体"/>
          <w:color w:val="auto"/>
          <w:sz w:val="24"/>
          <w:szCs w:val="24"/>
          <w:highlight w:val="none"/>
        </w:rPr>
        <w:t>《陕西省财政厅关于进一步加大政府采购支持中小企业力度的通知》</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陕财办采</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2022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5号</w:t>
      </w:r>
      <w:r>
        <w:rPr>
          <w:rFonts w:hint="eastAsia" w:ascii="宋体" w:hAnsi="宋体"/>
          <w:color w:val="auto"/>
          <w:sz w:val="24"/>
          <w:szCs w:val="24"/>
          <w:highlight w:val="none"/>
          <w:lang w:eastAsia="zh-CN"/>
        </w:rPr>
        <w:t>）、</w:t>
      </w:r>
      <w:r>
        <w:rPr>
          <w:rFonts w:hint="eastAsia" w:ascii="宋体" w:hAnsi="宋体"/>
          <w:color w:val="auto"/>
          <w:sz w:val="24"/>
          <w:szCs w:val="24"/>
          <w:highlight w:val="none"/>
        </w:rPr>
        <w:t>《榆林市财政局关于进一步加大政府采购支持中小企业力度的通知》榆政财采发〔2022〕10号</w:t>
      </w:r>
      <w:r>
        <w:rPr>
          <w:rFonts w:hint="eastAsia" w:ascii="宋体" w:hAnsi="宋体"/>
          <w:color w:val="auto"/>
          <w:sz w:val="24"/>
          <w:szCs w:val="24"/>
          <w:highlight w:val="none"/>
          <w:lang w:eastAsia="zh-CN"/>
        </w:rPr>
        <w:t>）</w:t>
      </w:r>
      <w:r>
        <w:rPr>
          <w:rFonts w:ascii="宋体" w:hAnsi="宋体"/>
          <w:color w:val="auto"/>
          <w:sz w:val="24"/>
          <w:szCs w:val="24"/>
          <w:highlight w:val="none"/>
        </w:rPr>
        <w:t>的小型和微型企业</w:t>
      </w:r>
      <w:r>
        <w:rPr>
          <w:rFonts w:hint="eastAsia" w:ascii="宋体" w:hAnsi="宋体"/>
          <w:color w:val="auto"/>
          <w:sz w:val="24"/>
          <w:szCs w:val="24"/>
          <w:highlight w:val="none"/>
        </w:rPr>
        <w:t>的报价给予</w:t>
      </w:r>
      <w:r>
        <w:rPr>
          <w:rFonts w:hint="eastAsia" w:ascii="宋体" w:hAnsi="宋体"/>
          <w:color w:val="auto"/>
          <w:sz w:val="24"/>
          <w:szCs w:val="24"/>
          <w:highlight w:val="none"/>
          <w:u w:val="none"/>
          <w:lang w:val="en-US" w:eastAsia="zh-CN"/>
        </w:rPr>
        <w:t>20</w:t>
      </w:r>
      <w:r>
        <w:rPr>
          <w:rFonts w:hint="eastAsia" w:ascii="宋体" w:hAnsi="宋体"/>
          <w:color w:val="auto"/>
          <w:sz w:val="24"/>
          <w:szCs w:val="24"/>
          <w:highlight w:val="none"/>
          <w:u w:val="none"/>
        </w:rPr>
        <w:t>%</w:t>
      </w:r>
      <w:r>
        <w:rPr>
          <w:rFonts w:hint="eastAsia" w:ascii="宋体" w:hAnsi="宋体"/>
          <w:color w:val="auto"/>
          <w:sz w:val="24"/>
          <w:szCs w:val="24"/>
          <w:highlight w:val="none"/>
        </w:rPr>
        <w:t>的扣除，用扣除后的价格评审。</w:t>
      </w:r>
    </w:p>
    <w:p>
      <w:pPr>
        <w:pStyle w:val="8"/>
        <w:overflowPunct w:val="0"/>
        <w:topLinePunct/>
        <w:adjustRightInd w:val="0"/>
        <w:snapToGrid w:val="0"/>
        <w:spacing w:after="0" w:line="360" w:lineRule="auto"/>
        <w:ind w:left="0" w:leftChars="0" w:firstLine="480" w:firstLineChars="200"/>
        <w:rPr>
          <w:rFonts w:ascii="宋体" w:hAnsi="宋体"/>
          <w:color w:val="auto"/>
          <w:sz w:val="24"/>
          <w:highlight w:val="none"/>
        </w:rPr>
      </w:pPr>
      <w:r>
        <w:rPr>
          <w:rFonts w:hint="eastAsia"/>
          <w:color w:val="auto"/>
          <w:sz w:val="24"/>
          <w:highlight w:val="none"/>
          <w:lang w:val="en-US" w:eastAsia="zh-CN"/>
        </w:rPr>
        <w:t>7.2</w:t>
      </w:r>
      <w:r>
        <w:rPr>
          <w:rFonts w:ascii="宋体" w:hAnsi="宋体"/>
          <w:color w:val="auto"/>
          <w:sz w:val="24"/>
          <w:highlight w:val="none"/>
        </w:rPr>
        <w:t>对符合《财政部司法部关于政府采购支持监狱企业发展有关问题的通知》（财库〔2014〕68号）的监狱和戒毒企业</w:t>
      </w:r>
      <w:r>
        <w:rPr>
          <w:rFonts w:hint="eastAsia" w:ascii="宋体" w:hAnsi="宋体"/>
          <w:color w:val="auto"/>
          <w:sz w:val="24"/>
          <w:highlight w:val="none"/>
        </w:rPr>
        <w:t>视同小型、微型企业享受</w:t>
      </w:r>
      <w:r>
        <w:rPr>
          <w:rFonts w:hint="eastAsia"/>
          <w:color w:val="auto"/>
          <w:sz w:val="24"/>
          <w:highlight w:val="none"/>
          <w:lang w:val="en-US" w:eastAsia="zh-CN"/>
        </w:rPr>
        <w:t>20</w:t>
      </w:r>
      <w:r>
        <w:rPr>
          <w:rFonts w:hint="eastAsia" w:ascii="宋体" w:hAnsi="宋体"/>
          <w:color w:val="auto"/>
          <w:sz w:val="24"/>
          <w:highlight w:val="none"/>
        </w:rPr>
        <w:t>%的价格扣除。</w:t>
      </w:r>
    </w:p>
    <w:p>
      <w:pPr>
        <w:overflowPunct w:val="0"/>
        <w:topLinePunct/>
        <w:adjustRightInd w:val="0"/>
        <w:snapToGrid w:val="0"/>
        <w:spacing w:line="360" w:lineRule="auto"/>
        <w:ind w:firstLine="480" w:firstLineChars="200"/>
        <w:textAlignment w:val="bottom"/>
        <w:rPr>
          <w:rFonts w:hint="eastAsia" w:ascii="宋体" w:hAnsi="宋体"/>
          <w:color w:val="auto"/>
          <w:sz w:val="24"/>
          <w:szCs w:val="24"/>
          <w:highlight w:val="none"/>
        </w:rPr>
      </w:pPr>
      <w:r>
        <w:rPr>
          <w:rFonts w:hint="eastAsia" w:ascii="宋体" w:hAnsi="宋体"/>
          <w:color w:val="auto"/>
          <w:sz w:val="24"/>
          <w:szCs w:val="24"/>
          <w:highlight w:val="none"/>
          <w:lang w:val="en-US" w:eastAsia="zh-CN"/>
        </w:rPr>
        <w:t>7.3</w:t>
      </w:r>
      <w:r>
        <w:rPr>
          <w:rFonts w:hint="eastAsia" w:ascii="宋体" w:hAnsi="宋体"/>
          <w:color w:val="auto"/>
          <w:sz w:val="24"/>
          <w:szCs w:val="24"/>
          <w:highlight w:val="none"/>
        </w:rPr>
        <w:t>对</w:t>
      </w:r>
      <w:r>
        <w:rPr>
          <w:rFonts w:ascii="宋体" w:hAnsi="宋体"/>
          <w:color w:val="auto"/>
          <w:sz w:val="24"/>
          <w:szCs w:val="24"/>
          <w:highlight w:val="none"/>
        </w:rPr>
        <w:t>符合</w:t>
      </w:r>
      <w:r>
        <w:rPr>
          <w:rFonts w:hint="eastAsia" w:ascii="宋体" w:hAnsi="宋体"/>
          <w:color w:val="auto"/>
          <w:sz w:val="24"/>
          <w:szCs w:val="24"/>
          <w:highlight w:val="none"/>
        </w:rPr>
        <w:t>财政部、民政部、中国残疾人联合会下发的《关于促进残疾人就业政府采购政策的通知》（财库〔</w:t>
      </w:r>
      <w:r>
        <w:rPr>
          <w:rFonts w:ascii="宋体" w:hAnsi="宋体"/>
          <w:color w:val="auto"/>
          <w:sz w:val="24"/>
          <w:szCs w:val="24"/>
          <w:highlight w:val="none"/>
        </w:rPr>
        <w:t>2017</w:t>
      </w:r>
      <w:r>
        <w:rPr>
          <w:rFonts w:hint="eastAsia" w:ascii="宋体" w:hAnsi="宋体"/>
          <w:color w:val="auto"/>
          <w:sz w:val="24"/>
          <w:szCs w:val="24"/>
          <w:highlight w:val="none"/>
        </w:rPr>
        <w:t>〕</w:t>
      </w:r>
      <w:r>
        <w:rPr>
          <w:rFonts w:ascii="宋体" w:hAnsi="宋体"/>
          <w:color w:val="auto"/>
          <w:sz w:val="24"/>
          <w:szCs w:val="24"/>
          <w:highlight w:val="none"/>
        </w:rPr>
        <w:t>141</w:t>
      </w:r>
      <w:r>
        <w:rPr>
          <w:rFonts w:hint="eastAsia" w:ascii="宋体" w:hAnsi="宋体"/>
          <w:color w:val="auto"/>
          <w:sz w:val="24"/>
          <w:szCs w:val="24"/>
          <w:highlight w:val="none"/>
        </w:rPr>
        <w:t>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%的价格扣除。</w:t>
      </w:r>
    </w:p>
    <w:p>
      <w:pPr>
        <w:pStyle w:val="2"/>
        <w:spacing w:line="360" w:lineRule="auto"/>
        <w:ind w:firstLine="480" w:firstLineChars="200"/>
      </w:pPr>
      <w:r>
        <w:rPr>
          <w:rFonts w:hint="eastAsia" w:asciiTheme="minorEastAsia" w:hAnsiTheme="minorEastAsia" w:eastAsiaTheme="minorEastAsia" w:cstheme="minorEastAsia"/>
          <w:color w:val="auto"/>
          <w:sz w:val="24"/>
          <w:lang w:val="en-US" w:eastAsia="zh-CN"/>
        </w:rPr>
        <w:t>注：本项目为专门面向中小企业的项目，小微企业不予价格折扣。</w:t>
      </w:r>
    </w:p>
    <w:p>
      <w:pPr>
        <w:spacing w:line="360" w:lineRule="auto"/>
        <w:ind w:firstLine="597" w:firstLineChars="249"/>
        <w:rPr>
          <w:rFonts w:hint="eastAsia" w:ascii="宋体" w:hAnsi="宋体"/>
          <w:color w:val="auto"/>
          <w:sz w:val="24"/>
          <w:highlight w:val="none"/>
        </w:rPr>
      </w:pPr>
      <w:r>
        <w:rPr>
          <w:rFonts w:hint="eastAsia" w:ascii="宋体" w:hAnsi="宋体"/>
          <w:color w:val="auto"/>
          <w:sz w:val="24"/>
          <w:highlight w:val="none"/>
          <w:lang w:val="en-US" w:eastAsia="zh-CN"/>
        </w:rPr>
        <w:t>7.4</w:t>
      </w:r>
      <w:r>
        <w:rPr>
          <w:rFonts w:hint="eastAsia" w:ascii="宋体" w:hAnsi="宋体"/>
          <w:color w:val="auto"/>
          <w:sz w:val="24"/>
          <w:highlight w:val="none"/>
        </w:rPr>
        <w:t>、节能产品、环境标志产品政策</w:t>
      </w:r>
    </w:p>
    <w:p>
      <w:pPr>
        <w:spacing w:line="480" w:lineRule="exact"/>
        <w:ind w:firstLine="597" w:firstLineChars="249"/>
        <w:rPr>
          <w:rFonts w:hint="eastAsia" w:ascii="宋体" w:hAnsi="宋体"/>
          <w:color w:val="auto"/>
          <w:sz w:val="24"/>
          <w:highlight w:val="none"/>
        </w:rPr>
      </w:pPr>
      <w:r>
        <w:rPr>
          <w:rFonts w:hint="eastAsia" w:ascii="宋体" w:hAnsi="宋体"/>
          <w:color w:val="auto"/>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pStyle w:val="4"/>
        <w:rPr>
          <w:rFonts w:hint="eastAsia" w:ascii="宋体" w:hAnsi="宋体" w:eastAsia="宋体" w:cs="宋体"/>
          <w:bCs/>
          <w:color w:val="auto"/>
          <w:sz w:val="24"/>
          <w:szCs w:val="24"/>
        </w:rPr>
      </w:pPr>
      <w:bookmarkStart w:id="100" w:name="_Toc3557"/>
      <w:r>
        <w:rPr>
          <w:rFonts w:hint="eastAsia" w:ascii="宋体" w:hAnsi="宋体" w:eastAsia="宋体" w:cs="宋体"/>
          <w:bCs/>
          <w:color w:val="auto"/>
          <w:sz w:val="24"/>
          <w:szCs w:val="24"/>
        </w:rPr>
        <w:t>八、确定</w:t>
      </w:r>
      <w:bookmarkEnd w:id="93"/>
      <w:bookmarkEnd w:id="94"/>
      <w:bookmarkEnd w:id="95"/>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rPr>
        <w:t>供应商</w:t>
      </w:r>
      <w:bookmarkEnd w:id="96"/>
      <w:bookmarkEnd w:id="97"/>
      <w:bookmarkEnd w:id="98"/>
      <w:bookmarkEnd w:id="99"/>
      <w:bookmarkEnd w:id="100"/>
    </w:p>
    <w:p>
      <w:pPr>
        <w:spacing w:line="360" w:lineRule="auto"/>
        <w:rPr>
          <w:rFonts w:hint="eastAsia" w:ascii="宋体" w:hAnsi="宋体" w:cs="宋体"/>
          <w:color w:val="auto"/>
          <w:sz w:val="24"/>
        </w:rPr>
      </w:pPr>
      <w:r>
        <w:rPr>
          <w:rFonts w:hint="eastAsia" w:ascii="宋体" w:hAnsi="宋体" w:cs="宋体"/>
          <w:color w:val="auto"/>
          <w:sz w:val="24"/>
        </w:rPr>
        <w:t>　</w:t>
      </w:r>
      <w:r>
        <w:rPr>
          <w:rFonts w:hint="eastAsia" w:ascii="宋体" w:hAnsi="宋体" w:cs="宋体"/>
          <w:color w:val="auto"/>
          <w:sz w:val="24"/>
          <w:lang w:val="en-US" w:eastAsia="zh-CN"/>
        </w:rPr>
        <w:t xml:space="preserve"> </w:t>
      </w:r>
      <w:r>
        <w:rPr>
          <w:rFonts w:hint="eastAsia" w:ascii="宋体" w:hAnsi="宋体" w:cs="宋体"/>
          <w:color w:val="auto"/>
          <w:sz w:val="24"/>
        </w:rPr>
        <w:t>评标工作结束后，由采购代理机构在</w:t>
      </w:r>
      <w:r>
        <w:rPr>
          <w:rFonts w:hint="eastAsia" w:ascii="宋体" w:hAnsi="宋体" w:cs="宋体"/>
          <w:color w:val="auto"/>
          <w:sz w:val="24"/>
          <w:lang w:val="en-US" w:eastAsia="zh-CN"/>
        </w:rPr>
        <w:t>二</w:t>
      </w:r>
      <w:r>
        <w:rPr>
          <w:rFonts w:hint="eastAsia" w:ascii="宋体" w:hAnsi="宋体" w:cs="宋体"/>
          <w:color w:val="auto"/>
          <w:sz w:val="24"/>
        </w:rPr>
        <w:t>个工作日内将《竞争性谈判结果的函》报送采购单位，采购单位收到《竞争性谈判结果的函》后</w:t>
      </w:r>
      <w:r>
        <w:rPr>
          <w:rFonts w:hint="eastAsia" w:ascii="宋体" w:hAnsi="宋体" w:cs="宋体"/>
          <w:color w:val="auto"/>
          <w:sz w:val="24"/>
          <w:lang w:val="en-US" w:eastAsia="zh-CN"/>
        </w:rPr>
        <w:t>五</w:t>
      </w:r>
      <w:r>
        <w:rPr>
          <w:rFonts w:hint="eastAsia" w:ascii="宋体" w:hAnsi="宋体" w:cs="宋体"/>
          <w:color w:val="auto"/>
          <w:sz w:val="24"/>
        </w:rPr>
        <w:t>个工作日内书面确认并回拟《成交供应商复函》。</w:t>
      </w:r>
    </w:p>
    <w:p>
      <w:pPr>
        <w:spacing w:line="360" w:lineRule="auto"/>
        <w:rPr>
          <w:rFonts w:hint="eastAsia" w:ascii="宋体" w:hAnsi="宋体" w:cs="宋体"/>
          <w:color w:val="auto"/>
          <w:sz w:val="24"/>
        </w:rPr>
      </w:pPr>
      <w:r>
        <w:rPr>
          <w:rFonts w:hint="eastAsia" w:ascii="宋体" w:hAnsi="宋体" w:cs="宋体"/>
          <w:color w:val="auto"/>
          <w:sz w:val="24"/>
        </w:rPr>
        <w:t>　　采购代理机构根据《成交供应商复函》，在指定媒体上发布成交公告</w:t>
      </w:r>
      <w:r>
        <w:rPr>
          <w:rFonts w:hint="eastAsia" w:ascii="宋体" w:hAnsi="宋体" w:cs="宋体"/>
          <w:color w:val="auto"/>
          <w:sz w:val="24"/>
          <w:lang w:eastAsia="zh-CN"/>
        </w:rPr>
        <w:t>并</w:t>
      </w:r>
      <w:r>
        <w:rPr>
          <w:rFonts w:hint="eastAsia" w:ascii="宋体" w:hAnsi="宋体" w:cs="宋体"/>
          <w:color w:val="auto"/>
          <w:sz w:val="24"/>
        </w:rPr>
        <w:t>向成交供应商发《成交通知书》，抄送采购单位、财政局政府采购管理科。</w:t>
      </w:r>
    </w:p>
    <w:p>
      <w:pPr>
        <w:pStyle w:val="4"/>
        <w:rPr>
          <w:rFonts w:hint="eastAsia" w:ascii="宋体" w:hAnsi="宋体" w:eastAsia="宋体" w:cs="宋体"/>
          <w:bCs/>
          <w:color w:val="auto"/>
          <w:sz w:val="24"/>
          <w:szCs w:val="24"/>
        </w:rPr>
      </w:pPr>
      <w:bookmarkStart w:id="101" w:name="_Toc32456"/>
      <w:bookmarkStart w:id="102" w:name="_Toc313435097"/>
      <w:bookmarkStart w:id="103" w:name="_Toc302465487"/>
      <w:bookmarkStart w:id="104" w:name="_Toc317063972"/>
      <w:bookmarkStart w:id="105" w:name="_Toc307319716"/>
      <w:bookmarkStart w:id="106" w:name="_Toc28606"/>
      <w:bookmarkStart w:id="107" w:name="_Toc307476830"/>
      <w:bookmarkStart w:id="108" w:name="_Toc2204"/>
      <w:r>
        <w:rPr>
          <w:rFonts w:hint="eastAsia" w:ascii="宋体" w:hAnsi="宋体" w:eastAsia="宋体" w:cs="宋体"/>
          <w:bCs/>
          <w:color w:val="auto"/>
          <w:sz w:val="24"/>
          <w:szCs w:val="24"/>
        </w:rPr>
        <w:t>九、经济合同</w:t>
      </w:r>
      <w:bookmarkEnd w:id="101"/>
      <w:bookmarkEnd w:id="102"/>
      <w:bookmarkEnd w:id="103"/>
      <w:bookmarkEnd w:id="104"/>
      <w:bookmarkEnd w:id="105"/>
      <w:bookmarkEnd w:id="106"/>
      <w:bookmarkEnd w:id="107"/>
      <w:bookmarkEnd w:id="108"/>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1、签订合同</w:t>
      </w:r>
    </w:p>
    <w:p>
      <w:pPr>
        <w:spacing w:line="360" w:lineRule="auto"/>
        <w:rPr>
          <w:rFonts w:hint="eastAsia" w:ascii="宋体" w:hAnsi="宋体" w:cs="宋体"/>
          <w:color w:val="auto"/>
          <w:sz w:val="24"/>
        </w:rPr>
      </w:pPr>
      <w:r>
        <w:rPr>
          <w:rFonts w:hint="eastAsia" w:ascii="宋体" w:hAnsi="宋体" w:cs="宋体"/>
          <w:color w:val="auto"/>
          <w:sz w:val="24"/>
        </w:rPr>
        <w:t>　　1.1采购人、成交供应商须在采购代理机构发出《成交通知书》之后，洽谈合同条款内容，拟订合同文本草案。并在《成交通知书》发出之日起</w:t>
      </w:r>
      <w:r>
        <w:rPr>
          <w:rFonts w:hint="eastAsia" w:ascii="宋体" w:hAnsi="宋体" w:cs="宋体"/>
          <w:color w:val="auto"/>
          <w:sz w:val="24"/>
          <w:lang w:val="en-US" w:eastAsia="zh-CN"/>
        </w:rPr>
        <w:t>十个工作日</w:t>
      </w:r>
      <w:r>
        <w:rPr>
          <w:rFonts w:hint="eastAsia" w:ascii="宋体" w:hAnsi="宋体" w:cs="宋体"/>
          <w:color w:val="auto"/>
          <w:sz w:val="24"/>
        </w:rPr>
        <w:t>内签订书面合同。</w:t>
      </w:r>
    </w:p>
    <w:p>
      <w:pPr>
        <w:spacing w:line="360" w:lineRule="auto"/>
        <w:rPr>
          <w:rFonts w:hint="eastAsia" w:ascii="宋体" w:hAnsi="宋体" w:cs="宋体"/>
          <w:color w:val="auto"/>
          <w:sz w:val="24"/>
        </w:rPr>
      </w:pPr>
      <w:r>
        <w:rPr>
          <w:rFonts w:hint="eastAsia" w:ascii="宋体" w:hAnsi="宋体" w:cs="宋体"/>
          <w:color w:val="auto"/>
          <w:sz w:val="24"/>
        </w:rPr>
        <w:t>　　1.2谈判文件，成交供应商的竞争性谈判响应文件及谈判过程中的有关澄清文件均应作为合同附件。</w:t>
      </w:r>
    </w:p>
    <w:p>
      <w:pPr>
        <w:spacing w:line="360" w:lineRule="auto"/>
        <w:rPr>
          <w:rFonts w:hint="eastAsia" w:ascii="宋体" w:hAnsi="宋体" w:cs="宋体"/>
          <w:color w:val="auto"/>
          <w:sz w:val="24"/>
        </w:rPr>
      </w:pPr>
      <w:r>
        <w:rPr>
          <w:rFonts w:hint="eastAsia" w:ascii="宋体" w:hAnsi="宋体" w:cs="宋体"/>
          <w:color w:val="auto"/>
          <w:sz w:val="24"/>
        </w:rPr>
        <w:t>　　1.3采购代理机构应当督促采购人、成交供应商在规定的期限内完成合同签订工作，并对采购合同内容进行审核。</w:t>
      </w:r>
    </w:p>
    <w:p>
      <w:pPr>
        <w:tabs>
          <w:tab w:val="left" w:pos="360"/>
        </w:tabs>
        <w:spacing w:line="360" w:lineRule="auto"/>
        <w:rPr>
          <w:rFonts w:hint="eastAsia" w:ascii="宋体" w:hAnsi="宋体" w:cs="宋体"/>
          <w:color w:val="auto"/>
          <w:sz w:val="24"/>
        </w:rPr>
      </w:pPr>
      <w:r>
        <w:rPr>
          <w:rFonts w:hint="eastAsia" w:ascii="宋体" w:hAnsi="宋体" w:cs="宋体"/>
          <w:color w:val="auto"/>
          <w:sz w:val="24"/>
        </w:rPr>
        <w:t>　  2、采购代理机构在合同履行期间以及履行期后，配合采购单位检查项目的执行情况，对采购标准、采购内容进行调查核实，并负责协调和处理履约过程中出现的相关问题。</w:t>
      </w:r>
    </w:p>
    <w:p>
      <w:pPr>
        <w:pStyle w:val="4"/>
        <w:rPr>
          <w:rFonts w:hint="eastAsia" w:ascii="宋体" w:hAnsi="宋体" w:eastAsia="宋体" w:cs="宋体"/>
          <w:bCs/>
          <w:color w:val="auto"/>
          <w:sz w:val="24"/>
          <w:szCs w:val="24"/>
        </w:rPr>
      </w:pPr>
      <w:bookmarkStart w:id="109" w:name="_Toc32397"/>
      <w:bookmarkStart w:id="110" w:name="_Toc16634"/>
      <w:bookmarkStart w:id="111" w:name="_Toc307476831"/>
      <w:bookmarkStart w:id="112" w:name="_Toc317063973"/>
      <w:bookmarkStart w:id="113" w:name="_Toc307319717"/>
      <w:bookmarkStart w:id="114" w:name="_Toc14167"/>
      <w:bookmarkStart w:id="115" w:name="_Toc313435098"/>
      <w:bookmarkStart w:id="116" w:name="_Toc302465488"/>
      <w:r>
        <w:rPr>
          <w:rFonts w:hint="eastAsia" w:ascii="宋体" w:hAnsi="宋体" w:eastAsia="宋体" w:cs="宋体"/>
          <w:bCs/>
          <w:color w:val="auto"/>
          <w:sz w:val="24"/>
          <w:szCs w:val="24"/>
        </w:rPr>
        <w:t>十、</w:t>
      </w:r>
      <w:r>
        <w:rPr>
          <w:rFonts w:hint="eastAsia" w:ascii="宋体" w:hAnsi="宋体" w:eastAsia="宋体" w:cs="宋体"/>
          <w:bCs/>
          <w:color w:val="auto"/>
          <w:sz w:val="24"/>
          <w:szCs w:val="24"/>
          <w:lang w:val="zh-CN"/>
        </w:rPr>
        <w:t>中标服务费</w:t>
      </w:r>
      <w:bookmarkEnd w:id="109"/>
      <w:bookmarkEnd w:id="110"/>
    </w:p>
    <w:p>
      <w:pPr>
        <w:tabs>
          <w:tab w:val="left" w:pos="360"/>
        </w:tabs>
        <w:spacing w:line="360" w:lineRule="auto"/>
        <w:rPr>
          <w:rFonts w:hint="eastAsia" w:ascii="宋体" w:hAnsi="宋体" w:cs="宋体"/>
          <w:color w:val="auto"/>
          <w:sz w:val="24"/>
          <w:lang w:val="zh-CN"/>
        </w:rPr>
      </w:pPr>
      <w:r>
        <w:rPr>
          <w:rFonts w:hint="eastAsia" w:ascii="宋体" w:hAnsi="宋体" w:cs="宋体"/>
          <w:color w:val="auto"/>
          <w:sz w:val="24"/>
          <w:lang w:val="zh-CN"/>
        </w:rPr>
        <w:t>1、中标服务费由成交供应商支付。</w:t>
      </w:r>
    </w:p>
    <w:p>
      <w:pPr>
        <w:tabs>
          <w:tab w:val="left" w:pos="360"/>
        </w:tabs>
        <w:spacing w:line="360" w:lineRule="auto"/>
        <w:rPr>
          <w:rFonts w:hint="eastAsia" w:ascii="宋体" w:hAnsi="宋体" w:cs="宋体"/>
          <w:color w:val="auto"/>
          <w:sz w:val="24"/>
        </w:rPr>
      </w:pPr>
      <w:r>
        <w:rPr>
          <w:rFonts w:hint="eastAsia" w:ascii="宋体" w:hAnsi="宋体" w:cs="宋体"/>
          <w:color w:val="auto"/>
          <w:sz w:val="24"/>
        </w:rPr>
        <w:t>2、中标服务费参考《国家计委关于印发&lt;招标代理服务收费管理暂行办法&gt;的通知》（计价格[2002]1980号）和国家发展改革委员会办公厅颁发的《关于招标代理服务收费有关问题的通知》（发改办价格『2003』857号）规定标准收取。</w:t>
      </w:r>
    </w:p>
    <w:p>
      <w:pPr>
        <w:pStyle w:val="4"/>
        <w:rPr>
          <w:rFonts w:hint="eastAsia" w:ascii="宋体" w:hAnsi="宋体" w:eastAsia="宋体" w:cs="宋体"/>
          <w:bCs/>
          <w:color w:val="auto"/>
          <w:sz w:val="24"/>
          <w:szCs w:val="24"/>
        </w:rPr>
      </w:pPr>
      <w:bookmarkStart w:id="117" w:name="_Toc4946"/>
      <w:bookmarkStart w:id="118" w:name="_Toc21487"/>
      <w:r>
        <w:rPr>
          <w:rFonts w:hint="eastAsia" w:ascii="宋体" w:hAnsi="宋体" w:eastAsia="宋体" w:cs="宋体"/>
          <w:bCs/>
          <w:color w:val="auto"/>
          <w:sz w:val="24"/>
          <w:szCs w:val="24"/>
        </w:rPr>
        <w:t>十一、其它</w:t>
      </w:r>
      <w:bookmarkEnd w:id="111"/>
      <w:bookmarkEnd w:id="112"/>
      <w:bookmarkEnd w:id="113"/>
      <w:bookmarkEnd w:id="114"/>
      <w:bookmarkEnd w:id="115"/>
      <w:bookmarkEnd w:id="116"/>
      <w:bookmarkEnd w:id="117"/>
      <w:bookmarkEnd w:id="118"/>
    </w:p>
    <w:p>
      <w:pPr>
        <w:tabs>
          <w:tab w:val="left" w:pos="540"/>
        </w:tabs>
        <w:spacing w:line="360" w:lineRule="auto"/>
        <w:ind w:firstLine="480" w:firstLineChars="200"/>
        <w:rPr>
          <w:rFonts w:hint="eastAsia" w:ascii="宋体" w:hAnsi="宋体" w:cs="宋体"/>
          <w:color w:val="auto"/>
          <w:sz w:val="24"/>
        </w:rPr>
      </w:pPr>
      <w:r>
        <w:rPr>
          <w:rFonts w:hint="eastAsia" w:ascii="宋体" w:hAnsi="宋体" w:cs="宋体"/>
          <w:color w:val="auto"/>
          <w:sz w:val="24"/>
        </w:rPr>
        <w:t>1、在招标采购中，出现《中华人民共和国政府采购法》第三十六条规定情形之一的，应按无效标处理：</w:t>
      </w:r>
      <w:r>
        <w:rPr>
          <w:rFonts w:hint="eastAsia" w:ascii="宋体" w:hAnsi="宋体" w:cs="宋体"/>
          <w:color w:val="auto"/>
          <w:sz w:val="24"/>
        </w:rPr>
        <w:cr/>
      </w:r>
      <w:r>
        <w:rPr>
          <w:rFonts w:hint="eastAsia" w:ascii="宋体" w:hAnsi="宋体" w:cs="宋体"/>
          <w:color w:val="auto"/>
          <w:sz w:val="24"/>
        </w:rPr>
        <w:t xml:space="preserve">    1.</w:t>
      </w:r>
      <w:r>
        <w:rPr>
          <w:rFonts w:hint="eastAsia" w:ascii="宋体" w:hAnsi="宋体" w:cs="宋体"/>
          <w:color w:val="auto"/>
          <w:sz w:val="24"/>
          <w:lang w:val="en-US" w:eastAsia="zh-CN"/>
        </w:rPr>
        <w:t>1</w:t>
      </w:r>
      <w:r>
        <w:rPr>
          <w:rFonts w:hint="eastAsia" w:ascii="宋体" w:hAnsi="宋体" w:cs="宋体"/>
          <w:color w:val="auto"/>
          <w:sz w:val="24"/>
        </w:rPr>
        <w:t>出现影响采购公正的违法、违规行为的；</w:t>
      </w:r>
      <w:r>
        <w:rPr>
          <w:rFonts w:hint="eastAsia" w:ascii="宋体" w:hAnsi="宋体" w:cs="宋体"/>
          <w:color w:val="auto"/>
          <w:sz w:val="24"/>
        </w:rPr>
        <w:cr/>
      </w:r>
      <w:r>
        <w:rPr>
          <w:rFonts w:hint="eastAsia" w:ascii="宋体" w:hAnsi="宋体" w:cs="宋体"/>
          <w:color w:val="auto"/>
          <w:sz w:val="24"/>
        </w:rPr>
        <w:t xml:space="preserve">    1.</w:t>
      </w:r>
      <w:r>
        <w:rPr>
          <w:rFonts w:hint="eastAsia" w:ascii="宋体" w:hAnsi="宋体" w:cs="宋体"/>
          <w:color w:val="auto"/>
          <w:sz w:val="24"/>
          <w:lang w:val="en-US" w:eastAsia="zh-CN"/>
        </w:rPr>
        <w:t>2</w:t>
      </w:r>
      <w:r>
        <w:rPr>
          <w:rFonts w:hint="eastAsia" w:ascii="宋体" w:hAnsi="宋体" w:cs="宋体"/>
          <w:color w:val="auto"/>
          <w:sz w:val="24"/>
        </w:rPr>
        <w:t>投标人的报价均超过了采购预算，采购人不能支付的；</w:t>
      </w:r>
    </w:p>
    <w:p>
      <w:pPr>
        <w:tabs>
          <w:tab w:val="left" w:pos="540"/>
        </w:tabs>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竞争性谈判响应文件中未提交法定代表人授权书（法定代表人直接投标未按要求提交其有效身份证）或授权书的合法性或有效性不符合谈判文件规定。</w:t>
      </w:r>
    </w:p>
    <w:p>
      <w:pPr>
        <w:tabs>
          <w:tab w:val="left" w:pos="540"/>
        </w:tabs>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资格证明文件或资信证明文件的有效性或符合性不符合要求的。</w:t>
      </w:r>
    </w:p>
    <w:p>
      <w:pPr>
        <w:tabs>
          <w:tab w:val="left" w:pos="540"/>
        </w:tabs>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未按照谈判文件要求提交投标保证金的。</w:t>
      </w:r>
    </w:p>
    <w:p>
      <w:pPr>
        <w:tabs>
          <w:tab w:val="left" w:pos="540"/>
        </w:tabs>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谈判响应文件未按要求加盖单位公章和签字的，无投标有效期或有效期达不到谈判文件的要求。</w:t>
      </w:r>
    </w:p>
    <w:p>
      <w:pPr>
        <w:tabs>
          <w:tab w:val="left" w:pos="540"/>
        </w:tabs>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谈判响应文件的合同主要条款响应与谈判文件要求不一致（交货、付款、验收等项）</w:t>
      </w:r>
      <w:r>
        <w:rPr>
          <w:rFonts w:hint="eastAsia" w:ascii="宋体" w:hAnsi="宋体" w:cs="宋体"/>
          <w:color w:val="auto"/>
          <w:sz w:val="24"/>
          <w:lang w:eastAsia="zh-CN"/>
        </w:rPr>
        <w:t>，</w:t>
      </w:r>
      <w:r>
        <w:rPr>
          <w:rFonts w:hint="eastAsia" w:ascii="宋体" w:hAnsi="宋体" w:cs="宋体"/>
          <w:color w:val="auto"/>
          <w:sz w:val="24"/>
        </w:rPr>
        <w:t>附加了采购人难以接受的条件。</w:t>
      </w:r>
    </w:p>
    <w:p>
      <w:pPr>
        <w:tabs>
          <w:tab w:val="left" w:pos="540"/>
        </w:tabs>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8</w:t>
      </w:r>
      <w:r>
        <w:rPr>
          <w:rFonts w:hint="eastAsia" w:ascii="宋体" w:hAnsi="宋体" w:cs="宋体"/>
          <w:color w:val="auto"/>
          <w:sz w:val="24"/>
        </w:rPr>
        <w:t>谈判响应文件内容出现漏项或数量与要求不符，出现重大负偏差。</w:t>
      </w:r>
    </w:p>
    <w:p>
      <w:pPr>
        <w:tabs>
          <w:tab w:val="left" w:pos="540"/>
        </w:tabs>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9</w:t>
      </w:r>
      <w:r>
        <w:rPr>
          <w:rFonts w:hint="eastAsia" w:ascii="宋体" w:hAnsi="宋体" w:cs="宋体"/>
          <w:color w:val="auto"/>
          <w:sz w:val="24"/>
        </w:rPr>
        <w:t>谈判响应文件内容的技术指标达不到标书要求，降低了产品档次或影响产品性能、功能。</w:t>
      </w:r>
    </w:p>
    <w:p>
      <w:pPr>
        <w:tabs>
          <w:tab w:val="left" w:pos="540"/>
        </w:tabs>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val="en-US" w:eastAsia="zh-CN"/>
        </w:rPr>
        <w:t>0</w:t>
      </w:r>
      <w:r>
        <w:rPr>
          <w:rFonts w:hint="eastAsia" w:ascii="宋体" w:hAnsi="宋体" w:cs="宋体"/>
          <w:color w:val="auto"/>
          <w:sz w:val="24"/>
        </w:rPr>
        <w:t>谈判响应文件报价与市场价偏离较大，低于成本，形成不正当竞争。</w:t>
      </w:r>
    </w:p>
    <w:p>
      <w:pPr>
        <w:tabs>
          <w:tab w:val="left" w:pos="540"/>
        </w:tabs>
        <w:spacing w:line="360" w:lineRule="auto"/>
        <w:ind w:firstLine="480"/>
        <w:rPr>
          <w:rFonts w:hint="eastAsia"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val="en-US" w:eastAsia="zh-CN"/>
        </w:rPr>
        <w:t>1</w:t>
      </w:r>
      <w:r>
        <w:rPr>
          <w:rFonts w:hint="eastAsia" w:ascii="宋体" w:hAnsi="宋体" w:cs="宋体"/>
          <w:color w:val="auto"/>
          <w:sz w:val="24"/>
        </w:rPr>
        <w:t>提供虚假证明，开具虚假资质，出现虚假应答或故意隐瞒行为，除按无效标处理外，还进行相应的处罚。</w:t>
      </w:r>
    </w:p>
    <w:p>
      <w:pPr>
        <w:tabs>
          <w:tab w:val="left" w:pos="540"/>
        </w:tabs>
        <w:spacing w:line="360" w:lineRule="auto"/>
        <w:ind w:firstLine="480"/>
        <w:rPr>
          <w:rFonts w:hint="eastAsia"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val="en-US" w:eastAsia="zh-CN"/>
        </w:rPr>
        <w:t>2</w:t>
      </w:r>
      <w:r>
        <w:rPr>
          <w:rFonts w:hint="eastAsia" w:ascii="宋体" w:hAnsi="宋体" w:cs="宋体"/>
          <w:color w:val="auto"/>
          <w:sz w:val="24"/>
        </w:rPr>
        <w:t>私自篡改谈判文件中规定的谈判响应文件格式及相关内容。</w:t>
      </w:r>
    </w:p>
    <w:p>
      <w:pPr>
        <w:tabs>
          <w:tab w:val="left" w:pos="540"/>
        </w:tabs>
        <w:spacing w:line="360" w:lineRule="auto"/>
        <w:ind w:firstLine="480"/>
        <w:rPr>
          <w:rFonts w:hint="eastAsia"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val="en-US" w:eastAsia="zh-CN"/>
        </w:rPr>
        <w:t>3</w:t>
      </w:r>
      <w:r>
        <w:rPr>
          <w:rFonts w:hint="eastAsia" w:ascii="宋体" w:hAnsi="宋体" w:cs="宋体"/>
          <w:color w:val="auto"/>
          <w:sz w:val="24"/>
        </w:rPr>
        <w:t>因重大变故，采购任务取消的。</w:t>
      </w:r>
    </w:p>
    <w:p>
      <w:pPr>
        <w:spacing w:line="360" w:lineRule="auto"/>
        <w:rPr>
          <w:rFonts w:hint="eastAsia" w:ascii="宋体" w:hAnsi="宋体" w:cs="宋体"/>
          <w:color w:val="auto"/>
          <w:sz w:val="24"/>
        </w:rPr>
      </w:pPr>
      <w:r>
        <w:rPr>
          <w:rFonts w:hint="eastAsia" w:ascii="宋体" w:hAnsi="宋体" w:cs="宋体"/>
          <w:color w:val="auto"/>
          <w:sz w:val="24"/>
        </w:rPr>
        <w:t>　　2、递交谈判响应文件截止时间结束后参加谈判的有效供应商不足三家的，除采购任务取消情形外，采购代理机构应当报政府采购管理部门批准，按照以下原则处理：</w:t>
      </w:r>
    </w:p>
    <w:p>
      <w:pPr>
        <w:spacing w:line="360" w:lineRule="auto"/>
        <w:rPr>
          <w:rFonts w:hint="eastAsia" w:ascii="宋体" w:hAnsi="宋体" w:cs="宋体"/>
          <w:color w:val="auto"/>
          <w:sz w:val="24"/>
        </w:rPr>
      </w:pPr>
      <w:r>
        <w:rPr>
          <w:rFonts w:hint="eastAsia" w:ascii="宋体" w:hAnsi="宋体" w:cs="宋体"/>
          <w:color w:val="auto"/>
          <w:sz w:val="24"/>
        </w:rPr>
        <w:t>　　2.1竞争性谈判文件没有不合理条款，竞争性谈判公告时间及程序符合规定的，同意继续进行竞争性谈判或改用其它方式采购。</w:t>
      </w:r>
    </w:p>
    <w:p>
      <w:pPr>
        <w:spacing w:line="360" w:lineRule="auto"/>
        <w:rPr>
          <w:rFonts w:hint="eastAsia" w:ascii="宋体" w:hAnsi="宋体" w:cs="宋体"/>
          <w:color w:val="auto"/>
          <w:sz w:val="24"/>
        </w:rPr>
      </w:pPr>
      <w:r>
        <w:rPr>
          <w:rFonts w:hint="eastAsia" w:ascii="宋体" w:hAnsi="宋体" w:cs="宋体"/>
          <w:color w:val="auto"/>
          <w:sz w:val="24"/>
        </w:rPr>
        <w:t>　　2.2竞争性谈判文件存在不合理条款的，竞争性谈判公告时间及程序不符合规定的，应按无效处理，并责成采购代理机构依法重新组织谈判工作。</w:t>
      </w:r>
    </w:p>
    <w:p>
      <w:pPr>
        <w:spacing w:line="360" w:lineRule="auto"/>
        <w:ind w:firstLine="480" w:firstLineChars="200"/>
        <w:rPr>
          <w:rFonts w:hint="eastAsia" w:ascii="宋体" w:hAnsi="宋体" w:cs="宋体"/>
          <w:b/>
          <w:bCs/>
          <w:color w:val="auto"/>
          <w:kern w:val="44"/>
          <w:sz w:val="32"/>
          <w:szCs w:val="32"/>
        </w:rPr>
      </w:pPr>
      <w:r>
        <w:rPr>
          <w:rFonts w:hint="eastAsia" w:ascii="宋体" w:hAnsi="宋体" w:cs="宋体"/>
          <w:color w:val="auto"/>
          <w:sz w:val="24"/>
        </w:rPr>
        <w:t>3、谈判开始到成交单位确定后，谈判小组、采购单位、各供应商要严格遵循保密原则，任何一方不得透露与谈判有关的其它供应商的相关信息。否则，按相关法规进行相应的处罚。</w:t>
      </w:r>
    </w:p>
    <w:p>
      <w:pPr>
        <w:pStyle w:val="4"/>
        <w:rPr>
          <w:rFonts w:hint="eastAsia" w:ascii="宋体" w:hAnsi="宋体" w:eastAsia="宋体" w:cs="宋体"/>
          <w:bCs/>
          <w:color w:val="auto"/>
          <w:sz w:val="24"/>
          <w:szCs w:val="24"/>
        </w:rPr>
      </w:pPr>
      <w:bookmarkStart w:id="119" w:name="_Toc29110"/>
      <w:bookmarkStart w:id="120" w:name="_Toc8734753"/>
      <w:bookmarkStart w:id="121" w:name="_Toc8194643"/>
      <w:bookmarkStart w:id="122" w:name="_Toc1254"/>
      <w:bookmarkStart w:id="123" w:name="_Toc9329"/>
      <w:bookmarkStart w:id="124" w:name="_Toc7531164"/>
      <w:bookmarkStart w:id="125" w:name="_Toc16468"/>
      <w:bookmarkStart w:id="126" w:name="_Toc14504"/>
      <w:bookmarkStart w:id="127" w:name="_Toc3977"/>
      <w:bookmarkStart w:id="128" w:name="_Toc25604"/>
      <w:bookmarkStart w:id="129" w:name="_Toc314237620"/>
      <w:bookmarkStart w:id="130" w:name="_Toc294650349"/>
      <w:bookmarkStart w:id="131" w:name="_Toc294650209"/>
      <w:bookmarkStart w:id="132" w:name="_Toc294689046"/>
      <w:bookmarkStart w:id="133" w:name="_Toc294650451"/>
      <w:bookmarkStart w:id="134" w:name="_Toc294649625"/>
      <w:r>
        <w:rPr>
          <w:rFonts w:hint="eastAsia" w:ascii="宋体" w:hAnsi="宋体" w:eastAsia="宋体" w:cs="宋体"/>
          <w:bCs/>
          <w:color w:val="auto"/>
          <w:sz w:val="24"/>
          <w:szCs w:val="24"/>
        </w:rPr>
        <w:t>十二、</w:t>
      </w:r>
      <w:bookmarkEnd w:id="119"/>
      <w:bookmarkEnd w:id="120"/>
      <w:bookmarkEnd w:id="121"/>
      <w:bookmarkEnd w:id="122"/>
      <w:bookmarkEnd w:id="123"/>
      <w:bookmarkEnd w:id="124"/>
      <w:bookmarkEnd w:id="125"/>
      <w:bookmarkEnd w:id="126"/>
      <w:r>
        <w:rPr>
          <w:rFonts w:hint="eastAsia" w:ascii="宋体" w:hAnsi="宋体" w:eastAsia="宋体" w:cs="宋体"/>
          <w:bCs/>
          <w:color w:val="auto"/>
          <w:sz w:val="24"/>
          <w:szCs w:val="24"/>
        </w:rPr>
        <w:t>质疑提出与答复</w:t>
      </w:r>
      <w:bookmarkEnd w:id="127"/>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供应商如果认为采购程序、采购过程或中标结果使自身的合法权益受到损害，可以在知道或者应知其权益受到损害之日起7个工作日内，</w:t>
      </w:r>
      <w:r>
        <w:rPr>
          <w:rFonts w:hint="eastAsia" w:asciiTheme="minorEastAsia" w:hAnsiTheme="minorEastAsia" w:eastAsiaTheme="minorEastAsia" w:cstheme="minorEastAsia"/>
          <w:color w:val="auto"/>
          <w:sz w:val="24"/>
          <w:highlight w:val="none"/>
        </w:rPr>
        <w:t>以书面形式向采购人、采购代理机构提出质疑。</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1、供应商提出质疑应当提交质疑函和必要的证明材料，并按财政部《政府采购供应商质疑函范本》给定的格式进行填写。</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2.1质疑函应当包括下列内容：</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（1）</w:t>
      </w:r>
      <w:r>
        <w:rPr>
          <w:rFonts w:hint="eastAsia"/>
          <w:color w:val="auto"/>
          <w:kern w:val="2"/>
          <w:lang w:val="zh-CN"/>
        </w:rPr>
        <w:t>投标人</w:t>
      </w:r>
      <w:r>
        <w:rPr>
          <w:rFonts w:hint="eastAsia"/>
          <w:color w:val="auto"/>
          <w:kern w:val="2"/>
        </w:rPr>
        <w:t>的姓名或者名称、地址、邮编、联系人及联系电话；</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（2）质疑项目的名称、编号；</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（3）具体、明确的质疑事项和与质疑事项相关的请求；</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（4）事实依据；</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（5）必要的法律依据；</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 xml:space="preserve">（6）提出质疑的日期。 </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3、在法定质疑期内，针对同一采购程序环节的质疑应当一次性提出。采购代理机构或采购人将在收到书面质疑后7个工作日内做出答复，并以书面形式通知质疑人和其他有关供应商。</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4、有下列情形之一的，属于无效质疑，采购代理机构和采购人不予受理：</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（1）质疑人不是参与本次政府采购项目的供应商或潜在供应商；</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（2）质疑人与质疑事项不存在利害关系的；</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（3）未在法定期限内提出质疑的；</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（4）质疑未以书面形式提出，或质疑函主要内容构成不完整的，或缺乏必要的证明材料及证明材料不完整的；</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（5）质疑函没有合法有效的签字、盖章或授权的；</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（6）以非法手段取得证据、材料的；</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（7）质疑答复后，同一质疑人就同一事项再次提出质疑的；</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（8）不符合法律、法规、规章和政府采购监管机构规定的其他条件的。</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5、质疑人对采购代理机构或采购人的答复不满意，以及采购代理机构或采购人未在规定时间内做出答复的，可以在答复期满后15个工作日内向政府采购监管机构提出投诉。</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6、供应商投诉的事项不得超出已质疑事项的范围。</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7、对捏造事实、提供虚假材料进行质疑、投诉的行为予以严肃处理：</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8、对捏造事实诬告陷害他人、诽谤他人的法律适用：</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《中华人民共和国刑法》第243条【诬告陷害罪】捏造事实诬告陷害他人，意图使他人受刑事追究，情节严重的，处三年以下有期徒刑、拘役或者管制；造成严重后果的，处三年以上十年以下有期徒刑。</w:t>
      </w:r>
    </w:p>
    <w:p>
      <w:pPr>
        <w:pStyle w:val="15"/>
        <w:widowControl w:val="0"/>
        <w:adjustRightInd w:val="0"/>
        <w:snapToGrid w:val="0"/>
        <w:spacing w:before="0" w:beforeAutospacing="0" w:after="0" w:afterAutospacing="0" w:line="420" w:lineRule="exact"/>
        <w:ind w:firstLine="360" w:firstLineChars="150"/>
        <w:rPr>
          <w:rFonts w:hint="eastAsia"/>
          <w:color w:val="auto"/>
          <w:kern w:val="2"/>
        </w:rPr>
      </w:pPr>
      <w:r>
        <w:rPr>
          <w:rFonts w:hint="eastAsia"/>
          <w:color w:val="auto"/>
          <w:kern w:val="2"/>
        </w:rPr>
        <w:t>《中华人民共和国刑法》第246条【侮辱罪、诽谤罪】以暴力或者其他方法公然侮辱他人或者捏造事实诽谤他人，情节严重的，处三年以下有期徒刑、拘役、管制或者剥夺政治权利。</w:t>
      </w:r>
    </w:p>
    <w:bookmarkEnd w:id="128"/>
    <w:bookmarkEnd w:id="129"/>
    <w:p>
      <w:pPr>
        <w:spacing w:line="440" w:lineRule="exact"/>
        <w:ind w:firstLine="480"/>
        <w:rPr>
          <w:rFonts w:hint="eastAsia" w:asciiTheme="minorEastAsia" w:hAnsiTheme="minorEastAsia" w:eastAsiaTheme="minorEastAsia" w:cstheme="minorEastAsia"/>
          <w:color w:val="auto"/>
          <w:sz w:val="24"/>
          <w:highlight w:val="none"/>
        </w:rPr>
      </w:pPr>
      <w:bookmarkStart w:id="135" w:name="_Toc919"/>
      <w:bookmarkStart w:id="136" w:name="_Toc16315"/>
      <w:r>
        <w:rPr>
          <w:rFonts w:hint="eastAsia"/>
          <w:color w:val="auto"/>
          <w:kern w:val="2"/>
        </w:rPr>
        <w:t>9、</w:t>
      </w:r>
      <w:r>
        <w:rPr>
          <w:rFonts w:hint="eastAsia" w:asciiTheme="minorEastAsia" w:hAnsiTheme="minorEastAsia" w:eastAsiaTheme="minorEastAsia" w:cstheme="minorEastAsia"/>
          <w:color w:val="auto"/>
          <w:sz w:val="24"/>
          <w:highlight w:val="none"/>
        </w:rPr>
        <w:t>接收质疑函的方式和联系方式：</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 接收质疑函的方式：书面递交质疑函纸质版（当面递交）或PDF格式扫描件（发至电子邮箱）</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 联系方式</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采购代理机构：华睿诚项目管理有限公司</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址：陕西省</w:t>
      </w:r>
      <w:r>
        <w:rPr>
          <w:rFonts w:hint="eastAsia" w:asciiTheme="minorEastAsia" w:hAnsiTheme="minorEastAsia" w:eastAsiaTheme="minorEastAsia" w:cstheme="minorEastAsia"/>
          <w:color w:val="auto"/>
          <w:sz w:val="24"/>
          <w:highlight w:val="none"/>
          <w:lang w:eastAsia="zh-CN"/>
        </w:rPr>
        <w:t>榆林市榆林大道南段富源大厦</w:t>
      </w:r>
      <w:r>
        <w:rPr>
          <w:rFonts w:hint="eastAsia" w:asciiTheme="minorEastAsia" w:hAnsiTheme="minorEastAsia" w:eastAsiaTheme="minorEastAsia" w:cstheme="minorEastAsia"/>
          <w:color w:val="auto"/>
          <w:sz w:val="24"/>
          <w:highlight w:val="none"/>
          <w:lang w:val="en-US" w:eastAsia="zh-CN"/>
        </w:rPr>
        <w:t>6楼综合办公室</w:t>
      </w:r>
      <w:r>
        <w:rPr>
          <w:rFonts w:hint="eastAsia" w:asciiTheme="minorEastAsia" w:hAnsiTheme="minorEastAsia" w:eastAsiaTheme="minorEastAsia" w:cstheme="minorEastAsia"/>
          <w:color w:val="auto"/>
          <w:sz w:val="24"/>
          <w:highlight w:val="none"/>
        </w:rPr>
        <w:t>；</w:t>
      </w:r>
    </w:p>
    <w:p>
      <w:pPr>
        <w:spacing w:line="440" w:lineRule="exact"/>
        <w:ind w:firstLine="48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 系 人：</w:t>
      </w:r>
      <w:r>
        <w:rPr>
          <w:rFonts w:hint="eastAsia" w:asciiTheme="minorEastAsia" w:hAnsiTheme="minorEastAsia" w:eastAsiaTheme="minorEastAsia" w:cstheme="minorEastAsia"/>
          <w:color w:val="auto"/>
          <w:sz w:val="24"/>
          <w:highlight w:val="none"/>
          <w:lang w:val="en-US" w:eastAsia="zh-CN"/>
        </w:rPr>
        <w:t>刘女士</w:t>
      </w:r>
    </w:p>
    <w:p>
      <w:pPr>
        <w:spacing w:line="440" w:lineRule="exact"/>
        <w:ind w:firstLine="48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0912-3623000/17709127880</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箱：</w:t>
      </w:r>
      <w:r>
        <w:rPr>
          <w:rFonts w:hint="eastAsia" w:asciiTheme="minorEastAsia" w:hAnsiTheme="minorEastAsia" w:eastAsiaTheme="minorEastAsia" w:cstheme="minorEastAsia"/>
          <w:color w:val="auto"/>
          <w:sz w:val="24"/>
          <w:highlight w:val="none"/>
          <w:lang w:eastAsia="zh-CN"/>
        </w:rPr>
        <w:t>1023891841</w:t>
      </w:r>
      <w:r>
        <w:rPr>
          <w:rFonts w:hint="eastAsia" w:asciiTheme="minorEastAsia" w:hAnsiTheme="minorEastAsia" w:eastAsiaTheme="minorEastAsia" w:cstheme="minorEastAsia"/>
          <w:color w:val="auto"/>
          <w:sz w:val="24"/>
          <w:highlight w:val="none"/>
        </w:rPr>
        <w:t xml:space="preserve">@qq.com  </w:t>
      </w:r>
    </w:p>
    <w:p>
      <w:pPr>
        <w:pStyle w:val="15"/>
        <w:widowControl w:val="0"/>
        <w:adjustRightInd w:val="0"/>
        <w:snapToGrid w:val="0"/>
        <w:spacing w:before="0" w:beforeAutospacing="0" w:after="0" w:afterAutospacing="0" w:line="420" w:lineRule="exact"/>
        <w:ind w:firstLine="360" w:firstLineChars="150"/>
        <w:rPr>
          <w:rFonts w:hint="eastAsia" w:eastAsia="宋体"/>
          <w:color w:val="auto"/>
          <w:kern w:val="2"/>
          <w:lang w:eastAsia="zh-CN"/>
        </w:rPr>
      </w:pPr>
    </w:p>
    <w:p>
      <w:pPr>
        <w:pStyle w:val="16"/>
        <w:numPr>
          <w:ilvl w:val="0"/>
          <w:numId w:val="3"/>
        </w:numPr>
        <w:rPr>
          <w:rFonts w:hint="eastAsia" w:ascii="宋体" w:hAnsi="宋体" w:cs="宋体"/>
          <w:color w:val="auto"/>
          <w:sz w:val="24"/>
          <w:szCs w:val="24"/>
        </w:rPr>
        <w:sectPr>
          <w:pgSz w:w="11900" w:h="16838"/>
          <w:pgMar w:top="1429" w:right="1417" w:bottom="1417" w:left="1417" w:header="850" w:footer="850" w:gutter="0"/>
          <w:pgNumType w:fmt="decimal"/>
          <w:cols w:space="720" w:num="1"/>
          <w:docGrid w:linePitch="326" w:charSpace="0"/>
        </w:sectPr>
      </w:pPr>
    </w:p>
    <w:p>
      <w:pPr>
        <w:pStyle w:val="16"/>
        <w:numPr>
          <w:ilvl w:val="0"/>
          <w:numId w:val="3"/>
        </w:numPr>
        <w:rPr>
          <w:rFonts w:hint="eastAsia" w:ascii="宋体" w:hAnsi="宋体" w:cs="宋体"/>
          <w:color w:val="auto"/>
          <w:sz w:val="32"/>
        </w:rPr>
      </w:pPr>
      <w:bookmarkStart w:id="137" w:name="_Toc21198"/>
      <w:r>
        <w:rPr>
          <w:rFonts w:hint="eastAsia" w:ascii="宋体" w:hAnsi="宋体" w:cs="宋体"/>
          <w:color w:val="auto"/>
          <w:sz w:val="32"/>
          <w:lang w:val="en-US" w:eastAsia="zh-CN"/>
        </w:rPr>
        <w:t>采购内容及技术要求</w:t>
      </w:r>
      <w:bookmarkEnd w:id="137"/>
    </w:p>
    <w:p>
      <w:pPr>
        <w:spacing w:line="360" w:lineRule="auto"/>
        <w:ind w:firstLine="480" w:firstLineChars="200"/>
        <w:jc w:val="center"/>
        <w:rPr>
          <w:rFonts w:hint="eastAsia" w:ascii="宋体" w:hAnsi="宋体" w:cs="宋体"/>
          <w:color w:val="auto"/>
          <w:sz w:val="24"/>
        </w:rPr>
      </w:pPr>
    </w:p>
    <w:p>
      <w:pPr>
        <w:pStyle w:val="7"/>
        <w:ind w:left="0" w:leftChars="0" w:firstLine="0" w:firstLineChars="0"/>
        <w:rPr>
          <w:rFonts w:hint="eastAsia"/>
          <w:color w:val="auto"/>
        </w:rPr>
      </w:pPr>
    </w:p>
    <w:p>
      <w:pPr>
        <w:pStyle w:val="16"/>
        <w:rPr>
          <w:rFonts w:hint="eastAsia" w:ascii="宋体" w:hAnsi="宋体" w:cs="宋体"/>
          <w:color w:val="auto"/>
          <w:sz w:val="32"/>
        </w:rPr>
        <w:sectPr>
          <w:pgSz w:w="11900" w:h="16838"/>
          <w:pgMar w:top="1440" w:right="1800" w:bottom="1440" w:left="1800" w:header="850" w:footer="850" w:gutter="0"/>
          <w:pgNumType w:fmt="decimal"/>
          <w:cols w:space="720" w:num="1"/>
          <w:docGrid w:linePitch="326" w:charSpace="0"/>
        </w:sectPr>
      </w:pPr>
      <w:bookmarkStart w:id="138" w:name="_Toc22540"/>
      <w:r>
        <w:rPr>
          <w:color w:val="auto"/>
        </w:rPr>
        <w:drawing>
          <wp:inline distT="0" distB="0" distL="114300" distR="114300">
            <wp:extent cx="5266690" cy="7482205"/>
            <wp:effectExtent l="0" t="0" r="10160" b="444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9"/>
                    <a:stretch>
                      <a:fillRect/>
                    </a:stretch>
                  </pic:blipFill>
                  <pic:spPr>
                    <a:xfrm>
                      <a:off x="0" y="0"/>
                      <a:ext cx="5266690" cy="7482205"/>
                    </a:xfrm>
                    <a:prstGeom prst="rect">
                      <a:avLst/>
                    </a:prstGeom>
                    <a:noFill/>
                    <a:ln>
                      <a:noFill/>
                    </a:ln>
                  </pic:spPr>
                </pic:pic>
              </a:graphicData>
            </a:graphic>
          </wp:inline>
        </w:drawing>
      </w:r>
      <w:r>
        <w:rPr>
          <w:color w:val="auto"/>
        </w:rPr>
        <w:drawing>
          <wp:inline distT="0" distB="0" distL="114300" distR="114300">
            <wp:extent cx="5010150" cy="74104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0"/>
                    <a:stretch>
                      <a:fillRect/>
                    </a:stretch>
                  </pic:blipFill>
                  <pic:spPr>
                    <a:xfrm>
                      <a:off x="0" y="0"/>
                      <a:ext cx="5010150" cy="7410450"/>
                    </a:xfrm>
                    <a:prstGeom prst="rect">
                      <a:avLst/>
                    </a:prstGeom>
                    <a:noFill/>
                    <a:ln>
                      <a:noFill/>
                    </a:ln>
                  </pic:spPr>
                </pic:pic>
              </a:graphicData>
            </a:graphic>
          </wp:inline>
        </w:drawing>
      </w:r>
      <w:r>
        <w:rPr>
          <w:color w:val="auto"/>
        </w:rPr>
        <w:drawing>
          <wp:inline distT="0" distB="0" distL="114300" distR="114300">
            <wp:extent cx="4505325" cy="3028950"/>
            <wp:effectExtent l="0" t="0" r="952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1"/>
                    <a:stretch>
                      <a:fillRect/>
                    </a:stretch>
                  </pic:blipFill>
                  <pic:spPr>
                    <a:xfrm>
                      <a:off x="0" y="0"/>
                      <a:ext cx="4505325" cy="3028950"/>
                    </a:xfrm>
                    <a:prstGeom prst="rect">
                      <a:avLst/>
                    </a:prstGeom>
                    <a:noFill/>
                    <a:ln>
                      <a:noFill/>
                    </a:ln>
                  </pic:spPr>
                </pic:pic>
              </a:graphicData>
            </a:graphic>
          </wp:inline>
        </w:drawing>
      </w:r>
      <w:bookmarkEnd w:id="138"/>
    </w:p>
    <w:p>
      <w:pPr>
        <w:pStyle w:val="16"/>
        <w:numPr>
          <w:ilvl w:val="0"/>
          <w:numId w:val="3"/>
        </w:numPr>
        <w:rPr>
          <w:rFonts w:hint="eastAsia" w:ascii="宋体" w:hAnsi="宋体" w:cs="宋体"/>
          <w:color w:val="auto"/>
          <w:sz w:val="32"/>
        </w:rPr>
      </w:pPr>
      <w:r>
        <w:rPr>
          <w:rFonts w:hint="eastAsia" w:ascii="宋体" w:hAnsi="宋体" w:cs="宋体"/>
          <w:color w:val="auto"/>
          <w:sz w:val="32"/>
        </w:rPr>
        <w:t xml:space="preserve"> </w:t>
      </w:r>
      <w:bookmarkEnd w:id="130"/>
      <w:bookmarkEnd w:id="131"/>
      <w:bookmarkEnd w:id="132"/>
      <w:bookmarkEnd w:id="133"/>
      <w:bookmarkEnd w:id="134"/>
      <w:bookmarkEnd w:id="135"/>
      <w:bookmarkEnd w:id="136"/>
      <w:bookmarkStart w:id="139" w:name="_Toc23653"/>
      <w:bookmarkStart w:id="140" w:name="_Toc20644"/>
      <w:bookmarkStart w:id="141" w:name="_Toc26855"/>
      <w:bookmarkStart w:id="142" w:name="_Toc257280877"/>
      <w:bookmarkStart w:id="143" w:name="_Toc294650462"/>
      <w:bookmarkStart w:id="144" w:name="_Toc294689057"/>
      <w:bookmarkStart w:id="145" w:name="_Toc294650220"/>
      <w:bookmarkStart w:id="146" w:name="_Toc294649636"/>
      <w:bookmarkStart w:id="147" w:name="_Toc318701679"/>
      <w:bookmarkStart w:id="148" w:name="_Toc294650360"/>
      <w:bookmarkStart w:id="149" w:name="_Toc17966"/>
      <w:bookmarkStart w:id="150" w:name="_Toc22557"/>
      <w:r>
        <w:rPr>
          <w:rFonts w:hint="eastAsia" w:ascii="宋体" w:hAnsi="宋体" w:cs="宋体"/>
          <w:color w:val="auto"/>
          <w:sz w:val="32"/>
        </w:rPr>
        <w:t>商务条款</w:t>
      </w:r>
      <w:bookmarkEnd w:id="139"/>
      <w:bookmarkEnd w:id="140"/>
      <w:bookmarkEnd w:id="141"/>
    </w:p>
    <w:p>
      <w:pPr>
        <w:rPr>
          <w:rFonts w:hint="eastAsia"/>
          <w:color w:val="auto"/>
        </w:rPr>
      </w:pPr>
    </w:p>
    <w:bookmarkEnd w:id="142"/>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textAlignment w:val="auto"/>
        <w:rPr>
          <w:rFonts w:hint="eastAsia" w:hAnsi="宋体"/>
          <w:color w:val="auto"/>
          <w:sz w:val="24"/>
        </w:rPr>
      </w:pPr>
      <w:r>
        <w:rPr>
          <w:rFonts w:hint="eastAsia" w:hAnsi="宋体"/>
          <w:b/>
          <w:bCs/>
          <w:color w:val="auto"/>
          <w:sz w:val="24"/>
          <w:lang w:eastAsia="zh-CN"/>
        </w:rPr>
        <w:t>服务地点</w:t>
      </w:r>
      <w:r>
        <w:rPr>
          <w:b/>
          <w:bCs/>
          <w:color w:val="auto"/>
          <w:sz w:val="24"/>
        </w:rPr>
        <w:t>:</w:t>
      </w:r>
      <w:r>
        <w:rPr>
          <w:color w:val="auto"/>
          <w:sz w:val="24"/>
        </w:rPr>
        <w:t xml:space="preserve"> </w:t>
      </w:r>
      <w:r>
        <w:rPr>
          <w:rFonts w:hint="eastAsia" w:hAnsi="宋体"/>
          <w:color w:val="auto"/>
          <w:sz w:val="24"/>
          <w:lang w:eastAsia="zh-CN"/>
        </w:rPr>
        <w:t>榆林市横山区</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textAlignment w:val="auto"/>
        <w:rPr>
          <w:rFonts w:hAnsi="宋体"/>
          <w:b w:val="0"/>
          <w:bCs w:val="0"/>
          <w:iCs/>
          <w:color w:val="auto"/>
          <w:sz w:val="24"/>
          <w:highlight w:val="none"/>
        </w:rPr>
      </w:pPr>
      <w:r>
        <w:rPr>
          <w:rFonts w:hint="eastAsia" w:hAnsi="宋体"/>
          <w:b/>
          <w:bCs/>
          <w:color w:val="auto"/>
          <w:sz w:val="24"/>
          <w:lang w:eastAsia="zh-CN"/>
        </w:rPr>
        <w:t>设计周期</w:t>
      </w:r>
      <w:r>
        <w:rPr>
          <w:rFonts w:hint="eastAsia" w:hAnsi="宋体"/>
          <w:b/>
          <w:bCs/>
          <w:color w:val="auto"/>
          <w:sz w:val="24"/>
          <w:highlight w:val="none"/>
        </w:rPr>
        <w:t>：</w:t>
      </w:r>
      <w:r>
        <w:rPr>
          <w:rFonts w:hint="eastAsia"/>
          <w:color w:val="auto"/>
          <w:kern w:val="2"/>
          <w:sz w:val="24"/>
          <w:szCs w:val="24"/>
          <w:highlight w:val="none"/>
          <w:lang w:val="en-US" w:eastAsia="zh-CN"/>
        </w:rPr>
        <w:t>60日历天</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Ansi="宋体"/>
          <w:b/>
          <w:color w:val="auto"/>
          <w:sz w:val="24"/>
        </w:rPr>
      </w:pPr>
      <w:r>
        <w:rPr>
          <w:rFonts w:hint="eastAsia" w:hAnsi="宋体"/>
          <w:b/>
          <w:color w:val="auto"/>
          <w:sz w:val="24"/>
        </w:rPr>
        <w:t>三、合同价款：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olor w:val="auto"/>
          <w:sz w:val="24"/>
        </w:rPr>
      </w:pPr>
      <w:r>
        <w:rPr>
          <w:color w:val="auto"/>
          <w:sz w:val="24"/>
        </w:rPr>
        <w:t>1</w:t>
      </w:r>
      <w:r>
        <w:rPr>
          <w:rFonts w:hint="eastAsia" w:hAnsi="宋体"/>
          <w:color w:val="auto"/>
          <w:sz w:val="24"/>
        </w:rPr>
        <w:t>．合同总价包括：完成本次采购所要求的服务且验收合格的所有费用。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color w:val="auto"/>
          <w:sz w:val="24"/>
        </w:rPr>
        <w:t>2</w:t>
      </w:r>
      <w:r>
        <w:rPr>
          <w:rFonts w:hint="eastAsia" w:hAnsi="宋体"/>
          <w:color w:val="auto"/>
          <w:sz w:val="24"/>
        </w:rPr>
        <w:t>．合同总价不受市场价变化的影响，不受实际数量变化的影响。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Ansi="宋体"/>
          <w:b/>
          <w:color w:val="auto"/>
          <w:sz w:val="24"/>
          <w:highlight w:val="none"/>
        </w:rPr>
      </w:pPr>
      <w:r>
        <w:rPr>
          <w:rFonts w:hint="eastAsia" w:hAnsi="宋体"/>
          <w:b/>
          <w:color w:val="auto"/>
          <w:sz w:val="24"/>
        </w:rPr>
        <w:t>四、</w:t>
      </w:r>
      <w:r>
        <w:rPr>
          <w:rFonts w:hint="eastAsia" w:hAnsi="宋体"/>
          <w:b/>
          <w:color w:val="auto"/>
          <w:sz w:val="24"/>
          <w:highlight w:val="none"/>
        </w:rPr>
        <w:t>款项结算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Times New Roman"/>
          <w:color w:val="auto"/>
          <w:sz w:val="24"/>
        </w:rPr>
      </w:pPr>
      <w:r>
        <w:rPr>
          <w:rFonts w:hint="eastAsia" w:hAnsi="宋体" w:cs="Times New Roman"/>
          <w:color w:val="auto"/>
          <w:sz w:val="24"/>
          <w:lang w:val="en-US" w:eastAsia="zh-CN"/>
        </w:rPr>
        <w:t>1.</w:t>
      </w:r>
      <w:r>
        <w:rPr>
          <w:rFonts w:hint="eastAsia" w:hAnsi="宋体" w:cs="Times New Roman"/>
          <w:color w:val="auto"/>
          <w:sz w:val="24"/>
        </w:rPr>
        <w:t>合同款的支付：</w:t>
      </w:r>
      <w:r>
        <w:rPr>
          <w:rFonts w:hint="eastAsia" w:hAnsi="宋体" w:cs="Times New Roman"/>
          <w:color w:val="auto"/>
          <w:sz w:val="24"/>
          <w:lang w:val="en-US" w:eastAsia="zh-CN"/>
        </w:rPr>
        <w:t>签订合同时约定；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hAnsi="宋体" w:cs="Times New Roman"/>
          <w:color w:val="auto"/>
          <w:sz w:val="24"/>
          <w:lang w:val="en-US" w:eastAsia="zh-CN"/>
        </w:rPr>
      </w:pPr>
      <w:r>
        <w:rPr>
          <w:rFonts w:hint="eastAsia" w:hAnsi="宋体" w:cs="Times New Roman"/>
          <w:color w:val="auto"/>
          <w:sz w:val="24"/>
          <w:lang w:val="en-US" w:eastAsia="zh-CN"/>
        </w:rPr>
        <w:t>2.结算方式：按照国库集中支付有关规定执行，发票开采购人。</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szCs w:val="32"/>
        </w:rPr>
      </w:pPr>
      <w:r>
        <w:rPr>
          <w:rFonts w:hint="eastAsia" w:asciiTheme="minorEastAsia" w:hAnsiTheme="minorEastAsia" w:eastAsiaTheme="minorEastAsia" w:cstheme="minorEastAsia"/>
          <w:b/>
          <w:bCs/>
          <w:color w:val="auto"/>
          <w:sz w:val="24"/>
          <w:szCs w:val="32"/>
          <w:lang w:val="en-US" w:eastAsia="zh-CN"/>
        </w:rPr>
        <w:t>五</w:t>
      </w:r>
      <w:r>
        <w:rPr>
          <w:rFonts w:hint="eastAsia" w:asciiTheme="minorEastAsia" w:hAnsiTheme="minorEastAsia" w:eastAsiaTheme="minorEastAsia" w:cstheme="minorEastAsia"/>
          <w:b/>
          <w:bCs/>
          <w:color w:val="auto"/>
          <w:sz w:val="24"/>
          <w:szCs w:val="32"/>
        </w:rPr>
        <w:t>、验收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lang w:val="en-US" w:eastAsia="zh-CN"/>
        </w:rPr>
      </w:pPr>
      <w:bookmarkStart w:id="151" w:name="_Toc167714047"/>
      <w:bookmarkStart w:id="152" w:name="_Toc167712849"/>
      <w:bookmarkStart w:id="153" w:name="_Toc167715244"/>
      <w:r>
        <w:rPr>
          <w:rFonts w:hint="eastAsia" w:asciiTheme="minorEastAsia" w:hAnsiTheme="minorEastAsia" w:eastAsiaTheme="minorEastAsia" w:cstheme="minorEastAsia"/>
          <w:color w:val="auto"/>
          <w:sz w:val="24"/>
          <w:lang w:val="en-US" w:eastAsia="zh-CN"/>
        </w:rPr>
        <w:t xml:space="preserve">按照采购合同的约定和现行国家标准、行业标准以及企业标准对每一项技术、服务、安全标准的履约情况进行确认。 </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val="en-US" w:eastAsia="zh-CN"/>
        </w:rPr>
        <w:t>六、</w:t>
      </w:r>
      <w:r>
        <w:rPr>
          <w:rFonts w:hint="eastAsia" w:asciiTheme="minorEastAsia" w:hAnsiTheme="minorEastAsia" w:eastAsiaTheme="minorEastAsia" w:cstheme="minorEastAsia"/>
          <w:b/>
          <w:bCs/>
          <w:color w:val="auto"/>
          <w:sz w:val="24"/>
        </w:rPr>
        <w:t>验收依据</w:t>
      </w:r>
      <w:r>
        <w:rPr>
          <w:rFonts w:hint="eastAsia" w:asciiTheme="minorEastAsia" w:hAnsiTheme="minorEastAsia" w:eastAsiaTheme="minorEastAsia" w:cstheme="minorEastAsia"/>
          <w:b/>
          <w:bCs/>
          <w:color w:val="auto"/>
          <w:sz w:val="24"/>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谈判</w:t>
      </w:r>
      <w:r>
        <w:rPr>
          <w:rFonts w:hint="eastAsia" w:asciiTheme="minorEastAsia" w:hAnsiTheme="minorEastAsia" w:eastAsiaTheme="minorEastAsia" w:cstheme="minorEastAsia"/>
          <w:color w:val="auto"/>
          <w:sz w:val="24"/>
        </w:rPr>
        <w:t>文件、</w:t>
      </w:r>
      <w:r>
        <w:rPr>
          <w:rFonts w:hint="eastAsia" w:asciiTheme="minorEastAsia" w:hAnsiTheme="minorEastAsia" w:eastAsiaTheme="minorEastAsia" w:cstheme="minorEastAsia"/>
          <w:color w:val="auto"/>
          <w:sz w:val="24"/>
          <w:lang w:val="en-US" w:eastAsia="zh-CN"/>
        </w:rPr>
        <w:t>谈判响应</w:t>
      </w:r>
      <w:r>
        <w:rPr>
          <w:rFonts w:hint="eastAsia" w:asciiTheme="minorEastAsia" w:hAnsiTheme="minorEastAsia" w:eastAsiaTheme="minorEastAsia" w:cstheme="minorEastAsia"/>
          <w:color w:val="auto"/>
          <w:sz w:val="24"/>
        </w:rPr>
        <w:t>文件、经济合同；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2、国内相应的国家标准、行业标准及规范。</w:t>
      </w:r>
    </w:p>
    <w:bookmarkEnd w:id="151"/>
    <w:bookmarkEnd w:id="152"/>
    <w:bookmarkEnd w:id="153"/>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lang w:val="en-US" w:eastAsia="zh-CN"/>
        </w:rPr>
        <w:t>六</w:t>
      </w:r>
      <w:r>
        <w:rPr>
          <w:rFonts w:hint="eastAsia" w:asciiTheme="minorEastAsia" w:hAnsiTheme="minorEastAsia" w:eastAsiaTheme="minorEastAsia" w:cstheme="minorEastAsia"/>
          <w:color w:val="auto"/>
          <w:sz w:val="24"/>
          <w:szCs w:val="32"/>
        </w:rPr>
        <w:t>、违约责任：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1、按《中华人民共和国民法典》中的相关条款执行。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32"/>
        </w:rPr>
        <w:sectPr>
          <w:pgSz w:w="11900" w:h="16838"/>
          <w:pgMar w:top="1429" w:right="1417" w:bottom="1417" w:left="1417" w:header="850" w:footer="850" w:gutter="0"/>
          <w:pgNumType w:fmt="decimal"/>
          <w:cols w:space="720" w:num="1"/>
          <w:docGrid w:linePitch="326" w:charSpace="0"/>
        </w:sectPr>
      </w:pPr>
      <w:r>
        <w:rPr>
          <w:rFonts w:hint="eastAsia" w:asciiTheme="minorEastAsia" w:hAnsiTheme="minorEastAsia" w:eastAsiaTheme="minorEastAsia" w:cstheme="minorEastAsia"/>
          <w:color w:val="auto"/>
          <w:sz w:val="24"/>
          <w:szCs w:val="32"/>
        </w:rPr>
        <w:t>2、未按合同要求提供产品质量不能满足技术要求，招标人有权终止合同，并对供方违约行为进行追究，同时按《政府采购法》的有关规定进行处罚。</w:t>
      </w:r>
    </w:p>
    <w:p>
      <w:pPr>
        <w:adjustRightInd w:val="0"/>
        <w:snapToGrid w:val="0"/>
        <w:spacing w:line="440" w:lineRule="exact"/>
        <w:jc w:val="center"/>
        <w:outlineLvl w:val="0"/>
        <w:rPr>
          <w:rFonts w:hint="eastAsia" w:ascii="宋体" w:hAnsi="宋体" w:eastAsia="宋体" w:cs="宋体"/>
          <w:b/>
          <w:bCs/>
          <w:color w:val="auto"/>
          <w:sz w:val="30"/>
          <w:szCs w:val="30"/>
          <w:highlight w:val="none"/>
        </w:rPr>
      </w:pPr>
      <w:bookmarkStart w:id="154" w:name="_Toc2963"/>
      <w:r>
        <w:rPr>
          <w:rFonts w:hint="eastAsia" w:ascii="宋体" w:hAnsi="宋体" w:cs="宋体"/>
          <w:b/>
          <w:bCs/>
          <w:color w:val="auto"/>
          <w:sz w:val="32"/>
          <w:szCs w:val="32"/>
        </w:rPr>
        <w:t xml:space="preserve">第五部分   </w:t>
      </w:r>
      <w:r>
        <w:rPr>
          <w:rFonts w:hint="eastAsia" w:ascii="宋体" w:hAnsi="宋体" w:eastAsia="宋体" w:cs="宋体"/>
          <w:b/>
          <w:bCs/>
          <w:color w:val="auto"/>
          <w:sz w:val="30"/>
          <w:szCs w:val="30"/>
          <w:highlight w:val="none"/>
        </w:rPr>
        <w:t>合同格式及主要条款</w:t>
      </w:r>
      <w:bookmarkEnd w:id="154"/>
    </w:p>
    <w:p>
      <w:pPr>
        <w:spacing w:before="1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（参考格式）</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szCs w:val="22"/>
          <w:highlight w:val="none"/>
        </w:rPr>
      </w:pPr>
      <w:r>
        <w:rPr>
          <w:rFonts w:hint="eastAsia" w:ascii="宋体" w:hAnsi="宋体" w:eastAsia="宋体" w:cs="宋体"/>
          <w:color w:val="auto"/>
          <w:szCs w:val="22"/>
          <w:highlight w:val="none"/>
        </w:rPr>
        <w:t xml:space="preserve">合同编号： </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签订地点： </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签订时间:</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采购人（甲方）：</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投标人</w:t>
      </w:r>
      <w:r>
        <w:rPr>
          <w:rFonts w:hint="eastAsia" w:ascii="宋体" w:hAnsi="宋体" w:eastAsia="宋体" w:cs="宋体"/>
          <w:color w:val="auto"/>
          <w:highlight w:val="none"/>
        </w:rPr>
        <w:t>（乙方）：</w:t>
      </w:r>
    </w:p>
    <w:p>
      <w:pPr>
        <w:pStyle w:val="31"/>
        <w:pageBreakBefore w:val="0"/>
        <w:kinsoku/>
        <w:wordWrap/>
        <w:overflowPunct/>
        <w:topLinePunct w:val="0"/>
        <w:autoSpaceDE/>
        <w:autoSpaceDN/>
        <w:bidi w:val="0"/>
        <w:spacing w:before="120" w:beforeLines="50" w:line="4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根据《中华人民共和国政府采购法》及实施条例、《中华人民共和国</w:t>
      </w:r>
      <w:r>
        <w:rPr>
          <w:rFonts w:hint="eastAsia" w:ascii="宋体" w:hAnsi="宋体" w:cs="宋体"/>
          <w:color w:val="auto"/>
          <w:highlight w:val="none"/>
          <w:lang w:val="en-US" w:eastAsia="zh-CN"/>
        </w:rPr>
        <w:t>民法典</w:t>
      </w:r>
      <w:r>
        <w:rPr>
          <w:rFonts w:hint="eastAsia" w:ascii="宋体" w:hAnsi="宋体" w:eastAsia="宋体" w:cs="宋体"/>
          <w:color w:val="auto"/>
          <w:highlight w:val="none"/>
        </w:rPr>
        <w:t>》和甲方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采购项目（采购项目编号：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、响应文件等有关规定，为确保甲方采购项目的顺利实施，甲、乙双方在平等自愿原则下签订本合同，并共同遵守如下条款：</w:t>
      </w:r>
    </w:p>
    <w:p>
      <w:pPr>
        <w:pageBreakBefore w:val="0"/>
        <w:numPr>
          <w:ilvl w:val="0"/>
          <w:numId w:val="5"/>
        </w:numPr>
        <w:kinsoku/>
        <w:wordWrap/>
        <w:overflowPunct/>
        <w:topLinePunct w:val="0"/>
        <w:autoSpaceDE/>
        <w:autoSpaceDN/>
        <w:bidi w:val="0"/>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委托内容及范围</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甲方委托乙方承担</w:t>
      </w:r>
      <w:r>
        <w:rPr>
          <w:rFonts w:hint="eastAsia"/>
          <w:color w:val="auto"/>
          <w:sz w:val="24"/>
          <w:szCs w:val="24"/>
          <w:lang w:val="en-US" w:eastAsia="zh-CN"/>
        </w:rPr>
        <w:t>榆林市横山区无定河流域生态环境综合治理建设项目（一期）施工图设计</w:t>
      </w:r>
      <w:r>
        <w:rPr>
          <w:rFonts w:hint="eastAsia" w:ascii="宋体" w:hAnsi="宋体" w:eastAsia="宋体" w:cs="宋体"/>
          <w:b w:val="0"/>
          <w:bCs/>
          <w:color w:val="auto"/>
          <w:sz w:val="24"/>
          <w:highlight w:val="none"/>
        </w:rPr>
        <w:t>。</w:t>
      </w:r>
    </w:p>
    <w:p>
      <w:pPr>
        <w:pageBreakBefore w:val="0"/>
        <w:numPr>
          <w:ilvl w:val="0"/>
          <w:numId w:val="5"/>
        </w:numPr>
        <w:kinsoku/>
        <w:wordWrap/>
        <w:overflowPunct/>
        <w:topLinePunct w:val="0"/>
        <w:autoSpaceDE/>
        <w:autoSpaceDN/>
        <w:bidi w:val="0"/>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合同期限</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本合同</w:t>
      </w:r>
      <w:r>
        <w:rPr>
          <w:rFonts w:hint="eastAsia" w:ascii="宋体" w:hAnsi="宋体" w:cs="宋体"/>
          <w:color w:val="auto"/>
          <w:sz w:val="24"/>
          <w:szCs w:val="24"/>
          <w:highlight w:val="none"/>
          <w:lang w:eastAsia="zh-CN"/>
        </w:rPr>
        <w:t>设计</w:t>
      </w:r>
      <w:r>
        <w:rPr>
          <w:rFonts w:hint="eastAsia" w:ascii="宋体" w:hAnsi="宋体" w:cs="宋体"/>
          <w:color w:val="auto"/>
          <w:sz w:val="24"/>
          <w:szCs w:val="24"/>
          <w:highlight w:val="none"/>
          <w:lang w:val="en-US" w:eastAsia="zh-CN"/>
        </w:rPr>
        <w:t>周期</w:t>
      </w:r>
      <w:r>
        <w:rPr>
          <w:rFonts w:hint="eastAsia" w:ascii="宋体" w:hAnsi="宋体" w:cs="宋体"/>
          <w:color w:val="auto"/>
          <w:sz w:val="24"/>
          <w:szCs w:val="24"/>
          <w:highlight w:val="none"/>
          <w:lang w:eastAsia="zh-CN"/>
        </w:rPr>
        <w:t>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日止，合同期满，双方可协商重新签订。</w:t>
      </w:r>
    </w:p>
    <w:p>
      <w:pPr>
        <w:pageBreakBefore w:val="0"/>
        <w:numPr>
          <w:ilvl w:val="0"/>
          <w:numId w:val="5"/>
        </w:numPr>
        <w:kinsoku/>
        <w:wordWrap/>
        <w:overflowPunct/>
        <w:topLinePunct w:val="0"/>
        <w:autoSpaceDE/>
        <w:autoSpaceDN/>
        <w:bidi w:val="0"/>
        <w:spacing w:line="480" w:lineRule="exact"/>
        <w:rPr>
          <w:rFonts w:hint="eastAsia" w:ascii="宋体" w:hAnsi="宋体" w:eastAsia="宋体" w:cs="宋体"/>
          <w:b/>
          <w:color w:val="auto"/>
          <w:sz w:val="24"/>
          <w:highlight w:val="none"/>
        </w:rPr>
      </w:pPr>
      <w:bookmarkStart w:id="155" w:name="_Toc211911348"/>
      <w:bookmarkStart w:id="156" w:name="_Toc282696226"/>
      <w:bookmarkStart w:id="157" w:name="_Toc237145406"/>
      <w:bookmarkStart w:id="158" w:name="_Toc241833903"/>
      <w:bookmarkStart w:id="159" w:name="_Toc232492928"/>
      <w:bookmarkStart w:id="160" w:name="_Toc211854449"/>
      <w:bookmarkStart w:id="161" w:name="_Toc225244852"/>
      <w:bookmarkStart w:id="162" w:name="_Toc238984975"/>
      <w:bookmarkStart w:id="163" w:name="_Toc251768862"/>
      <w:bookmarkStart w:id="164" w:name="_Toc247334841"/>
      <w:bookmarkStart w:id="165" w:name="_Toc239233914"/>
      <w:bookmarkStart w:id="166" w:name="_Toc286993786"/>
      <w:bookmarkStart w:id="167" w:name="_Toc212019594"/>
      <w:bookmarkStart w:id="168" w:name="_Toc239568418"/>
      <w:bookmarkStart w:id="169" w:name="_Toc225654644"/>
      <w:bookmarkStart w:id="170" w:name="_Toc225670751"/>
      <w:bookmarkStart w:id="171" w:name="_Toc185395249"/>
      <w:bookmarkStart w:id="172" w:name="_Toc283019214"/>
      <w:r>
        <w:rPr>
          <w:rFonts w:hint="eastAsia" w:ascii="宋体" w:hAnsi="宋体" w:eastAsia="宋体" w:cs="宋体"/>
          <w:b/>
          <w:color w:val="auto"/>
          <w:sz w:val="24"/>
          <w:highlight w:val="none"/>
        </w:rPr>
        <w:t>服务内容与质量标准</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lang w:val="en-US" w:eastAsia="zh-CN"/>
        </w:rPr>
        <w:t>设计</w:t>
      </w:r>
      <w:r>
        <w:rPr>
          <w:rFonts w:hint="eastAsia" w:ascii="宋体" w:hAnsi="宋体" w:cs="宋体"/>
          <w:color w:val="auto"/>
          <w:sz w:val="24"/>
          <w:szCs w:val="24"/>
          <w:highlight w:val="none"/>
          <w:lang w:val="en-US" w:eastAsia="zh-CN"/>
        </w:rPr>
        <w:t>周</w:t>
      </w:r>
      <w:r>
        <w:rPr>
          <w:rFonts w:hint="eastAsia" w:ascii="宋体" w:hAnsi="宋体" w:eastAsia="宋体" w:cs="宋体"/>
          <w:color w:val="auto"/>
          <w:sz w:val="24"/>
          <w:szCs w:val="24"/>
          <w:highlight w:val="none"/>
          <w:lang w:val="en-US" w:eastAsia="zh-CN"/>
        </w:rPr>
        <w:t>期：</w:t>
      </w:r>
      <w:r>
        <w:rPr>
          <w:rFonts w:hint="eastAsia" w:ascii="宋体" w:hAnsi="宋体" w:cs="宋体"/>
          <w:color w:val="auto"/>
          <w:sz w:val="24"/>
          <w:szCs w:val="24"/>
          <w:highlight w:val="none"/>
          <w:lang w:val="en-US" w:eastAsia="zh-CN"/>
        </w:rPr>
        <w:t>60天</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质量标准：符合现行国家、地方及行业相关设计规范要求，达到工程设计审查合格标准</w:t>
      </w:r>
    </w:p>
    <w:p>
      <w:pPr>
        <w:pStyle w:val="30"/>
        <w:rPr>
          <w:rFonts w:hint="default"/>
          <w:color w:val="auto"/>
          <w:highlight w:val="none"/>
          <w:lang w:val="en-US" w:eastAsia="zh-CN"/>
        </w:rPr>
      </w:pPr>
      <w:r>
        <w:rPr>
          <w:rFonts w:hint="eastAsia" w:ascii="宋体" w:hAnsi="宋体" w:cs="宋体"/>
          <w:color w:val="auto"/>
          <w:sz w:val="24"/>
          <w:szCs w:val="24"/>
          <w:highlight w:val="none"/>
          <w:lang w:val="en-US" w:eastAsia="zh-CN"/>
        </w:rPr>
        <w:t>3、为了确定图纸的合理性，由乙方负责组织图纸评审，费用含在此次成交金额里。</w:t>
      </w:r>
    </w:p>
    <w:p>
      <w:pPr>
        <w:pageBreakBefore w:val="0"/>
        <w:numPr>
          <w:ilvl w:val="0"/>
          <w:numId w:val="5"/>
        </w:numPr>
        <w:kinsoku/>
        <w:wordWrap/>
        <w:overflowPunct/>
        <w:topLinePunct w:val="0"/>
        <w:autoSpaceDE/>
        <w:autoSpaceDN/>
        <w:bidi w:val="0"/>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服务费用</w:t>
      </w:r>
    </w:p>
    <w:p>
      <w:pPr>
        <w:pStyle w:val="4"/>
        <w:pageBreakBefore w:val="0"/>
        <w:kinsoku/>
        <w:wordWrap/>
        <w:overflowPunct/>
        <w:topLinePunct w:val="0"/>
        <w:autoSpaceDE/>
        <w:autoSpaceDN/>
        <w:bidi w:val="0"/>
        <w:spacing w:before="0" w:after="0" w:line="480" w:lineRule="exact"/>
        <w:ind w:firstLine="470" w:firstLineChars="196"/>
        <w:rPr>
          <w:rFonts w:hint="eastAsia" w:ascii="宋体" w:hAnsi="宋体" w:eastAsia="宋体" w:cs="宋体"/>
          <w:b w:val="0"/>
          <w:color w:val="auto"/>
          <w:sz w:val="24"/>
          <w:szCs w:val="24"/>
          <w:highlight w:val="none"/>
        </w:rPr>
      </w:pPr>
      <w:bookmarkStart w:id="173" w:name="_Toc29591"/>
      <w:r>
        <w:rPr>
          <w:rFonts w:hint="eastAsia" w:ascii="宋体" w:hAnsi="宋体" w:eastAsia="宋体" w:cs="宋体"/>
          <w:b w:val="0"/>
          <w:color w:val="auto"/>
          <w:sz w:val="24"/>
          <w:szCs w:val="24"/>
          <w:highlight w:val="none"/>
        </w:rPr>
        <w:t>1、服务总费用为人民币大写：        元， RMB￥        元。</w:t>
      </w:r>
      <w:bookmarkEnd w:id="173"/>
    </w:p>
    <w:p>
      <w:pPr>
        <w:pageBreakBefore w:val="0"/>
        <w:kinsoku/>
        <w:wordWrap/>
        <w:overflowPunct/>
        <w:topLinePunct w:val="0"/>
        <w:autoSpaceDE/>
        <w:autoSpaceDN/>
        <w:bidi w:val="0"/>
        <w:spacing w:line="48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2、本项目服务费用由以下组成：</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w:t>
      </w:r>
    </w:p>
    <w:p>
      <w:pPr>
        <w:pageBreakBefore w:val="0"/>
        <w:kinsoku/>
        <w:wordWrap/>
        <w:overflowPunct/>
        <w:topLinePunct w:val="0"/>
        <w:autoSpaceDE/>
        <w:autoSpaceDN/>
        <w:bidi w:val="0"/>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pageBreakBefore w:val="0"/>
        <w:kinsoku/>
        <w:wordWrap/>
        <w:overflowPunct/>
        <w:topLinePunct w:val="0"/>
        <w:autoSpaceDE/>
        <w:autoSpaceDN/>
        <w:bidi w:val="0"/>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4、本合同执行期间服务总费用不变，甲方无须另向乙方支付本合同规定之外的其他任何费用。</w:t>
      </w:r>
    </w:p>
    <w:p>
      <w:pPr>
        <w:pageBreakBefore w:val="0"/>
        <w:kinsoku/>
        <w:wordWrap/>
        <w:overflowPunct/>
        <w:topLinePunct w:val="0"/>
        <w:autoSpaceDE/>
        <w:autoSpaceDN/>
        <w:bidi w:val="0"/>
        <w:spacing w:line="48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第五条  服务费支付方式</w:t>
      </w:r>
    </w:p>
    <w:p>
      <w:pPr>
        <w:pStyle w:val="31"/>
        <w:pageBreakBefore w:val="0"/>
        <w:kinsoku/>
        <w:wordWrap/>
        <w:overflowPunct/>
        <w:topLinePunct w:val="0"/>
        <w:autoSpaceDE/>
        <w:autoSpaceDN/>
        <w:bidi w:val="0"/>
        <w:spacing w:line="480" w:lineRule="exact"/>
        <w:ind w:firstLine="48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1、服务费按下列比例支付价款：</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2、乙方须向甲方出具合法有效的完税发票，甲方进行支付结算。</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3、结算方式：银行转账。</w:t>
      </w:r>
    </w:p>
    <w:p>
      <w:pPr>
        <w:pageBreakBefore w:val="0"/>
        <w:kinsoku/>
        <w:wordWrap/>
        <w:overflowPunct/>
        <w:topLinePunct w:val="0"/>
        <w:autoSpaceDE/>
        <w:autoSpaceDN/>
        <w:bidi w:val="0"/>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乙方的开户银行及帐号</w:t>
      </w:r>
      <w:r>
        <w:rPr>
          <w:rFonts w:hint="eastAsia" w:ascii="宋体" w:hAnsi="宋体" w:eastAsia="宋体" w:cs="宋体"/>
          <w:color w:val="auto"/>
          <w:sz w:val="24"/>
          <w:highlight w:val="none"/>
          <w:lang w:eastAsia="zh-CN"/>
        </w:rPr>
        <w:t>：</w:t>
      </w:r>
    </w:p>
    <w:p>
      <w:pPr>
        <w:pageBreakBefore w:val="0"/>
        <w:kinsoku/>
        <w:wordWrap/>
        <w:overflowPunct/>
        <w:topLinePunct w:val="0"/>
        <w:autoSpaceDE/>
        <w:autoSpaceDN/>
        <w:bidi w:val="0"/>
        <w:snapToGrid w:val="0"/>
        <w:spacing w:line="480" w:lineRule="exact"/>
        <w:ind w:firstLine="480" w:firstLineChars="200"/>
        <w:rPr>
          <w:rFonts w:hint="eastAsia" w:ascii="宋体" w:hAnsi="宋体" w:cs="宋体"/>
          <w:color w:val="auto"/>
          <w:sz w:val="24"/>
          <w:highlight w:val="none"/>
          <w:u w:val="single"/>
          <w:lang w:val="en-US" w:eastAsia="zh-CN"/>
        </w:rPr>
      </w:pPr>
      <w:r>
        <w:rPr>
          <w:rFonts w:hint="eastAsia" w:ascii="宋体" w:hAnsi="宋体" w:eastAsia="宋体" w:cs="宋体"/>
          <w:color w:val="auto"/>
          <w:sz w:val="24"/>
          <w:highlight w:val="none"/>
        </w:rPr>
        <w:t>开户银行：</w:t>
      </w:r>
      <w:r>
        <w:rPr>
          <w:rFonts w:hint="eastAsia" w:ascii="宋体" w:hAnsi="宋体" w:cs="宋体"/>
          <w:color w:val="auto"/>
          <w:sz w:val="24"/>
          <w:highlight w:val="none"/>
          <w:u w:val="single"/>
          <w:lang w:val="en-US" w:eastAsia="zh-CN"/>
        </w:rPr>
        <w:t xml:space="preserve">            </w:t>
      </w:r>
    </w:p>
    <w:p>
      <w:pPr>
        <w:pageBreakBefore w:val="0"/>
        <w:kinsoku/>
        <w:wordWrap/>
        <w:overflowPunct/>
        <w:topLinePunct w:val="0"/>
        <w:autoSpaceDE/>
        <w:autoSpaceDN/>
        <w:bidi w:val="0"/>
        <w:snapToGrid w:val="0"/>
        <w:spacing w:line="48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银行帐户：</w:t>
      </w:r>
      <w:r>
        <w:rPr>
          <w:rFonts w:hint="eastAsia" w:ascii="宋体" w:hAnsi="宋体" w:cs="宋体"/>
          <w:color w:val="auto"/>
          <w:sz w:val="24"/>
          <w:highlight w:val="none"/>
          <w:u w:val="single"/>
          <w:lang w:val="en-US" w:eastAsia="zh-CN"/>
        </w:rPr>
        <w:t xml:space="preserve">            </w:t>
      </w:r>
    </w:p>
    <w:p>
      <w:pPr>
        <w:pageBreakBefore w:val="0"/>
        <w:kinsoku/>
        <w:wordWrap/>
        <w:overflowPunct/>
        <w:topLinePunct w:val="0"/>
        <w:autoSpaceDE/>
        <w:autoSpaceDN/>
        <w:bidi w:val="0"/>
        <w:snapToGrid w:val="0"/>
        <w:spacing w:line="480" w:lineRule="exact"/>
        <w:ind w:firstLine="480" w:firstLineChars="200"/>
        <w:rPr>
          <w:rFonts w:hint="default" w:ascii="宋体" w:hAnsi="宋体" w:eastAsia="宋体" w:cs="宋体"/>
          <w:color w:val="auto"/>
          <w:highlight w:val="none"/>
          <w:u w:val="single"/>
          <w:lang w:val="en-US" w:eastAsia="zh-CN"/>
        </w:rPr>
      </w:pPr>
      <w:r>
        <w:rPr>
          <w:rFonts w:hint="eastAsia" w:ascii="宋体" w:hAnsi="宋体" w:eastAsia="宋体" w:cs="宋体"/>
          <w:color w:val="auto"/>
          <w:sz w:val="24"/>
          <w:highlight w:val="none"/>
        </w:rPr>
        <w:t>银行帐号：</w:t>
      </w:r>
      <w:r>
        <w:rPr>
          <w:rFonts w:hint="eastAsia" w:ascii="宋体" w:hAnsi="宋体" w:cs="宋体"/>
          <w:color w:val="auto"/>
          <w:sz w:val="24"/>
          <w:highlight w:val="none"/>
          <w:u w:val="single"/>
          <w:lang w:val="en-US" w:eastAsia="zh-CN"/>
        </w:rPr>
        <w:t xml:space="preserve">            </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第六条  知识产权</w:t>
      </w:r>
    </w:p>
    <w:p>
      <w:pPr>
        <w:pageBreakBefore w:val="0"/>
        <w:tabs>
          <w:tab w:val="left" w:pos="1440"/>
        </w:tabs>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乙方应保证所提供的服务或其任何一部分均不会侵犯任何第三方的专利权、商标权或著作权。</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第七条  无产权瑕疵条款</w:t>
      </w:r>
    </w:p>
    <w:p>
      <w:pPr>
        <w:pageBreakBefore w:val="0"/>
        <w:tabs>
          <w:tab w:val="left" w:pos="1440"/>
        </w:tabs>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乙方保证所提供的服务的所有权完全属于乙方且无任何抵押、查封等产权瑕疵。如有产权瑕疵的，视为乙方违约。乙方应负担由此而产生的一切损失。</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w:t>
      </w:r>
      <w:r>
        <w:rPr>
          <w:rFonts w:hint="eastAsia" w:ascii="宋体" w:hAnsi="宋体" w:cs="宋体"/>
          <w:b/>
          <w:color w:val="auto"/>
          <w:sz w:val="24"/>
          <w:highlight w:val="none"/>
          <w:lang w:eastAsia="zh-CN"/>
        </w:rPr>
        <w:t>八</w:t>
      </w:r>
      <w:r>
        <w:rPr>
          <w:rFonts w:hint="eastAsia" w:ascii="宋体" w:hAnsi="宋体" w:eastAsia="宋体" w:cs="宋体"/>
          <w:b/>
          <w:color w:val="auto"/>
          <w:sz w:val="24"/>
          <w:highlight w:val="none"/>
        </w:rPr>
        <w:t>条  甲方的权利和义务</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2、甲方有权依据双方签订的考评办法对乙方提供的服务进行定期考评。</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3、负责检查监督乙方管理工作的实施及制度的执行情况。</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4、根据本合同规定，按时向乙方支付应付服务费用。</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5、国家法律、法规所规定由甲方承担的其它责任。</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w:t>
      </w:r>
      <w:r>
        <w:rPr>
          <w:rFonts w:hint="eastAsia" w:ascii="宋体" w:hAnsi="宋体" w:cs="宋体"/>
          <w:b/>
          <w:color w:val="auto"/>
          <w:sz w:val="24"/>
          <w:highlight w:val="none"/>
          <w:lang w:eastAsia="zh-CN"/>
        </w:rPr>
        <w:t>九</w:t>
      </w:r>
      <w:r>
        <w:rPr>
          <w:rFonts w:hint="eastAsia" w:ascii="宋体" w:hAnsi="宋体" w:eastAsia="宋体" w:cs="宋体"/>
          <w:b/>
          <w:color w:val="auto"/>
          <w:sz w:val="24"/>
          <w:highlight w:val="none"/>
        </w:rPr>
        <w:t>条  乙方的权利和义务</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1、对本合同规定的委托服务范围内的项目享有管理权及服务义务。</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2、根据本合同的规定向甲方收取相关服务费用，并有权在本项目管理范围内管理及合理使用。</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3、及时向甲方通告本项目服务范围内有关服务的重大事项，及时配合处理投诉。</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Cs/>
          <w:color w:val="auto"/>
          <w:sz w:val="24"/>
          <w:highlight w:val="none"/>
        </w:rPr>
        <w:t>接受项目行业管理部门及政府有关部门的指导，接受甲方的监督。</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5、国家法律、法规所规定由乙方承担的其它责任。</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第十条  违约责任</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1、甲乙双方必须遵守本合同并执行合同中的各项规定，保证本合同的正常履行。</w:t>
      </w:r>
    </w:p>
    <w:p>
      <w:pPr>
        <w:pageBreakBefore w:val="0"/>
        <w:kinsoku/>
        <w:wordWrap/>
        <w:overflowPunct/>
        <w:topLinePunct w:val="0"/>
        <w:autoSpaceDE/>
        <w:autoSpaceDN/>
        <w:bidi w:val="0"/>
        <w:adjustRightInd w:val="0"/>
        <w:spacing w:line="480" w:lineRule="exact"/>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w:t>
      </w:r>
      <w:r>
        <w:rPr>
          <w:rFonts w:hint="eastAsia" w:ascii="宋体" w:hAnsi="宋体" w:cs="宋体"/>
          <w:b/>
          <w:color w:val="auto"/>
          <w:sz w:val="24"/>
          <w:highlight w:val="none"/>
          <w:lang w:eastAsia="zh-CN"/>
        </w:rPr>
        <w:t>一</w:t>
      </w:r>
      <w:r>
        <w:rPr>
          <w:rFonts w:hint="eastAsia" w:ascii="宋体" w:hAnsi="宋体" w:eastAsia="宋体" w:cs="宋体"/>
          <w:b/>
          <w:color w:val="auto"/>
          <w:sz w:val="24"/>
          <w:highlight w:val="none"/>
        </w:rPr>
        <w:t>条  不可抗力事件处理</w:t>
      </w:r>
    </w:p>
    <w:p>
      <w:pPr>
        <w:pageBreakBefore w:val="0"/>
        <w:tabs>
          <w:tab w:val="left" w:pos="0"/>
        </w:tabs>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1、在合同有效期内，任何一方因不可抗力事件导致不能履行合同，则合同履行期可延长，其延长期与不可抗力影响期相同。</w:t>
      </w:r>
    </w:p>
    <w:p>
      <w:pPr>
        <w:pageBreakBefore w:val="0"/>
        <w:tabs>
          <w:tab w:val="left" w:pos="0"/>
        </w:tabs>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2、不可抗力事件发生后，应立即通知对方，并寄送有关权威机构出具的证明。</w:t>
      </w:r>
    </w:p>
    <w:p>
      <w:pPr>
        <w:pageBreakBefore w:val="0"/>
        <w:tabs>
          <w:tab w:val="left" w:pos="0"/>
        </w:tabs>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3、不可抗力事件延续</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4"/>
          <w:highlight w:val="none"/>
        </w:rPr>
        <w:t>天以上，双方应通过友好协商，确定是否继续履行合同。</w:t>
      </w:r>
    </w:p>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Pr>
        <w:pageBreakBefore w:val="0"/>
        <w:widowControl/>
        <w:kinsoku/>
        <w:wordWrap/>
        <w:overflowPunct/>
        <w:topLinePunct w:val="0"/>
        <w:autoSpaceDE/>
        <w:autoSpaceDN/>
        <w:bidi w:val="0"/>
        <w:spacing w:before="120" w:beforeLines="50" w:after="120" w:afterLines="50" w:line="480" w:lineRule="exact"/>
        <w:ind w:firstLine="482" w:firstLineChars="200"/>
        <w:jc w:val="left"/>
        <w:rPr>
          <w:rFonts w:hint="eastAsia" w:ascii="宋体" w:hAnsi="宋体" w:eastAsia="宋体" w:cs="宋体"/>
          <w:color w:val="auto"/>
          <w:kern w:val="0"/>
          <w:sz w:val="24"/>
          <w:highlight w:val="none"/>
        </w:rPr>
      </w:pPr>
      <w:bookmarkStart w:id="174" w:name="_Toc225244857"/>
      <w:bookmarkStart w:id="175" w:name="_Toc225670756"/>
      <w:bookmarkStart w:id="176" w:name="_Toc211911353"/>
      <w:bookmarkStart w:id="177" w:name="_Toc211854454"/>
      <w:bookmarkStart w:id="178" w:name="_Toc185395254"/>
      <w:bookmarkStart w:id="179" w:name="_Toc212019599"/>
      <w:bookmarkStart w:id="180" w:name="_Toc237145411"/>
      <w:bookmarkStart w:id="181" w:name="_Toc251768867"/>
      <w:bookmarkStart w:id="182" w:name="_Toc225654649"/>
      <w:bookmarkStart w:id="183" w:name="_Toc241833908"/>
      <w:bookmarkStart w:id="184" w:name="_Toc238984980"/>
      <w:bookmarkStart w:id="185" w:name="_Toc232492933"/>
      <w:bookmarkStart w:id="186" w:name="_Toc286993792"/>
      <w:bookmarkStart w:id="187" w:name="_Toc239568423"/>
      <w:bookmarkStart w:id="188" w:name="_Toc247334846"/>
      <w:bookmarkStart w:id="189" w:name="_Toc239233919"/>
      <w:r>
        <w:rPr>
          <w:rFonts w:hint="eastAsia" w:ascii="宋体" w:hAnsi="宋体" w:eastAsia="宋体" w:cs="宋体"/>
          <w:b/>
          <w:color w:val="auto"/>
          <w:sz w:val="24"/>
          <w:highlight w:val="none"/>
        </w:rPr>
        <w:t>第十</w:t>
      </w:r>
      <w:r>
        <w:rPr>
          <w:rFonts w:hint="eastAsia" w:ascii="宋体" w:hAnsi="宋体" w:cs="宋体"/>
          <w:b/>
          <w:color w:val="auto"/>
          <w:sz w:val="24"/>
          <w:highlight w:val="none"/>
          <w:lang w:eastAsia="zh-CN"/>
        </w:rPr>
        <w:t>二</w:t>
      </w:r>
      <w:r>
        <w:rPr>
          <w:rFonts w:hint="eastAsia" w:ascii="宋体" w:hAnsi="宋体" w:eastAsia="宋体" w:cs="宋体"/>
          <w:b/>
          <w:color w:val="auto"/>
          <w:sz w:val="24"/>
          <w:highlight w:val="none"/>
        </w:rPr>
        <w:t xml:space="preserve">条  </w:t>
      </w:r>
      <w:r>
        <w:rPr>
          <w:rFonts w:hint="eastAsia" w:ascii="宋体" w:hAnsi="宋体" w:eastAsia="宋体" w:cs="宋体"/>
          <w:b/>
          <w:color w:val="auto"/>
          <w:kern w:val="0"/>
          <w:sz w:val="24"/>
          <w:highlight w:val="none"/>
        </w:rPr>
        <w:t>合同的变更和终止</w:t>
      </w:r>
    </w:p>
    <w:p>
      <w:pPr>
        <w:pageBreakBefore w:val="0"/>
        <w:widowControl/>
        <w:kinsoku/>
        <w:wordWrap/>
        <w:overflowPunct/>
        <w:topLinePunct w:val="0"/>
        <w:autoSpaceDE/>
        <w:autoSpaceDN/>
        <w:bidi w:val="0"/>
        <w:spacing w:line="4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除《中华人民共和国政府采购法》第49条、第50条第二款规定的情形外，本合同一经签订，甲乙双方不得擅自变更、中止或终止合同。</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w:t>
      </w:r>
      <w:r>
        <w:rPr>
          <w:rFonts w:hint="eastAsia" w:ascii="宋体" w:hAnsi="宋体" w:cs="宋体"/>
          <w:b/>
          <w:color w:val="auto"/>
          <w:sz w:val="24"/>
          <w:highlight w:val="none"/>
          <w:lang w:eastAsia="zh-CN"/>
        </w:rPr>
        <w:t>三</w:t>
      </w:r>
      <w:r>
        <w:rPr>
          <w:rFonts w:hint="eastAsia" w:ascii="宋体" w:hAnsi="宋体" w:eastAsia="宋体" w:cs="宋体"/>
          <w:b/>
          <w:color w:val="auto"/>
          <w:sz w:val="24"/>
          <w:highlight w:val="none"/>
        </w:rPr>
        <w:t>条  解决合同纠纷的方式</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kern w:val="0"/>
          <w:highlight w:val="none"/>
        </w:rPr>
      </w:pPr>
      <w:r>
        <w:rPr>
          <w:rFonts w:hint="eastAsia" w:ascii="宋体" w:hAnsi="宋体" w:eastAsia="宋体" w:cs="宋体"/>
          <w:color w:val="auto"/>
          <w:highlight w:val="none"/>
        </w:rPr>
        <w:t>1、在执行本合同中发生的或与本合同有关的争端，双方应通过友好协商解决，经协商在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highlight w:val="none"/>
        </w:rPr>
        <w:t>天内不能达成协议时，</w:t>
      </w:r>
      <w:r>
        <w:rPr>
          <w:rFonts w:hint="eastAsia" w:ascii="宋体" w:hAnsi="宋体" w:eastAsia="宋体" w:cs="宋体"/>
          <w:color w:val="auto"/>
          <w:kern w:val="0"/>
          <w:highlight w:val="none"/>
        </w:rPr>
        <w:t>则采取以下第____种方式解决争议：</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（1）向甲方所在地有管辖权的人民法院提起诉讼；</w:t>
      </w:r>
    </w:p>
    <w:p>
      <w:pPr>
        <w:pStyle w:val="31"/>
        <w:pageBreakBefore w:val="0"/>
        <w:kinsoku/>
        <w:wordWrap/>
        <w:overflowPunct/>
        <w:topLinePunct w:val="0"/>
        <w:autoSpaceDE/>
        <w:autoSpaceDN/>
        <w:bidi w:val="0"/>
        <w:spacing w:line="480" w:lineRule="exact"/>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（2）向____________仲裁委员会按其仲裁规则申请仲裁。</w:t>
      </w:r>
    </w:p>
    <w:p>
      <w:pPr>
        <w:pageBreakBefore w:val="0"/>
        <w:tabs>
          <w:tab w:val="left" w:pos="0"/>
        </w:tabs>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2、在仲裁期间，本合同应继续履行。</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bookmarkStart w:id="190" w:name="_Toc251768868"/>
      <w:bookmarkStart w:id="191" w:name="_Toc225654650"/>
      <w:bookmarkStart w:id="192" w:name="_Toc232492934"/>
      <w:bookmarkStart w:id="193" w:name="_Toc247334847"/>
      <w:bookmarkStart w:id="194" w:name="_Toc237145412"/>
      <w:bookmarkStart w:id="195" w:name="_Toc212019600"/>
      <w:bookmarkStart w:id="196" w:name="_Toc283019219"/>
      <w:bookmarkStart w:id="197" w:name="_Toc185395255"/>
      <w:bookmarkStart w:id="198" w:name="_Toc239233920"/>
      <w:bookmarkStart w:id="199" w:name="_Toc241833909"/>
      <w:bookmarkStart w:id="200" w:name="_Toc238984981"/>
      <w:bookmarkStart w:id="201" w:name="_Toc282696231"/>
      <w:bookmarkStart w:id="202" w:name="_Toc225670757"/>
      <w:bookmarkStart w:id="203" w:name="_Toc286993793"/>
      <w:bookmarkStart w:id="204" w:name="_Toc211911354"/>
      <w:bookmarkStart w:id="205" w:name="_Toc239568424"/>
      <w:bookmarkStart w:id="206" w:name="_Toc225244858"/>
      <w:bookmarkStart w:id="207" w:name="_Toc211854455"/>
      <w:r>
        <w:rPr>
          <w:rFonts w:hint="eastAsia" w:ascii="宋体" w:hAnsi="宋体" w:eastAsia="宋体" w:cs="宋体"/>
          <w:b/>
          <w:color w:val="auto"/>
          <w:sz w:val="24"/>
          <w:highlight w:val="none"/>
        </w:rPr>
        <w:t>第十四条  合同</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b/>
          <w:color w:val="auto"/>
          <w:sz w:val="24"/>
          <w:highlight w:val="none"/>
        </w:rPr>
        <w:t>生效及其他</w:t>
      </w:r>
    </w:p>
    <w:p>
      <w:pPr>
        <w:pStyle w:val="32"/>
        <w:pageBreakBefore w:val="0"/>
        <w:kinsoku/>
        <w:wordWrap/>
        <w:overflowPunct/>
        <w:topLinePunct w:val="0"/>
        <w:autoSpaceDE/>
        <w:autoSpaceDN/>
        <w:bidi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1、合同经双方法定代表人或授权委托代理人签字并加盖单位公章后生效。</w:t>
      </w:r>
    </w:p>
    <w:p>
      <w:pPr>
        <w:pStyle w:val="32"/>
        <w:pageBreakBefore w:val="0"/>
        <w:kinsoku/>
        <w:wordWrap/>
        <w:overflowPunct/>
        <w:topLinePunct w:val="0"/>
        <w:autoSpaceDE/>
        <w:autoSpaceDN/>
        <w:bidi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pPr>
        <w:pStyle w:val="32"/>
        <w:pageBreakBefore w:val="0"/>
        <w:kinsoku/>
        <w:wordWrap/>
        <w:overflowPunct/>
        <w:topLinePunct w:val="0"/>
        <w:autoSpaceDE/>
        <w:autoSpaceDN/>
        <w:bidi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lang w:val="en-US" w:eastAsia="zh-CN"/>
        </w:rPr>
        <w:t xml:space="preserve">  肆 </w:t>
      </w:r>
      <w:r>
        <w:rPr>
          <w:rFonts w:hint="eastAsia" w:ascii="宋体" w:hAnsi="宋体" w:eastAsia="宋体" w:cs="宋体"/>
          <w:color w:val="auto"/>
          <w:sz w:val="24"/>
          <w:szCs w:val="24"/>
          <w:highlight w:val="none"/>
        </w:rPr>
        <w:t>份，自双方签章之日起起效。甲方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4"/>
          <w:szCs w:val="24"/>
          <w:highlight w:val="none"/>
        </w:rPr>
        <w:t>份，政府采购代理机构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4"/>
          <w:szCs w:val="24"/>
          <w:highlight w:val="none"/>
        </w:rPr>
        <w:t>份，同级财政部门备案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24"/>
          <w:highlight w:val="none"/>
        </w:rPr>
        <w:t>份，具有同等法律效力。</w:t>
      </w:r>
    </w:p>
    <w:p>
      <w:pPr>
        <w:pageBreakBefore w:val="0"/>
        <w:kinsoku/>
        <w:wordWrap/>
        <w:overflowPunct/>
        <w:topLinePunct w:val="0"/>
        <w:autoSpaceDE/>
        <w:autoSpaceDN/>
        <w:bidi w:val="0"/>
        <w:spacing w:line="480" w:lineRule="exact"/>
        <w:ind w:left="42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第十五条  附件</w:t>
      </w:r>
    </w:p>
    <w:p>
      <w:pPr>
        <w:pStyle w:val="32"/>
        <w:pageBreakBefore w:val="0"/>
        <w:kinsoku/>
        <w:wordWrap/>
        <w:overflowPunct/>
        <w:topLinePunct w:val="0"/>
        <w:autoSpaceDE/>
        <w:autoSpaceDN/>
        <w:bidi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1、项目招标文件</w:t>
      </w:r>
    </w:p>
    <w:p>
      <w:pPr>
        <w:pStyle w:val="32"/>
        <w:pageBreakBefore w:val="0"/>
        <w:kinsoku/>
        <w:wordWrap/>
        <w:overflowPunct/>
        <w:topLinePunct w:val="0"/>
        <w:autoSpaceDE/>
        <w:autoSpaceDN/>
        <w:bidi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2、项目修改澄清文件</w:t>
      </w:r>
    </w:p>
    <w:p>
      <w:pPr>
        <w:pStyle w:val="32"/>
        <w:pageBreakBefore w:val="0"/>
        <w:kinsoku/>
        <w:wordWrap/>
        <w:overflowPunct/>
        <w:topLinePunct w:val="0"/>
        <w:autoSpaceDE/>
        <w:autoSpaceDN/>
        <w:bidi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3、项目投标文件</w:t>
      </w:r>
    </w:p>
    <w:p>
      <w:pPr>
        <w:pStyle w:val="32"/>
        <w:pageBreakBefore w:val="0"/>
        <w:kinsoku/>
        <w:wordWrap/>
        <w:overflowPunct/>
        <w:topLinePunct w:val="0"/>
        <w:autoSpaceDE/>
        <w:autoSpaceDN/>
        <w:bidi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4、中标通知书</w:t>
      </w:r>
    </w:p>
    <w:p>
      <w:pPr>
        <w:pStyle w:val="32"/>
        <w:pageBreakBefore w:val="0"/>
        <w:kinsoku/>
        <w:wordWrap/>
        <w:overflowPunct/>
        <w:topLinePunct w:val="0"/>
        <w:autoSpaceDE/>
        <w:autoSpaceDN/>
        <w:bidi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w:t>
      </w:r>
    </w:p>
    <w:p>
      <w:pPr>
        <w:pageBreakBefore w:val="0"/>
        <w:kinsoku/>
        <w:wordWrap/>
        <w:overflowPunct/>
        <w:topLinePunct w:val="0"/>
        <w:autoSpaceDE/>
        <w:autoSpaceDN/>
        <w:bidi w:val="0"/>
        <w:spacing w:line="480" w:lineRule="exact"/>
        <w:rPr>
          <w:rFonts w:hint="eastAsia" w:ascii="宋体" w:hAnsi="宋体" w:eastAsia="宋体" w:cs="宋体"/>
          <w:color w:val="auto"/>
          <w:sz w:val="24"/>
          <w:highlight w:val="none"/>
        </w:rPr>
      </w:pP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乙方：   （盖章）</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法定代表人（授权代表）：            法定代表人（授权代表）：</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    址：</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开户银行：</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账号：</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电    话：</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传    真：</w:t>
      </w:r>
    </w:p>
    <w:p>
      <w:pPr>
        <w:pageBreakBefore w:val="0"/>
        <w:kinsoku/>
        <w:wordWrap/>
        <w:overflowPunct/>
        <w:topLinePunct w:val="0"/>
        <w:autoSpaceDE/>
        <w:autoSpaceDN/>
        <w:bidi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360" w:lineRule="auto"/>
        <w:ind w:firstLine="480" w:firstLineChars="200"/>
        <w:rPr>
          <w:rFonts w:hint="eastAsia" w:ascii="宋体" w:hAnsi="宋体" w:eastAsia="宋体"/>
          <w:color w:val="auto"/>
          <w:sz w:val="24"/>
          <w:lang w:val="en-US" w:eastAsia="zh-CN"/>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pStyle w:val="3"/>
        <w:spacing w:line="360" w:lineRule="auto"/>
        <w:rPr>
          <w:rFonts w:hint="eastAsia" w:ascii="宋体" w:hAnsi="宋体" w:cs="宋体"/>
          <w:color w:val="auto"/>
          <w:sz w:val="32"/>
          <w:szCs w:val="32"/>
        </w:rPr>
        <w:sectPr>
          <w:pgSz w:w="11906" w:h="16838"/>
          <w:pgMar w:top="1440" w:right="1800" w:bottom="1440" w:left="1800" w:header="851" w:footer="992" w:gutter="0"/>
          <w:pgNumType w:fmt="decimal"/>
          <w:cols w:space="720" w:num="1"/>
          <w:docGrid w:type="lines" w:linePitch="312" w:charSpace="0"/>
        </w:sectPr>
      </w:pPr>
    </w:p>
    <w:p>
      <w:pPr>
        <w:pStyle w:val="3"/>
        <w:spacing w:line="360" w:lineRule="auto"/>
        <w:rPr>
          <w:rFonts w:hint="eastAsia" w:ascii="宋体" w:hAnsi="宋体" w:cs="宋体"/>
          <w:color w:val="auto"/>
          <w:sz w:val="24"/>
        </w:rPr>
      </w:pPr>
      <w:bookmarkStart w:id="208" w:name="_Toc7240"/>
      <w:r>
        <w:rPr>
          <w:rFonts w:hint="eastAsia" w:ascii="宋体" w:hAnsi="宋体" w:cs="宋体"/>
          <w:color w:val="auto"/>
          <w:sz w:val="32"/>
          <w:szCs w:val="32"/>
        </w:rPr>
        <w:t>附：竞争性谈判响应文件格式</w:t>
      </w:r>
      <w:bookmarkEnd w:id="143"/>
      <w:bookmarkEnd w:id="144"/>
      <w:bookmarkEnd w:id="145"/>
      <w:bookmarkEnd w:id="146"/>
      <w:bookmarkEnd w:id="147"/>
      <w:bookmarkEnd w:id="148"/>
      <w:bookmarkEnd w:id="149"/>
      <w:bookmarkEnd w:id="150"/>
      <w:bookmarkEnd w:id="208"/>
    </w:p>
    <w:p>
      <w:pPr>
        <w:spacing w:line="360" w:lineRule="auto"/>
        <w:ind w:firstLine="420" w:firstLineChars="175"/>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w:t>
      </w:r>
    </w:p>
    <w:p>
      <w:pPr>
        <w:rPr>
          <w:rFonts w:hint="eastAsia" w:ascii="宋体" w:hAnsi="宋体" w:cs="宋体"/>
          <w:color w:val="auto"/>
          <w:sz w:val="24"/>
        </w:rPr>
      </w:pPr>
    </w:p>
    <w:p>
      <w:pPr>
        <w:spacing w:line="720" w:lineRule="auto"/>
        <w:jc w:val="center"/>
        <w:rPr>
          <w:rFonts w:hint="default" w:ascii="宋体" w:hAnsi="宋体" w:eastAsia="宋体" w:cs="宋体"/>
          <w:b/>
          <w:color w:val="auto"/>
          <w:sz w:val="32"/>
          <w:szCs w:val="32"/>
          <w:lang w:val="en-US" w:eastAsia="zh-CN"/>
        </w:rPr>
      </w:pPr>
      <w:r>
        <w:rPr>
          <w:rFonts w:hint="eastAsia" w:ascii="宋体" w:hAnsi="宋体" w:cs="宋体"/>
          <w:b/>
          <w:color w:val="auto"/>
          <w:sz w:val="32"/>
          <w:szCs w:val="32"/>
          <w:lang w:eastAsia="zh-CN"/>
        </w:rPr>
        <w:t>榆林市横山区无定河流域生态环境综合治理建设项目（一期）施工图设计</w:t>
      </w:r>
    </w:p>
    <w:p>
      <w:pPr>
        <w:spacing w:line="720" w:lineRule="auto"/>
        <w:jc w:val="center"/>
        <w:rPr>
          <w:rFonts w:hint="eastAsia" w:ascii="宋体" w:hAnsi="宋体" w:cs="宋体"/>
          <w:b/>
          <w:color w:val="auto"/>
          <w:sz w:val="48"/>
          <w:szCs w:val="48"/>
        </w:rPr>
      </w:pPr>
    </w:p>
    <w:p>
      <w:pPr>
        <w:spacing w:line="720" w:lineRule="auto"/>
        <w:jc w:val="center"/>
        <w:rPr>
          <w:rFonts w:hint="eastAsia" w:ascii="宋体" w:hAnsi="宋体" w:cs="宋体"/>
          <w:b/>
          <w:color w:val="auto"/>
          <w:sz w:val="48"/>
          <w:szCs w:val="48"/>
        </w:rPr>
      </w:pPr>
    </w:p>
    <w:p>
      <w:pPr>
        <w:ind w:firstLine="480" w:firstLineChars="200"/>
        <w:rPr>
          <w:rFonts w:hint="eastAsia" w:ascii="宋体" w:hAnsi="宋体" w:cs="宋体"/>
          <w:color w:val="auto"/>
          <w:sz w:val="24"/>
        </w:rPr>
      </w:pPr>
    </w:p>
    <w:p>
      <w:pPr>
        <w:jc w:val="center"/>
        <w:rPr>
          <w:rFonts w:hint="eastAsia" w:ascii="宋体" w:hAnsi="宋体" w:cs="宋体"/>
          <w:b/>
          <w:color w:val="auto"/>
          <w:sz w:val="88"/>
          <w:szCs w:val="84"/>
        </w:rPr>
      </w:pPr>
      <w:r>
        <w:rPr>
          <w:rFonts w:hint="eastAsia" w:ascii="宋体" w:hAnsi="宋体" w:cs="宋体"/>
          <w:b/>
          <w:color w:val="auto"/>
          <w:sz w:val="82"/>
          <w:szCs w:val="84"/>
        </w:rPr>
        <w:t>竞争性谈判响应文件</w:t>
      </w:r>
    </w:p>
    <w:p>
      <w:pPr>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val="en-US" w:eastAsia="zh-CN"/>
        </w:rPr>
        <w:t>文件</w:t>
      </w:r>
      <w:r>
        <w:rPr>
          <w:rFonts w:hint="eastAsia" w:ascii="宋体" w:hAnsi="宋体" w:cs="宋体"/>
          <w:b/>
          <w:bCs/>
          <w:color w:val="auto"/>
          <w:sz w:val="32"/>
          <w:szCs w:val="32"/>
        </w:rPr>
        <w:t>编号：</w:t>
      </w:r>
    </w:p>
    <w:p>
      <w:pPr>
        <w:jc w:val="center"/>
        <w:rPr>
          <w:rFonts w:hint="eastAsia" w:ascii="宋体" w:hAnsi="宋体" w:cs="宋体"/>
          <w:color w:val="auto"/>
          <w:sz w:val="32"/>
          <w:szCs w:val="32"/>
        </w:rPr>
      </w:pPr>
      <w:r>
        <w:rPr>
          <w:rFonts w:hint="eastAsia" w:ascii="宋体" w:hAnsi="宋体" w:cs="宋体"/>
          <w:color w:val="auto"/>
          <w:sz w:val="32"/>
          <w:szCs w:val="32"/>
        </w:rPr>
        <w:t>（正本或副本）</w:t>
      </w:r>
    </w:p>
    <w:p>
      <w:pPr>
        <w:ind w:firstLine="640" w:firstLineChars="200"/>
        <w:jc w:val="center"/>
        <w:rPr>
          <w:rFonts w:hint="eastAsia" w:ascii="宋体" w:hAnsi="宋体" w:cs="宋体"/>
          <w:color w:val="auto"/>
          <w:sz w:val="32"/>
          <w:szCs w:val="32"/>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spacing w:line="720" w:lineRule="auto"/>
        <w:jc w:val="center"/>
        <w:rPr>
          <w:rFonts w:hint="eastAsia" w:ascii="宋体" w:hAnsi="宋体" w:cs="宋体"/>
          <w:b/>
          <w:color w:val="auto"/>
          <w:sz w:val="32"/>
          <w:szCs w:val="32"/>
        </w:rPr>
      </w:pPr>
      <w:r>
        <w:rPr>
          <w:rFonts w:hint="eastAsia" w:ascii="宋体" w:hAnsi="宋体" w:cs="宋体"/>
          <w:b/>
          <w:color w:val="auto"/>
          <w:sz w:val="32"/>
          <w:szCs w:val="32"/>
        </w:rPr>
        <w:t>投标单位：________________</w:t>
      </w:r>
    </w:p>
    <w:p>
      <w:pPr>
        <w:spacing w:line="720" w:lineRule="auto"/>
        <w:jc w:val="center"/>
        <w:rPr>
          <w:rFonts w:hint="eastAsia" w:ascii="宋体" w:hAnsi="宋体" w:cs="宋体"/>
          <w:b/>
          <w:color w:val="auto"/>
          <w:sz w:val="32"/>
          <w:szCs w:val="32"/>
        </w:rPr>
      </w:pPr>
      <w:r>
        <w:rPr>
          <w:rFonts w:hint="eastAsia" w:ascii="宋体" w:hAnsi="宋体" w:cs="宋体"/>
          <w:b/>
          <w:color w:val="auto"/>
          <w:sz w:val="32"/>
          <w:szCs w:val="32"/>
        </w:rPr>
        <w:t>时    间：________________</w:t>
      </w:r>
    </w:p>
    <w:p>
      <w:pPr>
        <w:jc w:val="center"/>
        <w:rPr>
          <w:rFonts w:hint="eastAsia" w:ascii="宋体" w:hAnsi="宋体" w:cs="宋体"/>
          <w:b/>
          <w:color w:val="auto"/>
          <w:sz w:val="44"/>
          <w:szCs w:val="44"/>
        </w:rPr>
      </w:pPr>
    </w:p>
    <w:p>
      <w:pPr>
        <w:jc w:val="center"/>
        <w:rPr>
          <w:rFonts w:hint="eastAsia" w:ascii="宋体" w:hAnsi="宋体" w:cs="宋体"/>
          <w:b/>
          <w:color w:val="auto"/>
          <w:sz w:val="44"/>
          <w:szCs w:val="44"/>
        </w:rPr>
      </w:pPr>
    </w:p>
    <w:p>
      <w:pPr>
        <w:jc w:val="center"/>
        <w:rPr>
          <w:rFonts w:hint="eastAsia" w:ascii="宋体" w:hAnsi="宋体" w:cs="宋体"/>
          <w:b/>
          <w:color w:val="auto"/>
          <w:sz w:val="44"/>
          <w:szCs w:val="44"/>
        </w:rPr>
        <w:sectPr>
          <w:pgSz w:w="11906" w:h="16838"/>
          <w:pgMar w:top="1440" w:right="1800" w:bottom="1440" w:left="1800" w:header="851" w:footer="992" w:gutter="0"/>
          <w:pgNumType w:fmt="decimal"/>
          <w:cols w:space="720" w:num="1"/>
          <w:docGrid w:type="lines" w:linePitch="312" w:charSpace="0"/>
        </w:sectPr>
      </w:pPr>
    </w:p>
    <w:p>
      <w:pPr>
        <w:jc w:val="center"/>
        <w:rPr>
          <w:rFonts w:hint="eastAsia" w:ascii="宋体" w:hAnsi="宋体" w:cs="宋体"/>
          <w:b/>
          <w:color w:val="auto"/>
          <w:sz w:val="44"/>
          <w:szCs w:val="44"/>
        </w:rPr>
      </w:pPr>
      <w:r>
        <w:rPr>
          <w:rFonts w:hint="eastAsia" w:ascii="宋体" w:hAnsi="宋体" w:cs="宋体"/>
          <w:b/>
          <w:color w:val="auto"/>
          <w:sz w:val="44"/>
          <w:szCs w:val="44"/>
        </w:rPr>
        <w:t>目   录</w:t>
      </w: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jc w:val="center"/>
        <w:rPr>
          <w:rFonts w:hint="eastAsia" w:ascii="宋体" w:hAnsi="宋体" w:cs="宋体"/>
          <w:b/>
          <w:bCs/>
          <w:color w:val="auto"/>
          <w:sz w:val="32"/>
          <w:szCs w:val="32"/>
        </w:rPr>
      </w:pPr>
      <w:r>
        <w:rPr>
          <w:rFonts w:hint="eastAsia" w:ascii="宋体" w:hAnsi="宋体" w:cs="宋体"/>
          <w:b/>
          <w:bCs/>
          <w:color w:val="auto"/>
          <w:sz w:val="32"/>
          <w:szCs w:val="32"/>
        </w:rPr>
        <w:t>（须自动索引目录）</w:t>
      </w:r>
    </w:p>
    <w:p>
      <w:pPr>
        <w:spacing w:line="360" w:lineRule="auto"/>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rPr>
          <w:rFonts w:hint="eastAsia" w:ascii="宋体" w:hAnsi="宋体" w:cs="宋体"/>
          <w:color w:val="auto"/>
          <w:sz w:val="24"/>
        </w:rPr>
      </w:pPr>
    </w:p>
    <w:p>
      <w:pPr>
        <w:rPr>
          <w:rFonts w:hint="eastAsia" w:ascii="宋体" w:hAnsi="宋体" w:cs="宋体"/>
          <w:color w:val="auto"/>
        </w:rPr>
      </w:pPr>
      <w:bookmarkStart w:id="209" w:name="_Toc294650463"/>
      <w:bookmarkStart w:id="210" w:name="_Toc314237634"/>
      <w:bookmarkStart w:id="211" w:name="_Toc294650221"/>
      <w:bookmarkStart w:id="212" w:name="_Toc294649637"/>
      <w:bookmarkStart w:id="213" w:name="_Toc294689058"/>
      <w:bookmarkStart w:id="214" w:name="_Toc294650361"/>
    </w:p>
    <w:p>
      <w:pPr>
        <w:pStyle w:val="4"/>
        <w:jc w:val="center"/>
        <w:rPr>
          <w:rFonts w:hint="eastAsia" w:ascii="宋体" w:hAnsi="宋体" w:eastAsia="宋体" w:cs="宋体"/>
          <w:color w:val="auto"/>
          <w:sz w:val="32"/>
          <w:szCs w:val="32"/>
        </w:rPr>
        <w:sectPr>
          <w:pgSz w:w="11906" w:h="16838"/>
          <w:pgMar w:top="1440" w:right="1800" w:bottom="1440" w:left="1800" w:header="851" w:footer="992" w:gutter="0"/>
          <w:pgNumType w:fmt="decimal"/>
          <w:cols w:space="720" w:num="1"/>
          <w:docGrid w:type="lines" w:linePitch="312" w:charSpace="0"/>
        </w:sectPr>
      </w:pPr>
      <w:bookmarkStart w:id="215" w:name="_Toc10678"/>
    </w:p>
    <w:p>
      <w:pPr>
        <w:pStyle w:val="4"/>
        <w:jc w:val="center"/>
        <w:rPr>
          <w:rFonts w:hint="eastAsia" w:ascii="宋体" w:hAnsi="宋体" w:eastAsia="宋体" w:cs="宋体"/>
          <w:color w:val="auto"/>
          <w:sz w:val="32"/>
          <w:szCs w:val="32"/>
        </w:rPr>
      </w:pPr>
      <w:bookmarkStart w:id="216" w:name="_Toc32684"/>
      <w:bookmarkStart w:id="217" w:name="_Toc15982"/>
      <w:r>
        <w:rPr>
          <w:rFonts w:hint="eastAsia" w:ascii="宋体" w:hAnsi="宋体" w:eastAsia="宋体" w:cs="宋体"/>
          <w:color w:val="auto"/>
          <w:sz w:val="32"/>
          <w:szCs w:val="32"/>
        </w:rPr>
        <w:t xml:space="preserve">第一部分   </w:t>
      </w:r>
      <w:r>
        <w:rPr>
          <w:rFonts w:hint="eastAsia" w:ascii="宋体" w:hAnsi="宋体" w:eastAsia="宋体" w:cs="宋体"/>
          <w:color w:val="auto"/>
          <w:sz w:val="32"/>
          <w:szCs w:val="32"/>
          <w:lang w:val="en-US" w:eastAsia="zh-CN"/>
        </w:rPr>
        <w:t>响应</w:t>
      </w:r>
      <w:r>
        <w:rPr>
          <w:rFonts w:hint="eastAsia" w:ascii="宋体" w:hAnsi="宋体" w:eastAsia="宋体" w:cs="宋体"/>
          <w:color w:val="auto"/>
          <w:sz w:val="32"/>
          <w:szCs w:val="32"/>
        </w:rPr>
        <w:t>函</w:t>
      </w:r>
      <w:bookmarkEnd w:id="209"/>
      <w:bookmarkEnd w:id="210"/>
      <w:bookmarkEnd w:id="211"/>
      <w:bookmarkEnd w:id="212"/>
      <w:bookmarkEnd w:id="213"/>
      <w:bookmarkEnd w:id="214"/>
      <w:bookmarkEnd w:id="215"/>
      <w:bookmarkEnd w:id="216"/>
      <w:bookmarkEnd w:id="217"/>
    </w:p>
    <w:p>
      <w:pPr>
        <w:spacing w:line="480" w:lineRule="exact"/>
        <w:rPr>
          <w:rFonts w:hint="eastAsia" w:ascii="宋体" w:hAnsi="宋体" w:cs="宋体"/>
          <w:color w:val="auto"/>
          <w:sz w:val="24"/>
        </w:rPr>
      </w:pPr>
      <w:r>
        <w:rPr>
          <w:rFonts w:hint="eastAsia" w:ascii="宋体" w:hAnsi="宋体" w:cs="宋体"/>
          <w:color w:val="auto"/>
          <w:sz w:val="24"/>
        </w:rPr>
        <w:t>华睿诚项目管理有限公司:</w:t>
      </w:r>
    </w:p>
    <w:p>
      <w:pPr>
        <w:spacing w:line="480" w:lineRule="exact"/>
        <w:ind w:firstLine="504" w:firstLineChars="210"/>
        <w:rPr>
          <w:rFonts w:hint="eastAsia" w:ascii="宋体" w:hAnsi="宋体" w:cs="宋体"/>
          <w:color w:val="auto"/>
          <w:sz w:val="24"/>
        </w:rPr>
      </w:pPr>
      <w:r>
        <w:rPr>
          <w:rFonts w:hint="eastAsia" w:ascii="宋体" w:hAnsi="宋体" w:cs="宋体"/>
          <w:color w:val="auto"/>
          <w:sz w:val="24"/>
        </w:rPr>
        <w:t>我单位收到贵公司(文件编号：     )谈判文件，经详细研究，我们决定参加本次谈判活动。为此，我方郑重声明以下诸点，并负法律责任。</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1、愿意按照谈判文件中的一切要求提供服务，完成合同的责任和义务。</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2、按谈判文件的规定，我公司的投标总报价为：</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人民币（大写）：</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元。</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lang w:eastAsia="zh-CN"/>
        </w:rPr>
        <w:t>设计周期</w:t>
      </w:r>
      <w:r>
        <w:rPr>
          <w:rFonts w:hint="eastAsia" w:ascii="宋体" w:hAnsi="宋体" w:cs="宋体"/>
          <w:color w:val="auto"/>
          <w:sz w:val="24"/>
        </w:rPr>
        <w:t>：</w:t>
      </w:r>
      <w:r>
        <w:rPr>
          <w:rFonts w:hint="eastAsia" w:ascii="宋体" w:hAnsi="宋体" w:cs="宋体"/>
          <w:color w:val="auto"/>
          <w:sz w:val="24"/>
          <w:u w:val="single"/>
        </w:rPr>
        <w:t>　　　  　　</w:t>
      </w:r>
      <w:r>
        <w:rPr>
          <w:rFonts w:hint="eastAsia" w:ascii="宋体" w:hAnsi="宋体" w:cs="宋体"/>
          <w:color w:val="auto"/>
          <w:sz w:val="24"/>
        </w:rPr>
        <w:t>。</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、我方已递交投标保证金</w:t>
      </w:r>
      <w:r>
        <w:rPr>
          <w:rFonts w:hint="eastAsia" w:ascii="宋体" w:hAnsi="宋体" w:cs="宋体"/>
          <w:color w:val="auto"/>
          <w:sz w:val="24"/>
          <w:u w:val="single"/>
        </w:rPr>
        <w:t xml:space="preserve">                 </w:t>
      </w:r>
      <w:r>
        <w:rPr>
          <w:rFonts w:hint="eastAsia" w:ascii="宋体" w:hAnsi="宋体" w:cs="宋体"/>
          <w:color w:val="auto"/>
          <w:sz w:val="24"/>
        </w:rPr>
        <w:t>元整。</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、已详细阅读了谈判文件，完全理解并放弃提出含糊不清或易形成歧义的表述和资料。</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、开标后在规定的投标有效期内撤回竞争性谈判响应文件，我们愿接受政府采购的有关处罚决定。</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、同意向贵方提供可能要求的，与本次投标有关的任何证据或资料。我们完全理解贵公司不保证最低价成交的意见。</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、我方的竞争性谈判响应文件有效期为</w:t>
      </w:r>
      <w:r>
        <w:rPr>
          <w:rFonts w:hint="eastAsia" w:ascii="宋体" w:hAnsi="宋体" w:cs="宋体"/>
          <w:color w:val="auto"/>
          <w:sz w:val="24"/>
          <w:u w:val="single"/>
        </w:rPr>
        <w:t xml:space="preserve"> </w:t>
      </w:r>
      <w:r>
        <w:rPr>
          <w:rFonts w:hint="eastAsia" w:ascii="宋体" w:hAnsi="宋体" w:cs="宋体"/>
          <w:color w:val="auto"/>
          <w:sz w:val="24"/>
        </w:rPr>
        <w:t>天。</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、有关于本标书的函电，请按下列地址联系。</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投标单位全称（印章）：___________________________</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地    址：______________________________________</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开户银行： _____________________________________</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帐    号：______________________________________</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电    话：______________________________________</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传    真：______________________________________</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邮    编：______________________________________</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 xml:space="preserve">授权代表签字： ________________________________ </w:t>
      </w:r>
    </w:p>
    <w:p>
      <w:pPr>
        <w:wordWrap w:val="0"/>
        <w:ind w:right="120"/>
        <w:jc w:val="right"/>
        <w:rPr>
          <w:rFonts w:hint="eastAsia" w:ascii="宋体" w:hAnsi="宋体" w:cs="宋体"/>
          <w:color w:val="auto"/>
          <w:sz w:val="24"/>
        </w:rPr>
      </w:pPr>
    </w:p>
    <w:p>
      <w:pPr>
        <w:wordWrap w:val="0"/>
        <w:ind w:right="360"/>
        <w:jc w:val="right"/>
        <w:rPr>
          <w:rFonts w:hint="eastAsia" w:ascii="宋体" w:hAnsi="宋体" w:cs="宋体"/>
          <w:color w:val="auto"/>
          <w:sz w:val="24"/>
        </w:rPr>
      </w:pPr>
      <w:r>
        <w:rPr>
          <w:rFonts w:hint="eastAsia" w:ascii="宋体" w:hAnsi="宋体" w:cs="宋体"/>
          <w:color w:val="auto"/>
          <w:sz w:val="24"/>
        </w:rPr>
        <w:t>年     月     日</w:t>
      </w:r>
    </w:p>
    <w:p>
      <w:pPr>
        <w:pStyle w:val="4"/>
        <w:jc w:val="center"/>
        <w:rPr>
          <w:rFonts w:hint="eastAsia" w:ascii="宋体" w:hAnsi="宋体" w:eastAsia="宋体" w:cs="宋体"/>
          <w:color w:val="auto"/>
          <w:sz w:val="24"/>
        </w:rPr>
      </w:pPr>
      <w:bookmarkStart w:id="218" w:name="_Toc314237635"/>
      <w:bookmarkStart w:id="219" w:name="_Toc294689059"/>
      <w:bookmarkStart w:id="220" w:name="_Toc294650362"/>
      <w:bookmarkStart w:id="221" w:name="_Toc16543"/>
      <w:bookmarkStart w:id="222" w:name="_Toc22295"/>
      <w:bookmarkStart w:id="223" w:name="_Toc294650464"/>
      <w:bookmarkStart w:id="224" w:name="_Toc294650222"/>
      <w:bookmarkStart w:id="225" w:name="_Toc2047"/>
      <w:bookmarkStart w:id="226" w:name="_Toc294649638"/>
      <w:r>
        <w:rPr>
          <w:rFonts w:hint="eastAsia" w:ascii="宋体" w:hAnsi="宋体" w:eastAsia="宋体" w:cs="宋体"/>
          <w:color w:val="auto"/>
          <w:sz w:val="32"/>
          <w:szCs w:val="32"/>
        </w:rPr>
        <w:t xml:space="preserve">第二部分   </w:t>
      </w:r>
      <w:r>
        <w:rPr>
          <w:rFonts w:hint="eastAsia" w:ascii="宋体" w:hAnsi="宋体" w:eastAsia="宋体" w:cs="宋体"/>
          <w:color w:val="auto"/>
          <w:sz w:val="32"/>
          <w:szCs w:val="32"/>
          <w:lang w:val="en-US" w:eastAsia="zh-CN"/>
        </w:rPr>
        <w:t>第一次</w:t>
      </w:r>
      <w:r>
        <w:rPr>
          <w:rFonts w:hint="eastAsia" w:ascii="宋体" w:hAnsi="宋体" w:eastAsia="宋体" w:cs="宋体"/>
          <w:color w:val="auto"/>
          <w:sz w:val="32"/>
          <w:szCs w:val="32"/>
        </w:rPr>
        <w:t>谈判报价表</w:t>
      </w:r>
      <w:bookmarkEnd w:id="218"/>
      <w:bookmarkEnd w:id="219"/>
      <w:bookmarkEnd w:id="220"/>
      <w:bookmarkEnd w:id="221"/>
      <w:bookmarkEnd w:id="222"/>
      <w:bookmarkEnd w:id="223"/>
      <w:bookmarkEnd w:id="224"/>
      <w:bookmarkEnd w:id="225"/>
      <w:bookmarkEnd w:id="226"/>
      <w:r>
        <w:rPr>
          <w:rFonts w:hint="eastAsia" w:ascii="宋体" w:hAnsi="宋体" w:eastAsia="宋体" w:cs="宋体"/>
          <w:color w:val="auto"/>
          <w:sz w:val="24"/>
        </w:rPr>
        <w:t xml:space="preserve"> </w:t>
      </w:r>
    </w:p>
    <w:tbl>
      <w:tblPr>
        <w:tblStyle w:val="18"/>
        <w:tblW w:w="893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jc w:val="center"/>
        </w:trPr>
        <w:tc>
          <w:tcPr>
            <w:tcW w:w="1956" w:type="dxa"/>
            <w:tcBorders>
              <w:bottom w:val="single" w:color="auto" w:sz="4" w:space="0"/>
            </w:tcBorders>
            <w:noWrap w:val="0"/>
            <w:vAlign w:val="center"/>
          </w:tcPr>
          <w:p>
            <w:pPr>
              <w:spacing w:line="360" w:lineRule="auto"/>
              <w:jc w:val="center"/>
              <w:rPr>
                <w:rFonts w:hint="eastAsia" w:ascii="宋体" w:hAnsi="宋体" w:cs="宋体"/>
                <w:b/>
                <w:bCs/>
                <w:color w:val="auto"/>
                <w:sz w:val="24"/>
              </w:rPr>
            </w:pPr>
            <w:bookmarkStart w:id="227" w:name="OLE_LINK14"/>
            <w:r>
              <w:rPr>
                <w:rFonts w:hint="eastAsia" w:ascii="宋体" w:hAnsi="宋体" w:cs="宋体"/>
                <w:b/>
                <w:bCs/>
                <w:color w:val="auto"/>
                <w:sz w:val="24"/>
              </w:rPr>
              <w:t>采购项目名称</w:t>
            </w:r>
          </w:p>
        </w:tc>
        <w:tc>
          <w:tcPr>
            <w:tcW w:w="6981" w:type="dxa"/>
            <w:noWrap w:val="0"/>
            <w:vAlign w:val="center"/>
          </w:tcPr>
          <w:p>
            <w:pPr>
              <w:pStyle w:val="3"/>
              <w:spacing w:line="360" w:lineRule="auto"/>
              <w:jc w:val="center"/>
              <w:rPr>
                <w:rFonts w:hint="eastAsia" w:ascii="宋体" w:hAnsi="宋体" w:cs="宋体"/>
                <w:b w:val="0"/>
                <w:color w:val="auto"/>
                <w:kern w:val="2"/>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jc w:val="center"/>
        </w:trPr>
        <w:tc>
          <w:tcPr>
            <w:tcW w:w="1956" w:type="dxa"/>
            <w:tcBorders>
              <w:bottom w:val="single" w:color="auto" w:sz="4" w:space="0"/>
            </w:tcBorders>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采购项目编号</w:t>
            </w:r>
          </w:p>
        </w:tc>
        <w:tc>
          <w:tcPr>
            <w:tcW w:w="6981" w:type="dxa"/>
            <w:tcBorders>
              <w:bottom w:val="single" w:color="auto" w:sz="4" w:space="0"/>
            </w:tcBorders>
            <w:noWrap w:val="0"/>
            <w:vAlign w:val="center"/>
          </w:tcPr>
          <w:p>
            <w:pPr>
              <w:spacing w:line="360" w:lineRule="auto"/>
              <w:jc w:val="center"/>
              <w:rPr>
                <w:rFonts w:ascii="宋体" w:hAnsi="宋体" w:cs="宋体"/>
                <w:bC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jc w:val="center"/>
        </w:trPr>
        <w:tc>
          <w:tcPr>
            <w:tcW w:w="1956" w:type="dxa"/>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供应商名称</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(单位名称)</w:t>
            </w:r>
          </w:p>
        </w:tc>
        <w:tc>
          <w:tcPr>
            <w:tcW w:w="6981" w:type="dxa"/>
            <w:noWrap w:val="0"/>
            <w:vAlign w:val="center"/>
          </w:tcPr>
          <w:p>
            <w:pPr>
              <w:spacing w:line="360" w:lineRule="auto"/>
              <w:jc w:val="center"/>
              <w:rPr>
                <w:rFonts w:hint="eastAsia" w:ascii="宋体" w:hAnsi="宋体" w:cs="宋体"/>
                <w:b/>
                <w:bC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jc w:val="center"/>
        </w:trPr>
        <w:tc>
          <w:tcPr>
            <w:tcW w:w="1956" w:type="dxa"/>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谈判报价</w:t>
            </w:r>
          </w:p>
        </w:tc>
        <w:tc>
          <w:tcPr>
            <w:tcW w:w="6981" w:type="dxa"/>
            <w:noWrap w:val="0"/>
            <w:vAlign w:val="top"/>
          </w:tcPr>
          <w:p>
            <w:pPr>
              <w:spacing w:line="360" w:lineRule="auto"/>
              <w:jc w:val="center"/>
              <w:rPr>
                <w:rFonts w:hint="eastAsia" w:ascii="宋体" w:hAnsi="宋体" w:cs="宋体"/>
                <w:b/>
                <w:bCs/>
                <w:color w:val="auto"/>
                <w:sz w:val="11"/>
                <w:szCs w:val="11"/>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人 民 币（大写）：</w:t>
            </w:r>
            <w:r>
              <w:rPr>
                <w:rFonts w:hint="eastAsia" w:ascii="宋体" w:hAnsi="宋体" w:cs="宋体"/>
                <w:b/>
                <w:bCs/>
                <w:color w:val="auto"/>
                <w:sz w:val="24"/>
                <w:u w:val="single"/>
              </w:rPr>
              <w:t xml:space="preserve">                  </w:t>
            </w:r>
            <w:r>
              <w:rPr>
                <w:rFonts w:hint="eastAsia" w:ascii="宋体" w:hAnsi="宋体" w:cs="宋体"/>
                <w:b/>
                <w:bCs/>
                <w:color w:val="auto"/>
                <w:sz w:val="24"/>
              </w:rPr>
              <w:t xml:space="preserve"> 元</w:t>
            </w: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人 民 币（小写）：</w:t>
            </w:r>
            <w:r>
              <w:rPr>
                <w:rFonts w:hint="eastAsia" w:ascii="宋体" w:hAnsi="宋体" w:cs="宋体"/>
                <w:b/>
                <w:bCs/>
                <w:color w:val="auto"/>
                <w:sz w:val="24"/>
                <w:u w:val="single"/>
              </w:rPr>
              <w:t xml:space="preserve">                 </w:t>
            </w:r>
            <w:r>
              <w:rPr>
                <w:rFonts w:hint="eastAsia" w:ascii="宋体" w:hAnsi="宋体" w:cs="宋体"/>
                <w:b/>
                <w:bCs/>
                <w:color w:val="auto"/>
                <w:sz w:val="24"/>
              </w:rPr>
              <w:t xml:space="preserve">  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jc w:val="center"/>
        </w:trPr>
        <w:tc>
          <w:tcPr>
            <w:tcW w:w="1956" w:type="dxa"/>
            <w:noWrap w:val="0"/>
            <w:vAlign w:val="center"/>
          </w:tcPr>
          <w:p>
            <w:pPr>
              <w:spacing w:line="360" w:lineRule="auto"/>
              <w:jc w:val="center"/>
              <w:rPr>
                <w:rFonts w:hint="eastAsia" w:ascii="宋体" w:hAnsi="宋体" w:eastAsia="宋体" w:cs="宋体"/>
                <w:b/>
                <w:bCs/>
                <w:color w:val="auto"/>
                <w:sz w:val="24"/>
                <w:lang w:eastAsia="zh-CN"/>
              </w:rPr>
            </w:pPr>
            <w:r>
              <w:rPr>
                <w:rFonts w:hint="eastAsia" w:ascii="宋体" w:hAnsi="宋体" w:cs="宋体"/>
                <w:b/>
                <w:bCs/>
                <w:color w:val="auto"/>
                <w:sz w:val="24"/>
                <w:lang w:eastAsia="zh-CN"/>
              </w:rPr>
              <w:t>设计周期</w:t>
            </w:r>
          </w:p>
        </w:tc>
        <w:tc>
          <w:tcPr>
            <w:tcW w:w="6981" w:type="dxa"/>
            <w:noWrap w:val="0"/>
            <w:vAlign w:val="top"/>
          </w:tcPr>
          <w:p>
            <w:pPr>
              <w:spacing w:line="360" w:lineRule="auto"/>
              <w:rPr>
                <w:rFonts w:hint="eastAsia" w:ascii="宋体" w:hAnsi="宋体" w:cs="宋体"/>
                <w:b/>
                <w:bC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jc w:val="center"/>
        </w:trPr>
        <w:tc>
          <w:tcPr>
            <w:tcW w:w="1956" w:type="dxa"/>
            <w:noWrap w:val="0"/>
            <w:vAlign w:val="center"/>
          </w:tcPr>
          <w:p>
            <w:pPr>
              <w:spacing w:line="360" w:lineRule="auto"/>
              <w:jc w:val="center"/>
              <w:rPr>
                <w:rFonts w:hint="default" w:ascii="宋体" w:hAnsi="宋体" w:cs="宋体"/>
                <w:b/>
                <w:bCs/>
                <w:color w:val="auto"/>
                <w:sz w:val="24"/>
                <w:lang w:val="en-US" w:eastAsia="zh-CN"/>
              </w:rPr>
            </w:pPr>
            <w:r>
              <w:rPr>
                <w:rFonts w:hint="eastAsia" w:ascii="宋体" w:hAnsi="宋体" w:cs="宋体"/>
                <w:b/>
                <w:bCs/>
                <w:color w:val="auto"/>
                <w:sz w:val="24"/>
                <w:lang w:val="en-US" w:eastAsia="zh-CN"/>
              </w:rPr>
              <w:t>质保期</w:t>
            </w:r>
          </w:p>
        </w:tc>
        <w:tc>
          <w:tcPr>
            <w:tcW w:w="6981" w:type="dxa"/>
            <w:noWrap w:val="0"/>
            <w:vAlign w:val="top"/>
          </w:tcPr>
          <w:p>
            <w:pPr>
              <w:spacing w:line="360" w:lineRule="auto"/>
              <w:rPr>
                <w:rFonts w:hint="eastAsia" w:ascii="宋体" w:hAnsi="宋体" w:cs="宋体"/>
                <w:b/>
                <w:bC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jc w:val="center"/>
        </w:trPr>
        <w:tc>
          <w:tcPr>
            <w:tcW w:w="1956" w:type="dxa"/>
            <w:noWrap w:val="0"/>
            <w:vAlign w:val="center"/>
          </w:tcPr>
          <w:p>
            <w:pPr>
              <w:spacing w:line="360" w:lineRule="auto"/>
              <w:jc w:val="center"/>
              <w:rPr>
                <w:rFonts w:hint="eastAsia" w:ascii="宋体" w:hAnsi="宋体" w:eastAsia="宋体" w:cs="宋体"/>
                <w:b/>
                <w:bCs/>
                <w:color w:val="auto"/>
                <w:sz w:val="24"/>
                <w:lang w:eastAsia="zh-CN"/>
              </w:rPr>
            </w:pPr>
            <w:r>
              <w:rPr>
                <w:rFonts w:hint="eastAsia" w:ascii="宋体" w:hAnsi="宋体" w:cs="宋体"/>
                <w:b/>
                <w:bCs/>
                <w:color w:val="auto"/>
                <w:sz w:val="24"/>
                <w:lang w:val="en-US" w:eastAsia="zh-CN"/>
              </w:rPr>
              <w:t>备注</w:t>
            </w:r>
          </w:p>
        </w:tc>
        <w:tc>
          <w:tcPr>
            <w:tcW w:w="6981" w:type="dxa"/>
            <w:noWrap w:val="0"/>
            <w:vAlign w:val="top"/>
          </w:tcPr>
          <w:p>
            <w:pPr>
              <w:spacing w:line="360" w:lineRule="auto"/>
              <w:rPr>
                <w:rFonts w:hint="eastAsia" w:ascii="宋体" w:hAnsi="宋体" w:cs="宋体"/>
                <w:b/>
                <w:bCs/>
                <w:color w:val="auto"/>
                <w:sz w:val="24"/>
              </w:rPr>
            </w:pPr>
          </w:p>
        </w:tc>
      </w:tr>
      <w:bookmarkEnd w:id="227"/>
    </w:tbl>
    <w:p>
      <w:pPr>
        <w:rPr>
          <w:rFonts w:hint="eastAsia" w:ascii="宋体" w:hAnsi="宋体" w:cs="宋体"/>
          <w:color w:val="auto"/>
          <w:sz w:val="24"/>
        </w:rPr>
      </w:pP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spacing w:line="480" w:lineRule="auto"/>
        <w:ind w:right="-161"/>
        <w:rPr>
          <w:rFonts w:hint="eastAsia" w:ascii="宋体" w:hAnsi="宋体" w:cs="仿宋_GB2312"/>
          <w:color w:val="auto"/>
          <w:sz w:val="24"/>
          <w:u w:val="single"/>
        </w:rPr>
      </w:pPr>
      <w:r>
        <w:rPr>
          <w:rFonts w:hint="eastAsia" w:ascii="宋体" w:hAnsi="宋体" w:cs="仿宋_GB2312"/>
          <w:color w:val="auto"/>
          <w:sz w:val="24"/>
        </w:rPr>
        <w:t>法人代表或被授权代表签字：</w:t>
      </w:r>
      <w:r>
        <w:rPr>
          <w:rFonts w:hint="eastAsia" w:ascii="宋体" w:hAnsi="宋体" w:cs="仿宋_GB2312"/>
          <w:color w:val="auto"/>
          <w:sz w:val="24"/>
          <w:u w:val="single"/>
        </w:rPr>
        <w:t xml:space="preserve">                       </w:t>
      </w:r>
    </w:p>
    <w:p>
      <w:pPr>
        <w:spacing w:line="480" w:lineRule="auto"/>
        <w:ind w:right="-161"/>
        <w:rPr>
          <w:rFonts w:hint="eastAsia" w:ascii="宋体" w:hAnsi="宋体" w:cs="仿宋_GB2312"/>
          <w:color w:val="auto"/>
          <w:sz w:val="24"/>
          <w:u w:val="single"/>
        </w:rPr>
      </w:pPr>
      <w:r>
        <w:rPr>
          <w:rFonts w:hint="eastAsia" w:ascii="宋体" w:hAnsi="宋体" w:cs="仿宋_GB2312"/>
          <w:color w:val="auto"/>
          <w:sz w:val="24"/>
        </w:rPr>
        <w:t>投   标   单  位  公  章：</w:t>
      </w:r>
      <w:r>
        <w:rPr>
          <w:rFonts w:hint="eastAsia" w:ascii="宋体" w:hAnsi="宋体" w:cs="仿宋_GB2312"/>
          <w:color w:val="auto"/>
          <w:sz w:val="24"/>
          <w:u w:val="single"/>
        </w:rPr>
        <w:t xml:space="preserve">                       </w:t>
      </w:r>
    </w:p>
    <w:p>
      <w:pPr>
        <w:pStyle w:val="2"/>
        <w:rPr>
          <w:rFonts w:hint="eastAsia" w:cs="仿宋_GB2312"/>
          <w:color w:val="auto"/>
          <w:u w:val="single"/>
          <w:lang w:val="en-US"/>
        </w:rPr>
        <w:sectPr>
          <w:headerReference r:id="rId7" w:type="first"/>
          <w:footerReference r:id="rId9" w:type="first"/>
          <w:headerReference r:id="rId6" w:type="default"/>
          <w:footerReference r:id="rId8" w:type="default"/>
          <w:pgSz w:w="11907" w:h="16840"/>
          <w:pgMar w:top="1440" w:right="1800" w:bottom="1440" w:left="1800" w:header="907" w:footer="654" w:gutter="0"/>
          <w:pgNumType w:fmt="decimal"/>
          <w:cols w:space="720" w:num="1"/>
          <w:titlePg/>
          <w:docGrid w:linePitch="312" w:charSpace="0"/>
        </w:sectPr>
      </w:pPr>
      <w:r>
        <w:rPr>
          <w:rFonts w:hint="eastAsia" w:cs="仿宋_GB2312"/>
          <w:color w:val="auto"/>
        </w:rPr>
        <w:t>日                    期：</w:t>
      </w:r>
      <w:r>
        <w:rPr>
          <w:rFonts w:hint="eastAsia" w:cs="仿宋_GB2312"/>
          <w:color w:val="auto"/>
          <w:u w:val="single"/>
        </w:rPr>
        <w:t xml:space="preserve"> </w:t>
      </w:r>
      <w:r>
        <w:rPr>
          <w:rFonts w:hint="eastAsia" w:cs="仿宋_GB2312"/>
          <w:color w:val="auto"/>
          <w:u w:val="single"/>
          <w:lang w:val="en-US"/>
        </w:rPr>
        <w:t xml:space="preserve">                 </w:t>
      </w:r>
    </w:p>
    <w:p>
      <w:pPr>
        <w:ind w:firstLine="562" w:firstLineChars="175"/>
        <w:jc w:val="center"/>
        <w:outlineLvl w:val="1"/>
        <w:rPr>
          <w:rFonts w:hint="eastAsia" w:ascii="宋体" w:hAnsi="宋体" w:eastAsia="宋体" w:cs="宋体"/>
          <w:b/>
          <w:color w:val="auto"/>
          <w:kern w:val="2"/>
          <w:sz w:val="32"/>
          <w:szCs w:val="32"/>
          <w:lang w:val="en-US" w:eastAsia="zh-CN" w:bidi="ar-SA"/>
        </w:rPr>
      </w:pPr>
      <w:bookmarkStart w:id="228" w:name="_Toc2598"/>
      <w:bookmarkStart w:id="229" w:name="_Toc19761"/>
      <w:r>
        <w:rPr>
          <w:rFonts w:hint="eastAsia" w:ascii="宋体" w:hAnsi="宋体" w:eastAsia="宋体" w:cs="宋体"/>
          <w:b/>
          <w:color w:val="auto"/>
          <w:kern w:val="2"/>
          <w:sz w:val="32"/>
          <w:szCs w:val="32"/>
          <w:lang w:val="en-US" w:eastAsia="zh-CN" w:bidi="ar-SA"/>
        </w:rPr>
        <w:t>分项报价表</w:t>
      </w:r>
      <w:bookmarkEnd w:id="228"/>
      <w:bookmarkEnd w:id="229"/>
    </w:p>
    <w:p>
      <w:pPr>
        <w:pStyle w:val="2"/>
        <w:rPr>
          <w:rFonts w:hint="eastAsia" w:ascii="宋体" w:hAnsi="宋体" w:eastAsia="宋体" w:cs="宋体"/>
          <w:color w:val="auto"/>
          <w:szCs w:val="24"/>
          <w:u w:val="none"/>
          <w:lang w:eastAsia="zh-CN"/>
        </w:rPr>
      </w:pPr>
    </w:p>
    <w:p>
      <w:pPr>
        <w:pStyle w:val="2"/>
        <w:rPr>
          <w:rFonts w:hint="eastAsia" w:ascii="宋体" w:hAnsi="宋体" w:eastAsia="宋体" w:cs="宋体"/>
          <w:color w:val="auto"/>
          <w:sz w:val="24"/>
          <w:u w:val="single"/>
          <w:lang w:val="en-US" w:eastAsia="zh-CN"/>
        </w:rPr>
      </w:pPr>
      <w:r>
        <w:rPr>
          <w:rFonts w:hint="eastAsia" w:ascii="宋体" w:hAnsi="宋体" w:eastAsia="宋体" w:cs="宋体"/>
          <w:color w:val="auto"/>
          <w:szCs w:val="24"/>
          <w:u w:val="none"/>
          <w:lang w:eastAsia="zh-CN"/>
        </w:rPr>
        <w:t>项目</w:t>
      </w:r>
      <w:r>
        <w:rPr>
          <w:rFonts w:hint="eastAsia" w:ascii="宋体" w:hAnsi="宋体" w:cs="仿宋_GB2312"/>
          <w:color w:val="auto"/>
          <w:sz w:val="24"/>
          <w:u w:val="none"/>
        </w:rPr>
        <w:t>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rPr>
        <w:t>采购项目编号：</w:t>
      </w:r>
      <w:r>
        <w:rPr>
          <w:rFonts w:hint="eastAsia" w:ascii="宋体" w:hAnsi="宋体" w:eastAsia="宋体" w:cs="宋体"/>
          <w:color w:val="auto"/>
          <w:sz w:val="24"/>
          <w:u w:val="single"/>
        </w:rPr>
        <w:t xml:space="preserve">               </w:t>
      </w:r>
    </w:p>
    <w:p>
      <w:pPr>
        <w:pStyle w:val="2"/>
        <w:jc w:val="right"/>
        <w:rPr>
          <w:rFonts w:hint="eastAsia" w:ascii="宋体" w:hAnsi="宋体" w:eastAsia="宋体" w:cs="宋体"/>
          <w:color w:val="auto"/>
          <w:lang w:val="en-US" w:eastAsia="zh-CN"/>
        </w:rPr>
      </w:pPr>
      <w:r>
        <w:rPr>
          <w:rFonts w:hint="eastAsia" w:ascii="宋体" w:hAnsi="宋体" w:eastAsia="宋体" w:cs="宋体"/>
          <w:color w:val="auto"/>
          <w:sz w:val="24"/>
        </w:rPr>
        <w:t>单位：元</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p>
    <w:p>
      <w:pPr>
        <w:spacing w:line="500" w:lineRule="exact"/>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jc w:val="center"/>
        <w:rPr>
          <w:rFonts w:hint="eastAsia" w:ascii="宋体" w:hAnsi="宋体" w:eastAsia="宋体" w:cs="宋体"/>
          <w:color w:val="auto"/>
          <w:sz w:val="24"/>
          <w:szCs w:val="21"/>
          <w:lang w:eastAsia="zh-CN"/>
        </w:rPr>
      </w:pPr>
      <w:r>
        <w:rPr>
          <w:rFonts w:hint="eastAsia" w:ascii="宋体" w:hAnsi="宋体" w:cs="宋体"/>
          <w:color w:val="auto"/>
          <w:sz w:val="24"/>
          <w:szCs w:val="21"/>
          <w:lang w:eastAsia="zh-CN"/>
        </w:rPr>
        <w:t>（</w:t>
      </w:r>
      <w:r>
        <w:rPr>
          <w:rFonts w:hint="eastAsia" w:ascii="宋体" w:hAnsi="宋体" w:cs="宋体"/>
          <w:color w:val="auto"/>
          <w:sz w:val="24"/>
          <w:szCs w:val="21"/>
          <w:lang w:val="en-US" w:eastAsia="zh-CN"/>
        </w:rPr>
        <w:t>格式自拟</w:t>
      </w:r>
      <w:r>
        <w:rPr>
          <w:rFonts w:hint="eastAsia" w:ascii="宋体" w:hAnsi="宋体" w:cs="宋体"/>
          <w:color w:val="auto"/>
          <w:sz w:val="24"/>
          <w:szCs w:val="21"/>
          <w:lang w:eastAsia="zh-CN"/>
        </w:rPr>
        <w:t>）</w:t>
      </w: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pStyle w:val="30"/>
        <w:rPr>
          <w:rFonts w:hint="eastAsia" w:ascii="宋体" w:hAnsi="宋体" w:eastAsia="宋体" w:cs="宋体"/>
          <w:color w:val="auto"/>
          <w:sz w:val="24"/>
          <w:szCs w:val="21"/>
        </w:rPr>
      </w:pP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 供应商须按照</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及要求”中涉及的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清单进行报价。</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如果按单价计算的结果与总价不一致，以单价为准修正总价。</w:t>
      </w:r>
    </w:p>
    <w:p>
      <w:pPr>
        <w:adjustRightInd w:val="0"/>
        <w:snapToGrid w:val="0"/>
        <w:spacing w:line="360" w:lineRule="auto"/>
        <w:ind w:left="792" w:leftChars="225" w:hanging="319" w:hangingChars="133"/>
        <w:rPr>
          <w:rFonts w:hint="eastAsia" w:ascii="宋体" w:hAnsi="宋体" w:eastAsia="宋体" w:cs="宋体"/>
          <w:color w:val="auto"/>
        </w:rPr>
      </w:pPr>
      <w:r>
        <w:rPr>
          <w:rFonts w:hint="eastAsia" w:ascii="宋体" w:hAnsi="宋体" w:eastAsia="宋体" w:cs="宋体"/>
          <w:color w:val="auto"/>
          <w:sz w:val="24"/>
          <w:szCs w:val="24"/>
        </w:rPr>
        <w:t>3. 上述投标总报价包含了供应商为此项目所支付的的一切费用，在整个合同期内不做调整。</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法人代表或被授权代表签字：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投   标   单  位  公  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jc w:val="center"/>
        <w:rPr>
          <w:rFonts w:hint="eastAsia" w:ascii="宋体" w:hAnsi="宋体" w:eastAsia="宋体" w:cs="宋体"/>
          <w:b/>
          <w:color w:val="auto"/>
          <w:sz w:val="36"/>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spacing w:after="120" w:line="360" w:lineRule="auto"/>
        <w:jc w:val="both"/>
        <w:rPr>
          <w:rFonts w:hint="eastAsia" w:hAnsi="宋体" w:cs="宋体"/>
          <w:b/>
          <w:color w:val="auto"/>
          <w:sz w:val="32"/>
          <w:szCs w:val="32"/>
        </w:rPr>
        <w:sectPr>
          <w:pgSz w:w="11907" w:h="16840"/>
          <w:pgMar w:top="1440" w:right="1800" w:bottom="1440" w:left="1800" w:header="907" w:footer="654" w:gutter="0"/>
          <w:pgNumType w:fmt="decimal"/>
          <w:cols w:space="720" w:num="1"/>
          <w:titlePg/>
          <w:docGrid w:linePitch="312" w:charSpace="0"/>
        </w:sectPr>
      </w:pPr>
    </w:p>
    <w:p>
      <w:pPr>
        <w:autoSpaceDE w:val="0"/>
        <w:autoSpaceDN w:val="0"/>
        <w:adjustRightInd w:val="0"/>
        <w:spacing w:line="360" w:lineRule="auto"/>
        <w:ind w:left="-525"/>
        <w:jc w:val="center"/>
        <w:outlineLvl w:val="1"/>
        <w:rPr>
          <w:rFonts w:hint="eastAsia" w:ascii="宋体" w:hAnsi="宋体" w:cs="宋体"/>
          <w:b/>
          <w:color w:val="auto"/>
          <w:sz w:val="28"/>
          <w:szCs w:val="28"/>
        </w:rPr>
      </w:pPr>
      <w:bookmarkStart w:id="230" w:name="_Toc16923"/>
      <w:r>
        <w:rPr>
          <w:rFonts w:hint="eastAsia" w:ascii="宋体" w:hAnsi="宋体" w:eastAsia="宋体" w:cs="宋体"/>
          <w:b/>
          <w:color w:val="auto"/>
          <w:kern w:val="2"/>
          <w:sz w:val="32"/>
          <w:szCs w:val="32"/>
          <w:lang w:val="en-US" w:eastAsia="zh-CN" w:bidi="ar-SA"/>
        </w:rPr>
        <w:t>第三部分</w:t>
      </w:r>
      <w:r>
        <w:rPr>
          <w:rFonts w:hint="eastAsia" w:ascii="宋体" w:hAnsi="宋体" w:cs="宋体"/>
          <w:b/>
          <w:color w:val="auto"/>
          <w:sz w:val="28"/>
          <w:szCs w:val="28"/>
          <w:lang w:val="en-US" w:eastAsia="zh-CN"/>
        </w:rPr>
        <w:t xml:space="preserve">  </w:t>
      </w:r>
      <w:r>
        <w:rPr>
          <w:rFonts w:hint="eastAsia" w:ascii="宋体" w:hAnsi="宋体" w:eastAsia="宋体" w:cs="宋体"/>
          <w:b/>
          <w:color w:val="auto"/>
          <w:kern w:val="2"/>
          <w:sz w:val="32"/>
          <w:szCs w:val="32"/>
          <w:lang w:val="en-US" w:eastAsia="zh-CN" w:bidi="ar-SA"/>
        </w:rPr>
        <w:t>商务要求响应/偏离表</w:t>
      </w:r>
      <w:bookmarkEnd w:id="230"/>
    </w:p>
    <w:p>
      <w:pPr>
        <w:autoSpaceDE w:val="0"/>
        <w:autoSpaceDN w:val="0"/>
        <w:adjustRightInd w:val="0"/>
        <w:spacing w:line="360" w:lineRule="auto"/>
        <w:ind w:left="-525"/>
        <w:rPr>
          <w:rFonts w:hint="eastAsia" w:ascii="宋体" w:hAnsi="宋体" w:cs="宋体"/>
          <w:b/>
          <w:color w:val="auto"/>
        </w:rPr>
      </w:pPr>
      <w:r>
        <w:rPr>
          <w:rFonts w:hint="eastAsia" w:ascii="宋体" w:hAnsi="宋体" w:cs="宋体"/>
          <w:b/>
          <w:color w:val="auto"/>
        </w:rPr>
        <w:t xml:space="preserve">    </w:t>
      </w:r>
      <w:r>
        <w:rPr>
          <w:rFonts w:hint="eastAsia" w:ascii="宋体" w:hAnsi="宋体" w:eastAsia="宋体" w:cs="宋体"/>
          <w:color w:val="auto"/>
          <w:szCs w:val="24"/>
          <w:u w:val="none"/>
          <w:lang w:eastAsia="zh-CN"/>
        </w:rPr>
        <w:t>项目</w:t>
      </w:r>
      <w:r>
        <w:rPr>
          <w:rFonts w:hint="eastAsia" w:ascii="宋体" w:hAnsi="宋体" w:cs="仿宋_GB2312"/>
          <w:color w:val="auto"/>
          <w:sz w:val="24"/>
          <w:u w:val="none"/>
        </w:rPr>
        <w:t>名称</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 xml:space="preserve">   采购项目编号：</w:t>
      </w:r>
      <w:r>
        <w:rPr>
          <w:rFonts w:hint="eastAsia" w:ascii="宋体" w:hAnsi="宋体" w:cs="仿宋_GB2312"/>
          <w:color w:val="auto"/>
          <w:sz w:val="24"/>
          <w:u w:val="single"/>
        </w:rPr>
        <w:t xml:space="preserve">                   </w:t>
      </w:r>
    </w:p>
    <w:tbl>
      <w:tblPr>
        <w:tblStyle w:val="18"/>
        <w:tblW w:w="9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36"/>
        <w:gridCol w:w="3266"/>
        <w:gridCol w:w="3599"/>
        <w:gridCol w:w="1062"/>
        <w:gridCol w:w="10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7" w:hRule="atLeast"/>
          <w:jc w:val="center"/>
        </w:trPr>
        <w:tc>
          <w:tcPr>
            <w:tcW w:w="836" w:type="dxa"/>
            <w:noWrap w:val="0"/>
            <w:vAlign w:val="center"/>
          </w:tcPr>
          <w:p>
            <w:pPr>
              <w:spacing w:line="360" w:lineRule="auto"/>
              <w:jc w:val="center"/>
              <w:rPr>
                <w:rFonts w:hint="eastAsia" w:ascii="宋体" w:hAnsi="宋体" w:cs="宋体"/>
                <w:b/>
                <w:color w:val="auto"/>
                <w:sz w:val="24"/>
              </w:rPr>
            </w:pPr>
            <w:r>
              <w:rPr>
                <w:rFonts w:hint="eastAsia" w:ascii="宋体" w:hAnsi="宋体" w:cs="宋体"/>
                <w:b/>
                <w:color w:val="auto"/>
                <w:sz w:val="24"/>
              </w:rPr>
              <w:t>序号</w:t>
            </w:r>
          </w:p>
        </w:tc>
        <w:tc>
          <w:tcPr>
            <w:tcW w:w="3266" w:type="dxa"/>
            <w:noWrap w:val="0"/>
            <w:vAlign w:val="center"/>
          </w:tcPr>
          <w:p>
            <w:pPr>
              <w:spacing w:line="360" w:lineRule="auto"/>
              <w:jc w:val="center"/>
              <w:rPr>
                <w:rFonts w:hint="eastAsia" w:ascii="宋体" w:hAnsi="宋体" w:cs="宋体"/>
                <w:b/>
                <w:color w:val="auto"/>
                <w:sz w:val="24"/>
              </w:rPr>
            </w:pPr>
            <w:r>
              <w:rPr>
                <w:rFonts w:hint="eastAsia" w:ascii="宋体" w:hAnsi="宋体" w:cs="宋体"/>
                <w:b/>
                <w:color w:val="auto"/>
                <w:sz w:val="24"/>
              </w:rPr>
              <w:t>竞争性谈判文件商务要求</w:t>
            </w:r>
          </w:p>
        </w:tc>
        <w:tc>
          <w:tcPr>
            <w:tcW w:w="3599" w:type="dxa"/>
            <w:noWrap w:val="0"/>
            <w:vAlign w:val="center"/>
          </w:tcPr>
          <w:p>
            <w:pPr>
              <w:spacing w:line="360" w:lineRule="auto"/>
              <w:jc w:val="center"/>
              <w:rPr>
                <w:rFonts w:hint="eastAsia" w:ascii="宋体" w:hAnsi="宋体" w:cs="宋体"/>
                <w:b/>
                <w:color w:val="auto"/>
                <w:sz w:val="24"/>
              </w:rPr>
            </w:pPr>
            <w:r>
              <w:rPr>
                <w:rFonts w:hint="eastAsia" w:ascii="宋体" w:hAnsi="宋体" w:cs="宋体"/>
                <w:b/>
                <w:color w:val="auto"/>
                <w:sz w:val="24"/>
              </w:rPr>
              <w:t>竞争性谈判响应文件商务响应</w:t>
            </w:r>
          </w:p>
        </w:tc>
        <w:tc>
          <w:tcPr>
            <w:tcW w:w="1062" w:type="dxa"/>
            <w:noWrap w:val="0"/>
            <w:vAlign w:val="center"/>
          </w:tcPr>
          <w:p>
            <w:pPr>
              <w:spacing w:line="360" w:lineRule="auto"/>
              <w:jc w:val="center"/>
              <w:rPr>
                <w:rFonts w:hint="eastAsia" w:ascii="宋体" w:hAnsi="宋体" w:cs="宋体"/>
                <w:b/>
                <w:color w:val="auto"/>
                <w:sz w:val="24"/>
              </w:rPr>
            </w:pPr>
            <w:r>
              <w:rPr>
                <w:rFonts w:hint="eastAsia" w:ascii="宋体" w:hAnsi="宋体" w:cs="宋体"/>
                <w:b/>
                <w:color w:val="auto"/>
                <w:sz w:val="24"/>
              </w:rPr>
              <w:t>偏离情况</w:t>
            </w:r>
          </w:p>
        </w:tc>
        <w:tc>
          <w:tcPr>
            <w:tcW w:w="1087" w:type="dxa"/>
            <w:noWrap w:val="0"/>
            <w:vAlign w:val="center"/>
          </w:tcPr>
          <w:p>
            <w:pPr>
              <w:spacing w:line="360" w:lineRule="auto"/>
              <w:jc w:val="center"/>
              <w:rPr>
                <w:rFonts w:hint="eastAsia" w:ascii="宋体" w:hAnsi="宋体" w:cs="宋体"/>
                <w:b/>
                <w:color w:val="auto"/>
                <w:sz w:val="24"/>
              </w:rPr>
            </w:pPr>
            <w:r>
              <w:rPr>
                <w:rFonts w:hint="eastAsia" w:ascii="宋体" w:hAnsi="宋体" w:cs="宋体"/>
                <w:b/>
                <w:color w:val="auto"/>
                <w:sz w:val="24"/>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rPr>
            </w:pPr>
          </w:p>
        </w:tc>
        <w:tc>
          <w:tcPr>
            <w:tcW w:w="3266" w:type="dxa"/>
            <w:noWrap w:val="0"/>
            <w:vAlign w:val="center"/>
          </w:tcPr>
          <w:p>
            <w:pPr>
              <w:spacing w:line="360" w:lineRule="auto"/>
              <w:jc w:val="center"/>
              <w:rPr>
                <w:rFonts w:hint="eastAsia" w:ascii="宋体" w:hAnsi="宋体" w:cs="宋体"/>
                <w:color w:val="auto"/>
                <w:sz w:val="24"/>
              </w:rPr>
            </w:pPr>
          </w:p>
        </w:tc>
        <w:tc>
          <w:tcPr>
            <w:tcW w:w="3599" w:type="dxa"/>
            <w:noWrap w:val="0"/>
            <w:vAlign w:val="center"/>
          </w:tcPr>
          <w:p>
            <w:pPr>
              <w:spacing w:line="360" w:lineRule="auto"/>
              <w:jc w:val="center"/>
              <w:rPr>
                <w:rFonts w:hint="eastAsia" w:ascii="宋体" w:hAnsi="宋体" w:cs="宋体"/>
                <w:color w:val="auto"/>
                <w:sz w:val="24"/>
              </w:rPr>
            </w:pPr>
          </w:p>
        </w:tc>
        <w:tc>
          <w:tcPr>
            <w:tcW w:w="1062" w:type="dxa"/>
            <w:noWrap w:val="0"/>
            <w:vAlign w:val="center"/>
          </w:tcPr>
          <w:p>
            <w:pPr>
              <w:spacing w:line="360" w:lineRule="auto"/>
              <w:jc w:val="center"/>
              <w:rPr>
                <w:rFonts w:hint="eastAsia" w:ascii="宋体" w:hAnsi="宋体" w:cs="宋体"/>
                <w:color w:val="auto"/>
                <w:sz w:val="24"/>
              </w:rPr>
            </w:pPr>
          </w:p>
        </w:tc>
        <w:tc>
          <w:tcPr>
            <w:tcW w:w="1087" w:type="dxa"/>
            <w:noWrap w:val="0"/>
            <w:vAlign w:val="center"/>
          </w:tcPr>
          <w:p>
            <w:pPr>
              <w:spacing w:line="360" w:lineRule="auto"/>
              <w:jc w:val="center"/>
              <w:rPr>
                <w:rFonts w:hint="eastAsia" w:ascii="宋体" w:hAnsi="宋体" w:cs="宋体"/>
                <w:color w:val="auto"/>
                <w:sz w:val="24"/>
              </w:rPr>
            </w:pPr>
          </w:p>
        </w:tc>
      </w:tr>
    </w:tbl>
    <w:p>
      <w:pPr>
        <w:autoSpaceDE w:val="0"/>
        <w:autoSpaceDN w:val="0"/>
        <w:adjustRightIn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 说明：</w:t>
      </w:r>
    </w:p>
    <w:p>
      <w:pPr>
        <w:numPr>
          <w:ilvl w:val="0"/>
          <w:numId w:val="7"/>
        </w:numPr>
        <w:spacing w:line="360" w:lineRule="auto"/>
        <w:ind w:firstLine="720" w:firstLineChars="300"/>
        <w:rPr>
          <w:rFonts w:hint="eastAsia" w:ascii="宋体" w:hAnsi="宋体" w:cs="宋体"/>
          <w:color w:val="auto"/>
          <w:sz w:val="24"/>
        </w:rPr>
      </w:pPr>
      <w:r>
        <w:rPr>
          <w:rFonts w:hint="eastAsia" w:ascii="宋体" w:hAnsi="宋体" w:cs="宋体"/>
          <w:color w:val="auto"/>
          <w:sz w:val="24"/>
        </w:rPr>
        <w:t>投标文件根据竞争性谈判文件商务要求须</w:t>
      </w:r>
      <w:r>
        <w:rPr>
          <w:rFonts w:hint="eastAsia" w:ascii="宋体" w:hAnsi="宋体" w:cs="宋体"/>
          <w:color w:val="auto"/>
          <w:sz w:val="24"/>
          <w:lang w:val="en-US" w:eastAsia="zh-CN"/>
        </w:rPr>
        <w:t>逐条</w:t>
      </w:r>
      <w:r>
        <w:rPr>
          <w:rFonts w:hint="eastAsia" w:ascii="宋体" w:hAnsi="宋体" w:cs="宋体"/>
          <w:color w:val="auto"/>
          <w:sz w:val="24"/>
        </w:rPr>
        <w:t>如实填写。</w:t>
      </w:r>
    </w:p>
    <w:p>
      <w:pPr>
        <w:spacing w:line="360" w:lineRule="auto"/>
        <w:ind w:firstLine="720" w:firstLineChars="300"/>
        <w:rPr>
          <w:rFonts w:hint="eastAsia" w:ascii="宋体" w:hAnsi="宋体" w:cs="宋体"/>
          <w:color w:val="auto"/>
          <w:sz w:val="24"/>
        </w:rPr>
      </w:pPr>
      <w:r>
        <w:rPr>
          <w:rFonts w:hint="eastAsia" w:ascii="宋体" w:hAnsi="宋体" w:cs="宋体"/>
          <w:color w:val="auto"/>
          <w:sz w:val="24"/>
        </w:rPr>
        <w:t>2、偏离情况填写：正偏离、无偏离、负偏离。响应说明填写：</w:t>
      </w:r>
      <w:r>
        <w:rPr>
          <w:rFonts w:hint="eastAsia" w:ascii="宋体" w:hAnsi="宋体" w:cs="仿宋_GB2312"/>
          <w:color w:val="auto"/>
          <w:sz w:val="24"/>
        </w:rPr>
        <w:t>对偏离情况做出详细说明</w:t>
      </w:r>
      <w:r>
        <w:rPr>
          <w:rFonts w:hint="eastAsia" w:ascii="宋体" w:hAnsi="宋体" w:cs="宋体"/>
          <w:color w:val="auto"/>
          <w:sz w:val="24"/>
        </w:rPr>
        <w:t>。</w:t>
      </w:r>
    </w:p>
    <w:p>
      <w:pPr>
        <w:spacing w:line="360" w:lineRule="auto"/>
        <w:ind w:firstLine="720" w:firstLineChars="300"/>
        <w:rPr>
          <w:rFonts w:hint="eastAsia" w:ascii="宋体" w:hAnsi="宋体" w:cs="宋体"/>
          <w:color w:val="auto"/>
          <w:sz w:val="24"/>
        </w:rPr>
      </w:pPr>
    </w:p>
    <w:p>
      <w:pPr>
        <w:spacing w:line="360" w:lineRule="auto"/>
        <w:ind w:firstLine="720" w:firstLineChars="300"/>
        <w:rPr>
          <w:rFonts w:hint="eastAsia" w:ascii="宋体" w:hAnsi="宋体" w:cs="宋体"/>
          <w:color w:val="auto"/>
          <w:sz w:val="24"/>
        </w:rPr>
      </w:pPr>
    </w:p>
    <w:p>
      <w:pPr>
        <w:spacing w:line="360" w:lineRule="auto"/>
        <w:ind w:right="-161" w:firstLine="2640" w:firstLineChars="1100"/>
        <w:rPr>
          <w:rFonts w:hint="eastAsia" w:ascii="宋体" w:hAnsi="宋体" w:cs="宋体"/>
          <w:color w:val="auto"/>
          <w:sz w:val="24"/>
          <w:u w:val="single"/>
        </w:rPr>
      </w:pPr>
      <w:r>
        <w:rPr>
          <w:rFonts w:hint="eastAsia" w:ascii="宋体" w:hAnsi="宋体" w:cs="宋体"/>
          <w:color w:val="auto"/>
          <w:sz w:val="24"/>
        </w:rPr>
        <w:t>法定代表人或被授权代表签字：</w:t>
      </w:r>
      <w:r>
        <w:rPr>
          <w:rFonts w:hint="eastAsia" w:ascii="宋体" w:hAnsi="宋体" w:cs="宋体"/>
          <w:color w:val="auto"/>
          <w:sz w:val="24"/>
          <w:u w:val="single"/>
        </w:rPr>
        <w:t xml:space="preserve">                          </w:t>
      </w:r>
    </w:p>
    <w:p>
      <w:pPr>
        <w:spacing w:line="360" w:lineRule="auto"/>
        <w:ind w:right="-161" w:firstLine="2640" w:firstLineChars="1100"/>
        <w:rPr>
          <w:rFonts w:hint="eastAsia" w:ascii="宋体" w:hAnsi="宋体" w:cs="宋体"/>
          <w:color w:val="auto"/>
          <w:sz w:val="24"/>
        </w:rPr>
      </w:pPr>
      <w:r>
        <w:rPr>
          <w:rFonts w:hint="eastAsia" w:ascii="宋体" w:hAnsi="宋体" w:cs="宋体"/>
          <w:color w:val="auto"/>
          <w:sz w:val="24"/>
        </w:rPr>
        <w:t>供    应    商 （公   章）：</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right="-161" w:firstLine="2640" w:firstLineChars="1100"/>
        <w:rPr>
          <w:rFonts w:hint="eastAsia" w:ascii="宋体" w:hAnsi="宋体" w:cs="宋体"/>
          <w:color w:val="auto"/>
          <w:sz w:val="24"/>
          <w:u w:val="single"/>
        </w:rPr>
        <w:sectPr>
          <w:headerReference r:id="rId11" w:type="first"/>
          <w:footerReference r:id="rId13" w:type="first"/>
          <w:headerReference r:id="rId10" w:type="default"/>
          <w:footerReference r:id="rId12" w:type="default"/>
          <w:pgSz w:w="11907" w:h="16840"/>
          <w:pgMar w:top="1440" w:right="1800" w:bottom="1440" w:left="1800" w:header="907" w:footer="654" w:gutter="0"/>
          <w:pgNumType w:fmt="decimal"/>
          <w:cols w:space="720" w:num="1"/>
          <w:titlePg/>
          <w:docGrid w:linePitch="312" w:charSpace="0"/>
        </w:sect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4"/>
        <w:numPr>
          <w:ilvl w:val="0"/>
          <w:numId w:val="0"/>
        </w:numPr>
        <w:spacing w:before="0" w:after="480" w:afterLines="200" w:line="240" w:lineRule="auto"/>
        <w:ind w:left="575" w:leftChars="0" w:firstLine="2249" w:firstLineChars="700"/>
        <w:jc w:val="both"/>
        <w:rPr>
          <w:rFonts w:hint="eastAsia" w:ascii="宋体" w:hAnsi="宋体" w:eastAsia="宋体" w:cs="宋体"/>
          <w:b/>
          <w:bCs w:val="0"/>
          <w:color w:val="auto"/>
          <w:kern w:val="2"/>
          <w:sz w:val="32"/>
          <w:szCs w:val="32"/>
          <w:lang w:val="en-US" w:eastAsia="zh-CN" w:bidi="ar-SA"/>
        </w:rPr>
      </w:pPr>
      <w:bookmarkStart w:id="231" w:name="_Toc22345"/>
      <w:r>
        <w:rPr>
          <w:rFonts w:hint="eastAsia" w:ascii="宋体" w:hAnsi="宋体" w:eastAsia="宋体" w:cs="宋体"/>
          <w:b/>
          <w:bCs w:val="0"/>
          <w:color w:val="auto"/>
          <w:kern w:val="2"/>
          <w:sz w:val="32"/>
          <w:szCs w:val="32"/>
          <w:lang w:val="en-US" w:eastAsia="zh-CN" w:bidi="ar-SA"/>
        </w:rPr>
        <w:t>第四部分  技术参数偏离表</w:t>
      </w:r>
      <w:bookmarkEnd w:id="231"/>
    </w:p>
    <w:p>
      <w:pPr>
        <w:pStyle w:val="7"/>
        <w:spacing w:before="120" w:beforeLines="50" w:after="120" w:afterLines="50"/>
        <w:ind w:firstLine="0"/>
        <w:rPr>
          <w:rFonts w:hint="eastAsia" w:ascii="宋体" w:hAnsi="宋体" w:eastAsia="宋体" w:cs="宋体"/>
          <w:color w:val="auto"/>
          <w:lang w:val="en-US" w:eastAsia="zh-CN"/>
        </w:rPr>
      </w:pPr>
      <w:r>
        <w:rPr>
          <w:rFonts w:hint="eastAsia" w:ascii="宋体" w:hAnsi="宋体" w:cs="宋体"/>
          <w:b/>
          <w:color w:val="auto"/>
        </w:rPr>
        <w:t xml:space="preserve">    </w:t>
      </w:r>
      <w:r>
        <w:rPr>
          <w:rFonts w:hint="eastAsia" w:ascii="宋体" w:hAnsi="宋体" w:eastAsia="宋体" w:cs="宋体"/>
          <w:color w:val="auto"/>
          <w:szCs w:val="24"/>
          <w:u w:val="none"/>
          <w:lang w:eastAsia="zh-CN"/>
        </w:rPr>
        <w:t>项目</w:t>
      </w:r>
      <w:r>
        <w:rPr>
          <w:rFonts w:hint="eastAsia" w:ascii="宋体" w:hAnsi="宋体" w:cs="仿宋_GB2312"/>
          <w:color w:val="auto"/>
          <w:sz w:val="24"/>
          <w:u w:val="none"/>
        </w:rPr>
        <w:t>名称</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 xml:space="preserve">   采购项目编号：</w:t>
      </w:r>
      <w:r>
        <w:rPr>
          <w:rFonts w:hint="eastAsia" w:ascii="宋体" w:hAnsi="宋体" w:cs="仿宋_GB2312"/>
          <w:color w:val="auto"/>
          <w:sz w:val="24"/>
          <w:u w:val="single"/>
        </w:rPr>
        <w:t xml:space="preserve">                 </w:t>
      </w:r>
      <w:r>
        <w:rPr>
          <w:rFonts w:hint="eastAsia" w:ascii="宋体" w:hAnsi="宋体" w:eastAsia="宋体" w:cs="宋体"/>
          <w:color w:val="auto"/>
          <w:lang w:val="en-US" w:eastAsia="zh-CN"/>
        </w:rPr>
        <w:t xml:space="preserve">   </w:t>
      </w:r>
    </w:p>
    <w:tbl>
      <w:tblPr>
        <w:tblStyle w:val="18"/>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2005"/>
        <w:gridCol w:w="2402"/>
        <w:gridCol w:w="987"/>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474" w:type="dxa"/>
            <w:noWrap w:val="0"/>
            <w:vAlign w:val="center"/>
          </w:tcPr>
          <w:p>
            <w:pPr>
              <w:adjustRightInd w:val="0"/>
              <w:snapToGrid w:val="0"/>
              <w:ind w:right="23"/>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名称</w:t>
            </w:r>
          </w:p>
        </w:tc>
        <w:tc>
          <w:tcPr>
            <w:tcW w:w="2005"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cs="宋体"/>
                <w:b/>
                <w:color w:val="auto"/>
                <w:sz w:val="24"/>
              </w:rPr>
              <w:t>竞争性谈判文件</w:t>
            </w:r>
            <w:r>
              <w:rPr>
                <w:rFonts w:hint="eastAsia" w:ascii="宋体" w:hAnsi="宋体" w:cs="宋体"/>
                <w:b/>
                <w:color w:val="auto"/>
                <w:sz w:val="24"/>
                <w:lang w:val="en-US" w:eastAsia="zh-CN"/>
              </w:rPr>
              <w:t>技术</w:t>
            </w:r>
            <w:r>
              <w:rPr>
                <w:rFonts w:hint="eastAsia" w:ascii="宋体" w:hAnsi="宋体" w:cs="宋体"/>
                <w:b/>
                <w:color w:val="auto"/>
                <w:sz w:val="24"/>
              </w:rPr>
              <w:t>要求</w:t>
            </w:r>
          </w:p>
        </w:tc>
        <w:tc>
          <w:tcPr>
            <w:tcW w:w="2402"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cs="宋体"/>
                <w:b/>
                <w:color w:val="auto"/>
                <w:sz w:val="24"/>
              </w:rPr>
              <w:t>竞争性谈判响应文件</w:t>
            </w:r>
            <w:r>
              <w:rPr>
                <w:rFonts w:hint="eastAsia" w:ascii="宋体" w:hAnsi="宋体" w:cs="宋体"/>
                <w:b/>
                <w:color w:val="auto"/>
                <w:sz w:val="24"/>
                <w:lang w:val="en-US" w:eastAsia="zh-CN"/>
              </w:rPr>
              <w:t>技术</w:t>
            </w:r>
            <w:r>
              <w:rPr>
                <w:rFonts w:hint="eastAsia" w:ascii="宋体" w:hAnsi="宋体" w:cs="宋体"/>
                <w:b/>
                <w:color w:val="auto"/>
                <w:sz w:val="24"/>
              </w:rPr>
              <w:t>响应</w:t>
            </w:r>
          </w:p>
        </w:tc>
        <w:tc>
          <w:tcPr>
            <w:tcW w:w="987"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eastAsia="宋体" w:cs="宋体"/>
                <w:b/>
                <w:bCs/>
                <w:color w:val="auto"/>
                <w:szCs w:val="21"/>
              </w:rPr>
              <w:t>偏离</w:t>
            </w:r>
          </w:p>
        </w:tc>
        <w:tc>
          <w:tcPr>
            <w:tcW w:w="1538"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eastAsia="宋体" w:cs="宋体"/>
                <w:b/>
                <w:bCs/>
                <w:color w:val="auto"/>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00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40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987"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538" w:type="dxa"/>
            <w:noWrap w:val="0"/>
            <w:vAlign w:val="top"/>
          </w:tcPr>
          <w:p>
            <w:pPr>
              <w:adjustRightInd w:val="0"/>
              <w:snapToGrid w:val="0"/>
              <w:spacing w:line="360" w:lineRule="auto"/>
              <w:ind w:right="24"/>
              <w:rPr>
                <w:rFonts w:hint="eastAsia" w:ascii="宋体" w:hAnsi="宋体" w:eastAsia="宋体" w:cs="宋体"/>
                <w:bCs/>
                <w:color w:val="auto"/>
                <w:sz w:val="24"/>
              </w:rPr>
            </w:pPr>
          </w:p>
        </w:tc>
      </w:tr>
    </w:tbl>
    <w:p>
      <w:pPr>
        <w:spacing w:before="120" w:beforeLines="50" w:line="400" w:lineRule="exact"/>
        <w:ind w:left="-141" w:leftChars="-67"/>
        <w:rPr>
          <w:rFonts w:hint="eastAsia" w:ascii="宋体" w:hAnsi="宋体" w:eastAsia="宋体" w:cs="宋体"/>
          <w:color w:val="auto"/>
          <w:sz w:val="24"/>
          <w:szCs w:val="24"/>
          <w:highlight w:val="none"/>
        </w:rPr>
      </w:pPr>
      <w:r>
        <w:rPr>
          <w:rFonts w:hint="eastAsia" w:ascii="宋体" w:hAnsi="宋体" w:eastAsia="宋体" w:cs="宋体"/>
          <w:color w:val="auto"/>
          <w:szCs w:val="21"/>
        </w:rPr>
        <w:t>注：</w:t>
      </w:r>
      <w:r>
        <w:rPr>
          <w:rFonts w:hint="eastAsia" w:ascii="宋体" w:hAnsi="宋体" w:eastAsia="宋体" w:cs="宋体"/>
          <w:color w:val="auto"/>
          <w:sz w:val="24"/>
          <w:szCs w:val="24"/>
          <w:highlight w:val="none"/>
        </w:rPr>
        <w:t>1.本表只填写</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文件中与</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文件有偏离的内容，</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文件中技术规格及指标响应与</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文件要求完全一致的，不用在此表中列出，但必须提交空白表。如不提供此表，则视为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不满足招标文件的所有技术条款要求，其</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adjustRightInd w:val="0"/>
        <w:spacing w:line="400" w:lineRule="exact"/>
        <w:ind w:firstLine="420" w:firstLineChars="175"/>
        <w:jc w:val="left"/>
        <w:rPr>
          <w:rFonts w:hint="eastAsia" w:ascii="宋体" w:hAnsi="宋体" w:eastAsia="宋体" w:cs="宋体"/>
          <w:bCs/>
          <w:color w:val="auto"/>
          <w:szCs w:val="21"/>
        </w:rPr>
      </w:pPr>
      <w:r>
        <w:rPr>
          <w:rFonts w:hint="eastAsia" w:ascii="宋体" w:hAnsi="宋体" w:eastAsia="宋体" w:cs="宋体"/>
          <w:color w:val="auto"/>
          <w:sz w:val="24"/>
          <w:szCs w:val="24"/>
          <w:highlight w:val="none"/>
        </w:rPr>
        <w:t>2.投标人必须据实填写，不得虚假响应，否则，将取消其投标或中标资格。</w:t>
      </w:r>
    </w:p>
    <w:p>
      <w:pPr>
        <w:adjustRightInd w:val="0"/>
        <w:spacing w:after="240" w:afterLines="100" w:line="400" w:lineRule="exact"/>
        <w:ind w:firstLine="420" w:firstLineChars="175"/>
        <w:jc w:val="left"/>
        <w:rPr>
          <w:rFonts w:hint="eastAsia" w:ascii="宋体" w:hAnsi="宋体" w:cs="仿宋_GB2312"/>
          <w:color w:val="auto"/>
          <w:sz w:val="24"/>
        </w:rPr>
      </w:pPr>
    </w:p>
    <w:p>
      <w:pPr>
        <w:pStyle w:val="2"/>
        <w:rPr>
          <w:rFonts w:hint="eastAsia"/>
          <w:color w:val="auto"/>
        </w:rPr>
      </w:pPr>
    </w:p>
    <w:p>
      <w:pPr>
        <w:adjustRightInd w:val="0"/>
        <w:spacing w:after="240" w:afterLines="100" w:line="360" w:lineRule="auto"/>
        <w:ind w:firstLine="420" w:firstLineChars="175"/>
        <w:jc w:val="left"/>
        <w:rPr>
          <w:rFonts w:hint="eastAsia" w:ascii="宋体" w:hAnsi="宋体" w:eastAsia="宋体" w:cs="宋体"/>
          <w:bCs/>
          <w:color w:val="auto"/>
          <w:sz w:val="24"/>
          <w:szCs w:val="24"/>
        </w:rPr>
      </w:pPr>
      <w:r>
        <w:rPr>
          <w:rFonts w:hint="eastAsia" w:ascii="宋体" w:hAnsi="宋体" w:cs="仿宋_GB2312"/>
          <w:color w:val="auto"/>
          <w:sz w:val="24"/>
          <w:szCs w:val="24"/>
        </w:rPr>
        <w:t>供应商</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（盖单位章）</w:t>
      </w:r>
    </w:p>
    <w:p>
      <w:pPr>
        <w:adjustRightInd w:val="0"/>
        <w:spacing w:before="360" w:beforeLines="150" w:line="360" w:lineRule="auto"/>
        <w:ind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pStyle w:val="2"/>
        <w:rPr>
          <w:rFonts w:hint="eastAsia"/>
          <w:color w:val="auto"/>
        </w:rPr>
      </w:pPr>
    </w:p>
    <w:p>
      <w:pPr>
        <w:spacing w:line="360" w:lineRule="auto"/>
        <w:ind w:right="480"/>
        <w:rPr>
          <w:rFonts w:hint="eastAsia" w:ascii="宋体" w:hAnsi="宋体" w:cs="仿宋_GB2312"/>
          <w:color w:val="auto"/>
          <w:sz w:val="24"/>
          <w:szCs w:val="24"/>
          <w:u w:val="single"/>
        </w:rPr>
        <w:sectPr>
          <w:pgSz w:w="11907" w:h="16840"/>
          <w:pgMar w:top="1440" w:right="1800" w:bottom="1440" w:left="1800" w:header="907" w:footer="654" w:gutter="0"/>
          <w:pgNumType w:fmt="decimal"/>
          <w:cols w:space="720" w:num="1"/>
          <w:titlePg/>
          <w:docGrid w:linePitch="312" w:charSpace="0"/>
        </w:sectPr>
      </w:pPr>
      <w:r>
        <w:rPr>
          <w:rFonts w:hint="eastAsia" w:ascii="宋体" w:hAnsi="宋体" w:cs="仿宋_GB2312"/>
          <w:color w:val="auto"/>
          <w:sz w:val="24"/>
          <w:szCs w:val="24"/>
        </w:rPr>
        <w:t xml:space="preserve"> </w:t>
      </w:r>
      <w:r>
        <w:rPr>
          <w:rFonts w:hint="eastAsia" w:ascii="宋体" w:hAnsi="宋体" w:cs="仿宋_GB2312"/>
          <w:color w:val="auto"/>
          <w:sz w:val="24"/>
          <w:szCs w:val="24"/>
          <w:lang w:val="en-US" w:eastAsia="zh-CN"/>
        </w:rPr>
        <w:t xml:space="preserve">  </w:t>
      </w:r>
      <w:r>
        <w:rPr>
          <w:rFonts w:hint="eastAsia" w:ascii="宋体" w:hAnsi="宋体" w:cs="宋体"/>
          <w:color w:val="auto"/>
          <w:sz w:val="24"/>
          <w:szCs w:val="24"/>
        </w:rPr>
        <w:t>日               期：</w:t>
      </w:r>
      <w:r>
        <w:rPr>
          <w:rFonts w:hint="eastAsia" w:ascii="宋体" w:hAnsi="宋体" w:cs="宋体"/>
          <w:color w:val="auto"/>
          <w:sz w:val="24"/>
          <w:szCs w:val="24"/>
          <w:u w:val="single"/>
        </w:rPr>
        <w:t xml:space="preserve">                     </w:t>
      </w:r>
    </w:p>
    <w:p>
      <w:pPr>
        <w:pStyle w:val="4"/>
        <w:jc w:val="center"/>
        <w:rPr>
          <w:rFonts w:hint="eastAsia" w:ascii="宋体" w:hAnsi="宋体" w:eastAsia="宋体" w:cs="宋体"/>
          <w:color w:val="auto"/>
        </w:rPr>
      </w:pPr>
      <w:bookmarkStart w:id="232" w:name="_Toc11393"/>
      <w:bookmarkStart w:id="233" w:name="_Toc17049"/>
      <w:bookmarkStart w:id="234" w:name="_Toc314237641"/>
      <w:bookmarkStart w:id="235" w:name="_Toc14254"/>
      <w:bookmarkStart w:id="236" w:name="_Toc314237640"/>
      <w:bookmarkStart w:id="237" w:name="_Toc294650223"/>
      <w:bookmarkStart w:id="238" w:name="_Toc14482"/>
      <w:bookmarkStart w:id="239" w:name="_Toc294650465"/>
      <w:bookmarkStart w:id="240" w:name="_Toc294689060"/>
      <w:bookmarkStart w:id="241" w:name="_Toc294650363"/>
      <w:bookmarkStart w:id="242" w:name="_Toc21122"/>
      <w:bookmarkStart w:id="243" w:name="_Toc294649639"/>
      <w:r>
        <w:rPr>
          <w:rFonts w:hint="eastAsia" w:ascii="宋体" w:hAnsi="宋体" w:eastAsia="宋体" w:cs="宋体"/>
          <w:bCs/>
          <w:color w:val="auto"/>
          <w:sz w:val="32"/>
          <w:szCs w:val="32"/>
        </w:rPr>
        <w:t>第</w:t>
      </w:r>
      <w:r>
        <w:rPr>
          <w:rFonts w:hint="eastAsia" w:ascii="宋体" w:hAnsi="宋体" w:eastAsia="宋体" w:cs="宋体"/>
          <w:bCs/>
          <w:color w:val="auto"/>
          <w:sz w:val="32"/>
          <w:szCs w:val="32"/>
          <w:lang w:val="en-US" w:eastAsia="zh-CN"/>
        </w:rPr>
        <w:t>五</w:t>
      </w:r>
      <w:r>
        <w:rPr>
          <w:rFonts w:hint="eastAsia" w:ascii="宋体" w:hAnsi="宋体" w:eastAsia="宋体" w:cs="宋体"/>
          <w:bCs/>
          <w:color w:val="auto"/>
          <w:sz w:val="32"/>
          <w:szCs w:val="32"/>
        </w:rPr>
        <w:t xml:space="preserve">部分   </w:t>
      </w:r>
      <w:bookmarkEnd w:id="232"/>
      <w:bookmarkEnd w:id="233"/>
      <w:bookmarkEnd w:id="234"/>
      <w:r>
        <w:rPr>
          <w:rFonts w:hint="eastAsia" w:ascii="宋体" w:hAnsi="宋体" w:eastAsia="宋体" w:cs="宋体"/>
          <w:bCs/>
          <w:color w:val="auto"/>
          <w:sz w:val="32"/>
          <w:szCs w:val="32"/>
          <w:lang w:val="en-US" w:eastAsia="zh-CN"/>
        </w:rPr>
        <w:t>供应商</w:t>
      </w:r>
      <w:r>
        <w:rPr>
          <w:rFonts w:hint="eastAsia" w:ascii="宋体" w:hAnsi="宋体" w:eastAsia="宋体" w:cs="宋体"/>
          <w:bCs/>
          <w:color w:val="auto"/>
          <w:sz w:val="32"/>
          <w:szCs w:val="32"/>
        </w:rPr>
        <w:t>资格证明文件</w:t>
      </w:r>
      <w:bookmarkEnd w:id="235"/>
    </w:p>
    <w:p>
      <w:pPr>
        <w:spacing w:line="200" w:lineRule="exact"/>
        <w:rPr>
          <w:rFonts w:hint="eastAsia" w:ascii="宋体" w:hAnsi="宋体" w:cs="宋体"/>
          <w:color w:val="auto"/>
        </w:rPr>
      </w:pPr>
    </w:p>
    <w:p>
      <w:pPr>
        <w:spacing w:line="360" w:lineRule="auto"/>
        <w:jc w:val="center"/>
        <w:rPr>
          <w:rFonts w:hint="eastAsia" w:ascii="宋体" w:hAnsi="宋体" w:cs="宋体"/>
          <w:color w:val="auto"/>
          <w:sz w:val="24"/>
        </w:rPr>
      </w:pPr>
    </w:p>
    <w:p>
      <w:pPr>
        <w:pStyle w:val="4"/>
        <w:numPr>
          <w:ilvl w:val="0"/>
          <w:numId w:val="0"/>
        </w:numPr>
        <w:jc w:val="center"/>
        <w:rPr>
          <w:rFonts w:hint="eastAsia" w:ascii="宋体" w:hAnsi="宋体" w:eastAsia="宋体" w:cs="宋体"/>
          <w:color w:val="auto"/>
          <w:lang w:val="en-US" w:eastAsia="zh-CN"/>
        </w:rPr>
        <w:sectPr>
          <w:pgSz w:w="11906" w:h="16838"/>
          <w:pgMar w:top="1440" w:right="1800" w:bottom="1440" w:left="1800" w:header="851" w:footer="992" w:gutter="0"/>
          <w:pgNumType w:fmt="decimal"/>
          <w:cols w:space="720" w:num="1"/>
          <w:docGrid w:type="lines" w:linePitch="312" w:charSpace="0"/>
        </w:sectPr>
      </w:pPr>
    </w:p>
    <w:p>
      <w:pPr>
        <w:spacing w:line="480" w:lineRule="exact"/>
        <w:ind w:left="210" w:leftChars="100"/>
        <w:jc w:val="center"/>
        <w:outlineLvl w:val="1"/>
        <w:rPr>
          <w:rFonts w:hint="eastAsia" w:ascii="宋体" w:hAnsi="宋体" w:cs="宋体"/>
          <w:color w:val="auto"/>
          <w:sz w:val="32"/>
          <w:szCs w:val="32"/>
        </w:rPr>
      </w:pPr>
      <w:bookmarkStart w:id="244" w:name="_Toc931"/>
      <w:r>
        <w:rPr>
          <w:rFonts w:hint="eastAsia" w:ascii="宋体" w:hAnsi="宋体" w:cs="宋体"/>
          <w:b/>
          <w:bCs/>
          <w:color w:val="auto"/>
          <w:sz w:val="32"/>
          <w:szCs w:val="32"/>
        </w:rPr>
        <w:t>第</w:t>
      </w: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 xml:space="preserve">部分   </w:t>
      </w:r>
      <w:bookmarkEnd w:id="236"/>
      <w:bookmarkEnd w:id="237"/>
      <w:bookmarkEnd w:id="238"/>
      <w:bookmarkEnd w:id="239"/>
      <w:bookmarkEnd w:id="240"/>
      <w:bookmarkEnd w:id="241"/>
      <w:bookmarkEnd w:id="242"/>
      <w:bookmarkEnd w:id="243"/>
      <w:bookmarkStart w:id="245" w:name="_Toc308451529"/>
      <w:r>
        <w:rPr>
          <w:rFonts w:hint="eastAsia" w:ascii="宋体" w:hAnsi="宋体" w:cs="宋体"/>
          <w:b/>
          <w:bCs/>
          <w:color w:val="auto"/>
          <w:sz w:val="32"/>
          <w:szCs w:val="32"/>
        </w:rPr>
        <w:t>法定代表人证明书及法定代表人授权书</w:t>
      </w:r>
      <w:bookmarkEnd w:id="244"/>
    </w:p>
    <w:p>
      <w:pPr>
        <w:spacing w:line="480" w:lineRule="exact"/>
        <w:ind w:left="210" w:leftChars="100"/>
        <w:jc w:val="center"/>
        <w:outlineLvl w:val="2"/>
        <w:rPr>
          <w:rFonts w:hint="eastAsia" w:ascii="宋体" w:hAnsi="宋体" w:cs="宋体"/>
          <w:b/>
          <w:bCs/>
          <w:color w:val="auto"/>
          <w:sz w:val="24"/>
        </w:rPr>
      </w:pPr>
      <w:bookmarkStart w:id="246" w:name="_Toc12677"/>
      <w:r>
        <w:rPr>
          <w:rFonts w:hint="eastAsia" w:ascii="宋体" w:hAnsi="宋体" w:cs="宋体"/>
          <w:b/>
          <w:bCs/>
          <w:color w:val="auto"/>
          <w:sz w:val="24"/>
          <w:lang w:val="en-US" w:eastAsia="zh-CN"/>
        </w:rPr>
        <w:t>6</w:t>
      </w:r>
      <w:r>
        <w:rPr>
          <w:rFonts w:hint="eastAsia" w:ascii="宋体" w:hAnsi="宋体" w:cs="宋体"/>
          <w:b/>
          <w:bCs/>
          <w:color w:val="auto"/>
          <w:sz w:val="24"/>
        </w:rPr>
        <w:t>-1、法定代表人证明书</w:t>
      </w:r>
      <w:bookmarkEnd w:id="24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项目名称</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文件编号</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权   限</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办理本次采购项目的谈判、联系、洽谈、签约、执行等具体事务，签署全部有关文件、文书、协议及合同。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有效期</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自提交谈判响应文件的截止之日起</w:t>
            </w:r>
            <w:r>
              <w:rPr>
                <w:rFonts w:hint="eastAsia" w:ascii="宋体" w:hAnsi="宋体" w:cs="宋体"/>
                <w:bCs/>
                <w:caps/>
                <w:color w:val="auto"/>
                <w:sz w:val="24"/>
                <w:u w:val="single"/>
              </w:rPr>
              <w:t xml:space="preserve"> </w:t>
            </w:r>
            <w:r>
              <w:rPr>
                <w:rFonts w:hint="eastAsia" w:ascii="宋体" w:hAnsi="宋体" w:cs="宋体"/>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企业</w:t>
            </w:r>
          </w:p>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信息</w:t>
            </w: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 xml:space="preserve">企 业 名 称 </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法 定 地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统一社会信用代码</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spacing w:line="360" w:lineRule="auto"/>
              <w:rPr>
                <w:rFonts w:hint="eastAsia" w:ascii="宋体" w:hAnsi="宋体" w:cs="宋体"/>
                <w:bCs/>
                <w:caps/>
                <w:color w:val="auto"/>
                <w:sz w:val="24"/>
              </w:rPr>
            </w:pPr>
            <w:r>
              <w:rPr>
                <w:rFonts w:hint="eastAsia" w:ascii="宋体" w:hAnsi="宋体" w:cs="宋体"/>
                <w:bCs/>
                <w:caps/>
                <w:color w:val="auto"/>
                <w:sz w:val="24"/>
              </w:rPr>
              <w:t>工商登记机关</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spacing w:line="360" w:lineRule="auto"/>
              <w:rPr>
                <w:rFonts w:hint="eastAsia" w:ascii="宋体" w:hAnsi="宋体" w:cs="宋体"/>
                <w:bCs/>
                <w:caps/>
                <w:color w:val="auto"/>
                <w:sz w:val="24"/>
              </w:rPr>
            </w:pPr>
            <w:r>
              <w:rPr>
                <w:rFonts w:hint="eastAsia" w:ascii="宋体" w:hAnsi="宋体" w:cs="宋体"/>
                <w:bCs/>
                <w:caps/>
                <w:color w:val="auto"/>
                <w:sz w:val="24"/>
              </w:rPr>
              <w:t>网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法定代</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表人</w:t>
            </w: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姓    名</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3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性    别</w:t>
            </w:r>
          </w:p>
        </w:tc>
        <w:tc>
          <w:tcPr>
            <w:tcW w:w="255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职    务</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3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联系电话</w:t>
            </w:r>
          </w:p>
        </w:tc>
        <w:tc>
          <w:tcPr>
            <w:tcW w:w="255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传    真</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通讯地址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4627" w:type="dxa"/>
            <w:gridSpan w:val="3"/>
            <w:noWrap w:val="0"/>
            <w:vAlign w:val="top"/>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法定代表人签字并盖章：</w:t>
            </w:r>
          </w:p>
        </w:tc>
      </w:tr>
    </w:tbl>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 xml:space="preserve">（供应商单位公章） </w:t>
      </w:r>
    </w:p>
    <w:p>
      <w:pPr>
        <w:spacing w:line="480" w:lineRule="exact"/>
        <w:jc w:val="left"/>
        <w:rPr>
          <w:rFonts w:hint="eastAsia" w:ascii="宋体" w:hAnsi="宋体" w:cs="宋体"/>
          <w:color w:val="auto"/>
          <w:sz w:val="24"/>
        </w:rPr>
      </w:pPr>
      <w:r>
        <w:rPr>
          <w:rFonts w:hint="eastAsia" w:ascii="宋体" w:hAnsi="宋体" w:cs="宋体"/>
          <w:color w:val="auto"/>
          <w:sz w:val="24"/>
        </w:rPr>
        <w:t xml:space="preserve">日 期：  </w:t>
      </w:r>
    </w:p>
    <w:p>
      <w:pPr>
        <w:spacing w:line="480" w:lineRule="exact"/>
        <w:jc w:val="center"/>
        <w:outlineLvl w:val="2"/>
        <w:rPr>
          <w:rFonts w:hint="eastAsia" w:ascii="宋体" w:hAnsi="宋体" w:cs="宋体"/>
          <w:b/>
          <w:bCs/>
          <w:color w:val="auto"/>
          <w:sz w:val="24"/>
        </w:rPr>
      </w:pPr>
      <w:r>
        <w:rPr>
          <w:rFonts w:hint="eastAsia" w:ascii="宋体" w:hAnsi="宋体" w:cs="宋体"/>
          <w:b/>
          <w:bCs/>
          <w:color w:val="auto"/>
          <w:sz w:val="24"/>
        </w:rPr>
        <w:br w:type="page"/>
      </w:r>
      <w:bookmarkStart w:id="247" w:name="_Toc9992"/>
      <w:r>
        <w:rPr>
          <w:rFonts w:hint="eastAsia" w:ascii="宋体" w:hAnsi="宋体" w:cs="宋体"/>
          <w:b/>
          <w:bCs/>
          <w:color w:val="auto"/>
          <w:sz w:val="24"/>
          <w:lang w:val="en-US" w:eastAsia="zh-CN"/>
        </w:rPr>
        <w:t>6</w:t>
      </w:r>
      <w:r>
        <w:rPr>
          <w:rFonts w:hint="eastAsia" w:ascii="宋体" w:hAnsi="宋体" w:cs="宋体"/>
          <w:b/>
          <w:bCs/>
          <w:color w:val="auto"/>
          <w:sz w:val="24"/>
        </w:rPr>
        <w:t>-2、法定代表人授权书</w:t>
      </w:r>
      <w:bookmarkEnd w:id="247"/>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被授</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权项</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目与</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内容</w:t>
            </w:r>
          </w:p>
        </w:tc>
        <w:tc>
          <w:tcPr>
            <w:tcW w:w="124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项目名称</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文件编号</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授权范围</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全权办理本次采购项目的谈判、联系、洽谈、签约、执行等具体事务，签署全部有关文件、文书、协议及合同。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法律责任</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授权期限</w:t>
            </w:r>
          </w:p>
        </w:tc>
        <w:tc>
          <w:tcPr>
            <w:tcW w:w="6553" w:type="dxa"/>
            <w:gridSpan w:val="5"/>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本授权书自提交谈判响应文件的截止之日起</w:t>
            </w:r>
            <w:r>
              <w:rPr>
                <w:rFonts w:hint="eastAsia" w:ascii="宋体" w:hAnsi="宋体" w:cs="宋体"/>
                <w:bCs/>
                <w:caps/>
                <w:color w:val="auto"/>
                <w:sz w:val="24"/>
                <w:u w:val="single"/>
              </w:rPr>
              <w:t xml:space="preserve"> </w:t>
            </w:r>
            <w:r>
              <w:rPr>
                <w:rFonts w:hint="eastAsia" w:ascii="宋体" w:hAnsi="宋体" w:cs="宋体"/>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企业信息</w:t>
            </w:r>
          </w:p>
        </w:tc>
        <w:tc>
          <w:tcPr>
            <w:tcW w:w="2285" w:type="dxa"/>
            <w:gridSpan w:val="2"/>
            <w:noWrap w:val="0"/>
            <w:vAlign w:val="top"/>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 xml:space="preserve">企 业 名 称 </w:t>
            </w:r>
          </w:p>
        </w:tc>
        <w:tc>
          <w:tcPr>
            <w:tcW w:w="5512" w:type="dxa"/>
            <w:gridSpan w:val="4"/>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法 定 地 址</w:t>
            </w:r>
          </w:p>
        </w:tc>
        <w:tc>
          <w:tcPr>
            <w:tcW w:w="5512" w:type="dxa"/>
            <w:gridSpan w:val="4"/>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统一社会信用代码</w:t>
            </w:r>
          </w:p>
        </w:tc>
        <w:tc>
          <w:tcPr>
            <w:tcW w:w="5512" w:type="dxa"/>
            <w:gridSpan w:val="4"/>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法定代表人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手机号码</w:t>
            </w:r>
          </w:p>
        </w:tc>
        <w:tc>
          <w:tcPr>
            <w:tcW w:w="2649" w:type="dxa"/>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被授权人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手机号码</w:t>
            </w:r>
          </w:p>
        </w:tc>
        <w:tc>
          <w:tcPr>
            <w:tcW w:w="2649" w:type="dxa"/>
            <w:noWrap w:val="0"/>
            <w:vAlign w:val="top"/>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通讯地址</w:t>
            </w:r>
          </w:p>
        </w:tc>
        <w:tc>
          <w:tcPr>
            <w:tcW w:w="7797" w:type="dxa"/>
            <w:gridSpan w:val="6"/>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4712" w:type="dxa"/>
            <w:gridSpan w:val="3"/>
            <w:noWrap w:val="0"/>
            <w:vAlign w:val="top"/>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被授权人二代身份证正面复印件或扫描件</w:t>
            </w:r>
          </w:p>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471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被授权人二代身份证反面复印件或扫描件</w:t>
            </w:r>
          </w:p>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noWrap w:val="0"/>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法定代表人及被授权人签字：</w:t>
            </w:r>
          </w:p>
        </w:tc>
      </w:tr>
    </w:tbl>
    <w:p>
      <w:pPr>
        <w:autoSpaceDE w:val="0"/>
        <w:autoSpaceDN w:val="0"/>
        <w:adjustRightInd w:val="0"/>
        <w:snapToGrid w:val="0"/>
        <w:spacing w:line="360" w:lineRule="auto"/>
        <w:rPr>
          <w:rFonts w:hint="eastAsia" w:ascii="宋体" w:hAnsi="宋体" w:cs="宋体"/>
          <w:bCs/>
          <w:caps/>
          <w:color w:val="auto"/>
          <w:sz w:val="24"/>
        </w:rPr>
      </w:pPr>
      <w:r>
        <w:rPr>
          <w:rFonts w:hint="eastAsia" w:ascii="宋体" w:hAnsi="宋体" w:cs="宋体"/>
          <w:bCs/>
          <w:caps/>
          <w:color w:val="auto"/>
          <w:sz w:val="24"/>
        </w:rPr>
        <w:t>供应商名称：</w:t>
      </w:r>
      <w:r>
        <w:rPr>
          <w:rFonts w:hint="eastAsia" w:ascii="宋体" w:hAnsi="宋体" w:cs="宋体"/>
          <w:bCs/>
          <w:caps/>
          <w:color w:val="auto"/>
          <w:sz w:val="24"/>
          <w:u w:val="single"/>
        </w:rPr>
        <w:t xml:space="preserve">             </w:t>
      </w:r>
      <w:r>
        <w:rPr>
          <w:rFonts w:hint="eastAsia" w:ascii="宋体" w:hAnsi="宋体" w:cs="宋体"/>
          <w:bCs/>
          <w:caps/>
          <w:color w:val="auto"/>
          <w:sz w:val="24"/>
        </w:rPr>
        <w:t xml:space="preserve">（供应商单位公章） </w:t>
      </w:r>
    </w:p>
    <w:p>
      <w:pPr>
        <w:autoSpaceDE w:val="0"/>
        <w:autoSpaceDN w:val="0"/>
        <w:adjustRightInd w:val="0"/>
        <w:snapToGrid w:val="0"/>
        <w:spacing w:line="360" w:lineRule="auto"/>
        <w:rPr>
          <w:rFonts w:hint="eastAsia" w:ascii="宋体" w:hAnsi="宋体" w:cs="宋体"/>
          <w:bCs/>
          <w:caps/>
          <w:color w:val="auto"/>
          <w:sz w:val="28"/>
          <w:szCs w:val="28"/>
        </w:rPr>
      </w:pPr>
      <w:r>
        <w:rPr>
          <w:rFonts w:hint="eastAsia" w:ascii="宋体" w:hAnsi="宋体" w:cs="宋体"/>
          <w:bCs/>
          <w:caps/>
          <w:color w:val="auto"/>
          <w:sz w:val="24"/>
        </w:rPr>
        <w:t>日 期</w:t>
      </w:r>
      <w:r>
        <w:rPr>
          <w:rFonts w:hint="eastAsia" w:ascii="宋体" w:hAnsi="宋体" w:cs="宋体"/>
          <w:bCs/>
          <w:caps/>
          <w:color w:val="auto"/>
          <w:sz w:val="28"/>
          <w:szCs w:val="28"/>
        </w:rPr>
        <w:t xml:space="preserve">：       </w:t>
      </w:r>
    </w:p>
    <w:p>
      <w:pPr>
        <w:pStyle w:val="11"/>
        <w:rPr>
          <w:rFonts w:hint="eastAsia" w:ascii="宋体" w:hAnsi="宋体" w:cs="宋体"/>
          <w:color w:val="auto"/>
          <w:sz w:val="24"/>
        </w:rPr>
        <w:sectPr>
          <w:pgSz w:w="11907" w:h="16840"/>
          <w:pgMar w:top="1440" w:right="1800" w:bottom="1440" w:left="1800" w:header="907" w:footer="654" w:gutter="0"/>
          <w:pgNumType w:fmt="decimal"/>
          <w:cols w:space="720" w:num="1"/>
          <w:titlePg/>
          <w:docGrid w:linePitch="312" w:charSpace="0"/>
        </w:sectPr>
      </w:pPr>
    </w:p>
    <w:bookmarkEnd w:id="245"/>
    <w:p>
      <w:pPr>
        <w:pStyle w:val="4"/>
        <w:numPr>
          <w:ilvl w:val="0"/>
          <w:numId w:val="0"/>
        </w:numPr>
        <w:jc w:val="center"/>
        <w:rPr>
          <w:rFonts w:hint="eastAsia" w:ascii="宋体" w:hAnsi="宋体" w:eastAsia="宋体" w:cs="宋体"/>
          <w:color w:val="auto"/>
          <w:lang w:val="en-US" w:eastAsia="zh-CN"/>
        </w:rPr>
      </w:pPr>
      <w:bookmarkStart w:id="248" w:name="_Toc27573"/>
      <w:r>
        <w:rPr>
          <w:rFonts w:hint="eastAsia" w:ascii="宋体" w:hAnsi="宋体" w:eastAsia="宋体" w:cs="宋体"/>
          <w:b/>
          <w:bCs/>
          <w:color w:val="auto"/>
          <w:kern w:val="2"/>
          <w:sz w:val="32"/>
          <w:szCs w:val="32"/>
          <w:lang w:val="en-US" w:eastAsia="zh-CN" w:bidi="ar-SA"/>
        </w:rPr>
        <w:t>第七部分  谈判响应方案</w:t>
      </w:r>
      <w:bookmarkEnd w:id="248"/>
    </w:p>
    <w:p>
      <w:pPr>
        <w:widowControl/>
        <w:spacing w:line="520" w:lineRule="exact"/>
        <w:ind w:firstLine="420" w:firstLineChars="200"/>
        <w:jc w:val="center"/>
        <w:rPr>
          <w:rFonts w:hint="eastAsia" w:ascii="宋体" w:hAnsi="宋体" w:cs="宋体"/>
          <w:bCs/>
          <w:color w:val="auto"/>
          <w:spacing w:val="-4"/>
          <w:sz w:val="24"/>
          <w:szCs w:val="15"/>
        </w:rPr>
      </w:pPr>
      <w:r>
        <w:rPr>
          <w:rFonts w:hint="eastAsia" w:ascii="宋体" w:hAnsi="宋体" w:cs="宋体"/>
          <w:color w:val="auto"/>
        </w:rPr>
        <w:t>(格式自拟</w:t>
      </w:r>
      <w:r>
        <w:rPr>
          <w:rFonts w:hint="eastAsia" w:ascii="宋体" w:hAnsi="宋体" w:cs="宋体"/>
          <w:color w:val="auto"/>
          <w:kern w:val="0"/>
          <w:sz w:val="24"/>
        </w:rPr>
        <w:t>)</w:t>
      </w:r>
    </w:p>
    <w:p>
      <w:pPr>
        <w:tabs>
          <w:tab w:val="left" w:pos="1620"/>
        </w:tabs>
        <w:wordWrap w:val="0"/>
        <w:spacing w:line="500" w:lineRule="exact"/>
        <w:ind w:right="-197" w:rightChars="-94"/>
        <w:rPr>
          <w:rFonts w:hint="eastAsia" w:ascii="宋体" w:hAnsi="宋体" w:cs="宋体"/>
          <w:bCs/>
          <w:color w:val="auto"/>
          <w:spacing w:val="-4"/>
          <w:sz w:val="24"/>
          <w:szCs w:val="15"/>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4"/>
        <w:jc w:val="center"/>
        <w:rPr>
          <w:rFonts w:hint="eastAsia" w:ascii="宋体" w:hAnsi="宋体" w:eastAsia="宋体" w:cs="宋体"/>
          <w:bCs/>
          <w:color w:val="auto"/>
          <w:sz w:val="32"/>
          <w:szCs w:val="32"/>
        </w:rPr>
        <w:sectPr>
          <w:pgSz w:w="11906" w:h="16838"/>
          <w:pgMar w:top="1440" w:right="1800" w:bottom="1440" w:left="1800" w:header="851" w:footer="992" w:gutter="0"/>
          <w:pgNumType w:fmt="decimal"/>
          <w:cols w:space="720" w:num="1"/>
          <w:docGrid w:type="lines" w:linePitch="312" w:charSpace="0"/>
        </w:sectPr>
      </w:pPr>
      <w:bookmarkStart w:id="249" w:name="_Toc314237643"/>
      <w:bookmarkStart w:id="250" w:name="_Toc30287"/>
    </w:p>
    <w:p>
      <w:pPr>
        <w:pStyle w:val="4"/>
        <w:jc w:val="both"/>
        <w:rPr>
          <w:rFonts w:hint="eastAsia" w:ascii="宋体" w:hAnsi="宋体" w:eastAsia="宋体" w:cs="宋体"/>
          <w:color w:val="auto"/>
          <w:sz w:val="32"/>
          <w:szCs w:val="32"/>
        </w:rPr>
      </w:pPr>
      <w:bookmarkStart w:id="251" w:name="_Toc1536"/>
      <w:r>
        <w:rPr>
          <w:rFonts w:hint="eastAsia" w:ascii="宋体" w:hAnsi="宋体" w:eastAsia="宋体" w:cs="宋体"/>
          <w:bCs/>
          <w:color w:val="auto"/>
          <w:sz w:val="32"/>
          <w:szCs w:val="32"/>
        </w:rPr>
        <w:t>第</w:t>
      </w: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 xml:space="preserve">部分  </w:t>
      </w:r>
      <w:bookmarkEnd w:id="249"/>
      <w:bookmarkEnd w:id="250"/>
      <w:bookmarkStart w:id="252" w:name="_Toc342554739"/>
      <w:bookmarkStart w:id="253" w:name="_Toc56"/>
      <w:bookmarkStart w:id="254" w:name="_Toc17397"/>
      <w:bookmarkStart w:id="255" w:name="_Toc16244"/>
      <w:bookmarkStart w:id="256" w:name="_Toc11236"/>
      <w:bookmarkStart w:id="257" w:name="_Toc342726909"/>
      <w:bookmarkStart w:id="258" w:name="_Toc21232"/>
      <w:bookmarkStart w:id="259" w:name="_Toc13753"/>
      <w:bookmarkStart w:id="260" w:name="_Toc356251333"/>
      <w:r>
        <w:rPr>
          <w:rFonts w:hint="eastAsia" w:ascii="宋体" w:hAnsi="宋体" w:eastAsia="宋体" w:cs="宋体"/>
          <w:color w:val="auto"/>
          <w:sz w:val="32"/>
          <w:szCs w:val="32"/>
        </w:rPr>
        <w:t xml:space="preserve"> </w:t>
      </w:r>
      <w:bookmarkEnd w:id="252"/>
      <w:bookmarkStart w:id="261" w:name="_Toc342554740"/>
      <w:r>
        <w:rPr>
          <w:rFonts w:hint="eastAsia" w:ascii="宋体" w:hAnsi="宋体" w:eastAsia="宋体" w:cs="宋体"/>
          <w:color w:val="auto"/>
          <w:sz w:val="32"/>
          <w:szCs w:val="32"/>
        </w:rPr>
        <w:t xml:space="preserve"> 供应商拒绝政府采购领域商业贿赂承诺书</w:t>
      </w:r>
      <w:bookmarkEnd w:id="251"/>
      <w:bookmarkEnd w:id="253"/>
      <w:bookmarkEnd w:id="254"/>
      <w:bookmarkEnd w:id="255"/>
      <w:bookmarkEnd w:id="256"/>
      <w:bookmarkEnd w:id="257"/>
      <w:bookmarkEnd w:id="258"/>
      <w:bookmarkEnd w:id="259"/>
      <w:bookmarkEnd w:id="260"/>
      <w:bookmarkEnd w:id="261"/>
    </w:p>
    <w:p>
      <w:pPr>
        <w:jc w:val="center"/>
        <w:rPr>
          <w:rFonts w:hint="eastAsia" w:ascii="宋体" w:hAnsi="宋体" w:cs="宋体"/>
          <w:b/>
          <w:color w:val="auto"/>
          <w:sz w:val="32"/>
          <w:szCs w:val="32"/>
        </w:rPr>
      </w:pPr>
      <w:r>
        <w:rPr>
          <w:rFonts w:hint="eastAsia" w:ascii="宋体" w:hAnsi="宋体" w:cs="宋体"/>
          <w:b/>
          <w:color w:val="auto"/>
          <w:sz w:val="32"/>
          <w:szCs w:val="32"/>
        </w:rPr>
        <w:t>承诺书（一）</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为响应党中央、国务院关于治理政府采购领域商业贿赂行为的号召，我单位在此庄严承诺：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1、在参与政府采购活动中遵纪守法、诚信经营、公平竞标。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2、不向政府采购人、采购代理机构和政府采购评审专家进行任何形式的商业贿赂以谋取交易机会。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3、不向政府采购代理机构和采购人提供虚假资质文件或采用虚假应标方式参与政府采购市场竞争并谋取中标、成交。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4、不采取“围标、陪标”等商业欺诈手段获得政府采购定单。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5、不采取不正当手段低毁、排挤其他供应商。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6、不在提供商品和服务时“偷梁换柱、以次充好”损害采购人的合法权益。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7、不与采购人、采购代理机构政府采购评审专家或其它供应商恶意串通，进行质疑和投诉，维护政府采购市场秩序。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8、尊重和接受政府采购监督管理部门的监督和政府采购代理机构招标采购要求，承担因违约行为给采购人造成的损失。 </w:t>
      </w:r>
    </w:p>
    <w:p>
      <w:pPr>
        <w:widowControl/>
        <w:spacing w:line="52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 xml:space="preserve">9、不发生其他有悖于政府采购公开、公平、公正和诚信原则的行为。 </w:t>
      </w:r>
    </w:p>
    <w:p>
      <w:pPr>
        <w:widowControl/>
        <w:spacing w:line="52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pacing w:line="520" w:lineRule="exact"/>
        <w:ind w:firstLine="720" w:firstLineChars="300"/>
        <w:jc w:val="left"/>
        <w:rPr>
          <w:rFonts w:hint="eastAsia" w:ascii="宋体" w:hAnsi="宋体" w:cs="宋体"/>
          <w:color w:val="auto"/>
          <w:kern w:val="0"/>
          <w:sz w:val="24"/>
        </w:rPr>
      </w:pPr>
      <w:r>
        <w:rPr>
          <w:rFonts w:hint="eastAsia" w:ascii="宋体" w:hAnsi="宋体" w:cs="宋体"/>
          <w:color w:val="auto"/>
          <w:kern w:val="0"/>
          <w:sz w:val="24"/>
        </w:rPr>
        <w:t>承诺单位：</w:t>
      </w:r>
      <w:r>
        <w:rPr>
          <w:rFonts w:hint="eastAsia" w:ascii="宋体" w:hAnsi="宋体" w:cs="宋体"/>
          <w:color w:val="auto"/>
          <w:kern w:val="0"/>
          <w:sz w:val="24"/>
          <w:u w:val="single"/>
        </w:rPr>
        <w:t>　　                        　</w:t>
      </w:r>
      <w:r>
        <w:rPr>
          <w:rFonts w:hint="eastAsia" w:ascii="宋体" w:hAnsi="宋体" w:cs="宋体"/>
          <w:color w:val="auto"/>
          <w:kern w:val="0"/>
          <w:sz w:val="24"/>
        </w:rPr>
        <w:t>（盖章）</w:t>
      </w:r>
    </w:p>
    <w:p>
      <w:pPr>
        <w:widowControl/>
        <w:spacing w:line="520" w:lineRule="exact"/>
        <w:ind w:firstLine="720" w:firstLineChars="300"/>
        <w:jc w:val="left"/>
        <w:rPr>
          <w:rFonts w:hint="eastAsia" w:ascii="宋体" w:hAnsi="宋体" w:cs="宋体"/>
          <w:color w:val="auto"/>
          <w:kern w:val="0"/>
          <w:sz w:val="24"/>
        </w:rPr>
      </w:pPr>
      <w:r>
        <w:rPr>
          <w:rFonts w:hint="eastAsia" w:ascii="宋体" w:hAnsi="宋体" w:cs="宋体"/>
          <w:color w:val="auto"/>
          <w:kern w:val="0"/>
          <w:sz w:val="24"/>
        </w:rPr>
        <w:t>全权代表：</w:t>
      </w:r>
      <w:r>
        <w:rPr>
          <w:rFonts w:hint="eastAsia" w:ascii="宋体" w:hAnsi="宋体" w:cs="宋体"/>
          <w:color w:val="auto"/>
          <w:kern w:val="0"/>
          <w:sz w:val="24"/>
          <w:u w:val="single"/>
        </w:rPr>
        <w:t>　　　　　     　　　       　</w:t>
      </w:r>
      <w:r>
        <w:rPr>
          <w:rFonts w:hint="eastAsia" w:ascii="宋体" w:hAnsi="宋体" w:cs="宋体"/>
          <w:color w:val="auto"/>
          <w:kern w:val="0"/>
          <w:sz w:val="24"/>
        </w:rPr>
        <w:t>（签字）</w:t>
      </w:r>
    </w:p>
    <w:p>
      <w:pPr>
        <w:widowControl/>
        <w:spacing w:line="520" w:lineRule="exact"/>
        <w:ind w:firstLine="720" w:firstLineChars="300"/>
        <w:jc w:val="left"/>
        <w:rPr>
          <w:rFonts w:hint="eastAsia" w:ascii="宋体" w:hAnsi="宋体" w:cs="宋体"/>
          <w:color w:val="auto"/>
          <w:kern w:val="0"/>
          <w:sz w:val="24"/>
          <w:u w:val="single"/>
        </w:rPr>
      </w:pPr>
      <w:r>
        <w:rPr>
          <w:rFonts w:hint="eastAsia" w:ascii="宋体" w:hAnsi="宋体" w:cs="宋体"/>
          <w:color w:val="auto"/>
          <w:kern w:val="0"/>
          <w:sz w:val="24"/>
        </w:rPr>
        <w:t>地　　址：</w:t>
      </w:r>
      <w:r>
        <w:rPr>
          <w:rFonts w:hint="eastAsia" w:ascii="宋体" w:hAnsi="宋体" w:cs="宋体"/>
          <w:color w:val="auto"/>
          <w:kern w:val="0"/>
          <w:sz w:val="24"/>
          <w:u w:val="single"/>
        </w:rPr>
        <w:t xml:space="preserve">                              </w:t>
      </w:r>
    </w:p>
    <w:p>
      <w:pPr>
        <w:widowControl/>
        <w:spacing w:line="520" w:lineRule="exact"/>
        <w:ind w:firstLine="720" w:firstLineChars="300"/>
        <w:jc w:val="left"/>
        <w:rPr>
          <w:rFonts w:hint="eastAsia" w:ascii="宋体" w:hAnsi="宋体" w:cs="宋体"/>
          <w:color w:val="auto"/>
          <w:kern w:val="0"/>
          <w:sz w:val="24"/>
          <w:u w:val="single"/>
        </w:rPr>
      </w:pPr>
      <w:r>
        <w:rPr>
          <w:rFonts w:hint="eastAsia" w:ascii="宋体" w:hAnsi="宋体" w:cs="宋体"/>
          <w:color w:val="auto"/>
          <w:kern w:val="0"/>
          <w:sz w:val="24"/>
        </w:rPr>
        <w:t>邮    编：</w:t>
      </w:r>
      <w:r>
        <w:rPr>
          <w:rFonts w:hint="eastAsia" w:ascii="宋体" w:hAnsi="宋体" w:cs="宋体"/>
          <w:color w:val="auto"/>
          <w:kern w:val="0"/>
          <w:sz w:val="24"/>
          <w:u w:val="single"/>
        </w:rPr>
        <w:t xml:space="preserve">　　                     　　 </w:t>
      </w:r>
    </w:p>
    <w:p>
      <w:pPr>
        <w:widowControl/>
        <w:spacing w:line="520" w:lineRule="exact"/>
        <w:ind w:firstLine="720" w:firstLineChars="300"/>
        <w:jc w:val="left"/>
        <w:rPr>
          <w:rFonts w:hint="eastAsia" w:ascii="宋体" w:hAnsi="宋体" w:eastAsia="宋体" w:cs="宋体"/>
          <w:color w:val="auto"/>
          <w:kern w:val="0"/>
          <w:sz w:val="24"/>
          <w:u w:val="single"/>
          <w:lang w:eastAsia="zh-CN"/>
        </w:rPr>
      </w:pPr>
      <w:r>
        <w:rPr>
          <w:rFonts w:hint="eastAsia" w:ascii="宋体" w:hAnsi="宋体" w:cs="宋体"/>
          <w:color w:val="auto"/>
          <w:kern w:val="0"/>
          <w:sz w:val="24"/>
        </w:rPr>
        <w:t>电　　话：</w:t>
      </w:r>
      <w:r>
        <w:rPr>
          <w:rFonts w:hint="eastAsia" w:ascii="宋体" w:hAnsi="宋体" w:cs="宋体"/>
          <w:color w:val="auto"/>
          <w:kern w:val="0"/>
          <w:sz w:val="24"/>
          <w:u w:val="single"/>
        </w:rPr>
        <w:t>　　　                　　　　</w:t>
      </w:r>
    </w:p>
    <w:p>
      <w:pPr>
        <w:widowControl/>
        <w:spacing w:line="520" w:lineRule="exact"/>
        <w:ind w:firstLine="720" w:firstLineChars="300"/>
        <w:jc w:val="left"/>
        <w:rPr>
          <w:rFonts w:hint="eastAsia" w:ascii="宋体" w:hAnsi="宋体" w:cs="宋体"/>
          <w:color w:val="auto"/>
          <w:kern w:val="0"/>
          <w:sz w:val="24"/>
        </w:rPr>
      </w:pPr>
      <w:r>
        <w:rPr>
          <w:rFonts w:hint="eastAsia" w:ascii="宋体" w:hAnsi="宋体" w:cs="宋体"/>
          <w:color w:val="auto"/>
          <w:kern w:val="0"/>
          <w:sz w:val="24"/>
        </w:rPr>
        <w:t xml:space="preserve">　　　　                                    </w:t>
      </w:r>
    </w:p>
    <w:p>
      <w:pPr>
        <w:widowControl/>
        <w:spacing w:line="520" w:lineRule="exact"/>
        <w:ind w:firstLine="720" w:firstLineChars="300"/>
        <w:jc w:val="right"/>
        <w:rPr>
          <w:rFonts w:hint="eastAsia" w:ascii="宋体" w:hAnsi="宋体" w:cs="宋体"/>
          <w:color w:val="auto"/>
          <w:kern w:val="0"/>
          <w:sz w:val="28"/>
          <w:szCs w:val="28"/>
        </w:rPr>
      </w:pPr>
      <w:r>
        <w:rPr>
          <w:rFonts w:hint="eastAsia" w:ascii="宋体" w:hAnsi="宋体" w:cs="宋体"/>
          <w:color w:val="auto"/>
          <w:kern w:val="0"/>
          <w:sz w:val="24"/>
        </w:rPr>
        <w:t xml:space="preserve">  年　　月　　日   </w:t>
      </w:r>
      <w:r>
        <w:rPr>
          <w:rFonts w:hint="eastAsia" w:ascii="宋体" w:hAnsi="宋体" w:cs="宋体"/>
          <w:color w:val="auto"/>
          <w:kern w:val="0"/>
          <w:sz w:val="28"/>
          <w:szCs w:val="28"/>
        </w:rPr>
        <w:t xml:space="preserve">     </w:t>
      </w:r>
    </w:p>
    <w:p>
      <w:pPr>
        <w:widowControl/>
        <w:spacing w:line="520" w:lineRule="exact"/>
        <w:ind w:firstLine="840" w:firstLineChars="300"/>
        <w:jc w:val="right"/>
        <w:rPr>
          <w:rFonts w:hint="eastAsia" w:ascii="宋体" w:hAnsi="宋体" w:cs="宋体"/>
          <w:color w:val="auto"/>
          <w:kern w:val="0"/>
          <w:sz w:val="28"/>
          <w:szCs w:val="28"/>
        </w:rPr>
      </w:pPr>
    </w:p>
    <w:p>
      <w:pPr>
        <w:widowControl/>
        <w:spacing w:line="520" w:lineRule="exact"/>
        <w:jc w:val="center"/>
        <w:rPr>
          <w:rFonts w:hint="eastAsia" w:ascii="宋体" w:hAnsi="宋体" w:cs="宋体"/>
          <w:b/>
          <w:color w:val="auto"/>
          <w:sz w:val="32"/>
          <w:szCs w:val="32"/>
        </w:rPr>
      </w:pPr>
      <w:r>
        <w:rPr>
          <w:rFonts w:hint="eastAsia" w:ascii="宋体" w:hAnsi="宋体" w:cs="宋体"/>
          <w:b/>
          <w:color w:val="auto"/>
          <w:sz w:val="32"/>
          <w:szCs w:val="32"/>
        </w:rPr>
        <w:t>承诺书（二）</w:t>
      </w:r>
    </w:p>
    <w:p>
      <w:pPr>
        <w:spacing w:line="360" w:lineRule="atLeast"/>
        <w:jc w:val="center"/>
        <w:rPr>
          <w:rFonts w:hint="eastAsia" w:ascii="宋体" w:hAnsi="宋体" w:cs="宋体"/>
          <w:b/>
          <w:color w:val="auto"/>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spacing w:line="360" w:lineRule="atLeast"/>
              <w:rPr>
                <w:rFonts w:hint="eastAsia" w:ascii="宋体" w:hAnsi="宋体" w:cs="宋体"/>
                <w:color w:val="auto"/>
                <w:sz w:val="24"/>
              </w:rPr>
            </w:pPr>
            <w:r>
              <w:rPr>
                <w:rFonts w:hint="eastAsia" w:ascii="宋体" w:hAnsi="宋体" w:cs="宋体"/>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32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 xml:space="preserve"> 供应商</w:t>
            </w:r>
          </w:p>
        </w:tc>
        <w:tc>
          <w:tcPr>
            <w:tcW w:w="342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pPr>
        <w:spacing w:line="360" w:lineRule="atLeast"/>
        <w:jc w:val="center"/>
        <w:rPr>
          <w:rFonts w:hint="eastAsia" w:ascii="宋体" w:hAnsi="宋体" w:cs="宋体"/>
          <w:b/>
          <w:color w:val="auto"/>
          <w:sz w:val="32"/>
          <w:szCs w:val="32"/>
        </w:rPr>
      </w:pPr>
    </w:p>
    <w:p>
      <w:pPr>
        <w:spacing w:line="360" w:lineRule="atLeast"/>
        <w:jc w:val="center"/>
        <w:rPr>
          <w:rFonts w:hint="eastAsia" w:ascii="宋体" w:hAnsi="宋体" w:cs="宋体"/>
          <w:b/>
          <w:color w:val="auto"/>
          <w:sz w:val="32"/>
          <w:szCs w:val="32"/>
        </w:rPr>
      </w:pPr>
      <w:r>
        <w:rPr>
          <w:rFonts w:hint="eastAsia" w:ascii="宋体" w:hAnsi="宋体" w:cs="宋体"/>
          <w:b/>
          <w:color w:val="auto"/>
          <w:sz w:val="32"/>
          <w:szCs w:val="32"/>
        </w:rPr>
        <w:t>承诺书（三）</w:t>
      </w:r>
    </w:p>
    <w:p>
      <w:pPr>
        <w:spacing w:line="360" w:lineRule="atLeast"/>
        <w:jc w:val="center"/>
        <w:rPr>
          <w:rFonts w:hint="eastAsia" w:ascii="宋体" w:hAnsi="宋体" w:cs="宋体"/>
          <w:b/>
          <w:color w:val="auto"/>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cs="宋体"/>
                <w:color w:val="auto"/>
                <w:sz w:val="24"/>
              </w:rPr>
            </w:pPr>
            <w:r>
              <w:rPr>
                <w:rFonts w:hint="eastAsia" w:ascii="宋体" w:hAnsi="宋体" w:cs="宋体"/>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作为参加贵公司组织的本次招标项目的供应商，本公司郑重申告并承诺：近三年受到有关行政主管部门的行政处理、不良行为记录为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供应商</w:t>
            </w:r>
          </w:p>
        </w:tc>
        <w:tc>
          <w:tcPr>
            <w:tcW w:w="342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pPr>
        <w:spacing w:line="360" w:lineRule="atLeast"/>
        <w:jc w:val="center"/>
        <w:rPr>
          <w:rFonts w:hint="eastAsia" w:ascii="宋体" w:hAnsi="宋体" w:cs="宋体"/>
          <w:b/>
          <w:color w:val="auto"/>
          <w:sz w:val="32"/>
          <w:szCs w:val="32"/>
        </w:rPr>
      </w:pPr>
    </w:p>
    <w:p>
      <w:pPr>
        <w:spacing w:line="360" w:lineRule="atLeast"/>
        <w:jc w:val="center"/>
        <w:rPr>
          <w:rFonts w:hint="eastAsia" w:ascii="宋体" w:hAnsi="宋体" w:cs="宋体"/>
          <w:b/>
          <w:color w:val="auto"/>
          <w:sz w:val="32"/>
          <w:szCs w:val="32"/>
        </w:rPr>
      </w:pPr>
      <w:r>
        <w:rPr>
          <w:rFonts w:hint="eastAsia" w:ascii="宋体" w:hAnsi="宋体" w:cs="宋体"/>
          <w:b/>
          <w:color w:val="auto"/>
          <w:sz w:val="32"/>
          <w:szCs w:val="32"/>
        </w:rPr>
        <w:t>承诺书（四）</w:t>
      </w:r>
    </w:p>
    <w:p>
      <w:pPr>
        <w:spacing w:line="360" w:lineRule="atLeast"/>
        <w:jc w:val="center"/>
        <w:rPr>
          <w:rFonts w:hint="eastAsia" w:ascii="宋体" w:hAnsi="宋体" w:cs="宋体"/>
          <w:b/>
          <w:color w:val="auto"/>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cs="宋体"/>
                <w:color w:val="auto"/>
                <w:sz w:val="24"/>
              </w:rPr>
            </w:pPr>
            <w:r>
              <w:rPr>
                <w:rFonts w:hint="eastAsia" w:ascii="宋体" w:hAnsi="宋体" w:cs="宋体"/>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作为参加贵公司组织的本次招标项目的供应商，本公司郑重申告：近三年因产品供货问题（水货、替代品、次品、翻新品等）的不法行为记录为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p>
            <w:pPr>
              <w:spacing w:line="360" w:lineRule="atLeast"/>
              <w:ind w:firstLine="480" w:firstLineChars="200"/>
              <w:rPr>
                <w:rFonts w:hint="eastAsia" w:ascii="宋体" w:hAnsi="宋体" w:cs="宋体"/>
                <w:color w:val="auto"/>
                <w:sz w:val="24"/>
              </w:rPr>
            </w:pPr>
            <w:r>
              <w:rPr>
                <w:rFonts w:hint="eastAsia" w:ascii="宋体" w:hAnsi="宋体" w:cs="宋体"/>
                <w:color w:val="auto"/>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供应商</w:t>
            </w:r>
          </w:p>
        </w:tc>
        <w:tc>
          <w:tcPr>
            <w:tcW w:w="342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pPr>
        <w:spacing w:line="360" w:lineRule="atLeast"/>
        <w:jc w:val="center"/>
        <w:rPr>
          <w:rFonts w:hint="eastAsia" w:ascii="宋体" w:hAnsi="宋体" w:cs="宋体"/>
          <w:b/>
          <w:color w:val="auto"/>
          <w:sz w:val="32"/>
          <w:szCs w:val="32"/>
        </w:rPr>
      </w:pPr>
    </w:p>
    <w:p>
      <w:pPr>
        <w:spacing w:line="360" w:lineRule="atLeast"/>
        <w:jc w:val="center"/>
        <w:rPr>
          <w:rFonts w:hint="eastAsia" w:ascii="宋体" w:hAnsi="宋体" w:cs="宋体"/>
          <w:b/>
          <w:color w:val="auto"/>
          <w:sz w:val="32"/>
          <w:szCs w:val="32"/>
        </w:rPr>
      </w:pPr>
    </w:p>
    <w:p>
      <w:pPr>
        <w:spacing w:line="360" w:lineRule="atLeast"/>
        <w:jc w:val="center"/>
        <w:rPr>
          <w:rFonts w:hint="eastAsia" w:ascii="宋体" w:hAnsi="宋体" w:cs="宋体"/>
          <w:b/>
          <w:color w:val="auto"/>
          <w:sz w:val="32"/>
          <w:szCs w:val="32"/>
        </w:rPr>
      </w:pPr>
      <w:r>
        <w:rPr>
          <w:rFonts w:hint="eastAsia" w:ascii="宋体" w:hAnsi="宋体" w:cs="宋体"/>
          <w:b/>
          <w:color w:val="auto"/>
          <w:sz w:val="32"/>
          <w:szCs w:val="32"/>
        </w:rPr>
        <w:t>承诺书（五）</w:t>
      </w:r>
    </w:p>
    <w:p>
      <w:pPr>
        <w:spacing w:line="360" w:lineRule="atLeast"/>
        <w:jc w:val="center"/>
        <w:rPr>
          <w:rFonts w:hint="eastAsia" w:ascii="宋体" w:hAnsi="宋体" w:cs="宋体"/>
          <w:b/>
          <w:color w:val="auto"/>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cs="宋体"/>
                <w:color w:val="auto"/>
                <w:sz w:val="24"/>
              </w:rPr>
            </w:pPr>
            <w:r>
              <w:rPr>
                <w:rFonts w:hint="eastAsia" w:ascii="宋体" w:hAnsi="宋体" w:cs="宋体"/>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供应商</w:t>
            </w:r>
          </w:p>
        </w:tc>
        <w:tc>
          <w:tcPr>
            <w:tcW w:w="342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pPr>
        <w:rPr>
          <w:rFonts w:hint="eastAsia" w:ascii="宋体" w:hAnsi="宋体" w:cs="宋体"/>
          <w:color w:val="auto"/>
        </w:rPr>
        <w:sectPr>
          <w:pgSz w:w="11906" w:h="16838"/>
          <w:pgMar w:top="1440" w:right="1800" w:bottom="1440" w:left="1800" w:header="851" w:footer="992" w:gutter="0"/>
          <w:pgNumType w:fmt="decimal"/>
          <w:cols w:space="720" w:num="1"/>
          <w:docGrid w:type="lines" w:linePitch="312" w:charSpace="0"/>
        </w:sectPr>
      </w:pPr>
    </w:p>
    <w:p>
      <w:pPr>
        <w:pStyle w:val="15"/>
        <w:shd w:val="clear" w:color="auto" w:fill="FFFFFF"/>
        <w:adjustRightInd w:val="0"/>
        <w:snapToGrid w:val="0"/>
        <w:spacing w:before="0" w:beforeAutospacing="0" w:after="0" w:afterAutospacing="0" w:line="360" w:lineRule="auto"/>
        <w:ind w:firstLine="480"/>
        <w:jc w:val="center"/>
        <w:rPr>
          <w:rFonts w:hint="eastAsia" w:eastAsia="宋体"/>
          <w:color w:val="auto"/>
          <w:lang w:eastAsia="zh-CN"/>
        </w:rPr>
      </w:pPr>
      <w:bookmarkStart w:id="262" w:name="_Toc25732"/>
      <w:bookmarkStart w:id="263" w:name="_Toc23423"/>
      <w:bookmarkStart w:id="264" w:name="_Toc1084"/>
      <w:r>
        <w:rPr>
          <w:rFonts w:hint="eastAsia"/>
          <w:color w:val="auto"/>
          <w:shd w:val="clear" w:color="auto" w:fill="FFFFFF"/>
          <w:lang w:eastAsia="zh-CN"/>
        </w:rPr>
        <w:t>榆林市政府采购服务类项目供应商信用承诺书</w:t>
      </w:r>
    </w:p>
    <w:p>
      <w:pPr>
        <w:pStyle w:val="15"/>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市场主体名称：</w:t>
      </w:r>
    </w:p>
    <w:p>
      <w:pPr>
        <w:pStyle w:val="15"/>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证件类型：统一社会信用代码</w:t>
      </w:r>
    </w:p>
    <w:p>
      <w:pPr>
        <w:pStyle w:val="15"/>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证件号码：</w:t>
      </w:r>
    </w:p>
    <w:p>
      <w:pPr>
        <w:pStyle w:val="15"/>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法人代表：</w:t>
      </w:r>
    </w:p>
    <w:p>
      <w:pPr>
        <w:pStyle w:val="15"/>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承诺有效期限：    年     月    日—    年    月      日</w:t>
      </w:r>
    </w:p>
    <w:p>
      <w:pPr>
        <w:pStyle w:val="15"/>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承诺内容：</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为维护公开、公平、公正的政府采购市场秩序</w:t>
      </w:r>
      <w:bookmarkStart w:id="403" w:name="_GoBack"/>
      <w:bookmarkEnd w:id="403"/>
      <w:r>
        <w:rPr>
          <w:rFonts w:hint="eastAsia"/>
          <w:color w:val="auto"/>
          <w:shd w:val="clear" w:color="auto" w:fill="FFFFFF"/>
        </w:rPr>
        <w:t>，树立诚实守信的政府采购供应商形象，本单位自愿做出以下承诺：</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一、承诺本单位严格遵守国家法律、法规和规章，全面履行应尽的责任和义务，全面做到履约守信，具备《政府采购法》第二十二条第一款规定的条件;</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四、承诺本单位自觉接受行政管理部门、行业组织、社会公众、新闻舆论的监督；</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六、承诺本单位提出政府采购质疑和投诉坚持依法依规、诚实信用原则，在全国范围12个月内没有三次以上查无实据的政府采购投诉；</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七、根据政府采购相关法律法规的规定需要作出的其他承诺：</w:t>
      </w:r>
      <w:r>
        <w:rPr>
          <w:rFonts w:hint="eastAsia"/>
          <w:color w:val="auto"/>
          <w:u w:val="single"/>
          <w:shd w:val="clear" w:color="auto" w:fill="FFFFFF"/>
        </w:rPr>
        <w:t>                                          </w:t>
      </w:r>
    </w:p>
    <w:p>
      <w:pPr>
        <w:pStyle w:val="15"/>
        <w:shd w:val="clear" w:color="auto" w:fill="FFFFFF"/>
        <w:adjustRightInd w:val="0"/>
        <w:snapToGrid w:val="0"/>
        <w:spacing w:before="0" w:beforeAutospacing="0" w:after="0" w:afterAutospacing="0" w:line="360" w:lineRule="auto"/>
        <w:jc w:val="both"/>
        <w:rPr>
          <w:rFonts w:hint="eastAsia"/>
          <w:color w:val="auto"/>
        </w:rPr>
      </w:pPr>
      <w:r>
        <w:rPr>
          <w:rFonts w:hint="eastAsia"/>
          <w:color w:val="auto"/>
          <w:u w:val="single"/>
          <w:shd w:val="clear" w:color="auto" w:fill="FFFFFF"/>
        </w:rPr>
        <w:t>                                              ;</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5"/>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             承诺单位（盖章）：</w:t>
      </w:r>
    </w:p>
    <w:p>
      <w:pPr>
        <w:pStyle w:val="15"/>
        <w:shd w:val="clear" w:color="auto" w:fill="FFFFFF"/>
        <w:adjustRightInd w:val="0"/>
        <w:snapToGrid w:val="0"/>
        <w:spacing w:before="0" w:beforeAutospacing="0" w:after="0" w:afterAutospacing="0" w:line="360" w:lineRule="auto"/>
        <w:ind w:firstLine="640"/>
        <w:jc w:val="both"/>
        <w:rPr>
          <w:rFonts w:hint="eastAsia"/>
          <w:color w:val="auto"/>
          <w:shd w:val="clear" w:color="auto" w:fill="FFFFFF"/>
        </w:rPr>
      </w:pPr>
      <w:r>
        <w:rPr>
          <w:rFonts w:hint="eastAsia"/>
          <w:color w:val="auto"/>
          <w:shd w:val="clear" w:color="auto" w:fill="FFFFFF"/>
        </w:rPr>
        <w:t>           法定代表人（负责人）：</w:t>
      </w:r>
    </w:p>
    <w:p>
      <w:pPr>
        <w:pStyle w:val="15"/>
        <w:shd w:val="clear" w:color="auto" w:fill="FFFFFF"/>
        <w:adjustRightInd w:val="0"/>
        <w:snapToGrid w:val="0"/>
        <w:spacing w:before="0" w:beforeAutospacing="0" w:after="0" w:afterAutospacing="0" w:line="360" w:lineRule="auto"/>
        <w:ind w:firstLine="1920" w:firstLineChars="800"/>
        <w:jc w:val="both"/>
        <w:rPr>
          <w:rFonts w:hint="eastAsia"/>
          <w:color w:val="auto"/>
          <w:shd w:val="clear" w:color="auto" w:fill="FFFFFF"/>
        </w:rPr>
      </w:pPr>
      <w:r>
        <w:rPr>
          <w:rFonts w:hint="eastAsia"/>
          <w:color w:val="auto"/>
          <w:shd w:val="clear" w:color="auto" w:fill="FFFFFF"/>
        </w:rPr>
        <w:t>法定代表人（负责人）身份证号：</w:t>
      </w:r>
    </w:p>
    <w:p>
      <w:pPr>
        <w:pStyle w:val="15"/>
        <w:shd w:val="clear" w:color="auto" w:fill="FFFFFF"/>
        <w:adjustRightInd w:val="0"/>
        <w:snapToGrid w:val="0"/>
        <w:spacing w:before="0" w:beforeAutospacing="0" w:after="0" w:afterAutospacing="0" w:line="360" w:lineRule="auto"/>
        <w:ind w:firstLine="640"/>
        <w:jc w:val="both"/>
        <w:rPr>
          <w:rFonts w:hint="eastAsia"/>
          <w:color w:val="auto"/>
          <w:shd w:val="clear" w:color="auto" w:fill="FFFFFF"/>
        </w:rPr>
        <w:sectPr>
          <w:pgSz w:w="11906" w:h="16838"/>
          <w:pgMar w:top="1440" w:right="1417" w:bottom="1440" w:left="1417" w:header="851" w:footer="992" w:gutter="0"/>
          <w:pgNumType w:fmt="decimal"/>
          <w:cols w:space="720" w:num="1"/>
          <w:docGrid w:type="lines" w:linePitch="312" w:charSpace="0"/>
        </w:sectPr>
      </w:pPr>
      <w:r>
        <w:rPr>
          <w:rFonts w:hint="eastAsia"/>
          <w:color w:val="auto"/>
          <w:shd w:val="clear" w:color="auto" w:fill="FFFFFF"/>
        </w:rPr>
        <w:t>                       承诺日期：</w:t>
      </w:r>
    </w:p>
    <w:p>
      <w:pPr>
        <w:spacing w:line="360" w:lineRule="auto"/>
        <w:jc w:val="center"/>
        <w:outlineLvl w:val="1"/>
        <w:rPr>
          <w:rFonts w:hint="eastAsia" w:ascii="宋体" w:hAnsi="宋体" w:cs="宋体"/>
          <w:b/>
          <w:color w:val="auto"/>
          <w:sz w:val="32"/>
          <w:szCs w:val="32"/>
        </w:rPr>
      </w:pPr>
      <w:bookmarkStart w:id="265" w:name="_Toc13917"/>
      <w:r>
        <w:rPr>
          <w:rFonts w:hint="eastAsia" w:ascii="宋体" w:hAnsi="宋体" w:cs="宋体"/>
          <w:b/>
          <w:color w:val="auto"/>
          <w:sz w:val="32"/>
          <w:szCs w:val="32"/>
        </w:rPr>
        <w:t>第</w:t>
      </w:r>
      <w:r>
        <w:rPr>
          <w:rFonts w:hint="eastAsia" w:ascii="宋体" w:hAnsi="宋体" w:cs="宋体"/>
          <w:b/>
          <w:color w:val="auto"/>
          <w:sz w:val="32"/>
          <w:szCs w:val="32"/>
          <w:lang w:val="en-US" w:eastAsia="zh-CN"/>
        </w:rPr>
        <w:t>九</w:t>
      </w:r>
      <w:r>
        <w:rPr>
          <w:rFonts w:hint="eastAsia" w:ascii="宋体" w:hAnsi="宋体" w:cs="宋体"/>
          <w:b/>
          <w:color w:val="auto"/>
          <w:sz w:val="32"/>
          <w:szCs w:val="32"/>
        </w:rPr>
        <w:t xml:space="preserve">部分 </w:t>
      </w:r>
      <w:r>
        <w:rPr>
          <w:rFonts w:hint="eastAsia" w:ascii="宋体" w:hAnsi="宋体" w:cs="宋体"/>
          <w:b/>
          <w:color w:val="auto"/>
          <w:sz w:val="32"/>
          <w:szCs w:val="32"/>
          <w:lang w:val="en-US" w:eastAsia="zh-CN"/>
        </w:rPr>
        <w:t>中小</w:t>
      </w:r>
      <w:r>
        <w:rPr>
          <w:rFonts w:hint="eastAsia" w:ascii="宋体" w:hAnsi="宋体" w:cs="宋体"/>
          <w:b/>
          <w:color w:val="auto"/>
          <w:sz w:val="32"/>
          <w:szCs w:val="32"/>
        </w:rPr>
        <w:t>企业、监狱企业、残疾人福利单位声明函或证明</w:t>
      </w:r>
      <w:bookmarkEnd w:id="265"/>
    </w:p>
    <w:p>
      <w:pPr>
        <w:pStyle w:val="2"/>
        <w:rPr>
          <w:color w:val="auto"/>
          <w:lang w:val="en-US"/>
        </w:rPr>
      </w:pPr>
    </w:p>
    <w:p>
      <w:pPr>
        <w:spacing w:line="500" w:lineRule="exact"/>
        <w:jc w:val="center"/>
        <w:outlineLvl w:val="2"/>
        <w:rPr>
          <w:rFonts w:hint="eastAsia" w:ascii="宋体" w:hAnsi="宋体" w:eastAsia="宋体" w:cs="宋体"/>
          <w:b/>
          <w:color w:val="auto"/>
          <w:spacing w:val="6"/>
          <w:sz w:val="28"/>
          <w:szCs w:val="28"/>
        </w:rPr>
      </w:pPr>
      <w:bookmarkStart w:id="266" w:name="_Toc25215"/>
      <w:bookmarkStart w:id="267" w:name="_Toc16119"/>
      <w:r>
        <w:rPr>
          <w:rFonts w:hint="eastAsia" w:ascii="宋体" w:hAnsi="宋体" w:eastAsia="宋体" w:cs="宋体"/>
          <w:b/>
          <w:color w:val="auto"/>
          <w:spacing w:val="6"/>
          <w:sz w:val="28"/>
          <w:szCs w:val="28"/>
        </w:rPr>
        <w:t>1.</w:t>
      </w:r>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266"/>
      <w:bookmarkEnd w:id="267"/>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w:t>
      </w:r>
      <w:r>
        <w:rPr>
          <w:rFonts w:hint="eastAsia" w:asciiTheme="minorEastAsia" w:hAnsiTheme="minorEastAsia" w:eastAsiaTheme="minorEastAsia" w:cstheme="minorEastAsia"/>
          <w:color w:val="auto"/>
          <w:sz w:val="24"/>
        </w:rPr>
        <w:t>服务全部由符合政策要求的</w:t>
      </w:r>
      <w:r>
        <w:rPr>
          <w:rFonts w:hint="eastAsia" w:asciiTheme="minorEastAsia" w:hAnsiTheme="minorEastAsia" w:eastAsiaTheme="minorEastAsia" w:cstheme="minorEastAsia"/>
          <w:color w:val="auto"/>
          <w:sz w:val="24"/>
          <w:lang w:val="en-US" w:eastAsia="zh-CN"/>
        </w:rPr>
        <w:t>中小</w:t>
      </w:r>
      <w:r>
        <w:rPr>
          <w:rFonts w:hint="eastAsia" w:asciiTheme="minorEastAsia" w:hAnsiTheme="minorEastAsia" w:eastAsiaTheme="minorEastAsia" w:cstheme="minorEastAsia"/>
          <w:color w:val="auto"/>
          <w:sz w:val="24"/>
        </w:rPr>
        <w:t>企业承接。</w:t>
      </w:r>
      <w:r>
        <w:rPr>
          <w:rFonts w:hint="eastAsia" w:ascii="宋体" w:hAnsi="宋体" w:eastAsia="宋体" w:cs="宋体"/>
          <w:color w:val="auto"/>
          <w:sz w:val="24"/>
        </w:rPr>
        <w:t>相关企业（含联合体中的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企业、签订分包意向协议的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企业）的具体情况如下：</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本企业对上述声明内容的真实性负责。如有虚假，将依法承担相应责任。</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日期：</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备注：</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pPr>
        <w:spacing w:line="500" w:lineRule="exact"/>
        <w:jc w:val="center"/>
        <w:outlineLvl w:val="2"/>
        <w:rPr>
          <w:rFonts w:hint="eastAsia" w:ascii="宋体" w:hAnsi="宋体" w:eastAsia="宋体" w:cs="宋体"/>
          <w:b/>
          <w:color w:val="auto"/>
          <w:spacing w:val="6"/>
          <w:sz w:val="28"/>
          <w:szCs w:val="28"/>
        </w:rPr>
        <w:sectPr>
          <w:footerReference r:id="rId14" w:type="default"/>
          <w:pgSz w:w="11906" w:h="16838"/>
          <w:pgMar w:top="1440" w:right="1800" w:bottom="1440" w:left="1800" w:header="851" w:footer="992" w:gutter="0"/>
          <w:pgNumType w:fmt="decimal"/>
          <w:cols w:space="720" w:num="1"/>
          <w:docGrid w:type="lines" w:linePitch="312" w:charSpace="0"/>
        </w:sectPr>
      </w:pPr>
    </w:p>
    <w:p>
      <w:pPr>
        <w:spacing w:line="500" w:lineRule="exact"/>
        <w:jc w:val="center"/>
        <w:outlineLvl w:val="2"/>
        <w:rPr>
          <w:rFonts w:hint="eastAsia" w:ascii="宋体" w:hAnsi="宋体" w:cs="宋体"/>
          <w:b/>
          <w:color w:val="auto"/>
          <w:spacing w:val="6"/>
          <w:sz w:val="28"/>
          <w:szCs w:val="28"/>
        </w:rPr>
      </w:pPr>
      <w:bookmarkStart w:id="268" w:name="_Toc20930"/>
      <w:r>
        <w:rPr>
          <w:rFonts w:hint="eastAsia" w:ascii="宋体" w:hAnsi="宋体" w:cs="宋体"/>
          <w:b/>
          <w:color w:val="auto"/>
          <w:spacing w:val="6"/>
          <w:sz w:val="28"/>
          <w:szCs w:val="28"/>
        </w:rPr>
        <w:t>2.残疾人福利性单位声明函</w:t>
      </w:r>
      <w:bookmarkEnd w:id="268"/>
    </w:p>
    <w:p>
      <w:pPr>
        <w:spacing w:line="500" w:lineRule="exact"/>
        <w:ind w:firstLine="1200" w:firstLineChars="500"/>
        <w:rPr>
          <w:rFonts w:hint="eastAsia" w:ascii="宋体" w:hAnsi="宋体" w:cs="宋体"/>
          <w:b/>
          <w:color w:val="auto"/>
          <w:spacing w:val="6"/>
          <w:sz w:val="30"/>
          <w:szCs w:val="30"/>
        </w:rPr>
      </w:pPr>
      <w:r>
        <w:rPr>
          <w:rFonts w:hint="eastAsia" w:ascii="宋体" w:hAnsi="宋体" w:cs="宋体"/>
          <w:color w:val="auto"/>
          <w:sz w:val="24"/>
        </w:rPr>
        <w:t>（注：符合条件的</w:t>
      </w:r>
      <w:r>
        <w:rPr>
          <w:rFonts w:hint="eastAsia" w:ascii="宋体" w:hAnsi="宋体" w:eastAsia="宋体" w:cs="宋体"/>
          <w:color w:val="auto"/>
          <w:sz w:val="24"/>
        </w:rPr>
        <w:t>残疾人福利性单位</w:t>
      </w:r>
      <w:r>
        <w:rPr>
          <w:rFonts w:hint="eastAsia" w:ascii="宋体" w:hAnsi="宋体" w:cs="宋体"/>
          <w:color w:val="auto"/>
          <w:sz w:val="24"/>
        </w:rPr>
        <w:t>请提供本函，不符合的不提供本函）</w:t>
      </w:r>
    </w:p>
    <w:p>
      <w:pPr>
        <w:spacing w:line="500" w:lineRule="exact"/>
        <w:ind w:firstLine="504" w:firstLineChars="200"/>
        <w:rPr>
          <w:rFonts w:hint="eastAsia"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 141</w:t>
      </w:r>
      <w:r>
        <w:rPr>
          <w:rFonts w:hint="eastAsia" w:ascii="宋体" w:hAnsi="宋体" w:cs="宋体"/>
          <w:color w:val="auto"/>
          <w:spacing w:val="6"/>
          <w:sz w:val="24"/>
        </w:rPr>
        <w:t>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pacing w:val="6"/>
          <w:sz w:val="24"/>
        </w:rPr>
        <w:t>单位的</w:t>
      </w:r>
      <w:r>
        <w:rPr>
          <w:rFonts w:hint="eastAsia" w:ascii="宋体" w:hAnsi="宋体" w:cs="宋体"/>
          <w:b/>
          <w:bCs/>
          <w:color w:val="auto"/>
          <w:spacing w:val="6"/>
          <w:sz w:val="24"/>
          <w:u w:val="single"/>
        </w:rPr>
        <w:t xml:space="preserve">         </w:t>
      </w:r>
      <w:r>
        <w:rPr>
          <w:rFonts w:hint="eastAsia" w:ascii="宋体" w:hAnsi="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pPr>
        <w:spacing w:line="500" w:lineRule="exact"/>
        <w:rPr>
          <w:rFonts w:hint="eastAsia" w:ascii="宋体" w:hAnsi="宋体" w:cs="宋体"/>
          <w:color w:val="auto"/>
          <w:spacing w:val="6"/>
          <w:sz w:val="24"/>
        </w:rPr>
      </w:pPr>
    </w:p>
    <w:p>
      <w:pPr>
        <w:tabs>
          <w:tab w:val="left" w:pos="4860"/>
        </w:tabs>
        <w:spacing w:line="500" w:lineRule="exact"/>
        <w:ind w:right="1560" w:firstLine="504" w:firstLineChars="200"/>
        <w:jc w:val="center"/>
        <w:rPr>
          <w:rFonts w:hint="eastAsia" w:ascii="宋体" w:hAnsi="宋体" w:cs="宋体"/>
          <w:color w:val="auto"/>
          <w:spacing w:val="6"/>
          <w:sz w:val="24"/>
        </w:rPr>
      </w:pPr>
      <w:r>
        <w:rPr>
          <w:rFonts w:hint="eastAsia" w:ascii="宋体" w:hAnsi="宋体" w:cs="宋体"/>
          <w:color w:val="auto"/>
          <w:spacing w:val="6"/>
          <w:sz w:val="24"/>
        </w:rPr>
        <w:t xml:space="preserve">                                  单位名称（盖章）：</w:t>
      </w:r>
    </w:p>
    <w:p>
      <w:pPr>
        <w:adjustRightInd w:val="0"/>
        <w:snapToGrid w:val="0"/>
        <w:spacing w:line="500" w:lineRule="exact"/>
        <w:ind w:firstLine="630" w:firstLineChars="250"/>
        <w:rPr>
          <w:rFonts w:hint="eastAsia" w:ascii="宋体" w:hAnsi="宋体" w:cs="宋体"/>
          <w:color w:val="auto"/>
          <w:szCs w:val="21"/>
        </w:rPr>
      </w:pPr>
      <w:r>
        <w:rPr>
          <w:rFonts w:hint="eastAsia" w:ascii="宋体" w:hAnsi="宋体" w:cs="宋体"/>
          <w:color w:val="auto"/>
          <w:spacing w:val="6"/>
          <w:sz w:val="24"/>
        </w:rPr>
        <w:t xml:space="preserve">                                         日  期：</w:t>
      </w:r>
    </w:p>
    <w:p>
      <w:pPr>
        <w:adjustRightInd w:val="0"/>
        <w:snapToGrid w:val="0"/>
        <w:spacing w:line="500" w:lineRule="exact"/>
        <w:rPr>
          <w:rFonts w:hint="eastAsia" w:ascii="宋体" w:hAnsi="宋体" w:cs="宋体"/>
          <w:color w:val="auto"/>
          <w:szCs w:val="21"/>
        </w:rPr>
      </w:pPr>
    </w:p>
    <w:p>
      <w:pPr>
        <w:tabs>
          <w:tab w:val="left" w:pos="5670"/>
        </w:tabs>
        <w:ind w:firstLine="566"/>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项目不分标段的，第___标段空白处填写“/”。</w:t>
      </w:r>
    </w:p>
    <w:p>
      <w:pPr>
        <w:tabs>
          <w:tab w:val="left" w:pos="5670"/>
        </w:tabs>
        <w:ind w:firstLine="566"/>
        <w:rPr>
          <w:rFonts w:hint="eastAsia" w:ascii="宋体" w:hAnsi="宋体" w:cs="宋体"/>
          <w:color w:val="auto"/>
          <w:szCs w:val="21"/>
        </w:rPr>
      </w:pPr>
      <w:r>
        <w:rPr>
          <w:rFonts w:hint="eastAsia" w:ascii="宋体" w:hAnsi="宋体" w:cs="宋体"/>
          <w:color w:val="auto"/>
          <w:szCs w:val="21"/>
        </w:rPr>
        <w:t>根据《财政部 民政部 中国残疾人联合会关于促进残疾人就业政府采购政策的通知》（财库〔2017〕141号）的规定：</w:t>
      </w:r>
    </w:p>
    <w:p>
      <w:pPr>
        <w:tabs>
          <w:tab w:val="left" w:pos="5670"/>
        </w:tabs>
        <w:ind w:firstLine="420" w:firstLineChars="200"/>
        <w:rPr>
          <w:rFonts w:hint="eastAsia" w:ascii="宋体" w:hAnsi="宋体" w:cs="宋体"/>
          <w:color w:val="auto"/>
          <w:szCs w:val="21"/>
        </w:rPr>
      </w:pPr>
      <w:r>
        <w:rPr>
          <w:rFonts w:hint="eastAsia" w:ascii="宋体" w:hAnsi="宋体" w:cs="宋体"/>
          <w:color w:val="auto"/>
          <w:szCs w:val="21"/>
        </w:rPr>
        <w:t>一、享受政府采购支持政策的残疾人福利性单位应当同时满足以下条件：</w:t>
      </w:r>
    </w:p>
    <w:p>
      <w:pPr>
        <w:tabs>
          <w:tab w:val="left" w:pos="5670"/>
        </w:tabs>
        <w:ind w:firstLine="566"/>
        <w:rPr>
          <w:rFonts w:hint="eastAsia" w:ascii="宋体" w:hAnsi="宋体" w:cs="宋体"/>
          <w:color w:val="auto"/>
          <w:szCs w:val="21"/>
        </w:rPr>
      </w:pPr>
      <w:r>
        <w:rPr>
          <w:rFonts w:hint="eastAsia" w:ascii="宋体" w:hAnsi="宋体" w:cs="宋体"/>
          <w:color w:val="auto"/>
          <w:szCs w:val="21"/>
        </w:rPr>
        <w:t>（一）安置的残疾人占本单位在职职工人数的比例不低于25%（含25%），并且安置的残疾人人数不少于10人（含10人）；</w:t>
      </w:r>
    </w:p>
    <w:p>
      <w:pPr>
        <w:tabs>
          <w:tab w:val="left" w:pos="5670"/>
        </w:tabs>
        <w:ind w:firstLine="566"/>
        <w:rPr>
          <w:rFonts w:hint="eastAsia" w:ascii="宋体" w:hAnsi="宋体" w:cs="宋体"/>
          <w:color w:val="auto"/>
          <w:szCs w:val="21"/>
        </w:rPr>
      </w:pPr>
      <w:r>
        <w:rPr>
          <w:rFonts w:hint="eastAsia" w:ascii="宋体" w:hAnsi="宋体" w:cs="宋体"/>
          <w:color w:val="auto"/>
          <w:szCs w:val="21"/>
        </w:rPr>
        <w:t>（二）依法与安置的每位残疾人签订了一年以上（含一年）的劳动合同或服务协议；</w:t>
      </w:r>
    </w:p>
    <w:p>
      <w:pPr>
        <w:tabs>
          <w:tab w:val="left" w:pos="5670"/>
        </w:tabs>
        <w:ind w:firstLine="566"/>
        <w:rPr>
          <w:rFonts w:hint="eastAsia" w:ascii="宋体" w:hAnsi="宋体" w:cs="宋体"/>
          <w:color w:val="auto"/>
          <w:szCs w:val="21"/>
        </w:rPr>
      </w:pPr>
      <w:r>
        <w:rPr>
          <w:rFonts w:hint="eastAsia" w:ascii="宋体" w:hAnsi="宋体" w:cs="宋体"/>
          <w:color w:val="auto"/>
          <w:szCs w:val="21"/>
        </w:rPr>
        <w:t>（三）为安置的每位残疾人按月足额缴纳了基本养老保险、基本医疗保险、失业保险、工伤保险和生育保险等社会保险费；</w:t>
      </w:r>
    </w:p>
    <w:p>
      <w:pPr>
        <w:tabs>
          <w:tab w:val="left" w:pos="5670"/>
        </w:tabs>
        <w:ind w:firstLine="566"/>
        <w:rPr>
          <w:rFonts w:hint="eastAsia" w:ascii="宋体" w:hAnsi="宋体" w:cs="宋体"/>
          <w:color w:val="auto"/>
          <w:szCs w:val="21"/>
        </w:rPr>
      </w:pPr>
      <w:r>
        <w:rPr>
          <w:rFonts w:hint="eastAsia" w:ascii="宋体" w:hAnsi="宋体" w:cs="宋体"/>
          <w:color w:val="auto"/>
          <w:szCs w:val="21"/>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宋体" w:hAnsi="宋体" w:cs="宋体"/>
          <w:color w:val="auto"/>
          <w:szCs w:val="21"/>
        </w:rPr>
      </w:pPr>
      <w:r>
        <w:rPr>
          <w:rFonts w:hint="eastAsia" w:ascii="宋体" w:hAnsi="宋体" w:cs="宋体"/>
          <w:color w:val="auto"/>
          <w:szCs w:val="21"/>
        </w:rPr>
        <w:t>（五）提供本单位承担的服务（以下简称产品），或者提供其他残疾人福利性单位提供的服。</w:t>
      </w:r>
    </w:p>
    <w:p>
      <w:pPr>
        <w:tabs>
          <w:tab w:val="left" w:pos="5670"/>
        </w:tabs>
        <w:ind w:firstLine="566"/>
        <w:rPr>
          <w:rFonts w:hint="eastAsia" w:ascii="宋体" w:hAnsi="宋体" w:cs="宋体"/>
          <w:color w:val="auto"/>
          <w:szCs w:val="21"/>
        </w:rPr>
      </w:pPr>
      <w:r>
        <w:rPr>
          <w:rFonts w:hint="eastAsia" w:ascii="宋体" w:hAnsi="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20" w:firstLineChars="200"/>
        <w:rPr>
          <w:rFonts w:hint="eastAsia" w:ascii="宋体" w:hAnsi="宋体" w:cs="宋体"/>
          <w:color w:val="auto"/>
          <w:szCs w:val="21"/>
        </w:rPr>
      </w:pPr>
      <w:r>
        <w:rPr>
          <w:rFonts w:hint="eastAsia" w:ascii="宋体" w:hAnsi="宋体" w:cs="宋体"/>
          <w:color w:val="auto"/>
          <w:szCs w:val="21"/>
        </w:rPr>
        <w:t>二、中标、成交供应商为残疾人福利性单位的，采购人或者其委托的采购代理机构应当随中标、成交结果同时公告其《残疾人福利性单位声明函》，接受社会监督。</w:t>
      </w:r>
    </w:p>
    <w:p>
      <w:pPr>
        <w:tabs>
          <w:tab w:val="left" w:pos="5670"/>
        </w:tabs>
        <w:jc w:val="center"/>
        <w:outlineLvl w:val="2"/>
        <w:rPr>
          <w:rFonts w:hint="eastAsia" w:ascii="宋体" w:hAnsi="宋体" w:cs="宋体"/>
          <w:b/>
          <w:color w:val="auto"/>
          <w:spacing w:val="6"/>
          <w:sz w:val="28"/>
          <w:szCs w:val="28"/>
        </w:rPr>
      </w:pPr>
      <w:r>
        <w:rPr>
          <w:rFonts w:hint="eastAsia" w:ascii="宋体" w:hAnsi="宋体" w:cs="宋体"/>
          <w:b/>
          <w:bCs/>
          <w:color w:val="auto"/>
          <w:sz w:val="36"/>
          <w:szCs w:val="36"/>
        </w:rPr>
        <w:br w:type="page"/>
      </w:r>
      <w:bookmarkStart w:id="269" w:name="_Toc26251"/>
      <w:r>
        <w:rPr>
          <w:rFonts w:hint="eastAsia" w:ascii="宋体" w:hAnsi="宋体" w:cs="宋体"/>
          <w:b/>
          <w:bCs/>
          <w:color w:val="auto"/>
          <w:sz w:val="28"/>
          <w:szCs w:val="28"/>
        </w:rPr>
        <w:t>3.</w:t>
      </w:r>
      <w:r>
        <w:rPr>
          <w:rFonts w:hint="eastAsia" w:ascii="宋体" w:hAnsi="宋体" w:cs="宋体"/>
          <w:b/>
          <w:color w:val="auto"/>
          <w:spacing w:val="6"/>
          <w:sz w:val="28"/>
          <w:szCs w:val="28"/>
        </w:rPr>
        <w:t>监狱企业证明函</w:t>
      </w:r>
      <w:bookmarkEnd w:id="269"/>
    </w:p>
    <w:p>
      <w:pPr>
        <w:jc w:val="center"/>
        <w:rPr>
          <w:rFonts w:hint="eastAsia" w:ascii="宋体" w:hAnsi="宋体" w:cs="宋体"/>
          <w:color w:val="auto"/>
          <w:sz w:val="24"/>
        </w:rPr>
      </w:pPr>
      <w:r>
        <w:rPr>
          <w:rFonts w:hint="eastAsia" w:ascii="宋体" w:hAnsi="宋体" w:cs="宋体"/>
          <w:color w:val="auto"/>
          <w:sz w:val="24"/>
        </w:rPr>
        <w:t>（注：符合条件的监狱企业请提供本函，不符合的不提供本函）</w:t>
      </w:r>
    </w:p>
    <w:p>
      <w:pPr>
        <w:rPr>
          <w:rFonts w:hint="eastAsia" w:ascii="宋体" w:hAnsi="宋体" w:cs="宋体"/>
          <w:color w:val="auto"/>
        </w:rPr>
      </w:pP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7"/>
        <w:ind w:firstLine="183"/>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widowControl/>
        <w:jc w:val="left"/>
        <w:rPr>
          <w:rFonts w:hint="eastAsia" w:ascii="宋体" w:hAnsi="宋体" w:cs="宋体"/>
          <w:color w:val="auto"/>
          <w:kern w:val="0"/>
          <w:sz w:val="24"/>
          <w:u w:val="single"/>
        </w:rPr>
      </w:pPr>
      <w:r>
        <w:rPr>
          <w:rFonts w:hint="eastAsia"/>
          <w:color w:val="auto"/>
        </w:rPr>
        <w:tab/>
      </w:r>
      <w:r>
        <w:rPr>
          <w:rFonts w:hint="eastAsia"/>
          <w:color w:val="auto"/>
        </w:rPr>
        <w:t xml:space="preserve"> </w:t>
      </w:r>
      <w:r>
        <w:rPr>
          <w:rFonts w:hint="eastAsia" w:ascii="宋体" w:hAnsi="宋体" w:cs="宋体"/>
          <w:color w:val="auto"/>
          <w:kern w:val="0"/>
          <w:sz w:val="24"/>
        </w:rPr>
        <w:t>供应商（盖章）：</w:t>
      </w:r>
      <w:r>
        <w:rPr>
          <w:rFonts w:hint="eastAsia" w:ascii="宋体" w:hAnsi="宋体" w:cs="宋体"/>
          <w:color w:val="auto"/>
          <w:kern w:val="0"/>
          <w:sz w:val="24"/>
          <w:u w:val="single"/>
        </w:rPr>
        <w:t xml:space="preserve">                                               </w:t>
      </w:r>
    </w:p>
    <w:p>
      <w:pPr>
        <w:widowControl/>
        <w:ind w:firstLine="482"/>
        <w:jc w:val="left"/>
        <w:rPr>
          <w:rFonts w:hint="eastAsia" w:ascii="宋体" w:hAnsi="宋体" w:cs="宋体"/>
          <w:color w:val="auto"/>
          <w:kern w:val="0"/>
          <w:sz w:val="24"/>
        </w:rPr>
      </w:pPr>
    </w:p>
    <w:p>
      <w:pPr>
        <w:widowControl/>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rPr>
        <w:t>承诺人（签字）：</w:t>
      </w:r>
      <w:r>
        <w:rPr>
          <w:rFonts w:hint="eastAsia" w:ascii="宋体" w:hAnsi="宋体" w:cs="宋体"/>
          <w:color w:val="auto"/>
          <w:kern w:val="0"/>
          <w:sz w:val="24"/>
          <w:u w:val="single"/>
        </w:rPr>
        <w:t xml:space="preserve">                 </w:t>
      </w:r>
    </w:p>
    <w:p>
      <w:pPr>
        <w:widowControl/>
        <w:ind w:firstLine="482"/>
        <w:jc w:val="left"/>
        <w:rPr>
          <w:rFonts w:hint="eastAsia" w:ascii="宋体" w:hAnsi="宋体" w:cs="宋体"/>
          <w:color w:val="auto"/>
          <w:kern w:val="0"/>
          <w:sz w:val="24"/>
          <w:u w:val="single"/>
        </w:rPr>
      </w:pPr>
    </w:p>
    <w:p>
      <w:pPr>
        <w:widowControl/>
        <w:ind w:firstLine="480" w:firstLineChars="200"/>
        <w:jc w:val="left"/>
        <w:rPr>
          <w:rFonts w:hint="eastAsia" w:ascii="宋体" w:hAnsi="宋体" w:cs="宋体"/>
          <w:color w:val="auto"/>
          <w:kern w:val="0"/>
          <w:sz w:val="24"/>
        </w:rPr>
      </w:pPr>
      <w:r>
        <w:rPr>
          <w:rFonts w:hint="eastAsia" w:ascii="宋体" w:hAnsi="宋体" w:cs="宋体"/>
          <w:color w:val="auto"/>
          <w:kern w:val="0"/>
          <w:sz w:val="24"/>
        </w:rPr>
        <w:t>承诺时间：</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pPr>
        <w:pStyle w:val="11"/>
        <w:rPr>
          <w:rFonts w:hint="eastAsia" w:ascii="宋体" w:hAnsi="宋体" w:cs="宋体"/>
          <w:color w:val="auto"/>
          <w:kern w:val="0"/>
          <w:sz w:val="24"/>
        </w:rPr>
      </w:pPr>
    </w:p>
    <w:p>
      <w:pPr>
        <w:rPr>
          <w:color w:val="auto"/>
        </w:rPr>
      </w:pPr>
    </w:p>
    <w:p>
      <w:pPr>
        <w:pStyle w:val="11"/>
        <w:rPr>
          <w:rFonts w:ascii="宋体" w:hAnsi="宋体" w:cs="宋体"/>
          <w:color w:val="auto"/>
          <w:sz w:val="24"/>
          <w:szCs w:val="24"/>
        </w:rPr>
        <w:sectPr>
          <w:footerReference r:id="rId15" w:type="default"/>
          <w:pgSz w:w="11906" w:h="16838"/>
          <w:pgMar w:top="1440" w:right="1287" w:bottom="1440" w:left="1440" w:header="850" w:footer="992" w:gutter="0"/>
          <w:pgNumType w:fmt="decimal"/>
          <w:cols w:space="720" w:num="1"/>
          <w:titlePg/>
          <w:docGrid w:linePitch="360" w:charSpace="0"/>
        </w:sectPr>
      </w:pPr>
    </w:p>
    <w:bookmarkEnd w:id="262"/>
    <w:bookmarkEnd w:id="263"/>
    <w:bookmarkEnd w:id="264"/>
    <w:p>
      <w:pPr>
        <w:pStyle w:val="29"/>
        <w:adjustRightInd w:val="0"/>
        <w:snapToGrid w:val="0"/>
        <w:spacing w:after="0"/>
        <w:ind w:left="0"/>
        <w:jc w:val="center"/>
        <w:rPr>
          <w:rFonts w:hint="default" w:ascii="宋体" w:hAnsi="宋体" w:eastAsia="宋体" w:cs="宋体"/>
          <w:b/>
          <w:bCs/>
          <w:color w:val="auto"/>
          <w:sz w:val="44"/>
          <w:szCs w:val="44"/>
          <w:lang w:val="en-US" w:eastAsia="zh-CN"/>
        </w:rPr>
      </w:pPr>
      <w:bookmarkStart w:id="270" w:name="_Toc11374"/>
      <w:r>
        <w:rPr>
          <w:rFonts w:hint="eastAsia" w:ascii="宋体" w:hAnsi="宋体" w:cs="宋体"/>
          <w:b/>
          <w:bCs/>
          <w:color w:val="auto"/>
          <w:sz w:val="44"/>
          <w:szCs w:val="44"/>
          <w:lang w:val="en-US" w:eastAsia="zh-CN"/>
        </w:rPr>
        <w:t>特别说明</w:t>
      </w:r>
    </w:p>
    <w:p>
      <w:pPr>
        <w:spacing w:line="360" w:lineRule="auto"/>
        <w:jc w:val="center"/>
        <w:outlineLvl w:val="0"/>
        <w:rPr>
          <w:rFonts w:hint="eastAsia" w:ascii="宋体" w:hAnsi="宋体" w:cs="宋体"/>
          <w:b/>
          <w:bCs/>
          <w:color w:val="auto"/>
          <w:sz w:val="32"/>
          <w:szCs w:val="32"/>
        </w:rPr>
      </w:pPr>
      <w:bookmarkStart w:id="271" w:name="_Toc2023"/>
      <w:r>
        <w:rPr>
          <w:rFonts w:hint="eastAsia" w:ascii="宋体" w:hAnsi="宋体" w:cs="宋体"/>
          <w:b/>
          <w:bCs/>
          <w:color w:val="auto"/>
          <w:sz w:val="32"/>
          <w:szCs w:val="32"/>
        </w:rPr>
        <w:t>榆林市公共资源交易平台全流程电子化</w:t>
      </w:r>
      <w:bookmarkStart w:id="272" w:name="_Toc23465"/>
      <w:r>
        <w:rPr>
          <w:rFonts w:hint="eastAsia" w:ascii="宋体" w:hAnsi="宋体" w:cs="宋体"/>
          <w:b/>
          <w:bCs/>
          <w:color w:val="auto"/>
          <w:sz w:val="32"/>
          <w:szCs w:val="32"/>
        </w:rPr>
        <w:t>政府采购项目内容</w:t>
      </w:r>
      <w:bookmarkEnd w:id="270"/>
      <w:bookmarkEnd w:id="271"/>
      <w:bookmarkEnd w:id="272"/>
    </w:p>
    <w:p>
      <w:pPr>
        <w:spacing w:line="360" w:lineRule="auto"/>
        <w:outlineLvl w:val="0"/>
        <w:rPr>
          <w:rFonts w:hint="eastAsia" w:ascii="宋体" w:hAnsi="宋体" w:cs="宋体"/>
          <w:bCs/>
          <w:color w:val="auto"/>
          <w:sz w:val="24"/>
        </w:rPr>
      </w:pPr>
      <w:bookmarkStart w:id="273" w:name="_Toc29408"/>
      <w:bookmarkStart w:id="274" w:name="_Toc17329"/>
      <w:bookmarkStart w:id="275" w:name="_Toc30256"/>
      <w:bookmarkStart w:id="276" w:name="_Toc24424"/>
      <w:bookmarkStart w:id="277" w:name="_Toc28444"/>
      <w:bookmarkStart w:id="278" w:name="_Toc7893"/>
      <w:bookmarkStart w:id="279" w:name="_Toc5026"/>
      <w:bookmarkStart w:id="280" w:name="_Toc19434"/>
      <w:bookmarkStart w:id="281" w:name="_Toc13044"/>
      <w:bookmarkStart w:id="282" w:name="_Toc17326"/>
      <w:bookmarkStart w:id="283" w:name="_Toc13032"/>
      <w:bookmarkStart w:id="284" w:name="_Toc2927"/>
      <w:bookmarkStart w:id="285" w:name="_Toc21640"/>
      <w:r>
        <w:rPr>
          <w:rFonts w:hint="eastAsia" w:ascii="宋体" w:hAnsi="宋体" w:cs="宋体"/>
          <w:bCs/>
          <w:color w:val="auto"/>
          <w:sz w:val="24"/>
        </w:rPr>
        <w:t>一、关于需要特别提醒供应商的内容</w:t>
      </w:r>
      <w:bookmarkEnd w:id="273"/>
      <w:bookmarkEnd w:id="274"/>
      <w:bookmarkEnd w:id="275"/>
      <w:bookmarkEnd w:id="276"/>
      <w:bookmarkEnd w:id="277"/>
      <w:bookmarkEnd w:id="278"/>
      <w:bookmarkEnd w:id="279"/>
      <w:bookmarkEnd w:id="280"/>
      <w:bookmarkEnd w:id="281"/>
      <w:bookmarkEnd w:id="282"/>
    </w:p>
    <w:p>
      <w:pPr>
        <w:spacing w:line="360" w:lineRule="auto"/>
        <w:ind w:firstLine="480" w:firstLineChars="200"/>
        <w:outlineLvl w:val="0"/>
        <w:rPr>
          <w:rFonts w:hint="eastAsia" w:ascii="宋体" w:hAnsi="宋体" w:cs="宋体"/>
          <w:bCs/>
          <w:color w:val="auto"/>
          <w:sz w:val="24"/>
        </w:rPr>
      </w:pPr>
      <w:bookmarkStart w:id="286" w:name="_Toc3743"/>
      <w:bookmarkStart w:id="287" w:name="_Toc22609"/>
      <w:bookmarkStart w:id="288" w:name="_Toc21468"/>
      <w:bookmarkStart w:id="289" w:name="_Toc31636"/>
      <w:bookmarkStart w:id="290" w:name="_Toc19423"/>
      <w:bookmarkStart w:id="291" w:name="_Toc21400"/>
      <w:bookmarkStart w:id="292" w:name="_Toc9072"/>
      <w:bookmarkStart w:id="293" w:name="_Toc11575"/>
      <w:bookmarkStart w:id="294" w:name="_Toc28365"/>
      <w:bookmarkStart w:id="295" w:name="_Toc22444"/>
      <w:r>
        <w:rPr>
          <w:rFonts w:hint="eastAsia" w:ascii="宋体" w:hAnsi="宋体" w:cs="宋体"/>
          <w:bCs/>
          <w:color w:val="auto"/>
          <w:sz w:val="24"/>
        </w:rPr>
        <w:t>1、本项目采用电子化投标的方式投标，投标人须使用数字认证证书（CA锁）对电子投标文件进行签章、加密、递交及开标时解密等相关招投标事宜。</w:t>
      </w:r>
      <w:bookmarkEnd w:id="286"/>
      <w:bookmarkEnd w:id="287"/>
      <w:bookmarkEnd w:id="288"/>
      <w:bookmarkEnd w:id="289"/>
      <w:bookmarkEnd w:id="290"/>
      <w:bookmarkEnd w:id="291"/>
    </w:p>
    <w:p>
      <w:pPr>
        <w:spacing w:line="360" w:lineRule="auto"/>
        <w:ind w:firstLine="480" w:firstLineChars="200"/>
        <w:outlineLvl w:val="0"/>
        <w:rPr>
          <w:rFonts w:hint="eastAsia" w:ascii="宋体" w:hAnsi="宋体" w:cs="宋体"/>
          <w:bCs/>
          <w:color w:val="auto"/>
          <w:sz w:val="24"/>
        </w:rPr>
      </w:pPr>
      <w:bookmarkStart w:id="296" w:name="_Toc21967"/>
      <w:bookmarkStart w:id="297" w:name="_Toc32286"/>
      <w:bookmarkStart w:id="298" w:name="_Toc26209"/>
      <w:bookmarkStart w:id="299" w:name="_Toc16386"/>
      <w:bookmarkStart w:id="300" w:name="_Toc29324"/>
      <w:bookmarkStart w:id="301" w:name="_Toc8218"/>
      <w:r>
        <w:rPr>
          <w:rFonts w:hint="eastAsia" w:ascii="宋体" w:hAnsi="宋体" w:cs="宋体"/>
          <w:bCs/>
          <w:color w:val="auto"/>
          <w:sz w:val="24"/>
        </w:rPr>
        <w:t>2、制作电子投标文件</w:t>
      </w:r>
      <w:bookmarkEnd w:id="296"/>
      <w:bookmarkEnd w:id="297"/>
      <w:bookmarkEnd w:id="298"/>
      <w:bookmarkEnd w:id="299"/>
      <w:bookmarkEnd w:id="300"/>
      <w:bookmarkEnd w:id="301"/>
    </w:p>
    <w:p>
      <w:pPr>
        <w:spacing w:line="360" w:lineRule="auto"/>
        <w:ind w:firstLine="480" w:firstLineChars="200"/>
        <w:outlineLvl w:val="0"/>
        <w:rPr>
          <w:rFonts w:hint="eastAsia" w:ascii="宋体" w:hAnsi="宋体" w:cs="宋体"/>
          <w:bCs/>
          <w:color w:val="auto"/>
          <w:sz w:val="24"/>
        </w:rPr>
      </w:pPr>
      <w:bookmarkStart w:id="302" w:name="_Toc22290"/>
      <w:bookmarkStart w:id="303" w:name="_Toc20309"/>
      <w:bookmarkStart w:id="304" w:name="_Toc28324"/>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)”，并升级至最新版本，使用该客户端制作电子投标文件，制作扩展名为“.SXSTF”的电子投标文件。”</w:t>
      </w:r>
      <w:bookmarkEnd w:id="302"/>
      <w:bookmarkEnd w:id="303"/>
      <w:bookmarkEnd w:id="304"/>
    </w:p>
    <w:p>
      <w:pPr>
        <w:spacing w:line="360" w:lineRule="auto"/>
        <w:ind w:firstLine="480" w:firstLineChars="200"/>
        <w:outlineLvl w:val="0"/>
        <w:rPr>
          <w:rFonts w:hint="eastAsia" w:ascii="宋体" w:hAnsi="宋体" w:cs="宋体"/>
          <w:bCs/>
          <w:color w:val="auto"/>
          <w:sz w:val="24"/>
        </w:rPr>
      </w:pPr>
      <w:bookmarkStart w:id="305" w:name="_Toc29229"/>
      <w:bookmarkStart w:id="306" w:name="_Toc8778"/>
      <w:bookmarkStart w:id="307" w:name="_Toc11240"/>
      <w:bookmarkStart w:id="308" w:name="_Toc26633"/>
      <w:bookmarkStart w:id="309" w:name="_Toc15991"/>
      <w:bookmarkStart w:id="310" w:name="_Toc9405"/>
      <w:r>
        <w:rPr>
          <w:rFonts w:hint="eastAsia" w:ascii="宋体" w:hAnsi="宋体" w:cs="宋体"/>
          <w:bCs/>
          <w:color w:val="auto"/>
          <w:sz w:val="24"/>
        </w:rPr>
        <w:t>3、递交电子投标文件</w:t>
      </w:r>
      <w:bookmarkEnd w:id="305"/>
      <w:bookmarkEnd w:id="306"/>
      <w:bookmarkEnd w:id="307"/>
      <w:bookmarkEnd w:id="308"/>
      <w:bookmarkEnd w:id="309"/>
      <w:bookmarkEnd w:id="310"/>
    </w:p>
    <w:p>
      <w:pPr>
        <w:spacing w:line="360" w:lineRule="auto"/>
        <w:ind w:firstLine="480" w:firstLineChars="200"/>
        <w:outlineLvl w:val="0"/>
        <w:rPr>
          <w:rFonts w:hint="eastAsia" w:ascii="宋体" w:hAnsi="宋体" w:cs="宋体"/>
          <w:bCs/>
          <w:color w:val="auto"/>
          <w:sz w:val="24"/>
        </w:rPr>
      </w:pPr>
      <w:bookmarkStart w:id="311" w:name="_Toc26907"/>
      <w:bookmarkStart w:id="312" w:name="_Toc26499"/>
      <w:bookmarkStart w:id="313" w:name="_Toc10172"/>
      <w:bookmarkStart w:id="314" w:name="_Toc2403"/>
      <w:bookmarkStart w:id="315" w:name="_Toc8995"/>
      <w:bookmarkStart w:id="316" w:name="_Toc12111"/>
      <w:r>
        <w:rPr>
          <w:rFonts w:hint="eastAsia" w:ascii="宋体" w:hAnsi="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311"/>
      <w:bookmarkEnd w:id="312"/>
      <w:bookmarkEnd w:id="313"/>
      <w:bookmarkEnd w:id="314"/>
      <w:bookmarkEnd w:id="315"/>
      <w:bookmarkEnd w:id="316"/>
    </w:p>
    <w:bookmarkEnd w:id="292"/>
    <w:bookmarkEnd w:id="293"/>
    <w:bookmarkEnd w:id="294"/>
    <w:bookmarkEnd w:id="295"/>
    <w:p>
      <w:pPr>
        <w:spacing w:line="360" w:lineRule="auto"/>
        <w:outlineLvl w:val="0"/>
        <w:rPr>
          <w:rFonts w:hint="eastAsia" w:ascii="宋体" w:hAnsi="宋体" w:cs="宋体"/>
          <w:bCs/>
          <w:color w:val="auto"/>
          <w:sz w:val="24"/>
        </w:rPr>
      </w:pPr>
      <w:bookmarkStart w:id="317" w:name="_Toc2373"/>
      <w:bookmarkStart w:id="318" w:name="_Toc17398"/>
      <w:bookmarkStart w:id="319" w:name="_Toc6717"/>
      <w:bookmarkStart w:id="320" w:name="_Toc31754"/>
      <w:bookmarkStart w:id="321" w:name="_Toc14917"/>
      <w:bookmarkStart w:id="322" w:name="_Toc18685"/>
      <w:bookmarkStart w:id="323" w:name="_Toc23397"/>
      <w:bookmarkStart w:id="324" w:name="_Toc22823"/>
      <w:bookmarkStart w:id="325" w:name="_Toc24269"/>
      <w:bookmarkStart w:id="326" w:name="_Toc2638"/>
      <w:r>
        <w:rPr>
          <w:rFonts w:hint="eastAsia" w:ascii="宋体" w:hAnsi="宋体" w:cs="宋体"/>
          <w:bCs/>
          <w:color w:val="auto"/>
          <w:sz w:val="24"/>
          <w:lang w:val="en-US" w:eastAsia="zh-CN"/>
        </w:rPr>
        <w:t>二</w:t>
      </w:r>
      <w:r>
        <w:rPr>
          <w:rFonts w:hint="eastAsia" w:ascii="宋体" w:hAnsi="宋体" w:cs="宋体"/>
          <w:bCs/>
          <w:color w:val="auto"/>
          <w:sz w:val="24"/>
        </w:rPr>
        <w:t>、关于文件的制作和签名</w:t>
      </w:r>
      <w:bookmarkEnd w:id="317"/>
      <w:bookmarkEnd w:id="318"/>
      <w:bookmarkEnd w:id="319"/>
      <w:bookmarkEnd w:id="320"/>
      <w:bookmarkEnd w:id="321"/>
      <w:bookmarkEnd w:id="322"/>
      <w:bookmarkEnd w:id="323"/>
      <w:bookmarkEnd w:id="324"/>
      <w:bookmarkEnd w:id="325"/>
      <w:bookmarkEnd w:id="326"/>
    </w:p>
    <w:p>
      <w:pPr>
        <w:spacing w:line="360" w:lineRule="auto"/>
        <w:ind w:firstLine="480" w:firstLineChars="200"/>
        <w:rPr>
          <w:rFonts w:hint="eastAsia" w:ascii="宋体" w:hAnsi="宋体" w:cs="宋体"/>
          <w:bCs/>
          <w:color w:val="auto"/>
          <w:sz w:val="24"/>
        </w:rPr>
      </w:pPr>
      <w:bookmarkStart w:id="327" w:name="_Toc22512"/>
      <w:r>
        <w:rPr>
          <w:rFonts w:hint="eastAsia" w:ascii="宋体" w:hAnsi="宋体" w:cs="宋体"/>
          <w:bCs/>
          <w:color w:val="auto"/>
          <w:sz w:val="24"/>
        </w:rPr>
        <w:t>1.</w:t>
      </w:r>
      <w:bookmarkEnd w:id="327"/>
      <w:bookmarkStart w:id="328" w:name="_Toc30680"/>
      <w:r>
        <w:rPr>
          <w:rFonts w:hint="eastAsia" w:ascii="宋体" w:hAnsi="宋体" w:cs="宋体"/>
          <w:bCs/>
          <w:color w:val="auto"/>
          <w:sz w:val="24"/>
        </w:rPr>
        <w:t xml:space="preserve"> 编制电子投标文件时，应使用最新发布的电子招标文件及专用制作工具进行编制。并使用数字认证证书（CA）对电子投标文件进行签署、加密、递交及开标时解密等相关操作。</w:t>
      </w:r>
      <w:bookmarkEnd w:id="328"/>
    </w:p>
    <w:p>
      <w:pPr>
        <w:spacing w:line="360" w:lineRule="auto"/>
        <w:ind w:firstLine="240" w:firstLineChars="100"/>
        <w:rPr>
          <w:rFonts w:hint="eastAsia" w:ascii="宋体" w:hAnsi="宋体" w:cs="宋体"/>
          <w:bCs/>
          <w:color w:val="auto"/>
          <w:sz w:val="24"/>
        </w:rPr>
      </w:pPr>
      <w:bookmarkStart w:id="329" w:name="_Toc5190"/>
      <w:r>
        <w:rPr>
          <w:rFonts w:hint="eastAsia" w:ascii="宋体" w:hAnsi="宋体" w:cs="宋体"/>
          <w:bCs/>
          <w:color w:val="auto"/>
          <w:sz w:val="24"/>
        </w:rPr>
        <w:t>（1）电子招标文件下载</w:t>
      </w:r>
      <w:bookmarkEnd w:id="329"/>
    </w:p>
    <w:p>
      <w:pPr>
        <w:spacing w:line="360" w:lineRule="auto"/>
        <w:ind w:firstLine="480" w:firstLineChars="200"/>
        <w:rPr>
          <w:rFonts w:hint="eastAsia" w:ascii="宋体" w:hAnsi="宋体" w:cs="宋体"/>
          <w:bCs/>
          <w:color w:val="auto"/>
          <w:sz w:val="24"/>
        </w:rPr>
      </w:pPr>
      <w:bookmarkStart w:id="330" w:name="_Toc17854"/>
      <w:r>
        <w:rPr>
          <w:rFonts w:hint="eastAsia" w:ascii="宋体" w:hAnsi="宋体" w:cs="宋体"/>
          <w:bCs/>
          <w:color w:val="auto"/>
          <w:sz w:val="24"/>
        </w:rPr>
        <w:t>供应商登录全国公共资源交易平台（陕西省）网站[电子交易平台-企业端]后，在[我的项目]中点击“项目流程-交易文件下载”下载电子招标文件（*.SXSZF）;</w:t>
      </w:r>
      <w:bookmarkEnd w:id="330"/>
    </w:p>
    <w:p>
      <w:pPr>
        <w:spacing w:line="360" w:lineRule="auto"/>
        <w:rPr>
          <w:rFonts w:hint="eastAsia" w:ascii="宋体" w:hAnsi="宋体" w:cs="宋体"/>
          <w:bCs/>
          <w:color w:val="auto"/>
          <w:sz w:val="24"/>
        </w:rPr>
      </w:pPr>
      <w:bookmarkStart w:id="331" w:name="_Toc27523"/>
      <w:r>
        <w:rPr>
          <w:rFonts w:hint="eastAsia" w:ascii="宋体" w:hAnsi="宋体" w:cs="宋体"/>
          <w:bCs/>
          <w:color w:val="auto"/>
          <w:sz w:val="24"/>
        </w:rPr>
        <w:t>注意：该项目如有变更文件，则应点击“项目流程&gt;答疑文件下载”下载更新后的电子招标文件（*.SXSCF），使用旧版电子招标文件制作的电子投标文件，系统将拒绝接收。</w:t>
      </w:r>
      <w:bookmarkEnd w:id="331"/>
    </w:p>
    <w:p>
      <w:pPr>
        <w:spacing w:line="360" w:lineRule="auto"/>
        <w:ind w:firstLine="240" w:firstLineChars="100"/>
        <w:rPr>
          <w:rFonts w:hint="eastAsia" w:ascii="宋体" w:hAnsi="宋体" w:cs="宋体"/>
          <w:bCs/>
          <w:color w:val="auto"/>
          <w:sz w:val="24"/>
          <w:highlight w:val="none"/>
        </w:rPr>
      </w:pPr>
      <w:bookmarkStart w:id="332" w:name="_Toc8282"/>
      <w:r>
        <w:rPr>
          <w:rFonts w:hint="eastAsia" w:ascii="宋体" w:hAnsi="宋体" w:cs="宋体"/>
          <w:bCs/>
          <w:color w:val="auto"/>
          <w:sz w:val="24"/>
        </w:rPr>
        <w:t>（2）电子招标文件需要使用专用软件打开、浏览</w:t>
      </w:r>
      <w:bookmarkEnd w:id="332"/>
      <w:bookmarkStart w:id="333" w:name="_Toc20814"/>
      <w:r>
        <w:rPr>
          <w:rFonts w:hint="eastAsia" w:ascii="宋体" w:hAnsi="宋体" w:cs="宋体"/>
          <w:bCs/>
          <w:color w:val="auto"/>
          <w:sz w:val="24"/>
          <w:lang w:eastAsia="zh-CN"/>
        </w:rPr>
        <w:t>，</w:t>
      </w:r>
      <w:r>
        <w:rPr>
          <w:rFonts w:hint="eastAsia" w:ascii="宋体" w:hAnsi="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)》，下载网址：</w:t>
      </w:r>
      <w:r>
        <w:rPr>
          <w:rFonts w:hint="eastAsia" w:ascii="宋体" w:hAnsi="宋体" w:cs="宋体"/>
          <w:bCs/>
          <w:color w:val="auto"/>
          <w:sz w:val="24"/>
        </w:rPr>
        <w:fldChar w:fldCharType="begin"/>
      </w:r>
      <w:r>
        <w:rPr>
          <w:rFonts w:hint="eastAsia" w:ascii="宋体" w:hAnsi="宋体" w:cs="宋体"/>
          <w:bCs/>
          <w:color w:val="auto"/>
          <w:sz w:val="24"/>
        </w:rPr>
        <w:instrText xml:space="preserve"> HYPERLINK "https://download.bqpoint.com/download/downloaddetail.html?SourceFrom=Ztb&amp;ZtbSoftXiaQuCode=1805&amp;ZtbSoftType=tballinclusive" </w:instrText>
      </w:r>
      <w:r>
        <w:rPr>
          <w:rFonts w:hint="eastAsia" w:ascii="宋体" w:hAnsi="宋体" w:cs="宋体"/>
          <w:bCs/>
          <w:color w:val="auto"/>
          <w:sz w:val="24"/>
        </w:rPr>
        <w:fldChar w:fldCharType="separate"/>
      </w:r>
      <w:r>
        <w:rPr>
          <w:rFonts w:hint="eastAsia" w:ascii="宋体" w:hAnsi="宋体" w:cs="宋体"/>
          <w:bCs/>
          <w:color w:val="auto"/>
          <w:sz w:val="24"/>
        </w:rPr>
        <w:t>https://download.bqpoint.com/download/downloaddetail.html?SourceFrom=Ztb&amp;ZtbSoftXiaQuCode=1805&amp;ZtbSoftType=tballinclusive</w:t>
      </w:r>
      <w:r>
        <w:rPr>
          <w:rFonts w:hint="eastAsia" w:ascii="宋体" w:hAnsi="宋体" w:cs="宋体"/>
          <w:bCs/>
          <w:color w:val="auto"/>
          <w:sz w:val="24"/>
        </w:rPr>
        <w:fldChar w:fldCharType="end"/>
      </w:r>
      <w:r>
        <w:rPr>
          <w:rFonts w:hint="eastAsia" w:ascii="宋体" w:hAnsi="宋体" w:cs="宋体"/>
          <w:bCs/>
          <w:color w:val="auto"/>
          <w:sz w:val="24"/>
        </w:rPr>
        <w:t>，并升级至最新版本，使用该客户端可以打开电子招标文件。</w:t>
      </w:r>
      <w:bookmarkEnd w:id="333"/>
    </w:p>
    <w:p>
      <w:pPr>
        <w:spacing w:line="360" w:lineRule="auto"/>
        <w:ind w:firstLine="240" w:firstLineChars="100"/>
        <w:rPr>
          <w:rFonts w:hint="eastAsia" w:ascii="宋体" w:hAnsi="宋体" w:cs="宋体"/>
          <w:bCs/>
          <w:color w:val="auto"/>
          <w:sz w:val="24"/>
        </w:rPr>
      </w:pPr>
      <w:bookmarkStart w:id="334" w:name="_Toc3479"/>
      <w:r>
        <w:rPr>
          <w:rFonts w:hint="eastAsia" w:ascii="宋体" w:hAnsi="宋体" w:cs="宋体"/>
          <w:bCs/>
          <w:color w:val="auto"/>
          <w:sz w:val="24"/>
        </w:rPr>
        <w:t>（3）制作电子投标文件</w:t>
      </w:r>
      <w:bookmarkEnd w:id="334"/>
    </w:p>
    <w:p>
      <w:pPr>
        <w:spacing w:line="360" w:lineRule="auto"/>
        <w:ind w:firstLine="480" w:firstLineChars="200"/>
        <w:rPr>
          <w:rFonts w:hint="eastAsia" w:ascii="宋体" w:hAnsi="宋体" w:cs="宋体"/>
          <w:bCs/>
          <w:color w:val="auto"/>
          <w:sz w:val="24"/>
        </w:rPr>
      </w:pPr>
      <w:bookmarkStart w:id="335" w:name="_Toc1229"/>
      <w:r>
        <w:rPr>
          <w:rFonts w:hint="eastAsia" w:ascii="宋体" w:hAnsi="宋体" w:cs="宋体"/>
          <w:bCs/>
          <w:color w:val="auto"/>
          <w:sz w:val="24"/>
        </w:rPr>
        <w:t>电子投标文件同样需要使用上述软件进行编制。在编制过程中，如有技术性问题，请先翻阅操作手册或致电软件开发商，技术支持热线：4009280095、4009980000。</w:t>
      </w:r>
      <w:bookmarkEnd w:id="335"/>
    </w:p>
    <w:p>
      <w:pPr>
        <w:spacing w:line="360" w:lineRule="auto"/>
        <w:outlineLvl w:val="0"/>
        <w:rPr>
          <w:rFonts w:hint="eastAsia" w:ascii="宋体" w:hAnsi="宋体" w:cs="宋体"/>
          <w:bCs/>
          <w:color w:val="auto"/>
          <w:sz w:val="24"/>
        </w:rPr>
      </w:pPr>
      <w:bookmarkStart w:id="336" w:name="_Toc30034"/>
      <w:bookmarkStart w:id="337" w:name="_Toc17424"/>
      <w:bookmarkStart w:id="338" w:name="_Toc24522"/>
      <w:bookmarkStart w:id="339" w:name="_Toc9181"/>
      <w:bookmarkStart w:id="340" w:name="_Toc29731"/>
      <w:bookmarkStart w:id="341" w:name="_Toc31854"/>
      <w:r>
        <w:rPr>
          <w:rFonts w:hint="eastAsia" w:ascii="宋体" w:hAnsi="宋体" w:cs="宋体"/>
          <w:bCs/>
          <w:color w:val="auto"/>
          <w:sz w:val="24"/>
        </w:rPr>
        <w:t>四、该项目将采取“不见面”开标的形式，供应商无须到达开标现场，即可在网上直接参与开标活动。相关注意事项如下：</w:t>
      </w:r>
      <w:bookmarkEnd w:id="336"/>
      <w:bookmarkEnd w:id="337"/>
      <w:bookmarkEnd w:id="338"/>
      <w:bookmarkEnd w:id="339"/>
      <w:bookmarkEnd w:id="340"/>
      <w:bookmarkEnd w:id="341"/>
    </w:p>
    <w:p>
      <w:pPr>
        <w:spacing w:line="360" w:lineRule="auto"/>
        <w:ind w:firstLine="480" w:firstLineChars="200"/>
        <w:outlineLvl w:val="0"/>
        <w:rPr>
          <w:rFonts w:hint="eastAsia" w:ascii="宋体" w:hAnsi="宋体" w:eastAsia="宋体" w:cs="宋体"/>
          <w:bCs/>
          <w:color w:val="auto"/>
          <w:sz w:val="24"/>
        </w:rPr>
      </w:pPr>
      <w:bookmarkStart w:id="342" w:name="_Toc29064"/>
      <w:bookmarkStart w:id="343" w:name="_Toc31554"/>
      <w:bookmarkStart w:id="344" w:name="_Toc28289"/>
      <w:bookmarkStart w:id="345" w:name="_Toc25309"/>
      <w:bookmarkStart w:id="346" w:name="_Toc10914"/>
      <w:bookmarkStart w:id="347" w:name="_Toc4643"/>
      <w:r>
        <w:rPr>
          <w:rFonts w:hint="default" w:ascii="宋体" w:hAnsi="宋体" w:eastAsia="宋体" w:cs="宋体"/>
          <w:bCs/>
          <w:color w:val="auto"/>
          <w:sz w:val="24"/>
        </w:rPr>
        <w:t>①</w:t>
      </w:r>
      <w:r>
        <w:rPr>
          <w:rFonts w:hint="eastAsia" w:ascii="宋体" w:hAnsi="宋体" w:eastAsia="宋体" w:cs="宋体"/>
          <w:bCs/>
          <w:color w:val="auto"/>
          <w:sz w:val="24"/>
        </w:rPr>
        <w:t>开标当日，请各供应商在开标截止时间前至少提前半小时登录“不见面”开标系统登录方式有以下几种：</w:t>
      </w:r>
      <w:bookmarkEnd w:id="342"/>
      <w:bookmarkEnd w:id="343"/>
      <w:bookmarkEnd w:id="344"/>
      <w:bookmarkEnd w:id="345"/>
      <w:bookmarkEnd w:id="346"/>
      <w:bookmarkEnd w:id="347"/>
    </w:p>
    <w:p>
      <w:pPr>
        <w:spacing w:line="360" w:lineRule="auto"/>
        <w:ind w:firstLine="480" w:firstLineChars="200"/>
        <w:outlineLvl w:val="0"/>
        <w:rPr>
          <w:rFonts w:hint="eastAsia" w:ascii="宋体" w:hAnsi="宋体" w:eastAsia="宋体" w:cs="宋体"/>
          <w:bCs/>
          <w:color w:val="auto"/>
          <w:sz w:val="24"/>
        </w:rPr>
      </w:pPr>
      <w:bookmarkStart w:id="348" w:name="_Toc136"/>
      <w:bookmarkStart w:id="349" w:name="_Toc23987"/>
      <w:bookmarkStart w:id="350" w:name="_Toc6547"/>
      <w:bookmarkStart w:id="351" w:name="_Toc5810"/>
      <w:bookmarkStart w:id="352" w:name="_Toc15638"/>
      <w:bookmarkStart w:id="353" w:name="_Toc9196"/>
      <w:r>
        <w:rPr>
          <w:rFonts w:hint="eastAsia" w:ascii="宋体" w:hAnsi="宋体" w:eastAsia="宋体" w:cs="宋体"/>
          <w:bCs/>
          <w:color w:val="auto"/>
          <w:sz w:val="24"/>
        </w:rPr>
        <w:t>IE浏览器输入网址：</w:t>
      </w:r>
      <w:bookmarkEnd w:id="348"/>
      <w:bookmarkEnd w:id="349"/>
      <w:bookmarkEnd w:id="350"/>
      <w:bookmarkEnd w:id="351"/>
      <w:bookmarkEnd w:id="352"/>
      <w:bookmarkEnd w:id="353"/>
    </w:p>
    <w:p>
      <w:pPr>
        <w:spacing w:line="360" w:lineRule="auto"/>
        <w:ind w:firstLine="480" w:firstLineChars="200"/>
        <w:outlineLvl w:val="0"/>
        <w:rPr>
          <w:rFonts w:hint="eastAsia" w:ascii="宋体" w:hAnsi="宋体" w:eastAsia="宋体" w:cs="宋体"/>
          <w:bCs/>
          <w:color w:val="auto"/>
          <w:sz w:val="24"/>
        </w:rPr>
      </w:pPr>
      <w:bookmarkStart w:id="354" w:name="_Toc9929"/>
      <w:bookmarkStart w:id="355" w:name="_Toc31069"/>
      <w:bookmarkStart w:id="356" w:name="_Toc14974"/>
      <w:bookmarkStart w:id="357" w:name="_Toc22982"/>
      <w:bookmarkStart w:id="358" w:name="_Toc11544"/>
      <w:bookmarkStart w:id="359" w:name="_Toc21170"/>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http://111.20.184.126:8081/BidOpeningHallCS/bidhall/dqxianyang/login.html；</w:t>
      </w:r>
      <w:r>
        <w:rPr>
          <w:rFonts w:hint="eastAsia" w:ascii="宋体" w:hAnsi="宋体" w:eastAsia="宋体" w:cs="宋体"/>
          <w:bCs/>
          <w:color w:val="auto"/>
          <w:sz w:val="24"/>
        </w:rPr>
        <w:fldChar w:fldCharType="end"/>
      </w:r>
      <w:bookmarkEnd w:id="354"/>
      <w:bookmarkEnd w:id="355"/>
      <w:bookmarkEnd w:id="356"/>
      <w:bookmarkEnd w:id="357"/>
      <w:bookmarkEnd w:id="358"/>
      <w:bookmarkEnd w:id="359"/>
    </w:p>
    <w:p>
      <w:pPr>
        <w:spacing w:line="360" w:lineRule="auto"/>
        <w:ind w:firstLine="480" w:firstLineChars="200"/>
        <w:outlineLvl w:val="0"/>
        <w:rPr>
          <w:rFonts w:hint="eastAsia" w:ascii="宋体" w:hAnsi="宋体" w:eastAsia="宋体" w:cs="宋体"/>
          <w:bCs/>
          <w:color w:val="auto"/>
          <w:sz w:val="24"/>
        </w:rPr>
      </w:pPr>
      <w:bookmarkStart w:id="360" w:name="_Toc32358"/>
      <w:bookmarkStart w:id="361" w:name="_Toc22457"/>
      <w:bookmarkStart w:id="362" w:name="_Toc23601"/>
      <w:bookmarkStart w:id="363" w:name="_Toc4145"/>
      <w:bookmarkStart w:id="364" w:name="_Toc2339"/>
      <w:bookmarkStart w:id="365" w:name="_Toc2756"/>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360"/>
      <w:bookmarkEnd w:id="361"/>
      <w:bookmarkEnd w:id="362"/>
      <w:bookmarkEnd w:id="363"/>
      <w:bookmarkEnd w:id="364"/>
      <w:bookmarkEnd w:id="365"/>
    </w:p>
    <w:p>
      <w:pPr>
        <w:spacing w:line="360" w:lineRule="auto"/>
        <w:ind w:firstLine="480" w:firstLineChars="200"/>
        <w:outlineLvl w:val="0"/>
        <w:rPr>
          <w:rFonts w:hint="eastAsia" w:ascii="宋体" w:hAnsi="宋体" w:eastAsia="宋体" w:cs="宋体"/>
          <w:bCs/>
          <w:color w:val="auto"/>
          <w:sz w:val="24"/>
        </w:rPr>
      </w:pPr>
      <w:bookmarkStart w:id="366" w:name="_Toc23882"/>
      <w:bookmarkStart w:id="367" w:name="_Toc925"/>
      <w:bookmarkStart w:id="368" w:name="_Toc21166"/>
      <w:bookmarkStart w:id="369" w:name="_Toc3689"/>
      <w:bookmarkStart w:id="370" w:name="_Toc3562"/>
      <w:bookmarkStart w:id="371" w:name="_Toc20049"/>
      <w:r>
        <w:rPr>
          <w:rFonts w:hint="eastAsia" w:ascii="宋体" w:hAnsi="宋体" w:eastAsia="宋体" w:cs="宋体"/>
          <w:bCs/>
          <w:color w:val="auto"/>
          <w:sz w:val="24"/>
        </w:rPr>
        <w:t>注：登录不见面开标系统请选择IE11浏览器</w:t>
      </w:r>
      <w:bookmarkEnd w:id="366"/>
      <w:bookmarkEnd w:id="367"/>
      <w:bookmarkEnd w:id="368"/>
      <w:bookmarkEnd w:id="369"/>
      <w:bookmarkEnd w:id="370"/>
      <w:bookmarkEnd w:id="371"/>
    </w:p>
    <w:p>
      <w:pPr>
        <w:spacing w:line="360" w:lineRule="auto"/>
        <w:ind w:firstLine="480" w:firstLineChars="200"/>
        <w:outlineLvl w:val="0"/>
        <w:rPr>
          <w:rFonts w:hint="eastAsia" w:ascii="宋体" w:hAnsi="宋体" w:eastAsia="宋体" w:cs="宋体"/>
          <w:bCs/>
          <w:color w:val="auto"/>
          <w:sz w:val="24"/>
        </w:rPr>
      </w:pPr>
      <w:bookmarkStart w:id="372" w:name="_Toc28533"/>
      <w:bookmarkStart w:id="373" w:name="_Toc5982"/>
      <w:bookmarkStart w:id="374" w:name="_Toc3002"/>
      <w:bookmarkStart w:id="375" w:name="_Toc14094"/>
      <w:bookmarkStart w:id="376" w:name="_Toc11085"/>
      <w:bookmarkStart w:id="377" w:name="_Toc25466"/>
      <w:r>
        <w:rPr>
          <w:rFonts w:hint="default" w:ascii="宋体" w:hAnsi="宋体" w:eastAsia="宋体" w:cs="宋体"/>
          <w:bCs/>
          <w:color w:val="auto"/>
          <w:sz w:val="24"/>
        </w:rPr>
        <w:t>②</w:t>
      </w:r>
      <w:r>
        <w:rPr>
          <w:rFonts w:hint="eastAsia" w:ascii="宋体" w:hAnsi="宋体" w:eastAsia="宋体" w:cs="宋体"/>
          <w:bCs/>
          <w:color w:val="auto"/>
          <w:sz w:val="24"/>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372"/>
      <w:bookmarkEnd w:id="373"/>
      <w:bookmarkEnd w:id="374"/>
      <w:bookmarkEnd w:id="375"/>
      <w:bookmarkEnd w:id="376"/>
      <w:bookmarkEnd w:id="377"/>
    </w:p>
    <w:p>
      <w:pPr>
        <w:spacing w:line="360" w:lineRule="auto"/>
        <w:ind w:firstLine="480" w:firstLineChars="200"/>
        <w:outlineLvl w:val="0"/>
        <w:rPr>
          <w:rFonts w:hint="eastAsia" w:ascii="宋体" w:hAnsi="宋体" w:eastAsia="宋体" w:cs="宋体"/>
          <w:bCs/>
          <w:color w:val="auto"/>
          <w:sz w:val="24"/>
        </w:rPr>
      </w:pPr>
      <w:bookmarkStart w:id="378" w:name="_Toc17893"/>
      <w:bookmarkStart w:id="379" w:name="_Toc7291"/>
      <w:bookmarkStart w:id="380" w:name="_Toc24908"/>
      <w:bookmarkStart w:id="381" w:name="_Toc27782"/>
      <w:bookmarkStart w:id="382" w:name="_Toc10575"/>
      <w:r>
        <w:rPr>
          <w:rFonts w:hint="default" w:ascii="宋体" w:hAnsi="宋体" w:eastAsia="宋体" w:cs="宋体"/>
          <w:bCs/>
          <w:color w:val="auto"/>
          <w:sz w:val="24"/>
        </w:rPr>
        <w:t>③</w:t>
      </w:r>
      <w:r>
        <w:rPr>
          <w:rFonts w:hint="eastAsia" w:ascii="宋体" w:hAnsi="宋体" w:eastAsia="宋体" w:cs="宋体"/>
          <w:bCs/>
          <w:color w:val="auto"/>
          <w:sz w:val="24"/>
        </w:rPr>
        <w:t>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一正</w:t>
      </w:r>
      <w:r>
        <w:rPr>
          <w:rFonts w:hint="eastAsia" w:ascii="宋体" w:hAnsi="宋体" w:eastAsia="宋体" w:cs="宋体"/>
          <w:bCs/>
          <w:color w:val="auto"/>
          <w:sz w:val="24"/>
          <w:lang w:val="en-US" w:eastAsia="zh-CN"/>
        </w:rPr>
        <w:t>三</w:t>
      </w:r>
      <w:r>
        <w:rPr>
          <w:rFonts w:hint="eastAsia" w:ascii="宋体" w:hAnsi="宋体" w:eastAsia="宋体" w:cs="宋体"/>
          <w:bCs/>
          <w:color w:val="auto"/>
          <w:sz w:val="24"/>
          <w:lang w:eastAsia="zh-CN"/>
        </w:rPr>
        <w:t xml:space="preserve">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378"/>
      <w:bookmarkEnd w:id="379"/>
      <w:bookmarkEnd w:id="380"/>
      <w:bookmarkEnd w:id="381"/>
      <w:bookmarkEnd w:id="382"/>
    </w:p>
    <w:p>
      <w:pPr>
        <w:spacing w:line="360" w:lineRule="auto"/>
        <w:ind w:firstLine="480" w:firstLineChars="200"/>
        <w:outlineLvl w:val="0"/>
        <w:rPr>
          <w:rFonts w:hint="eastAsia" w:ascii="宋体" w:hAnsi="宋体" w:eastAsia="宋体" w:cs="宋体"/>
          <w:bCs/>
          <w:color w:val="auto"/>
          <w:sz w:val="24"/>
        </w:rPr>
      </w:pPr>
      <w:bookmarkStart w:id="383" w:name="_Toc30945"/>
      <w:bookmarkStart w:id="384" w:name="_Toc18391"/>
      <w:bookmarkStart w:id="385" w:name="_Toc29538"/>
      <w:bookmarkStart w:id="386" w:name="_Toc14264"/>
      <w:bookmarkStart w:id="387" w:name="_Toc27404"/>
      <w:bookmarkStart w:id="388" w:name="_Toc2001"/>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383"/>
      <w:bookmarkEnd w:id="384"/>
      <w:bookmarkEnd w:id="385"/>
      <w:bookmarkEnd w:id="386"/>
      <w:bookmarkEnd w:id="387"/>
      <w:bookmarkEnd w:id="388"/>
    </w:p>
    <w:p>
      <w:pPr>
        <w:spacing w:line="360" w:lineRule="auto"/>
        <w:ind w:firstLine="480" w:firstLineChars="200"/>
        <w:outlineLvl w:val="0"/>
        <w:rPr>
          <w:rFonts w:hint="eastAsia" w:ascii="宋体" w:hAnsi="宋体" w:eastAsia="宋体" w:cs="宋体"/>
          <w:bCs/>
          <w:color w:val="auto"/>
          <w:sz w:val="24"/>
        </w:rPr>
      </w:pPr>
      <w:bookmarkStart w:id="389" w:name="_Toc30018"/>
      <w:bookmarkStart w:id="390" w:name="_Toc1352"/>
      <w:bookmarkStart w:id="391" w:name="_Toc14040"/>
      <w:bookmarkStart w:id="392" w:name="_Toc12288"/>
      <w:bookmarkStart w:id="393" w:name="_Toc1479"/>
      <w:bookmarkStart w:id="394" w:name="_Toc18873"/>
      <w:r>
        <w:rPr>
          <w:rFonts w:hint="eastAsia" w:ascii="宋体" w:hAnsi="宋体" w:eastAsia="宋体" w:cs="宋体"/>
          <w:bCs/>
          <w:color w:val="auto"/>
          <w:sz w:val="24"/>
        </w:rPr>
        <w:t>⑤相关技术问题，请咨询软件开发商：</w:t>
      </w:r>
      <w:bookmarkEnd w:id="389"/>
      <w:bookmarkEnd w:id="390"/>
      <w:bookmarkEnd w:id="391"/>
      <w:bookmarkEnd w:id="392"/>
      <w:bookmarkEnd w:id="393"/>
      <w:bookmarkEnd w:id="394"/>
    </w:p>
    <w:p>
      <w:pPr>
        <w:spacing w:line="360" w:lineRule="auto"/>
        <w:ind w:firstLine="480" w:firstLineChars="200"/>
        <w:outlineLvl w:val="0"/>
        <w:rPr>
          <w:rFonts w:hint="eastAsia" w:ascii="宋体" w:hAnsi="宋体" w:eastAsia="宋体" w:cs="宋体"/>
          <w:bCs/>
          <w:color w:val="auto"/>
          <w:sz w:val="24"/>
        </w:rPr>
      </w:pPr>
      <w:bookmarkStart w:id="395" w:name="_Toc13241"/>
      <w:bookmarkStart w:id="396" w:name="_Toc23949"/>
      <w:bookmarkStart w:id="397" w:name="_Toc21234"/>
      <w:bookmarkStart w:id="398" w:name="_Toc29562"/>
      <w:bookmarkStart w:id="399" w:name="_Toc17735"/>
      <w:bookmarkStart w:id="400" w:name="_Toc1537"/>
      <w:r>
        <w:rPr>
          <w:rFonts w:hint="eastAsia" w:ascii="宋体" w:hAnsi="宋体" w:eastAsia="宋体" w:cs="宋体"/>
          <w:bCs/>
          <w:color w:val="auto"/>
          <w:sz w:val="24"/>
        </w:rPr>
        <w:t>技术支持热线：400-998-0000/400-928-0095</w:t>
      </w:r>
      <w:bookmarkEnd w:id="395"/>
      <w:bookmarkEnd w:id="396"/>
      <w:bookmarkEnd w:id="397"/>
      <w:bookmarkEnd w:id="398"/>
      <w:bookmarkEnd w:id="399"/>
      <w:bookmarkEnd w:id="400"/>
    </w:p>
    <w:p>
      <w:pPr>
        <w:spacing w:line="360" w:lineRule="auto"/>
        <w:ind w:firstLine="480" w:firstLineChars="200"/>
        <w:outlineLvl w:val="0"/>
        <w:rPr>
          <w:rFonts w:hint="eastAsia" w:ascii="宋体" w:hAnsi="宋体" w:eastAsia="宋体" w:cs="宋体"/>
          <w:bCs/>
          <w:color w:val="auto"/>
          <w:sz w:val="24"/>
        </w:rPr>
      </w:pPr>
      <w:bookmarkStart w:id="401" w:name="_Toc29721"/>
      <w:bookmarkStart w:id="402" w:name="_Toc10500"/>
      <w:r>
        <w:rPr>
          <w:rFonts w:hint="eastAsia" w:ascii="宋体" w:hAnsi="宋体" w:eastAsia="宋体" w:cs="宋体"/>
          <w:bCs/>
          <w:color w:val="auto"/>
          <w:sz w:val="24"/>
        </w:rPr>
        <w:t>⑥不见面开标系统操作手册下载方式：登录【全国公共资源交易平台（陕西省）】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283"/>
      <w:bookmarkEnd w:id="284"/>
      <w:bookmarkEnd w:id="285"/>
      <w:bookmarkEnd w:id="401"/>
      <w:bookmarkEnd w:id="402"/>
    </w:p>
    <w:p>
      <w:pPr>
        <w:pStyle w:val="7"/>
        <w:outlineLvl w:val="9"/>
        <w:rPr>
          <w:rFonts w:hint="default" w:eastAsia="宋体"/>
          <w:color w:val="auto"/>
          <w:lang w:val="en-US" w:eastAsia="zh-CN"/>
        </w:rPr>
      </w:pPr>
    </w:p>
    <w:p>
      <w:pPr>
        <w:rPr>
          <w:color w:val="auto"/>
        </w:rPr>
      </w:pPr>
    </w:p>
    <w:sectPr>
      <w:footerReference r:id="rId1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仿宋" w:hAnsi="仿宋" w:eastAsia="仿宋"/>
        <w:b/>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仿宋" w:hAnsi="仿宋" w:eastAsia="仿宋"/>
        <w:b/>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955C"/>
    <w:multiLevelType w:val="singleLevel"/>
    <w:tmpl w:val="810A955C"/>
    <w:lvl w:ilvl="0" w:tentative="0">
      <w:start w:val="1"/>
      <w:numFmt w:val="decimal"/>
      <w:suff w:val="nothing"/>
      <w:lvlText w:val="%1、"/>
      <w:lvlJc w:val="left"/>
    </w:lvl>
  </w:abstractNum>
  <w:abstractNum w:abstractNumId="1">
    <w:nsid w:val="9909BE59"/>
    <w:multiLevelType w:val="singleLevel"/>
    <w:tmpl w:val="9909BE59"/>
    <w:lvl w:ilvl="0" w:tentative="0">
      <w:start w:val="1"/>
      <w:numFmt w:val="decimal"/>
      <w:suff w:val="nothing"/>
      <w:lvlText w:val="%1、"/>
      <w:lvlJc w:val="left"/>
    </w:lvl>
  </w:abstractNum>
  <w:abstractNum w:abstractNumId="2">
    <w:nsid w:val="D1048FBD"/>
    <w:multiLevelType w:val="singleLevel"/>
    <w:tmpl w:val="D1048FBD"/>
    <w:lvl w:ilvl="0" w:tentative="0">
      <w:start w:val="1"/>
      <w:numFmt w:val="chineseCounting"/>
      <w:suff w:val="nothing"/>
      <w:lvlText w:val="%1、"/>
      <w:lvlJc w:val="left"/>
      <w:rPr>
        <w:rFonts w:hint="eastAsia"/>
      </w:rPr>
    </w:lvl>
  </w:abstractNum>
  <w:abstractNum w:abstractNumId="3">
    <w:nsid w:val="DC00F56D"/>
    <w:multiLevelType w:val="singleLevel"/>
    <w:tmpl w:val="DC00F56D"/>
    <w:lvl w:ilvl="0" w:tentative="0">
      <w:start w:val="3"/>
      <w:numFmt w:val="chineseCounting"/>
      <w:suff w:val="space"/>
      <w:lvlText w:val="第%1部分"/>
      <w:lvlJc w:val="left"/>
      <w:rPr>
        <w:rFonts w:hint="eastAsia"/>
      </w:rPr>
    </w:lvl>
  </w:abstractNum>
  <w:abstractNum w:abstractNumId="4">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5">
    <w:nsid w:val="58DCBAE5"/>
    <w:multiLevelType w:val="singleLevel"/>
    <w:tmpl w:val="58DCBAE5"/>
    <w:lvl w:ilvl="0" w:tentative="0">
      <w:start w:val="2"/>
      <w:numFmt w:val="decimal"/>
      <w:suff w:val="nothing"/>
      <w:lvlText w:val="%1、"/>
      <w:lvlJc w:val="left"/>
    </w:lvl>
  </w:abstractNum>
  <w:abstractNum w:abstractNumId="6">
    <w:nsid w:val="58E997E2"/>
    <w:multiLevelType w:val="singleLevel"/>
    <w:tmpl w:val="58E997E2"/>
    <w:lvl w:ilvl="0" w:tentative="0">
      <w:start w:val="1"/>
      <w:numFmt w:val="decimal"/>
      <w:suff w:val="nothing"/>
      <w:lvlText w:val="%1."/>
      <w:lvlJc w:val="left"/>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254E3433"/>
    <w:rsid w:val="0D825322"/>
    <w:rsid w:val="254E3433"/>
    <w:rsid w:val="2B2F4C6A"/>
    <w:rsid w:val="67BB4BB4"/>
    <w:rsid w:val="690C1B6B"/>
    <w:rsid w:val="6C4B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120" w:beforeLines="0" w:after="120" w:afterLines="0" w:line="360" w:lineRule="auto"/>
      <w:jc w:val="left"/>
      <w:outlineLvl w:val="1"/>
    </w:pPr>
    <w:rPr>
      <w:rFonts w:ascii="Arial" w:hAnsi="Arial" w:eastAsia="黑体"/>
      <w:b/>
      <w:sz w:val="30"/>
      <w:szCs w:val="20"/>
    </w:rPr>
  </w:style>
  <w:style w:type="paragraph" w:styleId="5">
    <w:name w:val="heading 4"/>
    <w:basedOn w:val="1"/>
    <w:next w:val="1"/>
    <w:qFormat/>
    <w:uiPriority w:val="0"/>
    <w:pPr>
      <w:keepNext/>
      <w:keepLines/>
      <w:adjustRightInd w:val="0"/>
      <w:spacing w:before="280" w:beforeLines="0" w:after="290" w:afterLines="0" w:line="376" w:lineRule="atLeast"/>
      <w:textAlignment w:val="baseline"/>
      <w:outlineLvl w:val="3"/>
    </w:pPr>
    <w:rPr>
      <w:rFonts w:ascii="Arial" w:hAnsi="Arial"/>
      <w:b/>
      <w:spacing w:val="20"/>
      <w:sz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7">
    <w:name w:val="Normal Indent"/>
    <w:basedOn w:val="1"/>
    <w:uiPriority w:val="0"/>
    <w:pPr>
      <w:ind w:firstLine="420"/>
    </w:pPr>
    <w:rPr>
      <w:szCs w:val="20"/>
    </w:rPr>
  </w:style>
  <w:style w:type="paragraph" w:styleId="8">
    <w:name w:val="Body Text Indent"/>
    <w:basedOn w:val="1"/>
    <w:next w:val="9"/>
    <w:unhideWhenUsed/>
    <w:qFormat/>
    <w:uiPriority w:val="0"/>
    <w:pPr>
      <w:spacing w:after="156" w:afterLines="50" w:line="360" w:lineRule="exact"/>
      <w:ind w:firstLine="480" w:firstLineChars="200"/>
    </w:pPr>
    <w:rPr>
      <w:rFonts w:ascii="宋体" w:hAnsi="宋体"/>
      <w:szCs w:val="24"/>
    </w:r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footer"/>
    <w:basedOn w:val="1"/>
    <w:next w:val="1"/>
    <w:qFormat/>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style>
  <w:style w:type="paragraph" w:styleId="14">
    <w:name w:val="toc 2"/>
    <w:basedOn w:val="1"/>
    <w:next w:val="1"/>
    <w:uiPriority w:val="0"/>
    <w:pPr>
      <w:tabs>
        <w:tab w:val="right" w:leader="dot" w:pos="8296"/>
      </w:tabs>
      <w:spacing w:line="420" w:lineRule="exact"/>
      <w:ind w:left="420" w:leftChars="200"/>
    </w:pPr>
  </w:style>
  <w:style w:type="paragraph" w:styleId="15">
    <w:name w:val="Normal (Web)"/>
    <w:basedOn w:val="1"/>
    <w:next w:val="9"/>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widowControl w:val="0"/>
      <w:spacing w:before="240" w:beforeLines="0" w:after="60" w:afterLines="0"/>
      <w:jc w:val="center"/>
      <w:outlineLvl w:val="0"/>
    </w:pPr>
    <w:rPr>
      <w:rFonts w:ascii="Cambria" w:hAnsi="Cambria"/>
      <w:b/>
      <w:bCs/>
      <w:kern w:val="2"/>
      <w:sz w:val="36"/>
      <w:szCs w:val="32"/>
    </w:rPr>
  </w:style>
  <w:style w:type="paragraph" w:styleId="17">
    <w:name w:val="Body Text First Indent"/>
    <w:basedOn w:val="2"/>
    <w:next w:val="1"/>
    <w:qFormat/>
    <w:uiPriority w:val="99"/>
    <w:pPr>
      <w:adjustRightInd w:val="0"/>
      <w:ind w:firstLine="420"/>
      <w:jc w:val="left"/>
      <w:textAlignment w:val="baseline"/>
    </w:pPr>
    <w:rPr>
      <w:kern w:val="0"/>
      <w:sz w:val="21"/>
    </w:rPr>
  </w:style>
  <w:style w:type="character" w:styleId="20">
    <w:name w:val="Strong"/>
    <w:qFormat/>
    <w:uiPriority w:val="0"/>
    <w:rPr>
      <w:b/>
    </w:rPr>
  </w:style>
  <w:style w:type="character" w:styleId="21">
    <w:name w:val="page number"/>
    <w:qFormat/>
    <w:uiPriority w:val="0"/>
  </w:style>
  <w:style w:type="character" w:styleId="22">
    <w:name w:val="FollowedHyperlink"/>
    <w:basedOn w:val="19"/>
    <w:uiPriority w:val="0"/>
    <w:rPr>
      <w:color w:val="296FBE"/>
      <w:u w:val="none"/>
    </w:rPr>
  </w:style>
  <w:style w:type="character" w:styleId="23">
    <w:name w:val="HTML Definition"/>
    <w:basedOn w:val="19"/>
    <w:uiPriority w:val="0"/>
  </w:style>
  <w:style w:type="character" w:styleId="24">
    <w:name w:val="HTML Variable"/>
    <w:basedOn w:val="19"/>
    <w:uiPriority w:val="0"/>
  </w:style>
  <w:style w:type="character" w:styleId="25">
    <w:name w:val="Hyperlink"/>
    <w:basedOn w:val="19"/>
    <w:uiPriority w:val="0"/>
    <w:rPr>
      <w:color w:val="296FBE"/>
      <w:u w:val="none"/>
    </w:rPr>
  </w:style>
  <w:style w:type="character" w:styleId="26">
    <w:name w:val="HTML Code"/>
    <w:basedOn w:val="19"/>
    <w:uiPriority w:val="0"/>
    <w:rPr>
      <w:rFonts w:ascii="微软雅黑" w:hAnsi="微软雅黑" w:eastAsia="微软雅黑" w:cs="微软雅黑"/>
      <w:sz w:val="20"/>
    </w:rPr>
  </w:style>
  <w:style w:type="character" w:styleId="27">
    <w:name w:val="HTML Cite"/>
    <w:basedOn w:val="19"/>
    <w:uiPriority w:val="0"/>
  </w:style>
  <w:style w:type="paragraph" w:customStyle="1" w:styleId="2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29">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customStyle="1" w:styleId="32">
    <w:name w:val="列出段落"/>
    <w:basedOn w:val="1"/>
    <w:qFormat/>
    <w:uiPriority w:val="0"/>
    <w:pPr>
      <w:ind w:firstLine="420" w:firstLineChars="200"/>
    </w:pPr>
    <w:rPr>
      <w:sz w:val="18"/>
      <w:szCs w:val="18"/>
    </w:rPr>
  </w:style>
  <w:style w:type="character" w:customStyle="1" w:styleId="33">
    <w:name w:val="drapbtn"/>
    <w:basedOn w:val="19"/>
    <w:uiPriority w:val="0"/>
  </w:style>
  <w:style w:type="character" w:customStyle="1" w:styleId="34">
    <w:name w:val="estimate_gray"/>
    <w:basedOn w:val="19"/>
    <w:uiPriority w:val="0"/>
    <w:rPr>
      <w:color w:val="FFFFFF"/>
    </w:rPr>
  </w:style>
  <w:style w:type="character" w:customStyle="1" w:styleId="35">
    <w:name w:val="edit_class"/>
    <w:basedOn w:val="19"/>
    <w:uiPriority w:val="0"/>
  </w:style>
  <w:style w:type="character" w:customStyle="1" w:styleId="36">
    <w:name w:val="hover45"/>
    <w:basedOn w:val="19"/>
    <w:uiPriority w:val="0"/>
    <w:rPr>
      <w:color w:val="FFFFFF"/>
    </w:rPr>
  </w:style>
  <w:style w:type="character" w:customStyle="1" w:styleId="37">
    <w:name w:val="button"/>
    <w:basedOn w:val="19"/>
    <w:uiPriority w:val="0"/>
  </w:style>
  <w:style w:type="character" w:customStyle="1" w:styleId="38">
    <w:name w:val="ico1656"/>
    <w:basedOn w:val="19"/>
    <w:uiPriority w:val="0"/>
  </w:style>
  <w:style w:type="character" w:customStyle="1" w:styleId="39">
    <w:name w:val="ico1657"/>
    <w:basedOn w:val="19"/>
    <w:uiPriority w:val="0"/>
  </w:style>
  <w:style w:type="character" w:customStyle="1" w:styleId="40">
    <w:name w:val="w32"/>
    <w:basedOn w:val="19"/>
    <w:uiPriority w:val="0"/>
  </w:style>
  <w:style w:type="character" w:customStyle="1" w:styleId="41">
    <w:name w:val="cdropright"/>
    <w:basedOn w:val="19"/>
    <w:uiPriority w:val="0"/>
  </w:style>
  <w:style w:type="character" w:customStyle="1" w:styleId="42">
    <w:name w:val="cdropleft"/>
    <w:basedOn w:val="19"/>
    <w:uiPriority w:val="0"/>
  </w:style>
  <w:style w:type="character" w:customStyle="1" w:styleId="43">
    <w:name w:val="xdrichtextbox"/>
    <w:basedOn w:val="19"/>
    <w:uiPriority w:val="0"/>
    <w:rPr>
      <w:color w:val="auto"/>
      <w:sz w:val="18"/>
      <w:szCs w:val="18"/>
      <w:u w:val="none"/>
      <w:bdr w:val="single" w:color="DCDCDC" w:sz="8" w:space="0"/>
      <w:shd w:val="clear" w:fill="auto"/>
    </w:rPr>
  </w:style>
  <w:style w:type="character" w:customStyle="1" w:styleId="44">
    <w:name w:val="hilite"/>
    <w:basedOn w:val="19"/>
    <w:uiPriority w:val="0"/>
    <w:rPr>
      <w:color w:val="FFFFFF"/>
      <w:shd w:val="clear" w:fill="666666"/>
    </w:rPr>
  </w:style>
  <w:style w:type="character" w:customStyle="1" w:styleId="45">
    <w:name w:val="active"/>
    <w:basedOn w:val="19"/>
    <w:uiPriority w:val="0"/>
    <w:rPr>
      <w:color w:val="00FF00"/>
      <w:shd w:val="clear" w:fill="111111"/>
    </w:rPr>
  </w:style>
  <w:style w:type="character" w:customStyle="1" w:styleId="46">
    <w:name w:val="pagechatarealistclose_box"/>
    <w:basedOn w:val="19"/>
    <w:uiPriority w:val="0"/>
  </w:style>
  <w:style w:type="character" w:customStyle="1" w:styleId="47">
    <w:name w:val="pagechatarealistclose_box1"/>
    <w:basedOn w:val="19"/>
    <w:uiPriority w:val="0"/>
  </w:style>
  <w:style w:type="character" w:customStyle="1" w:styleId="48">
    <w:name w:val="moreaction32"/>
    <w:basedOn w:val="19"/>
    <w:uiPriority w:val="0"/>
  </w:style>
  <w:style w:type="character" w:customStyle="1" w:styleId="49">
    <w:name w:val="cy"/>
    <w:basedOn w:val="19"/>
    <w:uiPriority w:val="0"/>
  </w:style>
  <w:style w:type="character" w:customStyle="1" w:styleId="50">
    <w:name w:val="tmpztreemove_arrow"/>
    <w:basedOn w:val="19"/>
    <w:uiPriority w:val="0"/>
  </w:style>
  <w:style w:type="character" w:customStyle="1" w:styleId="51">
    <w:name w:val="after"/>
    <w:basedOn w:val="19"/>
    <w:uiPriority w:val="0"/>
    <w:rPr>
      <w:sz w:val="0"/>
      <w:szCs w:val="0"/>
    </w:rPr>
  </w:style>
  <w:style w:type="character" w:customStyle="1" w:styleId="52">
    <w:name w:val="design_class"/>
    <w:basedOn w:val="19"/>
    <w:uiPriority w:val="0"/>
  </w:style>
  <w:style w:type="character" w:customStyle="1" w:styleId="53">
    <w:name w:val="liked_gray"/>
    <w:basedOn w:val="19"/>
    <w:uiPriority w:val="0"/>
    <w:rPr>
      <w:color w:val="FFFFFF"/>
    </w:rPr>
  </w:style>
  <w:style w:type="character" w:customStyle="1" w:styleId="54">
    <w:name w:val="biggerthanmax"/>
    <w:basedOn w:val="19"/>
    <w:uiPriority w:val="0"/>
    <w:rPr>
      <w:shd w:val="clear" w:fill="FFFF00"/>
    </w:rPr>
  </w:style>
  <w:style w:type="character" w:customStyle="1" w:styleId="55">
    <w:name w:val="browse_class&gt;span"/>
    <w:basedOn w:val="19"/>
    <w:uiPriority w:val="0"/>
  </w:style>
  <w:style w:type="character" w:customStyle="1" w:styleId="56">
    <w:name w:val="ico16"/>
    <w:basedOn w:val="19"/>
    <w:uiPriority w:val="0"/>
  </w:style>
  <w:style w:type="character" w:customStyle="1" w:styleId="57">
    <w:name w:val="ico161"/>
    <w:basedOn w:val="19"/>
    <w:uiPriority w:val="0"/>
  </w:style>
  <w:style w:type="character" w:customStyle="1" w:styleId="58">
    <w:name w:val="ico162"/>
    <w:basedOn w:val="19"/>
    <w:uiPriority w:val="0"/>
  </w:style>
  <w:style w:type="character" w:customStyle="1" w:styleId="59">
    <w:name w:val="button4"/>
    <w:basedOn w:val="19"/>
    <w:uiPriority w:val="0"/>
  </w:style>
  <w:style w:type="character" w:customStyle="1" w:styleId="60">
    <w:name w:val="hilite6"/>
    <w:basedOn w:val="19"/>
    <w:uiPriority w:val="0"/>
    <w:rPr>
      <w:color w:val="FFFFFF"/>
      <w:shd w:val="clear" w:fill="666666"/>
    </w:rPr>
  </w:style>
  <w:style w:type="character" w:customStyle="1" w:styleId="61">
    <w:name w:val="xdrichtextbox2"/>
    <w:basedOn w:val="19"/>
    <w:uiPriority w:val="0"/>
  </w:style>
  <w:style w:type="character" w:customStyle="1" w:styleId="62">
    <w:name w:val="ico1658"/>
    <w:basedOn w:val="19"/>
    <w:uiPriority w:val="0"/>
  </w:style>
  <w:style w:type="character" w:customStyle="1" w:styleId="63">
    <w:name w:val="hover43"/>
    <w:basedOn w:val="19"/>
    <w:uiPriority w:val="0"/>
    <w:rPr>
      <w:color w:val="FFFFFF"/>
    </w:rPr>
  </w:style>
  <w:style w:type="character" w:customStyle="1" w:styleId="64">
    <w:name w:val="button3"/>
    <w:basedOn w:val="19"/>
    <w:uiPriority w:val="0"/>
  </w:style>
  <w:style w:type="character" w:customStyle="1" w:styleId="65">
    <w:name w:val="hover44"/>
    <w:basedOn w:val="19"/>
    <w:uiPriority w:val="0"/>
    <w:rPr>
      <w:color w:val="FFFFFF"/>
    </w:rPr>
  </w:style>
  <w:style w:type="character" w:customStyle="1" w:styleId="66">
    <w:name w:val="active7"/>
    <w:basedOn w:val="19"/>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21438</Words>
  <Characters>23262</Characters>
  <Lines>0</Lines>
  <Paragraphs>0</Paragraphs>
  <TotalTime>31</TotalTime>
  <ScaleCrop>false</ScaleCrop>
  <LinksUpToDate>false</LinksUpToDate>
  <CharactersWithSpaces>25499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2023-02-14T07:28:00Z</dcterms:created>
  <dc:creator>黑曼巴</dc:creator>
  <cp:lastModifiedBy>黑曼巴</cp:lastModifiedBy>
  <dcterms:modified xsi:type="dcterms:W3CDTF">2023-02-15T02:44:44Z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0F60E113115F459F846984E84179CD19</vt:lpwstr>
  </property>
</Properties>
</file>